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365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6"/>
      </w:tblGrid>
      <w:tr w:rsidR="00207672" w:rsidRPr="004E0B1F" w14:paraId="3D3696E6" w14:textId="77777777" w:rsidTr="008E7C57">
        <w:tc>
          <w:tcPr>
            <w:tcW w:w="3656" w:type="dxa"/>
          </w:tcPr>
          <w:p w14:paraId="3497C392" w14:textId="53323150" w:rsidR="00E311CF" w:rsidRPr="00A51C04" w:rsidRDefault="005F7E49" w:rsidP="0063260D">
            <w:pPr>
              <w:pStyle w:val="Addressblock"/>
              <w:rPr>
                <w:rStyle w:val="IntenseEmphasis"/>
                <w:bCs/>
                <w:i w:val="0"/>
                <w:iCs w:val="0"/>
              </w:rPr>
            </w:pPr>
            <w:r w:rsidRPr="0063260D">
              <w:rPr>
                <w:rStyle w:val="Strong"/>
              </w:rPr>
              <w:drawing>
                <wp:anchor distT="0" distB="0" distL="114300" distR="114300" simplePos="0" relativeHeight="251659264" behindDoc="0" locked="1" layoutInCell="1" allowOverlap="1" wp14:anchorId="121ECE8E" wp14:editId="2C17FAE4">
                  <wp:simplePos x="0" y="0"/>
                  <wp:positionH relativeFrom="column">
                    <wp:posOffset>-3992880</wp:posOffset>
                  </wp:positionH>
                  <wp:positionV relativeFrom="page">
                    <wp:posOffset>3810</wp:posOffset>
                  </wp:positionV>
                  <wp:extent cx="1872615" cy="525145"/>
                  <wp:effectExtent l="0" t="0" r="0" b="8255"/>
                  <wp:wrapNone/>
                  <wp:docPr id="8" name="Picture 8" descr="Inland Revenue logo, with the text Inland Revenue, Te Tari Ta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land Revenue logo, with the text Inland Revenue, Te Tari Taa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066" w:rsidRPr="0063260D">
              <w:rPr>
                <w:rStyle w:val="Strong"/>
              </w:rPr>
              <w:t xml:space="preserve">Policy </w:t>
            </w:r>
            <w:r w:rsidR="008E7C57" w:rsidRPr="0063260D">
              <w:rPr>
                <w:rStyle w:val="Strong"/>
              </w:rPr>
              <w:t>and</w:t>
            </w:r>
            <w:r w:rsidR="00A51C04">
              <w:rPr>
                <w:rStyle w:val="Strong"/>
              </w:rPr>
              <w:t xml:space="preserve"> Regulatory Stewardship</w:t>
            </w:r>
          </w:p>
        </w:tc>
      </w:tr>
      <w:tr w:rsidR="00207672" w:rsidRPr="004E0B1F" w14:paraId="47ACEA35" w14:textId="77777777" w:rsidTr="008E7C57">
        <w:tc>
          <w:tcPr>
            <w:tcW w:w="3656" w:type="dxa"/>
          </w:tcPr>
          <w:p w14:paraId="7247CDBE" w14:textId="77777777" w:rsidR="00207672" w:rsidRPr="004E0B1F" w:rsidRDefault="007812A8" w:rsidP="0063260D">
            <w:pPr>
              <w:pStyle w:val="Addressblock"/>
            </w:pPr>
            <w:smartTag w:uri="urn:schemas-microsoft-com:office:smarttags" w:element="address">
              <w:smartTag w:uri="urn:schemas-microsoft-com:office:smarttags" w:element="Street">
                <w:r>
                  <w:t>55 Featherston Street</w:t>
                </w:r>
              </w:smartTag>
            </w:smartTag>
          </w:p>
        </w:tc>
      </w:tr>
      <w:tr w:rsidR="00207672" w:rsidRPr="004E0B1F" w14:paraId="0F4B4C1D" w14:textId="77777777" w:rsidTr="008E7C57">
        <w:tc>
          <w:tcPr>
            <w:tcW w:w="3656" w:type="dxa"/>
          </w:tcPr>
          <w:p w14:paraId="4FA1DA94" w14:textId="77777777" w:rsidR="00207672" w:rsidRPr="004E0B1F" w:rsidRDefault="00671066" w:rsidP="0063260D">
            <w:pPr>
              <w:pStyle w:val="Addressblock"/>
            </w:pPr>
            <w:r>
              <w:t>PO Box 2198</w:t>
            </w:r>
          </w:p>
        </w:tc>
      </w:tr>
      <w:tr w:rsidR="00D33A43" w:rsidRPr="004E0B1F" w14:paraId="49016191" w14:textId="77777777" w:rsidTr="008E7C57">
        <w:tc>
          <w:tcPr>
            <w:tcW w:w="3656" w:type="dxa"/>
          </w:tcPr>
          <w:p w14:paraId="56B3C109" w14:textId="77777777" w:rsidR="00D33A43" w:rsidRPr="004E0B1F" w:rsidRDefault="00671066" w:rsidP="0063260D">
            <w:pPr>
              <w:pStyle w:val="Addressblock"/>
            </w:pPr>
            <w:smartTag w:uri="urn:schemas-microsoft-com:office:smarttags" w:element="place">
              <w:smartTag w:uri="urn:schemas-microsoft-com:office:smarttags" w:element="City">
                <w:r>
                  <w:t>Wellington</w:t>
                </w:r>
              </w:smartTag>
            </w:smartTag>
            <w:r>
              <w:t xml:space="preserve"> 6140</w:t>
            </w:r>
          </w:p>
        </w:tc>
      </w:tr>
      <w:tr w:rsidR="00B72EC9" w:rsidRPr="004E0B1F" w14:paraId="4EFB7F62" w14:textId="77777777" w:rsidTr="008E7C57">
        <w:trPr>
          <w:trHeight w:val="341"/>
        </w:trPr>
        <w:tc>
          <w:tcPr>
            <w:tcW w:w="3656" w:type="dxa"/>
          </w:tcPr>
          <w:p w14:paraId="5508D5B6" w14:textId="77777777" w:rsidR="00B72EC9" w:rsidRPr="004E0B1F" w:rsidRDefault="00E37E0C" w:rsidP="0063260D">
            <w:pPr>
              <w:pStyle w:val="Addressblock"/>
            </w:pPr>
            <w:smartTag w:uri="urn:schemas-microsoft-com:office:smarttags" w:element="place">
              <w:smartTag w:uri="urn:schemas-microsoft-com:office:smarttags" w:element="country-region">
                <w:r w:rsidRPr="004E0B1F">
                  <w:t>New Zealand</w:t>
                </w:r>
              </w:smartTag>
            </w:smartTag>
          </w:p>
        </w:tc>
      </w:tr>
      <w:tr w:rsidR="00207672" w:rsidRPr="004E0B1F" w14:paraId="7B85FE88" w14:textId="77777777" w:rsidTr="008E7C57">
        <w:tc>
          <w:tcPr>
            <w:tcW w:w="3656" w:type="dxa"/>
          </w:tcPr>
          <w:p w14:paraId="2152AB65" w14:textId="77777777" w:rsidR="00207672" w:rsidRPr="004E0B1F" w:rsidRDefault="00207672" w:rsidP="0063260D">
            <w:pPr>
              <w:pStyle w:val="Addressblock"/>
            </w:pPr>
            <w:r w:rsidRPr="004E0B1F">
              <w:t xml:space="preserve">T. </w:t>
            </w:r>
            <w:r w:rsidR="00671066">
              <w:t>04</w:t>
            </w:r>
            <w:r w:rsidRPr="004E0B1F">
              <w:t>-</w:t>
            </w:r>
            <w:r w:rsidR="00671066">
              <w:t>890</w:t>
            </w:r>
            <w:r w:rsidR="0046162F" w:rsidRPr="004E0B1F">
              <w:t xml:space="preserve"> </w:t>
            </w:r>
            <w:r w:rsidR="00671066">
              <w:t>1500</w:t>
            </w:r>
          </w:p>
        </w:tc>
      </w:tr>
    </w:tbl>
    <w:p w14:paraId="1A0BA6A9" w14:textId="338D292C" w:rsidR="00B72EC9" w:rsidRDefault="00E662E1" w:rsidP="00E049FD">
      <w:pPr>
        <w:spacing w:before="200"/>
      </w:pPr>
      <w:r>
        <w:t>2</w:t>
      </w:r>
      <w:r w:rsidR="00A51C04">
        <w:t xml:space="preserve"> March</w:t>
      </w:r>
      <w:r w:rsidR="005F7E49">
        <w:t xml:space="preserve"> 2021</w:t>
      </w:r>
    </w:p>
    <w:p w14:paraId="0F44F1ED" w14:textId="77777777" w:rsidR="00BA2B39" w:rsidRPr="0063260D" w:rsidRDefault="00183C96" w:rsidP="0063260D">
      <w:pPr>
        <w:pStyle w:val="Title"/>
      </w:pPr>
      <w:r w:rsidRPr="0063260D">
        <w:t>Foreign trust remedials</w:t>
      </w:r>
    </w:p>
    <w:p w14:paraId="4AC0A517" w14:textId="2D16814B" w:rsidR="00D01D7C" w:rsidRDefault="0023687A" w:rsidP="0063260D">
      <w:r>
        <w:t xml:space="preserve">In 2017, </w:t>
      </w:r>
      <w:r w:rsidR="00751C52">
        <w:t>new disclo</w:t>
      </w:r>
      <w:r w:rsidR="00AC72A4">
        <w:t>s</w:t>
      </w:r>
      <w:r w:rsidR="00751C52">
        <w:t xml:space="preserve">ure </w:t>
      </w:r>
      <w:r w:rsidR="003D038E">
        <w:t>requirements</w:t>
      </w:r>
      <w:r w:rsidR="003D038E" w:rsidRPr="7EDF4957">
        <w:t xml:space="preserve"> </w:t>
      </w:r>
      <w:r w:rsidR="00751C52">
        <w:t xml:space="preserve">were </w:t>
      </w:r>
      <w:r w:rsidR="009905A7">
        <w:t xml:space="preserve">enacted </w:t>
      </w:r>
      <w:r w:rsidR="003D038E">
        <w:t>for foreign trusts with New Zealand</w:t>
      </w:r>
      <w:r w:rsidR="005707CA">
        <w:t xml:space="preserve"> </w:t>
      </w:r>
      <w:r w:rsidR="003D038E">
        <w:t>resident trustees</w:t>
      </w:r>
      <w:r w:rsidR="0040304C">
        <w:t xml:space="preserve"> (the 2017 requirements)</w:t>
      </w:r>
      <w:r w:rsidR="00784D14" w:rsidRPr="7EDF4957">
        <w:t xml:space="preserve">. </w:t>
      </w:r>
      <w:r w:rsidR="00E82920">
        <w:t>The Taxation (Business Tax, Exchange of Information, and Remedial Matters) Act 2017</w:t>
      </w:r>
      <w:r w:rsidR="00FC7E7E">
        <w:t xml:space="preserve"> amended the Tax Administration Act 1994 (TAA), implementing</w:t>
      </w:r>
      <w:r w:rsidR="00854D94">
        <w:t xml:space="preserve"> the</w:t>
      </w:r>
      <w:r w:rsidR="00FC7E7E" w:rsidRPr="7EDF4957">
        <w:t xml:space="preserve"> </w:t>
      </w:r>
      <w:r w:rsidR="00854D94">
        <w:t xml:space="preserve">recommendations of </w:t>
      </w:r>
      <w:r w:rsidR="0061007B">
        <w:t xml:space="preserve">the </w:t>
      </w:r>
      <w:r w:rsidR="007A49AB" w:rsidRPr="0063260D">
        <w:rPr>
          <w:rStyle w:val="Emphasis"/>
        </w:rPr>
        <w:t xml:space="preserve">Government </w:t>
      </w:r>
      <w:r w:rsidR="0061007B" w:rsidRPr="0063260D">
        <w:rPr>
          <w:rStyle w:val="Emphasis"/>
        </w:rPr>
        <w:t xml:space="preserve">Inquiry into Foreign Trust Disclosure </w:t>
      </w:r>
      <w:r w:rsidR="005E453A" w:rsidRPr="0063260D">
        <w:rPr>
          <w:rStyle w:val="Emphasis"/>
        </w:rPr>
        <w:t>R</w:t>
      </w:r>
      <w:r w:rsidR="0061007B" w:rsidRPr="0063260D">
        <w:rPr>
          <w:rStyle w:val="Emphasis"/>
        </w:rPr>
        <w:t>ules</w:t>
      </w:r>
      <w:r w:rsidR="007A49AB">
        <w:t xml:space="preserve"> (2016)</w:t>
      </w:r>
      <w:r w:rsidR="0061007B" w:rsidRPr="7EDF4957">
        <w:t>.</w:t>
      </w:r>
    </w:p>
    <w:p w14:paraId="3FD3BC5F" w14:textId="31FB7166" w:rsidR="00183C96" w:rsidRDefault="0040304C" w:rsidP="0063260D">
      <w:r>
        <w:t>Following implementation of the 2017 requirements</w:t>
      </w:r>
      <w:r w:rsidR="004249BF">
        <w:t>, o</w:t>
      </w:r>
      <w:r w:rsidR="00C90706">
        <w:t xml:space="preserve">fficials </w:t>
      </w:r>
      <w:r w:rsidR="00FF464F">
        <w:t xml:space="preserve">have identified a number of </w:t>
      </w:r>
      <w:r w:rsidR="00AA0BFA">
        <w:t>legislative errors or unintended conseq</w:t>
      </w:r>
      <w:r w:rsidR="00D01D7C">
        <w:t>u</w:t>
      </w:r>
      <w:r w:rsidR="00AA0BFA">
        <w:t xml:space="preserve">ences which </w:t>
      </w:r>
      <w:r w:rsidR="00CC3811">
        <w:t>require remedial amendments. This letter sets out the proposed amendments</w:t>
      </w:r>
      <w:r w:rsidR="00B1658C">
        <w:t xml:space="preserve"> </w:t>
      </w:r>
      <w:r w:rsidR="00CC3811">
        <w:t xml:space="preserve">and invites you to </w:t>
      </w:r>
      <w:r w:rsidR="00235B8B">
        <w:t xml:space="preserve">make a submission on the proposed remedials. The closing date for submissions is </w:t>
      </w:r>
      <w:r w:rsidR="00BA4537" w:rsidRPr="0040304C">
        <w:t>23 March 2021</w:t>
      </w:r>
      <w:r w:rsidR="00C86A20" w:rsidRPr="0040304C">
        <w:t>.</w:t>
      </w:r>
    </w:p>
    <w:p w14:paraId="211712EA" w14:textId="3460BC6B" w:rsidR="00B1658C" w:rsidRDefault="00E334BF" w:rsidP="0063260D">
      <w:r>
        <w:t>In summary, t</w:t>
      </w:r>
      <w:r w:rsidR="00AF4183">
        <w:t xml:space="preserve">he </w:t>
      </w:r>
      <w:r w:rsidR="00AC6ADD">
        <w:t xml:space="preserve">remedial issues </w:t>
      </w:r>
      <w:r w:rsidR="00AF4183">
        <w:t>are:</w:t>
      </w:r>
    </w:p>
    <w:p w14:paraId="1AF7540D" w14:textId="039F5C6C" w:rsidR="0052446E" w:rsidRPr="0063260D" w:rsidRDefault="00C16C04" w:rsidP="0063260D">
      <w:pPr>
        <w:pStyle w:val="ListParagraph"/>
      </w:pPr>
      <w:r w:rsidRPr="0063260D">
        <w:t>The definition of “foreign trust” is not aligned with the requirements for the foreign</w:t>
      </w:r>
      <w:r w:rsidR="00D448FD" w:rsidRPr="0063260D">
        <w:t>-</w:t>
      </w:r>
      <w:r w:rsidRPr="0063260D">
        <w:t>sourced income exemption in sections CW 54 and HC 26</w:t>
      </w:r>
      <w:r w:rsidR="002102D8" w:rsidRPr="0063260D">
        <w:t xml:space="preserve"> of the Income Tax Act 2007 (ITA)</w:t>
      </w:r>
      <w:r w:rsidR="005F7E49" w:rsidRPr="0063260D">
        <w:t>.</w:t>
      </w:r>
    </w:p>
    <w:p w14:paraId="549CF520" w14:textId="61826AAF" w:rsidR="00C16C04" w:rsidRDefault="00C47DE6" w:rsidP="0063260D">
      <w:pPr>
        <w:pStyle w:val="ListParagraph"/>
      </w:pPr>
      <w:r>
        <w:t>A p</w:t>
      </w:r>
      <w:r w:rsidR="00C16C04" w:rsidRPr="00C16C04">
        <w:t>ower to deregister trusts does not exist</w:t>
      </w:r>
      <w:r w:rsidR="005F7E49">
        <w:t>.</w:t>
      </w:r>
    </w:p>
    <w:p w14:paraId="3D4D110C" w14:textId="35237A06" w:rsidR="00C16C04" w:rsidRDefault="00C16C04" w:rsidP="0063260D">
      <w:pPr>
        <w:pStyle w:val="ListParagraph"/>
      </w:pPr>
      <w:r w:rsidRPr="00C16C04">
        <w:t>The term “in the business of providing trustee services” is not defined and may be confusing</w:t>
      </w:r>
      <w:r w:rsidR="005F7E49">
        <w:t>.</w:t>
      </w:r>
    </w:p>
    <w:p w14:paraId="2BC48289" w14:textId="1DCF9BBA" w:rsidR="00C16C04" w:rsidRDefault="00710F06" w:rsidP="0063260D">
      <w:pPr>
        <w:pStyle w:val="ListParagraph"/>
      </w:pPr>
      <w:r w:rsidRPr="00710F06">
        <w:t>Certain information may not be required for new settlors of, or beneficiaries with fixed</w:t>
      </w:r>
      <w:r w:rsidR="00E13D0A">
        <w:t xml:space="preserve"> or final</w:t>
      </w:r>
      <w:r w:rsidRPr="00710F06">
        <w:t xml:space="preserve"> interests in, a foreign trust</w:t>
      </w:r>
      <w:r w:rsidR="005F7E49">
        <w:t>.</w:t>
      </w:r>
    </w:p>
    <w:p w14:paraId="073B7F3F" w14:textId="55EA6008" w:rsidR="00C16C04" w:rsidRDefault="00C16C04" w:rsidP="0063260D">
      <w:pPr>
        <w:pStyle w:val="ListParagraph"/>
      </w:pPr>
      <w:r>
        <w:t>There is n</w:t>
      </w:r>
      <w:r w:rsidRPr="00C16C04">
        <w:t>o requirement to update annual return information when it changes</w:t>
      </w:r>
      <w:r w:rsidR="005F7E49">
        <w:t>.</w:t>
      </w:r>
    </w:p>
    <w:p w14:paraId="76852BB8" w14:textId="25ABADA2" w:rsidR="00C16C04" w:rsidRDefault="00C16C04" w:rsidP="0063260D">
      <w:pPr>
        <w:pStyle w:val="ListParagraph"/>
      </w:pPr>
      <w:r w:rsidRPr="00C16C04">
        <w:t>Testamentary trusts do not have trust deed</w:t>
      </w:r>
      <w:r>
        <w:t>s</w:t>
      </w:r>
      <w:r w:rsidRPr="00C16C04">
        <w:t xml:space="preserve"> and cannot qualify for the foreign</w:t>
      </w:r>
      <w:r w:rsidR="00D448FD">
        <w:t>-</w:t>
      </w:r>
      <w:r w:rsidRPr="00C16C04">
        <w:t>sourced income exemption in section CW 54</w:t>
      </w:r>
      <w:r w:rsidR="005F7E49">
        <w:t>.</w:t>
      </w:r>
    </w:p>
    <w:p w14:paraId="0F7EE33C" w14:textId="5F3E349A" w:rsidR="00C16C04" w:rsidRDefault="00C16C04" w:rsidP="0063260D">
      <w:pPr>
        <w:pStyle w:val="ListParagraph"/>
      </w:pPr>
      <w:r w:rsidRPr="00C16C04">
        <w:t>The foreign trust disclosure rules in the TAA are not included in the ITA definition of “trust rules”</w:t>
      </w:r>
      <w:r w:rsidR="005F7E49">
        <w:t>.</w:t>
      </w:r>
    </w:p>
    <w:p w14:paraId="686E5944" w14:textId="4E80E818" w:rsidR="00C16C04" w:rsidRDefault="00C16C04" w:rsidP="0063260D">
      <w:pPr>
        <w:pStyle w:val="ListParagraph"/>
      </w:pPr>
      <w:r w:rsidRPr="00C16C04">
        <w:t>The Commissioner has no discretion to allow the foreign</w:t>
      </w:r>
      <w:r w:rsidR="00D448FD">
        <w:t>-</w:t>
      </w:r>
      <w:r w:rsidRPr="00C16C04">
        <w:t>source</w:t>
      </w:r>
      <w:r w:rsidR="00D448FD">
        <w:t>d income</w:t>
      </w:r>
      <w:r w:rsidRPr="00C16C04">
        <w:t xml:space="preserve"> exemption where the foreign trust was not registered at the relevant time</w:t>
      </w:r>
      <w:r w:rsidR="005F7E49">
        <w:t>.</w:t>
      </w:r>
    </w:p>
    <w:p w14:paraId="1FFC5F6C" w14:textId="47D08E42" w:rsidR="0052446E" w:rsidRDefault="0052446E" w:rsidP="0063260D">
      <w:pPr>
        <w:pStyle w:val="ListParagraph"/>
      </w:pPr>
      <w:r w:rsidRPr="0052446E">
        <w:t>The penalties have not been updated to reflect the 2017 requirements and are not fit for purpose</w:t>
      </w:r>
      <w:r w:rsidR="005F7E49">
        <w:t>.</w:t>
      </w:r>
    </w:p>
    <w:p w14:paraId="3CFB22CE" w14:textId="22F5B156" w:rsidR="00F1421C" w:rsidRDefault="005A2407" w:rsidP="0063260D">
      <w:pPr>
        <w:pStyle w:val="ListParagraph"/>
      </w:pPr>
      <w:r>
        <w:t>References to a minor beneficiary’s age should instead refer to their date of birth</w:t>
      </w:r>
      <w:r w:rsidR="00976CEC">
        <w:t>.</w:t>
      </w:r>
    </w:p>
    <w:p w14:paraId="00235D5A" w14:textId="4401EDDA" w:rsidR="00A14B6B" w:rsidRDefault="00921840" w:rsidP="0063260D">
      <w:pPr>
        <w:pStyle w:val="Heading1"/>
      </w:pPr>
      <w:r>
        <w:t xml:space="preserve">Issue 1: </w:t>
      </w:r>
      <w:r w:rsidR="004972BF">
        <w:t xml:space="preserve">The definition of “foreign trust” is not aligned with the </w:t>
      </w:r>
      <w:r w:rsidR="005643FC">
        <w:t xml:space="preserve">requirements for the </w:t>
      </w:r>
      <w:r w:rsidR="00A12308">
        <w:t>foreign</w:t>
      </w:r>
      <w:r w:rsidR="00D448FD">
        <w:t>-</w:t>
      </w:r>
      <w:r w:rsidR="00A12308">
        <w:t xml:space="preserve">sourced income </w:t>
      </w:r>
      <w:r w:rsidR="00125CD7">
        <w:t xml:space="preserve">exemption </w:t>
      </w:r>
      <w:r w:rsidR="00A12308">
        <w:t>in sections CW 54 and HC 26</w:t>
      </w:r>
    </w:p>
    <w:p w14:paraId="7A57C684" w14:textId="5FDD3BEF" w:rsidR="00DD7C78" w:rsidRDefault="004F104B" w:rsidP="0063260D">
      <w:r>
        <w:t xml:space="preserve">New Zealand taxes trusts </w:t>
      </w:r>
      <w:r w:rsidR="006E6C55">
        <w:t xml:space="preserve">based on </w:t>
      </w:r>
      <w:r>
        <w:t>the settlor’s tax residence</w:t>
      </w:r>
      <w:r w:rsidR="008C43D7">
        <w:t>. Accordingly,</w:t>
      </w:r>
      <w:r>
        <w:t xml:space="preserve"> </w:t>
      </w:r>
      <w:r w:rsidR="008C43D7">
        <w:t>section CW 54</w:t>
      </w:r>
      <w:r w:rsidR="0013118B">
        <w:t xml:space="preserve"> of the ITA</w:t>
      </w:r>
      <w:r w:rsidR="008C43D7">
        <w:t xml:space="preserve"> exempt</w:t>
      </w:r>
      <w:r w:rsidR="00EA7C80">
        <w:t>s</w:t>
      </w:r>
      <w:r>
        <w:t xml:space="preserve"> foreign-sourced amounts derived by resident </w:t>
      </w:r>
      <w:r w:rsidR="008C43D7">
        <w:t xml:space="preserve">trustees </w:t>
      </w:r>
      <w:r w:rsidR="00260DE4">
        <w:t xml:space="preserve">when </w:t>
      </w:r>
      <w:r w:rsidR="008C43D7">
        <w:t xml:space="preserve">the requirements of </w:t>
      </w:r>
      <w:r w:rsidR="00260DE4">
        <w:t xml:space="preserve">section HC 26 are met. </w:t>
      </w:r>
      <w:r w:rsidR="00D03951">
        <w:t>Section HC 26</w:t>
      </w:r>
      <w:r w:rsidR="00C915B9">
        <w:t>(1)(a) requires that</w:t>
      </w:r>
      <w:r w:rsidR="00D03951">
        <w:t>:</w:t>
      </w:r>
    </w:p>
    <w:p w14:paraId="0B6D3303" w14:textId="1F1D548F" w:rsidR="00D03951" w:rsidRDefault="00D03951" w:rsidP="0063260D">
      <w:pPr>
        <w:pStyle w:val="Quote"/>
      </w:pPr>
      <w:r>
        <w:t>no settlor of the trust is at any time in the income year a New Zeal</w:t>
      </w:r>
      <w:r w:rsidR="00C915B9">
        <w:t>a</w:t>
      </w:r>
      <w:r>
        <w:t>nd resident who is not a transitional resident;</w:t>
      </w:r>
      <w:r w:rsidR="00BF52FB">
        <w:t xml:space="preserve"> …</w:t>
      </w:r>
    </w:p>
    <w:p w14:paraId="37709D65" w14:textId="5167C0DC" w:rsidR="00AB50B6" w:rsidRDefault="004F4E41" w:rsidP="0063260D">
      <w:r>
        <w:lastRenderedPageBreak/>
        <w:t xml:space="preserve">When the trust </w:t>
      </w:r>
      <w:r w:rsidR="002D00CB">
        <w:t>is a foreign trust, section</w:t>
      </w:r>
      <w:r w:rsidR="00DD7C78">
        <w:t xml:space="preserve"> </w:t>
      </w:r>
      <w:r w:rsidR="00260DE4">
        <w:t xml:space="preserve">HC </w:t>
      </w:r>
      <w:r w:rsidR="00DD7C78">
        <w:t xml:space="preserve">26 </w:t>
      </w:r>
      <w:r w:rsidR="00BF52FB">
        <w:t xml:space="preserve">also </w:t>
      </w:r>
      <w:r w:rsidR="00260DE4">
        <w:t>require</w:t>
      </w:r>
      <w:r w:rsidR="00CE1D3F">
        <w:t>s</w:t>
      </w:r>
      <w:r w:rsidR="002D00CB">
        <w:t xml:space="preserve"> </w:t>
      </w:r>
      <w:r w:rsidR="00192942">
        <w:t xml:space="preserve">the trust </w:t>
      </w:r>
      <w:r w:rsidR="0017391E">
        <w:t xml:space="preserve">to </w:t>
      </w:r>
      <w:r w:rsidR="006F2226">
        <w:t xml:space="preserve">meet certain requirements: the trust must </w:t>
      </w:r>
      <w:r w:rsidR="0070120C">
        <w:t>have a trust deed</w:t>
      </w:r>
      <w:r w:rsidR="006F2226">
        <w:t xml:space="preserve">, </w:t>
      </w:r>
      <w:r w:rsidR="00643BAA">
        <w:t>be registered</w:t>
      </w:r>
      <w:r w:rsidR="007402D4">
        <w:t>,</w:t>
      </w:r>
      <w:r w:rsidR="0070120C">
        <w:t xml:space="preserve"> and the trustee</w:t>
      </w:r>
      <w:r w:rsidR="00643BAA">
        <w:t xml:space="preserve"> </w:t>
      </w:r>
      <w:r w:rsidR="006F2226">
        <w:t xml:space="preserve">must </w:t>
      </w:r>
      <w:r w:rsidR="00681B5B">
        <w:t xml:space="preserve">comply with the </w:t>
      </w:r>
      <w:r w:rsidR="005935FB">
        <w:t xml:space="preserve">foreign trust disclosure </w:t>
      </w:r>
      <w:r w:rsidR="00681B5B">
        <w:t xml:space="preserve">requirements </w:t>
      </w:r>
      <w:r w:rsidR="005935FB">
        <w:t xml:space="preserve">in </w:t>
      </w:r>
      <w:r w:rsidR="00681B5B">
        <w:t xml:space="preserve">the </w:t>
      </w:r>
      <w:r w:rsidR="00373415">
        <w:t>TAA</w:t>
      </w:r>
      <w:r w:rsidR="005935FB">
        <w:t>.</w:t>
      </w:r>
    </w:p>
    <w:p w14:paraId="06AC9E09" w14:textId="45511E3C" w:rsidR="005935FB" w:rsidRPr="00AB50B6" w:rsidRDefault="005935FB" w:rsidP="0063260D">
      <w:r w:rsidRPr="00D510D0">
        <w:t xml:space="preserve">However, </w:t>
      </w:r>
      <w:r w:rsidR="0044215E">
        <w:t xml:space="preserve">a trust </w:t>
      </w:r>
      <w:r w:rsidR="00324E6C">
        <w:t xml:space="preserve">can </w:t>
      </w:r>
      <w:r w:rsidR="0044215E">
        <w:t>qualify for the foreign</w:t>
      </w:r>
      <w:r w:rsidR="00D448FD">
        <w:t>-</w:t>
      </w:r>
      <w:r w:rsidR="0044215E">
        <w:t>source</w:t>
      </w:r>
      <w:r w:rsidR="00D448FD">
        <w:t>d</w:t>
      </w:r>
      <w:r w:rsidR="0044215E">
        <w:t xml:space="preserve"> income exemption without being a “foreign trust”. </w:t>
      </w:r>
      <w:r w:rsidR="002052AE">
        <w:t xml:space="preserve">A </w:t>
      </w:r>
      <w:r w:rsidR="004223BF" w:rsidRPr="00D510D0">
        <w:t>“</w:t>
      </w:r>
      <w:r w:rsidR="004223BF" w:rsidRPr="00AB50B6">
        <w:t>foreign</w:t>
      </w:r>
      <w:r w:rsidR="004223BF" w:rsidRPr="00D510D0">
        <w:t xml:space="preserve"> trust” </w:t>
      </w:r>
      <w:r w:rsidR="0013118B" w:rsidRPr="00D510D0">
        <w:t xml:space="preserve">is defined </w:t>
      </w:r>
      <w:r w:rsidR="00EA728E" w:rsidRPr="00D510D0">
        <w:t>in section HC 11:</w:t>
      </w:r>
    </w:p>
    <w:p w14:paraId="3F198209" w14:textId="2541456E" w:rsidR="007D68B3" w:rsidRPr="0063260D" w:rsidRDefault="007D68B3" w:rsidP="0063260D">
      <w:pPr>
        <w:pStyle w:val="Quote"/>
      </w:pPr>
      <w:r w:rsidRPr="0063260D">
        <w:rPr>
          <w:rStyle w:val="Strong"/>
        </w:rPr>
        <w:t>HC 11</w:t>
      </w:r>
      <w:r w:rsidR="00116738" w:rsidRPr="0063260D">
        <w:rPr>
          <w:rStyle w:val="Strong"/>
        </w:rPr>
        <w:tab/>
      </w:r>
      <w:r w:rsidRPr="0063260D">
        <w:rPr>
          <w:rStyle w:val="Strong"/>
        </w:rPr>
        <w:t>Foreign trusts</w:t>
      </w:r>
    </w:p>
    <w:p w14:paraId="0D1EBF40" w14:textId="490EE193" w:rsidR="00116738" w:rsidRPr="0063260D" w:rsidRDefault="007D68B3" w:rsidP="0063260D">
      <w:pPr>
        <w:pStyle w:val="Quote"/>
      </w:pPr>
      <w:r w:rsidRPr="0063260D">
        <w:t>A trust is a </w:t>
      </w:r>
      <w:r w:rsidRPr="0063260D">
        <w:rPr>
          <w:rStyle w:val="Strong"/>
        </w:rPr>
        <w:t>foreign trust</w:t>
      </w:r>
      <w:r w:rsidRPr="0063260D">
        <w:t> at a moment in time if no settlor is resident in New Zealand at</w:t>
      </w:r>
      <w:r w:rsidR="00D510D0" w:rsidRPr="0063260D">
        <w:t xml:space="preserve"> </w:t>
      </w:r>
      <w:r w:rsidRPr="0063260D">
        <w:t>any time in the period that—</w:t>
      </w:r>
    </w:p>
    <w:p w14:paraId="4CC11DAF" w14:textId="5A24B704" w:rsidR="00116738" w:rsidRPr="0063260D" w:rsidRDefault="007D68B3" w:rsidP="0063260D">
      <w:pPr>
        <w:pStyle w:val="Quote-indentedlist"/>
      </w:pPr>
      <w:r w:rsidRPr="0063260D">
        <w:t>(a)</w:t>
      </w:r>
      <w:r w:rsidR="00116738" w:rsidRPr="0063260D">
        <w:tab/>
      </w:r>
      <w:r w:rsidRPr="0063260D">
        <w:t>starts on the later of 17 December 1987 and the date on which a settlement was</w:t>
      </w:r>
      <w:r w:rsidR="00D510D0" w:rsidRPr="0063260D">
        <w:t xml:space="preserve"> </w:t>
      </w:r>
      <w:r w:rsidRPr="0063260D">
        <w:t>first made on the trust; and</w:t>
      </w:r>
    </w:p>
    <w:p w14:paraId="2AE6B6D6" w14:textId="5E23AE9F" w:rsidR="007D68B3" w:rsidRPr="0063260D" w:rsidRDefault="007D68B3" w:rsidP="0063260D">
      <w:pPr>
        <w:pStyle w:val="Quote-indentedlist"/>
      </w:pPr>
      <w:r w:rsidRPr="0063260D">
        <w:t>(b)</w:t>
      </w:r>
      <w:r w:rsidR="00116738" w:rsidRPr="0063260D">
        <w:tab/>
      </w:r>
      <w:r w:rsidRPr="0063260D">
        <w:t>ends with the moment in time.</w:t>
      </w:r>
    </w:p>
    <w:p w14:paraId="40493228" w14:textId="19EF044F" w:rsidR="00583E87" w:rsidRDefault="00324E6C" w:rsidP="0063260D">
      <w:r>
        <w:t xml:space="preserve">The </w:t>
      </w:r>
      <w:r w:rsidR="00233E2C">
        <w:t xml:space="preserve">non-resident </w:t>
      </w:r>
      <w:r w:rsidR="00004166">
        <w:t xml:space="preserve">settlor </w:t>
      </w:r>
      <w:r>
        <w:t>requirement</w:t>
      </w:r>
      <w:r w:rsidR="00F13F1E">
        <w:t>s</w:t>
      </w:r>
      <w:r>
        <w:t xml:space="preserve"> </w:t>
      </w:r>
      <w:r w:rsidR="00C947C8">
        <w:t>in</w:t>
      </w:r>
      <w:r>
        <w:t xml:space="preserve"> section HC 11 </w:t>
      </w:r>
      <w:r w:rsidR="00F13F1E">
        <w:t xml:space="preserve">and section HC 26(1)(a) are </w:t>
      </w:r>
      <w:r w:rsidR="00004166">
        <w:t>not completely align</w:t>
      </w:r>
      <w:r w:rsidR="00F13F1E">
        <w:t>ed</w:t>
      </w:r>
      <w:r w:rsidR="008F5AA9">
        <w:t xml:space="preserve">. </w:t>
      </w:r>
      <w:r w:rsidR="00172409">
        <w:t xml:space="preserve">The requirement in </w:t>
      </w:r>
      <w:r w:rsidR="008F5AA9">
        <w:t xml:space="preserve">section HC 11 </w:t>
      </w:r>
      <w:r w:rsidR="00172409">
        <w:t>looks at the entire lifetime of the trust (</w:t>
      </w:r>
      <w:r w:rsidR="004666D9">
        <w:t xml:space="preserve">for trusts settled after 17 December 1987), whereas </w:t>
      </w:r>
      <w:r w:rsidR="000A02F9">
        <w:t>the requirement in section HC 26(1)(a) only looks at the income year in which the relevant foreign-sourced amount is derived.</w:t>
      </w:r>
    </w:p>
    <w:p w14:paraId="143DBA69" w14:textId="01851422" w:rsidR="00120955" w:rsidRDefault="005F2BCA" w:rsidP="0063260D">
      <w:r>
        <w:t xml:space="preserve">As such, a trust that does not have a settlor resident </w:t>
      </w:r>
      <w:r w:rsidR="00583E87">
        <w:t xml:space="preserve">in New Zealand </w:t>
      </w:r>
      <w:r w:rsidR="00AC7236">
        <w:t xml:space="preserve">at </w:t>
      </w:r>
      <w:r>
        <w:t xml:space="preserve">any point in </w:t>
      </w:r>
      <w:r w:rsidR="00F228D1">
        <w:t xml:space="preserve">the </w:t>
      </w:r>
      <w:r>
        <w:t xml:space="preserve">current </w:t>
      </w:r>
      <w:r w:rsidR="00F228D1">
        <w:t>income year</w:t>
      </w:r>
      <w:r w:rsidR="00583E87">
        <w:t xml:space="preserve"> could </w:t>
      </w:r>
      <w:r w:rsidR="002053BE">
        <w:t xml:space="preserve">use the foreign-sourced income exemption without technically being a “foreign trust” </w:t>
      </w:r>
      <w:r w:rsidR="00754A0D">
        <w:t xml:space="preserve">subject to the </w:t>
      </w:r>
      <w:r w:rsidR="009C5CB4">
        <w:t xml:space="preserve">registration and disclosure requirements </w:t>
      </w:r>
      <w:r w:rsidR="00473544">
        <w:t>in the TAA</w:t>
      </w:r>
      <w:r w:rsidR="0030703E">
        <w:t>.</w:t>
      </w:r>
    </w:p>
    <w:p w14:paraId="7A1B0505" w14:textId="69621020" w:rsidR="00956005" w:rsidRPr="0063260D" w:rsidRDefault="004A6A1B" w:rsidP="0063260D">
      <w:pPr>
        <w:pStyle w:val="Quote"/>
        <w:rPr>
          <w:rStyle w:val="Strong"/>
        </w:rPr>
      </w:pPr>
      <w:r w:rsidRPr="0063260D">
        <w:rPr>
          <w:rStyle w:val="Strong"/>
        </w:rPr>
        <w:t>Example</w:t>
      </w:r>
      <w:r w:rsidR="00851546" w:rsidRPr="0063260D">
        <w:rPr>
          <w:rStyle w:val="Strong"/>
        </w:rPr>
        <w:t xml:space="preserve"> 1</w:t>
      </w:r>
      <w:r w:rsidR="00146762" w:rsidRPr="0063260D">
        <w:rPr>
          <w:rStyle w:val="Strong"/>
        </w:rPr>
        <w:t>: settlor migrates from New Zealand</w:t>
      </w:r>
    </w:p>
    <w:p w14:paraId="5E4BF2AD" w14:textId="7211892B" w:rsidR="004A6A1B" w:rsidRDefault="00D12169" w:rsidP="0063260D">
      <w:pPr>
        <w:pStyle w:val="Quote"/>
      </w:pPr>
      <w:r>
        <w:t xml:space="preserve">Maia </w:t>
      </w:r>
      <w:r w:rsidR="003C0227">
        <w:t xml:space="preserve">is resident in </w:t>
      </w:r>
      <w:r w:rsidR="00C354C1">
        <w:t>New Zealand</w:t>
      </w:r>
      <w:r w:rsidR="003C0227">
        <w:t xml:space="preserve">. In </w:t>
      </w:r>
      <w:r w:rsidR="00D12A2C">
        <w:t xml:space="preserve">the </w:t>
      </w:r>
      <w:r w:rsidR="003C0227">
        <w:t>2013</w:t>
      </w:r>
      <w:r w:rsidR="00D12A2C">
        <w:t xml:space="preserve"> income year</w:t>
      </w:r>
      <w:r w:rsidR="003C0227">
        <w:t xml:space="preserve">, </w:t>
      </w:r>
      <w:r>
        <w:t>s</w:t>
      </w:r>
      <w:r w:rsidR="003C0227">
        <w:t xml:space="preserve">he </w:t>
      </w:r>
      <w:r w:rsidR="0087120A">
        <w:t>settle</w:t>
      </w:r>
      <w:r w:rsidR="0044409D">
        <w:t xml:space="preserve">d </w:t>
      </w:r>
      <w:r w:rsidR="00D267E1">
        <w:t>a f</w:t>
      </w:r>
      <w:r w:rsidR="003C0227">
        <w:t xml:space="preserve">amily </w:t>
      </w:r>
      <w:r w:rsidR="00D267E1">
        <w:t>t</w:t>
      </w:r>
      <w:r w:rsidR="003C0227">
        <w:t>rust</w:t>
      </w:r>
      <w:r w:rsidR="00B6568E">
        <w:t xml:space="preserve"> </w:t>
      </w:r>
      <w:r w:rsidR="00D267E1">
        <w:t xml:space="preserve">(the Trust) </w:t>
      </w:r>
      <w:r w:rsidR="003C0227">
        <w:t xml:space="preserve">with </w:t>
      </w:r>
      <w:r w:rsidR="00C354C1">
        <w:t xml:space="preserve">a </w:t>
      </w:r>
      <w:r w:rsidR="00E009A8">
        <w:t xml:space="preserve">New Zealand </w:t>
      </w:r>
      <w:r w:rsidR="003C0227">
        <w:t xml:space="preserve">trustee. The </w:t>
      </w:r>
      <w:r w:rsidR="0044409D">
        <w:t xml:space="preserve">Trust holds a variety of </w:t>
      </w:r>
      <w:r w:rsidR="00FD0151">
        <w:t>foreign investments</w:t>
      </w:r>
      <w:r w:rsidR="00C61DBA">
        <w:t xml:space="preserve">. </w:t>
      </w:r>
      <w:r w:rsidR="003238C0">
        <w:t xml:space="preserve">The </w:t>
      </w:r>
      <w:r w:rsidR="002E76ED">
        <w:t xml:space="preserve">Trust is a complying trust as it has always met its </w:t>
      </w:r>
      <w:r w:rsidR="00FD0151">
        <w:t xml:space="preserve">tax </w:t>
      </w:r>
      <w:r w:rsidR="002E76ED">
        <w:t>obligations</w:t>
      </w:r>
      <w:r w:rsidR="00FD0151">
        <w:t xml:space="preserve"> in New Zealand</w:t>
      </w:r>
      <w:r w:rsidR="00595A47">
        <w:t>.</w:t>
      </w:r>
    </w:p>
    <w:p w14:paraId="050A8FB2" w14:textId="0C1A37EB" w:rsidR="005F7E49" w:rsidRDefault="00D267E1" w:rsidP="0063260D">
      <w:pPr>
        <w:pStyle w:val="Quote"/>
      </w:pPr>
      <w:r>
        <w:t xml:space="preserve">Maia </w:t>
      </w:r>
      <w:r w:rsidR="003238C0">
        <w:t xml:space="preserve">moves </w:t>
      </w:r>
      <w:r w:rsidR="002E1CA7">
        <w:t xml:space="preserve">overseas </w:t>
      </w:r>
      <w:r w:rsidR="009045A5">
        <w:t xml:space="preserve">and </w:t>
      </w:r>
      <w:r w:rsidR="002E76ED">
        <w:t xml:space="preserve">ceases to be </w:t>
      </w:r>
      <w:r w:rsidR="009045A5">
        <w:t>resident</w:t>
      </w:r>
      <w:r w:rsidR="002E76ED">
        <w:t xml:space="preserve"> in New Zealand</w:t>
      </w:r>
      <w:r w:rsidR="00242AE8">
        <w:t xml:space="preserve"> in the 2018 income year</w:t>
      </w:r>
      <w:r w:rsidR="003238C0">
        <w:t xml:space="preserve">. </w:t>
      </w:r>
      <w:r w:rsidR="00595A47">
        <w:t xml:space="preserve">In </w:t>
      </w:r>
      <w:r w:rsidR="00A57648">
        <w:t xml:space="preserve">the </w:t>
      </w:r>
      <w:r w:rsidR="00595A47">
        <w:t>201</w:t>
      </w:r>
      <w:r w:rsidR="00BE018D">
        <w:t>9</w:t>
      </w:r>
      <w:r w:rsidR="00A57648">
        <w:t xml:space="preserve"> income year</w:t>
      </w:r>
      <w:r w:rsidR="00595A47">
        <w:t>, the Trust</w:t>
      </w:r>
      <w:r w:rsidR="00BE018D">
        <w:t xml:space="preserve"> derives foreign-sourced income.</w:t>
      </w:r>
    </w:p>
    <w:p w14:paraId="5A433E53" w14:textId="35732C6E" w:rsidR="00146762" w:rsidRDefault="00F447C7" w:rsidP="0063260D">
      <w:pPr>
        <w:pStyle w:val="Quote"/>
      </w:pPr>
      <w:r>
        <w:t>When the Trust’s 2019 tax return is filed, t</w:t>
      </w:r>
      <w:r w:rsidR="00F74B22">
        <w:t xml:space="preserve">he foreign-sourced income derived </w:t>
      </w:r>
      <w:r>
        <w:t xml:space="preserve">in that year </w:t>
      </w:r>
      <w:r w:rsidR="00534496">
        <w:t>could qualify for the exemption in section</w:t>
      </w:r>
      <w:r w:rsidR="001A033D">
        <w:t>s</w:t>
      </w:r>
      <w:r w:rsidR="00534496">
        <w:t xml:space="preserve"> CW 54</w:t>
      </w:r>
      <w:r w:rsidR="001A033D">
        <w:t xml:space="preserve"> and HC 26</w:t>
      </w:r>
      <w:r w:rsidR="00D12A2C">
        <w:t xml:space="preserve"> of the ITA</w:t>
      </w:r>
      <w:r w:rsidR="00534496">
        <w:t xml:space="preserve">, </w:t>
      </w:r>
      <w:r w:rsidR="00D853CE">
        <w:t xml:space="preserve">as </w:t>
      </w:r>
      <w:r w:rsidR="00D853CE" w:rsidRPr="00D853CE">
        <w:t xml:space="preserve">no settlor of the trust </w:t>
      </w:r>
      <w:r w:rsidR="00D853CE">
        <w:t>was</w:t>
      </w:r>
      <w:r w:rsidR="00D853CE" w:rsidRPr="00D853CE">
        <w:t xml:space="preserve"> at any time in the income year a New Zealand resident</w:t>
      </w:r>
      <w:r w:rsidR="00D853CE">
        <w:t xml:space="preserve">. However, it would not </w:t>
      </w:r>
      <w:r w:rsidR="00FC7C12">
        <w:t xml:space="preserve">technically </w:t>
      </w:r>
      <w:r w:rsidR="00D853CE">
        <w:t>be required (or able</w:t>
      </w:r>
      <w:r w:rsidR="001A033D">
        <w:t xml:space="preserve">) </w:t>
      </w:r>
      <w:r w:rsidR="00D853CE">
        <w:t xml:space="preserve">to register as </w:t>
      </w:r>
      <w:r w:rsidR="00141E20">
        <w:t xml:space="preserve">a “foreign trust”, as it </w:t>
      </w:r>
      <w:r w:rsidR="00614B44">
        <w:t xml:space="preserve">had </w:t>
      </w:r>
      <w:r w:rsidR="00141E20">
        <w:t xml:space="preserve">a New Zealand resident </w:t>
      </w:r>
      <w:r w:rsidR="001A033D">
        <w:t xml:space="preserve">settlor between </w:t>
      </w:r>
      <w:r w:rsidR="00D12A2C">
        <w:t xml:space="preserve">the </w:t>
      </w:r>
      <w:r w:rsidR="00F25C9C">
        <w:t>2013 </w:t>
      </w:r>
      <w:r w:rsidR="001A033D">
        <w:t>and 2018</w:t>
      </w:r>
      <w:r w:rsidR="00D12A2C">
        <w:t xml:space="preserve"> income years</w:t>
      </w:r>
      <w:r w:rsidR="001A033D">
        <w:t>.</w:t>
      </w:r>
    </w:p>
    <w:p w14:paraId="345FE5CD" w14:textId="229CC4C7" w:rsidR="00112C6C" w:rsidRDefault="00112C6C" w:rsidP="0063260D">
      <w:r>
        <w:t xml:space="preserve">The same issue arises </w:t>
      </w:r>
      <w:r w:rsidR="006C080F">
        <w:t>for settlors who are transitional residents</w:t>
      </w:r>
      <w:r w:rsidR="00A86DB4">
        <w:t xml:space="preserve">. As transitional residents are still tax resident in New Zealand, a trust with a transitional resident settlor could not be a “foreign trust” under section HC 11. However, such a trust could still use the </w:t>
      </w:r>
      <w:r w:rsidR="001B28A8">
        <w:t xml:space="preserve">foreign-sourced exemption </w:t>
      </w:r>
      <w:r w:rsidR="00FE0B63">
        <w:t xml:space="preserve">in section HC 26(1)(a) as that section carves out </w:t>
      </w:r>
      <w:r w:rsidR="001B28A8">
        <w:t>transitional resident</w:t>
      </w:r>
      <w:r w:rsidR="00FE0B63">
        <w:t xml:space="preserve"> settlors</w:t>
      </w:r>
      <w:r w:rsidR="00663229">
        <w:t xml:space="preserve"> from its non-resident settlor requirement.</w:t>
      </w:r>
    </w:p>
    <w:p w14:paraId="2AE7CCD1" w14:textId="1E7C44EA" w:rsidR="00112C6C" w:rsidRPr="00B6568E" w:rsidRDefault="00112C6C" w:rsidP="0063260D">
      <w:pPr>
        <w:pStyle w:val="Quote"/>
      </w:pPr>
      <w:r w:rsidRPr="0063260D">
        <w:rPr>
          <w:rStyle w:val="Strong"/>
        </w:rPr>
        <w:t>Example 2: settlor migrates to New Zealand</w:t>
      </w:r>
    </w:p>
    <w:p w14:paraId="19A93C14" w14:textId="206C8D64" w:rsidR="00112C6C" w:rsidRDefault="00112C6C" w:rsidP="0063260D">
      <w:pPr>
        <w:pStyle w:val="Quote"/>
      </w:pPr>
      <w:r>
        <w:t xml:space="preserve">Pierre is resident in </w:t>
      </w:r>
      <w:r w:rsidR="000F5C32">
        <w:t>the U</w:t>
      </w:r>
      <w:r w:rsidR="00C90056">
        <w:t>nited Kingdom</w:t>
      </w:r>
      <w:r>
        <w:t xml:space="preserve">. In 2001, he settled a family trust (the Trust) with a </w:t>
      </w:r>
      <w:r w:rsidR="00C90056">
        <w:t xml:space="preserve">UK </w:t>
      </w:r>
      <w:r>
        <w:t>trustee. The Trust holds a variety of European investments.</w:t>
      </w:r>
    </w:p>
    <w:p w14:paraId="220D12D3" w14:textId="70841480" w:rsidR="00112C6C" w:rsidRDefault="00112C6C" w:rsidP="0063260D">
      <w:pPr>
        <w:pStyle w:val="Quote"/>
      </w:pPr>
      <w:r>
        <w:t>In the 201</w:t>
      </w:r>
      <w:r w:rsidR="00D12A2C">
        <w:t>9</w:t>
      </w:r>
      <w:r>
        <w:t xml:space="preserve"> income year, Pierre moves to New Zealand and replaces the Trust’s </w:t>
      </w:r>
      <w:r w:rsidR="00C90056">
        <w:t xml:space="preserve">UK </w:t>
      </w:r>
      <w:r>
        <w:t>trustee with a New Zealand trustee. Pierre becomes resident in New Zealand on 1 June 2018 but is a transitional resident for the period from 1 June 2018 to 30 June 2022.</w:t>
      </w:r>
    </w:p>
    <w:p w14:paraId="5FE48426" w14:textId="3401BC46" w:rsidR="00112C6C" w:rsidRDefault="00112C6C" w:rsidP="0063260D">
      <w:pPr>
        <w:pStyle w:val="Quote"/>
      </w:pPr>
      <w:r>
        <w:t>When the Trust’s 201</w:t>
      </w:r>
      <w:r w:rsidR="00D12A2C">
        <w:t>9</w:t>
      </w:r>
      <w:r>
        <w:t xml:space="preserve"> tax return is filed, any foreign-sourced income derived in that year could qualify for the exemption in sections CW 54 and HC 26, as </w:t>
      </w:r>
      <w:r w:rsidR="00BD1436">
        <w:t xml:space="preserve">Pierre, </w:t>
      </w:r>
      <w:r>
        <w:t>the only settlor of the trust, is a transitional resident. However, the trust would not technically be a “foreign trust”, as it has a New Zealand resident settlor.</w:t>
      </w:r>
    </w:p>
    <w:p w14:paraId="13C6255E" w14:textId="4455248E" w:rsidR="00C9724B" w:rsidRDefault="00685C65" w:rsidP="0063260D">
      <w:r>
        <w:t>Th</w:t>
      </w:r>
      <w:r w:rsidR="006C080F">
        <w:t>ese</w:t>
      </w:r>
      <w:r>
        <w:t xml:space="preserve"> </w:t>
      </w:r>
      <w:r w:rsidR="00614B44">
        <w:t>outcome</w:t>
      </w:r>
      <w:r w:rsidR="006C080F">
        <w:t>s</w:t>
      </w:r>
      <w:r w:rsidR="00614B44">
        <w:t xml:space="preserve"> </w:t>
      </w:r>
      <w:r w:rsidR="006C080F">
        <w:t xml:space="preserve">are </w:t>
      </w:r>
      <w:r>
        <w:t>inconsistent with the original policy intent</w:t>
      </w:r>
      <w:r w:rsidR="006A478C">
        <w:t xml:space="preserve"> of the disclosure requirements</w:t>
      </w:r>
      <w:r w:rsidR="005466F8">
        <w:t xml:space="preserve">. The intent was </w:t>
      </w:r>
      <w:r w:rsidR="007B575E">
        <w:t xml:space="preserve">that only registered trusts that have met the disclosure requirements </w:t>
      </w:r>
      <w:r w:rsidR="00E608F4">
        <w:t xml:space="preserve">would be able to use the </w:t>
      </w:r>
      <w:r>
        <w:t>foreign</w:t>
      </w:r>
      <w:r w:rsidR="00D448FD">
        <w:t>-</w:t>
      </w:r>
      <w:r>
        <w:t>sourced income exemption</w:t>
      </w:r>
      <w:r w:rsidR="00A00C35">
        <w:t xml:space="preserve">. </w:t>
      </w:r>
      <w:r w:rsidR="00211EBA">
        <w:t xml:space="preserve">The issue stems from </w:t>
      </w:r>
      <w:r w:rsidR="00AC2AD9">
        <w:t>the</w:t>
      </w:r>
      <w:r w:rsidR="00211EBA">
        <w:t xml:space="preserve"> </w:t>
      </w:r>
      <w:r w:rsidR="00C9724B">
        <w:t>fact that the ITA</w:t>
      </w:r>
      <w:r w:rsidR="00A44BB6">
        <w:t xml:space="preserve"> </w:t>
      </w:r>
      <w:r w:rsidR="007136DF">
        <w:t xml:space="preserve">assesses eligibility for the </w:t>
      </w:r>
      <w:r w:rsidR="000A042F">
        <w:t>foreign</w:t>
      </w:r>
      <w:r w:rsidR="00D448FD">
        <w:t>-</w:t>
      </w:r>
      <w:r w:rsidR="000A042F">
        <w:t xml:space="preserve">sourced income </w:t>
      </w:r>
      <w:r w:rsidR="00920533">
        <w:t xml:space="preserve">exemption </w:t>
      </w:r>
      <w:r w:rsidR="007136DF">
        <w:t>on a yearly basis</w:t>
      </w:r>
      <w:r w:rsidR="0006533D">
        <w:t xml:space="preserve">, whereas the </w:t>
      </w:r>
      <w:r w:rsidR="00D1765B">
        <w:t xml:space="preserve">TAA’s registration and disclosure regime does not </w:t>
      </w:r>
      <w:r w:rsidR="007136DF">
        <w:t xml:space="preserve">contemplate </w:t>
      </w:r>
      <w:r w:rsidR="00D1765B">
        <w:t xml:space="preserve">trusts </w:t>
      </w:r>
      <w:r w:rsidR="00521C12">
        <w:t xml:space="preserve">changing in classification between complying, non-complying and </w:t>
      </w:r>
      <w:r w:rsidR="0017531E">
        <w:t>foreign trust</w:t>
      </w:r>
      <w:r w:rsidR="00521C12">
        <w:t>s</w:t>
      </w:r>
      <w:r w:rsidR="0017531E">
        <w:t>.</w:t>
      </w:r>
    </w:p>
    <w:p w14:paraId="2D5F2C24" w14:textId="6A79D8FE" w:rsidR="00425777" w:rsidRDefault="00260EA3" w:rsidP="0063260D">
      <w:pPr>
        <w:pStyle w:val="Heading2"/>
      </w:pPr>
      <w:r>
        <w:t>Propose</w:t>
      </w:r>
      <w:r w:rsidR="00425777">
        <w:t xml:space="preserve">d </w:t>
      </w:r>
      <w:r w:rsidR="00AC72A4">
        <w:t>change</w:t>
      </w:r>
    </w:p>
    <w:p w14:paraId="7FE82AB9" w14:textId="378323CD" w:rsidR="001B3F41" w:rsidRDefault="00AC72A4" w:rsidP="0063260D">
      <w:r>
        <w:t xml:space="preserve">Our preferred </w:t>
      </w:r>
      <w:r w:rsidR="003D16E7">
        <w:t>remedial change is to</w:t>
      </w:r>
      <w:r w:rsidR="001B3F41">
        <w:t>:</w:t>
      </w:r>
    </w:p>
    <w:p w14:paraId="40208EF8" w14:textId="75627AF5" w:rsidR="001B3F41" w:rsidRPr="0063260D" w:rsidRDefault="00181D59" w:rsidP="0063260D">
      <w:pPr>
        <w:pStyle w:val="ListBullet"/>
      </w:pPr>
      <w:r>
        <w:t>R</w:t>
      </w:r>
      <w:r w:rsidR="003D16E7" w:rsidRPr="0063260D">
        <w:t xml:space="preserve">evert to the previous definition of “foreign trust” in section HC 11 </w:t>
      </w:r>
      <w:r w:rsidR="009813A5" w:rsidRPr="0063260D">
        <w:t xml:space="preserve">of the ITA </w:t>
      </w:r>
      <w:r w:rsidR="00810950" w:rsidRPr="0063260D">
        <w:t xml:space="preserve">under which a </w:t>
      </w:r>
      <w:r w:rsidR="00756732" w:rsidRPr="0063260D">
        <w:t xml:space="preserve">trust can be a </w:t>
      </w:r>
      <w:r w:rsidR="003D16E7" w:rsidRPr="0063260D">
        <w:t xml:space="preserve">foreign trust </w:t>
      </w:r>
      <w:r w:rsidR="00810950" w:rsidRPr="0063260D">
        <w:t>in relation to a particular distribution</w:t>
      </w:r>
      <w:r>
        <w:t>.</w:t>
      </w:r>
    </w:p>
    <w:p w14:paraId="40C39F4D" w14:textId="5E13F43A" w:rsidR="00694FCB" w:rsidRDefault="00181D59" w:rsidP="0063260D">
      <w:pPr>
        <w:pStyle w:val="ListBullet"/>
      </w:pPr>
      <w:r>
        <w:t>E</w:t>
      </w:r>
      <w:r w:rsidRPr="0063260D">
        <w:t xml:space="preserve">nact </w:t>
      </w:r>
      <w:r w:rsidR="001B3F41" w:rsidRPr="0063260D">
        <w:t>a</w:t>
      </w:r>
      <w:r w:rsidR="00756732" w:rsidRPr="0063260D">
        <w:t xml:space="preserve"> new </w:t>
      </w:r>
      <w:r w:rsidR="000F236D" w:rsidRPr="0063260D">
        <w:t xml:space="preserve">defined term </w:t>
      </w:r>
      <w:r w:rsidR="00861D94" w:rsidRPr="0063260D">
        <w:t xml:space="preserve">“foreign disclosing trust” </w:t>
      </w:r>
      <w:r w:rsidR="001B3F41" w:rsidRPr="0063260D">
        <w:t xml:space="preserve">for the purposes of </w:t>
      </w:r>
      <w:r w:rsidR="00464006" w:rsidRPr="0063260D">
        <w:t xml:space="preserve">sections </w:t>
      </w:r>
      <w:r w:rsidR="0024459D" w:rsidRPr="0063260D">
        <w:t xml:space="preserve">HC 26(1)(c) and (d) </w:t>
      </w:r>
      <w:r w:rsidR="00C05725" w:rsidRPr="0063260D">
        <w:t>and the disclosure regime in the TAA</w:t>
      </w:r>
      <w:r w:rsidR="0024459D" w:rsidRPr="0063260D">
        <w:t>.</w:t>
      </w:r>
      <w:r w:rsidR="008E3581" w:rsidRPr="0063260D">
        <w:t xml:space="preserve"> The new definition </w:t>
      </w:r>
      <w:r w:rsidR="002F7274" w:rsidRPr="0063260D">
        <w:t>would</w:t>
      </w:r>
      <w:r w:rsidR="003D3ACD" w:rsidRPr="0063260D">
        <w:t xml:space="preserve"> set out which trusts </w:t>
      </w:r>
      <w:r w:rsidR="00146CC6" w:rsidRPr="0063260D">
        <w:t xml:space="preserve">must </w:t>
      </w:r>
      <w:r w:rsidR="00DA6334" w:rsidRPr="0063260D">
        <w:t>comply with the TA</w:t>
      </w:r>
      <w:r w:rsidR="00836B08" w:rsidRPr="0063260D">
        <w:t>A</w:t>
      </w:r>
      <w:r w:rsidR="00146CC6" w:rsidRPr="0063260D">
        <w:t>’s registration and disclosure requirements and should include</w:t>
      </w:r>
      <w:r w:rsidR="00D0398B" w:rsidRPr="0063260D">
        <w:t xml:space="preserve"> </w:t>
      </w:r>
      <w:r w:rsidR="008E3581" w:rsidRPr="0063260D">
        <w:t xml:space="preserve">any trust </w:t>
      </w:r>
      <w:r w:rsidR="00930A71" w:rsidRPr="00D95A4A">
        <w:t xml:space="preserve">qualifying </w:t>
      </w:r>
      <w:r w:rsidR="00E57BDA" w:rsidRPr="00D95A4A">
        <w:t>for the foreign</w:t>
      </w:r>
      <w:r w:rsidR="00C05725">
        <w:t>-sourced</w:t>
      </w:r>
      <w:r w:rsidR="00E57BDA" w:rsidRPr="00D95A4A">
        <w:t xml:space="preserve"> income exemption</w:t>
      </w:r>
      <w:r w:rsidR="00563C41">
        <w:t>.</w:t>
      </w:r>
    </w:p>
    <w:p w14:paraId="1FA6D6BC" w14:textId="32C0509A" w:rsidR="00C94289" w:rsidRPr="00D95A4A" w:rsidRDefault="00563C41" w:rsidP="0063260D">
      <w:r>
        <w:t>Th</w:t>
      </w:r>
      <w:r w:rsidR="00694FCB">
        <w:t xml:space="preserve">ese remedial changes </w:t>
      </w:r>
      <w:r>
        <w:t>would only apply prospectively.</w:t>
      </w:r>
    </w:p>
    <w:p w14:paraId="64262E05" w14:textId="57D7804B" w:rsidR="00821D5A" w:rsidRDefault="00821D5A" w:rsidP="0063260D">
      <w:pPr>
        <w:pStyle w:val="Heading1"/>
      </w:pPr>
      <w:r>
        <w:t xml:space="preserve">Issue </w:t>
      </w:r>
      <w:r w:rsidR="0063713D">
        <w:t>2</w:t>
      </w:r>
      <w:r>
        <w:t xml:space="preserve">: </w:t>
      </w:r>
      <w:r w:rsidR="00C47DE6">
        <w:t>A p</w:t>
      </w:r>
      <w:r w:rsidR="005F3295">
        <w:t xml:space="preserve">ower to deregister trusts does not </w:t>
      </w:r>
      <w:r w:rsidR="009672EB">
        <w:t xml:space="preserve">explicitly </w:t>
      </w:r>
      <w:r w:rsidR="005F3295">
        <w:t>exist</w:t>
      </w:r>
    </w:p>
    <w:p w14:paraId="5185D4DA" w14:textId="16E0F03A" w:rsidR="00821D5A" w:rsidRDefault="00821D5A" w:rsidP="0063260D">
      <w:r>
        <w:t xml:space="preserve">The </w:t>
      </w:r>
      <w:r w:rsidR="00B5155D">
        <w:t xml:space="preserve">current legislation envisages that </w:t>
      </w:r>
      <w:r w:rsidR="00846D80">
        <w:t>foreign trusts may be deregistered (</w:t>
      </w:r>
      <w:r w:rsidR="00DF66E4">
        <w:t xml:space="preserve">see </w:t>
      </w:r>
      <w:r w:rsidR="00846D80">
        <w:t xml:space="preserve">section </w:t>
      </w:r>
      <w:r w:rsidR="000741B0">
        <w:t>HC </w:t>
      </w:r>
      <w:r w:rsidR="00846D80">
        <w:t>26(1)(c)(iii)</w:t>
      </w:r>
      <w:r w:rsidR="001F711B">
        <w:t xml:space="preserve"> of the ITA</w:t>
      </w:r>
      <w:r w:rsidR="00846D80">
        <w:t>) but there is no</w:t>
      </w:r>
      <w:r w:rsidR="00375815">
        <w:t xml:space="preserve"> explicit</w:t>
      </w:r>
      <w:r w:rsidR="00846D80">
        <w:t xml:space="preserve"> power to deregister</w:t>
      </w:r>
      <w:r w:rsidR="00375815">
        <w:t xml:space="preserve"> trusts</w:t>
      </w:r>
      <w:r w:rsidR="00DF66E4">
        <w:t>.</w:t>
      </w:r>
    </w:p>
    <w:p w14:paraId="36864DF8" w14:textId="0E967475" w:rsidR="0097646B" w:rsidRPr="0097646B" w:rsidRDefault="00400FB4" w:rsidP="0063260D">
      <w:pPr>
        <w:pStyle w:val="Heading2"/>
      </w:pPr>
      <w:r>
        <w:t>Proposed change</w:t>
      </w:r>
    </w:p>
    <w:p w14:paraId="3CFE580A" w14:textId="4E6C9119" w:rsidR="0097646B" w:rsidRPr="0097646B" w:rsidRDefault="0097646B" w:rsidP="0063260D">
      <w:r>
        <w:t xml:space="preserve">We propose to set out </w:t>
      </w:r>
      <w:r w:rsidR="001759B7">
        <w:t xml:space="preserve">explicitly </w:t>
      </w:r>
      <w:r>
        <w:t xml:space="preserve">the </w:t>
      </w:r>
      <w:r w:rsidR="00B2504C">
        <w:t xml:space="preserve">circumstances where a </w:t>
      </w:r>
      <w:r w:rsidR="001759B7">
        <w:t xml:space="preserve">foreign </w:t>
      </w:r>
      <w:r w:rsidR="00B2504C">
        <w:t xml:space="preserve">trust may be deregistered, and the effect of </w:t>
      </w:r>
      <w:r w:rsidR="001759B7">
        <w:t xml:space="preserve">such </w:t>
      </w:r>
      <w:r w:rsidR="00B2504C">
        <w:t>deregistration.</w:t>
      </w:r>
    </w:p>
    <w:p w14:paraId="4556CA07" w14:textId="3B2622D9" w:rsidR="00970882" w:rsidRDefault="00970882" w:rsidP="0063260D">
      <w:pPr>
        <w:pStyle w:val="Heading3"/>
      </w:pPr>
      <w:r>
        <w:t>Requirements for deregistration</w:t>
      </w:r>
    </w:p>
    <w:p w14:paraId="17F45324" w14:textId="26B451D7" w:rsidR="00400FB4" w:rsidRDefault="00B2504C" w:rsidP="0063260D">
      <w:r>
        <w:t>T</w:t>
      </w:r>
      <w:r w:rsidR="0032559A">
        <w:t xml:space="preserve">he Commissioner </w:t>
      </w:r>
      <w:r>
        <w:t>should have the</w:t>
      </w:r>
      <w:r w:rsidR="009F41DC">
        <w:t xml:space="preserve"> explicit</w:t>
      </w:r>
      <w:r>
        <w:t xml:space="preserve"> power </w:t>
      </w:r>
      <w:r w:rsidR="0032559A">
        <w:t xml:space="preserve">to </w:t>
      </w:r>
      <w:r w:rsidR="00202A32">
        <w:t>deregist</w:t>
      </w:r>
      <w:r w:rsidR="0032559A">
        <w:t xml:space="preserve">er a </w:t>
      </w:r>
      <w:r w:rsidR="001759B7">
        <w:t xml:space="preserve">foreign </w:t>
      </w:r>
      <w:r w:rsidR="0032559A">
        <w:t xml:space="preserve">trust </w:t>
      </w:r>
      <w:r w:rsidR="000D061A">
        <w:t>where</w:t>
      </w:r>
      <w:r w:rsidR="00D955A4">
        <w:t xml:space="preserve"> she is satisfied</w:t>
      </w:r>
      <w:r w:rsidR="003A453D">
        <w:t xml:space="preserve"> the trust</w:t>
      </w:r>
      <w:r w:rsidR="00473657">
        <w:t>:</w:t>
      </w:r>
    </w:p>
    <w:p w14:paraId="2D6A5094" w14:textId="711CC604" w:rsidR="000D061A" w:rsidRDefault="000D061A" w:rsidP="0063260D">
      <w:pPr>
        <w:pStyle w:val="ListBullet"/>
      </w:pPr>
      <w:r>
        <w:t>is no longer a foreign trust</w:t>
      </w:r>
    </w:p>
    <w:p w14:paraId="56BFDA80" w14:textId="77E58ACD" w:rsidR="003C3893" w:rsidRDefault="003C3893" w:rsidP="0063260D">
      <w:pPr>
        <w:pStyle w:val="ListBullet"/>
      </w:pPr>
      <w:r>
        <w:t>no longer has a New Zealand resident trustee</w:t>
      </w:r>
      <w:r w:rsidR="00181D59">
        <w:t>,</w:t>
      </w:r>
      <w:r>
        <w:t xml:space="preserve"> </w:t>
      </w:r>
      <w:r w:rsidR="009A3A26">
        <w:t>or</w:t>
      </w:r>
    </w:p>
    <w:p w14:paraId="646B63AF" w14:textId="3C0AC459" w:rsidR="00654FBF" w:rsidRDefault="000D061A" w:rsidP="0063260D">
      <w:pPr>
        <w:pStyle w:val="ListBullet"/>
      </w:pPr>
      <w:r>
        <w:t xml:space="preserve">should not have been registered in the first place, as the requirements for </w:t>
      </w:r>
      <w:r w:rsidR="005E2090">
        <w:t>r</w:t>
      </w:r>
      <w:r>
        <w:t>egistration were not made out</w:t>
      </w:r>
      <w:r w:rsidR="00654FBF">
        <w:t>.</w:t>
      </w:r>
    </w:p>
    <w:p w14:paraId="3071E171" w14:textId="335E0D2E" w:rsidR="00C5507D" w:rsidRDefault="00041BB7" w:rsidP="0063260D">
      <w:r>
        <w:t xml:space="preserve">The Commissioner should be allowed to backdate </w:t>
      </w:r>
      <w:r w:rsidR="003823A4">
        <w:t xml:space="preserve">a </w:t>
      </w:r>
      <w:r>
        <w:t>deregistration</w:t>
      </w:r>
      <w:r w:rsidR="003823A4">
        <w:t xml:space="preserve"> to the point where the trust ceased to meet the statutory requirements for registration</w:t>
      </w:r>
      <w:r w:rsidR="001C4A26">
        <w:t xml:space="preserve"> (</w:t>
      </w:r>
      <w:r w:rsidR="00251F72">
        <w:t>for example</w:t>
      </w:r>
      <w:r w:rsidR="001C4A26">
        <w:t xml:space="preserve"> the trust ceased to be a </w:t>
      </w:r>
      <w:r w:rsidR="002F4E57">
        <w:t xml:space="preserve">foreign </w:t>
      </w:r>
      <w:r w:rsidR="001C4A26">
        <w:t>trust)</w:t>
      </w:r>
      <w:r w:rsidR="003823A4">
        <w:t>.</w:t>
      </w:r>
    </w:p>
    <w:p w14:paraId="5093EE0D" w14:textId="528D83D3" w:rsidR="00DE0F8D" w:rsidRDefault="00554A32" w:rsidP="0063260D">
      <w:r>
        <w:t>The Commissioner should be able to exercise this deregistration power on her</w:t>
      </w:r>
      <w:r w:rsidR="003A09EA">
        <w:t xml:space="preserve"> own initiative or on application by </w:t>
      </w:r>
      <w:r w:rsidR="00004909">
        <w:t xml:space="preserve">a </w:t>
      </w:r>
      <w:r w:rsidR="003A09EA">
        <w:t xml:space="preserve">trust. </w:t>
      </w:r>
      <w:r w:rsidR="007C2391">
        <w:t xml:space="preserve">A </w:t>
      </w:r>
      <w:r w:rsidR="00004909">
        <w:t xml:space="preserve">trust applying for deregistration would have to provide sufficient information to </w:t>
      </w:r>
      <w:r w:rsidR="006E6931">
        <w:t>satisfy the Commissioner that the trust should be deregistered.</w:t>
      </w:r>
    </w:p>
    <w:p w14:paraId="6F0F40C3" w14:textId="54CC84BD" w:rsidR="00DE0F8D" w:rsidRDefault="00EB26A1" w:rsidP="0063260D">
      <w:r>
        <w:t xml:space="preserve">Consistent with existing practice, </w:t>
      </w:r>
      <w:r w:rsidR="005B645F">
        <w:t>t</w:t>
      </w:r>
      <w:r w:rsidR="00502C75">
        <w:t xml:space="preserve">he trust </w:t>
      </w:r>
      <w:r w:rsidR="000A0087">
        <w:t xml:space="preserve">would need to </w:t>
      </w:r>
      <w:r w:rsidR="00502C75">
        <w:t>provide</w:t>
      </w:r>
      <w:r w:rsidR="005B645F">
        <w:t xml:space="preserve"> the following when applying for deregistration</w:t>
      </w:r>
      <w:r w:rsidR="00DE0F8D">
        <w:t>:</w:t>
      </w:r>
    </w:p>
    <w:p w14:paraId="2D78E4CD" w14:textId="3A7910A3" w:rsidR="005F2F85" w:rsidRDefault="00181D59" w:rsidP="0063260D">
      <w:pPr>
        <w:pStyle w:val="ListBullet"/>
      </w:pPr>
      <w:r>
        <w:t xml:space="preserve">Reasons </w:t>
      </w:r>
      <w:r w:rsidR="005F2F85">
        <w:t>for the deregistration</w:t>
      </w:r>
      <w:r>
        <w:t>.</w:t>
      </w:r>
    </w:p>
    <w:p w14:paraId="6E31D55C" w14:textId="22D29D21" w:rsidR="005F2F85" w:rsidRDefault="00181D59" w:rsidP="0063260D">
      <w:pPr>
        <w:pStyle w:val="ListBullet"/>
      </w:pPr>
      <w:r>
        <w:t xml:space="preserve">Evidence </w:t>
      </w:r>
      <w:r w:rsidR="005F2F85">
        <w:t>of the termination or migration of the trust (</w:t>
      </w:r>
      <w:r>
        <w:t>for example,</w:t>
      </w:r>
      <w:r w:rsidR="005F2F85">
        <w:t xml:space="preserve"> a deed of winding up or deed of appointment or removal of trustees)</w:t>
      </w:r>
      <w:r>
        <w:t>.</w:t>
      </w:r>
    </w:p>
    <w:p w14:paraId="5756536B" w14:textId="1C63AAB4" w:rsidR="005F2F85" w:rsidRDefault="00181D59" w:rsidP="0063260D">
      <w:pPr>
        <w:pStyle w:val="ListBullet"/>
      </w:pPr>
      <w:r>
        <w:t xml:space="preserve">Contact </w:t>
      </w:r>
      <w:r w:rsidR="005F2F85">
        <w:t xml:space="preserve">details of the new trustee where </w:t>
      </w:r>
      <w:r w:rsidR="00D864C9">
        <w:t>the trust has migrated</w:t>
      </w:r>
      <w:r>
        <w:t>.</w:t>
      </w:r>
    </w:p>
    <w:p w14:paraId="668DB472" w14:textId="308B9CE1" w:rsidR="00DE0F8D" w:rsidRDefault="00181D59" w:rsidP="0063260D">
      <w:pPr>
        <w:pStyle w:val="ListBullet"/>
      </w:pPr>
      <w:r>
        <w:t xml:space="preserve">A </w:t>
      </w:r>
      <w:r w:rsidR="007317B3">
        <w:t>final</w:t>
      </w:r>
      <w:r w:rsidR="00502C75">
        <w:t xml:space="preserve"> annual return for </w:t>
      </w:r>
      <w:r w:rsidR="007317B3">
        <w:t>the period up to its deregistration</w:t>
      </w:r>
      <w:r w:rsidR="006F655B">
        <w:t xml:space="preserve"> (</w:t>
      </w:r>
      <w:r w:rsidR="001F7AD4">
        <w:t>including financial statements, details of settlements and distributions</w:t>
      </w:r>
      <w:r w:rsidR="00B6697F">
        <w:t xml:space="preserve"> in the final period</w:t>
      </w:r>
      <w:r w:rsidR="001F7AD4">
        <w:t xml:space="preserve">, and details of </w:t>
      </w:r>
      <w:r w:rsidR="00B6697F">
        <w:t xml:space="preserve">settlors making </w:t>
      </w:r>
      <w:r w:rsidR="006F655B">
        <w:t xml:space="preserve">those </w:t>
      </w:r>
      <w:r w:rsidR="00B6697F">
        <w:t>settlements or beneficiaries receiving those distributions</w:t>
      </w:r>
      <w:r w:rsidR="006F655B">
        <w:t>)</w:t>
      </w:r>
      <w:r w:rsidR="00C473D9">
        <w:t>. This may be a part-year return if the trust is terminated or migrated shortly after the end of its balance year</w:t>
      </w:r>
      <w:r>
        <w:t>.</w:t>
      </w:r>
    </w:p>
    <w:p w14:paraId="0A8A5445" w14:textId="770E28E5" w:rsidR="006E1603" w:rsidRDefault="00181D59" w:rsidP="0063260D">
      <w:pPr>
        <w:pStyle w:val="ListBullet"/>
      </w:pPr>
      <w:r>
        <w:t xml:space="preserve">Such </w:t>
      </w:r>
      <w:r w:rsidR="005833FE">
        <w:t>other info</w:t>
      </w:r>
      <w:r w:rsidR="00D04D87">
        <w:t xml:space="preserve">rmation the Commissioner </w:t>
      </w:r>
      <w:r w:rsidR="00BB3BE2">
        <w:t xml:space="preserve">may </w:t>
      </w:r>
      <w:r w:rsidR="005833FE">
        <w:t>require.</w:t>
      </w:r>
    </w:p>
    <w:p w14:paraId="29BAD186" w14:textId="0034321A" w:rsidR="00970882" w:rsidRPr="00970882" w:rsidRDefault="00970882" w:rsidP="0063260D">
      <w:pPr>
        <w:pStyle w:val="Heading3"/>
      </w:pPr>
      <w:r>
        <w:t>Effect of deregistration</w:t>
      </w:r>
    </w:p>
    <w:p w14:paraId="06E8B19D" w14:textId="3EDE0DB4" w:rsidR="0000357B" w:rsidRDefault="0000357B" w:rsidP="0063260D">
      <w:r>
        <w:t>Once a trust has been deregistered, it should not be required to notify the Commissioner of additions or alterations to details it has already provided (as required under section 59B(5)</w:t>
      </w:r>
      <w:r w:rsidR="00891D3C">
        <w:t xml:space="preserve"> of the TAA</w:t>
      </w:r>
      <w:r>
        <w:t>) or provide annual returns (as required under section 59D(1)).</w:t>
      </w:r>
    </w:p>
    <w:p w14:paraId="3A96B93D" w14:textId="1D573606" w:rsidR="00983239" w:rsidRDefault="0000357B" w:rsidP="0063260D">
      <w:r>
        <w:t xml:space="preserve">A trust that has been deregistered </w:t>
      </w:r>
      <w:r w:rsidR="000F62B7">
        <w:t>will not be able to use the foreign</w:t>
      </w:r>
      <w:r w:rsidR="00201E9D">
        <w:t>-</w:t>
      </w:r>
      <w:r w:rsidR="000F62B7">
        <w:t>sourced income exemption in section CW 54</w:t>
      </w:r>
      <w:r w:rsidR="00891D3C">
        <w:t xml:space="preserve"> of the ITA</w:t>
      </w:r>
      <w:r w:rsidR="000F62B7">
        <w:t xml:space="preserve"> (for income derived after deregistration), as s</w:t>
      </w:r>
      <w:r w:rsidR="003F61B1">
        <w:t xml:space="preserve">ection </w:t>
      </w:r>
      <w:r w:rsidR="000741B0">
        <w:t>HC </w:t>
      </w:r>
      <w:r w:rsidR="003F61B1">
        <w:t>26 generally requires f</w:t>
      </w:r>
      <w:r w:rsidR="00E508CE">
        <w:t>oreign trusts to be registered</w:t>
      </w:r>
      <w:r w:rsidR="000F62B7">
        <w:t xml:space="preserve"> to qualify</w:t>
      </w:r>
      <w:r w:rsidR="00BB5A19">
        <w:t xml:space="preserve"> for the exemption</w:t>
      </w:r>
      <w:r w:rsidR="00970882">
        <w:t>.</w:t>
      </w:r>
    </w:p>
    <w:p w14:paraId="04D82B19" w14:textId="2C20C2D0" w:rsidR="00983239" w:rsidRDefault="00174B69" w:rsidP="0063260D">
      <w:r>
        <w:t>If the foreign</w:t>
      </w:r>
      <w:r w:rsidR="00D9165E">
        <w:t>-</w:t>
      </w:r>
      <w:r>
        <w:t xml:space="preserve">sourced income </w:t>
      </w:r>
      <w:r w:rsidR="00BB5A19">
        <w:t>e</w:t>
      </w:r>
      <w:r>
        <w:t xml:space="preserve">xemption has been claimed for </w:t>
      </w:r>
      <w:r w:rsidR="001F0D67">
        <w:t xml:space="preserve">a </w:t>
      </w:r>
      <w:r>
        <w:t xml:space="preserve">period </w:t>
      </w:r>
      <w:r w:rsidR="0087048A">
        <w:t xml:space="preserve">the trust </w:t>
      </w:r>
      <w:r w:rsidR="00D07119">
        <w:t>was not r</w:t>
      </w:r>
      <w:r w:rsidR="00D11B4A">
        <w:t>egistered</w:t>
      </w:r>
      <w:r w:rsidR="00A74B9B">
        <w:t xml:space="preserve">, the Commissioner </w:t>
      </w:r>
      <w:r w:rsidR="00E24D17">
        <w:t xml:space="preserve">could </w:t>
      </w:r>
      <w:r w:rsidR="00BE59A8">
        <w:t xml:space="preserve">amend </w:t>
      </w:r>
      <w:r w:rsidR="00CC09C0">
        <w:t xml:space="preserve">the trust’s returns to </w:t>
      </w:r>
      <w:r w:rsidR="000A0087">
        <w:t>include the foreign-sourced income</w:t>
      </w:r>
      <w:r w:rsidR="00CC09C0">
        <w:t xml:space="preserve">, subject to </w:t>
      </w:r>
      <w:r w:rsidR="00A829DA">
        <w:t xml:space="preserve">any </w:t>
      </w:r>
      <w:r w:rsidR="00CC09C0">
        <w:t>existing time bar.</w:t>
      </w:r>
    </w:p>
    <w:p w14:paraId="781489BD" w14:textId="7FDE7E6D" w:rsidR="00FC71C3" w:rsidRPr="0063260D" w:rsidRDefault="00FC71C3" w:rsidP="0063260D">
      <w:pPr>
        <w:pStyle w:val="Heading1"/>
      </w:pPr>
      <w:r w:rsidRPr="0063260D">
        <w:t xml:space="preserve">Issue </w:t>
      </w:r>
      <w:r w:rsidR="0063713D" w:rsidRPr="0063260D">
        <w:t>3</w:t>
      </w:r>
      <w:r w:rsidRPr="0063260D">
        <w:t xml:space="preserve">: </w:t>
      </w:r>
      <w:r w:rsidR="00BC2480" w:rsidRPr="0063260D">
        <w:t xml:space="preserve">The </w:t>
      </w:r>
      <w:r w:rsidR="009F7FBD" w:rsidRPr="0063260D">
        <w:t xml:space="preserve">term </w:t>
      </w:r>
      <w:r w:rsidR="00BC2480" w:rsidRPr="0063260D">
        <w:t>“in the business of providing trustee services”</w:t>
      </w:r>
      <w:r w:rsidR="009F7FBD" w:rsidRPr="0063260D">
        <w:t xml:space="preserve"> </w:t>
      </w:r>
      <w:r w:rsidR="00490ECA" w:rsidRPr="0063260D">
        <w:t xml:space="preserve">is not defined and </w:t>
      </w:r>
      <w:r w:rsidR="009A5322" w:rsidRPr="0063260D">
        <w:t xml:space="preserve">may </w:t>
      </w:r>
      <w:r w:rsidR="00490ECA" w:rsidRPr="0063260D">
        <w:t>be confusing</w:t>
      </w:r>
    </w:p>
    <w:p w14:paraId="6CFDDCDB" w14:textId="73B20BC4" w:rsidR="00F61C5C" w:rsidRDefault="002939B0" w:rsidP="0063260D">
      <w:r>
        <w:t>In some cases, the requirements</w:t>
      </w:r>
      <w:r w:rsidR="002C3D76">
        <w:t xml:space="preserve"> are lighter</w:t>
      </w:r>
      <w:r>
        <w:t xml:space="preserve"> </w:t>
      </w:r>
      <w:r w:rsidR="002C3D76">
        <w:t xml:space="preserve">for </w:t>
      </w:r>
      <w:r>
        <w:t xml:space="preserve">trusts with </w:t>
      </w:r>
      <w:r w:rsidR="002C3D76">
        <w:t xml:space="preserve">only </w:t>
      </w:r>
      <w:r>
        <w:t>f</w:t>
      </w:r>
      <w:r w:rsidR="0089635E">
        <w:t xml:space="preserve">oreign trustees that </w:t>
      </w:r>
      <w:r w:rsidR="00781DBB">
        <w:t xml:space="preserve">are </w:t>
      </w:r>
      <w:r>
        <w:t xml:space="preserve">natural persons and </w:t>
      </w:r>
      <w:r w:rsidR="00781DBB">
        <w:t>not “in the business of providing trustee services”</w:t>
      </w:r>
      <w:r>
        <w:t xml:space="preserve">. Such </w:t>
      </w:r>
      <w:r w:rsidR="00B80268">
        <w:t>trusts</w:t>
      </w:r>
      <w:r w:rsidR="00660C8E">
        <w:t>:</w:t>
      </w:r>
      <w:r w:rsidR="00B80268">
        <w:t xml:space="preserve"> do not have to look back as far when disclosing historical settlements on application for registration (section 59B</w:t>
      </w:r>
      <w:r w:rsidR="00E85D09">
        <w:t>(3)</w:t>
      </w:r>
      <w:r w:rsidR="00B80268">
        <w:t>(b)</w:t>
      </w:r>
      <w:r w:rsidR="004A4BE6">
        <w:t xml:space="preserve"> of the TAA</w:t>
      </w:r>
      <w:r w:rsidR="00E85D09">
        <w:t>)</w:t>
      </w:r>
      <w:r w:rsidR="00660C8E">
        <w:t>;</w:t>
      </w:r>
      <w:r w:rsidR="00B80268">
        <w:t xml:space="preserve"> </w:t>
      </w:r>
      <w:r w:rsidR="00E85D09">
        <w:t xml:space="preserve">are </w:t>
      </w:r>
      <w:r w:rsidR="001C0CDE">
        <w:t xml:space="preserve">allowed a longer </w:t>
      </w:r>
      <w:r w:rsidR="003A64B8">
        <w:t xml:space="preserve">grace period to </w:t>
      </w:r>
      <w:r w:rsidR="00D2441D">
        <w:t xml:space="preserve">register the trust </w:t>
      </w:r>
      <w:r w:rsidR="001335CE">
        <w:t>(section 59C(3)</w:t>
      </w:r>
      <w:r w:rsidR="0089635E">
        <w:t>)</w:t>
      </w:r>
      <w:r w:rsidR="00A2279E">
        <w:t>;</w:t>
      </w:r>
      <w:r w:rsidR="0089635E">
        <w:t xml:space="preserve"> and </w:t>
      </w:r>
      <w:r w:rsidR="00E85D09">
        <w:t xml:space="preserve">do not have </w:t>
      </w:r>
      <w:r w:rsidR="00F61C5C">
        <w:t xml:space="preserve">to pay </w:t>
      </w:r>
      <w:r w:rsidR="00E85D09">
        <w:t xml:space="preserve">registration and annual return </w:t>
      </w:r>
      <w:r w:rsidR="00F61C5C">
        <w:t>fees (section 59E(5)</w:t>
      </w:r>
      <w:r w:rsidR="003A64B8">
        <w:t>)</w:t>
      </w:r>
      <w:r w:rsidR="000950AC">
        <w:t>.</w:t>
      </w:r>
    </w:p>
    <w:p w14:paraId="52BD7DB3" w14:textId="09D958E3" w:rsidR="00D16514" w:rsidRDefault="000950AC" w:rsidP="0063260D">
      <w:r>
        <w:t xml:space="preserve">Some commentary has used the term “professional trustee” </w:t>
      </w:r>
      <w:r w:rsidR="00047AAE">
        <w:t xml:space="preserve">as a shorthand for trustees in the business of providing trustee services, even though “professional trustee” is </w:t>
      </w:r>
      <w:r w:rsidR="003A64B8">
        <w:t xml:space="preserve">a </w:t>
      </w:r>
      <w:r w:rsidR="00047AAE">
        <w:t>separately defined</w:t>
      </w:r>
      <w:r w:rsidR="003A64B8">
        <w:t xml:space="preserve"> term</w:t>
      </w:r>
      <w:r w:rsidR="005F40CD">
        <w:t>. S</w:t>
      </w:r>
      <w:r w:rsidR="000D6411">
        <w:t xml:space="preserve">ection 3 </w:t>
      </w:r>
      <w:r w:rsidR="005F40CD">
        <w:t xml:space="preserve">defines </w:t>
      </w:r>
      <w:r w:rsidR="00C236BE">
        <w:t xml:space="preserve">“professional trustee” </w:t>
      </w:r>
      <w:r w:rsidR="000B36AE">
        <w:t xml:space="preserve">for the purposes of section 43B </w:t>
      </w:r>
      <w:r w:rsidR="00C236BE">
        <w:t>as follows:</w:t>
      </w:r>
    </w:p>
    <w:p w14:paraId="075BBB7B" w14:textId="65E12D33" w:rsidR="00C236BE" w:rsidRPr="0063260D" w:rsidRDefault="00C236BE" w:rsidP="0063260D">
      <w:pPr>
        <w:pStyle w:val="Quote"/>
      </w:pPr>
      <w:r w:rsidRPr="0063260D">
        <w:rPr>
          <w:rStyle w:val="Strong"/>
        </w:rPr>
        <w:t>professional trustee</w:t>
      </w:r>
      <w:r w:rsidRPr="0063260D">
        <w:t>, in section 43B, means a person whose profession, employment, or business is or includes acting as a trustee or investing money on behalf of others</w:t>
      </w:r>
    </w:p>
    <w:p w14:paraId="2F3422B5" w14:textId="45D4575F" w:rsidR="00735898" w:rsidRPr="00D95A4A" w:rsidRDefault="00D16514" w:rsidP="0063260D">
      <w:r>
        <w:t xml:space="preserve">We consider </w:t>
      </w:r>
      <w:r w:rsidR="00B86C69">
        <w:t xml:space="preserve">the terms </w:t>
      </w:r>
      <w:r>
        <w:t xml:space="preserve">“professional trustee” </w:t>
      </w:r>
      <w:r w:rsidR="00B86C69">
        <w:t xml:space="preserve">and </w:t>
      </w:r>
      <w:r w:rsidR="00551718">
        <w:t>“</w:t>
      </w:r>
      <w:r>
        <w:t xml:space="preserve">in the business </w:t>
      </w:r>
      <w:r w:rsidRPr="00D95A4A">
        <w:t>of providing trustee services</w:t>
      </w:r>
      <w:r w:rsidR="00551718" w:rsidRPr="00D95A4A">
        <w:t>”</w:t>
      </w:r>
      <w:r w:rsidR="00B86C69">
        <w:t xml:space="preserve"> cover broadly similar concepts</w:t>
      </w:r>
      <w:r w:rsidRPr="00D95A4A">
        <w:t>.</w:t>
      </w:r>
      <w:r w:rsidR="002D33B4">
        <w:t xml:space="preserve"> It may therefore be less confusing to</w:t>
      </w:r>
      <w:r w:rsidR="00C35073">
        <w:t xml:space="preserve"> combine the two terms.</w:t>
      </w:r>
    </w:p>
    <w:p w14:paraId="3E2FB7CF" w14:textId="77777777" w:rsidR="00FC71C3" w:rsidRPr="0063260D" w:rsidRDefault="00FC71C3" w:rsidP="0063260D">
      <w:pPr>
        <w:pStyle w:val="Heading2"/>
      </w:pPr>
      <w:r w:rsidRPr="0063260D">
        <w:t>Proposed change</w:t>
      </w:r>
    </w:p>
    <w:p w14:paraId="165F7169" w14:textId="3D447205" w:rsidR="00F120F8" w:rsidRDefault="00693906" w:rsidP="0063260D">
      <w:r>
        <w:t>We propose to</w:t>
      </w:r>
      <w:r w:rsidR="00037829">
        <w:t xml:space="preserve"> </w:t>
      </w:r>
      <w:r w:rsidRPr="00955AAA">
        <w:t>r</w:t>
      </w:r>
      <w:r w:rsidR="009A5322" w:rsidRPr="00955AAA">
        <w:t>eplace references to trustees “in the</w:t>
      </w:r>
      <w:r w:rsidR="009A5322">
        <w:t xml:space="preserve"> business of providing trustee services” with </w:t>
      </w:r>
      <w:r w:rsidR="00E13D7A">
        <w:t>“</w:t>
      </w:r>
      <w:r w:rsidR="00385F23">
        <w:t>professional trustees”</w:t>
      </w:r>
      <w:r w:rsidR="00B62BB5">
        <w:t>.</w:t>
      </w:r>
    </w:p>
    <w:p w14:paraId="65ED62C8" w14:textId="23F23CAF" w:rsidR="00525CCD" w:rsidRPr="0063260D" w:rsidRDefault="00F120F8" w:rsidP="0063260D">
      <w:r w:rsidRPr="0063260D">
        <w:t>Th</w:t>
      </w:r>
      <w:r w:rsidR="009C2C60" w:rsidRPr="0063260D">
        <w:t>is</w:t>
      </w:r>
      <w:r w:rsidRPr="0063260D">
        <w:t xml:space="preserve"> </w:t>
      </w:r>
      <w:r w:rsidR="001473A8" w:rsidRPr="0063260D">
        <w:t xml:space="preserve">change would </w:t>
      </w:r>
      <w:r w:rsidR="000E4D8C" w:rsidRPr="0063260D">
        <w:t xml:space="preserve">increase </w:t>
      </w:r>
      <w:r w:rsidR="001473A8" w:rsidRPr="0063260D">
        <w:t>simplicity and certainty</w:t>
      </w:r>
      <w:r w:rsidR="00B62BB5" w:rsidRPr="0063260D">
        <w:t>.</w:t>
      </w:r>
    </w:p>
    <w:p w14:paraId="3C98E6FF" w14:textId="7700DD42" w:rsidR="00A438AC" w:rsidRPr="000B36AE" w:rsidRDefault="00190075" w:rsidP="0063260D">
      <w:pPr>
        <w:pStyle w:val="Heading1"/>
      </w:pPr>
      <w:r w:rsidRPr="000B36AE">
        <w:t xml:space="preserve">Issue </w:t>
      </w:r>
      <w:r w:rsidR="0063713D">
        <w:t>4</w:t>
      </w:r>
      <w:r w:rsidRPr="000B36AE">
        <w:t xml:space="preserve">: </w:t>
      </w:r>
      <w:r w:rsidR="00172DF2" w:rsidRPr="000B36AE">
        <w:t>Certain information</w:t>
      </w:r>
      <w:r w:rsidR="00C16C04">
        <w:t xml:space="preserve"> </w:t>
      </w:r>
      <w:r w:rsidR="00C020E6">
        <w:t xml:space="preserve">may </w:t>
      </w:r>
      <w:r w:rsidR="00576260" w:rsidRPr="000B36AE">
        <w:t xml:space="preserve">not </w:t>
      </w:r>
      <w:r w:rsidR="00C020E6">
        <w:t xml:space="preserve">be </w:t>
      </w:r>
      <w:r w:rsidR="00576260" w:rsidRPr="000B36AE">
        <w:t xml:space="preserve">required for </w:t>
      </w:r>
      <w:r w:rsidR="00A170C9" w:rsidRPr="000B36AE">
        <w:t xml:space="preserve">new settlors </w:t>
      </w:r>
      <w:r w:rsidR="00870A5B">
        <w:t xml:space="preserve">of, </w:t>
      </w:r>
      <w:r w:rsidR="00A170C9" w:rsidRPr="000B36AE">
        <w:t xml:space="preserve">or beneficiaries </w:t>
      </w:r>
      <w:r w:rsidR="00C020E6">
        <w:t xml:space="preserve">with fixed </w:t>
      </w:r>
      <w:r w:rsidR="004B1FB0">
        <w:t xml:space="preserve">or final </w:t>
      </w:r>
      <w:r w:rsidR="00A156C1">
        <w:t xml:space="preserve">interests </w:t>
      </w:r>
      <w:r w:rsidR="00180B57">
        <w:t>in</w:t>
      </w:r>
      <w:r w:rsidR="00870A5B">
        <w:t>,</w:t>
      </w:r>
      <w:r w:rsidR="00180B57">
        <w:t xml:space="preserve"> </w:t>
      </w:r>
      <w:r w:rsidR="00A156C1">
        <w:t xml:space="preserve">a foreign </w:t>
      </w:r>
      <w:r w:rsidR="00180B57">
        <w:t>trust</w:t>
      </w:r>
    </w:p>
    <w:p w14:paraId="2A834855" w14:textId="2E3DAEB5" w:rsidR="006D3C05" w:rsidRDefault="006D3C05" w:rsidP="0063260D">
      <w:r w:rsidRPr="00780681">
        <w:t xml:space="preserve">When a </w:t>
      </w:r>
      <w:r w:rsidR="00047DA9">
        <w:t xml:space="preserve">trustee </w:t>
      </w:r>
      <w:r w:rsidR="004A7A86" w:rsidRPr="00780681">
        <w:t xml:space="preserve">applies for registration, </w:t>
      </w:r>
      <w:r w:rsidR="00CF0466">
        <w:t>they are</w:t>
      </w:r>
      <w:r w:rsidR="004A7A86" w:rsidRPr="00780681">
        <w:t xml:space="preserve"> required to provide the </w:t>
      </w:r>
      <w:r w:rsidR="0023153B" w:rsidRPr="00780681">
        <w:t>following for</w:t>
      </w:r>
      <w:r w:rsidR="00DB2E7E">
        <w:t xml:space="preserve"> each of</w:t>
      </w:r>
      <w:r w:rsidR="0023153B" w:rsidRPr="00780681">
        <w:t xml:space="preserve"> </w:t>
      </w:r>
      <w:r w:rsidR="00C16100" w:rsidRPr="00780681">
        <w:t xml:space="preserve">the </w:t>
      </w:r>
      <w:r w:rsidR="0023153B" w:rsidRPr="00780681">
        <w:t>persons listed in section 59B(3)(c)</w:t>
      </w:r>
      <w:r w:rsidR="00EE1A53">
        <w:t>(i) to (vii)</w:t>
      </w:r>
      <w:r w:rsidR="00900F3C">
        <w:t xml:space="preserve"> of the TAA</w:t>
      </w:r>
      <w:r w:rsidR="0023153B" w:rsidRPr="00780681">
        <w:t>:</w:t>
      </w:r>
    </w:p>
    <w:p w14:paraId="57AEDBF5" w14:textId="6C4B5757" w:rsidR="0023153B" w:rsidRPr="0063260D" w:rsidRDefault="00181D59" w:rsidP="0063260D">
      <w:pPr>
        <w:pStyle w:val="ListBullet"/>
      </w:pPr>
      <w:r>
        <w:t>T</w:t>
      </w:r>
      <w:r w:rsidR="0023153B" w:rsidRPr="0063260D">
        <w:t>he name, email address, physical residential or business address, jurisdiction of tax residence, taxpayer identification number, and connection with the trust</w:t>
      </w:r>
      <w:r>
        <w:t>.</w:t>
      </w:r>
    </w:p>
    <w:p w14:paraId="35BDE40B" w14:textId="2162A256" w:rsidR="00ED72A0" w:rsidRPr="0063260D" w:rsidRDefault="00181D59" w:rsidP="0063260D">
      <w:pPr>
        <w:pStyle w:val="ListBullet"/>
      </w:pPr>
      <w:r>
        <w:t>A</w:t>
      </w:r>
      <w:r w:rsidRPr="0063260D">
        <w:t xml:space="preserve"> </w:t>
      </w:r>
      <w:r w:rsidR="00B10E61" w:rsidRPr="0063260D">
        <w:t xml:space="preserve">signed declaration that the trustee has informed </w:t>
      </w:r>
      <w:r w:rsidR="00C16100" w:rsidRPr="0063260D">
        <w:t xml:space="preserve">the person of, and the person </w:t>
      </w:r>
      <w:r w:rsidR="00DB2E7E" w:rsidRPr="0063260D">
        <w:t xml:space="preserve">has </w:t>
      </w:r>
      <w:r w:rsidR="00C16100" w:rsidRPr="0063260D">
        <w:t>agreed to</w:t>
      </w:r>
      <w:r w:rsidR="00DB2E7E" w:rsidRPr="0063260D">
        <w:t>,</w:t>
      </w:r>
      <w:r w:rsidR="00C16100" w:rsidRPr="0063260D">
        <w:t xml:space="preserve"> </w:t>
      </w:r>
      <w:r w:rsidR="00E905DA" w:rsidRPr="0063260D">
        <w:t xml:space="preserve">certain requirements of the TAA, Anti-Money Laundering and Countering Financing of Terrorism Act 2009 (AMLCFT Act) and regulations made under the AMLCFT (section 59B(4)). </w:t>
      </w:r>
      <w:r w:rsidR="00047DA9" w:rsidRPr="0063260D">
        <w:t>Alternatively, the contact tru</w:t>
      </w:r>
      <w:r w:rsidR="00217FF6" w:rsidRPr="0063260D">
        <w:t>stee may provide a signed declaration certifying that the person is dead or cannot be located.</w:t>
      </w:r>
    </w:p>
    <w:p w14:paraId="6F1404AA" w14:textId="5415FDD8" w:rsidR="00B656E1" w:rsidRDefault="0003030F" w:rsidP="0063260D">
      <w:r w:rsidRPr="00977C16">
        <w:t xml:space="preserve">However, </w:t>
      </w:r>
      <w:r w:rsidR="00DB2E7E" w:rsidRPr="00977C16">
        <w:t xml:space="preserve">the </w:t>
      </w:r>
      <w:r w:rsidR="00511DAC">
        <w:t xml:space="preserve">legislation may not technically require the </w:t>
      </w:r>
      <w:r w:rsidR="00DB2E7E" w:rsidRPr="00977C16">
        <w:t xml:space="preserve">contact trustee to provide </w:t>
      </w:r>
      <w:r w:rsidR="004345F0">
        <w:t xml:space="preserve">a signed </w:t>
      </w:r>
      <w:r w:rsidR="00FD107C">
        <w:t xml:space="preserve">declaration </w:t>
      </w:r>
      <w:r w:rsidR="00DB2E7E" w:rsidRPr="00977C16">
        <w:t>for</w:t>
      </w:r>
      <w:r w:rsidR="00511C06" w:rsidRPr="00977C16">
        <w:t xml:space="preserve"> </w:t>
      </w:r>
      <w:r w:rsidR="00C852EE" w:rsidRPr="00977C16">
        <w:t>settlors making a settlement after the application for registration</w:t>
      </w:r>
      <w:r w:rsidR="00E75365" w:rsidRPr="00977C16">
        <w:t xml:space="preserve"> (</w:t>
      </w:r>
      <w:r w:rsidR="00E75365" w:rsidRPr="00E94921">
        <w:t>new settlors</w:t>
      </w:r>
      <w:r w:rsidR="00E75365" w:rsidRPr="00977C16">
        <w:t>)</w:t>
      </w:r>
      <w:r w:rsidR="00AF077E">
        <w:t>, even though the other information above is required</w:t>
      </w:r>
      <w:r w:rsidR="007840D7">
        <w:t>.</w:t>
      </w:r>
    </w:p>
    <w:p w14:paraId="5968152D" w14:textId="6AB83CE1" w:rsidR="00E50C5E" w:rsidRDefault="007840D7" w:rsidP="0063260D">
      <w:r>
        <w:t>It is also arguable whether</w:t>
      </w:r>
      <w:r w:rsidR="003B4B65">
        <w:t xml:space="preserve"> </w:t>
      </w:r>
      <w:r w:rsidR="00FD107C">
        <w:t xml:space="preserve">the </w:t>
      </w:r>
      <w:r w:rsidR="00C509B0">
        <w:t xml:space="preserve">information above </w:t>
      </w:r>
      <w:r w:rsidR="00CB3829">
        <w:t xml:space="preserve">and </w:t>
      </w:r>
      <w:r w:rsidR="00BD1436">
        <w:t xml:space="preserve">a </w:t>
      </w:r>
      <w:r w:rsidR="00C509B0">
        <w:t xml:space="preserve">declaration </w:t>
      </w:r>
      <w:r w:rsidR="008841BD">
        <w:t>are</w:t>
      </w:r>
      <w:r w:rsidR="003A2D3F">
        <w:t xml:space="preserve"> required </w:t>
      </w:r>
      <w:r w:rsidR="003B4B65">
        <w:t>for beneficiaries with a fixed interest in the trust property (</w:t>
      </w:r>
      <w:r w:rsidR="003B4B65" w:rsidRPr="00E94921">
        <w:t>fixed beneficiaries</w:t>
      </w:r>
      <w:r w:rsidR="003B4B65">
        <w:t xml:space="preserve">). Although the information and declaration </w:t>
      </w:r>
      <w:r w:rsidR="00E934CA">
        <w:t>are</w:t>
      </w:r>
      <w:r w:rsidR="003B4B65">
        <w:t xml:space="preserve"> required for each beneficiary of a “fixed trust”, some</w:t>
      </w:r>
      <w:r w:rsidR="008F651E">
        <w:t xml:space="preserve"> taxpayers may consider a</w:t>
      </w:r>
      <w:r w:rsidR="003B4B65">
        <w:t xml:space="preserve"> trust </w:t>
      </w:r>
      <w:r w:rsidR="00212C44">
        <w:t xml:space="preserve">not </w:t>
      </w:r>
      <w:r w:rsidR="008F651E">
        <w:t xml:space="preserve">to </w:t>
      </w:r>
      <w:r w:rsidR="00212C44">
        <w:t xml:space="preserve">be a “fixed trust” if it also has </w:t>
      </w:r>
      <w:r w:rsidR="00B050E7">
        <w:t xml:space="preserve">discretionary beneficiaries </w:t>
      </w:r>
      <w:r w:rsidR="00E934CA">
        <w:t xml:space="preserve">under the same </w:t>
      </w:r>
      <w:r w:rsidR="00B050E7">
        <w:t>trust deed.</w:t>
      </w:r>
      <w:r w:rsidR="00E934CA">
        <w:t xml:space="preserve"> While </w:t>
      </w:r>
      <w:r w:rsidR="00A156C1">
        <w:t xml:space="preserve">we consider </w:t>
      </w:r>
      <w:r w:rsidR="00E934CA">
        <w:t>that in these cases there would actually be multiple trusts (some fixed, some discretionary), it would be clearer to amend</w:t>
      </w:r>
      <w:r w:rsidR="00DD3B7B">
        <w:t xml:space="preserve"> the relevant</w:t>
      </w:r>
      <w:r w:rsidR="00E934CA">
        <w:t xml:space="preserve"> section</w:t>
      </w:r>
      <w:r w:rsidR="001309D0">
        <w:t>s</w:t>
      </w:r>
      <w:r w:rsidR="00E934CA">
        <w:t xml:space="preserve"> so that </w:t>
      </w:r>
      <w:r w:rsidR="001D2DC2">
        <w:t xml:space="preserve">they </w:t>
      </w:r>
      <w:r w:rsidR="00E934CA">
        <w:t>refer to beneficiaries with fixed interests in the trust rather than beneficiaries of a “fixed trust”.</w:t>
      </w:r>
    </w:p>
    <w:p w14:paraId="2ADABD98" w14:textId="43AAACF3" w:rsidR="00EB6128" w:rsidRDefault="00435FF3" w:rsidP="0063260D">
      <w:r>
        <w:t xml:space="preserve">It </w:t>
      </w:r>
      <w:r w:rsidR="006910C3">
        <w:t xml:space="preserve">can </w:t>
      </w:r>
      <w:r>
        <w:t xml:space="preserve">also </w:t>
      </w:r>
      <w:r w:rsidR="006910C3">
        <w:t xml:space="preserve">be </w:t>
      </w:r>
      <w:r>
        <w:t xml:space="preserve">unclear </w:t>
      </w:r>
      <w:r w:rsidR="00B6349C">
        <w:t xml:space="preserve">whether </w:t>
      </w:r>
      <w:r w:rsidR="00A54F7D">
        <w:t>the information above and</w:t>
      </w:r>
      <w:r w:rsidR="00BD1436">
        <w:t xml:space="preserve"> a</w:t>
      </w:r>
      <w:r w:rsidR="00A54F7D">
        <w:t xml:space="preserve"> declaration are required for final beneficiaries.</w:t>
      </w:r>
      <w:r w:rsidR="00E50C5E" w:rsidRPr="00E50C5E">
        <w:t xml:space="preserve"> </w:t>
      </w:r>
      <w:r w:rsidR="00E50C5E">
        <w:t xml:space="preserve">We consider </w:t>
      </w:r>
      <w:r w:rsidR="00451D4A">
        <w:t xml:space="preserve">it arguable that </w:t>
      </w:r>
      <w:r w:rsidR="00E50C5E">
        <w:t xml:space="preserve">final beneficiaries should be subject to the same requirements as fixed beneficiaries because a final beneficiary’s interest in the trust </w:t>
      </w:r>
      <w:r w:rsidR="00E97A5E">
        <w:t xml:space="preserve">can be </w:t>
      </w:r>
      <w:r w:rsidR="00E50C5E">
        <w:t>more certain than a discretionary beneficiary’s interest</w:t>
      </w:r>
      <w:r w:rsidR="00E97A5E">
        <w:t xml:space="preserve">. On the other hand, </w:t>
      </w:r>
      <w:r w:rsidR="00AD1703">
        <w:t>we understand that</w:t>
      </w:r>
      <w:r w:rsidR="00BD16ED">
        <w:t>, like discretionary beneficiaries,</w:t>
      </w:r>
      <w:r w:rsidR="00AD1703">
        <w:t xml:space="preserve"> </w:t>
      </w:r>
      <w:r w:rsidR="00E50C5E">
        <w:t xml:space="preserve">final beneficiaries </w:t>
      </w:r>
      <w:r w:rsidR="00E63480">
        <w:t xml:space="preserve">can </w:t>
      </w:r>
      <w:r w:rsidR="00BD16ED">
        <w:t xml:space="preserve">sometimes </w:t>
      </w:r>
      <w:r w:rsidR="00E63480">
        <w:t xml:space="preserve">be </w:t>
      </w:r>
      <w:r w:rsidR="00E24E2E">
        <w:t xml:space="preserve">hard to identify if they are </w:t>
      </w:r>
      <w:r w:rsidR="005458D3">
        <w:t xml:space="preserve">part </w:t>
      </w:r>
      <w:r w:rsidR="00E63480">
        <w:t>of a wide</w:t>
      </w:r>
      <w:r w:rsidR="005458D3">
        <w:t>r</w:t>
      </w:r>
      <w:r w:rsidR="00E63480">
        <w:t xml:space="preserve"> </w:t>
      </w:r>
      <w:r w:rsidR="00E50C5E">
        <w:t>class.</w:t>
      </w:r>
      <w:r w:rsidR="00E63480">
        <w:t xml:space="preserve"> We welcome submissions on this point.</w:t>
      </w:r>
    </w:p>
    <w:p w14:paraId="74A9E9E1" w14:textId="7EF348E0" w:rsidR="00190075" w:rsidRDefault="00190075" w:rsidP="0063260D">
      <w:pPr>
        <w:pStyle w:val="Heading2"/>
      </w:pPr>
      <w:r>
        <w:t>Proposed change</w:t>
      </w:r>
      <w:r w:rsidR="000F0F06">
        <w:t>s</w:t>
      </w:r>
    </w:p>
    <w:p w14:paraId="01301C61" w14:textId="1E771B10" w:rsidR="00900DE4" w:rsidRDefault="00900DE4" w:rsidP="00032345">
      <w:r>
        <w:t>We propose to:</w:t>
      </w:r>
    </w:p>
    <w:p w14:paraId="2DBD7933" w14:textId="10C2173C" w:rsidR="00900DE4" w:rsidRDefault="001D51A7" w:rsidP="0063260D">
      <w:pPr>
        <w:pStyle w:val="ListBullet"/>
      </w:pPr>
      <w:r>
        <w:t>R</w:t>
      </w:r>
      <w:r w:rsidR="00900DE4">
        <w:t>equire the contact trustee to provide the signed declaration for any new settlors at the same time as the annual return relating to the period in which the settlement was made is filed</w:t>
      </w:r>
      <w:r w:rsidR="00181D59">
        <w:t>.</w:t>
      </w:r>
    </w:p>
    <w:p w14:paraId="58DF69B3" w14:textId="46D448A5" w:rsidR="00900DE4" w:rsidRDefault="001D51A7" w:rsidP="0063260D">
      <w:pPr>
        <w:pStyle w:val="ListBullet"/>
      </w:pPr>
      <w:r>
        <w:t>A</w:t>
      </w:r>
      <w:r w:rsidR="00181D59">
        <w:t xml:space="preserve">mend </w:t>
      </w:r>
      <w:r w:rsidR="00900DE4">
        <w:t>sections 59B(3)(c)(vi), (vii) and (d) so that they refer to beneficiaries with fixed interests in the trust rather than beneficiaries of a “fixed trust”</w:t>
      </w:r>
      <w:r w:rsidR="00181D59">
        <w:t>.</w:t>
      </w:r>
    </w:p>
    <w:p w14:paraId="18D93DC4" w14:textId="192A2849" w:rsidR="00900DE4" w:rsidRDefault="001D51A7" w:rsidP="0063260D">
      <w:pPr>
        <w:pStyle w:val="ListBullet"/>
      </w:pPr>
      <w:r>
        <w:t>C</w:t>
      </w:r>
      <w:r w:rsidR="00181D59">
        <w:t xml:space="preserve">larify </w:t>
      </w:r>
      <w:r w:rsidR="00E63480">
        <w:t xml:space="preserve">whether </w:t>
      </w:r>
      <w:r w:rsidR="009540AA">
        <w:t xml:space="preserve">final beneficiaries are </w:t>
      </w:r>
      <w:r w:rsidR="00407FF4">
        <w:t xml:space="preserve">covered by the requirements </w:t>
      </w:r>
      <w:r w:rsidR="00E63480">
        <w:t xml:space="preserve">that apply to fixed beneficiaries </w:t>
      </w:r>
      <w:r w:rsidR="00407FF4">
        <w:t>in section 59B(3)</w:t>
      </w:r>
      <w:r w:rsidR="004F3087">
        <w:t xml:space="preserve">(c) </w:t>
      </w:r>
      <w:r w:rsidR="00983553">
        <w:t xml:space="preserve">and (4) </w:t>
      </w:r>
      <w:r w:rsidR="004F3087">
        <w:t>or the requirements that apply to discretionary beneficiaries in section 59B(3</w:t>
      </w:r>
      <w:r w:rsidR="00983553">
        <w:t>)(e)</w:t>
      </w:r>
      <w:r w:rsidR="00407FF4">
        <w:t>.</w:t>
      </w:r>
    </w:p>
    <w:p w14:paraId="4AC09958" w14:textId="19208F26" w:rsidR="00685658" w:rsidRDefault="00685658" w:rsidP="0063260D">
      <w:pPr>
        <w:pStyle w:val="Heading1"/>
      </w:pPr>
      <w:r>
        <w:t xml:space="preserve">Issue </w:t>
      </w:r>
      <w:r w:rsidR="0063713D">
        <w:t>5</w:t>
      </w:r>
      <w:r>
        <w:t xml:space="preserve">: </w:t>
      </w:r>
      <w:r w:rsidR="00C16C04">
        <w:t>There is n</w:t>
      </w:r>
      <w:r>
        <w:t>o requirement to update annual return information when it changes</w:t>
      </w:r>
    </w:p>
    <w:p w14:paraId="7F0C6356" w14:textId="390475C8" w:rsidR="003D3DA4" w:rsidRDefault="00F00118" w:rsidP="0063260D">
      <w:r>
        <w:t xml:space="preserve">Section 59B(5) </w:t>
      </w:r>
      <w:r w:rsidR="00D36053">
        <w:t xml:space="preserve">of the TAA </w:t>
      </w:r>
      <w:r>
        <w:t>generally requires t</w:t>
      </w:r>
      <w:r w:rsidR="003D3DA4">
        <w:t xml:space="preserve">he contact trustee to notify the Commissioner of </w:t>
      </w:r>
      <w:r w:rsidR="00CB11B5">
        <w:t>additions or alterations to the information provided on registration, but not for information provided in annual returns.</w:t>
      </w:r>
    </w:p>
    <w:p w14:paraId="5335C0F9" w14:textId="52E7DBA3" w:rsidR="00685658" w:rsidRPr="00A7340A" w:rsidRDefault="00685658" w:rsidP="0063260D">
      <w:pPr>
        <w:pStyle w:val="Heading2"/>
      </w:pPr>
      <w:r w:rsidRPr="00A7340A">
        <w:t>Proposed change</w:t>
      </w:r>
    </w:p>
    <w:p w14:paraId="62DBC095" w14:textId="7B273EA9" w:rsidR="00DC1267" w:rsidRDefault="002F3079" w:rsidP="0063260D">
      <w:r>
        <w:t xml:space="preserve">We propose to require the contact trustee </w:t>
      </w:r>
      <w:r w:rsidR="009F41EE">
        <w:t>to notify the Commissioner o</w:t>
      </w:r>
      <w:r w:rsidR="000A208E">
        <w:t>f</w:t>
      </w:r>
      <w:r w:rsidR="009F41EE">
        <w:t xml:space="preserve"> additions or alterations to the information provided in annual returns (including information on new settlors and </w:t>
      </w:r>
      <w:r w:rsidR="00CE1296">
        <w:t xml:space="preserve">beneficiaries </w:t>
      </w:r>
      <w:r w:rsidR="00D36053">
        <w:t xml:space="preserve">with fixed interests </w:t>
      </w:r>
      <w:r w:rsidR="00CE1296">
        <w:t>— s</w:t>
      </w:r>
      <w:r w:rsidR="00CE1296" w:rsidRPr="00E0391D">
        <w:t xml:space="preserve">ee Issue </w:t>
      </w:r>
      <w:r w:rsidR="0063713D">
        <w:t>4</w:t>
      </w:r>
      <w:r w:rsidR="00CE1296" w:rsidRPr="00E0391D">
        <w:t>)</w:t>
      </w:r>
      <w:r w:rsidR="004C7A0B" w:rsidRPr="00E0391D">
        <w:t xml:space="preserve"> within 30 days </w:t>
      </w:r>
      <w:r w:rsidR="00E0391D" w:rsidRPr="00E0391D">
        <w:t>after becom</w:t>
      </w:r>
      <w:r w:rsidR="00B92439">
        <w:t>ing</w:t>
      </w:r>
      <w:r w:rsidR="00E0391D" w:rsidRPr="00E0391D">
        <w:t xml:space="preserve"> aware of the addition or alteration.</w:t>
      </w:r>
      <w:r w:rsidR="004C7A0B" w:rsidRPr="00DC1267">
        <w:t xml:space="preserve"> </w:t>
      </w:r>
      <w:r w:rsidR="00DC1267">
        <w:t>This is consistent with the existing time limit under section 59C(2) for disclosing changes to information provided on application for registration.</w:t>
      </w:r>
    </w:p>
    <w:p w14:paraId="5356B025" w14:textId="2B9BE4C3" w:rsidR="004C7A0B" w:rsidRPr="00DC1267" w:rsidRDefault="00DC1267" w:rsidP="0063260D">
      <w:r w:rsidRPr="00DC1267">
        <w:t xml:space="preserve">The effect of this change </w:t>
      </w:r>
      <w:r>
        <w:t>means that if, for example, a settlor’s physical address changes, the contact trustee must notify the Commissioner within 30 days after becoming aware of it, regardless of whether the settlor’s original address was provided on registration or in an annual return.</w:t>
      </w:r>
    </w:p>
    <w:p w14:paraId="7065E8D7" w14:textId="64E9717D" w:rsidR="00874232" w:rsidRDefault="00874232" w:rsidP="0063260D">
      <w:pPr>
        <w:pStyle w:val="Heading1"/>
      </w:pPr>
      <w:r w:rsidRPr="00A454B6">
        <w:t xml:space="preserve">Issue </w:t>
      </w:r>
      <w:r w:rsidR="0063713D">
        <w:t>6</w:t>
      </w:r>
      <w:r w:rsidRPr="00A454B6">
        <w:t xml:space="preserve">: </w:t>
      </w:r>
      <w:r w:rsidR="00060E8C" w:rsidRPr="00A454B6">
        <w:t>T</w:t>
      </w:r>
      <w:r w:rsidR="007D09EA" w:rsidRPr="00A454B6">
        <w:t xml:space="preserve">estamentary trusts </w:t>
      </w:r>
      <w:r w:rsidR="00B91840" w:rsidRPr="00A454B6">
        <w:t>do not have trust deed</w:t>
      </w:r>
      <w:r w:rsidR="00C16C04">
        <w:t>s</w:t>
      </w:r>
      <w:r w:rsidR="00B91840" w:rsidRPr="00A454B6">
        <w:t xml:space="preserve"> and </w:t>
      </w:r>
      <w:r w:rsidR="003879A3" w:rsidRPr="00A454B6">
        <w:t xml:space="preserve">cannot </w:t>
      </w:r>
      <w:r w:rsidR="005359FC" w:rsidRPr="00A454B6">
        <w:t>qualify for the foreign</w:t>
      </w:r>
      <w:r w:rsidR="00386231">
        <w:t>-</w:t>
      </w:r>
      <w:r w:rsidR="005359FC" w:rsidRPr="00A454B6">
        <w:t xml:space="preserve">sourced income exemption in section </w:t>
      </w:r>
      <w:r w:rsidR="003904FD" w:rsidRPr="00A454B6">
        <w:t>CW 54</w:t>
      </w:r>
    </w:p>
    <w:p w14:paraId="26AB1679" w14:textId="16A3E0FD" w:rsidR="005359FC" w:rsidRPr="0063260D" w:rsidRDefault="005359FC" w:rsidP="0063260D">
      <w:r w:rsidRPr="0063260D">
        <w:t>For a foreign trust to get the foreign</w:t>
      </w:r>
      <w:r w:rsidR="00386231" w:rsidRPr="0063260D">
        <w:t>-</w:t>
      </w:r>
      <w:r w:rsidRPr="0063260D">
        <w:t xml:space="preserve">sourced income </w:t>
      </w:r>
      <w:r w:rsidR="00386231" w:rsidRPr="0063260D">
        <w:t xml:space="preserve">exemption </w:t>
      </w:r>
      <w:r w:rsidRPr="0063260D">
        <w:t xml:space="preserve">in section </w:t>
      </w:r>
      <w:r w:rsidR="003904FD" w:rsidRPr="0063260D">
        <w:t>CW 54</w:t>
      </w:r>
      <w:r w:rsidR="00D36053" w:rsidRPr="0063260D">
        <w:t xml:space="preserve"> of the ITA</w:t>
      </w:r>
      <w:r w:rsidR="003904FD" w:rsidRPr="0063260D">
        <w:t xml:space="preserve">, it </w:t>
      </w:r>
      <w:r w:rsidRPr="0063260D">
        <w:t>must have a trust deed</w:t>
      </w:r>
      <w:r w:rsidR="003904FD" w:rsidRPr="0063260D">
        <w:t xml:space="preserve"> (section</w:t>
      </w:r>
      <w:r w:rsidR="00D604FF" w:rsidRPr="0063260D">
        <w:t>s</w:t>
      </w:r>
      <w:r w:rsidR="003904FD" w:rsidRPr="0063260D">
        <w:t xml:space="preserve"> HC 26</w:t>
      </w:r>
      <w:r w:rsidR="00D604FF" w:rsidRPr="0063260D">
        <w:t>(1)(c)(i) and (d)(i)</w:t>
      </w:r>
      <w:r w:rsidR="003904FD" w:rsidRPr="0063260D">
        <w:t>)</w:t>
      </w:r>
      <w:r w:rsidRPr="0063260D">
        <w:t>.</w:t>
      </w:r>
      <w:r w:rsidR="00D873BC" w:rsidRPr="0063260D">
        <w:t xml:space="preserve"> This requirement applies equally to foreign trusts established under a will (testamentary trusts) as it does to </w:t>
      </w:r>
      <w:r w:rsidR="009804A3" w:rsidRPr="0063260D">
        <w:t>trusts set up during a settlor’s lifetime (</w:t>
      </w:r>
      <w:r w:rsidR="00D873BC" w:rsidRPr="0063260D">
        <w:rPr>
          <w:rStyle w:val="Emphasis"/>
        </w:rPr>
        <w:t>inter vivos</w:t>
      </w:r>
      <w:r w:rsidR="00D873BC" w:rsidRPr="0063260D">
        <w:t xml:space="preserve"> trusts</w:t>
      </w:r>
      <w:r w:rsidR="009804A3" w:rsidRPr="0063260D">
        <w:t>)</w:t>
      </w:r>
      <w:r w:rsidR="00D873BC" w:rsidRPr="0063260D">
        <w:t>.</w:t>
      </w:r>
    </w:p>
    <w:p w14:paraId="4163F396" w14:textId="62BDB1CC" w:rsidR="00874232" w:rsidRDefault="009F2961" w:rsidP="0063260D">
      <w:r>
        <w:t xml:space="preserve">However, a </w:t>
      </w:r>
      <w:r w:rsidR="005359FC">
        <w:t xml:space="preserve">will is not </w:t>
      </w:r>
      <w:r>
        <w:t xml:space="preserve">legally </w:t>
      </w:r>
      <w:r w:rsidR="005359FC">
        <w:t xml:space="preserve">a trust deed. </w:t>
      </w:r>
      <w:r w:rsidR="00BA196D">
        <w:t>As a result,</w:t>
      </w:r>
      <w:r w:rsidR="00B576C5">
        <w:t xml:space="preserve"> foreign testamentary trusts are not currently able to obtain the foreign</w:t>
      </w:r>
      <w:r w:rsidR="00386231">
        <w:t>-</w:t>
      </w:r>
      <w:r w:rsidR="00B576C5">
        <w:t>sourced income exemption</w:t>
      </w:r>
      <w:r w:rsidR="00444395">
        <w:t>. We do not consider this was the intended policy result.</w:t>
      </w:r>
    </w:p>
    <w:p w14:paraId="3284A00E" w14:textId="77777777" w:rsidR="00874232" w:rsidRDefault="00874232" w:rsidP="0063260D">
      <w:pPr>
        <w:pStyle w:val="Heading2"/>
      </w:pPr>
      <w:r>
        <w:t>Proposed change</w:t>
      </w:r>
    </w:p>
    <w:p w14:paraId="67849F8D" w14:textId="2A686F34" w:rsidR="0063549C" w:rsidRDefault="005412D7" w:rsidP="0063260D">
      <w:r>
        <w:t xml:space="preserve">We propose to allow </w:t>
      </w:r>
      <w:r w:rsidR="003E671B">
        <w:t xml:space="preserve">testamentary trusts to </w:t>
      </w:r>
      <w:r w:rsidR="00612BA4">
        <w:t xml:space="preserve">obtain </w:t>
      </w:r>
      <w:r w:rsidR="003E671B">
        <w:t xml:space="preserve">the </w:t>
      </w:r>
      <w:r w:rsidR="00612BA4">
        <w:t>foreign</w:t>
      </w:r>
      <w:r w:rsidR="00386231">
        <w:t>-</w:t>
      </w:r>
      <w:r w:rsidR="00612BA4">
        <w:t xml:space="preserve">sourced income </w:t>
      </w:r>
      <w:r w:rsidR="003E671B">
        <w:t>exemption</w:t>
      </w:r>
      <w:r w:rsidR="0099513D">
        <w:t xml:space="preserve"> by allowing a will establishing a trust to be treated as a trust deed f</w:t>
      </w:r>
      <w:r w:rsidR="00612BA4">
        <w:t xml:space="preserve">or </w:t>
      </w:r>
      <w:r w:rsidR="00E61C2D">
        <w:t xml:space="preserve">the </w:t>
      </w:r>
      <w:r w:rsidR="003E671B">
        <w:t xml:space="preserve">purposes of </w:t>
      </w:r>
      <w:r w:rsidR="00F25C9C">
        <w:t>section HC </w:t>
      </w:r>
      <w:r w:rsidR="003E671B">
        <w:t>26.</w:t>
      </w:r>
    </w:p>
    <w:p w14:paraId="24FCF568" w14:textId="7B07B7BD" w:rsidR="00874232" w:rsidRPr="00685658" w:rsidRDefault="0063549C" w:rsidP="0063260D">
      <w:r>
        <w:t xml:space="preserve">We propose </w:t>
      </w:r>
      <w:r w:rsidR="00631133">
        <w:t xml:space="preserve">to make this </w:t>
      </w:r>
      <w:r w:rsidR="0099513D">
        <w:t xml:space="preserve">change retrospective to </w:t>
      </w:r>
      <w:r w:rsidR="0027699F">
        <w:t xml:space="preserve">21 February 2017, when the </w:t>
      </w:r>
      <w:r w:rsidR="0027699F" w:rsidRPr="0027699F">
        <w:t>new disclosure requirements came into effect</w:t>
      </w:r>
      <w:r w:rsidR="0027699F">
        <w:t>.</w:t>
      </w:r>
    </w:p>
    <w:p w14:paraId="54E39269" w14:textId="037EE381" w:rsidR="00874232" w:rsidRDefault="003F2144" w:rsidP="0063260D">
      <w:pPr>
        <w:pStyle w:val="Heading1"/>
      </w:pPr>
      <w:r>
        <w:t xml:space="preserve">Issue </w:t>
      </w:r>
      <w:r w:rsidR="0063713D">
        <w:t>7</w:t>
      </w:r>
      <w:r>
        <w:t xml:space="preserve">: The foreign trust disclosure rules in the TAA are not included in the </w:t>
      </w:r>
      <w:r w:rsidR="0059443C">
        <w:t>ITA definition of “trust rules”</w:t>
      </w:r>
    </w:p>
    <w:p w14:paraId="2363E4FD" w14:textId="35EA7586" w:rsidR="008B59E9" w:rsidRDefault="001779D6" w:rsidP="0063260D">
      <w:r>
        <w:t>T</w:t>
      </w:r>
      <w:r w:rsidR="008B59E9">
        <w:t xml:space="preserve">he </w:t>
      </w:r>
      <w:r>
        <w:t xml:space="preserve">foreign trust </w:t>
      </w:r>
      <w:r w:rsidR="008B59E9">
        <w:t xml:space="preserve">registration and disclosure rules in sections </w:t>
      </w:r>
      <w:r w:rsidR="008B59E9" w:rsidRPr="00A1521C">
        <w:t>59B</w:t>
      </w:r>
      <w:r w:rsidR="00BD1C81">
        <w:t xml:space="preserve"> to </w:t>
      </w:r>
      <w:r w:rsidR="008B59E9">
        <w:t>59</w:t>
      </w:r>
      <w:r w:rsidR="008B59E9" w:rsidRPr="00A1521C">
        <w:t>E</w:t>
      </w:r>
      <w:r>
        <w:t xml:space="preserve"> of the TAA are not included in the definition of “trust rules” </w:t>
      </w:r>
      <w:r w:rsidR="008D6BC1">
        <w:t xml:space="preserve">in </w:t>
      </w:r>
      <w:r>
        <w:t xml:space="preserve">section </w:t>
      </w:r>
      <w:r w:rsidRPr="00A1521C">
        <w:t>Y</w:t>
      </w:r>
      <w:r w:rsidR="00C3786F">
        <w:t>A</w:t>
      </w:r>
      <w:r w:rsidRPr="00A1521C">
        <w:t xml:space="preserve"> 1 of the ITA</w:t>
      </w:r>
      <w:r w:rsidR="008D6BC1">
        <w:t xml:space="preserve">. </w:t>
      </w:r>
      <w:r w:rsidR="00E90C4D">
        <w:t>Accordingly</w:t>
      </w:r>
      <w:r w:rsidR="00D435B1">
        <w:t>,</w:t>
      </w:r>
      <w:r w:rsidR="00E90C4D">
        <w:t xml:space="preserve"> s</w:t>
      </w:r>
      <w:r w:rsidR="001F68DD">
        <w:t xml:space="preserve">ome </w:t>
      </w:r>
      <w:r w:rsidR="00BA3FC0">
        <w:t>provisions</w:t>
      </w:r>
      <w:r w:rsidR="00985D74">
        <w:t xml:space="preserve"> </w:t>
      </w:r>
      <w:r w:rsidR="000D6969">
        <w:t>and definition</w:t>
      </w:r>
      <w:r w:rsidR="008F4837">
        <w:t xml:space="preserve">s </w:t>
      </w:r>
      <w:r w:rsidR="00985D74">
        <w:t>that should apply to the foreign trust disclosure rules</w:t>
      </w:r>
      <w:r w:rsidR="00B10321">
        <w:t xml:space="preserve"> do not. An example is </w:t>
      </w:r>
      <w:r w:rsidR="0036283F">
        <w:t>section HC 28</w:t>
      </w:r>
      <w:r w:rsidR="00B10321">
        <w:t>,</w:t>
      </w:r>
      <w:r w:rsidR="0036283F">
        <w:t xml:space="preserve"> which </w:t>
      </w:r>
      <w:r w:rsidR="006857AD">
        <w:t>contains an expanded definition of “settlor” for the purpose of the trust rules</w:t>
      </w:r>
      <w:r w:rsidR="00E90C4D">
        <w:t>.</w:t>
      </w:r>
    </w:p>
    <w:p w14:paraId="1C47773D" w14:textId="7EAB6F37" w:rsidR="00B76426" w:rsidRDefault="00045B9F" w:rsidP="0063260D">
      <w:r>
        <w:t xml:space="preserve">There was never a policy intention to treat persons falling under the section HC 27 </w:t>
      </w:r>
      <w:r w:rsidR="00082696">
        <w:t xml:space="preserve">definition of a “settlor” differently from persons falling under </w:t>
      </w:r>
      <w:r w:rsidR="00850BB6">
        <w:t xml:space="preserve">the expanded definition in </w:t>
      </w:r>
      <w:r w:rsidR="00082696">
        <w:t>section HC 28</w:t>
      </w:r>
      <w:r w:rsidR="00850BB6">
        <w:t xml:space="preserve"> for the purposes of the foreign trust disclosure rules</w:t>
      </w:r>
      <w:r w:rsidR="00ED3D40">
        <w:t xml:space="preserve">. </w:t>
      </w:r>
      <w:r w:rsidR="0020399E">
        <w:t>T</w:t>
      </w:r>
      <w:r w:rsidR="00ED3D40">
        <w:t>he legislative history</w:t>
      </w:r>
      <w:r w:rsidR="00E12FE3">
        <w:t xml:space="preserve"> of section HC 28</w:t>
      </w:r>
      <w:r w:rsidR="00ED3D40">
        <w:t xml:space="preserve"> </w:t>
      </w:r>
      <w:r w:rsidR="00E12FE3">
        <w:t xml:space="preserve">suggests that </w:t>
      </w:r>
      <w:r w:rsidR="00F1391B">
        <w:t>the section</w:t>
      </w:r>
      <w:r w:rsidR="00E12FE3">
        <w:t xml:space="preserve"> was split out </w:t>
      </w:r>
      <w:r w:rsidR="00670681">
        <w:t>for legibility reasons rather than policy reasons.</w:t>
      </w:r>
    </w:p>
    <w:p w14:paraId="75D45627" w14:textId="7E9823A5" w:rsidR="00082696" w:rsidRPr="005934E2" w:rsidRDefault="009A32A5" w:rsidP="0063260D">
      <w:pPr>
        <w:rPr>
          <w:lang w:val="en-GB"/>
        </w:rPr>
      </w:pPr>
      <w:r>
        <w:t>We recognise</w:t>
      </w:r>
      <w:r w:rsidR="00FE5720">
        <w:t>, however,</w:t>
      </w:r>
      <w:r>
        <w:t xml:space="preserve"> </w:t>
      </w:r>
      <w:r w:rsidR="00A71106">
        <w:t xml:space="preserve">the intention </w:t>
      </w:r>
      <w:r w:rsidR="00731682">
        <w:t xml:space="preserve">that </w:t>
      </w:r>
      <w:r w:rsidR="00FE5720">
        <w:t xml:space="preserve">people who </w:t>
      </w:r>
      <w:r w:rsidR="008E19DD">
        <w:t xml:space="preserve">have </w:t>
      </w:r>
      <w:r w:rsidR="00FE5720">
        <w:t xml:space="preserve">provided </w:t>
      </w:r>
      <w:r w:rsidR="008E19DD">
        <w:t xml:space="preserve">minor and incidental </w:t>
      </w:r>
      <w:r w:rsidR="00FE5720">
        <w:t xml:space="preserve">services to </w:t>
      </w:r>
      <w:r w:rsidR="008E19DD">
        <w:t xml:space="preserve">a </w:t>
      </w:r>
      <w:r w:rsidR="00FE5720">
        <w:t xml:space="preserve">trust </w:t>
      </w:r>
      <w:r w:rsidR="00A71106">
        <w:t>for consideration below market value</w:t>
      </w:r>
      <w:r w:rsidR="00FE5720">
        <w:t xml:space="preserve">, </w:t>
      </w:r>
      <w:r w:rsidR="00A71106">
        <w:t xml:space="preserve">would not be regarded as “settlors” for the </w:t>
      </w:r>
      <w:r w:rsidR="00FE5720">
        <w:t>purposes of the foreign trust disclosure rules</w:t>
      </w:r>
      <w:r w:rsidR="00BD3CCD">
        <w:t xml:space="preserve"> (even though they would be “settlors” for </w:t>
      </w:r>
      <w:r w:rsidR="00F36F2E">
        <w:t xml:space="preserve">other income tax </w:t>
      </w:r>
      <w:r w:rsidR="00BD3CCD">
        <w:t>purposes)</w:t>
      </w:r>
      <w:r w:rsidR="00A71106">
        <w:t>.</w:t>
      </w:r>
      <w:r w:rsidR="00731682">
        <w:rPr>
          <w:rStyle w:val="FootnoteReference"/>
        </w:rPr>
        <w:footnoteReference w:id="2"/>
      </w:r>
      <w:r w:rsidR="00B76426">
        <w:t xml:space="preserve"> That intention is </w:t>
      </w:r>
      <w:r w:rsidR="00D4556D">
        <w:t xml:space="preserve">already </w:t>
      </w:r>
      <w:r w:rsidR="00B76426">
        <w:t xml:space="preserve">achieved through the </w:t>
      </w:r>
      <w:r w:rsidR="00E67C1B">
        <w:t xml:space="preserve">specific carveouts in </w:t>
      </w:r>
      <w:r w:rsidR="00B76426">
        <w:t>section</w:t>
      </w:r>
      <w:r w:rsidR="005934E2">
        <w:t>s</w:t>
      </w:r>
      <w:r w:rsidR="00B76426">
        <w:t xml:space="preserve"> 59B(</w:t>
      </w:r>
      <w:r w:rsidR="00E67C1B">
        <w:t>3)(b)</w:t>
      </w:r>
      <w:r w:rsidR="005934E2">
        <w:t xml:space="preserve"> and 59D(2)(b)(i)</w:t>
      </w:r>
      <w:r w:rsidR="00D4556D">
        <w:t xml:space="preserve"> and will not be affected by </w:t>
      </w:r>
      <w:r w:rsidR="00F35857">
        <w:t xml:space="preserve">including </w:t>
      </w:r>
      <w:r w:rsidR="00D4556D">
        <w:t xml:space="preserve">the foreign </w:t>
      </w:r>
      <w:r w:rsidR="00F35857">
        <w:t>trust disclosure rules in the definition of “trust rules”.</w:t>
      </w:r>
    </w:p>
    <w:p w14:paraId="4CAE71BD" w14:textId="54B10D85" w:rsidR="00E03636" w:rsidRDefault="00E03636" w:rsidP="0063260D">
      <w:pPr>
        <w:pStyle w:val="Heading2"/>
      </w:pPr>
      <w:r>
        <w:t>Proposed change</w:t>
      </w:r>
    </w:p>
    <w:p w14:paraId="276079D0" w14:textId="11D69382" w:rsidR="00E03636" w:rsidRDefault="00F105D0" w:rsidP="0063260D">
      <w:r>
        <w:t xml:space="preserve">We propose </w:t>
      </w:r>
      <w:r w:rsidR="005777C7">
        <w:t xml:space="preserve">to </w:t>
      </w:r>
      <w:r>
        <w:t>amend the definition of “trust rules” in the ITA to include the foreign trust registration and disclosure rules in sections 59B</w:t>
      </w:r>
      <w:r w:rsidR="0020399E">
        <w:t xml:space="preserve"> to </w:t>
      </w:r>
      <w:r>
        <w:t>59E of the TAA.</w:t>
      </w:r>
    </w:p>
    <w:p w14:paraId="3CAA0296" w14:textId="6FE5A5E2" w:rsidR="00A36D48" w:rsidRDefault="00A36D48" w:rsidP="0063260D">
      <w:pPr>
        <w:pStyle w:val="Heading1"/>
      </w:pPr>
      <w:r>
        <w:t xml:space="preserve">Issue </w:t>
      </w:r>
      <w:r w:rsidR="0063713D">
        <w:t>8</w:t>
      </w:r>
      <w:r>
        <w:t>: The Commissioner has no discretion to allow the foreign</w:t>
      </w:r>
      <w:r w:rsidR="00386231">
        <w:t>-</w:t>
      </w:r>
      <w:r>
        <w:t>source</w:t>
      </w:r>
      <w:r w:rsidR="00386231">
        <w:t>d</w:t>
      </w:r>
      <w:r>
        <w:t xml:space="preserve"> </w:t>
      </w:r>
      <w:r w:rsidR="00386231">
        <w:t xml:space="preserve">income </w:t>
      </w:r>
      <w:r>
        <w:t>exemption where the foreign trust was not registered at the relevant time</w:t>
      </w:r>
    </w:p>
    <w:p w14:paraId="570F338D" w14:textId="36CCF341" w:rsidR="00A36D48" w:rsidRDefault="00A36D48" w:rsidP="0063260D">
      <w:r>
        <w:t>If a resident foreign trustee has satisfied the Commissioner that the trustee made reasonable efforts in the income year to comply with the requirements of sections 22, 59B, 59C or 59D of the TAA, and has corrected the failure to comply within a reasonable period after becoming aware of the failure, the trust may still obtain the foreign</w:t>
      </w:r>
      <w:r w:rsidR="00386231">
        <w:t>-</w:t>
      </w:r>
      <w:r>
        <w:t>source</w:t>
      </w:r>
      <w:r w:rsidR="00386231">
        <w:t>d</w:t>
      </w:r>
      <w:r>
        <w:t xml:space="preserve"> income exemption under section HC 26(1B)</w:t>
      </w:r>
      <w:r w:rsidR="00C61AA7">
        <w:t xml:space="preserve"> of the ITA</w:t>
      </w:r>
      <w:r>
        <w:t>.</w:t>
      </w:r>
    </w:p>
    <w:p w14:paraId="24D493BE" w14:textId="4534CD69" w:rsidR="00A36D48" w:rsidRPr="0063260D" w:rsidRDefault="00A36D48" w:rsidP="0063260D">
      <w:r w:rsidRPr="0063260D">
        <w:t xml:space="preserve">However, that same power is not available to the Commissioner if a foreign trust was not </w:t>
      </w:r>
      <w:r w:rsidRPr="0063260D">
        <w:rPr>
          <w:rStyle w:val="Emphasis"/>
        </w:rPr>
        <w:t>registered</w:t>
      </w:r>
      <w:r w:rsidRPr="0063260D">
        <w:t xml:space="preserve"> at the times required by section HC 26(1)(d)(ii) and (iii), even if the trustee had made reasonable efforts to be registered in time. </w:t>
      </w:r>
      <w:r w:rsidR="00A02992" w:rsidRPr="0063260D">
        <w:t xml:space="preserve">There </w:t>
      </w:r>
      <w:r w:rsidR="006A1154">
        <w:t xml:space="preserve">is no </w:t>
      </w:r>
      <w:r w:rsidR="00A02992" w:rsidRPr="0063260D">
        <w:t xml:space="preserve">policy reason for </w:t>
      </w:r>
      <w:r w:rsidR="00C51557" w:rsidRPr="0063260D">
        <w:t>this difference in treatment.</w:t>
      </w:r>
    </w:p>
    <w:p w14:paraId="0A349E4B" w14:textId="77777777" w:rsidR="00A36D48" w:rsidRDefault="00A36D48" w:rsidP="0063260D">
      <w:pPr>
        <w:pStyle w:val="Heading2"/>
      </w:pPr>
      <w:r>
        <w:t>Proposed change</w:t>
      </w:r>
    </w:p>
    <w:p w14:paraId="1FA9548D" w14:textId="07226AEB" w:rsidR="00A36D48" w:rsidRDefault="00A36D48" w:rsidP="0063260D">
      <w:r>
        <w:t>We are considering two ways in which this issue may be fixed</w:t>
      </w:r>
      <w:r w:rsidR="00091DA1">
        <w:t>. Where the trustee has made reasonable efforts to be registered in time and the other conditions for the exemption are met, either</w:t>
      </w:r>
      <w:r>
        <w:t>:</w:t>
      </w:r>
    </w:p>
    <w:p w14:paraId="09DD3A4D" w14:textId="691F9DF4" w:rsidR="00A36D48" w:rsidRDefault="00181D59" w:rsidP="0063260D">
      <w:pPr>
        <w:pStyle w:val="ListBullet"/>
      </w:pPr>
      <w:r>
        <w:t>g</w:t>
      </w:r>
      <w:r w:rsidR="00091DA1">
        <w:t xml:space="preserve">ive </w:t>
      </w:r>
      <w:r w:rsidR="00A36D48">
        <w:t>the Commissioner a discretion to allow the foreign</w:t>
      </w:r>
      <w:r w:rsidR="00386231">
        <w:t>-</w:t>
      </w:r>
      <w:r w:rsidR="00A36D48">
        <w:t>source</w:t>
      </w:r>
      <w:r w:rsidR="00386231">
        <w:t>d income</w:t>
      </w:r>
      <w:r w:rsidR="00A36D48">
        <w:t xml:space="preserve"> exemption</w:t>
      </w:r>
      <w:r>
        <w:t>,</w:t>
      </w:r>
      <w:r w:rsidR="00A36D48">
        <w:t xml:space="preserve"> or</w:t>
      </w:r>
    </w:p>
    <w:p w14:paraId="07125F56" w14:textId="6E7C29C6" w:rsidR="00A36D48" w:rsidRDefault="00365939" w:rsidP="0063260D">
      <w:pPr>
        <w:pStyle w:val="ListBullet"/>
      </w:pPr>
      <w:r>
        <w:t>a</w:t>
      </w:r>
      <w:r w:rsidR="00A36D48">
        <w:t>llow the Commissioner to backdate a registration.</w:t>
      </w:r>
    </w:p>
    <w:p w14:paraId="7B245A52" w14:textId="5819D020" w:rsidR="00A36D48" w:rsidRPr="0063260D" w:rsidRDefault="00A36D48" w:rsidP="0063260D">
      <w:r w:rsidRPr="0063260D">
        <w:t>We invite submissions on which of the two approaches is preferred. At this stage, we consider backdating the registration would most likely be simpler and cleaner, particularly where the trust has derived multiple items of foreign</w:t>
      </w:r>
      <w:r w:rsidR="00386231" w:rsidRPr="0063260D">
        <w:t>-</w:t>
      </w:r>
      <w:r w:rsidRPr="0063260D">
        <w:t>sourced income in the relevant period.</w:t>
      </w:r>
    </w:p>
    <w:p w14:paraId="7426DF41" w14:textId="3FAD659D" w:rsidR="0045560E" w:rsidRPr="00447F82" w:rsidRDefault="0045560E" w:rsidP="0063260D">
      <w:pPr>
        <w:pStyle w:val="Heading1"/>
      </w:pPr>
      <w:r w:rsidRPr="002674D3">
        <w:t xml:space="preserve">Issue </w:t>
      </w:r>
      <w:r w:rsidR="0063713D">
        <w:t>9</w:t>
      </w:r>
      <w:r w:rsidRPr="00447F82">
        <w:t xml:space="preserve">: The penalties have not been updated to reflect the 2017 </w:t>
      </w:r>
      <w:r w:rsidR="006A087E" w:rsidRPr="00447F82">
        <w:t>requirements</w:t>
      </w:r>
      <w:r w:rsidR="009E6081" w:rsidRPr="00447F82">
        <w:t xml:space="preserve"> and are not fit for purpose</w:t>
      </w:r>
    </w:p>
    <w:p w14:paraId="1A3E3A5F" w14:textId="6D0E95A8" w:rsidR="00B0500D" w:rsidRPr="00447F82" w:rsidRDefault="00970974" w:rsidP="0063260D">
      <w:r w:rsidRPr="00447F82">
        <w:t xml:space="preserve">When the registration and disclosure requirements were enacted, penalties </w:t>
      </w:r>
      <w:r w:rsidR="004C104D" w:rsidRPr="00447F82">
        <w:t xml:space="preserve">for non-compliance </w:t>
      </w:r>
      <w:r w:rsidRPr="00447F82">
        <w:t xml:space="preserve">were not </w:t>
      </w:r>
      <w:r w:rsidR="004C104D" w:rsidRPr="00447F82">
        <w:t xml:space="preserve">correspondingly </w:t>
      </w:r>
      <w:r w:rsidRPr="00447F82">
        <w:t>enacted or updated</w:t>
      </w:r>
      <w:r w:rsidR="004C104D" w:rsidRPr="00447F82">
        <w:t>.</w:t>
      </w:r>
      <w:r w:rsidR="00B0500D" w:rsidRPr="00447F82">
        <w:t xml:space="preserve"> </w:t>
      </w:r>
      <w:r w:rsidR="00FC3AA1" w:rsidRPr="00447F82">
        <w:t>In particular, sections 143(1B) and (1C) of the TAA, which set out how the absolute liability offences</w:t>
      </w:r>
      <w:r w:rsidR="00FC3AA1" w:rsidRPr="006A087E">
        <w:t xml:space="preserve"> in section 143(1)</w:t>
      </w:r>
      <w:r w:rsidR="00CC34F6" w:rsidRPr="006A087E">
        <w:t xml:space="preserve"> apply to resident foreign trustees</w:t>
      </w:r>
      <w:r w:rsidR="00FC3AA1" w:rsidRPr="006A087E">
        <w:t xml:space="preserve">, reflect the wording of the pre-2017 disclosure regime. For example, section 143(1C) refers only to section 59B (registration and initial disclosure requirement) but not </w:t>
      </w:r>
      <w:r w:rsidR="006E24A7">
        <w:t xml:space="preserve">to </w:t>
      </w:r>
      <w:r w:rsidR="00FC3AA1" w:rsidRPr="006A087E">
        <w:t xml:space="preserve">section </w:t>
      </w:r>
      <w:r w:rsidR="00FC3AA1" w:rsidRPr="00447F82">
        <w:t>59D (annual return requirement)</w:t>
      </w:r>
      <w:r w:rsidR="007F7AB1" w:rsidRPr="00447F82">
        <w:t>; and</w:t>
      </w:r>
      <w:r w:rsidR="001676BC" w:rsidRPr="00447F82">
        <w:t xml:space="preserve"> section 143(1C)(b) refers to</w:t>
      </w:r>
      <w:r w:rsidR="007F7AB1" w:rsidRPr="00447F82">
        <w:t xml:space="preserve"> the appointment of another resident foreign trustee under</w:t>
      </w:r>
      <w:r w:rsidR="001676BC" w:rsidRPr="00447F82">
        <w:t xml:space="preserve"> section 59B(7)</w:t>
      </w:r>
      <w:r w:rsidR="001E1657" w:rsidRPr="00447F82">
        <w:t xml:space="preserve"> even though that subsection no longer provides for the appointment of a trustee.</w:t>
      </w:r>
    </w:p>
    <w:p w14:paraId="44DE6C8F" w14:textId="26C3E808" w:rsidR="00A755E9" w:rsidRPr="00447F82" w:rsidRDefault="00FB1163" w:rsidP="0063260D">
      <w:r w:rsidRPr="00447F82">
        <w:t>Furthermore, t</w:t>
      </w:r>
      <w:r w:rsidR="00B0500D" w:rsidRPr="00447F82">
        <w:t>he main consequence of non-compliance</w:t>
      </w:r>
      <w:r w:rsidR="00ED2CC9" w:rsidRPr="00447F82">
        <w:t xml:space="preserve"> with the 2017 requirements</w:t>
      </w:r>
      <w:r w:rsidR="00B0500D" w:rsidRPr="00447F82">
        <w:t xml:space="preserve"> is that the foreign trust </w:t>
      </w:r>
      <w:r w:rsidR="00A257F9" w:rsidRPr="00447F82">
        <w:t>will not be able to use the foreign-sour</w:t>
      </w:r>
      <w:r w:rsidR="0022008E">
        <w:t>c</w:t>
      </w:r>
      <w:r w:rsidR="00A257F9" w:rsidRPr="00447F82">
        <w:t>ed income exemption</w:t>
      </w:r>
      <w:r w:rsidR="00ED2CC9" w:rsidRPr="00447F82">
        <w:t xml:space="preserve">. There is an exception in section HC 26(1B) (discussed above under Issue </w:t>
      </w:r>
      <w:r w:rsidR="0063713D">
        <w:t>8</w:t>
      </w:r>
      <w:r w:rsidR="00ED2CC9" w:rsidRPr="00447F82">
        <w:t xml:space="preserve">), </w:t>
      </w:r>
      <w:r w:rsidR="00001A00" w:rsidRPr="00447F82">
        <w:t>which can apply when the Commissioner is satisfied that the trustee has made reasonable efforts to comply.</w:t>
      </w:r>
      <w:r w:rsidR="00A755E9" w:rsidRPr="00447F82">
        <w:t xml:space="preserve"> </w:t>
      </w:r>
      <w:r w:rsidR="00B82EE0" w:rsidRPr="00447F82">
        <w:t xml:space="preserve">However, this </w:t>
      </w:r>
      <w:r w:rsidR="008446A5" w:rsidRPr="00447F82">
        <w:t xml:space="preserve">is </w:t>
      </w:r>
      <w:r w:rsidR="00B82EE0" w:rsidRPr="00447F82">
        <w:t xml:space="preserve">all-or-nothing </w:t>
      </w:r>
      <w:r w:rsidR="00B6796F" w:rsidRPr="00447F82">
        <w:t xml:space="preserve">in its effect </w:t>
      </w:r>
      <w:r w:rsidR="00B82EE0" w:rsidRPr="00447F82">
        <w:t>(</w:t>
      </w:r>
      <w:r w:rsidR="0022008E">
        <w:t>that is,</w:t>
      </w:r>
      <w:r w:rsidR="00075422" w:rsidRPr="00447F82">
        <w:t xml:space="preserve"> the exemption either applies or it does not) </w:t>
      </w:r>
      <w:r w:rsidR="008446A5" w:rsidRPr="00447F82">
        <w:t xml:space="preserve">which means that the </w:t>
      </w:r>
      <w:r w:rsidR="00B6796F" w:rsidRPr="00447F82">
        <w:t xml:space="preserve">consequences of </w:t>
      </w:r>
      <w:r w:rsidR="0022008E" w:rsidRPr="00447F82">
        <w:t>no</w:t>
      </w:r>
      <w:r w:rsidR="0022008E">
        <w:t xml:space="preserve">t </w:t>
      </w:r>
      <w:r w:rsidR="0022008E" w:rsidRPr="00447F82">
        <w:t>compl</w:t>
      </w:r>
      <w:r w:rsidR="0022008E">
        <w:t>ying</w:t>
      </w:r>
      <w:r w:rsidR="0022008E" w:rsidRPr="00447F82">
        <w:t xml:space="preserve"> </w:t>
      </w:r>
      <w:r w:rsidR="00B6796F" w:rsidRPr="00447F82">
        <w:t xml:space="preserve">may be disproportionate to the seriousness </w:t>
      </w:r>
      <w:r w:rsidR="00F90BBD" w:rsidRPr="00447F82">
        <w:t xml:space="preserve">of, </w:t>
      </w:r>
      <w:r w:rsidR="00B6796F" w:rsidRPr="00447F82">
        <w:t xml:space="preserve">or culpability involved </w:t>
      </w:r>
      <w:r w:rsidR="00F90BBD" w:rsidRPr="00447F82">
        <w:t>in, the non-compliance.</w:t>
      </w:r>
    </w:p>
    <w:p w14:paraId="169FA29A" w14:textId="0ADE37C8" w:rsidR="006C532F" w:rsidRPr="00447F82" w:rsidRDefault="003831AC" w:rsidP="0063260D">
      <w:r w:rsidRPr="00447F82">
        <w:t xml:space="preserve">For example, a </w:t>
      </w:r>
      <w:r w:rsidR="003F25A5" w:rsidRPr="00447F82">
        <w:t xml:space="preserve">resident trustee may not have taken reasonable efforts to comply with </w:t>
      </w:r>
      <w:r w:rsidR="00A755E9" w:rsidRPr="00447F82">
        <w:t xml:space="preserve">all the disclosure </w:t>
      </w:r>
      <w:r w:rsidR="00276F3A" w:rsidRPr="00447F82">
        <w:t>requirements,</w:t>
      </w:r>
      <w:r w:rsidR="00A755E9" w:rsidRPr="00447F82">
        <w:t xml:space="preserve"> but </w:t>
      </w:r>
      <w:r w:rsidR="0022008E">
        <w:t>ultimately did comply</w:t>
      </w:r>
      <w:r w:rsidR="00CD334B" w:rsidRPr="00447F82">
        <w:t xml:space="preserve">. </w:t>
      </w:r>
      <w:r w:rsidR="003A453D">
        <w:t>Denying</w:t>
      </w:r>
      <w:r w:rsidR="00821FF6" w:rsidRPr="00447F82">
        <w:t xml:space="preserve"> the foreign-sourced income exemption </w:t>
      </w:r>
      <w:r w:rsidR="009261B3" w:rsidRPr="00447F82">
        <w:t xml:space="preserve">altogether in such a case </w:t>
      </w:r>
      <w:r w:rsidR="009B0EC5" w:rsidRPr="00447F82">
        <w:t xml:space="preserve">may </w:t>
      </w:r>
      <w:r w:rsidR="00821FF6" w:rsidRPr="00447F82">
        <w:t xml:space="preserve">be considered excessively harsh, </w:t>
      </w:r>
      <w:r w:rsidR="009261B3" w:rsidRPr="00447F82">
        <w:t xml:space="preserve">but at the same time </w:t>
      </w:r>
      <w:r w:rsidR="00821FF6" w:rsidRPr="00447F82">
        <w:t xml:space="preserve">the Commissioner may not </w:t>
      </w:r>
      <w:r w:rsidR="009B0EC5" w:rsidRPr="00447F82">
        <w:t>be satisfied that the exception in section HC 26(1B) is made out.</w:t>
      </w:r>
    </w:p>
    <w:p w14:paraId="50D74A91" w14:textId="7579494F" w:rsidR="0064536D" w:rsidRPr="00447F82" w:rsidRDefault="00593378" w:rsidP="0063260D">
      <w:r w:rsidRPr="00447F82">
        <w:t xml:space="preserve">On the other hand, </w:t>
      </w:r>
      <w:r w:rsidR="009965D5" w:rsidRPr="00447F82">
        <w:t>where</w:t>
      </w:r>
      <w:r w:rsidR="006C532F" w:rsidRPr="00447F82">
        <w:t xml:space="preserve"> </w:t>
      </w:r>
      <w:r w:rsidR="002D1A65" w:rsidRPr="00447F82">
        <w:t xml:space="preserve">the Commissioner is satisfied the exception is made out, it could be </w:t>
      </w:r>
      <w:r w:rsidR="00B43BF9" w:rsidRPr="00447F82">
        <w:t xml:space="preserve">considered </w:t>
      </w:r>
      <w:r w:rsidR="002D1A65" w:rsidRPr="00447F82">
        <w:t xml:space="preserve">unsatisfactory that the </w:t>
      </w:r>
      <w:r w:rsidR="00B43BF9" w:rsidRPr="00447F82">
        <w:t>foreign trust effectively suffered no consequences</w:t>
      </w:r>
      <w:r w:rsidR="000965A9" w:rsidRPr="00447F82">
        <w:t xml:space="preserve"> for its non-compliance</w:t>
      </w:r>
      <w:r w:rsidR="00B43BF9" w:rsidRPr="00447F82">
        <w:t>.</w:t>
      </w:r>
      <w:r w:rsidR="006C532F" w:rsidRPr="00447F82">
        <w:t xml:space="preserve"> Similarly, </w:t>
      </w:r>
      <w:r w:rsidR="003A453D">
        <w:t>denying</w:t>
      </w:r>
      <w:r w:rsidR="006C532F" w:rsidRPr="00447F82">
        <w:t xml:space="preserve"> the foreign</w:t>
      </w:r>
      <w:r w:rsidR="00386231">
        <w:t>-</w:t>
      </w:r>
      <w:r w:rsidR="006C532F" w:rsidRPr="00447F82">
        <w:t>source</w:t>
      </w:r>
      <w:r w:rsidR="00386231">
        <w:t>d income</w:t>
      </w:r>
      <w:r w:rsidR="006C532F" w:rsidRPr="00447F82">
        <w:t xml:space="preserve"> exemption would not have any effect on a foreign trust that </w:t>
      </w:r>
      <w:r w:rsidR="00F0332E" w:rsidRPr="00447F82">
        <w:t xml:space="preserve">does not derive </w:t>
      </w:r>
      <w:r w:rsidR="006C532F" w:rsidRPr="00447F82">
        <w:t>foreign</w:t>
      </w:r>
      <w:r w:rsidR="00386231">
        <w:t>-</w:t>
      </w:r>
      <w:r w:rsidR="006C532F" w:rsidRPr="00447F82">
        <w:t>source</w:t>
      </w:r>
      <w:r w:rsidR="00386231">
        <w:t>d</w:t>
      </w:r>
      <w:r w:rsidR="00F0332E" w:rsidRPr="00447F82">
        <w:t xml:space="preserve"> income.</w:t>
      </w:r>
    </w:p>
    <w:p w14:paraId="750E9292" w14:textId="1CB86A94" w:rsidR="00970974" w:rsidRPr="00447F82" w:rsidRDefault="00CE731E" w:rsidP="0063260D">
      <w:r w:rsidRPr="00447F82">
        <w:t xml:space="preserve">Another compliance tool, such as a civil penalty, could assist the administration of </w:t>
      </w:r>
      <w:r w:rsidR="0064536D" w:rsidRPr="00447F82">
        <w:t>the foreign trust registration and disclosure regime,</w:t>
      </w:r>
      <w:r w:rsidR="00980CD5" w:rsidRPr="00447F82">
        <w:t xml:space="preserve"> having regard to the purpose of that regime</w:t>
      </w:r>
      <w:r w:rsidR="0064536D" w:rsidRPr="00447F82">
        <w:t xml:space="preserve">. </w:t>
      </w:r>
      <w:r w:rsidR="00FC2119" w:rsidRPr="00447F82">
        <w:t xml:space="preserve">A civil penalty could be imposed in a way that is </w:t>
      </w:r>
      <w:r w:rsidR="0064536D" w:rsidRPr="00447F82">
        <w:t>more proportionate to the offence committed.</w:t>
      </w:r>
    </w:p>
    <w:p w14:paraId="64D15873" w14:textId="400B7C61" w:rsidR="0045560E" w:rsidRPr="00FB1163" w:rsidRDefault="0045560E" w:rsidP="0063260D">
      <w:pPr>
        <w:pStyle w:val="Heading2"/>
      </w:pPr>
      <w:r w:rsidRPr="00447F82">
        <w:t>Proposed change</w:t>
      </w:r>
      <w:r w:rsidR="004121D1" w:rsidRPr="00447F82">
        <w:t>s</w:t>
      </w:r>
    </w:p>
    <w:p w14:paraId="60464810" w14:textId="69DD78AB" w:rsidR="00E35F05" w:rsidRDefault="00FB1163" w:rsidP="00032345">
      <w:r>
        <w:t>We propose to u</w:t>
      </w:r>
      <w:r w:rsidR="004C104D" w:rsidRPr="00FB1163">
        <w:t>pdate section 143</w:t>
      </w:r>
      <w:r>
        <w:t xml:space="preserve"> of the TAA to take into account the 2017</w:t>
      </w:r>
      <w:r w:rsidR="00145059">
        <w:t xml:space="preserve"> </w:t>
      </w:r>
      <w:r>
        <w:t>requirements</w:t>
      </w:r>
      <w:r w:rsidR="00143565">
        <w:t xml:space="preserve"> as follow</w:t>
      </w:r>
      <w:r w:rsidR="00E35F05">
        <w:t>s</w:t>
      </w:r>
      <w:r w:rsidR="00143565">
        <w:t>:</w:t>
      </w:r>
    </w:p>
    <w:p w14:paraId="0D64719A" w14:textId="56F9F6CD" w:rsidR="00E35F05" w:rsidRPr="0063260D" w:rsidRDefault="00365939" w:rsidP="0063260D">
      <w:pPr>
        <w:pStyle w:val="ListBullet"/>
      </w:pPr>
      <w:r w:rsidRPr="0063260D">
        <w:t>e</w:t>
      </w:r>
      <w:r w:rsidR="00E35F05" w:rsidRPr="0063260D">
        <w:t xml:space="preserve">nsuring </w:t>
      </w:r>
      <w:r w:rsidR="00FB1163" w:rsidRPr="0063260D">
        <w:t>that subsection (1C) refers to section 59D</w:t>
      </w:r>
      <w:r w:rsidR="00181D59">
        <w:t>,</w:t>
      </w:r>
      <w:r w:rsidR="00181D59" w:rsidRPr="0063260D">
        <w:t xml:space="preserve"> </w:t>
      </w:r>
      <w:r w:rsidR="00A979DB" w:rsidRPr="0063260D">
        <w:t>and</w:t>
      </w:r>
    </w:p>
    <w:p w14:paraId="143AC8C7" w14:textId="58206B8B" w:rsidR="00F406B8" w:rsidRPr="0063260D" w:rsidRDefault="00365939" w:rsidP="0063260D">
      <w:pPr>
        <w:pStyle w:val="ListBullet"/>
      </w:pPr>
      <w:r w:rsidRPr="0063260D">
        <w:t>r</w:t>
      </w:r>
      <w:r w:rsidR="00FB1163" w:rsidRPr="0063260D">
        <w:t xml:space="preserve">emoving the reference to </w:t>
      </w:r>
      <w:r w:rsidR="00D03DE7" w:rsidRPr="0063260D">
        <w:t>section 59B(7)</w:t>
      </w:r>
      <w:r w:rsidR="00A979DB" w:rsidRPr="0063260D">
        <w:t>.</w:t>
      </w:r>
    </w:p>
    <w:p w14:paraId="09A8D943" w14:textId="44C8E7A1" w:rsidR="00465AF0" w:rsidRPr="0063260D" w:rsidRDefault="00F406B8" w:rsidP="0063260D">
      <w:r w:rsidRPr="0063260D">
        <w:t>We also propose to</w:t>
      </w:r>
      <w:r w:rsidR="00465AF0" w:rsidRPr="0063260D">
        <w:t>:</w:t>
      </w:r>
    </w:p>
    <w:p w14:paraId="6E7B97FC" w14:textId="51DD6EB2" w:rsidR="00CF2400" w:rsidRPr="0063260D" w:rsidRDefault="00181D59" w:rsidP="0063260D">
      <w:pPr>
        <w:pStyle w:val="ListBullet"/>
      </w:pPr>
      <w:r>
        <w:t>E</w:t>
      </w:r>
      <w:r w:rsidR="00FB21B6" w:rsidRPr="0063260D">
        <w:t xml:space="preserve">nact </w:t>
      </w:r>
      <w:r w:rsidR="00F406B8" w:rsidRPr="0063260D">
        <w:t xml:space="preserve">a </w:t>
      </w:r>
      <w:r w:rsidR="00FB21B6" w:rsidRPr="0063260D">
        <w:t xml:space="preserve">new civil penalty </w:t>
      </w:r>
      <w:r w:rsidR="004121D1" w:rsidRPr="0063260D">
        <w:t>based on s</w:t>
      </w:r>
      <w:r w:rsidR="005374B1" w:rsidRPr="0063260D">
        <w:t>ection 142I of the TAA</w:t>
      </w:r>
      <w:r w:rsidR="000074EA" w:rsidRPr="0063260D">
        <w:t xml:space="preserve"> (penalties relating to failure to provide foreign information relating</w:t>
      </w:r>
      <w:r w:rsidR="00746FE0" w:rsidRPr="0063260D">
        <w:t xml:space="preserve"> to a person or entity for a financial account</w:t>
      </w:r>
      <w:r w:rsidR="000074EA" w:rsidRPr="0063260D">
        <w:t>)</w:t>
      </w:r>
      <w:r w:rsidR="00290979" w:rsidRPr="0063260D">
        <w:t xml:space="preserve"> of up to $1,000</w:t>
      </w:r>
      <w:r>
        <w:t>.</w:t>
      </w:r>
    </w:p>
    <w:p w14:paraId="5006BB12" w14:textId="48BE01C4" w:rsidR="00256FEA" w:rsidRPr="0063260D" w:rsidRDefault="00181D59" w:rsidP="0063260D">
      <w:pPr>
        <w:pStyle w:val="ListBullet"/>
      </w:pPr>
      <w:r>
        <w:t>G</w:t>
      </w:r>
      <w:r w:rsidRPr="0063260D">
        <w:t xml:space="preserve">ive </w:t>
      </w:r>
      <w:r w:rsidR="00465AF0" w:rsidRPr="0063260D">
        <w:t>the Commissioner</w:t>
      </w:r>
      <w:r w:rsidR="0024599F" w:rsidRPr="0063260D">
        <w:t xml:space="preserve"> a broader</w:t>
      </w:r>
      <w:r w:rsidR="00465AF0" w:rsidRPr="0063260D">
        <w:t xml:space="preserve"> </w:t>
      </w:r>
      <w:r w:rsidR="0024599F" w:rsidRPr="0063260D">
        <w:t>ability to allow the foreign</w:t>
      </w:r>
      <w:r w:rsidR="00386231" w:rsidRPr="0063260D">
        <w:t>-</w:t>
      </w:r>
      <w:r w:rsidR="0024599F" w:rsidRPr="0063260D">
        <w:t>source</w:t>
      </w:r>
      <w:r w:rsidR="00386231" w:rsidRPr="0063260D">
        <w:t>d</w:t>
      </w:r>
      <w:r w:rsidR="0024599F" w:rsidRPr="0063260D">
        <w:t xml:space="preserve"> </w:t>
      </w:r>
      <w:r w:rsidR="00386231" w:rsidRPr="0063260D">
        <w:t xml:space="preserve">income </w:t>
      </w:r>
      <w:r w:rsidR="0024599F" w:rsidRPr="0063260D">
        <w:t xml:space="preserve">exemption </w:t>
      </w:r>
      <w:r w:rsidR="00465AF0" w:rsidRPr="0063260D">
        <w:t>in section HC 26(1B)</w:t>
      </w:r>
      <w:r w:rsidR="004C58C0" w:rsidRPr="0063260D">
        <w:t xml:space="preserve"> where the trustee has made reasonable efforts to </w:t>
      </w:r>
      <w:r w:rsidR="0003228A" w:rsidRPr="0063260D">
        <w:t xml:space="preserve">correct a failure to comply </w:t>
      </w:r>
      <w:r w:rsidR="00803858" w:rsidRPr="0063260D">
        <w:t>with</w:t>
      </w:r>
      <w:r w:rsidR="00A02015" w:rsidRPr="0063260D">
        <w:t xml:space="preserve"> the requirements </w:t>
      </w:r>
      <w:r w:rsidR="0003228A" w:rsidRPr="0063260D">
        <w:t>within a reasonable period</w:t>
      </w:r>
      <w:r w:rsidR="00223EBD" w:rsidRPr="0063260D">
        <w:t>, even if the failure could not in fact be corrected.</w:t>
      </w:r>
    </w:p>
    <w:p w14:paraId="3C322FDD" w14:textId="6A2CB395" w:rsidR="00DD29CE" w:rsidRPr="00447F82" w:rsidRDefault="00290979" w:rsidP="0063260D">
      <w:r w:rsidRPr="00447F82">
        <w:t xml:space="preserve">The new civil penalty </w:t>
      </w:r>
      <w:r w:rsidR="005374B1" w:rsidRPr="00447F82">
        <w:t xml:space="preserve">could be applied </w:t>
      </w:r>
      <w:r w:rsidR="00726827" w:rsidRPr="00447F82">
        <w:t>for failures to comply with the 2017 requirements</w:t>
      </w:r>
      <w:r w:rsidR="00186951" w:rsidRPr="00447F82">
        <w:t>, such</w:t>
      </w:r>
      <w:r w:rsidR="005374B1" w:rsidRPr="00447F82">
        <w:t xml:space="preserve"> </w:t>
      </w:r>
      <w:r w:rsidR="003A453D">
        <w:t xml:space="preserve">as </w:t>
      </w:r>
      <w:r w:rsidR="005374B1" w:rsidRPr="00447F82">
        <w:t>when a trustee misses a deadline</w:t>
      </w:r>
      <w:r w:rsidR="00DD29CE" w:rsidRPr="00447F82">
        <w:t>,</w:t>
      </w:r>
      <w:r w:rsidR="005374B1" w:rsidRPr="00447F82">
        <w:t xml:space="preserve"> provides an incomplete annual return</w:t>
      </w:r>
      <w:r w:rsidR="00DD29CE" w:rsidRPr="00447F82">
        <w:t>, or provides false information</w:t>
      </w:r>
      <w:r w:rsidR="002B26CF" w:rsidRPr="00447F82">
        <w:t>.</w:t>
      </w:r>
      <w:r w:rsidR="00CD5E85" w:rsidRPr="00447F82">
        <w:t xml:space="preserve"> </w:t>
      </w:r>
      <w:r w:rsidR="00186951" w:rsidRPr="00447F82">
        <w:t xml:space="preserve">This penalty </w:t>
      </w:r>
      <w:r w:rsidR="00CD5E85" w:rsidRPr="00447F82">
        <w:t xml:space="preserve">can </w:t>
      </w:r>
      <w:r w:rsidR="00186951" w:rsidRPr="00447F82">
        <w:t>apply</w:t>
      </w:r>
      <w:r w:rsidR="00EB0EBB" w:rsidRPr="00447F82">
        <w:t xml:space="preserve"> instead of</w:t>
      </w:r>
      <w:r w:rsidR="00CD5E85" w:rsidRPr="00447F82">
        <w:t>, or in addition to,</w:t>
      </w:r>
      <w:r w:rsidR="00593378" w:rsidRPr="00447F82">
        <w:t xml:space="preserve"> </w:t>
      </w:r>
      <w:r w:rsidR="00EB0EBB" w:rsidRPr="00447F82">
        <w:t>the</w:t>
      </w:r>
      <w:r w:rsidR="008E4B3D" w:rsidRPr="00447F82">
        <w:t xml:space="preserve"> </w:t>
      </w:r>
      <w:r w:rsidR="00726827" w:rsidRPr="00447F82">
        <w:t>trust being denied</w:t>
      </w:r>
      <w:r w:rsidR="008E4B3D" w:rsidRPr="00447F82">
        <w:t xml:space="preserve"> the foreign-sourced income exemption</w:t>
      </w:r>
      <w:r w:rsidR="00EA6EFD">
        <w:t>.</w:t>
      </w:r>
    </w:p>
    <w:p w14:paraId="602F28CA" w14:textId="706B2E35" w:rsidR="00033E72" w:rsidRDefault="002B26CF" w:rsidP="0063260D">
      <w:r w:rsidRPr="00447F82">
        <w:t xml:space="preserve">As </w:t>
      </w:r>
      <w:r w:rsidR="002143DB" w:rsidRPr="00447F82">
        <w:t xml:space="preserve">with the section 142I penalty, the new civil penalty would not apply </w:t>
      </w:r>
      <w:r w:rsidR="00DD29CE" w:rsidRPr="00447F82">
        <w:t>to failures to provide information if the Commissioner is satisfied that the failure occurred through no fault of the trustee</w:t>
      </w:r>
      <w:r w:rsidR="005414BA" w:rsidRPr="00447F82">
        <w:t xml:space="preserve"> or that the trustee made reasonable efforts to meet the requiremen</w:t>
      </w:r>
      <w:r w:rsidR="00CD5E85" w:rsidRPr="00447F82">
        <w:t>t</w:t>
      </w:r>
      <w:r w:rsidR="00DD29CE" w:rsidRPr="00447F82">
        <w:t>.</w:t>
      </w:r>
    </w:p>
    <w:p w14:paraId="149FFF57" w14:textId="416B6A7F" w:rsidR="005A2407" w:rsidRDefault="005A2407" w:rsidP="00032345">
      <w:pPr>
        <w:pStyle w:val="Heading1"/>
      </w:pPr>
      <w:r w:rsidRPr="002674D3">
        <w:t xml:space="preserve">Issue </w:t>
      </w:r>
      <w:r w:rsidRPr="00447F82">
        <w:t>1</w:t>
      </w:r>
      <w:r w:rsidR="0063713D">
        <w:t>0</w:t>
      </w:r>
      <w:r w:rsidRPr="00447F82">
        <w:t xml:space="preserve">: </w:t>
      </w:r>
      <w:r w:rsidRPr="005A2407">
        <w:t>References to a minor beneficiary’s age should instead refer to their date of birth</w:t>
      </w:r>
    </w:p>
    <w:p w14:paraId="7604BE40" w14:textId="77777777" w:rsidR="000741B0" w:rsidRDefault="000741B0" w:rsidP="000741B0">
      <w:r>
        <w:t>Currently, the TAA requires the contact trustee to provide the Commissioner with the ages of minor beneficiaries to a fixed trust (sections 59B(3)(d) and 59D(2)(e) of the TAA). Technically, the updating requirements mean that the trustee would have to inform the Commissioner of the minor’s new age within 30 days of the minor’s birthday each year, until they ceased to become a minor. This is impractical.</w:t>
      </w:r>
    </w:p>
    <w:p w14:paraId="2F03815B" w14:textId="77777777" w:rsidR="000741B0" w:rsidRDefault="000741B0" w:rsidP="0063260D">
      <w:pPr>
        <w:pStyle w:val="Heading2"/>
      </w:pPr>
      <w:r>
        <w:t>Proposed changes</w:t>
      </w:r>
    </w:p>
    <w:p w14:paraId="50E1537E" w14:textId="34864D50" w:rsidR="000741B0" w:rsidRPr="0063260D" w:rsidRDefault="000741B0" w:rsidP="0063260D">
      <w:r>
        <w:t>We propose to replace the references to age in sections 59B(3)(d) and 59D(2)(e) with references to date of birth.</w:t>
      </w:r>
    </w:p>
    <w:p w14:paraId="282DA4F4" w14:textId="68266F7B" w:rsidR="00F958F6" w:rsidRDefault="00FC6F51" w:rsidP="0063260D">
      <w:pPr>
        <w:pStyle w:val="Heading1"/>
      </w:pPr>
      <w:r>
        <w:t>Other issues</w:t>
      </w:r>
    </w:p>
    <w:p w14:paraId="258FA138" w14:textId="3C49198F" w:rsidR="00F958F6" w:rsidRPr="00F958F6" w:rsidRDefault="00F958F6" w:rsidP="0063260D">
      <w:r>
        <w:t>If you are aware of any other remedial or technical issues that make the foreign trust disclosure rules difficult to apply in practice, please let us know.</w:t>
      </w:r>
    </w:p>
    <w:p w14:paraId="426FE57F" w14:textId="34233BEE" w:rsidR="00B407BE" w:rsidRDefault="00B407BE" w:rsidP="0063260D">
      <w:pPr>
        <w:pStyle w:val="Heading1"/>
      </w:pPr>
      <w:r w:rsidRPr="00447F82">
        <w:t>Submissions</w:t>
      </w:r>
    </w:p>
    <w:p w14:paraId="4C7EB495" w14:textId="14204C57" w:rsidR="00DA2C0A" w:rsidRPr="0063260D" w:rsidRDefault="00183C96" w:rsidP="0063260D">
      <w:r w:rsidRPr="0063260D">
        <w:t>Submissions on any aspect of the proposed remedials should be made by</w:t>
      </w:r>
      <w:r w:rsidR="00D8072E" w:rsidRPr="0063260D">
        <w:t xml:space="preserve"> email to </w:t>
      </w:r>
      <w:hyperlink r:id="rId9" w:history="1">
        <w:r w:rsidR="000D6F23" w:rsidRPr="00DB4FFF">
          <w:rPr>
            <w:rStyle w:val="Hyperlink"/>
          </w:rPr>
          <w:t>policy.webmaster@ird.govt.nz</w:t>
        </w:r>
      </w:hyperlink>
      <w:r w:rsidR="00D8072E" w:rsidRPr="0063260D">
        <w:t xml:space="preserve"> </w:t>
      </w:r>
      <w:r w:rsidR="00C86A20" w:rsidRPr="0063260D">
        <w:t xml:space="preserve">by </w:t>
      </w:r>
      <w:r w:rsidR="003B5532" w:rsidRPr="0063260D">
        <w:t>23 March 2021</w:t>
      </w:r>
      <w:r w:rsidR="00C86A20" w:rsidRPr="0063260D">
        <w:t>.</w:t>
      </w:r>
    </w:p>
    <w:p w14:paraId="71AD39DE" w14:textId="7E05E574" w:rsidR="00BA2B39" w:rsidRDefault="000741B0" w:rsidP="0063260D">
      <w:r w:rsidRPr="000741B0">
        <w:t>Submissions may be the subject of a request under the Official Information Act 1982, which may result in their publication. The withholding of responses on the grounds of privacy, or for any other reason, will be determined in accordance with that Act. If you consider that any part of your submission should properly be withheld under the Act please clearly indicate this.</w:t>
      </w:r>
    </w:p>
    <w:sectPr w:rsidR="00BA2B39" w:rsidSect="0063260D">
      <w:headerReference w:type="default" r:id="rId10"/>
      <w:footerReference w:type="first" r:id="rId11"/>
      <w:pgSz w:w="11906" w:h="16838" w:code="9"/>
      <w:pgMar w:top="454" w:right="1134" w:bottom="1021" w:left="1134" w:header="720" w:footer="720" w:gutter="0"/>
      <w:paperSrc w:firs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48058" w14:textId="77777777" w:rsidR="003D0462" w:rsidRDefault="003D0462">
      <w:r>
        <w:separator/>
      </w:r>
    </w:p>
  </w:endnote>
  <w:endnote w:type="continuationSeparator" w:id="0">
    <w:p w14:paraId="4FCA8E6C" w14:textId="77777777" w:rsidR="003D0462" w:rsidRDefault="003D0462">
      <w:r>
        <w:continuationSeparator/>
      </w:r>
    </w:p>
  </w:endnote>
  <w:endnote w:type="continuationNotice" w:id="1">
    <w:p w14:paraId="65C339BB" w14:textId="77777777" w:rsidR="003D0462" w:rsidRDefault="003D0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8EB1" w14:textId="77777777" w:rsidR="00183C96" w:rsidRDefault="00183C96">
    <w:pPr>
      <w:pStyle w:val="Footer"/>
    </w:pPr>
    <w:r>
      <w:rPr>
        <w:noProof/>
      </w:rPr>
      <mc:AlternateContent>
        <mc:Choice Requires="wps">
          <w:drawing>
            <wp:anchor distT="0" distB="0" distL="114300" distR="114300" simplePos="0" relativeHeight="251658241" behindDoc="0" locked="0" layoutInCell="0" allowOverlap="1" wp14:anchorId="077CFCEE" wp14:editId="0F61E7FE">
              <wp:simplePos x="0" y="0"/>
              <wp:positionH relativeFrom="page">
                <wp:posOffset>0</wp:posOffset>
              </wp:positionH>
              <wp:positionV relativeFrom="page">
                <wp:posOffset>10234930</wp:posOffset>
              </wp:positionV>
              <wp:extent cx="7560310" cy="266700"/>
              <wp:effectExtent l="0" t="0" r="0" b="0"/>
              <wp:wrapNone/>
              <wp:docPr id="2" name="MSIPCM4e8846c381baa0e8e87bf9c1" descr="{&quot;HashCode&quot;:4043168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2FD97A" w14:textId="4861CB4A" w:rsidR="00183C96" w:rsidRPr="00EF685E" w:rsidRDefault="00183C96" w:rsidP="00EF685E">
                          <w:pPr>
                            <w:jc w:val="center"/>
                            <w:rPr>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7CFCEE" id="_x0000_t202" coordsize="21600,21600" o:spt="202" path="m,l,21600r21600,l21600,xe">
              <v:stroke joinstyle="miter"/>
              <v:path gradientshapeok="t" o:connecttype="rect"/>
            </v:shapetype>
            <v:shape id="MSIPCM4e8846c381baa0e8e87bf9c1" o:spid="_x0000_s1026" type="#_x0000_t202" alt="{&quot;HashCode&quot;:404316862,&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ERNl5atAgAARwUAAA4AAAAA&#10;AAAAAAAAAAAALgIAAGRycy9lMm9Eb2MueG1sUEsBAi0AFAAGAAgAAAAhAIOyjyvfAAAACwEAAA8A&#10;AAAAAAAAAAAAAAAABwUAAGRycy9kb3ducmV2LnhtbFBLBQYAAAAABAAEAPMAAAATBgAAAAA=&#10;" o:allowincell="f" filled="f" stroked="f" strokeweight=".5pt">
              <v:textbox inset=",0,,0">
                <w:txbxContent>
                  <w:p w14:paraId="052FD97A" w14:textId="4861CB4A" w:rsidR="00183C96" w:rsidRPr="00EF685E" w:rsidRDefault="00183C96" w:rsidP="00EF685E">
                    <w:pPr>
                      <w:jc w:val="center"/>
                      <w:rPr>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913A3" w14:textId="77777777" w:rsidR="003D0462" w:rsidRDefault="003D0462" w:rsidP="00F25C9C">
      <w:pPr>
        <w:spacing w:after="0"/>
      </w:pPr>
      <w:r>
        <w:separator/>
      </w:r>
    </w:p>
  </w:footnote>
  <w:footnote w:type="continuationSeparator" w:id="0">
    <w:p w14:paraId="338F9341" w14:textId="77777777" w:rsidR="003D0462" w:rsidRDefault="003D0462">
      <w:r>
        <w:continuationSeparator/>
      </w:r>
    </w:p>
  </w:footnote>
  <w:footnote w:type="continuationNotice" w:id="1">
    <w:p w14:paraId="714144E0" w14:textId="77777777" w:rsidR="003D0462" w:rsidRDefault="003D0462"/>
  </w:footnote>
  <w:footnote w:id="2">
    <w:p w14:paraId="14F87D56" w14:textId="4054B29B" w:rsidR="00731682" w:rsidRDefault="00731682" w:rsidP="001A1CB0">
      <w:pPr>
        <w:pStyle w:val="FootnoteText"/>
      </w:pPr>
      <w:r>
        <w:rPr>
          <w:rStyle w:val="FootnoteReference"/>
        </w:rPr>
        <w:footnoteRef/>
      </w:r>
      <w:r>
        <w:t xml:space="preserve"> </w:t>
      </w:r>
      <w:r w:rsidR="001A1CB0">
        <w:t>Taxation (Business Tax, Exchange of Information, and Remedial Matters) Bill (149–2) (select committee report)</w:t>
      </w:r>
      <w:r w:rsidR="00A51C04">
        <w:t xml:space="preserve"> at 4</w:t>
      </w:r>
      <w:r w:rsidR="00D66DF2">
        <w:t xml:space="preserve"> </w:t>
      </w:r>
      <w:hyperlink r:id="rId1" w:history="1">
        <w:r w:rsidR="00A51C04" w:rsidRPr="008203C1">
          <w:rPr>
            <w:rStyle w:val="Hyperlink"/>
          </w:rPr>
          <w:t>https://www.parliament.nz/resource/en-NZ/51DBSCH_SCR71859_1/a766cca1dc215ab6c19f957d7a9d3668f18ebe8f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42CA" w14:textId="1B05F419" w:rsidR="005654A0" w:rsidRPr="00DD0656" w:rsidRDefault="005654A0" w:rsidP="00F25C9C">
    <w:pPr>
      <w:pStyle w:val="Header"/>
      <w:jc w:val="center"/>
    </w:pPr>
    <w:r w:rsidRPr="00DD0656">
      <w:rPr>
        <w:rStyle w:val="PageNumber"/>
      </w:rPr>
      <w:fldChar w:fldCharType="begin"/>
    </w:r>
    <w:r w:rsidRPr="00DD0656">
      <w:rPr>
        <w:rStyle w:val="PageNumber"/>
      </w:rPr>
      <w:instrText xml:space="preserve"> PAGE </w:instrText>
    </w:r>
    <w:r w:rsidRPr="00DD0656">
      <w:rPr>
        <w:rStyle w:val="PageNumber"/>
      </w:rPr>
      <w:fldChar w:fldCharType="separate"/>
    </w:r>
    <w:r>
      <w:rPr>
        <w:rStyle w:val="PageNumber"/>
        <w:noProof/>
      </w:rPr>
      <w:t>2</w:t>
    </w:r>
    <w:r w:rsidRPr="00DD065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5CD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AE7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6D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38AF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164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011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E86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0CA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F28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881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15975"/>
    <w:multiLevelType w:val="hybridMultilevel"/>
    <w:tmpl w:val="26A4E81C"/>
    <w:lvl w:ilvl="0" w:tplc="CD5A6A9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26BF2A6A"/>
    <w:multiLevelType w:val="hybridMultilevel"/>
    <w:tmpl w:val="AB50C97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7CA324E"/>
    <w:multiLevelType w:val="hybridMultilevel"/>
    <w:tmpl w:val="CBAC34DA"/>
    <w:lvl w:ilvl="0" w:tplc="349E0658">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3260447F"/>
    <w:multiLevelType w:val="hybridMultilevel"/>
    <w:tmpl w:val="DED897FC"/>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14" w15:restartNumberingAfterBreak="0">
    <w:nsid w:val="391D4490"/>
    <w:multiLevelType w:val="hybridMultilevel"/>
    <w:tmpl w:val="0612589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5" w15:restartNumberingAfterBreak="0">
    <w:nsid w:val="48953F1C"/>
    <w:multiLevelType w:val="hybridMultilevel"/>
    <w:tmpl w:val="BAFA8DCA"/>
    <w:lvl w:ilvl="0" w:tplc="F014CCE4">
      <w:start w:val="1"/>
      <w:numFmt w:val="decimal"/>
      <w:pStyle w:val="ListParagraph"/>
      <w:lvlText w:val="%1."/>
      <w:lvlJc w:val="left"/>
      <w:pPr>
        <w:ind w:left="360"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6" w15:restartNumberingAfterBreak="0">
    <w:nsid w:val="4D3527BE"/>
    <w:multiLevelType w:val="hybridMultilevel"/>
    <w:tmpl w:val="2DA447A2"/>
    <w:lvl w:ilvl="0" w:tplc="E39EDA96">
      <w:start w:val="1"/>
      <w:numFmt w:val="decimal"/>
      <w:lvlText w:val="%1."/>
      <w:lvlJc w:val="left"/>
      <w:pPr>
        <w:ind w:left="76" w:hanging="360"/>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17" w15:restartNumberingAfterBreak="0">
    <w:nsid w:val="5A4A0D1E"/>
    <w:multiLevelType w:val="hybridMultilevel"/>
    <w:tmpl w:val="A474A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EF0209"/>
    <w:multiLevelType w:val="hybridMultilevel"/>
    <w:tmpl w:val="1804D4A6"/>
    <w:lvl w:ilvl="0" w:tplc="CEB20DC2">
      <w:start w:val="1"/>
      <w:numFmt w:val="lowerRoman"/>
      <w:lvlText w:val="(%1)"/>
      <w:lvlJc w:val="left"/>
      <w:pPr>
        <w:ind w:left="2880" w:hanging="72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9" w15:restartNumberingAfterBreak="0">
    <w:nsid w:val="66970061"/>
    <w:multiLevelType w:val="hybridMultilevel"/>
    <w:tmpl w:val="4E56C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A12623"/>
    <w:multiLevelType w:val="hybridMultilevel"/>
    <w:tmpl w:val="3EFCBE54"/>
    <w:lvl w:ilvl="0" w:tplc="E39EDA96">
      <w:start w:val="1"/>
      <w:numFmt w:val="decimal"/>
      <w:lvlText w:val="%1."/>
      <w:lvlJc w:val="left"/>
      <w:pPr>
        <w:ind w:left="76" w:hanging="360"/>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21" w15:restartNumberingAfterBreak="0">
    <w:nsid w:val="74122EB1"/>
    <w:multiLevelType w:val="hybridMultilevel"/>
    <w:tmpl w:val="D1E84B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0"/>
  </w:num>
  <w:num w:numId="4">
    <w:abstractNumId w:val="11"/>
  </w:num>
  <w:num w:numId="5">
    <w:abstractNumId w:val="10"/>
  </w:num>
  <w:num w:numId="6">
    <w:abstractNumId w:val="9"/>
  </w:num>
  <w:num w:numId="7">
    <w:abstractNumId w:val="14"/>
  </w:num>
  <w:num w:numId="8">
    <w:abstractNumId w:val="17"/>
  </w:num>
  <w:num w:numId="9">
    <w:abstractNumId w:val="18"/>
  </w:num>
  <w:num w:numId="10">
    <w:abstractNumId w:val="12"/>
  </w:num>
  <w:num w:numId="11">
    <w:abstractNumId w:val="13"/>
  </w:num>
  <w:num w:numId="12">
    <w:abstractNumId w:val="9"/>
  </w:num>
  <w:num w:numId="13">
    <w:abstractNumId w:val="21"/>
  </w:num>
  <w:num w:numId="14">
    <w:abstractNumId w:val="19"/>
  </w:num>
  <w:num w:numId="15">
    <w:abstractNumId w:val="9"/>
  </w:num>
  <w:num w:numId="16">
    <w:abstractNumId w:val="9"/>
  </w:num>
  <w:num w:numId="17">
    <w:abstractNumId w:val="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96"/>
    <w:rsid w:val="0000047C"/>
    <w:rsid w:val="00000558"/>
    <w:rsid w:val="0000081B"/>
    <w:rsid w:val="00000CCD"/>
    <w:rsid w:val="0000133C"/>
    <w:rsid w:val="00001A00"/>
    <w:rsid w:val="0000357B"/>
    <w:rsid w:val="00004166"/>
    <w:rsid w:val="000047B1"/>
    <w:rsid w:val="00004909"/>
    <w:rsid w:val="00005464"/>
    <w:rsid w:val="000067FF"/>
    <w:rsid w:val="000074EA"/>
    <w:rsid w:val="00010602"/>
    <w:rsid w:val="00010CC4"/>
    <w:rsid w:val="00012596"/>
    <w:rsid w:val="00012B1F"/>
    <w:rsid w:val="00013217"/>
    <w:rsid w:val="0001471E"/>
    <w:rsid w:val="000166E9"/>
    <w:rsid w:val="0001775C"/>
    <w:rsid w:val="00020B32"/>
    <w:rsid w:val="0002260D"/>
    <w:rsid w:val="00022D2E"/>
    <w:rsid w:val="00022E32"/>
    <w:rsid w:val="0002383B"/>
    <w:rsid w:val="0002406E"/>
    <w:rsid w:val="000245FE"/>
    <w:rsid w:val="00024911"/>
    <w:rsid w:val="000252DC"/>
    <w:rsid w:val="000271E5"/>
    <w:rsid w:val="000274EE"/>
    <w:rsid w:val="00027EE1"/>
    <w:rsid w:val="0003030F"/>
    <w:rsid w:val="000316EF"/>
    <w:rsid w:val="00031CBC"/>
    <w:rsid w:val="0003215B"/>
    <w:rsid w:val="0003228A"/>
    <w:rsid w:val="00032345"/>
    <w:rsid w:val="0003241E"/>
    <w:rsid w:val="00033E72"/>
    <w:rsid w:val="000342E1"/>
    <w:rsid w:val="00034D73"/>
    <w:rsid w:val="00035D9A"/>
    <w:rsid w:val="00037829"/>
    <w:rsid w:val="00041809"/>
    <w:rsid w:val="00041BB7"/>
    <w:rsid w:val="0004265C"/>
    <w:rsid w:val="00042ABC"/>
    <w:rsid w:val="00045B9F"/>
    <w:rsid w:val="00046086"/>
    <w:rsid w:val="00047AAE"/>
    <w:rsid w:val="00047DA9"/>
    <w:rsid w:val="00050283"/>
    <w:rsid w:val="00050715"/>
    <w:rsid w:val="00051592"/>
    <w:rsid w:val="0005304F"/>
    <w:rsid w:val="000548B0"/>
    <w:rsid w:val="00055BD6"/>
    <w:rsid w:val="0005667B"/>
    <w:rsid w:val="00057990"/>
    <w:rsid w:val="00057FC5"/>
    <w:rsid w:val="0006054E"/>
    <w:rsid w:val="00060E8C"/>
    <w:rsid w:val="00061757"/>
    <w:rsid w:val="00061DEC"/>
    <w:rsid w:val="000640B2"/>
    <w:rsid w:val="00064AC9"/>
    <w:rsid w:val="0006533D"/>
    <w:rsid w:val="00066181"/>
    <w:rsid w:val="0006788A"/>
    <w:rsid w:val="0007243F"/>
    <w:rsid w:val="00072449"/>
    <w:rsid w:val="000741B0"/>
    <w:rsid w:val="00074435"/>
    <w:rsid w:val="00075047"/>
    <w:rsid w:val="00075422"/>
    <w:rsid w:val="000756BA"/>
    <w:rsid w:val="00075EF4"/>
    <w:rsid w:val="00076C90"/>
    <w:rsid w:val="00077A8F"/>
    <w:rsid w:val="00081214"/>
    <w:rsid w:val="00082696"/>
    <w:rsid w:val="000841E8"/>
    <w:rsid w:val="00085E0D"/>
    <w:rsid w:val="00086CCD"/>
    <w:rsid w:val="000871E8"/>
    <w:rsid w:val="00087898"/>
    <w:rsid w:val="00091DA1"/>
    <w:rsid w:val="000926CB"/>
    <w:rsid w:val="00093564"/>
    <w:rsid w:val="000949BA"/>
    <w:rsid w:val="000950AC"/>
    <w:rsid w:val="00095159"/>
    <w:rsid w:val="0009552F"/>
    <w:rsid w:val="000965A9"/>
    <w:rsid w:val="00097062"/>
    <w:rsid w:val="00097E12"/>
    <w:rsid w:val="000A0087"/>
    <w:rsid w:val="000A02F9"/>
    <w:rsid w:val="000A042F"/>
    <w:rsid w:val="000A208E"/>
    <w:rsid w:val="000A29CE"/>
    <w:rsid w:val="000A35D0"/>
    <w:rsid w:val="000A68A6"/>
    <w:rsid w:val="000A75F8"/>
    <w:rsid w:val="000A7E0D"/>
    <w:rsid w:val="000B0BE4"/>
    <w:rsid w:val="000B0D35"/>
    <w:rsid w:val="000B0D95"/>
    <w:rsid w:val="000B1890"/>
    <w:rsid w:val="000B2164"/>
    <w:rsid w:val="000B22B0"/>
    <w:rsid w:val="000B3154"/>
    <w:rsid w:val="000B36AE"/>
    <w:rsid w:val="000B4D5D"/>
    <w:rsid w:val="000B570E"/>
    <w:rsid w:val="000B5967"/>
    <w:rsid w:val="000B5AF0"/>
    <w:rsid w:val="000B6318"/>
    <w:rsid w:val="000B74DD"/>
    <w:rsid w:val="000B76D2"/>
    <w:rsid w:val="000B7CED"/>
    <w:rsid w:val="000C12A2"/>
    <w:rsid w:val="000C149D"/>
    <w:rsid w:val="000C17CB"/>
    <w:rsid w:val="000C1BA2"/>
    <w:rsid w:val="000C1EBC"/>
    <w:rsid w:val="000C22F5"/>
    <w:rsid w:val="000C2879"/>
    <w:rsid w:val="000C31B9"/>
    <w:rsid w:val="000C4C5B"/>
    <w:rsid w:val="000C50F6"/>
    <w:rsid w:val="000C6AA3"/>
    <w:rsid w:val="000C7909"/>
    <w:rsid w:val="000D021B"/>
    <w:rsid w:val="000D061A"/>
    <w:rsid w:val="000D28EC"/>
    <w:rsid w:val="000D35C6"/>
    <w:rsid w:val="000D5472"/>
    <w:rsid w:val="000D5A93"/>
    <w:rsid w:val="000D6411"/>
    <w:rsid w:val="000D6969"/>
    <w:rsid w:val="000D6B4F"/>
    <w:rsid w:val="000D6F23"/>
    <w:rsid w:val="000E0B12"/>
    <w:rsid w:val="000E1342"/>
    <w:rsid w:val="000E144C"/>
    <w:rsid w:val="000E162D"/>
    <w:rsid w:val="000E2D95"/>
    <w:rsid w:val="000E3110"/>
    <w:rsid w:val="000E4D8C"/>
    <w:rsid w:val="000E62E4"/>
    <w:rsid w:val="000E668B"/>
    <w:rsid w:val="000E7E08"/>
    <w:rsid w:val="000F0F06"/>
    <w:rsid w:val="000F185F"/>
    <w:rsid w:val="000F22BE"/>
    <w:rsid w:val="000F236D"/>
    <w:rsid w:val="000F2CD9"/>
    <w:rsid w:val="000F3CA7"/>
    <w:rsid w:val="000F3CB2"/>
    <w:rsid w:val="000F4CEA"/>
    <w:rsid w:val="000F5C32"/>
    <w:rsid w:val="000F62B7"/>
    <w:rsid w:val="000F6FB9"/>
    <w:rsid w:val="000F766B"/>
    <w:rsid w:val="000F7937"/>
    <w:rsid w:val="001010E1"/>
    <w:rsid w:val="001022B7"/>
    <w:rsid w:val="001023B1"/>
    <w:rsid w:val="00103170"/>
    <w:rsid w:val="00103DB2"/>
    <w:rsid w:val="00104352"/>
    <w:rsid w:val="0010457D"/>
    <w:rsid w:val="00104593"/>
    <w:rsid w:val="00105B16"/>
    <w:rsid w:val="001073D4"/>
    <w:rsid w:val="00110019"/>
    <w:rsid w:val="00111117"/>
    <w:rsid w:val="00111558"/>
    <w:rsid w:val="00111603"/>
    <w:rsid w:val="00112254"/>
    <w:rsid w:val="00112C6C"/>
    <w:rsid w:val="001141B4"/>
    <w:rsid w:val="001146E2"/>
    <w:rsid w:val="00114C5F"/>
    <w:rsid w:val="001161EA"/>
    <w:rsid w:val="00116738"/>
    <w:rsid w:val="00116FB6"/>
    <w:rsid w:val="00117225"/>
    <w:rsid w:val="00120955"/>
    <w:rsid w:val="00120F24"/>
    <w:rsid w:val="00121684"/>
    <w:rsid w:val="00121C4D"/>
    <w:rsid w:val="00123CEE"/>
    <w:rsid w:val="0012515A"/>
    <w:rsid w:val="00125CD7"/>
    <w:rsid w:val="00126181"/>
    <w:rsid w:val="001272E2"/>
    <w:rsid w:val="00127EBB"/>
    <w:rsid w:val="001309D0"/>
    <w:rsid w:val="00130E4F"/>
    <w:rsid w:val="0013118B"/>
    <w:rsid w:val="00131CBE"/>
    <w:rsid w:val="0013232A"/>
    <w:rsid w:val="00132C4E"/>
    <w:rsid w:val="001335CE"/>
    <w:rsid w:val="0013478D"/>
    <w:rsid w:val="0013610F"/>
    <w:rsid w:val="00136BFB"/>
    <w:rsid w:val="00136ED4"/>
    <w:rsid w:val="00140C0E"/>
    <w:rsid w:val="00140E1C"/>
    <w:rsid w:val="00141E20"/>
    <w:rsid w:val="00142368"/>
    <w:rsid w:val="00142E5B"/>
    <w:rsid w:val="00143565"/>
    <w:rsid w:val="0014395E"/>
    <w:rsid w:val="001440FE"/>
    <w:rsid w:val="001445EC"/>
    <w:rsid w:val="00145059"/>
    <w:rsid w:val="00146762"/>
    <w:rsid w:val="00146CC6"/>
    <w:rsid w:val="00146E8F"/>
    <w:rsid w:val="001473A8"/>
    <w:rsid w:val="00147E6E"/>
    <w:rsid w:val="00150F1A"/>
    <w:rsid w:val="00152963"/>
    <w:rsid w:val="001562BC"/>
    <w:rsid w:val="00157D34"/>
    <w:rsid w:val="00157DFF"/>
    <w:rsid w:val="00161E2D"/>
    <w:rsid w:val="00163899"/>
    <w:rsid w:val="00164D2F"/>
    <w:rsid w:val="001663E0"/>
    <w:rsid w:val="001676BC"/>
    <w:rsid w:val="00171A24"/>
    <w:rsid w:val="00171EB9"/>
    <w:rsid w:val="00171F23"/>
    <w:rsid w:val="00171FB2"/>
    <w:rsid w:val="00172409"/>
    <w:rsid w:val="00172740"/>
    <w:rsid w:val="00172DF2"/>
    <w:rsid w:val="0017331F"/>
    <w:rsid w:val="001738C1"/>
    <w:rsid w:val="0017391E"/>
    <w:rsid w:val="00173A2C"/>
    <w:rsid w:val="001742BF"/>
    <w:rsid w:val="001749C0"/>
    <w:rsid w:val="00174B69"/>
    <w:rsid w:val="00174D51"/>
    <w:rsid w:val="0017531E"/>
    <w:rsid w:val="001759B7"/>
    <w:rsid w:val="001767FC"/>
    <w:rsid w:val="00176C79"/>
    <w:rsid w:val="001779D6"/>
    <w:rsid w:val="00177EB1"/>
    <w:rsid w:val="00180B57"/>
    <w:rsid w:val="00181D59"/>
    <w:rsid w:val="001825C5"/>
    <w:rsid w:val="0018269D"/>
    <w:rsid w:val="00183C96"/>
    <w:rsid w:val="00184870"/>
    <w:rsid w:val="00184BEF"/>
    <w:rsid w:val="00185343"/>
    <w:rsid w:val="00186951"/>
    <w:rsid w:val="00186F04"/>
    <w:rsid w:val="0018711D"/>
    <w:rsid w:val="00187E11"/>
    <w:rsid w:val="00187FAF"/>
    <w:rsid w:val="00190075"/>
    <w:rsid w:val="00190E86"/>
    <w:rsid w:val="001921E2"/>
    <w:rsid w:val="00192942"/>
    <w:rsid w:val="00194AF4"/>
    <w:rsid w:val="001964F5"/>
    <w:rsid w:val="001A033D"/>
    <w:rsid w:val="001A076D"/>
    <w:rsid w:val="001A0F9E"/>
    <w:rsid w:val="001A1CB0"/>
    <w:rsid w:val="001A3DFE"/>
    <w:rsid w:val="001A6FFB"/>
    <w:rsid w:val="001B0370"/>
    <w:rsid w:val="001B110D"/>
    <w:rsid w:val="001B28A8"/>
    <w:rsid w:val="001B2D4B"/>
    <w:rsid w:val="001B35B3"/>
    <w:rsid w:val="001B3F41"/>
    <w:rsid w:val="001B4009"/>
    <w:rsid w:val="001B43E1"/>
    <w:rsid w:val="001B4884"/>
    <w:rsid w:val="001B590F"/>
    <w:rsid w:val="001B75B1"/>
    <w:rsid w:val="001B7BBA"/>
    <w:rsid w:val="001C0CDE"/>
    <w:rsid w:val="001C139F"/>
    <w:rsid w:val="001C1AFF"/>
    <w:rsid w:val="001C1C77"/>
    <w:rsid w:val="001C1D38"/>
    <w:rsid w:val="001C227C"/>
    <w:rsid w:val="001C2FA3"/>
    <w:rsid w:val="001C2FBB"/>
    <w:rsid w:val="001C3216"/>
    <w:rsid w:val="001C326F"/>
    <w:rsid w:val="001C4348"/>
    <w:rsid w:val="001C499A"/>
    <w:rsid w:val="001C4A26"/>
    <w:rsid w:val="001C564D"/>
    <w:rsid w:val="001C60A7"/>
    <w:rsid w:val="001C6201"/>
    <w:rsid w:val="001C6662"/>
    <w:rsid w:val="001C776D"/>
    <w:rsid w:val="001D041A"/>
    <w:rsid w:val="001D1FB2"/>
    <w:rsid w:val="001D2524"/>
    <w:rsid w:val="001D2DC2"/>
    <w:rsid w:val="001D51A7"/>
    <w:rsid w:val="001D5BB9"/>
    <w:rsid w:val="001D5BFA"/>
    <w:rsid w:val="001D6487"/>
    <w:rsid w:val="001D67BE"/>
    <w:rsid w:val="001D68A2"/>
    <w:rsid w:val="001D6C98"/>
    <w:rsid w:val="001D6D3C"/>
    <w:rsid w:val="001E0148"/>
    <w:rsid w:val="001E1657"/>
    <w:rsid w:val="001E19F9"/>
    <w:rsid w:val="001E1E9C"/>
    <w:rsid w:val="001E247D"/>
    <w:rsid w:val="001E39F8"/>
    <w:rsid w:val="001E3BD0"/>
    <w:rsid w:val="001E451C"/>
    <w:rsid w:val="001E5333"/>
    <w:rsid w:val="001E6949"/>
    <w:rsid w:val="001E7DAE"/>
    <w:rsid w:val="001F0027"/>
    <w:rsid w:val="001F0D67"/>
    <w:rsid w:val="001F1383"/>
    <w:rsid w:val="001F14F7"/>
    <w:rsid w:val="001F43EC"/>
    <w:rsid w:val="001F68DD"/>
    <w:rsid w:val="001F6E64"/>
    <w:rsid w:val="001F711B"/>
    <w:rsid w:val="001F78B2"/>
    <w:rsid w:val="001F7AD4"/>
    <w:rsid w:val="001F7EDE"/>
    <w:rsid w:val="002007E9"/>
    <w:rsid w:val="00200E09"/>
    <w:rsid w:val="00201BBF"/>
    <w:rsid w:val="00201E9D"/>
    <w:rsid w:val="00202366"/>
    <w:rsid w:val="0020274D"/>
    <w:rsid w:val="00202A32"/>
    <w:rsid w:val="00202D07"/>
    <w:rsid w:val="0020327E"/>
    <w:rsid w:val="0020399E"/>
    <w:rsid w:val="00203D75"/>
    <w:rsid w:val="002052AE"/>
    <w:rsid w:val="002053BE"/>
    <w:rsid w:val="00206CEE"/>
    <w:rsid w:val="00207672"/>
    <w:rsid w:val="00207B7F"/>
    <w:rsid w:val="00207FCA"/>
    <w:rsid w:val="002102D8"/>
    <w:rsid w:val="00211570"/>
    <w:rsid w:val="00211DE6"/>
    <w:rsid w:val="00211EBA"/>
    <w:rsid w:val="00212597"/>
    <w:rsid w:val="00212A36"/>
    <w:rsid w:val="00212BFC"/>
    <w:rsid w:val="00212C44"/>
    <w:rsid w:val="00212CCE"/>
    <w:rsid w:val="002143DB"/>
    <w:rsid w:val="00214962"/>
    <w:rsid w:val="002178D7"/>
    <w:rsid w:val="00217FF6"/>
    <w:rsid w:val="0022008E"/>
    <w:rsid w:val="00221437"/>
    <w:rsid w:val="0022243A"/>
    <w:rsid w:val="0022293C"/>
    <w:rsid w:val="00223EBD"/>
    <w:rsid w:val="002254A0"/>
    <w:rsid w:val="00226245"/>
    <w:rsid w:val="002273A5"/>
    <w:rsid w:val="0023153B"/>
    <w:rsid w:val="0023303E"/>
    <w:rsid w:val="00233E2C"/>
    <w:rsid w:val="00235B8B"/>
    <w:rsid w:val="0023687A"/>
    <w:rsid w:val="00237E7A"/>
    <w:rsid w:val="00240AE4"/>
    <w:rsid w:val="002417F6"/>
    <w:rsid w:val="002423CC"/>
    <w:rsid w:val="002425C2"/>
    <w:rsid w:val="00242AE8"/>
    <w:rsid w:val="0024459D"/>
    <w:rsid w:val="00244A75"/>
    <w:rsid w:val="0024599F"/>
    <w:rsid w:val="00245BAB"/>
    <w:rsid w:val="002463DA"/>
    <w:rsid w:val="002472B8"/>
    <w:rsid w:val="00247B86"/>
    <w:rsid w:val="00250C36"/>
    <w:rsid w:val="00251F72"/>
    <w:rsid w:val="00254896"/>
    <w:rsid w:val="00254963"/>
    <w:rsid w:val="00256FEA"/>
    <w:rsid w:val="00260DE4"/>
    <w:rsid w:val="00260EA3"/>
    <w:rsid w:val="00264D1C"/>
    <w:rsid w:val="00265554"/>
    <w:rsid w:val="002657B5"/>
    <w:rsid w:val="00265947"/>
    <w:rsid w:val="002674D3"/>
    <w:rsid w:val="00271C50"/>
    <w:rsid w:val="00275379"/>
    <w:rsid w:val="0027699F"/>
    <w:rsid w:val="00276C36"/>
    <w:rsid w:val="00276E3C"/>
    <w:rsid w:val="00276F3A"/>
    <w:rsid w:val="00280686"/>
    <w:rsid w:val="002809EB"/>
    <w:rsid w:val="00281AEA"/>
    <w:rsid w:val="00283B45"/>
    <w:rsid w:val="002854EC"/>
    <w:rsid w:val="002856DC"/>
    <w:rsid w:val="002901DB"/>
    <w:rsid w:val="00290979"/>
    <w:rsid w:val="00292B9E"/>
    <w:rsid w:val="002939B0"/>
    <w:rsid w:val="00294166"/>
    <w:rsid w:val="002948A2"/>
    <w:rsid w:val="00294BBF"/>
    <w:rsid w:val="00295BC4"/>
    <w:rsid w:val="0029638A"/>
    <w:rsid w:val="002966D2"/>
    <w:rsid w:val="002970AB"/>
    <w:rsid w:val="002978F1"/>
    <w:rsid w:val="00297D21"/>
    <w:rsid w:val="00297D8D"/>
    <w:rsid w:val="002A14BC"/>
    <w:rsid w:val="002A2EEF"/>
    <w:rsid w:val="002A2EF7"/>
    <w:rsid w:val="002A3FCE"/>
    <w:rsid w:val="002A4F3C"/>
    <w:rsid w:val="002A523A"/>
    <w:rsid w:val="002A5696"/>
    <w:rsid w:val="002A5A20"/>
    <w:rsid w:val="002A5D08"/>
    <w:rsid w:val="002A7630"/>
    <w:rsid w:val="002B07BF"/>
    <w:rsid w:val="002B22B2"/>
    <w:rsid w:val="002B243E"/>
    <w:rsid w:val="002B26CF"/>
    <w:rsid w:val="002B3103"/>
    <w:rsid w:val="002B38D8"/>
    <w:rsid w:val="002B3994"/>
    <w:rsid w:val="002B4185"/>
    <w:rsid w:val="002B4570"/>
    <w:rsid w:val="002B69CE"/>
    <w:rsid w:val="002C038A"/>
    <w:rsid w:val="002C08BF"/>
    <w:rsid w:val="002C156C"/>
    <w:rsid w:val="002C2030"/>
    <w:rsid w:val="002C2088"/>
    <w:rsid w:val="002C239F"/>
    <w:rsid w:val="002C3D76"/>
    <w:rsid w:val="002C65C5"/>
    <w:rsid w:val="002C7097"/>
    <w:rsid w:val="002C7EE8"/>
    <w:rsid w:val="002D00CB"/>
    <w:rsid w:val="002D06E9"/>
    <w:rsid w:val="002D0B14"/>
    <w:rsid w:val="002D0B2C"/>
    <w:rsid w:val="002D11C3"/>
    <w:rsid w:val="002D13A9"/>
    <w:rsid w:val="002D1A65"/>
    <w:rsid w:val="002D1C65"/>
    <w:rsid w:val="002D337D"/>
    <w:rsid w:val="002D33B4"/>
    <w:rsid w:val="002D5C9F"/>
    <w:rsid w:val="002D6355"/>
    <w:rsid w:val="002D6426"/>
    <w:rsid w:val="002D68EE"/>
    <w:rsid w:val="002D6AAA"/>
    <w:rsid w:val="002D6CAA"/>
    <w:rsid w:val="002D718F"/>
    <w:rsid w:val="002E0201"/>
    <w:rsid w:val="002E1679"/>
    <w:rsid w:val="002E1CA7"/>
    <w:rsid w:val="002E1E38"/>
    <w:rsid w:val="002E2E17"/>
    <w:rsid w:val="002E36E5"/>
    <w:rsid w:val="002E55E2"/>
    <w:rsid w:val="002E68A8"/>
    <w:rsid w:val="002E7520"/>
    <w:rsid w:val="002E76ED"/>
    <w:rsid w:val="002E7773"/>
    <w:rsid w:val="002E7E2C"/>
    <w:rsid w:val="002F0109"/>
    <w:rsid w:val="002F0B57"/>
    <w:rsid w:val="002F12E6"/>
    <w:rsid w:val="002F3079"/>
    <w:rsid w:val="002F3221"/>
    <w:rsid w:val="002F4E57"/>
    <w:rsid w:val="002F5DBC"/>
    <w:rsid w:val="002F7274"/>
    <w:rsid w:val="002F76B4"/>
    <w:rsid w:val="002F7BDA"/>
    <w:rsid w:val="003002E1"/>
    <w:rsid w:val="00301805"/>
    <w:rsid w:val="003027B5"/>
    <w:rsid w:val="00303494"/>
    <w:rsid w:val="00303EE8"/>
    <w:rsid w:val="00305FF6"/>
    <w:rsid w:val="0030601F"/>
    <w:rsid w:val="0030703E"/>
    <w:rsid w:val="00310841"/>
    <w:rsid w:val="0031154E"/>
    <w:rsid w:val="003117AB"/>
    <w:rsid w:val="003121D5"/>
    <w:rsid w:val="00313674"/>
    <w:rsid w:val="00313A40"/>
    <w:rsid w:val="00317139"/>
    <w:rsid w:val="003204C3"/>
    <w:rsid w:val="00320667"/>
    <w:rsid w:val="003206D7"/>
    <w:rsid w:val="00320EA2"/>
    <w:rsid w:val="00321EAD"/>
    <w:rsid w:val="00322667"/>
    <w:rsid w:val="003226B2"/>
    <w:rsid w:val="00322730"/>
    <w:rsid w:val="00322DD5"/>
    <w:rsid w:val="003238C0"/>
    <w:rsid w:val="00324E6C"/>
    <w:rsid w:val="0032559A"/>
    <w:rsid w:val="003259E7"/>
    <w:rsid w:val="00325A6A"/>
    <w:rsid w:val="0032605F"/>
    <w:rsid w:val="0032740D"/>
    <w:rsid w:val="003306DF"/>
    <w:rsid w:val="00331AF0"/>
    <w:rsid w:val="003321CC"/>
    <w:rsid w:val="00334AE0"/>
    <w:rsid w:val="0033690D"/>
    <w:rsid w:val="003375C7"/>
    <w:rsid w:val="003379BE"/>
    <w:rsid w:val="003402F4"/>
    <w:rsid w:val="00341858"/>
    <w:rsid w:val="00341863"/>
    <w:rsid w:val="0034200D"/>
    <w:rsid w:val="00344979"/>
    <w:rsid w:val="003459E2"/>
    <w:rsid w:val="00345E50"/>
    <w:rsid w:val="003462AD"/>
    <w:rsid w:val="00346923"/>
    <w:rsid w:val="00346C3F"/>
    <w:rsid w:val="00347C6B"/>
    <w:rsid w:val="0035079F"/>
    <w:rsid w:val="003507BF"/>
    <w:rsid w:val="00350B56"/>
    <w:rsid w:val="0035125F"/>
    <w:rsid w:val="00351325"/>
    <w:rsid w:val="00352A18"/>
    <w:rsid w:val="00353576"/>
    <w:rsid w:val="003538AB"/>
    <w:rsid w:val="00354197"/>
    <w:rsid w:val="00355B60"/>
    <w:rsid w:val="003609F6"/>
    <w:rsid w:val="0036283F"/>
    <w:rsid w:val="00363550"/>
    <w:rsid w:val="0036407F"/>
    <w:rsid w:val="00364356"/>
    <w:rsid w:val="00365939"/>
    <w:rsid w:val="00365BC0"/>
    <w:rsid w:val="0037137A"/>
    <w:rsid w:val="00372538"/>
    <w:rsid w:val="00372DEA"/>
    <w:rsid w:val="00373415"/>
    <w:rsid w:val="003735F1"/>
    <w:rsid w:val="003753B0"/>
    <w:rsid w:val="00375691"/>
    <w:rsid w:val="00375815"/>
    <w:rsid w:val="00375DB1"/>
    <w:rsid w:val="00375FBD"/>
    <w:rsid w:val="00381372"/>
    <w:rsid w:val="0038198E"/>
    <w:rsid w:val="003823A4"/>
    <w:rsid w:val="003827FE"/>
    <w:rsid w:val="003831AC"/>
    <w:rsid w:val="00384FF1"/>
    <w:rsid w:val="00385ACA"/>
    <w:rsid w:val="00385F23"/>
    <w:rsid w:val="00386231"/>
    <w:rsid w:val="00386938"/>
    <w:rsid w:val="003879A3"/>
    <w:rsid w:val="003904FD"/>
    <w:rsid w:val="003911B8"/>
    <w:rsid w:val="003922F2"/>
    <w:rsid w:val="00392337"/>
    <w:rsid w:val="00392F21"/>
    <w:rsid w:val="003930CE"/>
    <w:rsid w:val="003937BA"/>
    <w:rsid w:val="003940BD"/>
    <w:rsid w:val="00394FB5"/>
    <w:rsid w:val="00395DB9"/>
    <w:rsid w:val="003A0890"/>
    <w:rsid w:val="003A091A"/>
    <w:rsid w:val="003A09EA"/>
    <w:rsid w:val="003A0B81"/>
    <w:rsid w:val="003A2D3F"/>
    <w:rsid w:val="003A3D61"/>
    <w:rsid w:val="003A434A"/>
    <w:rsid w:val="003A453D"/>
    <w:rsid w:val="003A5746"/>
    <w:rsid w:val="003A5D8D"/>
    <w:rsid w:val="003A64B8"/>
    <w:rsid w:val="003A72D4"/>
    <w:rsid w:val="003A7708"/>
    <w:rsid w:val="003B162F"/>
    <w:rsid w:val="003B1ADC"/>
    <w:rsid w:val="003B25E9"/>
    <w:rsid w:val="003B2CE9"/>
    <w:rsid w:val="003B4B65"/>
    <w:rsid w:val="003B5151"/>
    <w:rsid w:val="003B530C"/>
    <w:rsid w:val="003B5532"/>
    <w:rsid w:val="003B59BE"/>
    <w:rsid w:val="003B651D"/>
    <w:rsid w:val="003B70F9"/>
    <w:rsid w:val="003C0227"/>
    <w:rsid w:val="003C0367"/>
    <w:rsid w:val="003C0FAC"/>
    <w:rsid w:val="003C1101"/>
    <w:rsid w:val="003C18BE"/>
    <w:rsid w:val="003C1A7E"/>
    <w:rsid w:val="003C2AAF"/>
    <w:rsid w:val="003C343F"/>
    <w:rsid w:val="003C3893"/>
    <w:rsid w:val="003C4CE2"/>
    <w:rsid w:val="003C64C4"/>
    <w:rsid w:val="003C6CEC"/>
    <w:rsid w:val="003C6FDE"/>
    <w:rsid w:val="003D038E"/>
    <w:rsid w:val="003D0462"/>
    <w:rsid w:val="003D09DC"/>
    <w:rsid w:val="003D16A4"/>
    <w:rsid w:val="003D16E7"/>
    <w:rsid w:val="003D1E60"/>
    <w:rsid w:val="003D2A07"/>
    <w:rsid w:val="003D30B0"/>
    <w:rsid w:val="003D38B4"/>
    <w:rsid w:val="003D3ACD"/>
    <w:rsid w:val="003D3DA4"/>
    <w:rsid w:val="003D47BF"/>
    <w:rsid w:val="003D4C0A"/>
    <w:rsid w:val="003D61A9"/>
    <w:rsid w:val="003D6588"/>
    <w:rsid w:val="003E1CC4"/>
    <w:rsid w:val="003E3EEE"/>
    <w:rsid w:val="003E671B"/>
    <w:rsid w:val="003E691A"/>
    <w:rsid w:val="003E6C92"/>
    <w:rsid w:val="003E7D80"/>
    <w:rsid w:val="003F0610"/>
    <w:rsid w:val="003F1FC9"/>
    <w:rsid w:val="003F2144"/>
    <w:rsid w:val="003F25A5"/>
    <w:rsid w:val="003F2824"/>
    <w:rsid w:val="003F2EED"/>
    <w:rsid w:val="003F369F"/>
    <w:rsid w:val="003F3864"/>
    <w:rsid w:val="003F61B1"/>
    <w:rsid w:val="003F7A8E"/>
    <w:rsid w:val="00400FB4"/>
    <w:rsid w:val="0040210B"/>
    <w:rsid w:val="0040304C"/>
    <w:rsid w:val="00403EB9"/>
    <w:rsid w:val="00404F0F"/>
    <w:rsid w:val="00407402"/>
    <w:rsid w:val="00407FF4"/>
    <w:rsid w:val="004121D1"/>
    <w:rsid w:val="00416E93"/>
    <w:rsid w:val="00420B9D"/>
    <w:rsid w:val="004223BF"/>
    <w:rsid w:val="00422715"/>
    <w:rsid w:val="00422AD4"/>
    <w:rsid w:val="00422EC1"/>
    <w:rsid w:val="00423CB6"/>
    <w:rsid w:val="004240E0"/>
    <w:rsid w:val="004249BF"/>
    <w:rsid w:val="00424E35"/>
    <w:rsid w:val="00425777"/>
    <w:rsid w:val="00425BB7"/>
    <w:rsid w:val="00430DC5"/>
    <w:rsid w:val="00430F9D"/>
    <w:rsid w:val="004314EB"/>
    <w:rsid w:val="0043266E"/>
    <w:rsid w:val="00433CC8"/>
    <w:rsid w:val="00434229"/>
    <w:rsid w:val="004345F0"/>
    <w:rsid w:val="0043546A"/>
    <w:rsid w:val="00435FF3"/>
    <w:rsid w:val="004360F5"/>
    <w:rsid w:val="004369BA"/>
    <w:rsid w:val="00441C64"/>
    <w:rsid w:val="0044215E"/>
    <w:rsid w:val="004421BE"/>
    <w:rsid w:val="00442A43"/>
    <w:rsid w:val="004436A3"/>
    <w:rsid w:val="00443B07"/>
    <w:rsid w:val="0044409D"/>
    <w:rsid w:val="004440BA"/>
    <w:rsid w:val="00444395"/>
    <w:rsid w:val="004466E0"/>
    <w:rsid w:val="004467B6"/>
    <w:rsid w:val="00446FE7"/>
    <w:rsid w:val="00447F82"/>
    <w:rsid w:val="00450F8E"/>
    <w:rsid w:val="0045195D"/>
    <w:rsid w:val="00451D4A"/>
    <w:rsid w:val="0045236D"/>
    <w:rsid w:val="00453A42"/>
    <w:rsid w:val="0045560E"/>
    <w:rsid w:val="0046162F"/>
    <w:rsid w:val="00461E32"/>
    <w:rsid w:val="00462DFF"/>
    <w:rsid w:val="0046350E"/>
    <w:rsid w:val="00464006"/>
    <w:rsid w:val="00464C96"/>
    <w:rsid w:val="00465AF0"/>
    <w:rsid w:val="004664A7"/>
    <w:rsid w:val="004666D9"/>
    <w:rsid w:val="00467207"/>
    <w:rsid w:val="0046779C"/>
    <w:rsid w:val="00471060"/>
    <w:rsid w:val="00471FF8"/>
    <w:rsid w:val="00473544"/>
    <w:rsid w:val="00473657"/>
    <w:rsid w:val="0048040A"/>
    <w:rsid w:val="00483B4C"/>
    <w:rsid w:val="00484FF1"/>
    <w:rsid w:val="0049036D"/>
    <w:rsid w:val="0049097A"/>
    <w:rsid w:val="00490ECA"/>
    <w:rsid w:val="0049151A"/>
    <w:rsid w:val="0049200B"/>
    <w:rsid w:val="00492924"/>
    <w:rsid w:val="004954F9"/>
    <w:rsid w:val="00496241"/>
    <w:rsid w:val="00496DF1"/>
    <w:rsid w:val="004972BF"/>
    <w:rsid w:val="00497AEF"/>
    <w:rsid w:val="004A1B72"/>
    <w:rsid w:val="004A1CF1"/>
    <w:rsid w:val="004A2DDA"/>
    <w:rsid w:val="004A4BE6"/>
    <w:rsid w:val="004A5F14"/>
    <w:rsid w:val="004A6008"/>
    <w:rsid w:val="004A68C0"/>
    <w:rsid w:val="004A6A1B"/>
    <w:rsid w:val="004A6CF8"/>
    <w:rsid w:val="004A7A86"/>
    <w:rsid w:val="004B1FB0"/>
    <w:rsid w:val="004B31F1"/>
    <w:rsid w:val="004B51B8"/>
    <w:rsid w:val="004B6FDA"/>
    <w:rsid w:val="004B767D"/>
    <w:rsid w:val="004C0889"/>
    <w:rsid w:val="004C104D"/>
    <w:rsid w:val="004C1771"/>
    <w:rsid w:val="004C1F01"/>
    <w:rsid w:val="004C50D8"/>
    <w:rsid w:val="004C58C0"/>
    <w:rsid w:val="004C58CD"/>
    <w:rsid w:val="004C60D3"/>
    <w:rsid w:val="004C6CA7"/>
    <w:rsid w:val="004C7860"/>
    <w:rsid w:val="004C7A0B"/>
    <w:rsid w:val="004C7CF3"/>
    <w:rsid w:val="004C7E05"/>
    <w:rsid w:val="004D20C8"/>
    <w:rsid w:val="004D40A7"/>
    <w:rsid w:val="004D4D38"/>
    <w:rsid w:val="004D5444"/>
    <w:rsid w:val="004D59CD"/>
    <w:rsid w:val="004D5B0C"/>
    <w:rsid w:val="004D5B18"/>
    <w:rsid w:val="004D62CC"/>
    <w:rsid w:val="004D6352"/>
    <w:rsid w:val="004D64F7"/>
    <w:rsid w:val="004D6C84"/>
    <w:rsid w:val="004D7547"/>
    <w:rsid w:val="004E0B1F"/>
    <w:rsid w:val="004E1351"/>
    <w:rsid w:val="004E2181"/>
    <w:rsid w:val="004E31E8"/>
    <w:rsid w:val="004E3322"/>
    <w:rsid w:val="004E44F1"/>
    <w:rsid w:val="004E4EEA"/>
    <w:rsid w:val="004E52FD"/>
    <w:rsid w:val="004E6310"/>
    <w:rsid w:val="004E6500"/>
    <w:rsid w:val="004E7D19"/>
    <w:rsid w:val="004F0CE4"/>
    <w:rsid w:val="004F104B"/>
    <w:rsid w:val="004F22A8"/>
    <w:rsid w:val="004F2BFA"/>
    <w:rsid w:val="004F3087"/>
    <w:rsid w:val="004F4B9E"/>
    <w:rsid w:val="004F4E41"/>
    <w:rsid w:val="004F59A7"/>
    <w:rsid w:val="004F75A2"/>
    <w:rsid w:val="00500F73"/>
    <w:rsid w:val="00501F5E"/>
    <w:rsid w:val="00502C75"/>
    <w:rsid w:val="00505846"/>
    <w:rsid w:val="00505FF2"/>
    <w:rsid w:val="00506248"/>
    <w:rsid w:val="00507B3D"/>
    <w:rsid w:val="005107E1"/>
    <w:rsid w:val="00510C4E"/>
    <w:rsid w:val="00511C06"/>
    <w:rsid w:val="00511DAC"/>
    <w:rsid w:val="00512038"/>
    <w:rsid w:val="005148ED"/>
    <w:rsid w:val="00514C68"/>
    <w:rsid w:val="00515FF5"/>
    <w:rsid w:val="005165EF"/>
    <w:rsid w:val="005168CB"/>
    <w:rsid w:val="00521C12"/>
    <w:rsid w:val="00522632"/>
    <w:rsid w:val="00522826"/>
    <w:rsid w:val="0052446E"/>
    <w:rsid w:val="00525A62"/>
    <w:rsid w:val="00525CCD"/>
    <w:rsid w:val="00526F58"/>
    <w:rsid w:val="00527E02"/>
    <w:rsid w:val="00530228"/>
    <w:rsid w:val="005320A8"/>
    <w:rsid w:val="00532F89"/>
    <w:rsid w:val="00533BC0"/>
    <w:rsid w:val="00534496"/>
    <w:rsid w:val="00535383"/>
    <w:rsid w:val="005359FC"/>
    <w:rsid w:val="00535FC6"/>
    <w:rsid w:val="0053680B"/>
    <w:rsid w:val="005374B1"/>
    <w:rsid w:val="005402BB"/>
    <w:rsid w:val="005409BC"/>
    <w:rsid w:val="005410CD"/>
    <w:rsid w:val="005412D7"/>
    <w:rsid w:val="005414BA"/>
    <w:rsid w:val="00543EB9"/>
    <w:rsid w:val="00544FDE"/>
    <w:rsid w:val="005458D3"/>
    <w:rsid w:val="00545C85"/>
    <w:rsid w:val="005461FD"/>
    <w:rsid w:val="00546667"/>
    <w:rsid w:val="005466F8"/>
    <w:rsid w:val="00547158"/>
    <w:rsid w:val="00550F67"/>
    <w:rsid w:val="00551718"/>
    <w:rsid w:val="00551E97"/>
    <w:rsid w:val="00554262"/>
    <w:rsid w:val="00554A32"/>
    <w:rsid w:val="005550F7"/>
    <w:rsid w:val="00556C53"/>
    <w:rsid w:val="00561538"/>
    <w:rsid w:val="00561ED6"/>
    <w:rsid w:val="005623F9"/>
    <w:rsid w:val="005631B7"/>
    <w:rsid w:val="00563275"/>
    <w:rsid w:val="00563665"/>
    <w:rsid w:val="00563C41"/>
    <w:rsid w:val="00563CE1"/>
    <w:rsid w:val="005643FC"/>
    <w:rsid w:val="005654A0"/>
    <w:rsid w:val="0056604F"/>
    <w:rsid w:val="0056661B"/>
    <w:rsid w:val="0056694B"/>
    <w:rsid w:val="00566C17"/>
    <w:rsid w:val="00570059"/>
    <w:rsid w:val="005707CA"/>
    <w:rsid w:val="005709B2"/>
    <w:rsid w:val="00571272"/>
    <w:rsid w:val="00571549"/>
    <w:rsid w:val="0057165D"/>
    <w:rsid w:val="00571726"/>
    <w:rsid w:val="005734A7"/>
    <w:rsid w:val="005739C0"/>
    <w:rsid w:val="00573F33"/>
    <w:rsid w:val="005758BA"/>
    <w:rsid w:val="00575BD1"/>
    <w:rsid w:val="00576260"/>
    <w:rsid w:val="00576AF3"/>
    <w:rsid w:val="005777C7"/>
    <w:rsid w:val="00581C08"/>
    <w:rsid w:val="00582FA8"/>
    <w:rsid w:val="005833FE"/>
    <w:rsid w:val="00583E87"/>
    <w:rsid w:val="00585845"/>
    <w:rsid w:val="00586DAC"/>
    <w:rsid w:val="005875B0"/>
    <w:rsid w:val="00587B78"/>
    <w:rsid w:val="00590CDF"/>
    <w:rsid w:val="0059104C"/>
    <w:rsid w:val="00591D38"/>
    <w:rsid w:val="00593378"/>
    <w:rsid w:val="005934E2"/>
    <w:rsid w:val="005935FB"/>
    <w:rsid w:val="00593C4F"/>
    <w:rsid w:val="00593F4F"/>
    <w:rsid w:val="0059443C"/>
    <w:rsid w:val="00595064"/>
    <w:rsid w:val="00595A47"/>
    <w:rsid w:val="00596050"/>
    <w:rsid w:val="00596A89"/>
    <w:rsid w:val="00596B97"/>
    <w:rsid w:val="005A0118"/>
    <w:rsid w:val="005A1A98"/>
    <w:rsid w:val="005A2407"/>
    <w:rsid w:val="005A2B48"/>
    <w:rsid w:val="005A3CB8"/>
    <w:rsid w:val="005A555F"/>
    <w:rsid w:val="005A6082"/>
    <w:rsid w:val="005A6945"/>
    <w:rsid w:val="005A727E"/>
    <w:rsid w:val="005B2393"/>
    <w:rsid w:val="005B286F"/>
    <w:rsid w:val="005B2979"/>
    <w:rsid w:val="005B33AA"/>
    <w:rsid w:val="005B36B5"/>
    <w:rsid w:val="005B5CE2"/>
    <w:rsid w:val="005B645F"/>
    <w:rsid w:val="005B6B72"/>
    <w:rsid w:val="005B78A9"/>
    <w:rsid w:val="005C09CB"/>
    <w:rsid w:val="005C0AA2"/>
    <w:rsid w:val="005C101C"/>
    <w:rsid w:val="005C38AD"/>
    <w:rsid w:val="005C4603"/>
    <w:rsid w:val="005C544B"/>
    <w:rsid w:val="005C5D4E"/>
    <w:rsid w:val="005C67C0"/>
    <w:rsid w:val="005C6ED6"/>
    <w:rsid w:val="005C7261"/>
    <w:rsid w:val="005C74B9"/>
    <w:rsid w:val="005C771F"/>
    <w:rsid w:val="005D29DE"/>
    <w:rsid w:val="005D304D"/>
    <w:rsid w:val="005D5605"/>
    <w:rsid w:val="005D6421"/>
    <w:rsid w:val="005D6ED7"/>
    <w:rsid w:val="005E2090"/>
    <w:rsid w:val="005E37FD"/>
    <w:rsid w:val="005E4296"/>
    <w:rsid w:val="005E453A"/>
    <w:rsid w:val="005E46C4"/>
    <w:rsid w:val="005E5F63"/>
    <w:rsid w:val="005E7D5C"/>
    <w:rsid w:val="005E7FB0"/>
    <w:rsid w:val="005F0CC8"/>
    <w:rsid w:val="005F143E"/>
    <w:rsid w:val="005F1D9D"/>
    <w:rsid w:val="005F27A1"/>
    <w:rsid w:val="005F2BCA"/>
    <w:rsid w:val="005F2F85"/>
    <w:rsid w:val="005F3295"/>
    <w:rsid w:val="005F350F"/>
    <w:rsid w:val="005F40CD"/>
    <w:rsid w:val="005F4A5E"/>
    <w:rsid w:val="005F7309"/>
    <w:rsid w:val="005F7E49"/>
    <w:rsid w:val="00600096"/>
    <w:rsid w:val="0060023E"/>
    <w:rsid w:val="00605039"/>
    <w:rsid w:val="006050C3"/>
    <w:rsid w:val="00606030"/>
    <w:rsid w:val="0061007B"/>
    <w:rsid w:val="00610A88"/>
    <w:rsid w:val="00610DF2"/>
    <w:rsid w:val="0061154C"/>
    <w:rsid w:val="0061169D"/>
    <w:rsid w:val="00612BA4"/>
    <w:rsid w:val="00613525"/>
    <w:rsid w:val="0061370D"/>
    <w:rsid w:val="00613A21"/>
    <w:rsid w:val="00614B44"/>
    <w:rsid w:val="006214FE"/>
    <w:rsid w:val="0062231B"/>
    <w:rsid w:val="00623B09"/>
    <w:rsid w:val="00623CC8"/>
    <w:rsid w:val="00623E21"/>
    <w:rsid w:val="006251A1"/>
    <w:rsid w:val="00625C4F"/>
    <w:rsid w:val="00626459"/>
    <w:rsid w:val="006277BA"/>
    <w:rsid w:val="00627A7B"/>
    <w:rsid w:val="00631133"/>
    <w:rsid w:val="0063260D"/>
    <w:rsid w:val="00635110"/>
    <w:rsid w:val="0063549C"/>
    <w:rsid w:val="00635670"/>
    <w:rsid w:val="0063713D"/>
    <w:rsid w:val="00637AA7"/>
    <w:rsid w:val="006409E5"/>
    <w:rsid w:val="00641B0E"/>
    <w:rsid w:val="0064212B"/>
    <w:rsid w:val="00643226"/>
    <w:rsid w:val="00643BAA"/>
    <w:rsid w:val="0064536D"/>
    <w:rsid w:val="00645373"/>
    <w:rsid w:val="00647C92"/>
    <w:rsid w:val="00650B41"/>
    <w:rsid w:val="006511D0"/>
    <w:rsid w:val="0065193C"/>
    <w:rsid w:val="00654FBF"/>
    <w:rsid w:val="00660C8E"/>
    <w:rsid w:val="00661932"/>
    <w:rsid w:val="006619BB"/>
    <w:rsid w:val="00661CD2"/>
    <w:rsid w:val="00662213"/>
    <w:rsid w:val="006629EC"/>
    <w:rsid w:val="00662A0A"/>
    <w:rsid w:val="00662A6E"/>
    <w:rsid w:val="00663229"/>
    <w:rsid w:val="00665AD6"/>
    <w:rsid w:val="006677F4"/>
    <w:rsid w:val="00667835"/>
    <w:rsid w:val="00670681"/>
    <w:rsid w:val="00671066"/>
    <w:rsid w:val="00671B07"/>
    <w:rsid w:val="00671C57"/>
    <w:rsid w:val="00672F89"/>
    <w:rsid w:val="00673699"/>
    <w:rsid w:val="006748B0"/>
    <w:rsid w:val="006755C4"/>
    <w:rsid w:val="00675669"/>
    <w:rsid w:val="006805EB"/>
    <w:rsid w:val="00680DEE"/>
    <w:rsid w:val="0068136D"/>
    <w:rsid w:val="00681A99"/>
    <w:rsid w:val="00681B5B"/>
    <w:rsid w:val="006831DB"/>
    <w:rsid w:val="00683775"/>
    <w:rsid w:val="00684EB8"/>
    <w:rsid w:val="00684F3F"/>
    <w:rsid w:val="0068539A"/>
    <w:rsid w:val="00685514"/>
    <w:rsid w:val="00685658"/>
    <w:rsid w:val="006857AD"/>
    <w:rsid w:val="00685A68"/>
    <w:rsid w:val="00685AC1"/>
    <w:rsid w:val="00685C0E"/>
    <w:rsid w:val="00685C65"/>
    <w:rsid w:val="006904AD"/>
    <w:rsid w:val="006910C3"/>
    <w:rsid w:val="00691603"/>
    <w:rsid w:val="00693906"/>
    <w:rsid w:val="00694BD8"/>
    <w:rsid w:val="00694FCB"/>
    <w:rsid w:val="0069522D"/>
    <w:rsid w:val="006972FC"/>
    <w:rsid w:val="00697A64"/>
    <w:rsid w:val="006A087E"/>
    <w:rsid w:val="006A1154"/>
    <w:rsid w:val="006A3284"/>
    <w:rsid w:val="006A4207"/>
    <w:rsid w:val="006A478C"/>
    <w:rsid w:val="006A62E5"/>
    <w:rsid w:val="006A70C1"/>
    <w:rsid w:val="006A753E"/>
    <w:rsid w:val="006A799E"/>
    <w:rsid w:val="006B148A"/>
    <w:rsid w:val="006B4332"/>
    <w:rsid w:val="006B48CC"/>
    <w:rsid w:val="006B51D0"/>
    <w:rsid w:val="006B6758"/>
    <w:rsid w:val="006B7147"/>
    <w:rsid w:val="006B7694"/>
    <w:rsid w:val="006C0161"/>
    <w:rsid w:val="006C0585"/>
    <w:rsid w:val="006C0612"/>
    <w:rsid w:val="006C080F"/>
    <w:rsid w:val="006C1DD4"/>
    <w:rsid w:val="006C2BA7"/>
    <w:rsid w:val="006C418A"/>
    <w:rsid w:val="006C43B8"/>
    <w:rsid w:val="006C4414"/>
    <w:rsid w:val="006C4D1D"/>
    <w:rsid w:val="006C526B"/>
    <w:rsid w:val="006C532F"/>
    <w:rsid w:val="006C57C2"/>
    <w:rsid w:val="006C5E28"/>
    <w:rsid w:val="006C5F1A"/>
    <w:rsid w:val="006C60E9"/>
    <w:rsid w:val="006C6494"/>
    <w:rsid w:val="006C6CFD"/>
    <w:rsid w:val="006D1AAA"/>
    <w:rsid w:val="006D2361"/>
    <w:rsid w:val="006D295C"/>
    <w:rsid w:val="006D299D"/>
    <w:rsid w:val="006D2BEB"/>
    <w:rsid w:val="006D3C05"/>
    <w:rsid w:val="006D3CA8"/>
    <w:rsid w:val="006D560B"/>
    <w:rsid w:val="006D6B1C"/>
    <w:rsid w:val="006D6BCC"/>
    <w:rsid w:val="006D758D"/>
    <w:rsid w:val="006D796E"/>
    <w:rsid w:val="006E0D6E"/>
    <w:rsid w:val="006E1603"/>
    <w:rsid w:val="006E1708"/>
    <w:rsid w:val="006E24A7"/>
    <w:rsid w:val="006E2B6B"/>
    <w:rsid w:val="006E2D00"/>
    <w:rsid w:val="006E2DB9"/>
    <w:rsid w:val="006E4F96"/>
    <w:rsid w:val="006E66B3"/>
    <w:rsid w:val="006E6931"/>
    <w:rsid w:val="006E6C55"/>
    <w:rsid w:val="006F0362"/>
    <w:rsid w:val="006F2226"/>
    <w:rsid w:val="006F41B6"/>
    <w:rsid w:val="006F427A"/>
    <w:rsid w:val="006F655B"/>
    <w:rsid w:val="006F662A"/>
    <w:rsid w:val="006F7ECE"/>
    <w:rsid w:val="00700257"/>
    <w:rsid w:val="0070120C"/>
    <w:rsid w:val="007035BE"/>
    <w:rsid w:val="0070365E"/>
    <w:rsid w:val="00704554"/>
    <w:rsid w:val="00704D5E"/>
    <w:rsid w:val="007051FE"/>
    <w:rsid w:val="00705840"/>
    <w:rsid w:val="00710F06"/>
    <w:rsid w:val="007136DF"/>
    <w:rsid w:val="007166FB"/>
    <w:rsid w:val="00716B72"/>
    <w:rsid w:val="0071747D"/>
    <w:rsid w:val="00720ABF"/>
    <w:rsid w:val="00721517"/>
    <w:rsid w:val="00721E8A"/>
    <w:rsid w:val="007223AF"/>
    <w:rsid w:val="00724DCC"/>
    <w:rsid w:val="00725415"/>
    <w:rsid w:val="00726827"/>
    <w:rsid w:val="00726D4F"/>
    <w:rsid w:val="00727115"/>
    <w:rsid w:val="0073048D"/>
    <w:rsid w:val="00731682"/>
    <w:rsid w:val="007317B3"/>
    <w:rsid w:val="007338C1"/>
    <w:rsid w:val="00733ACA"/>
    <w:rsid w:val="0073447B"/>
    <w:rsid w:val="0073569F"/>
    <w:rsid w:val="007356BC"/>
    <w:rsid w:val="00735898"/>
    <w:rsid w:val="00735BB1"/>
    <w:rsid w:val="00736073"/>
    <w:rsid w:val="007362DA"/>
    <w:rsid w:val="00736D70"/>
    <w:rsid w:val="00737408"/>
    <w:rsid w:val="00737631"/>
    <w:rsid w:val="007402D4"/>
    <w:rsid w:val="00743862"/>
    <w:rsid w:val="00744350"/>
    <w:rsid w:val="00744512"/>
    <w:rsid w:val="007452D8"/>
    <w:rsid w:val="007455BF"/>
    <w:rsid w:val="00745A0F"/>
    <w:rsid w:val="00745ADB"/>
    <w:rsid w:val="00746FE0"/>
    <w:rsid w:val="00747B9D"/>
    <w:rsid w:val="00750950"/>
    <w:rsid w:val="00751063"/>
    <w:rsid w:val="007513EC"/>
    <w:rsid w:val="00751761"/>
    <w:rsid w:val="00751C52"/>
    <w:rsid w:val="00751EEC"/>
    <w:rsid w:val="00751FDD"/>
    <w:rsid w:val="00752038"/>
    <w:rsid w:val="00752967"/>
    <w:rsid w:val="00752BCC"/>
    <w:rsid w:val="00754A0D"/>
    <w:rsid w:val="00754E19"/>
    <w:rsid w:val="007558BC"/>
    <w:rsid w:val="00755D15"/>
    <w:rsid w:val="007564CC"/>
    <w:rsid w:val="00756732"/>
    <w:rsid w:val="00757045"/>
    <w:rsid w:val="00764F7A"/>
    <w:rsid w:val="007656A5"/>
    <w:rsid w:val="007656DC"/>
    <w:rsid w:val="00765BDD"/>
    <w:rsid w:val="00767A47"/>
    <w:rsid w:val="007713CC"/>
    <w:rsid w:val="0077167E"/>
    <w:rsid w:val="00774B58"/>
    <w:rsid w:val="00775312"/>
    <w:rsid w:val="00775BD9"/>
    <w:rsid w:val="00776008"/>
    <w:rsid w:val="007766A9"/>
    <w:rsid w:val="00777237"/>
    <w:rsid w:val="00780681"/>
    <w:rsid w:val="007812A8"/>
    <w:rsid w:val="00781DBB"/>
    <w:rsid w:val="00783526"/>
    <w:rsid w:val="007840D7"/>
    <w:rsid w:val="007846B5"/>
    <w:rsid w:val="00784D14"/>
    <w:rsid w:val="00785F81"/>
    <w:rsid w:val="00787DAD"/>
    <w:rsid w:val="0079103D"/>
    <w:rsid w:val="007913C0"/>
    <w:rsid w:val="0079251C"/>
    <w:rsid w:val="00795143"/>
    <w:rsid w:val="00796F2E"/>
    <w:rsid w:val="007A043D"/>
    <w:rsid w:val="007A4812"/>
    <w:rsid w:val="007A49AB"/>
    <w:rsid w:val="007A5710"/>
    <w:rsid w:val="007A7C2B"/>
    <w:rsid w:val="007B103F"/>
    <w:rsid w:val="007B2782"/>
    <w:rsid w:val="007B38FC"/>
    <w:rsid w:val="007B519C"/>
    <w:rsid w:val="007B575E"/>
    <w:rsid w:val="007B73EF"/>
    <w:rsid w:val="007B7BD7"/>
    <w:rsid w:val="007B7C5C"/>
    <w:rsid w:val="007C0284"/>
    <w:rsid w:val="007C0588"/>
    <w:rsid w:val="007C0DF2"/>
    <w:rsid w:val="007C1802"/>
    <w:rsid w:val="007C2391"/>
    <w:rsid w:val="007C2481"/>
    <w:rsid w:val="007C2E11"/>
    <w:rsid w:val="007C487F"/>
    <w:rsid w:val="007C50C4"/>
    <w:rsid w:val="007C5191"/>
    <w:rsid w:val="007C57F6"/>
    <w:rsid w:val="007C68C0"/>
    <w:rsid w:val="007C76BF"/>
    <w:rsid w:val="007C7D44"/>
    <w:rsid w:val="007D000D"/>
    <w:rsid w:val="007D09EA"/>
    <w:rsid w:val="007D4A23"/>
    <w:rsid w:val="007D589E"/>
    <w:rsid w:val="007D5A3C"/>
    <w:rsid w:val="007D68B3"/>
    <w:rsid w:val="007D7E25"/>
    <w:rsid w:val="007E0DC6"/>
    <w:rsid w:val="007E1F1C"/>
    <w:rsid w:val="007E231E"/>
    <w:rsid w:val="007E31DE"/>
    <w:rsid w:val="007E3977"/>
    <w:rsid w:val="007E3DC2"/>
    <w:rsid w:val="007E4451"/>
    <w:rsid w:val="007E5C28"/>
    <w:rsid w:val="007E6A1D"/>
    <w:rsid w:val="007E7128"/>
    <w:rsid w:val="007E7571"/>
    <w:rsid w:val="007E7D59"/>
    <w:rsid w:val="007E7DE0"/>
    <w:rsid w:val="007F16AB"/>
    <w:rsid w:val="007F199B"/>
    <w:rsid w:val="007F2245"/>
    <w:rsid w:val="007F3B1C"/>
    <w:rsid w:val="007F59FC"/>
    <w:rsid w:val="007F713F"/>
    <w:rsid w:val="007F72A5"/>
    <w:rsid w:val="007F7AB1"/>
    <w:rsid w:val="00802F29"/>
    <w:rsid w:val="00803858"/>
    <w:rsid w:val="00804DA9"/>
    <w:rsid w:val="0080533B"/>
    <w:rsid w:val="008063FF"/>
    <w:rsid w:val="00810950"/>
    <w:rsid w:val="00810A4C"/>
    <w:rsid w:val="00810E99"/>
    <w:rsid w:val="0081248B"/>
    <w:rsid w:val="00812CB3"/>
    <w:rsid w:val="008130DF"/>
    <w:rsid w:val="008133FA"/>
    <w:rsid w:val="008137E1"/>
    <w:rsid w:val="00813E24"/>
    <w:rsid w:val="00815BB9"/>
    <w:rsid w:val="0081711E"/>
    <w:rsid w:val="00821D5A"/>
    <w:rsid w:val="00821D62"/>
    <w:rsid w:val="00821FF6"/>
    <w:rsid w:val="00822992"/>
    <w:rsid w:val="0082393B"/>
    <w:rsid w:val="00824FC3"/>
    <w:rsid w:val="008259E8"/>
    <w:rsid w:val="00827A32"/>
    <w:rsid w:val="00832656"/>
    <w:rsid w:val="00833339"/>
    <w:rsid w:val="00833905"/>
    <w:rsid w:val="00833D22"/>
    <w:rsid w:val="00834AD8"/>
    <w:rsid w:val="008367C7"/>
    <w:rsid w:val="00836B08"/>
    <w:rsid w:val="00840556"/>
    <w:rsid w:val="00840C71"/>
    <w:rsid w:val="00841425"/>
    <w:rsid w:val="0084243C"/>
    <w:rsid w:val="0084388B"/>
    <w:rsid w:val="008439F8"/>
    <w:rsid w:val="008446A5"/>
    <w:rsid w:val="0084475A"/>
    <w:rsid w:val="00845798"/>
    <w:rsid w:val="00846D80"/>
    <w:rsid w:val="008503A2"/>
    <w:rsid w:val="00850AF6"/>
    <w:rsid w:val="00850BB6"/>
    <w:rsid w:val="00851546"/>
    <w:rsid w:val="00851959"/>
    <w:rsid w:val="00851EE1"/>
    <w:rsid w:val="008525FC"/>
    <w:rsid w:val="0085324A"/>
    <w:rsid w:val="00853701"/>
    <w:rsid w:val="00853EE1"/>
    <w:rsid w:val="00854D94"/>
    <w:rsid w:val="0085606B"/>
    <w:rsid w:val="0085674B"/>
    <w:rsid w:val="00856A1A"/>
    <w:rsid w:val="00861CF0"/>
    <w:rsid w:val="00861D94"/>
    <w:rsid w:val="00866B20"/>
    <w:rsid w:val="00866F39"/>
    <w:rsid w:val="00867306"/>
    <w:rsid w:val="00867CCA"/>
    <w:rsid w:val="0087048A"/>
    <w:rsid w:val="00870888"/>
    <w:rsid w:val="00870A5B"/>
    <w:rsid w:val="00870C31"/>
    <w:rsid w:val="0087120A"/>
    <w:rsid w:val="00873908"/>
    <w:rsid w:val="00874232"/>
    <w:rsid w:val="008806D3"/>
    <w:rsid w:val="00880D95"/>
    <w:rsid w:val="00880FF0"/>
    <w:rsid w:val="0088222D"/>
    <w:rsid w:val="008841BD"/>
    <w:rsid w:val="00884436"/>
    <w:rsid w:val="008854A2"/>
    <w:rsid w:val="0088620E"/>
    <w:rsid w:val="008877FE"/>
    <w:rsid w:val="00887AA7"/>
    <w:rsid w:val="008908FB"/>
    <w:rsid w:val="00891D3C"/>
    <w:rsid w:val="00894BE0"/>
    <w:rsid w:val="0089529B"/>
    <w:rsid w:val="0089635E"/>
    <w:rsid w:val="00896934"/>
    <w:rsid w:val="008A0379"/>
    <w:rsid w:val="008A216F"/>
    <w:rsid w:val="008A2B52"/>
    <w:rsid w:val="008A390B"/>
    <w:rsid w:val="008A461E"/>
    <w:rsid w:val="008A4B53"/>
    <w:rsid w:val="008A630E"/>
    <w:rsid w:val="008A64A3"/>
    <w:rsid w:val="008A680D"/>
    <w:rsid w:val="008A721F"/>
    <w:rsid w:val="008B0338"/>
    <w:rsid w:val="008B3280"/>
    <w:rsid w:val="008B3B10"/>
    <w:rsid w:val="008B3F34"/>
    <w:rsid w:val="008B49FE"/>
    <w:rsid w:val="008B591C"/>
    <w:rsid w:val="008B59E9"/>
    <w:rsid w:val="008B66EF"/>
    <w:rsid w:val="008B67DC"/>
    <w:rsid w:val="008B6F58"/>
    <w:rsid w:val="008B77D3"/>
    <w:rsid w:val="008C184C"/>
    <w:rsid w:val="008C3E5E"/>
    <w:rsid w:val="008C3F14"/>
    <w:rsid w:val="008C4030"/>
    <w:rsid w:val="008C43D7"/>
    <w:rsid w:val="008C4F84"/>
    <w:rsid w:val="008C5DCB"/>
    <w:rsid w:val="008C7CE4"/>
    <w:rsid w:val="008D0A53"/>
    <w:rsid w:val="008D0BD9"/>
    <w:rsid w:val="008D1A45"/>
    <w:rsid w:val="008D1F95"/>
    <w:rsid w:val="008D3DAE"/>
    <w:rsid w:val="008D4132"/>
    <w:rsid w:val="008D5A64"/>
    <w:rsid w:val="008D6BC1"/>
    <w:rsid w:val="008D7FF0"/>
    <w:rsid w:val="008E180F"/>
    <w:rsid w:val="008E19DD"/>
    <w:rsid w:val="008E33D4"/>
    <w:rsid w:val="008E3581"/>
    <w:rsid w:val="008E36A7"/>
    <w:rsid w:val="008E4B3D"/>
    <w:rsid w:val="008E7C57"/>
    <w:rsid w:val="008F0241"/>
    <w:rsid w:val="008F14E8"/>
    <w:rsid w:val="008F1D72"/>
    <w:rsid w:val="008F1DCF"/>
    <w:rsid w:val="008F4837"/>
    <w:rsid w:val="008F4DCF"/>
    <w:rsid w:val="008F51BC"/>
    <w:rsid w:val="008F5317"/>
    <w:rsid w:val="008F5AA9"/>
    <w:rsid w:val="008F5F7E"/>
    <w:rsid w:val="008F651E"/>
    <w:rsid w:val="008F6CEF"/>
    <w:rsid w:val="008F7F6C"/>
    <w:rsid w:val="00900DE4"/>
    <w:rsid w:val="00900F3C"/>
    <w:rsid w:val="009045A5"/>
    <w:rsid w:val="00904914"/>
    <w:rsid w:val="0090535D"/>
    <w:rsid w:val="009054AD"/>
    <w:rsid w:val="00905E7D"/>
    <w:rsid w:val="0091188B"/>
    <w:rsid w:val="00912547"/>
    <w:rsid w:val="00912646"/>
    <w:rsid w:val="00912BFF"/>
    <w:rsid w:val="00912C2E"/>
    <w:rsid w:val="009138C6"/>
    <w:rsid w:val="00915997"/>
    <w:rsid w:val="009159AF"/>
    <w:rsid w:val="00917829"/>
    <w:rsid w:val="00920378"/>
    <w:rsid w:val="00920533"/>
    <w:rsid w:val="00920A98"/>
    <w:rsid w:val="00920BDA"/>
    <w:rsid w:val="00921840"/>
    <w:rsid w:val="009221E8"/>
    <w:rsid w:val="00922ABE"/>
    <w:rsid w:val="00924302"/>
    <w:rsid w:val="0092435B"/>
    <w:rsid w:val="0092439F"/>
    <w:rsid w:val="009246D5"/>
    <w:rsid w:val="00924F0A"/>
    <w:rsid w:val="00925F9E"/>
    <w:rsid w:val="009260D5"/>
    <w:rsid w:val="009261B3"/>
    <w:rsid w:val="009273A3"/>
    <w:rsid w:val="00930A71"/>
    <w:rsid w:val="00931A54"/>
    <w:rsid w:val="0093240B"/>
    <w:rsid w:val="0093262A"/>
    <w:rsid w:val="009330CD"/>
    <w:rsid w:val="00934126"/>
    <w:rsid w:val="009354AD"/>
    <w:rsid w:val="0093557F"/>
    <w:rsid w:val="009360F0"/>
    <w:rsid w:val="00937BEB"/>
    <w:rsid w:val="0094039E"/>
    <w:rsid w:val="0094072E"/>
    <w:rsid w:val="00940990"/>
    <w:rsid w:val="00943223"/>
    <w:rsid w:val="00943A2C"/>
    <w:rsid w:val="00946DE3"/>
    <w:rsid w:val="009508B8"/>
    <w:rsid w:val="00951DBD"/>
    <w:rsid w:val="00952ED5"/>
    <w:rsid w:val="009540AA"/>
    <w:rsid w:val="00954845"/>
    <w:rsid w:val="00955AAA"/>
    <w:rsid w:val="00956005"/>
    <w:rsid w:val="00956558"/>
    <w:rsid w:val="009571A8"/>
    <w:rsid w:val="009573D0"/>
    <w:rsid w:val="00957661"/>
    <w:rsid w:val="00957948"/>
    <w:rsid w:val="00957C98"/>
    <w:rsid w:val="00961CF7"/>
    <w:rsid w:val="009622A3"/>
    <w:rsid w:val="00963469"/>
    <w:rsid w:val="009654D3"/>
    <w:rsid w:val="009672EB"/>
    <w:rsid w:val="00967CD2"/>
    <w:rsid w:val="009703E9"/>
    <w:rsid w:val="00970659"/>
    <w:rsid w:val="00970882"/>
    <w:rsid w:val="00970974"/>
    <w:rsid w:val="009709FE"/>
    <w:rsid w:val="00971609"/>
    <w:rsid w:val="0097169D"/>
    <w:rsid w:val="00972C43"/>
    <w:rsid w:val="00973839"/>
    <w:rsid w:val="00973BAF"/>
    <w:rsid w:val="00974421"/>
    <w:rsid w:val="00974677"/>
    <w:rsid w:val="00974CC0"/>
    <w:rsid w:val="00975E0A"/>
    <w:rsid w:val="0097646B"/>
    <w:rsid w:val="00976CEC"/>
    <w:rsid w:val="00977C16"/>
    <w:rsid w:val="009804A3"/>
    <w:rsid w:val="00980CD5"/>
    <w:rsid w:val="00980DE1"/>
    <w:rsid w:val="009811A1"/>
    <w:rsid w:val="009813A5"/>
    <w:rsid w:val="00981704"/>
    <w:rsid w:val="00981C68"/>
    <w:rsid w:val="0098246D"/>
    <w:rsid w:val="00983143"/>
    <w:rsid w:val="00983239"/>
    <w:rsid w:val="00983553"/>
    <w:rsid w:val="0098359B"/>
    <w:rsid w:val="00984A14"/>
    <w:rsid w:val="00985678"/>
    <w:rsid w:val="00985D74"/>
    <w:rsid w:val="00985F15"/>
    <w:rsid w:val="00987897"/>
    <w:rsid w:val="00990358"/>
    <w:rsid w:val="009905A7"/>
    <w:rsid w:val="0099063D"/>
    <w:rsid w:val="00990BEB"/>
    <w:rsid w:val="00991A6D"/>
    <w:rsid w:val="00991E15"/>
    <w:rsid w:val="00991F5F"/>
    <w:rsid w:val="0099513D"/>
    <w:rsid w:val="009965D5"/>
    <w:rsid w:val="0099670A"/>
    <w:rsid w:val="00996936"/>
    <w:rsid w:val="00996A13"/>
    <w:rsid w:val="009976EE"/>
    <w:rsid w:val="009A32A5"/>
    <w:rsid w:val="009A3A26"/>
    <w:rsid w:val="009A4E0E"/>
    <w:rsid w:val="009A5322"/>
    <w:rsid w:val="009A67AE"/>
    <w:rsid w:val="009A6FB0"/>
    <w:rsid w:val="009B06CF"/>
    <w:rsid w:val="009B0EC5"/>
    <w:rsid w:val="009B0F89"/>
    <w:rsid w:val="009B18B7"/>
    <w:rsid w:val="009B24D4"/>
    <w:rsid w:val="009B252E"/>
    <w:rsid w:val="009B2D8F"/>
    <w:rsid w:val="009B45E4"/>
    <w:rsid w:val="009B4B97"/>
    <w:rsid w:val="009C0AFA"/>
    <w:rsid w:val="009C1C0A"/>
    <w:rsid w:val="009C2C60"/>
    <w:rsid w:val="009C45F6"/>
    <w:rsid w:val="009C48D7"/>
    <w:rsid w:val="009C4F78"/>
    <w:rsid w:val="009C5CB4"/>
    <w:rsid w:val="009C60AC"/>
    <w:rsid w:val="009C7A5F"/>
    <w:rsid w:val="009D0089"/>
    <w:rsid w:val="009D0856"/>
    <w:rsid w:val="009D2488"/>
    <w:rsid w:val="009D25B5"/>
    <w:rsid w:val="009D44D1"/>
    <w:rsid w:val="009D5ABE"/>
    <w:rsid w:val="009D5EA5"/>
    <w:rsid w:val="009D63D6"/>
    <w:rsid w:val="009D718A"/>
    <w:rsid w:val="009E163C"/>
    <w:rsid w:val="009E2A3E"/>
    <w:rsid w:val="009E32ED"/>
    <w:rsid w:val="009E34B4"/>
    <w:rsid w:val="009E37AA"/>
    <w:rsid w:val="009E4B7F"/>
    <w:rsid w:val="009E52E4"/>
    <w:rsid w:val="009E5BF6"/>
    <w:rsid w:val="009E6081"/>
    <w:rsid w:val="009E61D2"/>
    <w:rsid w:val="009E668E"/>
    <w:rsid w:val="009F1437"/>
    <w:rsid w:val="009F2961"/>
    <w:rsid w:val="009F41DC"/>
    <w:rsid w:val="009F41EE"/>
    <w:rsid w:val="009F5663"/>
    <w:rsid w:val="009F579A"/>
    <w:rsid w:val="009F5D29"/>
    <w:rsid w:val="009F6E21"/>
    <w:rsid w:val="009F7FBD"/>
    <w:rsid w:val="00A00C35"/>
    <w:rsid w:val="00A02015"/>
    <w:rsid w:val="00A02992"/>
    <w:rsid w:val="00A02C03"/>
    <w:rsid w:val="00A03916"/>
    <w:rsid w:val="00A0580B"/>
    <w:rsid w:val="00A05815"/>
    <w:rsid w:val="00A07C24"/>
    <w:rsid w:val="00A1161A"/>
    <w:rsid w:val="00A12308"/>
    <w:rsid w:val="00A147C1"/>
    <w:rsid w:val="00A14B6B"/>
    <w:rsid w:val="00A15293"/>
    <w:rsid w:val="00A152A6"/>
    <w:rsid w:val="00A15310"/>
    <w:rsid w:val="00A15481"/>
    <w:rsid w:val="00A156C1"/>
    <w:rsid w:val="00A15B52"/>
    <w:rsid w:val="00A170C9"/>
    <w:rsid w:val="00A170FA"/>
    <w:rsid w:val="00A21397"/>
    <w:rsid w:val="00A2279E"/>
    <w:rsid w:val="00A22851"/>
    <w:rsid w:val="00A257F9"/>
    <w:rsid w:val="00A2779E"/>
    <w:rsid w:val="00A27E47"/>
    <w:rsid w:val="00A308A1"/>
    <w:rsid w:val="00A311C6"/>
    <w:rsid w:val="00A311F9"/>
    <w:rsid w:val="00A31EE5"/>
    <w:rsid w:val="00A32EC2"/>
    <w:rsid w:val="00A33022"/>
    <w:rsid w:val="00A35C7B"/>
    <w:rsid w:val="00A36872"/>
    <w:rsid w:val="00A36D48"/>
    <w:rsid w:val="00A406C5"/>
    <w:rsid w:val="00A41479"/>
    <w:rsid w:val="00A417F8"/>
    <w:rsid w:val="00A434C4"/>
    <w:rsid w:val="00A438AC"/>
    <w:rsid w:val="00A448DE"/>
    <w:rsid w:val="00A44BB6"/>
    <w:rsid w:val="00A454B6"/>
    <w:rsid w:val="00A466D8"/>
    <w:rsid w:val="00A46EE0"/>
    <w:rsid w:val="00A47673"/>
    <w:rsid w:val="00A479A6"/>
    <w:rsid w:val="00A47F1E"/>
    <w:rsid w:val="00A51C04"/>
    <w:rsid w:val="00A53251"/>
    <w:rsid w:val="00A5354D"/>
    <w:rsid w:val="00A53AE4"/>
    <w:rsid w:val="00A54556"/>
    <w:rsid w:val="00A54F7D"/>
    <w:rsid w:val="00A5509A"/>
    <w:rsid w:val="00A55606"/>
    <w:rsid w:val="00A57648"/>
    <w:rsid w:val="00A57981"/>
    <w:rsid w:val="00A60A2A"/>
    <w:rsid w:val="00A60AA3"/>
    <w:rsid w:val="00A63932"/>
    <w:rsid w:val="00A640CE"/>
    <w:rsid w:val="00A70237"/>
    <w:rsid w:val="00A70F09"/>
    <w:rsid w:val="00A70F6C"/>
    <w:rsid w:val="00A71106"/>
    <w:rsid w:val="00A73024"/>
    <w:rsid w:val="00A7340A"/>
    <w:rsid w:val="00A73D54"/>
    <w:rsid w:val="00A74B9B"/>
    <w:rsid w:val="00A755E9"/>
    <w:rsid w:val="00A765D0"/>
    <w:rsid w:val="00A7795B"/>
    <w:rsid w:val="00A829DA"/>
    <w:rsid w:val="00A83350"/>
    <w:rsid w:val="00A85CB0"/>
    <w:rsid w:val="00A85FBB"/>
    <w:rsid w:val="00A865BE"/>
    <w:rsid w:val="00A86DB4"/>
    <w:rsid w:val="00A90F32"/>
    <w:rsid w:val="00A921B1"/>
    <w:rsid w:val="00A969A1"/>
    <w:rsid w:val="00A972E7"/>
    <w:rsid w:val="00A979DB"/>
    <w:rsid w:val="00A97D34"/>
    <w:rsid w:val="00AA0BFA"/>
    <w:rsid w:val="00AA180A"/>
    <w:rsid w:val="00AA2155"/>
    <w:rsid w:val="00AA2E7C"/>
    <w:rsid w:val="00AA45BC"/>
    <w:rsid w:val="00AA4D42"/>
    <w:rsid w:val="00AA72D6"/>
    <w:rsid w:val="00AA7BA6"/>
    <w:rsid w:val="00AB06D2"/>
    <w:rsid w:val="00AB0747"/>
    <w:rsid w:val="00AB1803"/>
    <w:rsid w:val="00AB1AAC"/>
    <w:rsid w:val="00AB1D23"/>
    <w:rsid w:val="00AB281A"/>
    <w:rsid w:val="00AB3E3A"/>
    <w:rsid w:val="00AB4698"/>
    <w:rsid w:val="00AB50B6"/>
    <w:rsid w:val="00AB5B86"/>
    <w:rsid w:val="00AB73BA"/>
    <w:rsid w:val="00AB771D"/>
    <w:rsid w:val="00AB7859"/>
    <w:rsid w:val="00AB7BD7"/>
    <w:rsid w:val="00AB7C96"/>
    <w:rsid w:val="00AC02E3"/>
    <w:rsid w:val="00AC2AD9"/>
    <w:rsid w:val="00AC4FE9"/>
    <w:rsid w:val="00AC582C"/>
    <w:rsid w:val="00AC588E"/>
    <w:rsid w:val="00AC5CC7"/>
    <w:rsid w:val="00AC6567"/>
    <w:rsid w:val="00AC6ADD"/>
    <w:rsid w:val="00AC7236"/>
    <w:rsid w:val="00AC72A4"/>
    <w:rsid w:val="00AC77BA"/>
    <w:rsid w:val="00AD074C"/>
    <w:rsid w:val="00AD1703"/>
    <w:rsid w:val="00AD223E"/>
    <w:rsid w:val="00AD35AA"/>
    <w:rsid w:val="00AD3F72"/>
    <w:rsid w:val="00AD3FB6"/>
    <w:rsid w:val="00AD481A"/>
    <w:rsid w:val="00AD5BF0"/>
    <w:rsid w:val="00AD6580"/>
    <w:rsid w:val="00AD6A55"/>
    <w:rsid w:val="00AD7CEB"/>
    <w:rsid w:val="00AD7EB4"/>
    <w:rsid w:val="00AE07BE"/>
    <w:rsid w:val="00AE156B"/>
    <w:rsid w:val="00AE2C2C"/>
    <w:rsid w:val="00AE398D"/>
    <w:rsid w:val="00AE411D"/>
    <w:rsid w:val="00AE4BB0"/>
    <w:rsid w:val="00AE4D70"/>
    <w:rsid w:val="00AE5AAB"/>
    <w:rsid w:val="00AE5F3A"/>
    <w:rsid w:val="00AE6550"/>
    <w:rsid w:val="00AF077E"/>
    <w:rsid w:val="00AF104D"/>
    <w:rsid w:val="00AF1561"/>
    <w:rsid w:val="00AF4183"/>
    <w:rsid w:val="00AF5C95"/>
    <w:rsid w:val="00AF6026"/>
    <w:rsid w:val="00AF6287"/>
    <w:rsid w:val="00AF7494"/>
    <w:rsid w:val="00B00B22"/>
    <w:rsid w:val="00B027C5"/>
    <w:rsid w:val="00B02AC1"/>
    <w:rsid w:val="00B034BE"/>
    <w:rsid w:val="00B0500D"/>
    <w:rsid w:val="00B050E7"/>
    <w:rsid w:val="00B05FCD"/>
    <w:rsid w:val="00B064C6"/>
    <w:rsid w:val="00B06BC1"/>
    <w:rsid w:val="00B06EB7"/>
    <w:rsid w:val="00B10321"/>
    <w:rsid w:val="00B10C8E"/>
    <w:rsid w:val="00B10E61"/>
    <w:rsid w:val="00B1112E"/>
    <w:rsid w:val="00B11549"/>
    <w:rsid w:val="00B11EAD"/>
    <w:rsid w:val="00B13485"/>
    <w:rsid w:val="00B14364"/>
    <w:rsid w:val="00B1579A"/>
    <w:rsid w:val="00B1658C"/>
    <w:rsid w:val="00B1678F"/>
    <w:rsid w:val="00B227EA"/>
    <w:rsid w:val="00B239C2"/>
    <w:rsid w:val="00B23B02"/>
    <w:rsid w:val="00B23DB9"/>
    <w:rsid w:val="00B24BB1"/>
    <w:rsid w:val="00B2504C"/>
    <w:rsid w:val="00B27135"/>
    <w:rsid w:val="00B30770"/>
    <w:rsid w:val="00B30A52"/>
    <w:rsid w:val="00B30A5A"/>
    <w:rsid w:val="00B31D09"/>
    <w:rsid w:val="00B33BC0"/>
    <w:rsid w:val="00B3516F"/>
    <w:rsid w:val="00B3567C"/>
    <w:rsid w:val="00B35795"/>
    <w:rsid w:val="00B35D32"/>
    <w:rsid w:val="00B36D97"/>
    <w:rsid w:val="00B37107"/>
    <w:rsid w:val="00B40101"/>
    <w:rsid w:val="00B407BE"/>
    <w:rsid w:val="00B419B2"/>
    <w:rsid w:val="00B425DC"/>
    <w:rsid w:val="00B43777"/>
    <w:rsid w:val="00B43BF9"/>
    <w:rsid w:val="00B451FC"/>
    <w:rsid w:val="00B45B0A"/>
    <w:rsid w:val="00B45FF4"/>
    <w:rsid w:val="00B46560"/>
    <w:rsid w:val="00B46A1A"/>
    <w:rsid w:val="00B47477"/>
    <w:rsid w:val="00B47D06"/>
    <w:rsid w:val="00B50585"/>
    <w:rsid w:val="00B5155D"/>
    <w:rsid w:val="00B51FDF"/>
    <w:rsid w:val="00B533AD"/>
    <w:rsid w:val="00B536DC"/>
    <w:rsid w:val="00B543D2"/>
    <w:rsid w:val="00B55766"/>
    <w:rsid w:val="00B569BD"/>
    <w:rsid w:val="00B570EF"/>
    <w:rsid w:val="00B576C5"/>
    <w:rsid w:val="00B579A0"/>
    <w:rsid w:val="00B62BB5"/>
    <w:rsid w:val="00B62DD1"/>
    <w:rsid w:val="00B6349C"/>
    <w:rsid w:val="00B6503C"/>
    <w:rsid w:val="00B6568E"/>
    <w:rsid w:val="00B656E1"/>
    <w:rsid w:val="00B658B4"/>
    <w:rsid w:val="00B65F14"/>
    <w:rsid w:val="00B662D2"/>
    <w:rsid w:val="00B6697F"/>
    <w:rsid w:val="00B6796F"/>
    <w:rsid w:val="00B67B3A"/>
    <w:rsid w:val="00B701F0"/>
    <w:rsid w:val="00B70645"/>
    <w:rsid w:val="00B70CB4"/>
    <w:rsid w:val="00B70FD6"/>
    <w:rsid w:val="00B710B3"/>
    <w:rsid w:val="00B72600"/>
    <w:rsid w:val="00B72B12"/>
    <w:rsid w:val="00B72EC9"/>
    <w:rsid w:val="00B75FDD"/>
    <w:rsid w:val="00B762E2"/>
    <w:rsid w:val="00B76305"/>
    <w:rsid w:val="00B76426"/>
    <w:rsid w:val="00B76F73"/>
    <w:rsid w:val="00B7737E"/>
    <w:rsid w:val="00B80268"/>
    <w:rsid w:val="00B80653"/>
    <w:rsid w:val="00B8104B"/>
    <w:rsid w:val="00B81085"/>
    <w:rsid w:val="00B81979"/>
    <w:rsid w:val="00B82CB2"/>
    <w:rsid w:val="00B82EE0"/>
    <w:rsid w:val="00B83197"/>
    <w:rsid w:val="00B843E8"/>
    <w:rsid w:val="00B855FD"/>
    <w:rsid w:val="00B86B79"/>
    <w:rsid w:val="00B86C0C"/>
    <w:rsid w:val="00B86C69"/>
    <w:rsid w:val="00B86D64"/>
    <w:rsid w:val="00B871D4"/>
    <w:rsid w:val="00B90A82"/>
    <w:rsid w:val="00B91840"/>
    <w:rsid w:val="00B92439"/>
    <w:rsid w:val="00B92D20"/>
    <w:rsid w:val="00B93733"/>
    <w:rsid w:val="00B94CE8"/>
    <w:rsid w:val="00B977F4"/>
    <w:rsid w:val="00BA00B1"/>
    <w:rsid w:val="00BA03C0"/>
    <w:rsid w:val="00BA0F35"/>
    <w:rsid w:val="00BA0F88"/>
    <w:rsid w:val="00BA196D"/>
    <w:rsid w:val="00BA2173"/>
    <w:rsid w:val="00BA2395"/>
    <w:rsid w:val="00BA2890"/>
    <w:rsid w:val="00BA2B39"/>
    <w:rsid w:val="00BA3FC0"/>
    <w:rsid w:val="00BA4537"/>
    <w:rsid w:val="00BA524F"/>
    <w:rsid w:val="00BA74B1"/>
    <w:rsid w:val="00BA7B40"/>
    <w:rsid w:val="00BB0AE2"/>
    <w:rsid w:val="00BB12CF"/>
    <w:rsid w:val="00BB3BE2"/>
    <w:rsid w:val="00BB5728"/>
    <w:rsid w:val="00BB5A19"/>
    <w:rsid w:val="00BB60C0"/>
    <w:rsid w:val="00BC1D81"/>
    <w:rsid w:val="00BC21E5"/>
    <w:rsid w:val="00BC2480"/>
    <w:rsid w:val="00BC4020"/>
    <w:rsid w:val="00BC46BA"/>
    <w:rsid w:val="00BC4C40"/>
    <w:rsid w:val="00BC5168"/>
    <w:rsid w:val="00BC67E0"/>
    <w:rsid w:val="00BD0B59"/>
    <w:rsid w:val="00BD10A1"/>
    <w:rsid w:val="00BD1436"/>
    <w:rsid w:val="00BD16ED"/>
    <w:rsid w:val="00BD19F7"/>
    <w:rsid w:val="00BD1C81"/>
    <w:rsid w:val="00BD29D7"/>
    <w:rsid w:val="00BD2E01"/>
    <w:rsid w:val="00BD3CCD"/>
    <w:rsid w:val="00BD3EC5"/>
    <w:rsid w:val="00BD621C"/>
    <w:rsid w:val="00BD62D5"/>
    <w:rsid w:val="00BD7713"/>
    <w:rsid w:val="00BE018D"/>
    <w:rsid w:val="00BE067E"/>
    <w:rsid w:val="00BE13BD"/>
    <w:rsid w:val="00BE193D"/>
    <w:rsid w:val="00BE2694"/>
    <w:rsid w:val="00BE48AA"/>
    <w:rsid w:val="00BE59A8"/>
    <w:rsid w:val="00BE757F"/>
    <w:rsid w:val="00BE789D"/>
    <w:rsid w:val="00BF0202"/>
    <w:rsid w:val="00BF0B1C"/>
    <w:rsid w:val="00BF197E"/>
    <w:rsid w:val="00BF1E7E"/>
    <w:rsid w:val="00BF52FB"/>
    <w:rsid w:val="00BF5696"/>
    <w:rsid w:val="00BF5A84"/>
    <w:rsid w:val="00BF6293"/>
    <w:rsid w:val="00BF6B20"/>
    <w:rsid w:val="00BF7374"/>
    <w:rsid w:val="00C020E6"/>
    <w:rsid w:val="00C0494D"/>
    <w:rsid w:val="00C04E11"/>
    <w:rsid w:val="00C04F25"/>
    <w:rsid w:val="00C051AE"/>
    <w:rsid w:val="00C05377"/>
    <w:rsid w:val="00C05725"/>
    <w:rsid w:val="00C059CE"/>
    <w:rsid w:val="00C05A6E"/>
    <w:rsid w:val="00C05D46"/>
    <w:rsid w:val="00C06BDC"/>
    <w:rsid w:val="00C07730"/>
    <w:rsid w:val="00C07930"/>
    <w:rsid w:val="00C11514"/>
    <w:rsid w:val="00C11C7D"/>
    <w:rsid w:val="00C121C5"/>
    <w:rsid w:val="00C12761"/>
    <w:rsid w:val="00C13459"/>
    <w:rsid w:val="00C135AA"/>
    <w:rsid w:val="00C13F30"/>
    <w:rsid w:val="00C15152"/>
    <w:rsid w:val="00C16100"/>
    <w:rsid w:val="00C16C04"/>
    <w:rsid w:val="00C170EF"/>
    <w:rsid w:val="00C17349"/>
    <w:rsid w:val="00C17ECB"/>
    <w:rsid w:val="00C2111C"/>
    <w:rsid w:val="00C236BE"/>
    <w:rsid w:val="00C238CD"/>
    <w:rsid w:val="00C25784"/>
    <w:rsid w:val="00C25868"/>
    <w:rsid w:val="00C26A3B"/>
    <w:rsid w:val="00C27C58"/>
    <w:rsid w:val="00C306CF"/>
    <w:rsid w:val="00C306FA"/>
    <w:rsid w:val="00C3195E"/>
    <w:rsid w:val="00C3264A"/>
    <w:rsid w:val="00C328D8"/>
    <w:rsid w:val="00C33A6D"/>
    <w:rsid w:val="00C33E25"/>
    <w:rsid w:val="00C35073"/>
    <w:rsid w:val="00C354C1"/>
    <w:rsid w:val="00C354C7"/>
    <w:rsid w:val="00C3584F"/>
    <w:rsid w:val="00C36548"/>
    <w:rsid w:val="00C3786F"/>
    <w:rsid w:val="00C439F4"/>
    <w:rsid w:val="00C43BED"/>
    <w:rsid w:val="00C44D06"/>
    <w:rsid w:val="00C4591D"/>
    <w:rsid w:val="00C45E41"/>
    <w:rsid w:val="00C473D9"/>
    <w:rsid w:val="00C47DE6"/>
    <w:rsid w:val="00C50502"/>
    <w:rsid w:val="00C509B0"/>
    <w:rsid w:val="00C50FA0"/>
    <w:rsid w:val="00C51557"/>
    <w:rsid w:val="00C52839"/>
    <w:rsid w:val="00C52EAC"/>
    <w:rsid w:val="00C534AB"/>
    <w:rsid w:val="00C538ED"/>
    <w:rsid w:val="00C54F2B"/>
    <w:rsid w:val="00C5507D"/>
    <w:rsid w:val="00C55CD1"/>
    <w:rsid w:val="00C56797"/>
    <w:rsid w:val="00C57CF2"/>
    <w:rsid w:val="00C615B6"/>
    <w:rsid w:val="00C61812"/>
    <w:rsid w:val="00C61AA7"/>
    <w:rsid w:val="00C61DBA"/>
    <w:rsid w:val="00C6247C"/>
    <w:rsid w:val="00C64CCB"/>
    <w:rsid w:val="00C67FEA"/>
    <w:rsid w:val="00C70154"/>
    <w:rsid w:val="00C7085E"/>
    <w:rsid w:val="00C7098B"/>
    <w:rsid w:val="00C71243"/>
    <w:rsid w:val="00C72A5A"/>
    <w:rsid w:val="00C72A91"/>
    <w:rsid w:val="00C738A7"/>
    <w:rsid w:val="00C7505F"/>
    <w:rsid w:val="00C76334"/>
    <w:rsid w:val="00C80E22"/>
    <w:rsid w:val="00C8375F"/>
    <w:rsid w:val="00C83B5B"/>
    <w:rsid w:val="00C83DF0"/>
    <w:rsid w:val="00C83E7B"/>
    <w:rsid w:val="00C84661"/>
    <w:rsid w:val="00C852EE"/>
    <w:rsid w:val="00C860E7"/>
    <w:rsid w:val="00C86A20"/>
    <w:rsid w:val="00C90056"/>
    <w:rsid w:val="00C904BD"/>
    <w:rsid w:val="00C90706"/>
    <w:rsid w:val="00C915B9"/>
    <w:rsid w:val="00C93B98"/>
    <w:rsid w:val="00C93CDB"/>
    <w:rsid w:val="00C941F3"/>
    <w:rsid w:val="00C94289"/>
    <w:rsid w:val="00C947C8"/>
    <w:rsid w:val="00C9724B"/>
    <w:rsid w:val="00CA0041"/>
    <w:rsid w:val="00CA0437"/>
    <w:rsid w:val="00CA0489"/>
    <w:rsid w:val="00CA0630"/>
    <w:rsid w:val="00CA3F35"/>
    <w:rsid w:val="00CA40A2"/>
    <w:rsid w:val="00CA4293"/>
    <w:rsid w:val="00CA50E1"/>
    <w:rsid w:val="00CA562D"/>
    <w:rsid w:val="00CA58C8"/>
    <w:rsid w:val="00CA6175"/>
    <w:rsid w:val="00CA6576"/>
    <w:rsid w:val="00CB0391"/>
    <w:rsid w:val="00CB11B5"/>
    <w:rsid w:val="00CB1CBD"/>
    <w:rsid w:val="00CB24E7"/>
    <w:rsid w:val="00CB3829"/>
    <w:rsid w:val="00CB4CF9"/>
    <w:rsid w:val="00CB65E3"/>
    <w:rsid w:val="00CB6D28"/>
    <w:rsid w:val="00CB7190"/>
    <w:rsid w:val="00CB7F77"/>
    <w:rsid w:val="00CC09C0"/>
    <w:rsid w:val="00CC0EBD"/>
    <w:rsid w:val="00CC2F4E"/>
    <w:rsid w:val="00CC34F6"/>
    <w:rsid w:val="00CC3811"/>
    <w:rsid w:val="00CC60FE"/>
    <w:rsid w:val="00CC65B7"/>
    <w:rsid w:val="00CC79F1"/>
    <w:rsid w:val="00CD0282"/>
    <w:rsid w:val="00CD02FC"/>
    <w:rsid w:val="00CD11AC"/>
    <w:rsid w:val="00CD276D"/>
    <w:rsid w:val="00CD334B"/>
    <w:rsid w:val="00CD3917"/>
    <w:rsid w:val="00CD44B6"/>
    <w:rsid w:val="00CD5E85"/>
    <w:rsid w:val="00CD749C"/>
    <w:rsid w:val="00CD7BEB"/>
    <w:rsid w:val="00CD7CE8"/>
    <w:rsid w:val="00CE1244"/>
    <w:rsid w:val="00CE1296"/>
    <w:rsid w:val="00CE167F"/>
    <w:rsid w:val="00CE1D3F"/>
    <w:rsid w:val="00CE2604"/>
    <w:rsid w:val="00CE3200"/>
    <w:rsid w:val="00CE3EA1"/>
    <w:rsid w:val="00CE4EAF"/>
    <w:rsid w:val="00CE580B"/>
    <w:rsid w:val="00CE6BA0"/>
    <w:rsid w:val="00CE731E"/>
    <w:rsid w:val="00CF0466"/>
    <w:rsid w:val="00CF112C"/>
    <w:rsid w:val="00CF1B6F"/>
    <w:rsid w:val="00CF2400"/>
    <w:rsid w:val="00CF2749"/>
    <w:rsid w:val="00CF2C76"/>
    <w:rsid w:val="00CF34EA"/>
    <w:rsid w:val="00CF6C0F"/>
    <w:rsid w:val="00CF7BFC"/>
    <w:rsid w:val="00D01B63"/>
    <w:rsid w:val="00D01D7C"/>
    <w:rsid w:val="00D023D8"/>
    <w:rsid w:val="00D03591"/>
    <w:rsid w:val="00D03823"/>
    <w:rsid w:val="00D03951"/>
    <w:rsid w:val="00D0398B"/>
    <w:rsid w:val="00D03DE7"/>
    <w:rsid w:val="00D04188"/>
    <w:rsid w:val="00D04D87"/>
    <w:rsid w:val="00D07119"/>
    <w:rsid w:val="00D10167"/>
    <w:rsid w:val="00D11172"/>
    <w:rsid w:val="00D11B4A"/>
    <w:rsid w:val="00D12169"/>
    <w:rsid w:val="00D127F3"/>
    <w:rsid w:val="00D12A2C"/>
    <w:rsid w:val="00D14450"/>
    <w:rsid w:val="00D14E6B"/>
    <w:rsid w:val="00D1597B"/>
    <w:rsid w:val="00D15C5B"/>
    <w:rsid w:val="00D16514"/>
    <w:rsid w:val="00D166B5"/>
    <w:rsid w:val="00D1765B"/>
    <w:rsid w:val="00D17895"/>
    <w:rsid w:val="00D17C66"/>
    <w:rsid w:val="00D215D2"/>
    <w:rsid w:val="00D227AF"/>
    <w:rsid w:val="00D22E28"/>
    <w:rsid w:val="00D22F40"/>
    <w:rsid w:val="00D2441D"/>
    <w:rsid w:val="00D24EA2"/>
    <w:rsid w:val="00D263B7"/>
    <w:rsid w:val="00D267E1"/>
    <w:rsid w:val="00D27047"/>
    <w:rsid w:val="00D330EF"/>
    <w:rsid w:val="00D33A43"/>
    <w:rsid w:val="00D34CA7"/>
    <w:rsid w:val="00D35735"/>
    <w:rsid w:val="00D35EB9"/>
    <w:rsid w:val="00D35FCE"/>
    <w:rsid w:val="00D36053"/>
    <w:rsid w:val="00D37788"/>
    <w:rsid w:val="00D416FD"/>
    <w:rsid w:val="00D430C0"/>
    <w:rsid w:val="00D435B1"/>
    <w:rsid w:val="00D43750"/>
    <w:rsid w:val="00D440BA"/>
    <w:rsid w:val="00D448FD"/>
    <w:rsid w:val="00D44BF1"/>
    <w:rsid w:val="00D4556D"/>
    <w:rsid w:val="00D46539"/>
    <w:rsid w:val="00D465A7"/>
    <w:rsid w:val="00D46F3E"/>
    <w:rsid w:val="00D47398"/>
    <w:rsid w:val="00D47505"/>
    <w:rsid w:val="00D505FE"/>
    <w:rsid w:val="00D510D0"/>
    <w:rsid w:val="00D5392E"/>
    <w:rsid w:val="00D53972"/>
    <w:rsid w:val="00D53A88"/>
    <w:rsid w:val="00D604FF"/>
    <w:rsid w:val="00D62BAB"/>
    <w:rsid w:val="00D631BD"/>
    <w:rsid w:val="00D6320D"/>
    <w:rsid w:val="00D651A8"/>
    <w:rsid w:val="00D655E8"/>
    <w:rsid w:val="00D6573F"/>
    <w:rsid w:val="00D65A3E"/>
    <w:rsid w:val="00D66838"/>
    <w:rsid w:val="00D66DF2"/>
    <w:rsid w:val="00D66F98"/>
    <w:rsid w:val="00D721CE"/>
    <w:rsid w:val="00D72C4C"/>
    <w:rsid w:val="00D7372B"/>
    <w:rsid w:val="00D73F19"/>
    <w:rsid w:val="00D75146"/>
    <w:rsid w:val="00D76F69"/>
    <w:rsid w:val="00D806A2"/>
    <w:rsid w:val="00D8072E"/>
    <w:rsid w:val="00D80C7E"/>
    <w:rsid w:val="00D81601"/>
    <w:rsid w:val="00D81B3C"/>
    <w:rsid w:val="00D82343"/>
    <w:rsid w:val="00D83B79"/>
    <w:rsid w:val="00D853CE"/>
    <w:rsid w:val="00D864C9"/>
    <w:rsid w:val="00D86770"/>
    <w:rsid w:val="00D867C8"/>
    <w:rsid w:val="00D873BC"/>
    <w:rsid w:val="00D87B4F"/>
    <w:rsid w:val="00D907BB"/>
    <w:rsid w:val="00D90B4F"/>
    <w:rsid w:val="00D913F6"/>
    <w:rsid w:val="00D9165E"/>
    <w:rsid w:val="00D923A9"/>
    <w:rsid w:val="00D9247C"/>
    <w:rsid w:val="00D927B1"/>
    <w:rsid w:val="00D95262"/>
    <w:rsid w:val="00D955A4"/>
    <w:rsid w:val="00D95A4A"/>
    <w:rsid w:val="00D97B50"/>
    <w:rsid w:val="00DA0100"/>
    <w:rsid w:val="00DA2C0A"/>
    <w:rsid w:val="00DA2F26"/>
    <w:rsid w:val="00DA3CB4"/>
    <w:rsid w:val="00DA4253"/>
    <w:rsid w:val="00DA481E"/>
    <w:rsid w:val="00DA61AB"/>
    <w:rsid w:val="00DA6334"/>
    <w:rsid w:val="00DA6666"/>
    <w:rsid w:val="00DA6BFC"/>
    <w:rsid w:val="00DA7577"/>
    <w:rsid w:val="00DA76CE"/>
    <w:rsid w:val="00DA783C"/>
    <w:rsid w:val="00DB00F8"/>
    <w:rsid w:val="00DB062B"/>
    <w:rsid w:val="00DB1335"/>
    <w:rsid w:val="00DB295F"/>
    <w:rsid w:val="00DB2A15"/>
    <w:rsid w:val="00DB2E7E"/>
    <w:rsid w:val="00DB3D27"/>
    <w:rsid w:val="00DB564F"/>
    <w:rsid w:val="00DB6151"/>
    <w:rsid w:val="00DB7E05"/>
    <w:rsid w:val="00DC0B6C"/>
    <w:rsid w:val="00DC1267"/>
    <w:rsid w:val="00DC1748"/>
    <w:rsid w:val="00DC1E5A"/>
    <w:rsid w:val="00DC1FF9"/>
    <w:rsid w:val="00DC2784"/>
    <w:rsid w:val="00DC2B71"/>
    <w:rsid w:val="00DC5B41"/>
    <w:rsid w:val="00DC7FE3"/>
    <w:rsid w:val="00DD024F"/>
    <w:rsid w:val="00DD0656"/>
    <w:rsid w:val="00DD29CE"/>
    <w:rsid w:val="00DD37C0"/>
    <w:rsid w:val="00DD3B7B"/>
    <w:rsid w:val="00DD43F5"/>
    <w:rsid w:val="00DD5FEB"/>
    <w:rsid w:val="00DD61A0"/>
    <w:rsid w:val="00DD7B9C"/>
    <w:rsid w:val="00DD7C78"/>
    <w:rsid w:val="00DD7F41"/>
    <w:rsid w:val="00DE00BA"/>
    <w:rsid w:val="00DE0630"/>
    <w:rsid w:val="00DE0A16"/>
    <w:rsid w:val="00DE0E6C"/>
    <w:rsid w:val="00DE0F8D"/>
    <w:rsid w:val="00DE1858"/>
    <w:rsid w:val="00DE29CD"/>
    <w:rsid w:val="00DE328D"/>
    <w:rsid w:val="00DE3B10"/>
    <w:rsid w:val="00DE3D79"/>
    <w:rsid w:val="00DE3E13"/>
    <w:rsid w:val="00DE4F20"/>
    <w:rsid w:val="00DE5108"/>
    <w:rsid w:val="00DE63F9"/>
    <w:rsid w:val="00DF0879"/>
    <w:rsid w:val="00DF0FC2"/>
    <w:rsid w:val="00DF160B"/>
    <w:rsid w:val="00DF3134"/>
    <w:rsid w:val="00DF43DA"/>
    <w:rsid w:val="00DF445B"/>
    <w:rsid w:val="00DF448A"/>
    <w:rsid w:val="00DF66E4"/>
    <w:rsid w:val="00E009A8"/>
    <w:rsid w:val="00E0232D"/>
    <w:rsid w:val="00E03636"/>
    <w:rsid w:val="00E0391D"/>
    <w:rsid w:val="00E049FD"/>
    <w:rsid w:val="00E05082"/>
    <w:rsid w:val="00E05D8F"/>
    <w:rsid w:val="00E05DDA"/>
    <w:rsid w:val="00E06DE4"/>
    <w:rsid w:val="00E07131"/>
    <w:rsid w:val="00E073F8"/>
    <w:rsid w:val="00E07BDA"/>
    <w:rsid w:val="00E11061"/>
    <w:rsid w:val="00E11982"/>
    <w:rsid w:val="00E11D6B"/>
    <w:rsid w:val="00E12976"/>
    <w:rsid w:val="00E12C45"/>
    <w:rsid w:val="00E12FE3"/>
    <w:rsid w:val="00E133A1"/>
    <w:rsid w:val="00E13D0A"/>
    <w:rsid w:val="00E13D7A"/>
    <w:rsid w:val="00E13FB2"/>
    <w:rsid w:val="00E14673"/>
    <w:rsid w:val="00E166AC"/>
    <w:rsid w:val="00E1684A"/>
    <w:rsid w:val="00E17248"/>
    <w:rsid w:val="00E17A18"/>
    <w:rsid w:val="00E17F24"/>
    <w:rsid w:val="00E20572"/>
    <w:rsid w:val="00E20DC1"/>
    <w:rsid w:val="00E21090"/>
    <w:rsid w:val="00E2160A"/>
    <w:rsid w:val="00E22391"/>
    <w:rsid w:val="00E22D71"/>
    <w:rsid w:val="00E23D27"/>
    <w:rsid w:val="00E246A3"/>
    <w:rsid w:val="00E24B9F"/>
    <w:rsid w:val="00E24D17"/>
    <w:rsid w:val="00E24E2E"/>
    <w:rsid w:val="00E25A0C"/>
    <w:rsid w:val="00E26318"/>
    <w:rsid w:val="00E311CF"/>
    <w:rsid w:val="00E3121D"/>
    <w:rsid w:val="00E31E08"/>
    <w:rsid w:val="00E325B2"/>
    <w:rsid w:val="00E33466"/>
    <w:rsid w:val="00E334BF"/>
    <w:rsid w:val="00E34786"/>
    <w:rsid w:val="00E35F05"/>
    <w:rsid w:val="00E36514"/>
    <w:rsid w:val="00E37170"/>
    <w:rsid w:val="00E37E0C"/>
    <w:rsid w:val="00E42410"/>
    <w:rsid w:val="00E42578"/>
    <w:rsid w:val="00E44900"/>
    <w:rsid w:val="00E44C5F"/>
    <w:rsid w:val="00E44ECC"/>
    <w:rsid w:val="00E45C55"/>
    <w:rsid w:val="00E46E0C"/>
    <w:rsid w:val="00E46EFD"/>
    <w:rsid w:val="00E4741F"/>
    <w:rsid w:val="00E508CE"/>
    <w:rsid w:val="00E50C5E"/>
    <w:rsid w:val="00E51639"/>
    <w:rsid w:val="00E521F9"/>
    <w:rsid w:val="00E52B80"/>
    <w:rsid w:val="00E52BC6"/>
    <w:rsid w:val="00E52E5C"/>
    <w:rsid w:val="00E5361C"/>
    <w:rsid w:val="00E54E0F"/>
    <w:rsid w:val="00E5524F"/>
    <w:rsid w:val="00E562E1"/>
    <w:rsid w:val="00E568AD"/>
    <w:rsid w:val="00E57BDA"/>
    <w:rsid w:val="00E57D92"/>
    <w:rsid w:val="00E60583"/>
    <w:rsid w:val="00E608F4"/>
    <w:rsid w:val="00E609A4"/>
    <w:rsid w:val="00E610B6"/>
    <w:rsid w:val="00E61AF0"/>
    <w:rsid w:val="00E61C2D"/>
    <w:rsid w:val="00E62AB3"/>
    <w:rsid w:val="00E63251"/>
    <w:rsid w:val="00E63480"/>
    <w:rsid w:val="00E639DC"/>
    <w:rsid w:val="00E63AF9"/>
    <w:rsid w:val="00E63B20"/>
    <w:rsid w:val="00E64788"/>
    <w:rsid w:val="00E654FF"/>
    <w:rsid w:val="00E662E1"/>
    <w:rsid w:val="00E67133"/>
    <w:rsid w:val="00E67C1B"/>
    <w:rsid w:val="00E719F8"/>
    <w:rsid w:val="00E735AD"/>
    <w:rsid w:val="00E75365"/>
    <w:rsid w:val="00E75E09"/>
    <w:rsid w:val="00E76185"/>
    <w:rsid w:val="00E817A0"/>
    <w:rsid w:val="00E82796"/>
    <w:rsid w:val="00E82920"/>
    <w:rsid w:val="00E8420D"/>
    <w:rsid w:val="00E84355"/>
    <w:rsid w:val="00E85661"/>
    <w:rsid w:val="00E85D09"/>
    <w:rsid w:val="00E870C9"/>
    <w:rsid w:val="00E905DA"/>
    <w:rsid w:val="00E90C4D"/>
    <w:rsid w:val="00E90E9A"/>
    <w:rsid w:val="00E91FB7"/>
    <w:rsid w:val="00E93427"/>
    <w:rsid w:val="00E934CA"/>
    <w:rsid w:val="00E94921"/>
    <w:rsid w:val="00E95488"/>
    <w:rsid w:val="00E95FC6"/>
    <w:rsid w:val="00E9605C"/>
    <w:rsid w:val="00E96CDD"/>
    <w:rsid w:val="00E97A5E"/>
    <w:rsid w:val="00EA011A"/>
    <w:rsid w:val="00EA0500"/>
    <w:rsid w:val="00EA0FDB"/>
    <w:rsid w:val="00EA1C30"/>
    <w:rsid w:val="00EA21FF"/>
    <w:rsid w:val="00EA2A28"/>
    <w:rsid w:val="00EA39D7"/>
    <w:rsid w:val="00EA3D0C"/>
    <w:rsid w:val="00EA3DD7"/>
    <w:rsid w:val="00EA3F1B"/>
    <w:rsid w:val="00EA55F4"/>
    <w:rsid w:val="00EA6D20"/>
    <w:rsid w:val="00EA6EFD"/>
    <w:rsid w:val="00EA717E"/>
    <w:rsid w:val="00EA728E"/>
    <w:rsid w:val="00EA7C80"/>
    <w:rsid w:val="00EB09B4"/>
    <w:rsid w:val="00EB0E15"/>
    <w:rsid w:val="00EB0EBB"/>
    <w:rsid w:val="00EB124C"/>
    <w:rsid w:val="00EB26A1"/>
    <w:rsid w:val="00EB52D2"/>
    <w:rsid w:val="00EB56AF"/>
    <w:rsid w:val="00EB6128"/>
    <w:rsid w:val="00EB67D0"/>
    <w:rsid w:val="00EC358B"/>
    <w:rsid w:val="00EC4F40"/>
    <w:rsid w:val="00EC541D"/>
    <w:rsid w:val="00EC5947"/>
    <w:rsid w:val="00EC63B6"/>
    <w:rsid w:val="00ED1F34"/>
    <w:rsid w:val="00ED22F6"/>
    <w:rsid w:val="00ED2CC9"/>
    <w:rsid w:val="00ED2D84"/>
    <w:rsid w:val="00ED2F05"/>
    <w:rsid w:val="00ED32AB"/>
    <w:rsid w:val="00ED342D"/>
    <w:rsid w:val="00ED3B6C"/>
    <w:rsid w:val="00ED3D40"/>
    <w:rsid w:val="00ED40B2"/>
    <w:rsid w:val="00ED51D6"/>
    <w:rsid w:val="00ED63C2"/>
    <w:rsid w:val="00ED65E6"/>
    <w:rsid w:val="00ED72A0"/>
    <w:rsid w:val="00ED78FB"/>
    <w:rsid w:val="00EE0571"/>
    <w:rsid w:val="00EE083D"/>
    <w:rsid w:val="00EE124C"/>
    <w:rsid w:val="00EE1A53"/>
    <w:rsid w:val="00EE2565"/>
    <w:rsid w:val="00EE2743"/>
    <w:rsid w:val="00EE608D"/>
    <w:rsid w:val="00EE659C"/>
    <w:rsid w:val="00EE6616"/>
    <w:rsid w:val="00EE6B89"/>
    <w:rsid w:val="00EF1C62"/>
    <w:rsid w:val="00EF23CE"/>
    <w:rsid w:val="00EF3ACA"/>
    <w:rsid w:val="00EF57E2"/>
    <w:rsid w:val="00EF6253"/>
    <w:rsid w:val="00EF685E"/>
    <w:rsid w:val="00EF6C66"/>
    <w:rsid w:val="00F0006D"/>
    <w:rsid w:val="00F00118"/>
    <w:rsid w:val="00F00F4C"/>
    <w:rsid w:val="00F01637"/>
    <w:rsid w:val="00F01807"/>
    <w:rsid w:val="00F027AF"/>
    <w:rsid w:val="00F02C7D"/>
    <w:rsid w:val="00F0332E"/>
    <w:rsid w:val="00F045EE"/>
    <w:rsid w:val="00F04686"/>
    <w:rsid w:val="00F0595D"/>
    <w:rsid w:val="00F0644F"/>
    <w:rsid w:val="00F07374"/>
    <w:rsid w:val="00F075DE"/>
    <w:rsid w:val="00F07902"/>
    <w:rsid w:val="00F105CD"/>
    <w:rsid w:val="00F105D0"/>
    <w:rsid w:val="00F1183B"/>
    <w:rsid w:val="00F120F8"/>
    <w:rsid w:val="00F13358"/>
    <w:rsid w:val="00F1391B"/>
    <w:rsid w:val="00F13F1E"/>
    <w:rsid w:val="00F1421C"/>
    <w:rsid w:val="00F15D73"/>
    <w:rsid w:val="00F15EB9"/>
    <w:rsid w:val="00F16959"/>
    <w:rsid w:val="00F20FCF"/>
    <w:rsid w:val="00F21264"/>
    <w:rsid w:val="00F228D1"/>
    <w:rsid w:val="00F22991"/>
    <w:rsid w:val="00F22AF0"/>
    <w:rsid w:val="00F247AF"/>
    <w:rsid w:val="00F25C9C"/>
    <w:rsid w:val="00F265CF"/>
    <w:rsid w:val="00F27F48"/>
    <w:rsid w:val="00F302AD"/>
    <w:rsid w:val="00F315C8"/>
    <w:rsid w:val="00F31A6E"/>
    <w:rsid w:val="00F31D4D"/>
    <w:rsid w:val="00F3228E"/>
    <w:rsid w:val="00F32E69"/>
    <w:rsid w:val="00F340CD"/>
    <w:rsid w:val="00F34B11"/>
    <w:rsid w:val="00F355B6"/>
    <w:rsid w:val="00F35857"/>
    <w:rsid w:val="00F35FD5"/>
    <w:rsid w:val="00F365E0"/>
    <w:rsid w:val="00F36F2E"/>
    <w:rsid w:val="00F37428"/>
    <w:rsid w:val="00F378F3"/>
    <w:rsid w:val="00F406B8"/>
    <w:rsid w:val="00F41375"/>
    <w:rsid w:val="00F41713"/>
    <w:rsid w:val="00F42134"/>
    <w:rsid w:val="00F42BA3"/>
    <w:rsid w:val="00F4477D"/>
    <w:rsid w:val="00F447C7"/>
    <w:rsid w:val="00F452D9"/>
    <w:rsid w:val="00F45E0D"/>
    <w:rsid w:val="00F464B3"/>
    <w:rsid w:val="00F464D9"/>
    <w:rsid w:val="00F50F9E"/>
    <w:rsid w:val="00F52853"/>
    <w:rsid w:val="00F531D4"/>
    <w:rsid w:val="00F53382"/>
    <w:rsid w:val="00F54102"/>
    <w:rsid w:val="00F54AFD"/>
    <w:rsid w:val="00F54F31"/>
    <w:rsid w:val="00F55855"/>
    <w:rsid w:val="00F602A2"/>
    <w:rsid w:val="00F606F5"/>
    <w:rsid w:val="00F6162E"/>
    <w:rsid w:val="00F61C5C"/>
    <w:rsid w:val="00F62299"/>
    <w:rsid w:val="00F62639"/>
    <w:rsid w:val="00F636A0"/>
    <w:rsid w:val="00F63C5A"/>
    <w:rsid w:val="00F65DDA"/>
    <w:rsid w:val="00F66DF6"/>
    <w:rsid w:val="00F67038"/>
    <w:rsid w:val="00F70DCD"/>
    <w:rsid w:val="00F72F06"/>
    <w:rsid w:val="00F74B22"/>
    <w:rsid w:val="00F81A45"/>
    <w:rsid w:val="00F8338D"/>
    <w:rsid w:val="00F8386B"/>
    <w:rsid w:val="00F87D31"/>
    <w:rsid w:val="00F90BAF"/>
    <w:rsid w:val="00F90BBD"/>
    <w:rsid w:val="00F919AB"/>
    <w:rsid w:val="00F9436A"/>
    <w:rsid w:val="00F949DD"/>
    <w:rsid w:val="00F94D02"/>
    <w:rsid w:val="00F958F6"/>
    <w:rsid w:val="00F967C5"/>
    <w:rsid w:val="00F9712C"/>
    <w:rsid w:val="00F97820"/>
    <w:rsid w:val="00FA0882"/>
    <w:rsid w:val="00FA0E95"/>
    <w:rsid w:val="00FA107C"/>
    <w:rsid w:val="00FA595E"/>
    <w:rsid w:val="00FA6B41"/>
    <w:rsid w:val="00FA6D2F"/>
    <w:rsid w:val="00FA79AC"/>
    <w:rsid w:val="00FB0A58"/>
    <w:rsid w:val="00FB0C6B"/>
    <w:rsid w:val="00FB1053"/>
    <w:rsid w:val="00FB1163"/>
    <w:rsid w:val="00FB21B6"/>
    <w:rsid w:val="00FB36F9"/>
    <w:rsid w:val="00FB3D80"/>
    <w:rsid w:val="00FB3FC3"/>
    <w:rsid w:val="00FB536C"/>
    <w:rsid w:val="00FB5BC9"/>
    <w:rsid w:val="00FB608B"/>
    <w:rsid w:val="00FC1964"/>
    <w:rsid w:val="00FC2119"/>
    <w:rsid w:val="00FC3937"/>
    <w:rsid w:val="00FC3AA1"/>
    <w:rsid w:val="00FC4DD2"/>
    <w:rsid w:val="00FC5A64"/>
    <w:rsid w:val="00FC6F51"/>
    <w:rsid w:val="00FC71C3"/>
    <w:rsid w:val="00FC7B98"/>
    <w:rsid w:val="00FC7C12"/>
    <w:rsid w:val="00FC7E7E"/>
    <w:rsid w:val="00FD0151"/>
    <w:rsid w:val="00FD107C"/>
    <w:rsid w:val="00FD18A7"/>
    <w:rsid w:val="00FD1FDA"/>
    <w:rsid w:val="00FD2A36"/>
    <w:rsid w:val="00FD3130"/>
    <w:rsid w:val="00FD3278"/>
    <w:rsid w:val="00FD33D8"/>
    <w:rsid w:val="00FD49D8"/>
    <w:rsid w:val="00FD50E9"/>
    <w:rsid w:val="00FD67BF"/>
    <w:rsid w:val="00FD7AD7"/>
    <w:rsid w:val="00FE0B63"/>
    <w:rsid w:val="00FE2CCD"/>
    <w:rsid w:val="00FE39EA"/>
    <w:rsid w:val="00FE4961"/>
    <w:rsid w:val="00FE5648"/>
    <w:rsid w:val="00FE5720"/>
    <w:rsid w:val="00FE632D"/>
    <w:rsid w:val="00FE6987"/>
    <w:rsid w:val="00FE6AF8"/>
    <w:rsid w:val="00FF019F"/>
    <w:rsid w:val="00FF01BF"/>
    <w:rsid w:val="00FF046B"/>
    <w:rsid w:val="00FF0569"/>
    <w:rsid w:val="00FF160C"/>
    <w:rsid w:val="00FF1DC1"/>
    <w:rsid w:val="00FF2B10"/>
    <w:rsid w:val="00FF392E"/>
    <w:rsid w:val="00FF464F"/>
    <w:rsid w:val="00FF7C9E"/>
    <w:rsid w:val="0C8E9A41"/>
    <w:rsid w:val="0F40293A"/>
    <w:rsid w:val="1B1F613F"/>
    <w:rsid w:val="2364F6AB"/>
    <w:rsid w:val="3B164A2C"/>
    <w:rsid w:val="487380F8"/>
    <w:rsid w:val="56D9D2A3"/>
    <w:rsid w:val="59B9DA2C"/>
    <w:rsid w:val="6A8C5DE5"/>
    <w:rsid w:val="77CAD3C7"/>
    <w:rsid w:val="7EDF49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1A25267"/>
  <w15:docId w15:val="{47F4BB59-276A-4A54-A3AA-4CEC9DE3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B4"/>
    <w:pPr>
      <w:spacing w:after="200"/>
    </w:pPr>
    <w:rPr>
      <w:rFonts w:ascii="Verdana" w:hAnsi="Verdana" w:cs="Arial"/>
      <w:lang w:eastAsia="en-AU"/>
    </w:rPr>
  </w:style>
  <w:style w:type="paragraph" w:styleId="Heading1">
    <w:name w:val="heading 1"/>
    <w:basedOn w:val="Normal"/>
    <w:next w:val="Normal"/>
    <w:qFormat/>
    <w:rsid w:val="00DA2C0A"/>
    <w:pPr>
      <w:keepNext/>
      <w:spacing w:before="400" w:after="400"/>
      <w:outlineLvl w:val="0"/>
    </w:pPr>
    <w:rPr>
      <w:b/>
      <w:bCs/>
      <w:kern w:val="32"/>
      <w:szCs w:val="32"/>
    </w:rPr>
  </w:style>
  <w:style w:type="paragraph" w:styleId="Heading2">
    <w:name w:val="heading 2"/>
    <w:basedOn w:val="Normal"/>
    <w:next w:val="Normal"/>
    <w:qFormat/>
    <w:rsid w:val="00DA2C0A"/>
    <w:pPr>
      <w:keepNext/>
      <w:spacing w:before="240" w:after="240"/>
      <w:outlineLvl w:val="1"/>
    </w:pPr>
    <w:rPr>
      <w:b/>
      <w:bCs/>
      <w:i/>
      <w:iCs/>
      <w:szCs w:val="28"/>
    </w:rPr>
  </w:style>
  <w:style w:type="paragraph" w:styleId="Heading3">
    <w:name w:val="heading 3"/>
    <w:basedOn w:val="Normal"/>
    <w:next w:val="Normal"/>
    <w:qFormat/>
    <w:rsid w:val="00032345"/>
    <w:pPr>
      <w:keepNext/>
      <w:spacing w:before="200"/>
      <w:outlineLvl w:val="2"/>
    </w:pPr>
    <w:rPr>
      <w:bCs/>
      <w:i/>
      <w:szCs w:val="26"/>
    </w:rPr>
  </w:style>
  <w:style w:type="paragraph" w:styleId="Heading5">
    <w:name w:val="heading 5"/>
    <w:basedOn w:val="Normal"/>
    <w:next w:val="Normal"/>
    <w:link w:val="Heading5Char"/>
    <w:uiPriority w:val="9"/>
    <w:semiHidden/>
    <w:unhideWhenUsed/>
    <w:qFormat/>
    <w:rsid w:val="007D68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166F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C6201"/>
  </w:style>
  <w:style w:type="paragraph" w:styleId="BodyText">
    <w:name w:val="Body Text"/>
    <w:basedOn w:val="Normal"/>
    <w:link w:val="BodyTextChar"/>
    <w:rsid w:val="001C6201"/>
    <w:pPr>
      <w:spacing w:after="120"/>
    </w:pPr>
  </w:style>
  <w:style w:type="paragraph" w:styleId="Closing">
    <w:name w:val="Closing"/>
    <w:basedOn w:val="Normal"/>
    <w:rsid w:val="001C6201"/>
  </w:style>
  <w:style w:type="paragraph" w:styleId="Signature">
    <w:name w:val="Signature"/>
    <w:basedOn w:val="Normal"/>
    <w:rsid w:val="001C6201"/>
  </w:style>
  <w:style w:type="table" w:styleId="TableGrid">
    <w:name w:val="Table Grid"/>
    <w:basedOn w:val="TableNormal"/>
    <w:rsid w:val="0020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2B39"/>
    <w:pPr>
      <w:tabs>
        <w:tab w:val="center" w:pos="4153"/>
        <w:tab w:val="right" w:pos="8306"/>
      </w:tabs>
    </w:pPr>
  </w:style>
  <w:style w:type="paragraph" w:styleId="Footer">
    <w:name w:val="footer"/>
    <w:basedOn w:val="Normal"/>
    <w:rsid w:val="00BA2B39"/>
    <w:pPr>
      <w:tabs>
        <w:tab w:val="center" w:pos="4153"/>
        <w:tab w:val="right" w:pos="8306"/>
      </w:tabs>
    </w:pPr>
  </w:style>
  <w:style w:type="paragraph" w:styleId="BalloonText">
    <w:name w:val="Balloon Text"/>
    <w:basedOn w:val="Normal"/>
    <w:semiHidden/>
    <w:rsid w:val="00B72EC9"/>
    <w:rPr>
      <w:rFonts w:ascii="Tahoma" w:hAnsi="Tahoma" w:cs="Tahoma"/>
      <w:sz w:val="16"/>
      <w:szCs w:val="16"/>
    </w:rPr>
  </w:style>
  <w:style w:type="character" w:styleId="PageNumber">
    <w:name w:val="page number"/>
    <w:basedOn w:val="DefaultParagraphFont"/>
    <w:rsid w:val="00066181"/>
  </w:style>
  <w:style w:type="paragraph" w:styleId="ListParagraph">
    <w:name w:val="List Paragraph"/>
    <w:basedOn w:val="Normal"/>
    <w:uiPriority w:val="34"/>
    <w:qFormat/>
    <w:rsid w:val="00032345"/>
    <w:pPr>
      <w:numPr>
        <w:numId w:val="2"/>
      </w:numPr>
      <w:tabs>
        <w:tab w:val="left" w:pos="567"/>
      </w:tabs>
      <w:ind w:left="567" w:hanging="567"/>
    </w:pPr>
  </w:style>
  <w:style w:type="character" w:styleId="Hyperlink">
    <w:name w:val="Hyperlink"/>
    <w:basedOn w:val="DefaultParagraphFont"/>
    <w:uiPriority w:val="99"/>
    <w:unhideWhenUsed/>
    <w:rsid w:val="00183C96"/>
    <w:rPr>
      <w:color w:val="0000FF" w:themeColor="hyperlink"/>
      <w:u w:val="single"/>
    </w:rPr>
  </w:style>
  <w:style w:type="character" w:styleId="UnresolvedMention">
    <w:name w:val="Unresolved Mention"/>
    <w:basedOn w:val="DefaultParagraphFont"/>
    <w:uiPriority w:val="99"/>
    <w:semiHidden/>
    <w:unhideWhenUsed/>
    <w:rsid w:val="00183C96"/>
    <w:rPr>
      <w:color w:val="605E5C"/>
      <w:shd w:val="clear" w:color="auto" w:fill="E1DFDD"/>
    </w:rPr>
  </w:style>
  <w:style w:type="character" w:customStyle="1" w:styleId="Heading5Char">
    <w:name w:val="Heading 5 Char"/>
    <w:basedOn w:val="DefaultParagraphFont"/>
    <w:link w:val="Heading5"/>
    <w:uiPriority w:val="9"/>
    <w:semiHidden/>
    <w:rsid w:val="007D68B3"/>
    <w:rPr>
      <w:rFonts w:asciiTheme="majorHAnsi" w:eastAsiaTheme="majorEastAsia" w:hAnsiTheme="majorHAnsi" w:cstheme="majorBidi"/>
      <w:color w:val="365F91" w:themeColor="accent1" w:themeShade="BF"/>
      <w:lang w:eastAsia="en-AU"/>
    </w:rPr>
  </w:style>
  <w:style w:type="character" w:customStyle="1" w:styleId="label">
    <w:name w:val="label"/>
    <w:basedOn w:val="DefaultParagraphFont"/>
    <w:rsid w:val="007D68B3"/>
  </w:style>
  <w:style w:type="paragraph" w:customStyle="1" w:styleId="text">
    <w:name w:val="text"/>
    <w:basedOn w:val="Normal"/>
    <w:rsid w:val="007D68B3"/>
    <w:pPr>
      <w:spacing w:before="100" w:beforeAutospacing="1" w:after="100" w:afterAutospacing="1"/>
    </w:pPr>
    <w:rPr>
      <w:rFonts w:ascii="Times New Roman" w:hAnsi="Times New Roman" w:cs="Times New Roman"/>
      <w:sz w:val="24"/>
      <w:szCs w:val="24"/>
      <w:lang w:eastAsia="en-NZ"/>
    </w:rPr>
  </w:style>
  <w:style w:type="character" w:styleId="HTMLDefinition">
    <w:name w:val="HTML Definition"/>
    <w:basedOn w:val="DefaultParagraphFont"/>
    <w:uiPriority w:val="99"/>
    <w:semiHidden/>
    <w:unhideWhenUsed/>
    <w:rsid w:val="007D68B3"/>
    <w:rPr>
      <w:i/>
      <w:iCs/>
    </w:rPr>
  </w:style>
  <w:style w:type="character" w:customStyle="1" w:styleId="insertwords">
    <w:name w:val="insertwords"/>
    <w:basedOn w:val="DefaultParagraphFont"/>
    <w:rsid w:val="007D68B3"/>
  </w:style>
  <w:style w:type="paragraph" w:styleId="Quote">
    <w:name w:val="Quote"/>
    <w:basedOn w:val="Normal"/>
    <w:next w:val="Normal"/>
    <w:link w:val="QuoteChar"/>
    <w:uiPriority w:val="29"/>
    <w:qFormat/>
    <w:rsid w:val="00F25C9C"/>
    <w:pPr>
      <w:spacing w:after="180"/>
      <w:ind w:left="567"/>
    </w:pPr>
    <w:rPr>
      <w:sz w:val="18"/>
      <w:szCs w:val="18"/>
    </w:rPr>
  </w:style>
  <w:style w:type="character" w:customStyle="1" w:styleId="QuoteChar">
    <w:name w:val="Quote Char"/>
    <w:basedOn w:val="DefaultParagraphFont"/>
    <w:link w:val="Quote"/>
    <w:uiPriority w:val="29"/>
    <w:rsid w:val="00F25C9C"/>
    <w:rPr>
      <w:rFonts w:ascii="Verdana" w:hAnsi="Verdana" w:cs="Arial"/>
      <w:sz w:val="18"/>
      <w:szCs w:val="18"/>
      <w:lang w:eastAsia="en-AU"/>
    </w:rPr>
  </w:style>
  <w:style w:type="paragraph" w:styleId="ListBullet">
    <w:name w:val="List Bullet"/>
    <w:basedOn w:val="Normal"/>
    <w:uiPriority w:val="99"/>
    <w:unhideWhenUsed/>
    <w:rsid w:val="0035125F"/>
    <w:pPr>
      <w:numPr>
        <w:numId w:val="6"/>
      </w:numPr>
      <w:tabs>
        <w:tab w:val="clear" w:pos="360"/>
        <w:tab w:val="num" w:pos="567"/>
      </w:tabs>
      <w:ind w:left="567" w:hanging="567"/>
    </w:pPr>
  </w:style>
  <w:style w:type="character" w:styleId="CommentReference">
    <w:name w:val="annotation reference"/>
    <w:basedOn w:val="DefaultParagraphFont"/>
    <w:uiPriority w:val="99"/>
    <w:semiHidden/>
    <w:unhideWhenUsed/>
    <w:rsid w:val="00B51FDF"/>
    <w:rPr>
      <w:sz w:val="16"/>
      <w:szCs w:val="16"/>
    </w:rPr>
  </w:style>
  <w:style w:type="paragraph" w:styleId="CommentText">
    <w:name w:val="annotation text"/>
    <w:basedOn w:val="Normal"/>
    <w:link w:val="CommentTextChar"/>
    <w:uiPriority w:val="99"/>
    <w:unhideWhenUsed/>
    <w:rsid w:val="00B51FDF"/>
  </w:style>
  <w:style w:type="character" w:customStyle="1" w:styleId="CommentTextChar">
    <w:name w:val="Comment Text Char"/>
    <w:basedOn w:val="DefaultParagraphFont"/>
    <w:link w:val="CommentText"/>
    <w:uiPriority w:val="99"/>
    <w:rsid w:val="00B51FDF"/>
    <w:rPr>
      <w:rFonts w:ascii="Verdana" w:hAnsi="Verdana" w:cs="Arial"/>
      <w:lang w:eastAsia="en-AU"/>
    </w:rPr>
  </w:style>
  <w:style w:type="paragraph" w:styleId="CommentSubject">
    <w:name w:val="annotation subject"/>
    <w:basedOn w:val="CommentText"/>
    <w:next w:val="CommentText"/>
    <w:link w:val="CommentSubjectChar"/>
    <w:uiPriority w:val="99"/>
    <w:semiHidden/>
    <w:unhideWhenUsed/>
    <w:rsid w:val="00B51FDF"/>
    <w:rPr>
      <w:b/>
      <w:bCs/>
    </w:rPr>
  </w:style>
  <w:style w:type="character" w:customStyle="1" w:styleId="CommentSubjectChar">
    <w:name w:val="Comment Subject Char"/>
    <w:basedOn w:val="CommentTextChar"/>
    <w:link w:val="CommentSubject"/>
    <w:uiPriority w:val="99"/>
    <w:semiHidden/>
    <w:rsid w:val="00B51FDF"/>
    <w:rPr>
      <w:rFonts w:ascii="Verdana" w:hAnsi="Verdana" w:cs="Arial"/>
      <w:b/>
      <w:bCs/>
      <w:lang w:eastAsia="en-AU"/>
    </w:rPr>
  </w:style>
  <w:style w:type="paragraph" w:styleId="FootnoteText">
    <w:name w:val="footnote text"/>
    <w:basedOn w:val="Normal"/>
    <w:link w:val="FootnoteTextChar"/>
    <w:uiPriority w:val="99"/>
    <w:semiHidden/>
    <w:unhideWhenUsed/>
    <w:rsid w:val="00F25C9C"/>
    <w:pPr>
      <w:spacing w:after="0"/>
    </w:pPr>
    <w:rPr>
      <w:sz w:val="18"/>
    </w:rPr>
  </w:style>
  <w:style w:type="character" w:customStyle="1" w:styleId="FootnoteTextChar">
    <w:name w:val="Footnote Text Char"/>
    <w:basedOn w:val="DefaultParagraphFont"/>
    <w:link w:val="FootnoteText"/>
    <w:uiPriority w:val="99"/>
    <w:semiHidden/>
    <w:rsid w:val="00F25C9C"/>
    <w:rPr>
      <w:rFonts w:ascii="Verdana" w:hAnsi="Verdana" w:cs="Arial"/>
      <w:sz w:val="18"/>
      <w:lang w:eastAsia="en-AU"/>
    </w:rPr>
  </w:style>
  <w:style w:type="character" w:styleId="FootnoteReference">
    <w:name w:val="footnote reference"/>
    <w:basedOn w:val="DefaultParagraphFont"/>
    <w:uiPriority w:val="99"/>
    <w:semiHidden/>
    <w:unhideWhenUsed/>
    <w:rsid w:val="00190E86"/>
    <w:rPr>
      <w:vertAlign w:val="superscript"/>
    </w:rPr>
  </w:style>
  <w:style w:type="character" w:customStyle="1" w:styleId="Heading6Char">
    <w:name w:val="Heading 6 Char"/>
    <w:basedOn w:val="DefaultParagraphFont"/>
    <w:link w:val="Heading6"/>
    <w:uiPriority w:val="9"/>
    <w:semiHidden/>
    <w:rsid w:val="007166FB"/>
    <w:rPr>
      <w:rFonts w:asciiTheme="majorHAnsi" w:eastAsiaTheme="majorEastAsia" w:hAnsiTheme="majorHAnsi" w:cstheme="majorBidi"/>
      <w:color w:val="243F60" w:themeColor="accent1" w:themeShade="7F"/>
      <w:lang w:eastAsia="en-AU"/>
    </w:rPr>
  </w:style>
  <w:style w:type="paragraph" w:customStyle="1" w:styleId="Default">
    <w:name w:val="Default"/>
    <w:rsid w:val="008D1F95"/>
    <w:pPr>
      <w:autoSpaceDE w:val="0"/>
      <w:autoSpaceDN w:val="0"/>
      <w:adjustRightInd w:val="0"/>
    </w:pPr>
    <w:rPr>
      <w:rFonts w:ascii="Wingdings" w:hAnsi="Wingdings" w:cs="Wingdings"/>
      <w:color w:val="000000"/>
      <w:sz w:val="24"/>
      <w:szCs w:val="24"/>
    </w:rPr>
  </w:style>
  <w:style w:type="paragraph" w:styleId="Revision">
    <w:name w:val="Revision"/>
    <w:hidden/>
    <w:uiPriority w:val="99"/>
    <w:semiHidden/>
    <w:rsid w:val="0001775C"/>
    <w:rPr>
      <w:rFonts w:ascii="Verdana" w:hAnsi="Verdana" w:cs="Arial"/>
      <w:lang w:eastAsia="en-AU"/>
    </w:rPr>
  </w:style>
  <w:style w:type="character" w:styleId="Strong">
    <w:name w:val="Strong"/>
    <w:basedOn w:val="DefaultParagraphFont"/>
    <w:uiPriority w:val="22"/>
    <w:qFormat/>
    <w:rsid w:val="0035125F"/>
    <w:rPr>
      <w:b/>
      <w:bCs/>
    </w:rPr>
  </w:style>
  <w:style w:type="character" w:customStyle="1" w:styleId="BodyTextChar">
    <w:name w:val="Body Text Char"/>
    <w:basedOn w:val="DefaultParagraphFont"/>
    <w:link w:val="BodyText"/>
    <w:rsid w:val="0035125F"/>
    <w:rPr>
      <w:rFonts w:ascii="Verdana" w:hAnsi="Verdana" w:cs="Arial"/>
      <w:lang w:eastAsia="en-AU"/>
    </w:rPr>
  </w:style>
  <w:style w:type="paragraph" w:styleId="Title">
    <w:name w:val="Title"/>
    <w:basedOn w:val="Normal"/>
    <w:next w:val="Normal"/>
    <w:link w:val="TitleChar"/>
    <w:uiPriority w:val="10"/>
    <w:qFormat/>
    <w:rsid w:val="00E049FD"/>
    <w:pPr>
      <w:spacing w:before="600" w:after="600"/>
      <w:jc w:val="center"/>
    </w:pPr>
    <w:rPr>
      <w:b/>
    </w:rPr>
  </w:style>
  <w:style w:type="character" w:customStyle="1" w:styleId="TitleChar">
    <w:name w:val="Title Char"/>
    <w:basedOn w:val="DefaultParagraphFont"/>
    <w:link w:val="Title"/>
    <w:uiPriority w:val="10"/>
    <w:rsid w:val="00E049FD"/>
    <w:rPr>
      <w:rFonts w:ascii="Verdana" w:hAnsi="Verdana" w:cs="Arial"/>
      <w:b/>
      <w:lang w:eastAsia="en-AU"/>
    </w:rPr>
  </w:style>
  <w:style w:type="paragraph" w:customStyle="1" w:styleId="Quote-indentedlist">
    <w:name w:val="Quote - indented list"/>
    <w:basedOn w:val="Quote"/>
    <w:qFormat/>
    <w:rsid w:val="00B70CB4"/>
    <w:pPr>
      <w:tabs>
        <w:tab w:val="left" w:pos="1134"/>
      </w:tabs>
      <w:ind w:left="1134" w:hanging="567"/>
    </w:pPr>
  </w:style>
  <w:style w:type="paragraph" w:customStyle="1" w:styleId="Addressblock">
    <w:name w:val="Address block"/>
    <w:basedOn w:val="Normal"/>
    <w:qFormat/>
    <w:rsid w:val="00B70CB4"/>
    <w:pPr>
      <w:spacing w:after="0"/>
    </w:pPr>
    <w:rPr>
      <w:noProof/>
      <w:sz w:val="15"/>
      <w:szCs w:val="15"/>
      <w:lang w:eastAsia="en-NZ"/>
    </w:rPr>
  </w:style>
  <w:style w:type="character" w:styleId="IntenseEmphasis">
    <w:name w:val="Intense Emphasis"/>
    <w:basedOn w:val="DefaultParagraphFont"/>
    <w:uiPriority w:val="21"/>
    <w:qFormat/>
    <w:rsid w:val="00B70CB4"/>
    <w:rPr>
      <w:b/>
      <w:i/>
      <w:iCs/>
      <w:color w:val="auto"/>
    </w:rPr>
  </w:style>
  <w:style w:type="character" w:styleId="Emphasis">
    <w:name w:val="Emphasis"/>
    <w:basedOn w:val="DefaultParagraphFont"/>
    <w:uiPriority w:val="20"/>
    <w:qFormat/>
    <w:rsid w:val="00B70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37368">
      <w:bodyDiv w:val="1"/>
      <w:marLeft w:val="0"/>
      <w:marRight w:val="0"/>
      <w:marTop w:val="0"/>
      <w:marBottom w:val="0"/>
      <w:divBdr>
        <w:top w:val="none" w:sz="0" w:space="0" w:color="auto"/>
        <w:left w:val="none" w:sz="0" w:space="0" w:color="auto"/>
        <w:bottom w:val="none" w:sz="0" w:space="0" w:color="auto"/>
        <w:right w:val="none" w:sz="0" w:space="0" w:color="auto"/>
      </w:divBdr>
    </w:div>
    <w:div w:id="1343512715">
      <w:bodyDiv w:val="1"/>
      <w:marLeft w:val="0"/>
      <w:marRight w:val="0"/>
      <w:marTop w:val="0"/>
      <w:marBottom w:val="0"/>
      <w:divBdr>
        <w:top w:val="none" w:sz="0" w:space="0" w:color="auto"/>
        <w:left w:val="none" w:sz="0" w:space="0" w:color="auto"/>
        <w:bottom w:val="none" w:sz="0" w:space="0" w:color="auto"/>
        <w:right w:val="none" w:sz="0" w:space="0" w:color="auto"/>
      </w:divBdr>
      <w:divsChild>
        <w:div w:id="981882004">
          <w:marLeft w:val="0"/>
          <w:marRight w:val="0"/>
          <w:marTop w:val="83"/>
          <w:marBottom w:val="0"/>
          <w:divBdr>
            <w:top w:val="none" w:sz="0" w:space="0" w:color="auto"/>
            <w:left w:val="none" w:sz="0" w:space="0" w:color="auto"/>
            <w:bottom w:val="none" w:sz="0" w:space="0" w:color="auto"/>
            <w:right w:val="none" w:sz="0" w:space="0" w:color="auto"/>
          </w:divBdr>
          <w:divsChild>
            <w:div w:id="1248542005">
              <w:marLeft w:val="0"/>
              <w:marRight w:val="0"/>
              <w:marTop w:val="83"/>
              <w:marBottom w:val="0"/>
              <w:divBdr>
                <w:top w:val="none" w:sz="0" w:space="0" w:color="auto"/>
                <w:left w:val="none" w:sz="0" w:space="0" w:color="auto"/>
                <w:bottom w:val="none" w:sz="0" w:space="0" w:color="auto"/>
                <w:right w:val="none" w:sz="0" w:space="0" w:color="auto"/>
              </w:divBdr>
            </w:div>
            <w:div w:id="1767577244">
              <w:marLeft w:val="0"/>
              <w:marRight w:val="0"/>
              <w:marTop w:val="83"/>
              <w:marBottom w:val="0"/>
              <w:divBdr>
                <w:top w:val="none" w:sz="0" w:space="0" w:color="auto"/>
                <w:left w:val="none" w:sz="0" w:space="0" w:color="auto"/>
                <w:bottom w:val="none" w:sz="0" w:space="0" w:color="auto"/>
                <w:right w:val="none" w:sz="0" w:space="0" w:color="auto"/>
              </w:divBdr>
              <w:divsChild>
                <w:div w:id="119884197">
                  <w:marLeft w:val="0"/>
                  <w:marRight w:val="0"/>
                  <w:marTop w:val="83"/>
                  <w:marBottom w:val="0"/>
                  <w:divBdr>
                    <w:top w:val="none" w:sz="0" w:space="0" w:color="auto"/>
                    <w:left w:val="none" w:sz="0" w:space="0" w:color="auto"/>
                    <w:bottom w:val="none" w:sz="0" w:space="0" w:color="auto"/>
                    <w:right w:val="none" w:sz="0" w:space="0" w:color="auto"/>
                  </w:divBdr>
                </w:div>
                <w:div w:id="863179050">
                  <w:marLeft w:val="0"/>
                  <w:marRight w:val="0"/>
                  <w:marTop w:val="83"/>
                  <w:marBottom w:val="0"/>
                  <w:divBdr>
                    <w:top w:val="none" w:sz="0" w:space="0" w:color="auto"/>
                    <w:left w:val="none" w:sz="0" w:space="0" w:color="auto"/>
                    <w:bottom w:val="none" w:sz="0" w:space="0" w:color="auto"/>
                    <w:right w:val="none" w:sz="0" w:space="0" w:color="auto"/>
                  </w:divBdr>
                </w:div>
              </w:divsChild>
            </w:div>
            <w:div w:id="2026443729">
              <w:marLeft w:val="0"/>
              <w:marRight w:val="0"/>
              <w:marTop w:val="83"/>
              <w:marBottom w:val="0"/>
              <w:divBdr>
                <w:top w:val="none" w:sz="0" w:space="0" w:color="auto"/>
                <w:left w:val="none" w:sz="0" w:space="0" w:color="auto"/>
                <w:bottom w:val="none" w:sz="0" w:space="0" w:color="auto"/>
                <w:right w:val="none" w:sz="0" w:space="0" w:color="auto"/>
              </w:divBdr>
              <w:divsChild>
                <w:div w:id="1933510643">
                  <w:marLeft w:val="0"/>
                  <w:marRight w:val="0"/>
                  <w:marTop w:val="83"/>
                  <w:marBottom w:val="0"/>
                  <w:divBdr>
                    <w:top w:val="none" w:sz="0" w:space="0" w:color="auto"/>
                    <w:left w:val="none" w:sz="0" w:space="0" w:color="auto"/>
                    <w:bottom w:val="none" w:sz="0" w:space="0" w:color="auto"/>
                    <w:right w:val="none" w:sz="0" w:space="0" w:color="auto"/>
                  </w:divBdr>
                </w:div>
                <w:div w:id="213374621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883052200">
      <w:bodyDiv w:val="1"/>
      <w:marLeft w:val="0"/>
      <w:marRight w:val="0"/>
      <w:marTop w:val="0"/>
      <w:marBottom w:val="0"/>
      <w:divBdr>
        <w:top w:val="none" w:sz="0" w:space="0" w:color="auto"/>
        <w:left w:val="none" w:sz="0" w:space="0" w:color="auto"/>
        <w:bottom w:val="none" w:sz="0" w:space="0" w:color="auto"/>
        <w:right w:val="none" w:sz="0" w:space="0" w:color="auto"/>
      </w:divBdr>
      <w:divsChild>
        <w:div w:id="854803437">
          <w:marLeft w:val="0"/>
          <w:marRight w:val="0"/>
          <w:marTop w:val="83"/>
          <w:marBottom w:val="0"/>
          <w:divBdr>
            <w:top w:val="none" w:sz="0" w:space="0" w:color="auto"/>
            <w:left w:val="none" w:sz="0" w:space="0" w:color="auto"/>
            <w:bottom w:val="none" w:sz="0" w:space="0" w:color="auto"/>
            <w:right w:val="none" w:sz="0" w:space="0" w:color="auto"/>
          </w:divBdr>
          <w:divsChild>
            <w:div w:id="842085611">
              <w:marLeft w:val="0"/>
              <w:marRight w:val="0"/>
              <w:marTop w:val="83"/>
              <w:marBottom w:val="0"/>
              <w:divBdr>
                <w:top w:val="none" w:sz="0" w:space="0" w:color="auto"/>
                <w:left w:val="none" w:sz="0" w:space="0" w:color="auto"/>
                <w:bottom w:val="none" w:sz="0" w:space="0" w:color="auto"/>
                <w:right w:val="none" w:sz="0" w:space="0" w:color="auto"/>
              </w:divBdr>
            </w:div>
            <w:div w:id="150366240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cy.webmaster@ird.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nz/resource/en-NZ/51DBSCH_SCR71859_1/a766cca1dc215ab6c19f957d7a9d3668f18ebe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5D0A6-B78A-440F-99C2-C394B8E3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3610</Words>
  <Characters>20577</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Consultation letter – Foreign trust remedials (March 2021)</vt:lpstr>
      <vt:lpstr>Issue 1: The definition of “foreign trust” is not aligned with the requirements </vt:lpstr>
      <vt:lpstr>    Proposed change</vt:lpstr>
      <vt:lpstr>Issue 2: A power to deregister trusts does not explicitly exist</vt:lpstr>
      <vt:lpstr>    Proposed change</vt:lpstr>
      <vt:lpstr>        Requirements for deregistration</vt:lpstr>
      <vt:lpstr>        Effect of deregistration</vt:lpstr>
      <vt:lpstr>Issue 3: The term “in the business of providing trustee services” is not defined</vt:lpstr>
      <vt:lpstr>    Proposed change</vt:lpstr>
      <vt:lpstr>Issue 4: Certain information may not be required for new settlors of, or benefic</vt:lpstr>
      <vt:lpstr>    Proposed changes</vt:lpstr>
      <vt:lpstr>Issue 5: There is no requirement to update annual return information when it cha</vt:lpstr>
      <vt:lpstr>    Proposed change</vt:lpstr>
      <vt:lpstr>Issue 6: Testamentary trusts do not have trust deeds and cannot qualify for the </vt:lpstr>
      <vt:lpstr>    Proposed change</vt:lpstr>
      <vt:lpstr>Issue 7: The foreign trust disclosure rules in the TAA are not included in the I</vt:lpstr>
      <vt:lpstr>    Proposed change</vt:lpstr>
      <vt:lpstr>Issue 8: The Commissioner has no discretion to allow the foreign-sourced income </vt:lpstr>
      <vt:lpstr>    Proposed change</vt:lpstr>
      <vt:lpstr>Issue 9: The penalties have not been updated to reflect the 2017 requirements an</vt:lpstr>
      <vt:lpstr>    Proposed changes</vt:lpstr>
      <vt:lpstr>Issue 10: References to a minor beneficiary’s age should instead refer to their </vt:lpstr>
      <vt:lpstr>    Proposed changes</vt:lpstr>
      <vt:lpstr>Other issues</vt:lpstr>
      <vt:lpstr>Submissions</vt:lpstr>
    </vt:vector>
  </TitlesOfParts>
  <Company>Inland Revenue</Company>
  <LinksUpToDate>false</LinksUpToDate>
  <CharactersWithSpaces>24139</CharactersWithSpaces>
  <SharedDoc>false</SharedDoc>
  <HLinks>
    <vt:vector size="6" baseType="variant">
      <vt:variant>
        <vt:i4>2752520</vt:i4>
      </vt:variant>
      <vt:variant>
        <vt:i4>0</vt:i4>
      </vt:variant>
      <vt:variant>
        <vt:i4>0</vt:i4>
      </vt:variant>
      <vt:variant>
        <vt:i4>5</vt:i4>
      </vt:variant>
      <vt:variant>
        <vt:lpwstr>mailto:patricia.ieong@ird.govt.nz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letter – Foreign trust remedials (March 2021)</dc:title>
  <dc:subject/>
  <dc:creator>Policy and Regulatory Stewardship</dc:creator>
  <cp:keywords/>
  <dcterms:created xsi:type="dcterms:W3CDTF">2021-03-01T06:39:00Z</dcterms:created>
  <dcterms:modified xsi:type="dcterms:W3CDTF">2021-03-01T06:40:00Z</dcterms:modified>
</cp:coreProperties>
</file>