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52D8" w14:textId="13911D4C" w:rsidR="0062657E" w:rsidRDefault="0062657E" w:rsidP="00431CA7">
      <w:pPr>
        <w:pStyle w:val="Heading1"/>
        <w:spacing w:before="0" w:after="120" w:line="276" w:lineRule="auto"/>
        <w:rPr>
          <w:color w:val="0082AB"/>
        </w:rPr>
      </w:pPr>
      <w:r w:rsidRPr="0005691A">
        <w:rPr>
          <w:color w:val="0082AB"/>
        </w:rPr>
        <w:t>Coversheet</w:t>
      </w:r>
      <w:r w:rsidR="009435C4">
        <w:rPr>
          <w:color w:val="0082AB"/>
        </w:rPr>
        <w:t>:</w:t>
      </w:r>
      <w:r w:rsidRPr="0005691A">
        <w:rPr>
          <w:color w:val="0082AB"/>
        </w:rPr>
        <w:t xml:space="preserve"> </w:t>
      </w:r>
      <w:r w:rsidR="00A20F34">
        <w:rPr>
          <w:color w:val="0082AB"/>
        </w:rPr>
        <w:t xml:space="preserve">Introducing a new </w:t>
      </w:r>
      <w:r w:rsidR="00756630">
        <w:rPr>
          <w:color w:val="0082AB"/>
        </w:rPr>
        <w:t>top personal</w:t>
      </w:r>
      <w:r w:rsidR="00C26BF5">
        <w:rPr>
          <w:color w:val="0082AB"/>
        </w:rPr>
        <w:t xml:space="preserve"> income</w:t>
      </w:r>
      <w:r w:rsidR="00756630">
        <w:rPr>
          <w:color w:val="0082AB"/>
        </w:rPr>
        <w:t xml:space="preserve"> tax rate</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014"/>
        <w:gridCol w:w="7058"/>
      </w:tblGrid>
      <w:tr w:rsidR="0062657E" w:rsidRPr="007B090A" w14:paraId="47ACB0C5" w14:textId="77777777" w:rsidTr="003754FE">
        <w:tc>
          <w:tcPr>
            <w:tcW w:w="2014" w:type="dxa"/>
            <w:shd w:val="clear" w:color="auto" w:fill="EBF5F8"/>
          </w:tcPr>
          <w:p w14:paraId="1FF3EB14" w14:textId="34C71228" w:rsidR="0062657E" w:rsidRPr="00536958" w:rsidRDefault="0062657E" w:rsidP="007B090A">
            <w:pPr>
              <w:pStyle w:val="TableText"/>
              <w:spacing w:line="276" w:lineRule="auto"/>
              <w:rPr>
                <w:rFonts w:cs="Arial"/>
                <w:sz w:val="22"/>
              </w:rPr>
            </w:pPr>
            <w:r w:rsidRPr="00536958">
              <w:rPr>
                <w:rFonts w:cs="Arial"/>
                <w:sz w:val="22"/>
              </w:rPr>
              <w:t>Advising agenc</w:t>
            </w:r>
            <w:r w:rsidR="00725E30">
              <w:rPr>
                <w:rFonts w:cs="Arial"/>
                <w:sz w:val="22"/>
              </w:rPr>
              <w:t>y</w:t>
            </w:r>
          </w:p>
        </w:tc>
        <w:tc>
          <w:tcPr>
            <w:tcW w:w="7058" w:type="dxa"/>
            <w:shd w:val="clear" w:color="auto" w:fill="auto"/>
          </w:tcPr>
          <w:p w14:paraId="6B8E284B" w14:textId="3E5560E1" w:rsidR="00536958" w:rsidRPr="00536958" w:rsidRDefault="00536958" w:rsidP="007B090A">
            <w:pPr>
              <w:spacing w:before="20" w:after="20" w:line="276" w:lineRule="auto"/>
              <w:rPr>
                <w:rFonts w:cs="Arial"/>
                <w:szCs w:val="22"/>
              </w:rPr>
            </w:pPr>
            <w:r w:rsidRPr="00536958">
              <w:rPr>
                <w:rFonts w:cs="Arial"/>
                <w:szCs w:val="22"/>
              </w:rPr>
              <w:t>Inland Revenue</w:t>
            </w:r>
          </w:p>
        </w:tc>
      </w:tr>
      <w:tr w:rsidR="0062657E" w:rsidRPr="007B090A" w14:paraId="3897E0C6" w14:textId="77777777" w:rsidTr="003754FE">
        <w:tc>
          <w:tcPr>
            <w:tcW w:w="2014" w:type="dxa"/>
            <w:shd w:val="clear" w:color="auto" w:fill="EBF5F8"/>
          </w:tcPr>
          <w:p w14:paraId="47064238" w14:textId="77777777" w:rsidR="0062657E" w:rsidRPr="00536958" w:rsidRDefault="0062657E" w:rsidP="007B090A">
            <w:pPr>
              <w:pStyle w:val="TableText"/>
              <w:spacing w:line="276" w:lineRule="auto"/>
              <w:rPr>
                <w:rFonts w:cs="Arial"/>
                <w:sz w:val="22"/>
              </w:rPr>
            </w:pPr>
            <w:r w:rsidRPr="00536958">
              <w:rPr>
                <w:rFonts w:cs="Arial"/>
                <w:sz w:val="22"/>
              </w:rPr>
              <w:t>Decision sought</w:t>
            </w:r>
          </w:p>
        </w:tc>
        <w:tc>
          <w:tcPr>
            <w:tcW w:w="7058" w:type="dxa"/>
            <w:shd w:val="clear" w:color="auto" w:fill="auto"/>
          </w:tcPr>
          <w:p w14:paraId="56273137" w14:textId="2CF3FE0A" w:rsidR="005549ED" w:rsidRPr="00536958" w:rsidRDefault="003862AF" w:rsidP="007B090A">
            <w:pPr>
              <w:spacing w:before="20" w:after="20" w:line="276" w:lineRule="auto"/>
              <w:rPr>
                <w:rFonts w:cs="Arial"/>
                <w:szCs w:val="22"/>
              </w:rPr>
            </w:pPr>
            <w:r w:rsidRPr="00536958">
              <w:rPr>
                <w:rFonts w:cs="Arial"/>
                <w:szCs w:val="22"/>
              </w:rPr>
              <w:t>Agreement to in</w:t>
            </w:r>
            <w:r w:rsidR="003754FE">
              <w:rPr>
                <w:rFonts w:cs="Arial"/>
                <w:szCs w:val="22"/>
              </w:rPr>
              <w:t xml:space="preserve">troduce a new </w:t>
            </w:r>
            <w:r w:rsidRPr="00536958">
              <w:rPr>
                <w:rFonts w:cs="Arial"/>
                <w:szCs w:val="22"/>
              </w:rPr>
              <w:t xml:space="preserve">top </w:t>
            </w:r>
            <w:r w:rsidR="000C046F">
              <w:rPr>
                <w:rFonts w:cs="Arial"/>
                <w:szCs w:val="22"/>
              </w:rPr>
              <w:t>personal income</w:t>
            </w:r>
            <w:r w:rsidRPr="00536958">
              <w:rPr>
                <w:rFonts w:cs="Arial"/>
                <w:szCs w:val="22"/>
              </w:rPr>
              <w:t xml:space="preserve"> tax rate </w:t>
            </w:r>
            <w:r w:rsidR="006C3EB9">
              <w:rPr>
                <w:rFonts w:cs="Arial"/>
                <w:szCs w:val="22"/>
              </w:rPr>
              <w:t xml:space="preserve">of </w:t>
            </w:r>
            <w:r w:rsidRPr="00536958">
              <w:rPr>
                <w:rFonts w:cs="Arial"/>
                <w:szCs w:val="22"/>
              </w:rPr>
              <w:t>39</w:t>
            </w:r>
            <w:r w:rsidR="00E80D36">
              <w:rPr>
                <w:rFonts w:cs="Arial"/>
                <w:szCs w:val="22"/>
              </w:rPr>
              <w:t xml:space="preserve"> percent</w:t>
            </w:r>
            <w:r w:rsidR="000D479D">
              <w:rPr>
                <w:rFonts w:cs="Arial"/>
                <w:szCs w:val="22"/>
              </w:rPr>
              <w:t xml:space="preserve"> </w:t>
            </w:r>
            <w:r w:rsidR="006C3EB9">
              <w:rPr>
                <w:rFonts w:cs="Arial"/>
                <w:szCs w:val="22"/>
              </w:rPr>
              <w:t xml:space="preserve">for income over </w:t>
            </w:r>
            <w:r w:rsidR="000D479D">
              <w:rPr>
                <w:rFonts w:cs="Arial"/>
                <w:szCs w:val="22"/>
              </w:rPr>
              <w:t xml:space="preserve">$180,000 </w:t>
            </w:r>
          </w:p>
        </w:tc>
      </w:tr>
      <w:tr w:rsidR="0062657E" w:rsidRPr="007B090A" w14:paraId="5AE5D8C0" w14:textId="77777777" w:rsidTr="003754FE">
        <w:tc>
          <w:tcPr>
            <w:tcW w:w="2014" w:type="dxa"/>
            <w:shd w:val="clear" w:color="auto" w:fill="EBF5F8"/>
          </w:tcPr>
          <w:p w14:paraId="3596E4F2" w14:textId="77777777" w:rsidR="0062657E" w:rsidRPr="00536958" w:rsidRDefault="0062657E" w:rsidP="007B090A">
            <w:pPr>
              <w:pStyle w:val="TableText"/>
              <w:spacing w:line="276" w:lineRule="auto"/>
              <w:rPr>
                <w:rFonts w:cs="Arial"/>
                <w:sz w:val="22"/>
              </w:rPr>
            </w:pPr>
            <w:r w:rsidRPr="00536958">
              <w:rPr>
                <w:rFonts w:cs="Arial"/>
                <w:sz w:val="22"/>
              </w:rPr>
              <w:t>Proposing Ministers</w:t>
            </w:r>
          </w:p>
        </w:tc>
        <w:tc>
          <w:tcPr>
            <w:tcW w:w="7058" w:type="dxa"/>
            <w:shd w:val="clear" w:color="auto" w:fill="auto"/>
          </w:tcPr>
          <w:p w14:paraId="3B196E65" w14:textId="77777777" w:rsidR="00536958" w:rsidRPr="00536958" w:rsidRDefault="00536958" w:rsidP="007B090A">
            <w:pPr>
              <w:spacing w:before="20" w:after="20" w:line="276" w:lineRule="auto"/>
              <w:rPr>
                <w:rFonts w:cs="Arial"/>
                <w:szCs w:val="22"/>
              </w:rPr>
            </w:pPr>
            <w:r w:rsidRPr="00536958">
              <w:rPr>
                <w:rFonts w:cs="Arial"/>
                <w:szCs w:val="22"/>
              </w:rPr>
              <w:t>Minister of Finance</w:t>
            </w:r>
          </w:p>
          <w:p w14:paraId="78D9E9A8" w14:textId="6D92FDA4" w:rsidR="0062657E" w:rsidRPr="00536958" w:rsidRDefault="00536958" w:rsidP="007B090A">
            <w:pPr>
              <w:spacing w:before="20" w:after="20" w:line="276" w:lineRule="auto"/>
              <w:rPr>
                <w:rFonts w:cs="Arial"/>
                <w:szCs w:val="22"/>
              </w:rPr>
            </w:pPr>
            <w:r w:rsidRPr="00536958">
              <w:rPr>
                <w:rFonts w:cs="Arial"/>
                <w:szCs w:val="22"/>
              </w:rPr>
              <w:t>Minister of Revenue</w:t>
            </w:r>
          </w:p>
        </w:tc>
      </w:tr>
    </w:tbl>
    <w:p w14:paraId="6134A636" w14:textId="77777777" w:rsidR="009C4129" w:rsidRPr="007B090A" w:rsidRDefault="009C4129" w:rsidP="007B090A">
      <w:pPr>
        <w:pStyle w:val="spacer"/>
        <w:spacing w:line="276" w:lineRule="auto"/>
        <w:rPr>
          <w:rFonts w:cs="Arial"/>
          <w:sz w:val="22"/>
        </w:rPr>
      </w:pPr>
    </w:p>
    <w:p w14:paraId="3BD94C32" w14:textId="54106A50" w:rsidR="0062657E" w:rsidRPr="0005691A" w:rsidRDefault="0062657E" w:rsidP="00725E30">
      <w:pPr>
        <w:pStyle w:val="Heading2"/>
      </w:pPr>
      <w:r>
        <w:t xml:space="preserve">Summary: Problem and Proposed Approach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62657E" w:rsidRPr="007B090A" w14:paraId="351B235B" w14:textId="77777777" w:rsidTr="00346B30">
        <w:trPr>
          <w:trHeight w:val="214"/>
        </w:trPr>
        <w:tc>
          <w:tcPr>
            <w:tcW w:w="9072" w:type="dxa"/>
            <w:shd w:val="clear" w:color="auto" w:fill="99CDDD"/>
          </w:tcPr>
          <w:p w14:paraId="1A4CE731" w14:textId="77777777" w:rsidR="0062657E" w:rsidRPr="007B090A" w:rsidRDefault="0062657E" w:rsidP="00FA7EFC">
            <w:pPr>
              <w:keepNext/>
              <w:spacing w:before="60" w:after="60" w:line="276" w:lineRule="auto"/>
              <w:rPr>
                <w:b/>
                <w:szCs w:val="22"/>
              </w:rPr>
            </w:pPr>
            <w:r w:rsidRPr="007B090A">
              <w:rPr>
                <w:b/>
                <w:szCs w:val="22"/>
              </w:rPr>
              <w:t>Problem Definition</w:t>
            </w:r>
          </w:p>
          <w:p w14:paraId="134E1227" w14:textId="7A7AD8B9" w:rsidR="0062657E" w:rsidRPr="007B090A" w:rsidRDefault="0062657E" w:rsidP="00DF2E7B">
            <w:pPr>
              <w:spacing w:before="60" w:after="60" w:line="240" w:lineRule="auto"/>
              <w:rPr>
                <w:b/>
                <w:szCs w:val="22"/>
              </w:rPr>
            </w:pPr>
            <w:r w:rsidRPr="007B090A">
              <w:rPr>
                <w:b/>
                <w:szCs w:val="22"/>
              </w:rPr>
              <w:t>What problem or opportunity does this proposal seek to address? Why is Government intervention required?</w:t>
            </w:r>
          </w:p>
        </w:tc>
      </w:tr>
      <w:tr w:rsidR="0062657E" w:rsidRPr="007B090A" w14:paraId="4793FEC9" w14:textId="77777777" w:rsidTr="00431CA7">
        <w:trPr>
          <w:trHeight w:val="737"/>
        </w:trPr>
        <w:tc>
          <w:tcPr>
            <w:tcW w:w="9072" w:type="dxa"/>
            <w:shd w:val="clear" w:color="auto" w:fill="FFFFFF"/>
          </w:tcPr>
          <w:p w14:paraId="13F37E90" w14:textId="2D26293F" w:rsidR="00E05386" w:rsidRDefault="00E05386" w:rsidP="00A34A9A">
            <w:pPr>
              <w:pStyle w:val="TableText"/>
              <w:spacing w:before="0" w:after="0" w:line="276" w:lineRule="auto"/>
              <w:rPr>
                <w:sz w:val="22"/>
              </w:rPr>
            </w:pPr>
          </w:p>
          <w:p w14:paraId="29F21AE1" w14:textId="561EDDC6" w:rsidR="00F30E50" w:rsidRDefault="00F61D07" w:rsidP="00A34A9A">
            <w:pPr>
              <w:pStyle w:val="TableText"/>
              <w:spacing w:before="0" w:after="0" w:line="276" w:lineRule="auto"/>
              <w:rPr>
                <w:sz w:val="22"/>
              </w:rPr>
            </w:pPr>
            <w:r>
              <w:rPr>
                <w:sz w:val="22"/>
              </w:rPr>
              <w:t xml:space="preserve">As signalled in the Labour party’s 2020 Election Manifesto, the </w:t>
            </w:r>
            <w:r w:rsidR="00D91723">
              <w:rPr>
                <w:sz w:val="22"/>
              </w:rPr>
              <w:t xml:space="preserve">Government has </w:t>
            </w:r>
            <w:r w:rsidR="00946888">
              <w:rPr>
                <w:sz w:val="22"/>
              </w:rPr>
              <w:t>committed to in</w:t>
            </w:r>
            <w:r w:rsidR="0060480A">
              <w:rPr>
                <w:sz w:val="22"/>
              </w:rPr>
              <w:t>troducing a new top personal income tax rate of 39 percent on income over $180,000.</w:t>
            </w:r>
            <w:r w:rsidR="004B47E0">
              <w:rPr>
                <w:sz w:val="22"/>
              </w:rPr>
              <w:t xml:space="preserve"> </w:t>
            </w:r>
            <w:r w:rsidR="00F44831">
              <w:rPr>
                <w:sz w:val="22"/>
              </w:rPr>
              <w:t>Th</w:t>
            </w:r>
            <w:r w:rsidR="004B47E0">
              <w:rPr>
                <w:sz w:val="22"/>
              </w:rPr>
              <w:t>is</w:t>
            </w:r>
            <w:r w:rsidR="00F44831">
              <w:rPr>
                <w:sz w:val="22"/>
              </w:rPr>
              <w:t xml:space="preserve"> is to meet two objectives</w:t>
            </w:r>
            <w:r w:rsidR="000378A4">
              <w:rPr>
                <w:sz w:val="22"/>
              </w:rPr>
              <w:t>:</w:t>
            </w:r>
          </w:p>
          <w:p w14:paraId="1F5DCB14" w14:textId="77777777" w:rsidR="000378A4" w:rsidRDefault="000378A4" w:rsidP="00A34A9A">
            <w:pPr>
              <w:pStyle w:val="TableText"/>
              <w:spacing w:before="0" w:after="0" w:line="276" w:lineRule="auto"/>
              <w:rPr>
                <w:sz w:val="22"/>
              </w:rPr>
            </w:pPr>
          </w:p>
          <w:p w14:paraId="657B075D" w14:textId="77777777" w:rsidR="00E9704A" w:rsidRDefault="00E9704A" w:rsidP="00E9704A">
            <w:pPr>
              <w:pStyle w:val="ListParagraph"/>
              <w:numPr>
                <w:ilvl w:val="0"/>
                <w:numId w:val="13"/>
              </w:numPr>
              <w:spacing w:after="0"/>
              <w:jc w:val="both"/>
              <w:rPr>
                <w:rFonts w:cs="Arial"/>
              </w:rPr>
            </w:pPr>
            <w:r>
              <w:rPr>
                <w:rFonts w:cs="Arial"/>
              </w:rPr>
              <w:t xml:space="preserve">A </w:t>
            </w:r>
            <w:r w:rsidRPr="008E7CEF">
              <w:rPr>
                <w:rFonts w:cs="Arial"/>
                <w:b/>
                <w:bCs/>
              </w:rPr>
              <w:t>revenue objective</w:t>
            </w:r>
            <w:r>
              <w:rPr>
                <w:rFonts w:cs="Arial"/>
              </w:rPr>
              <w:t xml:space="preserve">: The Government is raising extra revenue to reduce the fiscal impact of higher operating allowances proposed in its fiscal strategy. </w:t>
            </w:r>
          </w:p>
          <w:p w14:paraId="3BD66EB3" w14:textId="14CB5A7A" w:rsidR="00E9704A" w:rsidRDefault="00E9704A" w:rsidP="00E9704A">
            <w:pPr>
              <w:pStyle w:val="ListParagraph"/>
              <w:numPr>
                <w:ilvl w:val="0"/>
                <w:numId w:val="13"/>
              </w:numPr>
              <w:spacing w:after="0"/>
              <w:jc w:val="both"/>
              <w:rPr>
                <w:rFonts w:cs="Arial"/>
              </w:rPr>
            </w:pPr>
            <w:r>
              <w:rPr>
                <w:rFonts w:cs="Arial"/>
              </w:rPr>
              <w:t xml:space="preserve">A </w:t>
            </w:r>
            <w:r w:rsidRPr="008E7CEF">
              <w:rPr>
                <w:rFonts w:cs="Arial"/>
                <w:b/>
                <w:bCs/>
              </w:rPr>
              <w:t>distributional objective</w:t>
            </w:r>
            <w:r>
              <w:rPr>
                <w:rFonts w:cs="Arial"/>
              </w:rPr>
              <w:t xml:space="preserve">: The Government is seeking to raise this additional revenue in a way which has as little as possible impact on low- and middle-income earners and </w:t>
            </w:r>
            <w:r w:rsidR="009714D1">
              <w:rPr>
                <w:rFonts w:cs="Arial"/>
              </w:rPr>
              <w:t>thus</w:t>
            </w:r>
            <w:r>
              <w:rPr>
                <w:rFonts w:cs="Arial"/>
              </w:rPr>
              <w:t xml:space="preserve"> increases the progressivity</w:t>
            </w:r>
            <w:r w:rsidR="001638A9">
              <w:rPr>
                <w:rStyle w:val="FootnoteReference"/>
                <w:rFonts w:cs="Arial"/>
              </w:rPr>
              <w:footnoteReference w:id="2"/>
            </w:r>
            <w:r>
              <w:rPr>
                <w:rFonts w:cs="Arial"/>
              </w:rPr>
              <w:t xml:space="preserve"> of the tax system.</w:t>
            </w:r>
          </w:p>
          <w:p w14:paraId="2C742761" w14:textId="77777777" w:rsidR="00F44831" w:rsidRDefault="00F44831" w:rsidP="00A34A9A">
            <w:pPr>
              <w:pStyle w:val="TableText"/>
              <w:spacing w:before="0" w:after="0" w:line="276" w:lineRule="auto"/>
              <w:rPr>
                <w:sz w:val="22"/>
              </w:rPr>
            </w:pPr>
          </w:p>
          <w:p w14:paraId="41353B3E" w14:textId="27FA0FB4" w:rsidR="00DF5D7A" w:rsidRDefault="00786DA3" w:rsidP="00115BCE">
            <w:pPr>
              <w:pStyle w:val="TableText"/>
              <w:spacing w:before="0" w:after="0" w:line="276" w:lineRule="auto"/>
              <w:rPr>
                <w:sz w:val="22"/>
              </w:rPr>
            </w:pPr>
            <w:r>
              <w:rPr>
                <w:sz w:val="22"/>
              </w:rPr>
              <w:t>This Impact Statement analyse</w:t>
            </w:r>
            <w:r w:rsidR="00C164FA">
              <w:rPr>
                <w:sz w:val="22"/>
              </w:rPr>
              <w:t>s</w:t>
            </w:r>
            <w:r>
              <w:rPr>
                <w:sz w:val="22"/>
              </w:rPr>
              <w:t xml:space="preserve"> how </w:t>
            </w:r>
            <w:r w:rsidR="006D07FE">
              <w:rPr>
                <w:sz w:val="22"/>
              </w:rPr>
              <w:t>to implement the</w:t>
            </w:r>
            <w:r>
              <w:rPr>
                <w:sz w:val="22"/>
              </w:rPr>
              <w:t xml:space="preserve"> new</w:t>
            </w:r>
            <w:r w:rsidR="006D07FE">
              <w:rPr>
                <w:sz w:val="22"/>
              </w:rPr>
              <w:t xml:space="preserve"> rate in a way that best meets the Government’s </w:t>
            </w:r>
            <w:r w:rsidR="006D07FE" w:rsidRPr="00786DA3">
              <w:rPr>
                <w:b/>
                <w:bCs/>
                <w:sz w:val="22"/>
              </w:rPr>
              <w:t>revenue</w:t>
            </w:r>
            <w:r w:rsidR="006D07FE">
              <w:rPr>
                <w:sz w:val="22"/>
              </w:rPr>
              <w:t xml:space="preserve"> and </w:t>
            </w:r>
            <w:r w:rsidR="006D07FE" w:rsidRPr="00786DA3">
              <w:rPr>
                <w:b/>
                <w:bCs/>
                <w:sz w:val="22"/>
              </w:rPr>
              <w:t>distributional</w:t>
            </w:r>
            <w:r w:rsidR="006D07FE">
              <w:rPr>
                <w:sz w:val="22"/>
              </w:rPr>
              <w:t xml:space="preserve"> objectives</w:t>
            </w:r>
            <w:r w:rsidR="00F23CC5">
              <w:rPr>
                <w:sz w:val="22"/>
              </w:rPr>
              <w:t xml:space="preserve"> while minimising unintended impacts</w:t>
            </w:r>
            <w:r w:rsidR="006D07FE">
              <w:rPr>
                <w:sz w:val="22"/>
              </w:rPr>
              <w:t xml:space="preserve">. </w:t>
            </w:r>
          </w:p>
          <w:p w14:paraId="1D4051EF" w14:textId="15538C2C" w:rsidR="00115BCE" w:rsidRPr="00115BCE" w:rsidRDefault="00115BCE" w:rsidP="00115BCE">
            <w:pPr>
              <w:pStyle w:val="TableText"/>
              <w:spacing w:before="0" w:after="0" w:line="276" w:lineRule="auto"/>
              <w:rPr>
                <w:sz w:val="22"/>
              </w:rPr>
            </w:pPr>
          </w:p>
        </w:tc>
      </w:tr>
    </w:tbl>
    <w:p w14:paraId="13A2515E" w14:textId="77777777" w:rsidR="0062657E" w:rsidRPr="00143420" w:rsidRDefault="0062657E" w:rsidP="00AA6A54">
      <w:pPr>
        <w:pStyle w:val="spacer"/>
        <w:rPr>
          <w:sz w:val="22"/>
        </w:rPr>
      </w:pPr>
    </w:p>
    <w:tbl>
      <w:tblPr>
        <w:tblW w:w="907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8"/>
      </w:tblGrid>
      <w:tr w:rsidR="0062657E" w:rsidRPr="007B090A" w14:paraId="4769B7FB" w14:textId="77777777" w:rsidTr="00346B30">
        <w:trPr>
          <w:trHeight w:val="585"/>
        </w:trPr>
        <w:tc>
          <w:tcPr>
            <w:tcW w:w="9076" w:type="dxa"/>
            <w:shd w:val="clear" w:color="auto" w:fill="99CDDD"/>
          </w:tcPr>
          <w:p w14:paraId="55184FA6" w14:textId="7A06237B" w:rsidR="0062657E" w:rsidRPr="007B090A" w:rsidRDefault="007B4CEA" w:rsidP="00743278">
            <w:pPr>
              <w:keepNext/>
              <w:keepLines/>
              <w:spacing w:before="60" w:after="60" w:line="276" w:lineRule="auto"/>
              <w:rPr>
                <w:b/>
                <w:szCs w:val="22"/>
              </w:rPr>
            </w:pPr>
            <w:r>
              <w:rPr>
                <w:b/>
                <w:szCs w:val="22"/>
              </w:rPr>
              <w:lastRenderedPageBreak/>
              <w:t>Summary of Preferred Option or Conclusion (if no preferred option)</w:t>
            </w:r>
          </w:p>
          <w:p w14:paraId="20B47E9B" w14:textId="3A85E66B" w:rsidR="0062657E" w:rsidRPr="007B090A" w:rsidRDefault="0062657E" w:rsidP="00743278">
            <w:pPr>
              <w:keepNext/>
              <w:keepLines/>
              <w:spacing w:before="60" w:after="60" w:line="240" w:lineRule="auto"/>
              <w:rPr>
                <w:b/>
                <w:szCs w:val="22"/>
              </w:rPr>
            </w:pPr>
            <w:r w:rsidRPr="007B090A">
              <w:rPr>
                <w:b/>
                <w:szCs w:val="22"/>
              </w:rPr>
              <w:t xml:space="preserve">How will </w:t>
            </w:r>
            <w:r w:rsidR="007B4CEA">
              <w:rPr>
                <w:b/>
                <w:szCs w:val="22"/>
              </w:rPr>
              <w:t>the agency’s preferred approach</w:t>
            </w:r>
            <w:r w:rsidRPr="007B090A">
              <w:rPr>
                <w:b/>
                <w:szCs w:val="22"/>
              </w:rPr>
              <w:t xml:space="preserve"> work to bring about the desired change? </w:t>
            </w:r>
            <w:r w:rsidR="00B96523">
              <w:rPr>
                <w:b/>
                <w:szCs w:val="22"/>
              </w:rPr>
              <w:t xml:space="preserve">Why is this the </w:t>
            </w:r>
            <w:r w:rsidR="00E33E87">
              <w:rPr>
                <w:b/>
                <w:szCs w:val="22"/>
              </w:rPr>
              <w:t>preferred</w:t>
            </w:r>
            <w:r w:rsidR="00B96523">
              <w:rPr>
                <w:b/>
                <w:szCs w:val="22"/>
              </w:rPr>
              <w:t xml:space="preserve"> option? Why is it feasible?</w:t>
            </w:r>
            <w:r w:rsidR="009C6559">
              <w:rPr>
                <w:b/>
                <w:szCs w:val="22"/>
              </w:rPr>
              <w:t xml:space="preserve"> Is the preferred approach likely to be reflected in the Cabinet paper?</w:t>
            </w:r>
          </w:p>
        </w:tc>
      </w:tr>
      <w:tr w:rsidR="0062657E" w:rsidRPr="007B090A" w14:paraId="2C3BA4D9" w14:textId="77777777" w:rsidTr="001B3F24">
        <w:trPr>
          <w:trHeight w:val="6851"/>
        </w:trPr>
        <w:tc>
          <w:tcPr>
            <w:tcW w:w="9076" w:type="dxa"/>
            <w:shd w:val="clear" w:color="auto" w:fill="FFFFFF"/>
          </w:tcPr>
          <w:p w14:paraId="230F51E2" w14:textId="373397FF" w:rsidR="0062657E" w:rsidRDefault="0062657E" w:rsidP="00B6066D">
            <w:pPr>
              <w:spacing w:after="0"/>
            </w:pPr>
          </w:p>
          <w:p w14:paraId="515AD525" w14:textId="17FFE670" w:rsidR="00B6066D" w:rsidRDefault="00B6066D" w:rsidP="00B6066D">
            <w:pPr>
              <w:spacing w:after="0"/>
            </w:pPr>
            <w:r>
              <w:t xml:space="preserve">The proposal is for a </w:t>
            </w:r>
            <w:r w:rsidR="00DA5580">
              <w:t>new marginal</w:t>
            </w:r>
            <w:r>
              <w:t xml:space="preserve"> tax rate and threshold to raise the top personal income tax rate. The options identified in this </w:t>
            </w:r>
            <w:r w:rsidR="00914CEC">
              <w:t xml:space="preserve">Impact Statement </w:t>
            </w:r>
            <w:r w:rsidR="007D18A5">
              <w:t xml:space="preserve">analyse the </w:t>
            </w:r>
            <w:r w:rsidR="00B25D9C">
              <w:t xml:space="preserve">other </w:t>
            </w:r>
            <w:r w:rsidR="007D18A5">
              <w:t xml:space="preserve">potential changes that could be made </w:t>
            </w:r>
            <w:r w:rsidR="00207F3F">
              <w:t>to complement and/or buttress the introduction of a 39</w:t>
            </w:r>
            <w:r w:rsidR="005D146C">
              <w:t xml:space="preserve"> percent</w:t>
            </w:r>
            <w:r w:rsidR="00207F3F">
              <w:t xml:space="preserve"> tax rate on income exceeding $180,000. </w:t>
            </w:r>
          </w:p>
          <w:p w14:paraId="33957CDB" w14:textId="3FCB7A07" w:rsidR="000846C1" w:rsidRPr="001A5706" w:rsidRDefault="00CD2068" w:rsidP="00B6066D">
            <w:pPr>
              <w:spacing w:after="0"/>
              <w:rPr>
                <w:b/>
              </w:rPr>
            </w:pPr>
            <w:r>
              <w:rPr>
                <w:b/>
                <w:bCs/>
              </w:rPr>
              <w:br/>
              <w:t>Op</w:t>
            </w:r>
            <w:r w:rsidR="00F51724">
              <w:rPr>
                <w:b/>
                <w:bCs/>
              </w:rPr>
              <w:t xml:space="preserve">tion 5 </w:t>
            </w:r>
            <w:r w:rsidR="00130298">
              <w:t>is for</w:t>
            </w:r>
            <w:r w:rsidR="00026FF3">
              <w:t xml:space="preserve"> the </w:t>
            </w:r>
            <w:r w:rsidR="001B17EE">
              <w:t>39</w:t>
            </w:r>
            <w:r w:rsidR="005D146C">
              <w:t xml:space="preserve"> percent</w:t>
            </w:r>
            <w:r w:rsidR="00660A6D">
              <w:t xml:space="preserve"> personal</w:t>
            </w:r>
            <w:r w:rsidR="001B17EE">
              <w:t xml:space="preserve"> rate to be implemented alongside </w:t>
            </w:r>
            <w:r w:rsidR="007640EC">
              <w:t xml:space="preserve">a </w:t>
            </w:r>
            <w:r w:rsidR="001B17EE">
              <w:t>corresponding increase in the trustee</w:t>
            </w:r>
            <w:r w:rsidR="00AE0051">
              <w:t xml:space="preserve"> income tax</w:t>
            </w:r>
            <w:r w:rsidR="001B17EE">
              <w:t xml:space="preserve"> rate</w:t>
            </w:r>
            <w:r w:rsidR="00E449AF">
              <w:t xml:space="preserve"> (the trustee rate)</w:t>
            </w:r>
            <w:r w:rsidR="001B17EE">
              <w:t xml:space="preserve"> </w:t>
            </w:r>
            <w:r w:rsidR="001B17EE" w:rsidRPr="00650426">
              <w:t>and</w:t>
            </w:r>
            <w:r w:rsidR="00285E1E">
              <w:t xml:space="preserve"> with</w:t>
            </w:r>
            <w:r w:rsidR="001B17EE" w:rsidRPr="00650426">
              <w:t xml:space="preserve"> </w:t>
            </w:r>
            <w:r w:rsidR="0014451A">
              <w:t>consideration of integrity measures</w:t>
            </w:r>
            <w:r w:rsidR="00DA4400">
              <w:t>,</w:t>
            </w:r>
            <w:r w:rsidR="0014451A">
              <w:t xml:space="preserve"> </w:t>
            </w:r>
            <w:r w:rsidR="00210CB9" w:rsidRPr="00210CB9">
              <w:rPr>
                <w:shd w:val="clear" w:color="auto" w:fill="BFBFBF" w:themeFill="background1" w:themeFillShade="BF"/>
              </w:rPr>
              <w:t>s 9(2)(f)(iv)</w:t>
            </w:r>
            <w:r w:rsidR="00EC1F53" w:rsidRPr="00210CB9">
              <w:rPr>
                <w:color w:val="BFBFBF" w:themeColor="background1" w:themeShade="BF"/>
                <w:shd w:val="clear" w:color="auto" w:fill="BFBFBF" w:themeFill="background1" w:themeFillShade="BF"/>
              </w:rPr>
              <w:t>…………………………………………………………………</w:t>
            </w:r>
            <w:r w:rsidR="00210CB9" w:rsidRPr="00210CB9">
              <w:rPr>
                <w:color w:val="BFBFBF" w:themeColor="background1" w:themeShade="BF"/>
                <w:shd w:val="clear" w:color="auto" w:fill="BFBFBF" w:themeFill="background1" w:themeFillShade="BF"/>
              </w:rPr>
              <w:t>……………</w:t>
            </w:r>
            <w:r w:rsidR="00DA4400">
              <w:t>,</w:t>
            </w:r>
            <w:r w:rsidR="0014451A">
              <w:t xml:space="preserve"> over the next year</w:t>
            </w:r>
            <w:r w:rsidR="003515BA">
              <w:t>.</w:t>
            </w:r>
            <w:r w:rsidR="00F51724">
              <w:t xml:space="preserve"> This is Inland Revenue’s preferred option</w:t>
            </w:r>
            <w:r w:rsidR="007640EC">
              <w:t>.</w:t>
            </w:r>
          </w:p>
          <w:p w14:paraId="2D178CBC" w14:textId="7B7ED120" w:rsidR="009E4A0A" w:rsidRDefault="009E4A0A" w:rsidP="00B6066D">
            <w:pPr>
              <w:spacing w:after="0"/>
            </w:pPr>
          </w:p>
          <w:p w14:paraId="56457DB1" w14:textId="2EAE7F0A" w:rsidR="00C41937" w:rsidRDefault="009E4A0A" w:rsidP="007221B2">
            <w:pPr>
              <w:spacing w:after="0"/>
            </w:pPr>
            <w:r>
              <w:t xml:space="preserve">This is the preferred option as it will </w:t>
            </w:r>
            <w:r w:rsidR="00A90B2E">
              <w:t>reduce opportunities to avoid</w:t>
            </w:r>
            <w:r w:rsidR="001A1C72">
              <w:t xml:space="preserve"> the 39</w:t>
            </w:r>
            <w:r w:rsidR="005D146C">
              <w:t xml:space="preserve"> percent</w:t>
            </w:r>
            <w:r w:rsidR="001A1C72">
              <w:t xml:space="preserve"> personal income tax rate</w:t>
            </w:r>
            <w:r w:rsidR="00270AA2">
              <w:t xml:space="preserve"> through the use of </w:t>
            </w:r>
            <w:r w:rsidR="00DA4400">
              <w:t>trusts</w:t>
            </w:r>
            <w:r w:rsidR="001A1C72">
              <w:t>.</w:t>
            </w:r>
            <w:r w:rsidR="00EA6BAE">
              <w:t xml:space="preserve"> For example, </w:t>
            </w:r>
            <w:r w:rsidR="00345DA9">
              <w:t xml:space="preserve">without increasing the trustee rate, income can be </w:t>
            </w:r>
            <w:r w:rsidR="00FC6DBE">
              <w:t>taxed in</w:t>
            </w:r>
            <w:r w:rsidR="00971672">
              <w:t xml:space="preserve"> a trust</w:t>
            </w:r>
            <w:r w:rsidR="00345DA9">
              <w:t xml:space="preserve"> at a rate of 33 percent and then distributed tax-free to a beneficiary of the trust. </w:t>
            </w:r>
            <w:r w:rsidR="0064407C">
              <w:t xml:space="preserve">Increasing the trustee rate eliminates this possibility for stepping around the 39 percent rate. </w:t>
            </w:r>
          </w:p>
          <w:p w14:paraId="21C80A17" w14:textId="77777777" w:rsidR="00C41937" w:rsidRDefault="00C41937" w:rsidP="007221B2">
            <w:pPr>
              <w:spacing w:after="0"/>
            </w:pPr>
          </w:p>
          <w:p w14:paraId="2D50194D" w14:textId="1F4C1EA8" w:rsidR="00475885" w:rsidRDefault="00306FAC" w:rsidP="00270158">
            <w:pPr>
              <w:shd w:val="clear" w:color="auto" w:fill="BFBFBF" w:themeFill="background1" w:themeFillShade="BF"/>
              <w:spacing w:after="0" w:line="240" w:lineRule="auto"/>
            </w:pPr>
            <w:r>
              <w:t>s 9(2)(f)(iv)</w:t>
            </w:r>
            <w:r w:rsidRPr="00270158">
              <w:rPr>
                <w:color w:val="BFBFBF" w:themeColor="background1" w:themeShade="BF"/>
              </w:rPr>
              <w:t>…………………………………………………………………………………………….</w:t>
            </w:r>
            <w:r w:rsidRPr="00270158">
              <w:rPr>
                <w:color w:val="BFBFBF" w:themeColor="background1" w:themeShade="BF"/>
              </w:rPr>
              <w:br/>
            </w:r>
            <w:r w:rsidR="00270158" w:rsidRPr="00270158">
              <w:rPr>
                <w:color w:val="BFBFBF" w:themeColor="background1" w:themeShade="BF"/>
              </w:rPr>
              <w:t>……………………………………………………………………………………………</w:t>
            </w:r>
            <w:r w:rsidR="00270158" w:rsidRPr="00270158">
              <w:rPr>
                <w:color w:val="BFBFBF" w:themeColor="background1" w:themeShade="BF"/>
              </w:rPr>
              <w:t>…………….</w:t>
            </w:r>
            <w:r w:rsidRPr="00270158">
              <w:rPr>
                <w:color w:val="BFBFBF" w:themeColor="background1" w:themeShade="BF"/>
              </w:rPr>
              <w:br/>
            </w:r>
            <w:r w:rsidR="00270158" w:rsidRPr="00270158">
              <w:rPr>
                <w:color w:val="BFBFBF" w:themeColor="background1" w:themeShade="BF"/>
              </w:rPr>
              <w:t>………………………………………………………………………………………………………….</w:t>
            </w:r>
            <w:r w:rsidRPr="00270158">
              <w:rPr>
                <w:color w:val="BFBFBF" w:themeColor="background1" w:themeShade="BF"/>
              </w:rPr>
              <w:br/>
            </w:r>
            <w:r w:rsidR="00270158" w:rsidRPr="00270158">
              <w:rPr>
                <w:color w:val="BFBFBF" w:themeColor="background1" w:themeShade="BF"/>
              </w:rPr>
              <w:t>………………………………………………………………………………………………………….</w:t>
            </w:r>
          </w:p>
          <w:p w14:paraId="3FFAA4A8" w14:textId="77777777" w:rsidR="00270158" w:rsidRDefault="00270158" w:rsidP="007221B2">
            <w:pPr>
              <w:spacing w:after="0"/>
            </w:pPr>
          </w:p>
          <w:p w14:paraId="4E1C8501" w14:textId="69D6F0E3" w:rsidR="007221B2" w:rsidRPr="008F3488" w:rsidRDefault="00C9541B" w:rsidP="007221B2">
            <w:pPr>
              <w:spacing w:after="0"/>
            </w:pPr>
            <w:r>
              <w:t>Alignment of the top personal income tax rate</w:t>
            </w:r>
            <w:r w:rsidR="00572A59">
              <w:t xml:space="preserve"> and</w:t>
            </w:r>
            <w:r>
              <w:t xml:space="preserve"> the trustee rate, </w:t>
            </w:r>
            <w:r w:rsidR="007221B2">
              <w:t xml:space="preserve">with integrity measures </w:t>
            </w:r>
            <w:r w:rsidR="00FC6DBE">
              <w:t>being investigated over the next year</w:t>
            </w:r>
            <w:r w:rsidR="00572A59">
              <w:t>,</w:t>
            </w:r>
            <w:r w:rsidR="007221B2">
              <w:t xml:space="preserve"> will ensure that both the </w:t>
            </w:r>
            <w:r w:rsidR="007221B2">
              <w:rPr>
                <w:b/>
                <w:bCs/>
              </w:rPr>
              <w:t xml:space="preserve">revenue objective </w:t>
            </w:r>
            <w:r w:rsidR="007221B2">
              <w:t xml:space="preserve">and the </w:t>
            </w:r>
            <w:r w:rsidR="007221B2">
              <w:rPr>
                <w:b/>
                <w:bCs/>
              </w:rPr>
              <w:t>distributional objective</w:t>
            </w:r>
            <w:r w:rsidR="007221B2">
              <w:t xml:space="preserve"> are best met when introducing a new top personal income tax rate.</w:t>
            </w:r>
          </w:p>
          <w:p w14:paraId="20785675" w14:textId="53775A47" w:rsidR="00601882" w:rsidRDefault="00601882" w:rsidP="00601882">
            <w:pPr>
              <w:spacing w:after="0"/>
            </w:pPr>
          </w:p>
          <w:p w14:paraId="4E109103" w14:textId="5B67A327" w:rsidR="00090A01" w:rsidRDefault="00BB53FD" w:rsidP="00601882">
            <w:pPr>
              <w:spacing w:after="0"/>
            </w:pPr>
            <w:r w:rsidRPr="00BB53FD">
              <w:rPr>
                <w:b/>
                <w:bCs/>
              </w:rPr>
              <w:t>Option 4</w:t>
            </w:r>
            <w:r>
              <w:t>, which i</w:t>
            </w:r>
            <w:r w:rsidR="00090A01">
              <w:t>ncreas</w:t>
            </w:r>
            <w:r>
              <w:t>es</w:t>
            </w:r>
            <w:r w:rsidR="00090A01">
              <w:t xml:space="preserve"> the</w:t>
            </w:r>
            <w:r w:rsidR="000934E9">
              <w:t xml:space="preserve"> top</w:t>
            </w:r>
            <w:r w:rsidR="00090A01">
              <w:t xml:space="preserve"> personal rate without increasing the trustee rate but </w:t>
            </w:r>
            <w:r w:rsidR="00DA4400">
              <w:t xml:space="preserve">involves consideration of </w:t>
            </w:r>
            <w:r w:rsidR="00180A67">
              <w:t>integrity measures</w:t>
            </w:r>
            <w:r>
              <w:t>,</w:t>
            </w:r>
            <w:r w:rsidR="00180A67">
              <w:t xml:space="preserve"> will be less effective</w:t>
            </w:r>
            <w:r>
              <w:t xml:space="preserve"> than </w:t>
            </w:r>
            <w:r w:rsidRPr="00BB53FD">
              <w:rPr>
                <w:b/>
                <w:bCs/>
              </w:rPr>
              <w:t>Option 5</w:t>
            </w:r>
            <w:r w:rsidR="00180A67">
              <w:t xml:space="preserve"> at preventing structuring activity with the purpose of avoiding the top </w:t>
            </w:r>
            <w:r w:rsidR="00B065C3">
              <w:t>tax rate due to continuing misalignment of tax rates</w:t>
            </w:r>
            <w:r>
              <w:t>.</w:t>
            </w:r>
          </w:p>
          <w:p w14:paraId="3B500583" w14:textId="77777777" w:rsidR="00724731" w:rsidRDefault="00724731" w:rsidP="00B6066D">
            <w:pPr>
              <w:spacing w:after="0"/>
            </w:pPr>
          </w:p>
          <w:p w14:paraId="3DF15485" w14:textId="642029B0" w:rsidR="0062657E" w:rsidRDefault="00485023" w:rsidP="007B090A">
            <w:pPr>
              <w:pStyle w:val="TableText"/>
              <w:spacing w:before="0" w:after="0" w:line="276" w:lineRule="auto"/>
              <w:rPr>
                <w:sz w:val="22"/>
              </w:rPr>
            </w:pPr>
            <w:r w:rsidRPr="007640EC">
              <w:rPr>
                <w:sz w:val="22"/>
              </w:rPr>
              <w:t xml:space="preserve">Inland Revenue expects </w:t>
            </w:r>
            <w:r w:rsidRPr="007640EC">
              <w:rPr>
                <w:b/>
                <w:bCs/>
                <w:sz w:val="22"/>
              </w:rPr>
              <w:t xml:space="preserve">Option 4 </w:t>
            </w:r>
            <w:r w:rsidRPr="007640EC">
              <w:rPr>
                <w:sz w:val="22"/>
              </w:rPr>
              <w:t xml:space="preserve">and </w:t>
            </w:r>
            <w:r w:rsidRPr="007640EC">
              <w:rPr>
                <w:b/>
                <w:bCs/>
                <w:sz w:val="22"/>
              </w:rPr>
              <w:t xml:space="preserve">Option 5 </w:t>
            </w:r>
            <w:r w:rsidRPr="007640EC">
              <w:rPr>
                <w:sz w:val="22"/>
              </w:rPr>
              <w:t>to be raised in the Cabinet paper as alternative options</w:t>
            </w:r>
            <w:r w:rsidR="001B3F24">
              <w:rPr>
                <w:sz w:val="22"/>
              </w:rPr>
              <w:t xml:space="preserve">, with </w:t>
            </w:r>
            <w:r w:rsidR="0030630E">
              <w:rPr>
                <w:sz w:val="22"/>
              </w:rPr>
              <w:t xml:space="preserve">timing </w:t>
            </w:r>
            <w:r w:rsidR="001B3F24">
              <w:rPr>
                <w:sz w:val="22"/>
              </w:rPr>
              <w:t>variation</w:t>
            </w:r>
            <w:r w:rsidR="00C30908">
              <w:rPr>
                <w:sz w:val="22"/>
              </w:rPr>
              <w:t xml:space="preserve"> options</w:t>
            </w:r>
            <w:r w:rsidR="001B3F24">
              <w:rPr>
                <w:sz w:val="22"/>
              </w:rPr>
              <w:t xml:space="preserve"> </w:t>
            </w:r>
            <w:r w:rsidR="00C30908">
              <w:rPr>
                <w:sz w:val="22"/>
              </w:rPr>
              <w:t xml:space="preserve">for raising the trustee rate </w:t>
            </w:r>
            <w:r w:rsidR="001B3F24">
              <w:rPr>
                <w:sz w:val="22"/>
              </w:rPr>
              <w:t>also being presented</w:t>
            </w:r>
            <w:r w:rsidRPr="007640EC">
              <w:rPr>
                <w:sz w:val="22"/>
              </w:rPr>
              <w:t xml:space="preserve">. Inland Revenue’s preferred approach is </w:t>
            </w:r>
            <w:r w:rsidRPr="00C96448">
              <w:rPr>
                <w:b/>
                <w:bCs/>
                <w:sz w:val="22"/>
              </w:rPr>
              <w:t>Option 5</w:t>
            </w:r>
            <w:r w:rsidRPr="00C96448">
              <w:rPr>
                <w:sz w:val="22"/>
              </w:rPr>
              <w:t xml:space="preserve">. </w:t>
            </w:r>
          </w:p>
          <w:p w14:paraId="1DC51176" w14:textId="06BA8E4A" w:rsidR="00115028" w:rsidRPr="007B090A" w:rsidRDefault="00115028" w:rsidP="007B090A">
            <w:pPr>
              <w:pStyle w:val="TableText"/>
              <w:spacing w:before="0" w:after="0" w:line="276" w:lineRule="auto"/>
              <w:rPr>
                <w:sz w:val="22"/>
              </w:rPr>
            </w:pPr>
          </w:p>
        </w:tc>
      </w:tr>
    </w:tbl>
    <w:p w14:paraId="7527EE29" w14:textId="77777777" w:rsidR="00860A1E" w:rsidRPr="00143420" w:rsidRDefault="00860A1E" w:rsidP="00860A1E">
      <w:pPr>
        <w:pStyle w:val="spacer"/>
        <w:spacing w:line="276" w:lineRule="auto"/>
        <w:rPr>
          <w:sz w:val="22"/>
        </w:rPr>
      </w:pPr>
    </w:p>
    <w:p w14:paraId="40ADE79B" w14:textId="6D872874" w:rsidR="0062657E" w:rsidRPr="00B2239E" w:rsidRDefault="0062657E" w:rsidP="00725E30">
      <w:pPr>
        <w:pStyle w:val="Heading2"/>
      </w:pPr>
      <w:r w:rsidRPr="00B2239E">
        <w:t>Section B</w:t>
      </w:r>
      <w:r w:rsidR="00B2239E">
        <w:t xml:space="preserve">: </w:t>
      </w:r>
      <w:r w:rsidRPr="00B2239E">
        <w:t xml:space="preserve">Summary Impacts: Benefits and costs </w:t>
      </w:r>
    </w:p>
    <w:tbl>
      <w:tblPr>
        <w:tblW w:w="9157"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57"/>
      </w:tblGrid>
      <w:tr w:rsidR="00210C3D" w:rsidRPr="00210C3D" w14:paraId="5494C4FF" w14:textId="77777777" w:rsidTr="009B1BBC">
        <w:trPr>
          <w:trHeight w:val="197"/>
        </w:trPr>
        <w:tc>
          <w:tcPr>
            <w:tcW w:w="9157" w:type="dxa"/>
            <w:shd w:val="clear" w:color="auto" w:fill="99CDDD"/>
          </w:tcPr>
          <w:p w14:paraId="6A9AED76" w14:textId="02E66F4B" w:rsidR="0062657E" w:rsidRPr="00210C3D" w:rsidRDefault="0062657E" w:rsidP="006356D0">
            <w:pPr>
              <w:keepNext/>
              <w:spacing w:before="60" w:after="60" w:line="240" w:lineRule="auto"/>
              <w:rPr>
                <w:rFonts w:ascii="Arial Narrow" w:hAnsi="Arial Narrow"/>
                <w:b/>
                <w:i/>
                <w:szCs w:val="22"/>
              </w:rPr>
            </w:pPr>
            <w:r w:rsidRPr="00210C3D">
              <w:rPr>
                <w:b/>
                <w:szCs w:val="22"/>
              </w:rPr>
              <w:t>Who are the main expected beneficiaries</w:t>
            </w:r>
            <w:r w:rsidR="006C684F">
              <w:rPr>
                <w:b/>
                <w:szCs w:val="22"/>
              </w:rPr>
              <w:t xml:space="preserve"> </w:t>
            </w:r>
            <w:r w:rsidRPr="00210C3D">
              <w:rPr>
                <w:b/>
                <w:szCs w:val="22"/>
              </w:rPr>
              <w:t>and what is the nature of the expected benefit?</w:t>
            </w:r>
          </w:p>
        </w:tc>
      </w:tr>
      <w:tr w:rsidR="00210C3D" w:rsidRPr="00210C3D" w14:paraId="63E1AEA7" w14:textId="77777777" w:rsidTr="009B1BBC">
        <w:trPr>
          <w:trHeight w:val="699"/>
        </w:trPr>
        <w:tc>
          <w:tcPr>
            <w:tcW w:w="9157" w:type="dxa"/>
            <w:shd w:val="clear" w:color="auto" w:fill="FFFFFF"/>
          </w:tcPr>
          <w:p w14:paraId="054E0787" w14:textId="11888C11" w:rsidR="00F61A0F" w:rsidRDefault="00F61A0F" w:rsidP="00210C3D">
            <w:pPr>
              <w:pStyle w:val="TableText"/>
              <w:spacing w:before="0" w:after="0" w:line="276" w:lineRule="auto"/>
              <w:rPr>
                <w:sz w:val="22"/>
              </w:rPr>
            </w:pPr>
            <w:r>
              <w:rPr>
                <w:sz w:val="22"/>
              </w:rPr>
              <w:t xml:space="preserve">In general, all taxpayers not </w:t>
            </w:r>
            <w:r w:rsidR="001B207B">
              <w:rPr>
                <w:sz w:val="22"/>
              </w:rPr>
              <w:t>subject to</w:t>
            </w:r>
            <w:r>
              <w:rPr>
                <w:sz w:val="22"/>
              </w:rPr>
              <w:t xml:space="preserve"> a new top personal income tax rate will benefit from</w:t>
            </w:r>
            <w:r w:rsidR="00BD58E5">
              <w:rPr>
                <w:sz w:val="22"/>
              </w:rPr>
              <w:t xml:space="preserve"> higher government expenditure or</w:t>
            </w:r>
            <w:r>
              <w:rPr>
                <w:sz w:val="22"/>
              </w:rPr>
              <w:t xml:space="preserve"> lower expected tax rates </w:t>
            </w:r>
            <w:r w:rsidR="000E7FB7">
              <w:rPr>
                <w:sz w:val="22"/>
              </w:rPr>
              <w:t>on their income</w:t>
            </w:r>
            <w:r>
              <w:rPr>
                <w:sz w:val="22"/>
              </w:rPr>
              <w:t xml:space="preserve"> in the future.</w:t>
            </w:r>
          </w:p>
          <w:p w14:paraId="5A6ED73E" w14:textId="77777777" w:rsidR="00F61A0F" w:rsidRDefault="00F61A0F" w:rsidP="00210C3D">
            <w:pPr>
              <w:pStyle w:val="TableText"/>
              <w:spacing w:before="0" w:after="0" w:line="276" w:lineRule="auto"/>
              <w:rPr>
                <w:sz w:val="22"/>
              </w:rPr>
            </w:pPr>
          </w:p>
          <w:p w14:paraId="5908D663" w14:textId="53C64D00" w:rsidR="00F61A0F" w:rsidRDefault="00BD58E5" w:rsidP="00210C3D">
            <w:pPr>
              <w:pStyle w:val="TableText"/>
              <w:spacing w:before="0" w:after="0" w:line="276" w:lineRule="auto"/>
              <w:rPr>
                <w:sz w:val="22"/>
              </w:rPr>
            </w:pPr>
            <w:r>
              <w:rPr>
                <w:sz w:val="22"/>
              </w:rPr>
              <w:t xml:space="preserve">Assuming </w:t>
            </w:r>
            <w:r w:rsidR="00BE54AD">
              <w:rPr>
                <w:b/>
                <w:bCs/>
                <w:sz w:val="22"/>
              </w:rPr>
              <w:t>O</w:t>
            </w:r>
            <w:r w:rsidRPr="00BE54AD">
              <w:rPr>
                <w:b/>
                <w:bCs/>
                <w:sz w:val="22"/>
              </w:rPr>
              <w:t>ption</w:t>
            </w:r>
            <w:r w:rsidRPr="00C96448">
              <w:rPr>
                <w:b/>
                <w:bCs/>
                <w:sz w:val="22"/>
              </w:rPr>
              <w:t xml:space="preserve"> 2</w:t>
            </w:r>
            <w:r w:rsidR="00DA4400">
              <w:rPr>
                <w:sz w:val="22"/>
              </w:rPr>
              <w:t xml:space="preserve"> (raising the top personal rate with no change to the trustee rate)</w:t>
            </w:r>
            <w:r>
              <w:rPr>
                <w:sz w:val="22"/>
              </w:rPr>
              <w:t>, t</w:t>
            </w:r>
            <w:r w:rsidR="00860DC2">
              <w:rPr>
                <w:sz w:val="22"/>
              </w:rPr>
              <w:t>he introduction of a new</w:t>
            </w:r>
            <w:r w:rsidR="007B6C6F">
              <w:rPr>
                <w:sz w:val="22"/>
              </w:rPr>
              <w:t xml:space="preserve"> top personal </w:t>
            </w:r>
            <w:r w:rsidR="00F83501">
              <w:rPr>
                <w:sz w:val="22"/>
              </w:rPr>
              <w:t>income tax rate will generate more revenue for the Government</w:t>
            </w:r>
            <w:r w:rsidR="0043134C">
              <w:rPr>
                <w:sz w:val="22"/>
              </w:rPr>
              <w:t xml:space="preserve">. This is likely to be used to </w:t>
            </w:r>
            <w:r w:rsidR="000327B0">
              <w:rPr>
                <w:sz w:val="22"/>
              </w:rPr>
              <w:t xml:space="preserve">reduce the fiscal impact of higher operating allowances proposed in the Government’s fiscal strategy. </w:t>
            </w:r>
          </w:p>
          <w:p w14:paraId="55DBEFF0" w14:textId="77777777" w:rsidR="00F61A0F" w:rsidRDefault="00F61A0F" w:rsidP="00210C3D">
            <w:pPr>
              <w:pStyle w:val="TableText"/>
              <w:spacing w:before="0" w:after="0" w:line="276" w:lineRule="auto"/>
              <w:rPr>
                <w:sz w:val="22"/>
              </w:rPr>
            </w:pPr>
          </w:p>
          <w:p w14:paraId="53DD6B3D" w14:textId="65FB9121" w:rsidR="00D442E9" w:rsidRDefault="00572382" w:rsidP="00210C3D">
            <w:pPr>
              <w:pStyle w:val="TableText"/>
              <w:spacing w:before="0" w:after="0" w:line="276" w:lineRule="auto"/>
              <w:rPr>
                <w:sz w:val="22"/>
              </w:rPr>
            </w:pPr>
            <w:r>
              <w:rPr>
                <w:sz w:val="22"/>
              </w:rPr>
              <w:t>Introducing a new top personal rate of 39</w:t>
            </w:r>
            <w:r w:rsidR="002E1950">
              <w:rPr>
                <w:sz w:val="22"/>
              </w:rPr>
              <w:t xml:space="preserve"> percent</w:t>
            </w:r>
            <w:r>
              <w:rPr>
                <w:sz w:val="22"/>
              </w:rPr>
              <w:t xml:space="preserve"> </w:t>
            </w:r>
            <w:r w:rsidR="00942595">
              <w:rPr>
                <w:sz w:val="22"/>
              </w:rPr>
              <w:t>applying to income over $180,000</w:t>
            </w:r>
            <w:r w:rsidR="00F034DC">
              <w:rPr>
                <w:sz w:val="22"/>
              </w:rPr>
              <w:t xml:space="preserve"> (without any other changes to tax settings)</w:t>
            </w:r>
            <w:r w:rsidR="00942595">
              <w:rPr>
                <w:sz w:val="22"/>
              </w:rPr>
              <w:t xml:space="preserve"> is expected to raise $2.22</w:t>
            </w:r>
            <w:r w:rsidR="002E1950">
              <w:rPr>
                <w:sz w:val="22"/>
              </w:rPr>
              <w:t xml:space="preserve"> </w:t>
            </w:r>
            <w:r w:rsidR="00942595">
              <w:rPr>
                <w:sz w:val="22"/>
              </w:rPr>
              <w:t>b</w:t>
            </w:r>
            <w:r w:rsidR="002E1950">
              <w:rPr>
                <w:sz w:val="22"/>
              </w:rPr>
              <w:t>illion</w:t>
            </w:r>
            <w:r w:rsidR="00942595">
              <w:rPr>
                <w:sz w:val="22"/>
              </w:rPr>
              <w:t xml:space="preserve"> over the forecast period</w:t>
            </w:r>
            <w:r w:rsidR="00342A85">
              <w:rPr>
                <w:sz w:val="22"/>
              </w:rPr>
              <w:t xml:space="preserve"> as shown in </w:t>
            </w:r>
            <w:r w:rsidR="00342A85" w:rsidRPr="00A35147">
              <w:rPr>
                <w:b/>
                <w:bCs/>
                <w:sz w:val="22"/>
              </w:rPr>
              <w:t>Table 1</w:t>
            </w:r>
            <w:r w:rsidR="00942595">
              <w:rPr>
                <w:sz w:val="22"/>
              </w:rPr>
              <w:t>:</w:t>
            </w:r>
          </w:p>
          <w:p w14:paraId="7EFB8F27" w14:textId="77777777" w:rsidR="001B3F24" w:rsidRDefault="001B3F24" w:rsidP="00210C3D">
            <w:pPr>
              <w:pStyle w:val="TableText"/>
              <w:spacing w:before="0" w:after="0" w:line="276" w:lineRule="auto"/>
              <w:rPr>
                <w:sz w:val="22"/>
              </w:rPr>
            </w:pPr>
          </w:p>
          <w:p w14:paraId="7EB72541" w14:textId="0CA16DD0" w:rsidR="00342A85" w:rsidRPr="00BA18D7" w:rsidRDefault="00342A85" w:rsidP="00210C3D">
            <w:pPr>
              <w:pStyle w:val="TableText"/>
              <w:spacing w:before="0" w:after="0" w:line="276" w:lineRule="auto"/>
              <w:rPr>
                <w:b/>
                <w:bCs/>
                <w:sz w:val="22"/>
              </w:rPr>
            </w:pPr>
            <w:r w:rsidRPr="00BA18D7">
              <w:rPr>
                <w:b/>
                <w:bCs/>
                <w:sz w:val="22"/>
              </w:rPr>
              <w:t>Table 1: Estimate</w:t>
            </w:r>
            <w:r w:rsidR="00145070">
              <w:rPr>
                <w:b/>
                <w:bCs/>
                <w:sz w:val="22"/>
              </w:rPr>
              <w:t>d revenue from a 39 percent tax rate on income above $180,000</w:t>
            </w:r>
            <w:r w:rsidR="00145070">
              <w:rPr>
                <w:rStyle w:val="FootnoteReference"/>
                <w:b/>
                <w:bCs/>
              </w:rPr>
              <w:footnoteReference w:id="3"/>
            </w:r>
          </w:p>
          <w:p w14:paraId="33454B7E" w14:textId="77777777" w:rsidR="00342A85" w:rsidRDefault="00342A85" w:rsidP="00210C3D">
            <w:pPr>
              <w:pStyle w:val="TableText"/>
              <w:spacing w:before="0" w:after="0" w:line="276" w:lineRule="auto"/>
              <w:rPr>
                <w:sz w:val="22"/>
              </w:rPr>
            </w:pPr>
          </w:p>
          <w:tbl>
            <w:tblPr>
              <w:tblStyle w:val="TableGrid"/>
              <w:tblW w:w="8931" w:type="dxa"/>
              <w:jc w:val="center"/>
              <w:tblLook w:val="04A0" w:firstRow="1" w:lastRow="0" w:firstColumn="1" w:lastColumn="0" w:noHBand="0" w:noVBand="1"/>
            </w:tblPr>
            <w:tblGrid>
              <w:gridCol w:w="2037"/>
              <w:gridCol w:w="1022"/>
              <w:gridCol w:w="1023"/>
              <w:gridCol w:w="1023"/>
              <w:gridCol w:w="1023"/>
              <w:gridCol w:w="1023"/>
              <w:gridCol w:w="1780"/>
            </w:tblGrid>
            <w:tr w:rsidR="00E2705D" w14:paraId="43E4BDFC" w14:textId="77777777" w:rsidTr="000F2498">
              <w:trPr>
                <w:cantSplit/>
                <w:trHeight w:val="627"/>
                <w:tblHeader/>
                <w:jc w:val="center"/>
              </w:trPr>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F0E4C" w14:textId="77777777" w:rsidR="00E2705D" w:rsidRDefault="00E2705D" w:rsidP="00E2705D">
                  <w:pPr>
                    <w:spacing w:after="0"/>
                    <w:jc w:val="center"/>
                    <w:rPr>
                      <w:rFonts w:ascii="Verdana" w:hAnsi="Verdana"/>
                      <w:b/>
                      <w:sz w:val="20"/>
                      <w:lang w:val="en-NZ" w:eastAsia="en-NZ"/>
                    </w:rPr>
                  </w:pPr>
                  <w:r>
                    <w:rPr>
                      <w:b/>
                      <w:sz w:val="20"/>
                      <w:lang w:eastAsia="en-NZ"/>
                    </w:rPr>
                    <w:t>Fiscal year</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462BC" w14:textId="77777777" w:rsidR="00E2705D" w:rsidRDefault="00E2705D" w:rsidP="00E2705D">
                  <w:pPr>
                    <w:spacing w:after="0" w:line="240" w:lineRule="auto"/>
                    <w:jc w:val="center"/>
                    <w:rPr>
                      <w:b/>
                      <w:bCs/>
                      <w:sz w:val="19"/>
                      <w:szCs w:val="19"/>
                      <w:lang w:val="en-AU" w:eastAsia="en-NZ"/>
                    </w:rPr>
                  </w:pPr>
                  <w:r>
                    <w:rPr>
                      <w:b/>
                      <w:bCs/>
                      <w:sz w:val="19"/>
                      <w:szCs w:val="19"/>
                      <w:lang w:eastAsia="en-NZ"/>
                    </w:rPr>
                    <w:t>2020/21</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C9A11" w14:textId="77777777" w:rsidR="00E2705D" w:rsidRDefault="00E2705D" w:rsidP="00E2705D">
                  <w:pPr>
                    <w:spacing w:after="0" w:line="240" w:lineRule="auto"/>
                    <w:jc w:val="center"/>
                    <w:rPr>
                      <w:b/>
                      <w:bCs/>
                      <w:sz w:val="19"/>
                      <w:szCs w:val="19"/>
                      <w:lang w:val="en-AU" w:eastAsia="en-NZ"/>
                    </w:rPr>
                  </w:pPr>
                  <w:r>
                    <w:rPr>
                      <w:b/>
                      <w:bCs/>
                      <w:sz w:val="19"/>
                      <w:szCs w:val="19"/>
                      <w:lang w:eastAsia="en-NZ"/>
                    </w:rPr>
                    <w:t>2021/22</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F5ADD" w14:textId="77777777" w:rsidR="00E2705D" w:rsidRDefault="00E2705D" w:rsidP="00E2705D">
                  <w:pPr>
                    <w:spacing w:after="0" w:line="240" w:lineRule="auto"/>
                    <w:jc w:val="center"/>
                    <w:rPr>
                      <w:b/>
                      <w:bCs/>
                      <w:sz w:val="19"/>
                      <w:szCs w:val="19"/>
                      <w:lang w:val="en-AU" w:eastAsia="en-NZ"/>
                    </w:rPr>
                  </w:pPr>
                  <w:r>
                    <w:rPr>
                      <w:b/>
                      <w:bCs/>
                      <w:sz w:val="19"/>
                      <w:szCs w:val="19"/>
                      <w:lang w:eastAsia="en-NZ"/>
                    </w:rPr>
                    <w:t>2022/23</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D9E36" w14:textId="77777777" w:rsidR="00E2705D" w:rsidRDefault="00E2705D" w:rsidP="00E2705D">
                  <w:pPr>
                    <w:spacing w:after="0" w:line="240" w:lineRule="auto"/>
                    <w:jc w:val="center"/>
                    <w:rPr>
                      <w:b/>
                      <w:bCs/>
                      <w:sz w:val="19"/>
                      <w:szCs w:val="19"/>
                      <w:lang w:val="en-AU" w:eastAsia="en-NZ"/>
                    </w:rPr>
                  </w:pPr>
                  <w:r>
                    <w:rPr>
                      <w:b/>
                      <w:bCs/>
                      <w:sz w:val="19"/>
                      <w:szCs w:val="19"/>
                      <w:lang w:eastAsia="en-NZ"/>
                    </w:rPr>
                    <w:t>2023/24</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B53DD" w14:textId="77777777" w:rsidR="00E2705D" w:rsidRDefault="00E2705D" w:rsidP="00E2705D">
                  <w:pPr>
                    <w:spacing w:after="0" w:line="240" w:lineRule="auto"/>
                    <w:jc w:val="center"/>
                    <w:rPr>
                      <w:b/>
                      <w:bCs/>
                      <w:sz w:val="19"/>
                      <w:szCs w:val="19"/>
                      <w:lang w:val="en-AU" w:eastAsia="en-NZ"/>
                    </w:rPr>
                  </w:pPr>
                  <w:r>
                    <w:rPr>
                      <w:b/>
                      <w:bCs/>
                      <w:sz w:val="19"/>
                      <w:szCs w:val="19"/>
                      <w:lang w:eastAsia="en-NZ"/>
                    </w:rPr>
                    <w:t>2024/25</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CFB63" w14:textId="77777777" w:rsidR="00E2705D" w:rsidRDefault="00E2705D" w:rsidP="00E2705D">
                  <w:pPr>
                    <w:spacing w:after="0" w:line="240" w:lineRule="auto"/>
                    <w:jc w:val="center"/>
                    <w:rPr>
                      <w:b/>
                      <w:bCs/>
                      <w:sz w:val="19"/>
                      <w:szCs w:val="19"/>
                      <w:lang w:val="en-NZ" w:eastAsia="en-NZ"/>
                    </w:rPr>
                  </w:pPr>
                  <w:r>
                    <w:rPr>
                      <w:b/>
                      <w:bCs/>
                      <w:sz w:val="19"/>
                      <w:szCs w:val="19"/>
                      <w:lang w:eastAsia="en-NZ"/>
                    </w:rPr>
                    <w:t>Total over forecast period</w:t>
                  </w:r>
                </w:p>
              </w:tc>
            </w:tr>
            <w:tr w:rsidR="00E2705D" w14:paraId="75A58887" w14:textId="77777777" w:rsidTr="000F2498">
              <w:trPr>
                <w:cantSplit/>
                <w:trHeight w:val="693"/>
                <w:tblHeader/>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14:paraId="39594F27" w14:textId="77777777" w:rsidR="00E2705D" w:rsidRDefault="00E2705D" w:rsidP="00E2705D">
                  <w:pPr>
                    <w:spacing w:after="0"/>
                    <w:jc w:val="center"/>
                    <w:rPr>
                      <w:b/>
                      <w:sz w:val="20"/>
                      <w:lang w:eastAsia="en-NZ"/>
                    </w:rPr>
                  </w:pPr>
                  <w:r>
                    <w:rPr>
                      <w:b/>
                      <w:sz w:val="20"/>
                      <w:lang w:eastAsia="en-NZ"/>
                    </w:rPr>
                    <w:t>Estimated tax revenue ($m)</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23E6682" w14:textId="77777777" w:rsidR="00E2705D" w:rsidRDefault="00E2705D" w:rsidP="00E2705D">
                  <w:pPr>
                    <w:spacing w:after="0"/>
                    <w:jc w:val="center"/>
                    <w:rPr>
                      <w:sz w:val="20"/>
                      <w:lang w:eastAsia="en-NZ"/>
                    </w:rPr>
                  </w:pPr>
                  <w:r>
                    <w:rPr>
                      <w:sz w:val="20"/>
                      <w:lang w:eastAsia="en-NZ"/>
                    </w:rPr>
                    <w:t>95</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EEF4CD0" w14:textId="77777777" w:rsidR="00E2705D" w:rsidRDefault="00E2705D" w:rsidP="00E2705D">
                  <w:pPr>
                    <w:spacing w:after="0"/>
                    <w:jc w:val="center"/>
                    <w:rPr>
                      <w:sz w:val="20"/>
                      <w:lang w:eastAsia="en-NZ"/>
                    </w:rPr>
                  </w:pPr>
                  <w:r>
                    <w:rPr>
                      <w:sz w:val="20"/>
                      <w:lang w:eastAsia="en-NZ"/>
                    </w:rPr>
                    <w:t>160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D629B42" w14:textId="77777777" w:rsidR="00E2705D" w:rsidRDefault="00E2705D" w:rsidP="00E2705D">
                  <w:pPr>
                    <w:spacing w:after="0"/>
                    <w:jc w:val="center"/>
                    <w:rPr>
                      <w:sz w:val="20"/>
                      <w:lang w:eastAsia="en-NZ"/>
                    </w:rPr>
                  </w:pPr>
                  <w:r>
                    <w:rPr>
                      <w:sz w:val="20"/>
                      <w:lang w:eastAsia="en-NZ"/>
                    </w:rPr>
                    <w:t>830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AEB08B2" w14:textId="77777777" w:rsidR="00E2705D" w:rsidRDefault="00E2705D" w:rsidP="00E2705D">
                  <w:pPr>
                    <w:spacing w:after="0"/>
                    <w:jc w:val="center"/>
                    <w:rPr>
                      <w:sz w:val="20"/>
                      <w:lang w:eastAsia="en-NZ"/>
                    </w:rPr>
                  </w:pPr>
                  <w:r>
                    <w:rPr>
                      <w:sz w:val="20"/>
                      <w:lang w:eastAsia="en-NZ"/>
                    </w:rPr>
                    <w:t>540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5B966B7" w14:textId="77777777" w:rsidR="00E2705D" w:rsidRDefault="00E2705D" w:rsidP="00E2705D">
                  <w:pPr>
                    <w:spacing w:after="0"/>
                    <w:jc w:val="center"/>
                    <w:rPr>
                      <w:sz w:val="20"/>
                      <w:lang w:eastAsia="en-NZ"/>
                    </w:rPr>
                  </w:pPr>
                  <w:r>
                    <w:rPr>
                      <w:sz w:val="20"/>
                      <w:lang w:eastAsia="en-NZ"/>
                    </w:rPr>
                    <w:t>595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4A629FD" w14:textId="091838B7" w:rsidR="00E2705D" w:rsidRDefault="00E2705D" w:rsidP="00E2705D">
                  <w:pPr>
                    <w:spacing w:after="0"/>
                    <w:jc w:val="center"/>
                    <w:rPr>
                      <w:sz w:val="20"/>
                      <w:lang w:eastAsia="en-NZ"/>
                    </w:rPr>
                  </w:pPr>
                  <w:r>
                    <w:rPr>
                      <w:sz w:val="20"/>
                      <w:lang w:eastAsia="en-NZ"/>
                    </w:rPr>
                    <w:t>2</w:t>
                  </w:r>
                  <w:r w:rsidR="003D00FA">
                    <w:rPr>
                      <w:sz w:val="20"/>
                      <w:lang w:eastAsia="en-NZ"/>
                    </w:rPr>
                    <w:t>,</w:t>
                  </w:r>
                  <w:r>
                    <w:rPr>
                      <w:sz w:val="20"/>
                      <w:lang w:eastAsia="en-NZ"/>
                    </w:rPr>
                    <w:t>220</w:t>
                  </w:r>
                </w:p>
              </w:tc>
            </w:tr>
          </w:tbl>
          <w:p w14:paraId="2D069FD3" w14:textId="77777777" w:rsidR="00E2705D" w:rsidRPr="0030167A" w:rsidRDefault="00E2705D" w:rsidP="00210C3D">
            <w:pPr>
              <w:pStyle w:val="TableText"/>
              <w:spacing w:before="0" w:after="0" w:line="276" w:lineRule="auto"/>
              <w:rPr>
                <w:rFonts w:cs="Arial"/>
                <w:sz w:val="22"/>
              </w:rPr>
            </w:pPr>
          </w:p>
          <w:p w14:paraId="0B50E728" w14:textId="573AD9A3" w:rsidR="000F2498" w:rsidRDefault="0030167A" w:rsidP="000F2498">
            <w:pPr>
              <w:pStyle w:val="TableText"/>
              <w:spacing w:before="0" w:after="0" w:line="276" w:lineRule="auto"/>
              <w:rPr>
                <w:sz w:val="22"/>
              </w:rPr>
            </w:pPr>
            <w:r w:rsidRPr="00C4139D">
              <w:rPr>
                <w:rFonts w:cs="Arial"/>
                <w:sz w:val="22"/>
              </w:rPr>
              <w:t>Th</w:t>
            </w:r>
            <w:r w:rsidR="003A4B23">
              <w:rPr>
                <w:rFonts w:cs="Arial"/>
                <w:sz w:val="22"/>
              </w:rPr>
              <w:t>ese</w:t>
            </w:r>
            <w:r w:rsidRPr="00C4139D">
              <w:rPr>
                <w:rFonts w:cs="Arial"/>
                <w:sz w:val="22"/>
              </w:rPr>
              <w:t xml:space="preserve"> </w:t>
            </w:r>
            <w:r w:rsidRPr="000F2498">
              <w:rPr>
                <w:sz w:val="22"/>
              </w:rPr>
              <w:t>revenue estimate</w:t>
            </w:r>
            <w:r w:rsidR="003A4B23">
              <w:rPr>
                <w:sz w:val="22"/>
              </w:rPr>
              <w:t>s</w:t>
            </w:r>
            <w:r w:rsidRPr="000F2498">
              <w:rPr>
                <w:sz w:val="22"/>
              </w:rPr>
              <w:t xml:space="preserve"> </w:t>
            </w:r>
            <w:r w:rsidR="003A4B23">
              <w:rPr>
                <w:sz w:val="22"/>
              </w:rPr>
              <w:t>are</w:t>
            </w:r>
            <w:r w:rsidRPr="000F2498">
              <w:rPr>
                <w:sz w:val="22"/>
              </w:rPr>
              <w:t xml:space="preserve"> highly uncertain. This uncertainty </w:t>
            </w:r>
            <w:r w:rsidR="003A4B23">
              <w:rPr>
                <w:sz w:val="22"/>
              </w:rPr>
              <w:t>arises</w:t>
            </w:r>
            <w:r w:rsidRPr="000F2498">
              <w:rPr>
                <w:sz w:val="22"/>
              </w:rPr>
              <w:t xml:space="preserve"> because:</w:t>
            </w:r>
          </w:p>
          <w:p w14:paraId="1B30E030" w14:textId="5A23D13A" w:rsidR="000F2498" w:rsidRDefault="000F2498" w:rsidP="000F2498">
            <w:pPr>
              <w:pStyle w:val="TableText"/>
              <w:spacing w:before="0" w:after="0" w:line="276" w:lineRule="auto"/>
              <w:rPr>
                <w:sz w:val="22"/>
              </w:rPr>
            </w:pPr>
          </w:p>
          <w:p w14:paraId="2B1E84B9" w14:textId="2737DC51" w:rsidR="000F2498" w:rsidRDefault="000F2498" w:rsidP="000F2498">
            <w:pPr>
              <w:pStyle w:val="TableText"/>
              <w:numPr>
                <w:ilvl w:val="0"/>
                <w:numId w:val="31"/>
              </w:numPr>
              <w:spacing w:before="0" w:after="0" w:line="276" w:lineRule="auto"/>
              <w:rPr>
                <w:sz w:val="22"/>
              </w:rPr>
            </w:pPr>
            <w:r w:rsidRPr="000F2498">
              <w:rPr>
                <w:sz w:val="22"/>
              </w:rPr>
              <w:t>The revenue estimates are sensitive to assumptions</w:t>
            </w:r>
            <w:r w:rsidR="00563AA3">
              <w:rPr>
                <w:sz w:val="22"/>
              </w:rPr>
              <w:t xml:space="preserve"> about how much people change their behaviour</w:t>
            </w:r>
            <w:r w:rsidR="00DA4400">
              <w:rPr>
                <w:sz w:val="22"/>
              </w:rPr>
              <w:t xml:space="preserve"> in response to the tax (</w:t>
            </w:r>
            <w:proofErr w:type="gramStart"/>
            <w:r w:rsidR="00DA4400">
              <w:rPr>
                <w:sz w:val="22"/>
              </w:rPr>
              <w:t>e.g.</w:t>
            </w:r>
            <w:proofErr w:type="gramEnd"/>
            <w:r w:rsidR="00DA4400">
              <w:rPr>
                <w:sz w:val="22"/>
              </w:rPr>
              <w:t xml:space="preserve"> reduc</w:t>
            </w:r>
            <w:r w:rsidR="001B2876">
              <w:rPr>
                <w:sz w:val="22"/>
              </w:rPr>
              <w:t>ing</w:t>
            </w:r>
            <w:r w:rsidR="00DA4400">
              <w:rPr>
                <w:sz w:val="22"/>
              </w:rPr>
              <w:t xml:space="preserve"> hours, divert</w:t>
            </w:r>
            <w:r w:rsidR="001B2876">
              <w:rPr>
                <w:sz w:val="22"/>
              </w:rPr>
              <w:t>ing</w:t>
            </w:r>
            <w:r w:rsidR="00DA4400">
              <w:rPr>
                <w:sz w:val="22"/>
              </w:rPr>
              <w:t xml:space="preserve"> income into another entity)</w:t>
            </w:r>
            <w:r w:rsidRPr="000F2498">
              <w:rPr>
                <w:sz w:val="22"/>
              </w:rPr>
              <w:t>. There is significant uncertainty in these assumptions and changing them results in substantial changes in revenue</w:t>
            </w:r>
            <w:r>
              <w:rPr>
                <w:sz w:val="22"/>
              </w:rPr>
              <w:t xml:space="preserve">. </w:t>
            </w:r>
          </w:p>
          <w:p w14:paraId="418F6949" w14:textId="54A7D0D4" w:rsidR="000F2498" w:rsidRDefault="000F2498" w:rsidP="000F2498">
            <w:pPr>
              <w:pStyle w:val="TableText"/>
              <w:numPr>
                <w:ilvl w:val="0"/>
                <w:numId w:val="31"/>
              </w:numPr>
              <w:spacing w:before="0" w:after="0" w:line="276" w:lineRule="auto"/>
              <w:rPr>
                <w:sz w:val="22"/>
              </w:rPr>
            </w:pPr>
            <w:r>
              <w:rPr>
                <w:sz w:val="22"/>
              </w:rPr>
              <w:t xml:space="preserve">The full impact of COVID-19 on the income distribution is not yet clear. </w:t>
            </w:r>
          </w:p>
          <w:p w14:paraId="3DC4CF4C" w14:textId="77777777" w:rsidR="000F2498" w:rsidRDefault="000F2498" w:rsidP="00210C3D">
            <w:pPr>
              <w:pStyle w:val="TableText"/>
              <w:spacing w:before="0" w:after="0" w:line="276" w:lineRule="auto"/>
              <w:rPr>
                <w:sz w:val="22"/>
              </w:rPr>
            </w:pPr>
          </w:p>
          <w:p w14:paraId="53576193" w14:textId="1454B6EF" w:rsidR="00A967EA" w:rsidRPr="00E705BE" w:rsidRDefault="00294761" w:rsidP="00210C3D">
            <w:pPr>
              <w:pStyle w:val="TableText"/>
              <w:spacing w:before="0" w:after="0" w:line="276" w:lineRule="auto"/>
              <w:rPr>
                <w:sz w:val="22"/>
              </w:rPr>
            </w:pPr>
            <w:r w:rsidRPr="000F2498">
              <w:rPr>
                <w:sz w:val="22"/>
              </w:rPr>
              <w:t xml:space="preserve">This proposal </w:t>
            </w:r>
            <w:r w:rsidR="00B04E9E" w:rsidRPr="000F2498">
              <w:rPr>
                <w:sz w:val="22"/>
              </w:rPr>
              <w:t>will raise additional</w:t>
            </w:r>
            <w:r w:rsidR="00B04E9E" w:rsidRPr="00E705BE">
              <w:rPr>
                <w:sz w:val="22"/>
              </w:rPr>
              <w:t xml:space="preserve"> tax revenue from some </w:t>
            </w:r>
            <w:r w:rsidR="00DA06EF" w:rsidRPr="00E705BE">
              <w:rPr>
                <w:sz w:val="22"/>
              </w:rPr>
              <w:t>high</w:t>
            </w:r>
            <w:r w:rsidR="007628D7" w:rsidRPr="00E705BE">
              <w:rPr>
                <w:sz w:val="22"/>
              </w:rPr>
              <w:t>-</w:t>
            </w:r>
            <w:r w:rsidR="00DA06EF" w:rsidRPr="00E705BE">
              <w:rPr>
                <w:sz w:val="22"/>
              </w:rPr>
              <w:t xml:space="preserve">income earners </w:t>
            </w:r>
            <w:r w:rsidR="000E7FB7">
              <w:rPr>
                <w:sz w:val="22"/>
              </w:rPr>
              <w:t>with no direct</w:t>
            </w:r>
            <w:r w:rsidR="00DA06EF" w:rsidRPr="00E705BE">
              <w:rPr>
                <w:sz w:val="22"/>
              </w:rPr>
              <w:t xml:space="preserve"> </w:t>
            </w:r>
            <w:r w:rsidR="00A07539" w:rsidRPr="00E705BE">
              <w:rPr>
                <w:sz w:val="22"/>
              </w:rPr>
              <w:t>impact</w:t>
            </w:r>
            <w:r w:rsidR="00DA06EF" w:rsidRPr="00E705BE">
              <w:rPr>
                <w:sz w:val="22"/>
              </w:rPr>
              <w:t xml:space="preserve"> on low</w:t>
            </w:r>
            <w:r w:rsidR="00A07539" w:rsidRPr="00E705BE">
              <w:rPr>
                <w:sz w:val="22"/>
              </w:rPr>
              <w:t>-</w:t>
            </w:r>
            <w:r w:rsidR="002B6FB9">
              <w:rPr>
                <w:sz w:val="22"/>
              </w:rPr>
              <w:t xml:space="preserve"> and middle- </w:t>
            </w:r>
            <w:r w:rsidR="00A07539" w:rsidRPr="00E705BE">
              <w:rPr>
                <w:sz w:val="22"/>
              </w:rPr>
              <w:t xml:space="preserve">income </w:t>
            </w:r>
            <w:r w:rsidR="00A276CB" w:rsidRPr="00E705BE">
              <w:rPr>
                <w:sz w:val="22"/>
              </w:rPr>
              <w:t>earners</w:t>
            </w:r>
            <w:r w:rsidR="00DA06EF" w:rsidRPr="00E705BE">
              <w:rPr>
                <w:sz w:val="22"/>
              </w:rPr>
              <w:t>.</w:t>
            </w:r>
            <w:r w:rsidR="00F224A5" w:rsidRPr="00E705BE">
              <w:rPr>
                <w:sz w:val="22"/>
              </w:rPr>
              <w:t xml:space="preserve"> </w:t>
            </w:r>
            <w:r w:rsidR="004B0BFD" w:rsidRPr="00E705BE">
              <w:rPr>
                <w:sz w:val="22"/>
              </w:rPr>
              <w:t>It is likely to increase</w:t>
            </w:r>
            <w:r w:rsidRPr="00E705BE">
              <w:rPr>
                <w:sz w:val="22"/>
              </w:rPr>
              <w:t xml:space="preserve"> the progressivity of the tax system</w:t>
            </w:r>
            <w:r w:rsidR="004C07BE" w:rsidRPr="00E705BE">
              <w:rPr>
                <w:sz w:val="22"/>
              </w:rPr>
              <w:t xml:space="preserve"> and</w:t>
            </w:r>
            <w:r w:rsidR="00813139" w:rsidRPr="00E705BE">
              <w:rPr>
                <w:sz w:val="22"/>
              </w:rPr>
              <w:t xml:space="preserve"> reduce </w:t>
            </w:r>
            <w:r w:rsidR="00FD1DFC" w:rsidRPr="00E705BE">
              <w:rPr>
                <w:sz w:val="22"/>
              </w:rPr>
              <w:t xml:space="preserve">measured </w:t>
            </w:r>
            <w:r w:rsidR="002E2E3C">
              <w:rPr>
                <w:sz w:val="22"/>
              </w:rPr>
              <w:t>after</w:t>
            </w:r>
            <w:r w:rsidR="00DE11F2">
              <w:rPr>
                <w:sz w:val="22"/>
              </w:rPr>
              <w:t xml:space="preserve">-tax </w:t>
            </w:r>
            <w:r w:rsidR="00FD1DFC" w:rsidRPr="00E705BE">
              <w:rPr>
                <w:sz w:val="22"/>
              </w:rPr>
              <w:t xml:space="preserve">income </w:t>
            </w:r>
            <w:r w:rsidR="00813139" w:rsidRPr="00E705BE">
              <w:rPr>
                <w:sz w:val="22"/>
              </w:rPr>
              <w:t xml:space="preserve">inequality. </w:t>
            </w:r>
          </w:p>
          <w:p w14:paraId="2066A152" w14:textId="1C47898D" w:rsidR="00A620DD" w:rsidRPr="00E705BE" w:rsidRDefault="00A620DD" w:rsidP="00210C3D">
            <w:pPr>
              <w:pStyle w:val="TableText"/>
              <w:spacing w:before="0" w:after="0" w:line="276" w:lineRule="auto"/>
              <w:rPr>
                <w:sz w:val="22"/>
              </w:rPr>
            </w:pPr>
          </w:p>
          <w:p w14:paraId="7F74B9FD" w14:textId="102CBD3D" w:rsidR="00A620DD" w:rsidRPr="00A53551" w:rsidRDefault="00BD58E5" w:rsidP="00E705BE">
            <w:pPr>
              <w:pStyle w:val="TableText"/>
              <w:spacing w:before="0" w:after="0" w:line="276" w:lineRule="auto"/>
              <w:rPr>
                <w:rFonts w:cs="Arial"/>
              </w:rPr>
            </w:pPr>
            <w:r>
              <w:rPr>
                <w:sz w:val="22"/>
              </w:rPr>
              <w:t>The Treasury estimates that a</w:t>
            </w:r>
            <w:r w:rsidR="00A620DD" w:rsidRPr="00E705BE">
              <w:rPr>
                <w:sz w:val="22"/>
              </w:rPr>
              <w:t xml:space="preserve"> 39</w:t>
            </w:r>
            <w:r w:rsidR="0044720B" w:rsidRPr="00E705BE">
              <w:rPr>
                <w:sz w:val="22"/>
              </w:rPr>
              <w:t xml:space="preserve"> percent</w:t>
            </w:r>
            <w:r w:rsidR="00A620DD" w:rsidRPr="00E705BE">
              <w:rPr>
                <w:sz w:val="22"/>
              </w:rPr>
              <w:t xml:space="preserve"> top personal rate applying to income above $180,000 </w:t>
            </w:r>
            <w:r w:rsidR="001B49C2" w:rsidRPr="00E705BE">
              <w:rPr>
                <w:sz w:val="22"/>
              </w:rPr>
              <w:t>(</w:t>
            </w:r>
            <w:r w:rsidR="00A53551" w:rsidRPr="00E705BE">
              <w:rPr>
                <w:sz w:val="22"/>
              </w:rPr>
              <w:t>without any other changes to tax settings</w:t>
            </w:r>
            <w:r w:rsidR="001B49C2" w:rsidRPr="00E705BE">
              <w:rPr>
                <w:sz w:val="22"/>
              </w:rPr>
              <w:t>)</w:t>
            </w:r>
            <w:r w:rsidR="00A53551" w:rsidRPr="00E705BE">
              <w:rPr>
                <w:sz w:val="22"/>
              </w:rPr>
              <w:t xml:space="preserve"> </w:t>
            </w:r>
            <w:r w:rsidR="00A620DD" w:rsidRPr="00E705BE">
              <w:rPr>
                <w:sz w:val="22"/>
              </w:rPr>
              <w:t>will reduce the Gini coefficient</w:t>
            </w:r>
            <w:r w:rsidR="00617F6E">
              <w:rPr>
                <w:rStyle w:val="FootnoteReference"/>
              </w:rPr>
              <w:footnoteReference w:id="4"/>
            </w:r>
            <w:r w:rsidR="00A620DD" w:rsidRPr="00E705BE">
              <w:rPr>
                <w:sz w:val="22"/>
              </w:rPr>
              <w:t xml:space="preserve"> for individual after-tax income by </w:t>
            </w:r>
            <w:r w:rsidR="002B6FB9">
              <w:rPr>
                <w:sz w:val="22"/>
              </w:rPr>
              <w:t>an estimated</w:t>
            </w:r>
            <w:r w:rsidR="002B6FB9" w:rsidRPr="00E705BE">
              <w:rPr>
                <w:sz w:val="22"/>
              </w:rPr>
              <w:t xml:space="preserve"> </w:t>
            </w:r>
            <w:r w:rsidR="00A620DD" w:rsidRPr="00E705BE">
              <w:rPr>
                <w:sz w:val="22"/>
              </w:rPr>
              <w:t>0.2 percentage points (from 0.493 to 0.491). This small impact reflect</w:t>
            </w:r>
            <w:r w:rsidR="00AE3FCA" w:rsidRPr="00E705BE">
              <w:rPr>
                <w:sz w:val="22"/>
              </w:rPr>
              <w:t>s</w:t>
            </w:r>
            <w:r w:rsidR="00A620DD" w:rsidRPr="00E705BE">
              <w:rPr>
                <w:sz w:val="22"/>
              </w:rPr>
              <w:t xml:space="preserve"> the relatively few people earning above $180,000 and, consequent</w:t>
            </w:r>
            <w:r w:rsidR="00DA4400">
              <w:rPr>
                <w:sz w:val="22"/>
              </w:rPr>
              <w:t>l</w:t>
            </w:r>
            <w:r w:rsidR="00A620DD" w:rsidRPr="00E705BE">
              <w:rPr>
                <w:sz w:val="22"/>
              </w:rPr>
              <w:t>y, the relatively small impact this tax increase has on the overall income distribution. This is a very imprecise impact as it assumes no behavioural response and does not account for shifting of income into other (lower</w:t>
            </w:r>
            <w:r w:rsidR="00597C00" w:rsidRPr="00E705BE">
              <w:rPr>
                <w:sz w:val="22"/>
              </w:rPr>
              <w:t>-</w:t>
            </w:r>
            <w:r w:rsidR="00A620DD" w:rsidRPr="00E705BE">
              <w:rPr>
                <w:sz w:val="22"/>
              </w:rPr>
              <w:t>taxed) entities</w:t>
            </w:r>
            <w:r w:rsidR="00A620DD" w:rsidRPr="0044720B">
              <w:rPr>
                <w:rFonts w:cs="Arial"/>
              </w:rPr>
              <w:t>.</w:t>
            </w:r>
            <w:r w:rsidR="00A620DD" w:rsidRPr="0044720B">
              <w:rPr>
                <w:rFonts w:cs="Arial"/>
                <w:vertAlign w:val="superscript"/>
              </w:rPr>
              <w:footnoteReference w:id="5"/>
            </w:r>
            <w:r w:rsidR="00A620DD" w:rsidRPr="0044720B">
              <w:rPr>
                <w:rFonts w:cs="Arial"/>
                <w:vertAlign w:val="superscript"/>
              </w:rPr>
              <w:t xml:space="preserve"> </w:t>
            </w:r>
          </w:p>
          <w:p w14:paraId="3CEA08AA" w14:textId="5A220C63" w:rsidR="000A536D" w:rsidRDefault="000A536D" w:rsidP="00210C3D">
            <w:pPr>
              <w:pStyle w:val="TableText"/>
              <w:spacing w:before="0" w:after="0" w:line="276" w:lineRule="auto"/>
              <w:rPr>
                <w:sz w:val="22"/>
              </w:rPr>
            </w:pPr>
          </w:p>
          <w:p w14:paraId="74EAC9BF" w14:textId="027A6E0E" w:rsidR="00DA4400" w:rsidRPr="00DA4400" w:rsidRDefault="001601FA" w:rsidP="00210C3D">
            <w:pPr>
              <w:pStyle w:val="TableText"/>
              <w:spacing w:before="0" w:after="0" w:line="276" w:lineRule="auto"/>
              <w:rPr>
                <w:sz w:val="22"/>
              </w:rPr>
            </w:pPr>
            <w:r w:rsidRPr="00C96448">
              <w:rPr>
                <w:sz w:val="22"/>
              </w:rPr>
              <w:t xml:space="preserve">The benefits of the proposal will </w:t>
            </w:r>
            <w:r w:rsidR="00A5224A" w:rsidRPr="00C96448">
              <w:rPr>
                <w:sz w:val="22"/>
              </w:rPr>
              <w:t>reduce to the extent that the 39</w:t>
            </w:r>
            <w:r w:rsidR="00A2728A" w:rsidRPr="00C96448">
              <w:rPr>
                <w:sz w:val="22"/>
              </w:rPr>
              <w:t xml:space="preserve"> percent</w:t>
            </w:r>
            <w:r w:rsidR="00A5224A" w:rsidRPr="00C96448">
              <w:rPr>
                <w:sz w:val="22"/>
              </w:rPr>
              <w:t xml:space="preserve"> tax rate can be </w:t>
            </w:r>
            <w:r w:rsidR="00DA4400" w:rsidRPr="00C96448">
              <w:rPr>
                <w:sz w:val="22"/>
              </w:rPr>
              <w:t>sidestepped</w:t>
            </w:r>
            <w:r w:rsidR="00036420" w:rsidRPr="00C96448">
              <w:rPr>
                <w:sz w:val="22"/>
              </w:rPr>
              <w:t xml:space="preserve"> by taxpayers </w:t>
            </w:r>
            <w:proofErr w:type="gramStart"/>
            <w:r w:rsidR="00036420" w:rsidRPr="00C96448">
              <w:rPr>
                <w:sz w:val="22"/>
              </w:rPr>
              <w:t>e.g.</w:t>
            </w:r>
            <w:proofErr w:type="gramEnd"/>
            <w:r w:rsidR="00036420" w:rsidRPr="00C96448">
              <w:rPr>
                <w:sz w:val="22"/>
              </w:rPr>
              <w:t xml:space="preserve"> by earning income through a trust</w:t>
            </w:r>
            <w:r w:rsidR="00A5224A" w:rsidRPr="00C96448">
              <w:rPr>
                <w:sz w:val="22"/>
              </w:rPr>
              <w:t>. Therefore</w:t>
            </w:r>
            <w:r w:rsidR="00BE54AD" w:rsidRPr="00C96448">
              <w:rPr>
                <w:sz w:val="22"/>
              </w:rPr>
              <w:t>,</w:t>
            </w:r>
            <w:r w:rsidR="00A5224A" w:rsidRPr="00C96448">
              <w:rPr>
                <w:sz w:val="22"/>
              </w:rPr>
              <w:t xml:space="preserve"> options which reduce the scope for </w:t>
            </w:r>
            <w:r w:rsidR="00DA4400" w:rsidRPr="00C96448">
              <w:rPr>
                <w:sz w:val="22"/>
              </w:rPr>
              <w:t>this behaviour</w:t>
            </w:r>
            <w:r w:rsidR="00A5224A" w:rsidRPr="00C96448">
              <w:rPr>
                <w:sz w:val="22"/>
              </w:rPr>
              <w:t xml:space="preserve"> will increase </w:t>
            </w:r>
            <w:r w:rsidR="00036420" w:rsidRPr="00C96448">
              <w:rPr>
                <w:sz w:val="22"/>
              </w:rPr>
              <w:t>the benefits of the proposal.</w:t>
            </w:r>
            <w:r w:rsidRPr="00C96448">
              <w:rPr>
                <w:sz w:val="22"/>
              </w:rPr>
              <w:t xml:space="preserve"> </w:t>
            </w:r>
            <w:r w:rsidR="00DA4400">
              <w:rPr>
                <w:sz w:val="22"/>
              </w:rPr>
              <w:t xml:space="preserve">As shown in </w:t>
            </w:r>
            <w:r w:rsidR="00DA4400">
              <w:rPr>
                <w:b/>
                <w:bCs/>
                <w:sz w:val="22"/>
              </w:rPr>
              <w:t>Table 2</w:t>
            </w:r>
            <w:r w:rsidR="00DA4400">
              <w:rPr>
                <w:sz w:val="22"/>
              </w:rPr>
              <w:t>, raising the trustee rate at the same time as the top personal rate (</w:t>
            </w:r>
            <w:r w:rsidR="00251B54">
              <w:rPr>
                <w:b/>
                <w:bCs/>
                <w:sz w:val="22"/>
              </w:rPr>
              <w:t>O</w:t>
            </w:r>
            <w:r w:rsidR="00DA4400">
              <w:rPr>
                <w:b/>
                <w:bCs/>
                <w:sz w:val="22"/>
              </w:rPr>
              <w:t>ption 5</w:t>
            </w:r>
            <w:r w:rsidR="00DA4400" w:rsidRPr="00C96448">
              <w:rPr>
                <w:sz w:val="22"/>
              </w:rPr>
              <w:t>)</w:t>
            </w:r>
            <w:r w:rsidR="00DA4400">
              <w:rPr>
                <w:sz w:val="22"/>
              </w:rPr>
              <w:t xml:space="preserve"> is expected to raise $3.7</w:t>
            </w:r>
            <w:r w:rsidR="00251B54">
              <w:rPr>
                <w:sz w:val="22"/>
              </w:rPr>
              <w:t xml:space="preserve"> billion</w:t>
            </w:r>
            <w:r w:rsidR="00DA4400">
              <w:rPr>
                <w:sz w:val="22"/>
              </w:rPr>
              <w:t xml:space="preserve"> in total over the forecast period.</w:t>
            </w:r>
          </w:p>
          <w:p w14:paraId="5483EA11" w14:textId="591C67C6" w:rsidR="00BD58E5" w:rsidRPr="00BA18D7" w:rsidRDefault="00BD58E5" w:rsidP="007449BA">
            <w:pPr>
              <w:pStyle w:val="TableText"/>
              <w:keepNext/>
              <w:spacing w:before="0" w:after="0" w:line="276" w:lineRule="auto"/>
              <w:rPr>
                <w:b/>
                <w:bCs/>
                <w:sz w:val="22"/>
              </w:rPr>
            </w:pPr>
            <w:r w:rsidRPr="00BA18D7">
              <w:rPr>
                <w:b/>
                <w:bCs/>
                <w:sz w:val="22"/>
              </w:rPr>
              <w:t xml:space="preserve">Table </w:t>
            </w:r>
            <w:r>
              <w:rPr>
                <w:b/>
                <w:bCs/>
                <w:sz w:val="22"/>
              </w:rPr>
              <w:t>2</w:t>
            </w:r>
            <w:r w:rsidRPr="00BA18D7">
              <w:rPr>
                <w:b/>
                <w:bCs/>
                <w:sz w:val="22"/>
              </w:rPr>
              <w:t>: Estimate</w:t>
            </w:r>
            <w:r>
              <w:rPr>
                <w:b/>
                <w:bCs/>
                <w:sz w:val="22"/>
              </w:rPr>
              <w:t xml:space="preserve">d revenue from a 39 percent tax rate on income above $180,000, </w:t>
            </w:r>
            <w:r w:rsidR="00B91ACE">
              <w:rPr>
                <w:b/>
                <w:bCs/>
                <w:sz w:val="22"/>
              </w:rPr>
              <w:t>and an increase in the trustee rate to 39 percent</w:t>
            </w:r>
          </w:p>
          <w:p w14:paraId="63B766F7" w14:textId="77777777" w:rsidR="00BD58E5" w:rsidRDefault="00BD58E5" w:rsidP="00BD58E5">
            <w:pPr>
              <w:pStyle w:val="TableText"/>
              <w:spacing w:before="0" w:after="0" w:line="276" w:lineRule="auto"/>
              <w:rPr>
                <w:sz w:val="22"/>
              </w:rPr>
            </w:pPr>
          </w:p>
          <w:tbl>
            <w:tblPr>
              <w:tblStyle w:val="TableGrid"/>
              <w:tblW w:w="8931" w:type="dxa"/>
              <w:jc w:val="center"/>
              <w:tblLook w:val="04A0" w:firstRow="1" w:lastRow="0" w:firstColumn="1" w:lastColumn="0" w:noHBand="0" w:noVBand="1"/>
            </w:tblPr>
            <w:tblGrid>
              <w:gridCol w:w="2037"/>
              <w:gridCol w:w="1022"/>
              <w:gridCol w:w="1023"/>
              <w:gridCol w:w="1023"/>
              <w:gridCol w:w="1023"/>
              <w:gridCol w:w="1023"/>
              <w:gridCol w:w="1780"/>
            </w:tblGrid>
            <w:tr w:rsidR="00BD58E5" w14:paraId="3475FDEC" w14:textId="77777777" w:rsidTr="00563AA3">
              <w:trPr>
                <w:cantSplit/>
                <w:trHeight w:val="627"/>
                <w:tblHeader/>
                <w:jc w:val="center"/>
              </w:trPr>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5F4F0" w14:textId="77777777" w:rsidR="00BD58E5" w:rsidRDefault="00BD58E5" w:rsidP="00BD58E5">
                  <w:pPr>
                    <w:spacing w:after="0"/>
                    <w:jc w:val="center"/>
                    <w:rPr>
                      <w:rFonts w:ascii="Verdana" w:hAnsi="Verdana"/>
                      <w:b/>
                      <w:sz w:val="20"/>
                      <w:lang w:val="en-NZ" w:eastAsia="en-NZ"/>
                    </w:rPr>
                  </w:pPr>
                  <w:r>
                    <w:rPr>
                      <w:b/>
                      <w:sz w:val="20"/>
                      <w:lang w:eastAsia="en-NZ"/>
                    </w:rPr>
                    <w:t>Fiscal year</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2618C" w14:textId="77777777" w:rsidR="00BD58E5" w:rsidRDefault="00BD58E5" w:rsidP="00BD58E5">
                  <w:pPr>
                    <w:spacing w:after="0" w:line="240" w:lineRule="auto"/>
                    <w:jc w:val="center"/>
                    <w:rPr>
                      <w:b/>
                      <w:bCs/>
                      <w:sz w:val="19"/>
                      <w:szCs w:val="19"/>
                      <w:lang w:val="en-AU" w:eastAsia="en-NZ"/>
                    </w:rPr>
                  </w:pPr>
                  <w:r>
                    <w:rPr>
                      <w:b/>
                      <w:bCs/>
                      <w:sz w:val="19"/>
                      <w:szCs w:val="19"/>
                      <w:lang w:eastAsia="en-NZ"/>
                    </w:rPr>
                    <w:t>2020/21</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500D7" w14:textId="77777777" w:rsidR="00BD58E5" w:rsidRDefault="00BD58E5" w:rsidP="00BD58E5">
                  <w:pPr>
                    <w:spacing w:after="0" w:line="240" w:lineRule="auto"/>
                    <w:jc w:val="center"/>
                    <w:rPr>
                      <w:b/>
                      <w:bCs/>
                      <w:sz w:val="19"/>
                      <w:szCs w:val="19"/>
                      <w:lang w:val="en-AU" w:eastAsia="en-NZ"/>
                    </w:rPr>
                  </w:pPr>
                  <w:r>
                    <w:rPr>
                      <w:b/>
                      <w:bCs/>
                      <w:sz w:val="19"/>
                      <w:szCs w:val="19"/>
                      <w:lang w:eastAsia="en-NZ"/>
                    </w:rPr>
                    <w:t>2021/22</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E0ECC" w14:textId="77777777" w:rsidR="00BD58E5" w:rsidRDefault="00BD58E5" w:rsidP="00BD58E5">
                  <w:pPr>
                    <w:spacing w:after="0" w:line="240" w:lineRule="auto"/>
                    <w:jc w:val="center"/>
                    <w:rPr>
                      <w:b/>
                      <w:bCs/>
                      <w:sz w:val="19"/>
                      <w:szCs w:val="19"/>
                      <w:lang w:val="en-AU" w:eastAsia="en-NZ"/>
                    </w:rPr>
                  </w:pPr>
                  <w:r>
                    <w:rPr>
                      <w:b/>
                      <w:bCs/>
                      <w:sz w:val="19"/>
                      <w:szCs w:val="19"/>
                      <w:lang w:eastAsia="en-NZ"/>
                    </w:rPr>
                    <w:t>2022/23</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A8805" w14:textId="77777777" w:rsidR="00BD58E5" w:rsidRDefault="00BD58E5" w:rsidP="00BD58E5">
                  <w:pPr>
                    <w:spacing w:after="0" w:line="240" w:lineRule="auto"/>
                    <w:jc w:val="center"/>
                    <w:rPr>
                      <w:b/>
                      <w:bCs/>
                      <w:sz w:val="19"/>
                      <w:szCs w:val="19"/>
                      <w:lang w:val="en-AU" w:eastAsia="en-NZ"/>
                    </w:rPr>
                  </w:pPr>
                  <w:r>
                    <w:rPr>
                      <w:b/>
                      <w:bCs/>
                      <w:sz w:val="19"/>
                      <w:szCs w:val="19"/>
                      <w:lang w:eastAsia="en-NZ"/>
                    </w:rPr>
                    <w:t>2023/24</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0EE79" w14:textId="77777777" w:rsidR="00BD58E5" w:rsidRDefault="00BD58E5" w:rsidP="00BD58E5">
                  <w:pPr>
                    <w:spacing w:after="0" w:line="240" w:lineRule="auto"/>
                    <w:jc w:val="center"/>
                    <w:rPr>
                      <w:b/>
                      <w:bCs/>
                      <w:sz w:val="19"/>
                      <w:szCs w:val="19"/>
                      <w:lang w:val="en-AU" w:eastAsia="en-NZ"/>
                    </w:rPr>
                  </w:pPr>
                  <w:r>
                    <w:rPr>
                      <w:b/>
                      <w:bCs/>
                      <w:sz w:val="19"/>
                      <w:szCs w:val="19"/>
                      <w:lang w:eastAsia="en-NZ"/>
                    </w:rPr>
                    <w:t>2024/25</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97CD0" w14:textId="77777777" w:rsidR="00BD58E5" w:rsidRDefault="00BD58E5" w:rsidP="00BD58E5">
                  <w:pPr>
                    <w:spacing w:after="0" w:line="240" w:lineRule="auto"/>
                    <w:jc w:val="center"/>
                    <w:rPr>
                      <w:b/>
                      <w:bCs/>
                      <w:sz w:val="19"/>
                      <w:szCs w:val="19"/>
                      <w:lang w:val="en-NZ" w:eastAsia="en-NZ"/>
                    </w:rPr>
                  </w:pPr>
                  <w:r>
                    <w:rPr>
                      <w:b/>
                      <w:bCs/>
                      <w:sz w:val="19"/>
                      <w:szCs w:val="19"/>
                      <w:lang w:eastAsia="en-NZ"/>
                    </w:rPr>
                    <w:t>Total over forecast period</w:t>
                  </w:r>
                </w:p>
              </w:tc>
            </w:tr>
            <w:tr w:rsidR="00BD58E5" w14:paraId="55BC8AF8" w14:textId="77777777" w:rsidTr="001B3F24">
              <w:trPr>
                <w:cantSplit/>
                <w:trHeight w:val="365"/>
                <w:tblHeader/>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14:paraId="2D9B0FB7" w14:textId="77777777" w:rsidR="00BD58E5" w:rsidRDefault="00BD58E5" w:rsidP="00BD58E5">
                  <w:pPr>
                    <w:spacing w:after="0"/>
                    <w:jc w:val="center"/>
                    <w:rPr>
                      <w:b/>
                      <w:sz w:val="20"/>
                      <w:lang w:eastAsia="en-NZ"/>
                    </w:rPr>
                  </w:pPr>
                  <w:r>
                    <w:rPr>
                      <w:b/>
                      <w:sz w:val="20"/>
                      <w:lang w:eastAsia="en-NZ"/>
                    </w:rPr>
                    <w:t>Estimated tax revenue ($m)</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0B6B62C" w14:textId="77777777" w:rsidR="00BD58E5" w:rsidRDefault="00BD58E5" w:rsidP="00BD58E5">
                  <w:pPr>
                    <w:spacing w:after="0"/>
                    <w:jc w:val="center"/>
                    <w:rPr>
                      <w:sz w:val="20"/>
                      <w:lang w:eastAsia="en-NZ"/>
                    </w:rPr>
                  </w:pPr>
                  <w:r>
                    <w:rPr>
                      <w:sz w:val="20"/>
                      <w:lang w:eastAsia="en-NZ"/>
                    </w:rPr>
                    <w:t>95</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C7795E4" w14:textId="5DBAF519" w:rsidR="00BD58E5" w:rsidRDefault="00B474F7" w:rsidP="00BD58E5">
                  <w:pPr>
                    <w:spacing w:after="0"/>
                    <w:jc w:val="center"/>
                    <w:rPr>
                      <w:sz w:val="20"/>
                      <w:lang w:eastAsia="en-NZ"/>
                    </w:rPr>
                  </w:pPr>
                  <w:r>
                    <w:rPr>
                      <w:sz w:val="20"/>
                      <w:lang w:eastAsia="en-NZ"/>
                    </w:rPr>
                    <w:t>355</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2BE38D9" w14:textId="7475B865" w:rsidR="00BD58E5" w:rsidRDefault="002E412B" w:rsidP="00BD58E5">
                  <w:pPr>
                    <w:spacing w:after="0"/>
                    <w:jc w:val="center"/>
                    <w:rPr>
                      <w:sz w:val="20"/>
                      <w:lang w:eastAsia="en-NZ"/>
                    </w:rPr>
                  </w:pPr>
                  <w:r>
                    <w:rPr>
                      <w:sz w:val="20"/>
                      <w:lang w:eastAsia="en-NZ"/>
                    </w:rPr>
                    <w:t>1,</w:t>
                  </w:r>
                  <w:r w:rsidR="00B474F7">
                    <w:rPr>
                      <w:sz w:val="20"/>
                      <w:lang w:eastAsia="en-NZ"/>
                    </w:rPr>
                    <w:t>390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697C1C3" w14:textId="4051D09D" w:rsidR="00BD58E5" w:rsidRDefault="002E412B" w:rsidP="00BD58E5">
                  <w:pPr>
                    <w:spacing w:after="0"/>
                    <w:jc w:val="center"/>
                    <w:rPr>
                      <w:sz w:val="20"/>
                      <w:lang w:eastAsia="en-NZ"/>
                    </w:rPr>
                  </w:pPr>
                  <w:r>
                    <w:rPr>
                      <w:sz w:val="20"/>
                      <w:lang w:eastAsia="en-NZ"/>
                    </w:rPr>
                    <w:t>89</w:t>
                  </w:r>
                  <w:r w:rsidR="00B474F7">
                    <w:rPr>
                      <w:sz w:val="20"/>
                      <w:lang w:eastAsia="en-NZ"/>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6F12304" w14:textId="2EC3191D" w:rsidR="00BD58E5" w:rsidRDefault="002E412B" w:rsidP="00BD58E5">
                  <w:pPr>
                    <w:spacing w:after="0"/>
                    <w:jc w:val="center"/>
                    <w:rPr>
                      <w:sz w:val="20"/>
                      <w:lang w:eastAsia="en-NZ"/>
                    </w:rPr>
                  </w:pPr>
                  <w:r>
                    <w:rPr>
                      <w:sz w:val="20"/>
                      <w:lang w:eastAsia="en-NZ"/>
                    </w:rPr>
                    <w:t>975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BD92DBC" w14:textId="755A6892" w:rsidR="00BD58E5" w:rsidRDefault="002E412B" w:rsidP="00BD58E5">
                  <w:pPr>
                    <w:spacing w:after="0"/>
                    <w:jc w:val="center"/>
                    <w:rPr>
                      <w:sz w:val="20"/>
                      <w:lang w:eastAsia="en-NZ"/>
                    </w:rPr>
                  </w:pPr>
                  <w:r>
                    <w:rPr>
                      <w:sz w:val="20"/>
                      <w:lang w:eastAsia="en-NZ"/>
                    </w:rPr>
                    <w:t>3,70</w:t>
                  </w:r>
                  <w:r w:rsidR="00B474F7">
                    <w:rPr>
                      <w:sz w:val="20"/>
                      <w:lang w:eastAsia="en-NZ"/>
                    </w:rPr>
                    <w:t>5</w:t>
                  </w:r>
                </w:p>
              </w:tc>
            </w:tr>
          </w:tbl>
          <w:p w14:paraId="35C86544" w14:textId="17629B3C" w:rsidR="00FE74C5" w:rsidRPr="00210C3D" w:rsidRDefault="00FE74C5" w:rsidP="00210C3D">
            <w:pPr>
              <w:pStyle w:val="TableText"/>
              <w:spacing w:before="0" w:after="0" w:line="276" w:lineRule="auto"/>
              <w:rPr>
                <w:sz w:val="22"/>
              </w:rPr>
            </w:pPr>
          </w:p>
        </w:tc>
      </w:tr>
    </w:tbl>
    <w:p w14:paraId="63F62B69" w14:textId="77777777" w:rsidR="0062657E" w:rsidRPr="00143420" w:rsidRDefault="0062657E" w:rsidP="00AA6A54">
      <w:pPr>
        <w:pStyle w:val="spacer"/>
        <w:rPr>
          <w:sz w:val="22"/>
        </w:rPr>
      </w:pPr>
    </w:p>
    <w:tbl>
      <w:tblPr>
        <w:tblW w:w="9550"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550"/>
      </w:tblGrid>
      <w:tr w:rsidR="00210C3D" w:rsidRPr="00210C3D" w14:paraId="04659A71" w14:textId="77777777" w:rsidTr="009B1BBC">
        <w:trPr>
          <w:trHeight w:val="224"/>
        </w:trPr>
        <w:tc>
          <w:tcPr>
            <w:tcW w:w="9550" w:type="dxa"/>
            <w:shd w:val="clear" w:color="auto" w:fill="99CDDD"/>
          </w:tcPr>
          <w:p w14:paraId="75EC46D0" w14:textId="1A6258FA" w:rsidR="0062657E" w:rsidRPr="00210C3D" w:rsidRDefault="0062657E" w:rsidP="006356D0">
            <w:pPr>
              <w:keepNext/>
              <w:spacing w:before="60" w:after="60" w:line="240" w:lineRule="auto"/>
              <w:rPr>
                <w:b/>
                <w:szCs w:val="22"/>
              </w:rPr>
            </w:pPr>
            <w:r w:rsidRPr="00210C3D">
              <w:rPr>
                <w:b/>
                <w:szCs w:val="22"/>
              </w:rPr>
              <w:t xml:space="preserve">Where do the costs fall? </w:t>
            </w:r>
          </w:p>
        </w:tc>
      </w:tr>
      <w:tr w:rsidR="00210C3D" w:rsidRPr="00210C3D" w14:paraId="5F27999D" w14:textId="77777777" w:rsidTr="009B1BBC">
        <w:tc>
          <w:tcPr>
            <w:tcW w:w="9550" w:type="dxa"/>
            <w:shd w:val="clear" w:color="auto" w:fill="FFFFFF"/>
          </w:tcPr>
          <w:p w14:paraId="276C076D" w14:textId="77777777" w:rsidR="006641E5" w:rsidRDefault="006641E5" w:rsidP="00BA18D7">
            <w:pPr>
              <w:spacing w:after="0"/>
            </w:pPr>
          </w:p>
          <w:p w14:paraId="35836552" w14:textId="4B611895" w:rsidR="006641E5" w:rsidRPr="00E705BE" w:rsidRDefault="00D07F38" w:rsidP="00E705BE">
            <w:pPr>
              <w:pStyle w:val="TableText"/>
              <w:spacing w:before="0" w:after="0" w:line="276" w:lineRule="auto"/>
              <w:rPr>
                <w:sz w:val="22"/>
              </w:rPr>
            </w:pPr>
            <w:r w:rsidRPr="00E705BE">
              <w:rPr>
                <w:sz w:val="22"/>
              </w:rPr>
              <w:t xml:space="preserve">Introducing a new </w:t>
            </w:r>
            <w:r w:rsidR="00BB577F" w:rsidRPr="00E705BE">
              <w:rPr>
                <w:sz w:val="22"/>
              </w:rPr>
              <w:t xml:space="preserve">top personal income tax rate as designed in this proposal will directly </w:t>
            </w:r>
            <w:r w:rsidR="00DB5A44" w:rsidRPr="00E705BE">
              <w:rPr>
                <w:sz w:val="22"/>
              </w:rPr>
              <w:t>impact</w:t>
            </w:r>
            <w:r w:rsidR="00BB577F" w:rsidRPr="00E705BE">
              <w:rPr>
                <w:sz w:val="22"/>
              </w:rPr>
              <w:t xml:space="preserve"> those </w:t>
            </w:r>
            <w:r w:rsidR="005D4971" w:rsidRPr="00E705BE">
              <w:rPr>
                <w:sz w:val="22"/>
              </w:rPr>
              <w:t xml:space="preserve">people </w:t>
            </w:r>
            <w:r w:rsidR="004B6743" w:rsidRPr="00E705BE">
              <w:rPr>
                <w:sz w:val="22"/>
              </w:rPr>
              <w:t>earning above $180,000 of</w:t>
            </w:r>
            <w:r w:rsidR="005D4971" w:rsidRPr="00E705BE">
              <w:rPr>
                <w:sz w:val="22"/>
              </w:rPr>
              <w:t xml:space="preserve"> personal</w:t>
            </w:r>
            <w:r w:rsidR="004B6743" w:rsidRPr="00E705BE">
              <w:rPr>
                <w:sz w:val="22"/>
              </w:rPr>
              <w:t xml:space="preserve"> income. This includes salary and wage earners</w:t>
            </w:r>
            <w:r w:rsidR="00101BB6">
              <w:rPr>
                <w:sz w:val="22"/>
              </w:rPr>
              <w:t>, investors</w:t>
            </w:r>
            <w:r w:rsidR="00DE11F2">
              <w:rPr>
                <w:sz w:val="22"/>
              </w:rPr>
              <w:t xml:space="preserve"> holding assets and shares directly</w:t>
            </w:r>
            <w:r w:rsidR="00101BB6">
              <w:rPr>
                <w:sz w:val="22"/>
              </w:rPr>
              <w:t>,</w:t>
            </w:r>
            <w:r w:rsidR="004B6743" w:rsidRPr="00E705BE">
              <w:rPr>
                <w:sz w:val="22"/>
              </w:rPr>
              <w:t xml:space="preserve"> as well as sole traders</w:t>
            </w:r>
            <w:r w:rsidR="00536731" w:rsidRPr="00E705BE">
              <w:rPr>
                <w:sz w:val="22"/>
              </w:rPr>
              <w:t xml:space="preserve"> and partner</w:t>
            </w:r>
            <w:r w:rsidR="006641E5" w:rsidRPr="00E705BE">
              <w:rPr>
                <w:sz w:val="22"/>
              </w:rPr>
              <w:t xml:space="preserve">s in partnerships. </w:t>
            </w:r>
            <w:r w:rsidR="00F55211" w:rsidRPr="00E705BE">
              <w:rPr>
                <w:sz w:val="22"/>
              </w:rPr>
              <w:t>The</w:t>
            </w:r>
            <w:r w:rsidR="009C294E" w:rsidRPr="00E705BE">
              <w:rPr>
                <w:sz w:val="22"/>
              </w:rPr>
              <w:t xml:space="preserve"> additional</w:t>
            </w:r>
            <w:r w:rsidR="0099469A" w:rsidRPr="00E705BE">
              <w:rPr>
                <w:sz w:val="22"/>
              </w:rPr>
              <w:t xml:space="preserve"> </w:t>
            </w:r>
            <w:r w:rsidR="00F55211" w:rsidRPr="00E705BE">
              <w:rPr>
                <w:sz w:val="22"/>
              </w:rPr>
              <w:t xml:space="preserve">expected tax paid by this group is noted in the </w:t>
            </w:r>
            <w:r w:rsidR="00D63D5D" w:rsidRPr="00E705BE">
              <w:rPr>
                <w:sz w:val="22"/>
              </w:rPr>
              <w:t xml:space="preserve">section above </w:t>
            </w:r>
            <w:r w:rsidR="00EB6DE0" w:rsidRPr="00E705BE">
              <w:rPr>
                <w:sz w:val="22"/>
              </w:rPr>
              <w:t>(</w:t>
            </w:r>
            <w:r w:rsidR="00D63D5D" w:rsidRPr="00E705BE">
              <w:rPr>
                <w:sz w:val="22"/>
              </w:rPr>
              <w:t>$2.22</w:t>
            </w:r>
            <w:r w:rsidR="00EB6DE0" w:rsidRPr="00E705BE">
              <w:rPr>
                <w:sz w:val="22"/>
              </w:rPr>
              <w:t xml:space="preserve"> </w:t>
            </w:r>
            <w:r w:rsidR="00D63D5D" w:rsidRPr="00E705BE">
              <w:rPr>
                <w:sz w:val="22"/>
              </w:rPr>
              <w:t>b</w:t>
            </w:r>
            <w:r w:rsidR="00EB6DE0" w:rsidRPr="00E705BE">
              <w:rPr>
                <w:sz w:val="22"/>
              </w:rPr>
              <w:t>illion</w:t>
            </w:r>
            <w:r w:rsidR="00D63D5D" w:rsidRPr="00E705BE">
              <w:rPr>
                <w:sz w:val="22"/>
              </w:rPr>
              <w:t xml:space="preserve"> over the forecast period</w:t>
            </w:r>
            <w:r w:rsidR="009A6240" w:rsidRPr="00E705BE">
              <w:rPr>
                <w:sz w:val="22"/>
              </w:rPr>
              <w:t xml:space="preserve"> </w:t>
            </w:r>
            <w:r w:rsidR="002E29E8" w:rsidRPr="00E705BE">
              <w:rPr>
                <w:sz w:val="22"/>
              </w:rPr>
              <w:t>if the 39 percent rate is introduced without any other changes</w:t>
            </w:r>
            <w:r w:rsidR="00EB6DE0" w:rsidRPr="00E705BE">
              <w:rPr>
                <w:sz w:val="22"/>
              </w:rPr>
              <w:t>)</w:t>
            </w:r>
            <w:r w:rsidR="00D63D5D" w:rsidRPr="00E705BE">
              <w:rPr>
                <w:sz w:val="22"/>
              </w:rPr>
              <w:t>.</w:t>
            </w:r>
            <w:r w:rsidR="0068163F" w:rsidRPr="00E705BE">
              <w:rPr>
                <w:sz w:val="22"/>
              </w:rPr>
              <w:t xml:space="preserve"> An increase in the trustee rate </w:t>
            </w:r>
            <w:r w:rsidR="00B722E4" w:rsidRPr="00E705BE">
              <w:rPr>
                <w:sz w:val="22"/>
              </w:rPr>
              <w:t xml:space="preserve">would impose </w:t>
            </w:r>
            <w:r w:rsidR="00DA4400">
              <w:rPr>
                <w:sz w:val="22"/>
              </w:rPr>
              <w:t>the 39</w:t>
            </w:r>
            <w:r w:rsidR="00852144">
              <w:rPr>
                <w:sz w:val="22"/>
              </w:rPr>
              <w:t xml:space="preserve"> percent</w:t>
            </w:r>
            <w:r w:rsidR="00B722E4" w:rsidRPr="00E705BE">
              <w:rPr>
                <w:sz w:val="22"/>
              </w:rPr>
              <w:t xml:space="preserve"> tax </w:t>
            </w:r>
            <w:r w:rsidR="00DA4400">
              <w:rPr>
                <w:sz w:val="22"/>
              </w:rPr>
              <w:t xml:space="preserve">rate </w:t>
            </w:r>
            <w:r w:rsidR="00B722E4" w:rsidRPr="00E705BE">
              <w:rPr>
                <w:sz w:val="22"/>
              </w:rPr>
              <w:t xml:space="preserve">on </w:t>
            </w:r>
            <w:r w:rsidR="00DA4400">
              <w:rPr>
                <w:sz w:val="22"/>
              </w:rPr>
              <w:t xml:space="preserve">taxpayers who benefit from </w:t>
            </w:r>
            <w:r w:rsidR="00D97E88">
              <w:rPr>
                <w:sz w:val="22"/>
              </w:rPr>
              <w:t>income</w:t>
            </w:r>
            <w:r w:rsidR="00DA4400">
              <w:rPr>
                <w:sz w:val="22"/>
              </w:rPr>
              <w:t xml:space="preserve"> in trusts</w:t>
            </w:r>
            <w:r w:rsidR="00FD7516">
              <w:rPr>
                <w:sz w:val="22"/>
              </w:rPr>
              <w:t>, resulting in total tax of $3.7 billion over the forecast period.</w:t>
            </w:r>
          </w:p>
          <w:p w14:paraId="2D7AAB1B" w14:textId="56030133" w:rsidR="00D63D5D" w:rsidRPr="00E705BE" w:rsidRDefault="00D63D5D" w:rsidP="00E705BE">
            <w:pPr>
              <w:pStyle w:val="TableText"/>
              <w:spacing w:before="0" w:after="0" w:line="276" w:lineRule="auto"/>
              <w:rPr>
                <w:sz w:val="22"/>
              </w:rPr>
            </w:pPr>
          </w:p>
          <w:p w14:paraId="536105EE" w14:textId="20E7C610" w:rsidR="00EF09C9" w:rsidRDefault="00EF09C9" w:rsidP="00BA18D7">
            <w:pPr>
              <w:spacing w:after="0"/>
            </w:pPr>
            <w:r w:rsidRPr="00A35147">
              <w:rPr>
                <w:b/>
                <w:bCs/>
              </w:rPr>
              <w:t xml:space="preserve">Table </w:t>
            </w:r>
            <w:r w:rsidR="009A5E45">
              <w:rPr>
                <w:b/>
                <w:bCs/>
              </w:rPr>
              <w:t>3</w:t>
            </w:r>
            <w:r w:rsidR="009A5E45" w:rsidRPr="00BA18D7">
              <w:t xml:space="preserve"> </w:t>
            </w:r>
            <w:r w:rsidRPr="00BA18D7">
              <w:t xml:space="preserve">below shows the number of people potentially impacted by </w:t>
            </w:r>
            <w:r w:rsidR="00EA4690">
              <w:t>the introduction of a</w:t>
            </w:r>
            <w:r w:rsidRPr="00BA18D7">
              <w:t xml:space="preserve"> higher top personal rate</w:t>
            </w:r>
            <w:r w:rsidR="00BA18D7">
              <w:t xml:space="preserve"> </w:t>
            </w:r>
            <w:r w:rsidRPr="00BA18D7">
              <w:t xml:space="preserve">and the additional tax they would pay. </w:t>
            </w:r>
            <w:r w:rsidR="0053140A">
              <w:t>The table assumes no change in the income distribution as a result of COVID-19-related shocks.</w:t>
            </w:r>
          </w:p>
          <w:p w14:paraId="3AF00EE9" w14:textId="77777777" w:rsidR="00BA18D7" w:rsidRPr="00BA18D7" w:rsidRDefault="00BA18D7" w:rsidP="00BA18D7">
            <w:pPr>
              <w:spacing w:after="0"/>
            </w:pPr>
          </w:p>
          <w:p w14:paraId="4C2D65C9" w14:textId="1D9ABF53" w:rsidR="00EF09C9" w:rsidRDefault="00BA18D7"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r>
              <w:rPr>
                <w:rFonts w:ascii="Arial" w:eastAsia="Times New Roman" w:hAnsi="Arial" w:cs="Times New Roman"/>
                <w:b/>
                <w:bCs/>
                <w:sz w:val="22"/>
                <w:szCs w:val="20"/>
                <w:lang w:val="en-GB" w:eastAsia="en-GB"/>
              </w:rPr>
              <w:t xml:space="preserve">Table </w:t>
            </w:r>
            <w:r w:rsidR="009A5E45">
              <w:rPr>
                <w:rFonts w:ascii="Arial" w:eastAsia="Times New Roman" w:hAnsi="Arial" w:cs="Times New Roman"/>
                <w:b/>
                <w:bCs/>
                <w:sz w:val="22"/>
                <w:szCs w:val="20"/>
                <w:lang w:val="en-GB" w:eastAsia="en-GB"/>
              </w:rPr>
              <w:t>3</w:t>
            </w:r>
            <w:r>
              <w:rPr>
                <w:rFonts w:ascii="Arial" w:eastAsia="Times New Roman" w:hAnsi="Arial" w:cs="Times New Roman"/>
                <w:b/>
                <w:bCs/>
                <w:sz w:val="22"/>
                <w:szCs w:val="20"/>
                <w:lang w:val="en-GB" w:eastAsia="en-GB"/>
              </w:rPr>
              <w:t xml:space="preserve">: </w:t>
            </w:r>
            <w:r w:rsidR="00EF09C9" w:rsidRPr="00BA18D7">
              <w:rPr>
                <w:rFonts w:ascii="Arial" w:eastAsia="Times New Roman" w:hAnsi="Arial" w:cs="Times New Roman"/>
                <w:b/>
                <w:bCs/>
                <w:sz w:val="22"/>
                <w:szCs w:val="20"/>
                <w:lang w:val="en-GB" w:eastAsia="en-GB"/>
              </w:rPr>
              <w:t>Number of people and additional tax to pay with new top personal rate</w:t>
            </w:r>
            <w:r w:rsidR="00EA4690">
              <w:rPr>
                <w:rFonts w:ascii="Arial" w:eastAsia="Times New Roman" w:hAnsi="Arial" w:cs="Times New Roman"/>
                <w:b/>
                <w:bCs/>
                <w:sz w:val="22"/>
                <w:szCs w:val="20"/>
                <w:lang w:val="en-GB" w:eastAsia="en-GB"/>
              </w:rPr>
              <w:t xml:space="preserve"> of 39 percent</w:t>
            </w:r>
            <w:r w:rsidR="00EF09C9" w:rsidRPr="00BA18D7">
              <w:rPr>
                <w:rFonts w:ascii="Arial" w:eastAsia="Times New Roman" w:hAnsi="Arial" w:cs="Times New Roman"/>
                <w:b/>
                <w:bCs/>
                <w:sz w:val="22"/>
                <w:szCs w:val="20"/>
                <w:lang w:val="en-GB" w:eastAsia="en-GB"/>
              </w:rPr>
              <w:t xml:space="preserve"> (using 2018/2019 income year data)</w:t>
            </w:r>
            <w:r w:rsidR="009A5E45" w:rsidRPr="00BA18D7" w:rsidDel="009A5E45">
              <w:rPr>
                <w:rStyle w:val="FootnoteReference"/>
                <w:rFonts w:eastAsia="Times New Roman" w:cs="Times New Roman"/>
                <w:b/>
                <w:bCs/>
                <w:szCs w:val="20"/>
                <w:lang w:val="en-GB" w:eastAsia="en-GB"/>
              </w:rPr>
              <w:t xml:space="preserve"> </w:t>
            </w:r>
          </w:p>
          <w:p w14:paraId="0AB98DE6" w14:textId="77777777" w:rsidR="00BA18D7" w:rsidRPr="00BA18D7" w:rsidRDefault="00BA18D7"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tbl>
            <w:tblPr>
              <w:tblW w:w="91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62"/>
              <w:gridCol w:w="3063"/>
            </w:tblGrid>
            <w:tr w:rsidR="00EF09C9" w14:paraId="490202BD" w14:textId="77777777" w:rsidTr="00EF09C9">
              <w:trPr>
                <w:trHeight w:val="604"/>
              </w:trPr>
              <w:tc>
                <w:tcPr>
                  <w:tcW w:w="3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A6A032" w14:textId="77777777" w:rsidR="00EF09C9" w:rsidRPr="00BA18D7" w:rsidRDefault="00EF09C9" w:rsidP="00BA18D7">
                  <w:pPr>
                    <w:spacing w:after="0"/>
                  </w:pPr>
                  <w:r w:rsidRPr="00BA18D7">
                    <w:t xml:space="preserve">For individuals earning between </w:t>
                  </w:r>
                </w:p>
              </w:tc>
              <w:tc>
                <w:tcPr>
                  <w:tcW w:w="3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5C5F48" w14:textId="77777777" w:rsidR="00EF09C9" w:rsidRPr="00BA18D7" w:rsidRDefault="00EF09C9" w:rsidP="00BA18D7">
                  <w:pPr>
                    <w:spacing w:after="0"/>
                  </w:pPr>
                  <w:r w:rsidRPr="00BA18D7">
                    <w:t>Number of people (2018/2019)</w:t>
                  </w:r>
                </w:p>
              </w:tc>
              <w:tc>
                <w:tcPr>
                  <w:tcW w:w="3063" w:type="dxa"/>
                  <w:tcBorders>
                    <w:top w:val="single" w:sz="4" w:space="0" w:color="auto"/>
                    <w:left w:val="single" w:sz="4" w:space="0" w:color="auto"/>
                    <w:bottom w:val="single" w:sz="4" w:space="0" w:color="auto"/>
                    <w:right w:val="single" w:sz="4" w:space="0" w:color="auto"/>
                  </w:tcBorders>
                  <w:shd w:val="clear" w:color="auto" w:fill="D9D9D9"/>
                  <w:hideMark/>
                </w:tcPr>
                <w:p w14:paraId="7DBFFAB6" w14:textId="77777777" w:rsidR="00EF09C9" w:rsidRPr="00BA18D7" w:rsidRDefault="00EF09C9" w:rsidP="00BA18D7">
                  <w:pPr>
                    <w:spacing w:after="0"/>
                  </w:pPr>
                  <w:r w:rsidRPr="00BA18D7">
                    <w:t>Maximum additional tax an individual would pay ($)</w:t>
                  </w:r>
                </w:p>
              </w:tc>
            </w:tr>
            <w:tr w:rsidR="00EF09C9" w14:paraId="0472ED52"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6D2FF8C7" w14:textId="77777777" w:rsidR="00EF09C9" w:rsidRPr="00BA18D7" w:rsidRDefault="00EF09C9" w:rsidP="00BA18D7">
                  <w:pPr>
                    <w:spacing w:after="0"/>
                  </w:pPr>
                  <w:r w:rsidRPr="00BA18D7">
                    <w:t>$180,000 - $190,000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6467EE9D" w14:textId="77777777" w:rsidR="00EF09C9" w:rsidRPr="00BA18D7" w:rsidRDefault="00EF09C9" w:rsidP="00BA18D7">
                  <w:pPr>
                    <w:spacing w:after="0"/>
                    <w:jc w:val="center"/>
                  </w:pPr>
                  <w:r w:rsidRPr="00BA18D7">
                    <w:t>10,500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239F4D9" w14:textId="77777777" w:rsidR="00EF09C9" w:rsidRPr="00BA18D7" w:rsidRDefault="00EF09C9" w:rsidP="00BA18D7">
                  <w:pPr>
                    <w:spacing w:after="0"/>
                    <w:jc w:val="center"/>
                  </w:pPr>
                  <w:r w:rsidRPr="00BA18D7">
                    <w:t>600</w:t>
                  </w:r>
                </w:p>
              </w:tc>
            </w:tr>
            <w:tr w:rsidR="00EF09C9" w14:paraId="23640834"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48071704" w14:textId="77777777" w:rsidR="00EF09C9" w:rsidRPr="00BA18D7" w:rsidRDefault="00EF09C9" w:rsidP="00BA18D7">
                  <w:pPr>
                    <w:spacing w:after="0"/>
                  </w:pPr>
                  <w:r w:rsidRPr="00BA18D7">
                    <w:t>$190,000 - $200,000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530AD613" w14:textId="77777777" w:rsidR="00EF09C9" w:rsidRPr="00BA18D7" w:rsidRDefault="00EF09C9" w:rsidP="00BA18D7">
                  <w:pPr>
                    <w:spacing w:after="0"/>
                    <w:jc w:val="center"/>
                  </w:pPr>
                  <w:r w:rsidRPr="00BA18D7">
                    <w:t>8,600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61C37B74" w14:textId="77777777" w:rsidR="00EF09C9" w:rsidRPr="00BA18D7" w:rsidRDefault="00EF09C9" w:rsidP="00BA18D7">
                  <w:pPr>
                    <w:spacing w:after="0"/>
                    <w:jc w:val="center"/>
                  </w:pPr>
                  <w:r w:rsidRPr="00BA18D7">
                    <w:t>1,200</w:t>
                  </w:r>
                </w:p>
              </w:tc>
            </w:tr>
            <w:tr w:rsidR="00EF09C9" w14:paraId="365A3C86"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4F9B7E6B" w14:textId="77777777" w:rsidR="00EF09C9" w:rsidRPr="00BA18D7" w:rsidRDefault="00EF09C9" w:rsidP="00BA18D7">
                  <w:pPr>
                    <w:spacing w:after="0"/>
                  </w:pPr>
                  <w:r w:rsidRPr="00BA18D7">
                    <w:t>$200,000 - $210,000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1B4DAC4F" w14:textId="77777777" w:rsidR="00EF09C9" w:rsidRPr="00BA18D7" w:rsidRDefault="00EF09C9" w:rsidP="00BA18D7">
                  <w:pPr>
                    <w:spacing w:after="0"/>
                    <w:jc w:val="center"/>
                  </w:pPr>
                  <w:r w:rsidRPr="00BA18D7">
                    <w:t>7,000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DD81996" w14:textId="77777777" w:rsidR="00EF09C9" w:rsidRPr="00BA18D7" w:rsidRDefault="00EF09C9" w:rsidP="00BA18D7">
                  <w:pPr>
                    <w:spacing w:after="0"/>
                    <w:jc w:val="center"/>
                  </w:pPr>
                  <w:r w:rsidRPr="00BA18D7">
                    <w:t>1,800</w:t>
                  </w:r>
                </w:p>
              </w:tc>
            </w:tr>
            <w:tr w:rsidR="00EF09C9" w14:paraId="31EE696F"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3ED0C0E3" w14:textId="77777777" w:rsidR="00EF09C9" w:rsidRPr="00BA18D7" w:rsidRDefault="00EF09C9" w:rsidP="00BA18D7">
                  <w:pPr>
                    <w:spacing w:after="0"/>
                  </w:pPr>
                  <w:r w:rsidRPr="00BA18D7">
                    <w:t>$210,000 - $220,000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6984A6FE" w14:textId="77777777" w:rsidR="00EF09C9" w:rsidRPr="00BA18D7" w:rsidRDefault="00EF09C9" w:rsidP="00BA18D7">
                  <w:pPr>
                    <w:spacing w:after="0"/>
                    <w:jc w:val="center"/>
                  </w:pPr>
                  <w:r w:rsidRPr="00BA18D7">
                    <w:t>7,000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21075902" w14:textId="77777777" w:rsidR="00EF09C9" w:rsidRPr="00BA18D7" w:rsidRDefault="00EF09C9" w:rsidP="00BA18D7">
                  <w:pPr>
                    <w:spacing w:after="0"/>
                    <w:jc w:val="center"/>
                  </w:pPr>
                  <w:r w:rsidRPr="00BA18D7">
                    <w:t>2,400</w:t>
                  </w:r>
                </w:p>
              </w:tc>
            </w:tr>
            <w:tr w:rsidR="00EF09C9" w14:paraId="6652EFC7"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224F9AA6" w14:textId="77777777" w:rsidR="00EF09C9" w:rsidRPr="00BA18D7" w:rsidRDefault="00EF09C9" w:rsidP="00BA18D7">
                  <w:pPr>
                    <w:spacing w:after="0"/>
                  </w:pPr>
                  <w:r w:rsidRPr="00BA18D7">
                    <w:t>$220,000 - $230,000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62EC852E" w14:textId="77777777" w:rsidR="00EF09C9" w:rsidRPr="00BA18D7" w:rsidRDefault="00EF09C9" w:rsidP="00BA18D7">
                  <w:pPr>
                    <w:spacing w:after="0"/>
                    <w:jc w:val="center"/>
                  </w:pPr>
                  <w:r w:rsidRPr="00BA18D7">
                    <w:t>5,700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26BE1C5D" w14:textId="77777777" w:rsidR="00EF09C9" w:rsidRPr="00BA18D7" w:rsidRDefault="00EF09C9" w:rsidP="00BA18D7">
                  <w:pPr>
                    <w:spacing w:after="0"/>
                    <w:jc w:val="center"/>
                  </w:pPr>
                  <w:r w:rsidRPr="00BA18D7">
                    <w:t>3,000</w:t>
                  </w:r>
                </w:p>
              </w:tc>
            </w:tr>
            <w:tr w:rsidR="00EF09C9" w14:paraId="09E0978B"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16C596E3" w14:textId="77777777" w:rsidR="00EF09C9" w:rsidRPr="00BA18D7" w:rsidRDefault="00EF09C9" w:rsidP="00BA18D7">
                  <w:pPr>
                    <w:spacing w:after="0"/>
                  </w:pPr>
                  <w:r w:rsidRPr="00BA18D7">
                    <w:t>$230,000 - $240,000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353A4407" w14:textId="77777777" w:rsidR="00EF09C9" w:rsidRPr="00BA18D7" w:rsidRDefault="00EF09C9" w:rsidP="00BA18D7">
                  <w:pPr>
                    <w:spacing w:after="0"/>
                    <w:jc w:val="center"/>
                  </w:pPr>
                  <w:r w:rsidRPr="00BA18D7">
                    <w:t>4,800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175097EA" w14:textId="77777777" w:rsidR="00EF09C9" w:rsidRPr="00BA18D7" w:rsidRDefault="00EF09C9" w:rsidP="00BA18D7">
                  <w:pPr>
                    <w:spacing w:after="0"/>
                    <w:jc w:val="center"/>
                  </w:pPr>
                  <w:r w:rsidRPr="00BA18D7">
                    <w:t>3,600</w:t>
                  </w:r>
                </w:p>
              </w:tc>
            </w:tr>
            <w:tr w:rsidR="00EF09C9" w14:paraId="1FC839D2"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0822776E" w14:textId="77777777" w:rsidR="00EF09C9" w:rsidRPr="00BA18D7" w:rsidRDefault="00EF09C9" w:rsidP="00BA18D7">
                  <w:pPr>
                    <w:spacing w:after="0"/>
                  </w:pPr>
                  <w:r w:rsidRPr="00BA18D7">
                    <w:t>$240,000 - $250,000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2D4C78D3" w14:textId="77777777" w:rsidR="00EF09C9" w:rsidRPr="00BA18D7" w:rsidRDefault="00EF09C9" w:rsidP="00BA18D7">
                  <w:pPr>
                    <w:spacing w:after="0"/>
                    <w:jc w:val="center"/>
                  </w:pPr>
                  <w:r w:rsidRPr="00BA18D7">
                    <w:t>4,200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69C40387" w14:textId="77777777" w:rsidR="00EF09C9" w:rsidRPr="00BA18D7" w:rsidRDefault="00EF09C9" w:rsidP="00BA18D7">
                  <w:pPr>
                    <w:spacing w:after="0"/>
                    <w:jc w:val="center"/>
                  </w:pPr>
                  <w:r w:rsidRPr="00BA18D7">
                    <w:t>4,200</w:t>
                  </w:r>
                </w:p>
              </w:tc>
            </w:tr>
            <w:tr w:rsidR="00EF09C9" w14:paraId="0A848AD8"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5F5EF6B8" w14:textId="77777777" w:rsidR="00EF09C9" w:rsidRPr="00BA18D7" w:rsidRDefault="00EF09C9" w:rsidP="00BA18D7">
                  <w:pPr>
                    <w:spacing w:after="0"/>
                  </w:pPr>
                  <w:r w:rsidRPr="00BA18D7">
                    <w:t>$250,000+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592BCAFB" w14:textId="77777777" w:rsidR="00EF09C9" w:rsidRPr="00BA18D7" w:rsidRDefault="00EF09C9" w:rsidP="00BA18D7">
                  <w:pPr>
                    <w:spacing w:after="0"/>
                    <w:jc w:val="center"/>
                  </w:pPr>
                  <w:r w:rsidRPr="00BA18D7">
                    <w:t>38,900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016ECBC" w14:textId="77777777" w:rsidR="00EF09C9" w:rsidRPr="00BA18D7" w:rsidRDefault="00EF09C9" w:rsidP="00BA18D7">
                  <w:pPr>
                    <w:spacing w:after="0"/>
                    <w:jc w:val="center"/>
                  </w:pPr>
                  <w:r w:rsidRPr="00BA18D7">
                    <w:t>&gt;4,200</w:t>
                  </w:r>
                </w:p>
              </w:tc>
            </w:tr>
            <w:tr w:rsidR="00EF09C9" w14:paraId="24A6E683" w14:textId="77777777" w:rsidTr="00EF09C9">
              <w:trPr>
                <w:trHeight w:val="276"/>
              </w:trPr>
              <w:tc>
                <w:tcPr>
                  <w:tcW w:w="3062" w:type="dxa"/>
                  <w:tcBorders>
                    <w:top w:val="single" w:sz="4" w:space="0" w:color="auto"/>
                    <w:left w:val="single" w:sz="4" w:space="0" w:color="auto"/>
                    <w:bottom w:val="single" w:sz="4" w:space="0" w:color="auto"/>
                    <w:right w:val="single" w:sz="4" w:space="0" w:color="auto"/>
                  </w:tcBorders>
                  <w:vAlign w:val="center"/>
                  <w:hideMark/>
                </w:tcPr>
                <w:p w14:paraId="19CF29D5" w14:textId="77777777" w:rsidR="00EF09C9" w:rsidRPr="00BA18D7" w:rsidRDefault="00EF09C9" w:rsidP="00BA18D7">
                  <w:pPr>
                    <w:spacing w:after="0"/>
                  </w:pPr>
                  <w:r w:rsidRPr="00BA18D7">
                    <w:t>Total:</w:t>
                  </w:r>
                </w:p>
              </w:tc>
              <w:tc>
                <w:tcPr>
                  <w:tcW w:w="3062" w:type="dxa"/>
                  <w:tcBorders>
                    <w:top w:val="single" w:sz="4" w:space="0" w:color="auto"/>
                    <w:left w:val="single" w:sz="4" w:space="0" w:color="auto"/>
                    <w:bottom w:val="single" w:sz="4" w:space="0" w:color="auto"/>
                    <w:right w:val="single" w:sz="4" w:space="0" w:color="auto"/>
                  </w:tcBorders>
                  <w:vAlign w:val="center"/>
                  <w:hideMark/>
                </w:tcPr>
                <w:p w14:paraId="3B849BB4" w14:textId="77777777" w:rsidR="00EF09C9" w:rsidRPr="00BA18D7" w:rsidRDefault="00EF09C9" w:rsidP="00BA18D7">
                  <w:pPr>
                    <w:spacing w:after="0"/>
                    <w:jc w:val="center"/>
                  </w:pPr>
                  <w:r w:rsidRPr="00BA18D7">
                    <w:t>86,700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69560912" w14:textId="77777777" w:rsidR="00EF09C9" w:rsidRPr="00BA18D7" w:rsidRDefault="00EF09C9" w:rsidP="00BA18D7">
                  <w:pPr>
                    <w:spacing w:after="0"/>
                    <w:jc w:val="center"/>
                  </w:pPr>
                  <w:r w:rsidRPr="00BA18D7">
                    <w:t>N/A</w:t>
                  </w:r>
                </w:p>
              </w:tc>
            </w:tr>
          </w:tbl>
          <w:p w14:paraId="555FDDB1" w14:textId="77777777" w:rsidR="00725B48" w:rsidRDefault="00725B48" w:rsidP="00BA18D7">
            <w:pPr>
              <w:pStyle w:val="NumberedParagraph"/>
              <w:numPr>
                <w:ilvl w:val="0"/>
                <w:numId w:val="0"/>
              </w:numPr>
              <w:tabs>
                <w:tab w:val="left" w:pos="720"/>
              </w:tabs>
              <w:spacing w:after="0"/>
              <w:ind w:left="709" w:hanging="709"/>
              <w:rPr>
                <w:rFonts w:ascii="Arial" w:eastAsia="Times New Roman" w:hAnsi="Arial" w:cs="Times New Roman"/>
                <w:sz w:val="22"/>
                <w:szCs w:val="20"/>
                <w:lang w:val="en-GB" w:eastAsia="en-GB"/>
              </w:rPr>
            </w:pPr>
          </w:p>
          <w:p w14:paraId="31E5E371" w14:textId="6669B02E" w:rsidR="00EF09C9" w:rsidRPr="007F0AF4" w:rsidRDefault="00EF09C9" w:rsidP="00BA18D7">
            <w:pPr>
              <w:pStyle w:val="NumberedParagraph"/>
              <w:numPr>
                <w:ilvl w:val="0"/>
                <w:numId w:val="0"/>
              </w:numPr>
              <w:tabs>
                <w:tab w:val="left" w:pos="720"/>
              </w:tabs>
              <w:spacing w:after="0"/>
              <w:ind w:left="709" w:hanging="709"/>
              <w:rPr>
                <w:rFonts w:ascii="Arial" w:eastAsia="Times New Roman" w:hAnsi="Arial" w:cs="Times New Roman"/>
                <w:sz w:val="18"/>
                <w:szCs w:val="16"/>
                <w:lang w:val="en-GB" w:eastAsia="en-GB"/>
              </w:rPr>
            </w:pPr>
            <w:r w:rsidRPr="007F0AF4">
              <w:rPr>
                <w:rFonts w:ascii="Arial" w:eastAsia="Times New Roman" w:hAnsi="Arial" w:cs="Times New Roman"/>
                <w:sz w:val="18"/>
                <w:szCs w:val="16"/>
                <w:lang w:val="en-GB" w:eastAsia="en-GB"/>
              </w:rPr>
              <w:t>Source: Inland Revenue and The Treasury</w:t>
            </w:r>
            <w:r w:rsidR="00B83DC6" w:rsidRPr="007F0AF4">
              <w:rPr>
                <w:rFonts w:ascii="Arial" w:eastAsia="Times New Roman" w:hAnsi="Arial" w:cs="Times New Roman"/>
                <w:sz w:val="18"/>
                <w:szCs w:val="16"/>
                <w:lang w:val="en-GB" w:eastAsia="en-GB"/>
              </w:rPr>
              <w:t>.</w:t>
            </w:r>
          </w:p>
          <w:p w14:paraId="27E88495" w14:textId="73713918" w:rsidR="00BA18D7" w:rsidRDefault="00BA18D7"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305F6307" w14:textId="5F5F600C" w:rsidR="0053140A" w:rsidRDefault="00BA18D7" w:rsidP="00BA18D7">
            <w:pPr>
              <w:pStyle w:val="NumberedParagraph"/>
              <w:numPr>
                <w:ilvl w:val="0"/>
                <w:numId w:val="0"/>
              </w:numPr>
              <w:tabs>
                <w:tab w:val="left" w:pos="720"/>
              </w:tabs>
              <w:spacing w:after="0"/>
              <w:rPr>
                <w:rFonts w:ascii="Arial" w:eastAsia="Times New Roman" w:hAnsi="Arial" w:cs="Times New Roman"/>
                <w:sz w:val="22"/>
                <w:szCs w:val="20"/>
                <w:lang w:val="en-GB" w:eastAsia="en-GB"/>
              </w:rPr>
            </w:pPr>
            <w:r w:rsidRPr="00A35147">
              <w:rPr>
                <w:rFonts w:ascii="Arial" w:eastAsia="Times New Roman" w:hAnsi="Arial" w:cs="Times New Roman"/>
                <w:b/>
                <w:bCs/>
                <w:sz w:val="22"/>
                <w:szCs w:val="20"/>
                <w:lang w:val="en-GB" w:eastAsia="en-GB"/>
              </w:rPr>
              <w:t>Figure 1</w:t>
            </w:r>
            <w:r>
              <w:rPr>
                <w:rFonts w:ascii="Arial" w:eastAsia="Times New Roman" w:hAnsi="Arial" w:cs="Times New Roman"/>
                <w:sz w:val="22"/>
                <w:szCs w:val="20"/>
                <w:lang w:val="en-GB" w:eastAsia="en-GB"/>
              </w:rPr>
              <w:t xml:space="preserve"> </w:t>
            </w:r>
            <w:r w:rsidR="00EA4690">
              <w:rPr>
                <w:rFonts w:ascii="Arial" w:eastAsia="Times New Roman" w:hAnsi="Arial" w:cs="Times New Roman"/>
                <w:sz w:val="22"/>
                <w:szCs w:val="20"/>
                <w:lang w:val="en-GB" w:eastAsia="en-GB"/>
              </w:rPr>
              <w:t xml:space="preserve">below </w:t>
            </w:r>
            <w:r w:rsidR="004E5668" w:rsidRPr="007F0AF4">
              <w:rPr>
                <w:rFonts w:ascii="Arial" w:eastAsia="Times New Roman" w:hAnsi="Arial" w:cs="Times New Roman"/>
                <w:sz w:val="22"/>
                <w:szCs w:val="20"/>
                <w:lang w:val="en-GB" w:eastAsia="en-GB"/>
              </w:rPr>
              <w:t>illustrates how an increase in the marginal tax rate to 39</w:t>
            </w:r>
            <w:r w:rsidR="00A2728A">
              <w:rPr>
                <w:rFonts w:ascii="Arial" w:eastAsia="Times New Roman" w:hAnsi="Arial" w:cs="Times New Roman"/>
                <w:sz w:val="22"/>
                <w:szCs w:val="20"/>
                <w:lang w:val="en-GB" w:eastAsia="en-GB"/>
              </w:rPr>
              <w:t xml:space="preserve"> percent</w:t>
            </w:r>
            <w:r w:rsidR="004E5668" w:rsidRPr="007F0AF4">
              <w:rPr>
                <w:rFonts w:ascii="Arial" w:eastAsia="Times New Roman" w:hAnsi="Arial" w:cs="Times New Roman"/>
                <w:sz w:val="22"/>
                <w:szCs w:val="20"/>
                <w:lang w:val="en-GB" w:eastAsia="en-GB"/>
              </w:rPr>
              <w:t xml:space="preserve"> for income above $180,000 would increase average personal tax rates for individuals. This graph only relates to income taxed at the personal rate (</w:t>
            </w:r>
            <w:proofErr w:type="gramStart"/>
            <w:r w:rsidR="004E5668" w:rsidRPr="007F0AF4">
              <w:rPr>
                <w:rFonts w:ascii="Arial" w:eastAsia="Times New Roman" w:hAnsi="Arial" w:cs="Times New Roman"/>
                <w:sz w:val="22"/>
                <w:szCs w:val="20"/>
                <w:lang w:val="en-GB" w:eastAsia="en-GB"/>
              </w:rPr>
              <w:t>i.e.</w:t>
            </w:r>
            <w:proofErr w:type="gramEnd"/>
            <w:r w:rsidR="004E5668" w:rsidRPr="007F0AF4">
              <w:rPr>
                <w:rFonts w:ascii="Arial" w:eastAsia="Times New Roman" w:hAnsi="Arial" w:cs="Times New Roman"/>
                <w:sz w:val="22"/>
                <w:szCs w:val="20"/>
                <w:lang w:val="en-GB" w:eastAsia="en-GB"/>
              </w:rPr>
              <w:t xml:space="preserve"> does not include trust</w:t>
            </w:r>
            <w:r w:rsidR="00FE2558">
              <w:rPr>
                <w:rFonts w:ascii="Arial" w:eastAsia="Times New Roman" w:hAnsi="Arial" w:cs="Times New Roman"/>
                <w:sz w:val="22"/>
                <w:szCs w:val="20"/>
                <w:lang w:val="en-GB" w:eastAsia="en-GB"/>
              </w:rPr>
              <w:t>ee</w:t>
            </w:r>
            <w:r w:rsidR="004E5668" w:rsidRPr="007F0AF4">
              <w:rPr>
                <w:rFonts w:ascii="Arial" w:eastAsia="Times New Roman" w:hAnsi="Arial" w:cs="Times New Roman"/>
                <w:sz w:val="22"/>
                <w:szCs w:val="20"/>
                <w:lang w:val="en-GB" w:eastAsia="en-GB"/>
              </w:rPr>
              <w:t>, company</w:t>
            </w:r>
            <w:r w:rsidR="000D1208">
              <w:rPr>
                <w:rFonts w:ascii="Arial" w:eastAsia="Times New Roman" w:hAnsi="Arial" w:cs="Times New Roman"/>
                <w:sz w:val="22"/>
                <w:szCs w:val="20"/>
                <w:lang w:val="en-GB" w:eastAsia="en-GB"/>
              </w:rPr>
              <w:t>,</w:t>
            </w:r>
            <w:r w:rsidR="004E5668" w:rsidRPr="007F0AF4">
              <w:rPr>
                <w:rFonts w:ascii="Arial" w:eastAsia="Times New Roman" w:hAnsi="Arial" w:cs="Times New Roman"/>
                <w:sz w:val="22"/>
                <w:szCs w:val="20"/>
                <w:lang w:val="en-GB" w:eastAsia="en-GB"/>
              </w:rPr>
              <w:t xml:space="preserve"> or PIE income).</w:t>
            </w:r>
          </w:p>
          <w:p w14:paraId="72ACD0AA" w14:textId="6BF8519A" w:rsidR="00BA18D7" w:rsidRDefault="0053140A"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r>
              <w:rPr>
                <w:rFonts w:ascii="Arial" w:eastAsia="Times New Roman" w:hAnsi="Arial" w:cs="Times New Roman"/>
                <w:sz w:val="22"/>
                <w:szCs w:val="20"/>
                <w:lang w:val="en-GB" w:eastAsia="en-GB"/>
              </w:rPr>
              <w:t xml:space="preserve"> </w:t>
            </w:r>
          </w:p>
          <w:p w14:paraId="06B96334" w14:textId="27107279" w:rsidR="00E843F4" w:rsidRDefault="00E843F4"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3D04413B" w14:textId="77777777" w:rsidR="001B3F24" w:rsidRDefault="001B3F24"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5B806B30" w14:textId="689CFA29"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6935DC0C" w14:textId="52479A71"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1FFCB1FA" w14:textId="3C447DE4"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2A9E64E7" w14:textId="1991B9ED"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069681EF" w14:textId="57035037"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35293622" w14:textId="090E7C43"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0BC1DBE0" w14:textId="77777777" w:rsidR="006709AB" w:rsidRDefault="006709AB"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p>
          <w:p w14:paraId="1542948D" w14:textId="0867872C" w:rsidR="0033394E" w:rsidRDefault="00725B48"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r>
              <w:rPr>
                <w:rFonts w:ascii="Arial" w:eastAsia="Times New Roman" w:hAnsi="Arial" w:cs="Times New Roman"/>
                <w:b/>
                <w:bCs/>
                <w:sz w:val="22"/>
                <w:szCs w:val="20"/>
                <w:lang w:val="en-GB" w:eastAsia="en-GB"/>
              </w:rPr>
              <w:t xml:space="preserve">Figure 1: </w:t>
            </w:r>
            <w:r w:rsidR="0033394E" w:rsidRPr="00BA18D7">
              <w:rPr>
                <w:rFonts w:ascii="Arial" w:eastAsia="Times New Roman" w:hAnsi="Arial" w:cs="Times New Roman"/>
                <w:b/>
                <w:bCs/>
                <w:sz w:val="22"/>
                <w:szCs w:val="20"/>
                <w:lang w:val="en-GB" w:eastAsia="en-GB"/>
              </w:rPr>
              <w:t>Average tax rates for top rate of 39</w:t>
            </w:r>
            <w:r>
              <w:rPr>
                <w:rFonts w:ascii="Arial" w:eastAsia="Times New Roman" w:hAnsi="Arial" w:cs="Times New Roman"/>
                <w:b/>
                <w:bCs/>
                <w:sz w:val="22"/>
                <w:szCs w:val="20"/>
                <w:lang w:val="en-GB" w:eastAsia="en-GB"/>
              </w:rPr>
              <w:t xml:space="preserve"> percent</w:t>
            </w:r>
            <w:r w:rsidR="0033394E" w:rsidRPr="00BA18D7">
              <w:rPr>
                <w:rFonts w:ascii="Arial" w:eastAsia="Times New Roman" w:hAnsi="Arial" w:cs="Times New Roman"/>
                <w:b/>
                <w:bCs/>
                <w:sz w:val="22"/>
                <w:szCs w:val="20"/>
                <w:lang w:val="en-GB" w:eastAsia="en-GB"/>
              </w:rPr>
              <w:t xml:space="preserve"> applying at $180,000</w:t>
            </w:r>
          </w:p>
          <w:p w14:paraId="7EE21EB3" w14:textId="46F15A9A" w:rsidR="0065766C" w:rsidRPr="00BA18D7" w:rsidRDefault="0065766C" w:rsidP="00BA18D7">
            <w:pPr>
              <w:pStyle w:val="NumberedParagraph"/>
              <w:numPr>
                <w:ilvl w:val="0"/>
                <w:numId w:val="0"/>
              </w:numPr>
              <w:tabs>
                <w:tab w:val="left" w:pos="720"/>
              </w:tabs>
              <w:spacing w:after="0"/>
              <w:rPr>
                <w:rFonts w:ascii="Arial" w:eastAsia="Times New Roman" w:hAnsi="Arial" w:cs="Times New Roman"/>
                <w:b/>
                <w:bCs/>
                <w:sz w:val="22"/>
                <w:szCs w:val="20"/>
                <w:lang w:val="en-GB" w:eastAsia="en-GB"/>
              </w:rPr>
            </w:pPr>
            <w:r>
              <w:rPr>
                <w:rFonts w:ascii="Arial" w:eastAsia="Times New Roman" w:hAnsi="Arial" w:cs="Times New Roman"/>
                <w:b/>
                <w:bCs/>
                <w:noProof/>
                <w:sz w:val="22"/>
                <w:szCs w:val="20"/>
                <w:lang w:val="en-GB" w:eastAsia="en-GB"/>
              </w:rPr>
              <w:drawing>
                <wp:inline distT="0" distB="0" distL="0" distR="0" wp14:anchorId="4B54BCE6" wp14:editId="3CEF648D">
                  <wp:extent cx="5730875" cy="33591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3359150"/>
                          </a:xfrm>
                          <a:prstGeom prst="rect">
                            <a:avLst/>
                          </a:prstGeom>
                          <a:noFill/>
                        </pic:spPr>
                      </pic:pic>
                    </a:graphicData>
                  </a:graphic>
                </wp:inline>
              </w:drawing>
            </w:r>
          </w:p>
          <w:p w14:paraId="40E9B766" w14:textId="7BFE5AE5" w:rsidR="0033394E" w:rsidRPr="00C32356" w:rsidRDefault="0033394E" w:rsidP="00C32356">
            <w:pPr>
              <w:spacing w:after="0"/>
            </w:pPr>
            <w:r w:rsidRPr="007F0AF4">
              <w:rPr>
                <w:sz w:val="18"/>
                <w:szCs w:val="16"/>
              </w:rPr>
              <w:t>Source: The Treasury</w:t>
            </w:r>
            <w:r w:rsidR="00B83DC6">
              <w:t>.</w:t>
            </w:r>
          </w:p>
          <w:p w14:paraId="39DCC6AD" w14:textId="77777777" w:rsidR="00B47C2D" w:rsidRDefault="00B47C2D" w:rsidP="00BA18D7">
            <w:pPr>
              <w:spacing w:after="0"/>
            </w:pPr>
          </w:p>
          <w:p w14:paraId="3B6936BE" w14:textId="56772A84" w:rsidR="006641E5" w:rsidRDefault="006641E5" w:rsidP="00BA18D7">
            <w:pPr>
              <w:spacing w:after="0"/>
            </w:pPr>
            <w:r>
              <w:t>If</w:t>
            </w:r>
            <w:r w:rsidR="004D699D">
              <w:t xml:space="preserve"> </w:t>
            </w:r>
            <w:r w:rsidR="00932CE5">
              <w:t xml:space="preserve">more </w:t>
            </w:r>
            <w:r w:rsidR="004D699D">
              <w:t>structuring activity</w:t>
            </w:r>
            <w:r w:rsidR="00932CE5">
              <w:t xml:space="preserve"> than expected</w:t>
            </w:r>
            <w:r w:rsidR="004D699D">
              <w:t xml:space="preserve"> </w:t>
            </w:r>
            <w:r w:rsidR="002949D7">
              <w:t>occurs as a result of people avoiding the 39</w:t>
            </w:r>
            <w:r w:rsidR="005D146C">
              <w:t xml:space="preserve"> percent</w:t>
            </w:r>
            <w:r w:rsidR="002949D7">
              <w:t xml:space="preserve"> rate</w:t>
            </w:r>
            <w:r w:rsidR="00932CE5">
              <w:t>, then the revenue generated by this proposal will be less than forecast</w:t>
            </w:r>
            <w:r w:rsidR="00C27492">
              <w:t>. This has non-monetary impacts as well, such as</w:t>
            </w:r>
            <w:r w:rsidR="00563F3B">
              <w:t xml:space="preserve"> eroding public confidence in the tax system and voluntary compliance. This would have a negative impact on tax integrity. </w:t>
            </w:r>
          </w:p>
          <w:p w14:paraId="34A6F481" w14:textId="03FEB795" w:rsidR="00A53DA6" w:rsidRDefault="00A53DA6" w:rsidP="00BA18D7">
            <w:pPr>
              <w:spacing w:after="0"/>
            </w:pPr>
          </w:p>
          <w:p w14:paraId="5DD583E0" w14:textId="01DC69C0" w:rsidR="00A53DA6" w:rsidRPr="00210C3D" w:rsidRDefault="00C61802" w:rsidP="00BA18D7">
            <w:pPr>
              <w:spacing w:after="0"/>
            </w:pPr>
            <w:r>
              <w:t xml:space="preserve">The Cabinet paper proposes that </w:t>
            </w:r>
            <w:r w:rsidR="00B30B85">
              <w:t xml:space="preserve">Inland Revenue will collect more information </w:t>
            </w:r>
            <w:r w:rsidR="00792CF4">
              <w:t xml:space="preserve">on </w:t>
            </w:r>
            <w:r w:rsidR="006E3200">
              <w:t>trust assets</w:t>
            </w:r>
            <w:r w:rsidR="002D715D">
              <w:t>,</w:t>
            </w:r>
            <w:r w:rsidR="006E3200">
              <w:t xml:space="preserve"> liabilities</w:t>
            </w:r>
            <w:r w:rsidR="002D715D">
              <w:t>,</w:t>
            </w:r>
            <w:r w:rsidR="006E3200">
              <w:t xml:space="preserve"> and distributions. This will increase compliance costs for trustees</w:t>
            </w:r>
            <w:r w:rsidR="00792CF4">
              <w:t xml:space="preserve"> on top of recent changes to the Trust Act 2019</w:t>
            </w:r>
            <w:r w:rsidR="008B0733">
              <w:t>,</w:t>
            </w:r>
            <w:r w:rsidR="00244448">
              <w:t xml:space="preserve"> but it is necessary to ensure the effectiveness of the policy</w:t>
            </w:r>
            <w:r w:rsidR="008B0733">
              <w:t xml:space="preserve"> and it will be an important part of monitoring any systemic issues. </w:t>
            </w:r>
            <w:r w:rsidR="00706FCF">
              <w:t>These costs will be mitigated by endeavouring to collect the information in the most efficient manner</w:t>
            </w:r>
            <w:r w:rsidR="00A4397C">
              <w:t>, but a lack of consultation may mean that lower-cost options to collect the information are missed.</w:t>
            </w:r>
            <w:r w:rsidR="00DA4400">
              <w:t xml:space="preserve"> The cost is likely to be material because of the large number of trustee tax returns (245,000) Inland Revenue collects annually.</w:t>
            </w:r>
          </w:p>
          <w:p w14:paraId="4E4C4609" w14:textId="77777777" w:rsidR="0062657E" w:rsidRPr="00210C3D" w:rsidRDefault="0062657E" w:rsidP="00BA18D7">
            <w:pPr>
              <w:pStyle w:val="TableText"/>
              <w:spacing w:before="0" w:after="0" w:line="276" w:lineRule="auto"/>
              <w:rPr>
                <w:sz w:val="22"/>
              </w:rPr>
            </w:pPr>
          </w:p>
        </w:tc>
      </w:tr>
    </w:tbl>
    <w:p w14:paraId="0D3D0DC8" w14:textId="77777777" w:rsidR="0062657E" w:rsidRPr="00143420" w:rsidRDefault="0062657E" w:rsidP="00BA18D7">
      <w:pPr>
        <w:pStyle w:val="spacer"/>
        <w:rPr>
          <w:sz w:val="22"/>
        </w:rPr>
      </w:pPr>
    </w:p>
    <w:tbl>
      <w:tblPr>
        <w:tblW w:w="952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526"/>
      </w:tblGrid>
      <w:tr w:rsidR="00210C3D" w:rsidRPr="00210C3D" w14:paraId="7815ECDE" w14:textId="77777777" w:rsidTr="002C6C69">
        <w:tc>
          <w:tcPr>
            <w:tcW w:w="9526" w:type="dxa"/>
            <w:shd w:val="clear" w:color="auto" w:fill="99CDDD"/>
          </w:tcPr>
          <w:p w14:paraId="7A465ACA" w14:textId="25BD8EAA" w:rsidR="0062657E" w:rsidRPr="00210C3D" w:rsidRDefault="0062657E" w:rsidP="00BA18D7">
            <w:pPr>
              <w:keepNext/>
              <w:spacing w:after="0" w:line="240" w:lineRule="auto"/>
              <w:rPr>
                <w:b/>
                <w:i/>
                <w:szCs w:val="22"/>
              </w:rPr>
            </w:pPr>
            <w:r w:rsidRPr="00210C3D">
              <w:rPr>
                <w:b/>
                <w:szCs w:val="22"/>
              </w:rPr>
              <w:t>What are the likely risks and unintended impacts</w:t>
            </w:r>
            <w:r w:rsidR="00D96EB2">
              <w:rPr>
                <w:b/>
                <w:szCs w:val="22"/>
              </w:rPr>
              <w:t>?</w:t>
            </w:r>
            <w:r w:rsidRPr="00210C3D">
              <w:rPr>
                <w:b/>
                <w:szCs w:val="22"/>
              </w:rPr>
              <w:t xml:space="preserve"> </w:t>
            </w:r>
            <w:r w:rsidR="009F3AAF">
              <w:rPr>
                <w:b/>
                <w:szCs w:val="22"/>
              </w:rPr>
              <w:t>H</w:t>
            </w:r>
            <w:r w:rsidRPr="00210C3D">
              <w:rPr>
                <w:b/>
                <w:szCs w:val="22"/>
              </w:rPr>
              <w:t xml:space="preserve">ow significant are they and how will they be minimised or mitigated? </w:t>
            </w:r>
          </w:p>
        </w:tc>
      </w:tr>
      <w:tr w:rsidR="00210C3D" w:rsidRPr="00210C3D" w14:paraId="190C547C" w14:textId="77777777" w:rsidTr="002C6C69">
        <w:tc>
          <w:tcPr>
            <w:tcW w:w="9526" w:type="dxa"/>
            <w:shd w:val="clear" w:color="auto" w:fill="FFFFFF"/>
          </w:tcPr>
          <w:p w14:paraId="22144EDB" w14:textId="21EEBCFB" w:rsidR="009542FD" w:rsidRDefault="009542FD" w:rsidP="00BA18D7">
            <w:pPr>
              <w:spacing w:after="0"/>
            </w:pPr>
          </w:p>
          <w:p w14:paraId="7FEDA3A2" w14:textId="7DFD7F41" w:rsidR="00982D9C" w:rsidRDefault="00982D9C" w:rsidP="00982D9C">
            <w:pPr>
              <w:spacing w:after="0"/>
            </w:pPr>
            <w:r>
              <w:t xml:space="preserve">The unintended impacts of the proposal can generally be categorised as </w:t>
            </w:r>
            <w:r w:rsidRPr="00063550">
              <w:rPr>
                <w:b/>
                <w:bCs/>
              </w:rPr>
              <w:t>economic impacts</w:t>
            </w:r>
            <w:r>
              <w:t xml:space="preserve"> or </w:t>
            </w:r>
            <w:r w:rsidRPr="00063550">
              <w:rPr>
                <w:b/>
                <w:bCs/>
              </w:rPr>
              <w:t>integrity impacts</w:t>
            </w:r>
            <w:r>
              <w:t>. The main risk of the proposal is that the tax revenue collected from the proposal may be less than expected due to</w:t>
            </w:r>
            <w:r w:rsidR="00BF3082">
              <w:t xml:space="preserve"> structuring</w:t>
            </w:r>
            <w:r>
              <w:t xml:space="preserve"> arrangements. </w:t>
            </w:r>
          </w:p>
          <w:p w14:paraId="5AAB6ACC" w14:textId="77777777" w:rsidR="00982D9C" w:rsidRDefault="00982D9C" w:rsidP="00982D9C">
            <w:pPr>
              <w:spacing w:after="0"/>
            </w:pPr>
          </w:p>
          <w:p w14:paraId="1097FB1F" w14:textId="2792A5CA" w:rsidR="000C2565" w:rsidRDefault="00982D9C" w:rsidP="00982D9C">
            <w:pPr>
              <w:spacing w:after="0"/>
            </w:pPr>
            <w:r>
              <w:t xml:space="preserve">Unintended </w:t>
            </w:r>
            <w:r w:rsidRPr="000D2F51">
              <w:rPr>
                <w:b/>
                <w:bCs/>
              </w:rPr>
              <w:t>economic impacts</w:t>
            </w:r>
            <w:r>
              <w:t xml:space="preserve"> include the efficiency costs from higher taxes on individual investment and savings, business investment, and human capital and labour markets. These are inevitable (but unintended) downsides of a new higher top marginal tax rate. The costs are likely to be higher per dollar of revenue raised the easier it is for high-income earners to sidestep the new higher tax rate. </w:t>
            </w:r>
            <w:r w:rsidR="000C2565">
              <w:t>If it is particularly easy to step around paying higher rates of tax, the additional revenue raised falls while total costs increase as</w:t>
            </w:r>
            <w:r w:rsidR="003F5027">
              <w:t xml:space="preserve"> more</w:t>
            </w:r>
            <w:r w:rsidR="000C2565">
              <w:t xml:space="preserve"> people change their behaviour, even if the cost to any individual is small. This results in the costs per dollar of revenue raised being high, because the numerator (costs) </w:t>
            </w:r>
            <w:r w:rsidR="00A245C4">
              <w:t xml:space="preserve">likely </w:t>
            </w:r>
            <w:r w:rsidR="000C2565">
              <w:t>grows while the denominator (revenue) falls.</w:t>
            </w:r>
          </w:p>
          <w:p w14:paraId="03EFB1EC" w14:textId="77777777" w:rsidR="000C2565" w:rsidRDefault="000C2565" w:rsidP="00982D9C">
            <w:pPr>
              <w:spacing w:after="0"/>
            </w:pPr>
          </w:p>
          <w:p w14:paraId="74AC8081" w14:textId="20C09853" w:rsidR="00982D9C" w:rsidRDefault="00982D9C" w:rsidP="00982D9C">
            <w:pPr>
              <w:spacing w:after="0"/>
            </w:pPr>
            <w:r>
              <w:t xml:space="preserve">Given that the Government has committed to introducing a new top personal income tax rate, </w:t>
            </w:r>
            <w:r w:rsidR="006B3B8D">
              <w:t xml:space="preserve">Inland Revenue is recommending an option that minimises the unintended economic impacts through ensuring alignment of the </w:t>
            </w:r>
            <w:r w:rsidR="000D1208">
              <w:t xml:space="preserve">top personal rate and the </w:t>
            </w:r>
            <w:r w:rsidR="006B3B8D">
              <w:t xml:space="preserve">trustee rate </w:t>
            </w:r>
            <w:r w:rsidR="00BD79DA">
              <w:t xml:space="preserve">as well as </w:t>
            </w:r>
            <w:r w:rsidR="00BF3082">
              <w:t>further investigation of</w:t>
            </w:r>
            <w:r w:rsidR="006B3B8D">
              <w:t xml:space="preserve"> integrity measures. </w:t>
            </w:r>
          </w:p>
          <w:p w14:paraId="373A6C0F" w14:textId="77777777" w:rsidR="00982D9C" w:rsidRDefault="00982D9C" w:rsidP="00982D9C">
            <w:pPr>
              <w:spacing w:after="0"/>
            </w:pPr>
          </w:p>
          <w:p w14:paraId="496444C8" w14:textId="54B7275A" w:rsidR="006B3B8D" w:rsidRDefault="00982D9C" w:rsidP="006B3B8D">
            <w:pPr>
              <w:spacing w:after="0"/>
            </w:pPr>
            <w:r>
              <w:t xml:space="preserve">Unintended </w:t>
            </w:r>
            <w:r w:rsidRPr="002A3196">
              <w:rPr>
                <w:b/>
                <w:bCs/>
              </w:rPr>
              <w:t>integrity impacts</w:t>
            </w:r>
            <w:r>
              <w:t xml:space="preserve"> include impacts resulting from structuring to avoid the 39 percent rate. Inland Revenue considers the risk of these impacts to be significant and the preferred approach for mitigating these risks is to increase the trustee rate as well as </w:t>
            </w:r>
            <w:r w:rsidR="00EB0D91">
              <w:t>investigating</w:t>
            </w:r>
            <w:r>
              <w:t xml:space="preserve"> integrity measures. </w:t>
            </w:r>
            <w:r w:rsidR="006B3B8D">
              <w:t>The integrity risks can be mitigated in two ways:</w:t>
            </w:r>
          </w:p>
          <w:p w14:paraId="26AF9ABB" w14:textId="77777777" w:rsidR="006B3B8D" w:rsidRDefault="006B3B8D" w:rsidP="006B3B8D">
            <w:pPr>
              <w:spacing w:after="0"/>
            </w:pPr>
          </w:p>
          <w:p w14:paraId="39CFB05B" w14:textId="6F301A67" w:rsidR="006B3B8D" w:rsidRDefault="006B3B8D" w:rsidP="006B3B8D">
            <w:pPr>
              <w:pStyle w:val="ListParagraph"/>
              <w:numPr>
                <w:ilvl w:val="0"/>
                <w:numId w:val="36"/>
              </w:numPr>
              <w:spacing w:after="0"/>
            </w:pPr>
            <w:r>
              <w:t xml:space="preserve">By imposing a 39 percent rate on </w:t>
            </w:r>
            <w:r w:rsidR="001A5CD2">
              <w:t>trustee income</w:t>
            </w:r>
            <w:r>
              <w:t>,</w:t>
            </w:r>
            <w:r w:rsidR="00024BEA">
              <w:t xml:space="preserve"> since trusts are </w:t>
            </w:r>
            <w:r w:rsidR="00BF3082">
              <w:t xml:space="preserve">the primary vehicle </w:t>
            </w:r>
            <w:r w:rsidR="0062615D">
              <w:t xml:space="preserve">that </w:t>
            </w:r>
            <w:r w:rsidR="00BF3082">
              <w:t>high-income taxpayers</w:t>
            </w:r>
            <w:r>
              <w:t xml:space="preserve"> are</w:t>
            </w:r>
            <w:r w:rsidR="0062615D">
              <w:t xml:space="preserve"> most</w:t>
            </w:r>
            <w:r>
              <w:t xml:space="preserve"> likely to </w:t>
            </w:r>
            <w:r w:rsidR="001A5CD2">
              <w:t>use to</w:t>
            </w:r>
            <w:r>
              <w:t xml:space="preserve"> divert income that would otherwise be taxed at their 39 percent personal rate</w:t>
            </w:r>
            <w:r w:rsidR="001A5CD2">
              <w:t>.</w:t>
            </w:r>
            <w:r>
              <w:rPr>
                <w:rStyle w:val="FootnoteReference"/>
              </w:rPr>
              <w:footnoteReference w:id="6"/>
            </w:r>
            <w:r>
              <w:t xml:space="preserve"> </w:t>
            </w:r>
          </w:p>
          <w:p w14:paraId="5DC64D17" w14:textId="700EC06C" w:rsidR="00982D9C" w:rsidRDefault="006B3B8D" w:rsidP="001C579B">
            <w:pPr>
              <w:pStyle w:val="ListParagraph"/>
              <w:numPr>
                <w:ilvl w:val="0"/>
                <w:numId w:val="36"/>
              </w:numPr>
              <w:spacing w:after="0" w:line="240" w:lineRule="auto"/>
              <w:ind w:left="714" w:hanging="357"/>
            </w:pPr>
            <w:r>
              <w:t xml:space="preserve">By </w:t>
            </w:r>
            <w:r w:rsidR="00BF3082">
              <w:t xml:space="preserve">investigating </w:t>
            </w:r>
            <w:r>
              <w:t xml:space="preserve">specific integrity measures </w:t>
            </w:r>
            <w:r w:rsidR="00CF7BEE" w:rsidRPr="001C579B">
              <w:rPr>
                <w:shd w:val="clear" w:color="auto" w:fill="BFBFBF" w:themeFill="background1" w:themeFillShade="BF"/>
              </w:rPr>
              <w:t>s 9(2)(f)(iv)</w:t>
            </w:r>
            <w:r w:rsidR="00CF7BEE" w:rsidRPr="001C579B">
              <w:rPr>
                <w:color w:val="BFBFBF" w:themeColor="background1" w:themeShade="BF"/>
                <w:shd w:val="clear" w:color="auto" w:fill="BFBFBF" w:themeFill="background1" w:themeFillShade="BF"/>
              </w:rPr>
              <w:t>………………</w:t>
            </w:r>
            <w:r w:rsidR="00930069">
              <w:rPr>
                <w:color w:val="BFBFBF" w:themeColor="background1" w:themeShade="BF"/>
                <w:shd w:val="clear" w:color="auto" w:fill="BFBFBF" w:themeFill="background1" w:themeFillShade="BF"/>
              </w:rPr>
              <w:t>.</w:t>
            </w:r>
            <w:r w:rsidR="00CF7BEE" w:rsidRPr="001C579B">
              <w:rPr>
                <w:color w:val="BFBFBF" w:themeColor="background1" w:themeShade="BF"/>
                <w:shd w:val="clear" w:color="auto" w:fill="BFBFBF" w:themeFill="background1" w:themeFillShade="BF"/>
              </w:rPr>
              <w:t>…………………</w:t>
            </w:r>
            <w:proofErr w:type="gramStart"/>
            <w:r w:rsidR="00CF7BEE" w:rsidRPr="001C579B">
              <w:rPr>
                <w:color w:val="BFBFBF" w:themeColor="background1" w:themeShade="BF"/>
                <w:shd w:val="clear" w:color="auto" w:fill="BFBFBF" w:themeFill="background1" w:themeFillShade="BF"/>
              </w:rPr>
              <w:t>…..</w:t>
            </w:r>
            <w:proofErr w:type="gramEnd"/>
            <w:r w:rsidR="00ED71BB" w:rsidRPr="001C579B">
              <w:rPr>
                <w:color w:val="BFBFBF" w:themeColor="background1" w:themeShade="BF"/>
                <w:shd w:val="clear" w:color="auto" w:fill="BFBFBF" w:themeFill="background1" w:themeFillShade="BF"/>
              </w:rPr>
              <w:br/>
            </w:r>
            <w:r w:rsidR="00CF7BEE" w:rsidRPr="001C579B">
              <w:rPr>
                <w:color w:val="BFBFBF" w:themeColor="background1" w:themeShade="BF"/>
                <w:shd w:val="clear" w:color="auto" w:fill="BFBFBF" w:themeFill="background1" w:themeFillShade="BF"/>
              </w:rPr>
              <w:t>………………………………………………………………………………………………………</w:t>
            </w:r>
            <w:r w:rsidR="00ED71BB" w:rsidRPr="001C579B">
              <w:rPr>
                <w:color w:val="BFBFBF" w:themeColor="background1" w:themeShade="BF"/>
                <w:shd w:val="clear" w:color="auto" w:fill="BFBFBF" w:themeFill="background1" w:themeFillShade="BF"/>
              </w:rPr>
              <w:br/>
            </w:r>
            <w:r w:rsidR="00CF7BEE" w:rsidRPr="001C579B">
              <w:rPr>
                <w:color w:val="BFBFBF" w:themeColor="background1" w:themeShade="BF"/>
                <w:shd w:val="clear" w:color="auto" w:fill="BFBFBF" w:themeFill="background1" w:themeFillShade="BF"/>
              </w:rPr>
              <w:t>…</w:t>
            </w:r>
            <w:r w:rsidR="001C579B" w:rsidRPr="001C579B">
              <w:rPr>
                <w:color w:val="BFBFBF" w:themeColor="background1" w:themeShade="BF"/>
                <w:shd w:val="clear" w:color="auto" w:fill="BFBFBF" w:themeFill="background1" w:themeFillShade="BF"/>
              </w:rPr>
              <w:t>….</w:t>
            </w:r>
            <w:r>
              <w:t>. These would necessarily be less effective than taxing the entities themselves at 39 percent</w:t>
            </w:r>
            <w:r w:rsidR="00814684">
              <w:t>.</w:t>
            </w:r>
          </w:p>
          <w:p w14:paraId="48169B24" w14:textId="1B884439" w:rsidR="00982D9C" w:rsidRDefault="00982D9C" w:rsidP="00982D9C">
            <w:pPr>
              <w:spacing w:after="0"/>
            </w:pPr>
          </w:p>
          <w:p w14:paraId="1956269B" w14:textId="0A3B1698" w:rsidR="00605BF9" w:rsidRDefault="00982D9C" w:rsidP="00BA18D7">
            <w:pPr>
              <w:spacing w:after="0"/>
            </w:pPr>
            <w:r>
              <w:t xml:space="preserve">A more substantial discussion of these impacts is included later. </w:t>
            </w:r>
          </w:p>
          <w:p w14:paraId="6472895B" w14:textId="14B01CE8" w:rsidR="00A52E25" w:rsidRPr="00210C3D" w:rsidRDefault="00A52E25" w:rsidP="000C2565">
            <w:pPr>
              <w:spacing w:after="0"/>
            </w:pPr>
          </w:p>
        </w:tc>
      </w:tr>
    </w:tbl>
    <w:p w14:paraId="531DFAA8" w14:textId="77777777" w:rsidR="00860A1E" w:rsidRPr="00143420" w:rsidRDefault="00860A1E" w:rsidP="00860A1E">
      <w:pPr>
        <w:pStyle w:val="spacer"/>
        <w:spacing w:line="276" w:lineRule="auto"/>
        <w:rPr>
          <w:sz w:val="22"/>
        </w:rPr>
      </w:pPr>
    </w:p>
    <w:p w14:paraId="634EE3EF" w14:textId="1A553D51" w:rsidR="0062657E" w:rsidRPr="008603C7" w:rsidRDefault="0062657E" w:rsidP="00725E30">
      <w:pPr>
        <w:pStyle w:val="Heading2"/>
      </w:pPr>
      <w:r w:rsidRPr="008603C7">
        <w:t>Section C</w:t>
      </w:r>
      <w:r w:rsidR="0005691A">
        <w:t xml:space="preserve">: </w:t>
      </w:r>
      <w:r w:rsidRPr="008603C7">
        <w:t xml:space="preserve">Evidence certainty and quality assurance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4985DDB2" w14:textId="77777777" w:rsidTr="00346B30">
        <w:trPr>
          <w:trHeight w:val="339"/>
        </w:trPr>
        <w:tc>
          <w:tcPr>
            <w:tcW w:w="9072" w:type="dxa"/>
            <w:shd w:val="clear" w:color="auto" w:fill="99CDDD"/>
          </w:tcPr>
          <w:p w14:paraId="648B27E1" w14:textId="49FC1C87" w:rsidR="0062657E" w:rsidRPr="00210C3D" w:rsidRDefault="0062657E" w:rsidP="006356D0">
            <w:pPr>
              <w:keepNext/>
              <w:spacing w:before="60" w:after="60" w:line="240" w:lineRule="auto"/>
              <w:rPr>
                <w:b/>
                <w:szCs w:val="22"/>
              </w:rPr>
            </w:pPr>
            <w:r w:rsidRPr="00210C3D">
              <w:rPr>
                <w:b/>
                <w:szCs w:val="22"/>
              </w:rPr>
              <w:t xml:space="preserve">Agency rating of evidence certainty? </w:t>
            </w:r>
          </w:p>
        </w:tc>
      </w:tr>
      <w:tr w:rsidR="00210C3D" w:rsidRPr="00210C3D" w14:paraId="65CFBEAA" w14:textId="77777777" w:rsidTr="00346B30">
        <w:tc>
          <w:tcPr>
            <w:tcW w:w="9072" w:type="dxa"/>
            <w:shd w:val="clear" w:color="auto" w:fill="FFFFFF"/>
          </w:tcPr>
          <w:p w14:paraId="50DC041D" w14:textId="4EBB49DF" w:rsidR="0062657E" w:rsidRDefault="0062657E" w:rsidP="001D12C9">
            <w:pPr>
              <w:spacing w:after="0"/>
            </w:pPr>
          </w:p>
          <w:p w14:paraId="330D6785" w14:textId="0D60A888" w:rsidR="00240044" w:rsidRDefault="001B299F" w:rsidP="001D12C9">
            <w:pPr>
              <w:spacing w:after="0"/>
            </w:pPr>
            <w:r>
              <w:t>Tax policy</w:t>
            </w:r>
            <w:r w:rsidR="001D12C9">
              <w:t xml:space="preserve"> settings and the impact of tax rate changes have been comprehensively studied both nationally and internationally. </w:t>
            </w:r>
            <w:r w:rsidR="00B90230">
              <w:t>Theoretical effects of tax rate changes are well-established</w:t>
            </w:r>
            <w:r w:rsidR="00182C35">
              <w:t xml:space="preserve"> and are mostly supported by empirical research. </w:t>
            </w:r>
            <w:r w:rsidR="00EC1487">
              <w:t xml:space="preserve">Inland Revenue </w:t>
            </w:r>
            <w:r w:rsidR="00996CC0">
              <w:t>collects</w:t>
            </w:r>
            <w:r w:rsidR="00EC1487">
              <w:t xml:space="preserve"> comprehensive data on </w:t>
            </w:r>
            <w:r w:rsidR="00C533F1">
              <w:t>relevant parameters</w:t>
            </w:r>
            <w:r w:rsidR="00EC1487">
              <w:t xml:space="preserve"> concerning tax rate changes, such as on </w:t>
            </w:r>
            <w:r w:rsidR="00D92770">
              <w:t xml:space="preserve">distributions of taxable income, </w:t>
            </w:r>
            <w:r w:rsidR="00C91BDC">
              <w:t xml:space="preserve">on self-employment data, on trustee income, </w:t>
            </w:r>
            <w:r w:rsidR="005B1FBB">
              <w:t>and other measures.</w:t>
            </w:r>
            <w:r w:rsidR="006B7AC6">
              <w:t xml:space="preserve"> </w:t>
            </w:r>
          </w:p>
          <w:p w14:paraId="3AB71174" w14:textId="1C2569BB" w:rsidR="00233869" w:rsidRDefault="00233869" w:rsidP="001D12C9">
            <w:pPr>
              <w:spacing w:after="0"/>
            </w:pPr>
          </w:p>
          <w:p w14:paraId="3A5840F0" w14:textId="065E994A" w:rsidR="00EC1487" w:rsidRPr="00210C3D" w:rsidRDefault="00233869" w:rsidP="001D12C9">
            <w:pPr>
              <w:spacing w:after="0"/>
            </w:pPr>
            <w:r>
              <w:t xml:space="preserve">Inland Revenue </w:t>
            </w:r>
            <w:r w:rsidR="00240044">
              <w:t xml:space="preserve">is confident that it can assess the likely </w:t>
            </w:r>
            <w:r w:rsidR="00FF4985" w:rsidRPr="00C96448">
              <w:rPr>
                <w:i/>
                <w:iCs/>
              </w:rPr>
              <w:t>qualitative</w:t>
            </w:r>
            <w:r w:rsidR="00FF4985">
              <w:t xml:space="preserve"> and </w:t>
            </w:r>
            <w:r w:rsidR="00FF4985" w:rsidRPr="00C96448">
              <w:rPr>
                <w:i/>
                <w:iCs/>
              </w:rPr>
              <w:t>directional</w:t>
            </w:r>
            <w:r w:rsidR="00FF4985">
              <w:t xml:space="preserve"> </w:t>
            </w:r>
            <w:r w:rsidR="00240044">
              <w:t xml:space="preserve">impacts of the proposal. However, it is </w:t>
            </w:r>
            <w:r w:rsidR="00282417">
              <w:t>recognise</w:t>
            </w:r>
            <w:r w:rsidR="00240044">
              <w:t>d</w:t>
            </w:r>
            <w:r w:rsidR="00282417">
              <w:t xml:space="preserve"> that there is significant uncertainty </w:t>
            </w:r>
            <w:r w:rsidR="00D648F1">
              <w:t xml:space="preserve">in attempting to </w:t>
            </w:r>
            <w:r w:rsidR="00816215">
              <w:t>quantify</w:t>
            </w:r>
            <w:r w:rsidR="00D648F1">
              <w:t xml:space="preserve"> the</w:t>
            </w:r>
            <w:r w:rsidR="00707938">
              <w:t xml:space="preserve"> </w:t>
            </w:r>
            <w:r w:rsidR="00707938" w:rsidRPr="00C96448">
              <w:rPr>
                <w:i/>
                <w:iCs/>
              </w:rPr>
              <w:t>magnitudes</w:t>
            </w:r>
            <w:r w:rsidR="00707938">
              <w:t xml:space="preserve"> of these impacts.</w:t>
            </w:r>
            <w:r w:rsidR="00FB0CD9">
              <w:t xml:space="preserve"> This is largely because it is difficult to forecast the</w:t>
            </w:r>
            <w:r w:rsidR="00D648F1">
              <w:t xml:space="preserve"> aggregate behavioural response to </w:t>
            </w:r>
            <w:r w:rsidR="00093059">
              <w:t>an</w:t>
            </w:r>
            <w:r w:rsidR="00D648F1">
              <w:t xml:space="preserve"> increase </w:t>
            </w:r>
            <w:r w:rsidR="00093059">
              <w:t xml:space="preserve">in </w:t>
            </w:r>
            <w:r w:rsidR="00D648F1">
              <w:t>the top personal income tax rate.</w:t>
            </w:r>
            <w:r w:rsidR="00C721F1">
              <w:t xml:space="preserve"> This uncertainty will become even greater </w:t>
            </w:r>
            <w:r w:rsidR="00716CC8">
              <w:t>over</w:t>
            </w:r>
            <w:r w:rsidR="00C721F1">
              <w:t xml:space="preserve"> time as more people consider whether they </w:t>
            </w:r>
            <w:r w:rsidR="00951D0D">
              <w:t xml:space="preserve">can successfully step around </w:t>
            </w:r>
            <w:r w:rsidR="00F66436">
              <w:t xml:space="preserve">the new rate via a structuring arrangement. </w:t>
            </w:r>
          </w:p>
          <w:p w14:paraId="31C0B3A7" w14:textId="48B8DEAA" w:rsidR="00706FCF" w:rsidRDefault="00706FCF" w:rsidP="001D12C9">
            <w:pPr>
              <w:spacing w:after="0"/>
            </w:pPr>
          </w:p>
          <w:p w14:paraId="61767CD8" w14:textId="7BA23F50" w:rsidR="00706FCF" w:rsidRDefault="00706FCF" w:rsidP="00706FCF">
            <w:pPr>
              <w:spacing w:after="0"/>
            </w:pPr>
            <w:r>
              <w:t xml:space="preserve">There is also a risk </w:t>
            </w:r>
            <w:r w:rsidR="00CD4FE9">
              <w:t>to the expected benefit</w:t>
            </w:r>
            <w:r>
              <w:t xml:space="preserve"> associated with a high level of uncertainty surrounding the revenue estimates. This is a further consequence of being unable to accurately predict the </w:t>
            </w:r>
            <w:r w:rsidR="00CD4FE9">
              <w:t>overall</w:t>
            </w:r>
            <w:r>
              <w:t xml:space="preserve"> behavioural response to the proposal. This uncertainty has been emphasised in advice provided to the Government.</w:t>
            </w:r>
          </w:p>
          <w:p w14:paraId="2396A8A0" w14:textId="77777777" w:rsidR="0062657E" w:rsidRPr="00210C3D" w:rsidRDefault="0062657E" w:rsidP="00210C3D">
            <w:pPr>
              <w:pStyle w:val="spacer"/>
              <w:spacing w:line="276" w:lineRule="auto"/>
              <w:rPr>
                <w:sz w:val="22"/>
              </w:rPr>
            </w:pPr>
          </w:p>
        </w:tc>
      </w:tr>
    </w:tbl>
    <w:p w14:paraId="6DD276F7" w14:textId="77777777" w:rsidR="0062657E" w:rsidRPr="00743278" w:rsidRDefault="0062657E" w:rsidP="00743278">
      <w:pPr>
        <w:pStyle w:val="spacer"/>
      </w:pPr>
    </w:p>
    <w:p w14:paraId="3E2AE18F" w14:textId="77777777" w:rsidR="0062657E" w:rsidRPr="00210C3D" w:rsidRDefault="0062657E" w:rsidP="007B090A">
      <w:pPr>
        <w:spacing w:line="276" w:lineRule="auto"/>
        <w:rPr>
          <w:rFonts w:ascii="Arial Narrow" w:hAnsi="Arial Narrow"/>
          <w:i/>
          <w:szCs w:val="22"/>
        </w:rPr>
      </w:pPr>
      <w:r w:rsidRPr="00210C3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634412D0" w14:textId="77777777" w:rsidTr="00346B30">
        <w:trPr>
          <w:trHeight w:val="77"/>
        </w:trPr>
        <w:tc>
          <w:tcPr>
            <w:tcW w:w="9072" w:type="dxa"/>
            <w:shd w:val="clear" w:color="auto" w:fill="99CDDD"/>
            <w:hideMark/>
          </w:tcPr>
          <w:p w14:paraId="0E1C004C" w14:textId="77777777" w:rsidR="0062657E" w:rsidRPr="00210C3D" w:rsidRDefault="0062657E" w:rsidP="006356D0">
            <w:pPr>
              <w:keepNext/>
              <w:spacing w:before="60" w:after="60" w:line="240" w:lineRule="auto"/>
              <w:rPr>
                <w:szCs w:val="22"/>
              </w:rPr>
            </w:pPr>
            <w:r w:rsidRPr="00210C3D">
              <w:rPr>
                <w:szCs w:val="22"/>
              </w:rPr>
              <w:t>Quality Assurance Reviewing Agency:</w:t>
            </w:r>
          </w:p>
        </w:tc>
      </w:tr>
      <w:tr w:rsidR="00210C3D" w:rsidRPr="00210C3D" w14:paraId="4BAF0379" w14:textId="77777777" w:rsidTr="00346B30">
        <w:trPr>
          <w:trHeight w:val="635"/>
        </w:trPr>
        <w:tc>
          <w:tcPr>
            <w:tcW w:w="9072" w:type="dxa"/>
            <w:shd w:val="clear" w:color="auto" w:fill="FFFFFF"/>
          </w:tcPr>
          <w:p w14:paraId="11EECFAB" w14:textId="77777777" w:rsidR="00C221BA" w:rsidRDefault="00C221BA" w:rsidP="00C221BA">
            <w:pPr>
              <w:spacing w:after="0"/>
            </w:pPr>
          </w:p>
          <w:p w14:paraId="4592A009" w14:textId="6839F166" w:rsidR="0062657E" w:rsidRDefault="0073206D" w:rsidP="00C221BA">
            <w:pPr>
              <w:spacing w:after="0"/>
            </w:pPr>
            <w:r w:rsidRPr="00806B86">
              <w:t>Quality Assurance Panel with representatives from Inland Revenue and the Treasury</w:t>
            </w:r>
            <w:r>
              <w:t>.</w:t>
            </w:r>
          </w:p>
          <w:p w14:paraId="25125762" w14:textId="77777777" w:rsidR="001220BD" w:rsidRPr="00210C3D" w:rsidRDefault="001220BD" w:rsidP="00210C3D">
            <w:pPr>
              <w:pStyle w:val="spacer"/>
              <w:spacing w:line="276" w:lineRule="auto"/>
              <w:rPr>
                <w:sz w:val="22"/>
              </w:rPr>
            </w:pPr>
          </w:p>
        </w:tc>
      </w:tr>
      <w:tr w:rsidR="00210C3D" w:rsidRPr="00210C3D" w14:paraId="6C8896B4" w14:textId="77777777" w:rsidTr="00346B30">
        <w:trPr>
          <w:trHeight w:val="109"/>
        </w:trPr>
        <w:tc>
          <w:tcPr>
            <w:tcW w:w="9072" w:type="dxa"/>
            <w:shd w:val="clear" w:color="auto" w:fill="99CDDD"/>
          </w:tcPr>
          <w:p w14:paraId="14250DA1" w14:textId="77777777" w:rsidR="0062657E" w:rsidRPr="00210C3D" w:rsidRDefault="0062657E" w:rsidP="006356D0">
            <w:pPr>
              <w:keepNext/>
              <w:spacing w:before="60" w:after="60" w:line="240" w:lineRule="auto"/>
              <w:rPr>
                <w:szCs w:val="22"/>
              </w:rPr>
            </w:pPr>
            <w:r w:rsidRPr="00210C3D">
              <w:rPr>
                <w:szCs w:val="22"/>
              </w:rPr>
              <w:t>Quality Assurance Assessment:</w:t>
            </w:r>
          </w:p>
        </w:tc>
      </w:tr>
      <w:tr w:rsidR="00210C3D" w:rsidRPr="00210C3D" w14:paraId="134EAEC9" w14:textId="77777777" w:rsidTr="00346B30">
        <w:trPr>
          <w:trHeight w:val="681"/>
        </w:trPr>
        <w:tc>
          <w:tcPr>
            <w:tcW w:w="9072" w:type="dxa"/>
            <w:shd w:val="clear" w:color="auto" w:fill="FFFFFF"/>
          </w:tcPr>
          <w:p w14:paraId="13E27D0B" w14:textId="77777777" w:rsidR="00C221BA" w:rsidRDefault="00C221BA" w:rsidP="00C221BA">
            <w:pPr>
              <w:spacing w:after="0" w:line="240" w:lineRule="auto"/>
            </w:pPr>
            <w:bookmarkStart w:id="0" w:name="_Hlk56523023"/>
          </w:p>
          <w:p w14:paraId="1026D74D" w14:textId="28A31828" w:rsidR="00C221BA" w:rsidRPr="00806B86" w:rsidRDefault="00C221BA" w:rsidP="00C221BA">
            <w:pPr>
              <w:spacing w:after="0" w:line="240" w:lineRule="auto"/>
            </w:pPr>
            <w:r w:rsidRPr="00806B86">
              <w:t>The Quality Assurance Panel considers that the information and analysis summarised in the RI</w:t>
            </w:r>
            <w:r w:rsidRPr="004429D2">
              <w:t xml:space="preserve">S </w:t>
            </w:r>
            <w:r w:rsidRPr="00806B86">
              <w:rPr>
                <w:b/>
                <w:bCs/>
              </w:rPr>
              <w:t>partially meets</w:t>
            </w:r>
            <w:r w:rsidRPr="00806B86">
              <w:t xml:space="preserve"> the quality assurance criteria. This is because some key elements of the proposals have not been consulted on and will not be consulted on prior to being implemented.</w:t>
            </w:r>
          </w:p>
          <w:p w14:paraId="3D1E7153" w14:textId="77777777" w:rsidR="00C221BA" w:rsidRPr="00806B86" w:rsidRDefault="00C221BA" w:rsidP="00C221BA">
            <w:pPr>
              <w:spacing w:after="0" w:line="240" w:lineRule="auto"/>
            </w:pPr>
          </w:p>
          <w:bookmarkEnd w:id="0"/>
          <w:p w14:paraId="53EE5A83" w14:textId="10A95F04" w:rsidR="00C221BA" w:rsidRDefault="00C221BA" w:rsidP="00C221BA">
            <w:pPr>
              <w:spacing w:after="0"/>
            </w:pPr>
            <w:r w:rsidRPr="00806B86">
              <w:t xml:space="preserve">As noted in section 2.4, stakeholders are likely to raise concerns with the lack of consultation on proposed changes to increase the trustee tax rate and to introduce new information reporting requirements for trusts. Under these proposals additional tax and compliance costs would be imposed on a large number of trustees – Inland Revenue receives approximately 245,000 income tax returns from trustees per year. </w:t>
            </w:r>
          </w:p>
          <w:p w14:paraId="4CAED70D" w14:textId="77777777" w:rsidR="00C221BA" w:rsidRDefault="00C221BA" w:rsidP="00C221BA">
            <w:pPr>
              <w:spacing w:after="0"/>
            </w:pPr>
          </w:p>
          <w:p w14:paraId="7A1339DD" w14:textId="674753E4" w:rsidR="00C221BA" w:rsidRDefault="00C221BA" w:rsidP="00C221BA">
            <w:pPr>
              <w:spacing w:after="0"/>
            </w:pPr>
            <w:r w:rsidRPr="00806B86">
              <w:t>The absence of consultation means Inland Revenue currently has a limited understanding of the compliance costs that trusts will face with the proposed new information requirements and how large these costs are. The RIS was therefore unable to determine whether the potential integrity benefits from the proposed trust information disclosure outwe</w:t>
            </w:r>
            <w:r w:rsidRPr="004429D2">
              <w:t>ighed the compliance costs it would impose. However, as noted in section 7.2, Inland Revenue will conduct a post-implementation review of the proposed information requirements for trusts in 2021 which will include consultation with the affected trustees to determine the compliance costs associated with the new requirements and to identify if any changes could be made to reduce these compliance costs. In addition, the lack of consultation was a constraint imposed on the policy process in order to implement the proposal for the 2021/22 tax year, and the risks caused by this lack of consultation are clearly spelt out in the RIS. </w:t>
            </w:r>
          </w:p>
          <w:p w14:paraId="366A3B67" w14:textId="2475B5A3" w:rsidR="001B3F24" w:rsidRDefault="001B3F24" w:rsidP="00C221BA">
            <w:pPr>
              <w:spacing w:after="0"/>
            </w:pPr>
          </w:p>
          <w:p w14:paraId="67C9EB02" w14:textId="0F7280E1" w:rsidR="001B3F24" w:rsidRPr="001B3F24" w:rsidRDefault="001B3F24" w:rsidP="001B3F24">
            <w:r w:rsidRPr="001B3F24">
              <w:t>The RIS does not consider the options presented in th</w:t>
            </w:r>
            <w:r>
              <w:t>e</w:t>
            </w:r>
            <w:r w:rsidRPr="001B3F24">
              <w:t xml:space="preserve"> Cabinet paper for collecting past-year information from trusts and for collecting trust information for purposes other than the proposed 39% personal tax rate. If these options are taken by Cabinet, the compliance costs imposed by these options should be included in the post-implementation review of the trust information measure.</w:t>
            </w:r>
          </w:p>
          <w:p w14:paraId="4E9FD12A" w14:textId="48D84EE7" w:rsidR="00C221BA" w:rsidRPr="004429D2" w:rsidRDefault="00C221BA" w:rsidP="00C221BA">
            <w:pPr>
              <w:spacing w:after="0"/>
            </w:pPr>
            <w:r w:rsidRPr="00806B86">
              <w:t xml:space="preserve">Section 2.4 also notes that Inland Revenue intends to consult with stakeholders on the other proposed integrity measures </w:t>
            </w:r>
            <w:r w:rsidR="00930069" w:rsidRPr="00B42C8B">
              <w:rPr>
                <w:shd w:val="clear" w:color="auto" w:fill="BFBFBF" w:themeFill="background1" w:themeFillShade="BF"/>
              </w:rPr>
              <w:t>s</w:t>
            </w:r>
            <w:r w:rsidR="00B42C8B">
              <w:rPr>
                <w:shd w:val="clear" w:color="auto" w:fill="BFBFBF" w:themeFill="background1" w:themeFillShade="BF"/>
              </w:rPr>
              <w:t xml:space="preserve"> </w:t>
            </w:r>
            <w:r w:rsidR="00930069" w:rsidRPr="00B42C8B">
              <w:rPr>
                <w:shd w:val="clear" w:color="auto" w:fill="BFBFBF" w:themeFill="background1" w:themeFillShade="BF"/>
              </w:rPr>
              <w:t>9(2)(f)(iv)</w:t>
            </w:r>
            <w:r w:rsidR="00B42C8B" w:rsidRPr="00B42C8B">
              <w:rPr>
                <w:color w:val="BFBFBF" w:themeColor="background1" w:themeShade="BF"/>
                <w:shd w:val="clear" w:color="auto" w:fill="BFBFBF" w:themeFill="background1" w:themeFillShade="BF"/>
              </w:rPr>
              <w:t>……………</w:t>
            </w:r>
            <w:r w:rsidR="00681C79">
              <w:rPr>
                <w:color w:val="BFBFBF" w:themeColor="background1" w:themeShade="BF"/>
                <w:shd w:val="clear" w:color="auto" w:fill="BFBFBF" w:themeFill="background1" w:themeFillShade="BF"/>
              </w:rPr>
              <w:t>…</w:t>
            </w:r>
            <w:r w:rsidR="00FB2C93">
              <w:rPr>
                <w:color w:val="BFBFBF" w:themeColor="background1" w:themeShade="BF"/>
                <w:shd w:val="clear" w:color="auto" w:fill="BFBFBF" w:themeFill="background1" w:themeFillShade="BF"/>
              </w:rPr>
              <w:t>…</w:t>
            </w:r>
            <w:r w:rsidR="00B42C8B" w:rsidRPr="00B42C8B">
              <w:rPr>
                <w:color w:val="BFBFBF" w:themeColor="background1" w:themeShade="BF"/>
                <w:shd w:val="clear" w:color="auto" w:fill="BFBFBF" w:themeFill="background1" w:themeFillShade="BF"/>
              </w:rPr>
              <w:t>………………</w:t>
            </w:r>
            <w:proofErr w:type="gramStart"/>
            <w:r w:rsidR="00B42C8B" w:rsidRPr="00B42C8B">
              <w:rPr>
                <w:color w:val="BFBFBF" w:themeColor="background1" w:themeShade="BF"/>
                <w:shd w:val="clear" w:color="auto" w:fill="BFBFBF" w:themeFill="background1" w:themeFillShade="BF"/>
              </w:rPr>
              <w:t>…..</w:t>
            </w:r>
            <w:proofErr w:type="gramEnd"/>
            <w:r w:rsidRPr="004429D2">
              <w:t xml:space="preserve"> over the first half of 2021 so that they can be legislated for 1 April 2022.</w:t>
            </w:r>
          </w:p>
          <w:p w14:paraId="5C285B98" w14:textId="77777777" w:rsidR="001220BD" w:rsidRPr="00210C3D" w:rsidRDefault="001220BD" w:rsidP="00210C3D">
            <w:pPr>
              <w:pStyle w:val="spacer"/>
              <w:spacing w:line="276" w:lineRule="auto"/>
              <w:rPr>
                <w:sz w:val="22"/>
              </w:rPr>
            </w:pPr>
          </w:p>
        </w:tc>
      </w:tr>
      <w:tr w:rsidR="00210C3D" w:rsidRPr="00210C3D" w14:paraId="6A1BD382" w14:textId="77777777" w:rsidTr="00346B30">
        <w:trPr>
          <w:trHeight w:val="56"/>
        </w:trPr>
        <w:tc>
          <w:tcPr>
            <w:tcW w:w="9072" w:type="dxa"/>
            <w:shd w:val="clear" w:color="auto" w:fill="99CDDD"/>
          </w:tcPr>
          <w:p w14:paraId="4C942352" w14:textId="49B6E47E" w:rsidR="0062657E" w:rsidRPr="00210C3D" w:rsidRDefault="0062657E" w:rsidP="006356D0">
            <w:pPr>
              <w:keepNext/>
              <w:spacing w:before="60" w:after="60" w:line="240" w:lineRule="auto"/>
              <w:rPr>
                <w:szCs w:val="22"/>
              </w:rPr>
            </w:pPr>
            <w:r w:rsidRPr="00210C3D">
              <w:rPr>
                <w:szCs w:val="22"/>
              </w:rPr>
              <w:t>Reviewer Comments and Recommendations:</w:t>
            </w:r>
          </w:p>
        </w:tc>
      </w:tr>
      <w:tr w:rsidR="00210C3D" w:rsidRPr="00210C3D" w14:paraId="30E7857C" w14:textId="77777777" w:rsidTr="00346B30">
        <w:trPr>
          <w:trHeight w:val="665"/>
        </w:trPr>
        <w:tc>
          <w:tcPr>
            <w:tcW w:w="9072" w:type="dxa"/>
            <w:shd w:val="clear" w:color="auto" w:fill="FFFFFF"/>
          </w:tcPr>
          <w:p w14:paraId="6BA6114F" w14:textId="51765E7F" w:rsidR="00B541BA" w:rsidRDefault="00B541BA" w:rsidP="00431CA7"/>
          <w:p w14:paraId="0D19C6AD" w14:textId="77777777" w:rsidR="001220BD" w:rsidRPr="00210C3D" w:rsidRDefault="001220BD" w:rsidP="00210C3D">
            <w:pPr>
              <w:pStyle w:val="spacer"/>
              <w:spacing w:line="276" w:lineRule="auto"/>
              <w:rPr>
                <w:sz w:val="22"/>
              </w:rPr>
            </w:pPr>
          </w:p>
        </w:tc>
      </w:tr>
    </w:tbl>
    <w:p w14:paraId="3CF8A716" w14:textId="454ACA9F" w:rsidR="0062657E" w:rsidRPr="00210C3D" w:rsidRDefault="0062657E" w:rsidP="00AA6A54">
      <w:pPr>
        <w:pStyle w:val="spacer"/>
      </w:pPr>
    </w:p>
    <w:p w14:paraId="2A2EC3F2" w14:textId="16E282B8" w:rsidR="0062657E" w:rsidRDefault="0062657E" w:rsidP="00346B30">
      <w:pPr>
        <w:pStyle w:val="Heading1"/>
        <w:pageBreakBefore/>
        <w:spacing w:after="120" w:line="276" w:lineRule="auto"/>
        <w:rPr>
          <w:color w:val="0082AB"/>
        </w:rPr>
      </w:pPr>
      <w:r w:rsidRPr="0005691A">
        <w:rPr>
          <w:color w:val="0082AB"/>
        </w:rPr>
        <w:t>Impact Statement</w:t>
      </w:r>
      <w:r w:rsidR="00210C3D">
        <w:rPr>
          <w:color w:val="0082AB"/>
        </w:rPr>
        <w:t>:</w:t>
      </w:r>
      <w:r w:rsidR="00A20F34">
        <w:rPr>
          <w:color w:val="0082AB"/>
        </w:rPr>
        <w:t xml:space="preserve"> Introducing a new </w:t>
      </w:r>
      <w:r w:rsidR="00756630">
        <w:rPr>
          <w:color w:val="0082AB"/>
        </w:rPr>
        <w:t xml:space="preserve">top personal </w:t>
      </w:r>
      <w:r w:rsidR="00C26BF5">
        <w:rPr>
          <w:color w:val="0082AB"/>
        </w:rPr>
        <w:t xml:space="preserve">income </w:t>
      </w:r>
      <w:r w:rsidR="00756630">
        <w:rPr>
          <w:color w:val="0082AB"/>
        </w:rPr>
        <w:t>tax rate</w:t>
      </w:r>
    </w:p>
    <w:p w14:paraId="124B02E2" w14:textId="77777777" w:rsidR="0062657E" w:rsidRPr="0005691A" w:rsidRDefault="0062657E" w:rsidP="00743278">
      <w:pPr>
        <w:tabs>
          <w:tab w:val="left" w:pos="2550"/>
        </w:tabs>
        <w:spacing w:before="120" w:after="120" w:line="276" w:lineRule="auto"/>
        <w:outlineLvl w:val="0"/>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23A9B3A2" w14:textId="77777777" w:rsidTr="00346B30">
        <w:tc>
          <w:tcPr>
            <w:tcW w:w="5000" w:type="pct"/>
            <w:shd w:val="clear" w:color="auto" w:fill="99CDDD"/>
            <w:hideMark/>
          </w:tcPr>
          <w:p w14:paraId="62BA6460" w14:textId="2102FBEE" w:rsidR="0062657E" w:rsidRPr="009C4129" w:rsidRDefault="00216981" w:rsidP="002455C0">
            <w:pPr>
              <w:keepNext/>
              <w:numPr>
                <w:ilvl w:val="1"/>
                <w:numId w:val="7"/>
              </w:numPr>
              <w:spacing w:before="60" w:after="60" w:line="240" w:lineRule="auto"/>
              <w:ind w:left="357" w:hanging="357"/>
              <w:rPr>
                <w:rFonts w:cs="Arial"/>
                <w:b/>
                <w:szCs w:val="22"/>
              </w:rPr>
            </w:pPr>
            <w:r>
              <w:rPr>
                <w:rFonts w:cs="Arial"/>
                <w:b/>
                <w:szCs w:val="22"/>
              </w:rPr>
              <w:t xml:space="preserve">  </w:t>
            </w:r>
            <w:r w:rsidR="0062657E" w:rsidRPr="003C72C1">
              <w:rPr>
                <w:rFonts w:cs="Arial"/>
                <w:b/>
                <w:szCs w:val="22"/>
              </w:rPr>
              <w:t>Purpose</w:t>
            </w:r>
          </w:p>
        </w:tc>
      </w:tr>
      <w:tr w:rsidR="006356D0" w:rsidRPr="009C4129" w14:paraId="62DA1CD0" w14:textId="77777777" w:rsidTr="00B541BA">
        <w:trPr>
          <w:trHeight w:val="1615"/>
        </w:trPr>
        <w:tc>
          <w:tcPr>
            <w:tcW w:w="5000" w:type="pct"/>
            <w:shd w:val="clear" w:color="auto" w:fill="auto"/>
          </w:tcPr>
          <w:p w14:paraId="28DC82EC" w14:textId="77777777" w:rsidR="00B541BA" w:rsidRDefault="00B541BA" w:rsidP="00B541BA">
            <w:pPr>
              <w:spacing w:after="0"/>
              <w:rPr>
                <w:rFonts w:cs="Arial"/>
                <w:iCs/>
                <w:color w:val="000000"/>
                <w:szCs w:val="22"/>
              </w:rPr>
            </w:pPr>
          </w:p>
          <w:p w14:paraId="77DAE30C" w14:textId="7A97C806" w:rsidR="007958EF" w:rsidRDefault="00B72AD4" w:rsidP="00B541BA">
            <w:pPr>
              <w:spacing w:after="0"/>
            </w:pPr>
            <w:r w:rsidRPr="003C72C1">
              <w:rPr>
                <w:rFonts w:cs="Arial"/>
                <w:iCs/>
                <w:color w:val="000000"/>
                <w:szCs w:val="22"/>
              </w:rPr>
              <w:t xml:space="preserve">Inland Revenue </w:t>
            </w:r>
            <w:r w:rsidR="00C56430">
              <w:rPr>
                <w:rFonts w:cs="Arial"/>
                <w:color w:val="000000"/>
                <w:szCs w:val="22"/>
              </w:rPr>
              <w:t>is</w:t>
            </w:r>
            <w:r w:rsidRPr="003C72C1">
              <w:rPr>
                <w:rFonts w:cs="Arial"/>
                <w:color w:val="000000"/>
                <w:szCs w:val="22"/>
              </w:rPr>
              <w:t xml:space="preserve"> solely responsible for the analysis and advice set out in this Regulatory Impact Statement, except as otherwise explicitly indicated. This analysis and advice have been produced for the purpose of informing </w:t>
            </w:r>
            <w:r w:rsidRPr="003C72C1">
              <w:t>key policy decisions to be taken by Cabinet.</w:t>
            </w:r>
          </w:p>
          <w:p w14:paraId="0D149CA1" w14:textId="51908DB2" w:rsidR="003C72C1" w:rsidRDefault="003C72C1" w:rsidP="00B541BA">
            <w:pPr>
              <w:spacing w:after="0"/>
            </w:pPr>
          </w:p>
          <w:p w14:paraId="3198CB58" w14:textId="7AE59344" w:rsidR="003C72C1" w:rsidRDefault="003C72C1" w:rsidP="00B541BA">
            <w:pPr>
              <w:spacing w:after="0"/>
            </w:pPr>
            <w:r>
              <w:t xml:space="preserve">This </w:t>
            </w:r>
            <w:r w:rsidR="007422B3">
              <w:t xml:space="preserve">Impact Statement analyses the Government’s proposal to introduce a new top personal income tax rate of 39 percent on incomes over $180,000. </w:t>
            </w:r>
            <w:r w:rsidR="00867D87">
              <w:t xml:space="preserve">This was </w:t>
            </w:r>
            <w:r w:rsidR="00951D0D">
              <w:t xml:space="preserve">the Labour party’s </w:t>
            </w:r>
            <w:r w:rsidR="00867D87">
              <w:t xml:space="preserve">main tax </w:t>
            </w:r>
            <w:r w:rsidR="00EB2D76">
              <w:t xml:space="preserve">policy in its fiscal plan released ahead of the 2020 General Election. </w:t>
            </w:r>
          </w:p>
          <w:p w14:paraId="7C090823" w14:textId="072B8842" w:rsidR="00EB2D76" w:rsidRDefault="00EB2D76" w:rsidP="00B541BA">
            <w:pPr>
              <w:spacing w:after="0"/>
            </w:pPr>
          </w:p>
          <w:p w14:paraId="2C16F1A1" w14:textId="0E1E5646" w:rsidR="00EB2D76" w:rsidRDefault="00EB2D76" w:rsidP="00B541BA">
            <w:pPr>
              <w:spacing w:after="0"/>
            </w:pPr>
            <w:r>
              <w:t xml:space="preserve">A number of different options are considered in this Impact Statement for the purposes of introducing a new </w:t>
            </w:r>
            <w:r w:rsidR="004320B3">
              <w:t xml:space="preserve">top personal income tax rate. </w:t>
            </w:r>
          </w:p>
          <w:p w14:paraId="7AC7ECF3" w14:textId="2685D8CC" w:rsidR="00B541BA" w:rsidRPr="00384E9B" w:rsidRDefault="00B541BA" w:rsidP="00B541BA">
            <w:pPr>
              <w:spacing w:after="0"/>
            </w:pPr>
          </w:p>
        </w:tc>
      </w:tr>
    </w:tbl>
    <w:p w14:paraId="0674A40E" w14:textId="77777777" w:rsidR="007958EF" w:rsidRPr="00143420" w:rsidRDefault="007958EF" w:rsidP="00143420">
      <w:pPr>
        <w:pStyle w:val="spacer"/>
        <w:rPr>
          <w:sz w:val="22"/>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0C139B51" w14:textId="77777777" w:rsidTr="00346B30">
        <w:tc>
          <w:tcPr>
            <w:tcW w:w="5000" w:type="pct"/>
            <w:shd w:val="clear" w:color="auto" w:fill="99CDDD"/>
            <w:hideMark/>
          </w:tcPr>
          <w:p w14:paraId="3F827D74" w14:textId="24EC6920" w:rsidR="0062657E" w:rsidRPr="009C4129" w:rsidRDefault="00216981" w:rsidP="00020F75">
            <w:pPr>
              <w:keepNext/>
              <w:spacing w:before="60" w:after="60" w:line="240" w:lineRule="auto"/>
              <w:rPr>
                <w:rFonts w:cs="Arial"/>
                <w:b/>
                <w:color w:val="002060"/>
                <w:szCs w:val="22"/>
              </w:rPr>
            </w:pPr>
            <w:r>
              <w:rPr>
                <w:rFonts w:cs="Arial"/>
                <w:b/>
                <w:szCs w:val="22"/>
              </w:rPr>
              <w:t xml:space="preserve">1.2   </w:t>
            </w:r>
            <w:r w:rsidR="0062657E" w:rsidRPr="009C4129">
              <w:rPr>
                <w:rFonts w:cs="Arial"/>
                <w:b/>
                <w:szCs w:val="22"/>
              </w:rPr>
              <w:t>Key Limitations or Constraints on Analysis</w:t>
            </w:r>
          </w:p>
        </w:tc>
      </w:tr>
      <w:tr w:rsidR="0062657E" w:rsidRPr="009C4129" w14:paraId="17FFDFE6" w14:textId="77777777" w:rsidTr="00AD23D5">
        <w:trPr>
          <w:trHeight w:val="2457"/>
        </w:trPr>
        <w:tc>
          <w:tcPr>
            <w:tcW w:w="5000" w:type="pct"/>
            <w:shd w:val="clear" w:color="auto" w:fill="auto"/>
          </w:tcPr>
          <w:p w14:paraId="66637055" w14:textId="77777777" w:rsidR="00816215" w:rsidRDefault="00816215" w:rsidP="00816215">
            <w:pPr>
              <w:spacing w:after="0"/>
            </w:pPr>
          </w:p>
          <w:p w14:paraId="194DF1FF" w14:textId="14A948E8" w:rsidR="0062657E" w:rsidRDefault="000A3DFC" w:rsidP="00816215">
            <w:pPr>
              <w:spacing w:after="0"/>
            </w:pPr>
            <w:r>
              <w:t>The key limitations and constraints applying to th</w:t>
            </w:r>
            <w:r w:rsidR="00816215">
              <w:t>e</w:t>
            </w:r>
            <w:r>
              <w:t xml:space="preserve"> analysis</w:t>
            </w:r>
            <w:r w:rsidR="00816215">
              <w:t xml:space="preserve"> in this Impact Statement</w:t>
            </w:r>
            <w:r>
              <w:t xml:space="preserve"> </w:t>
            </w:r>
            <w:r w:rsidR="00D74138">
              <w:t>are as follows:</w:t>
            </w:r>
          </w:p>
          <w:p w14:paraId="099AB339" w14:textId="77777777" w:rsidR="00816215" w:rsidRDefault="00816215" w:rsidP="00816215">
            <w:pPr>
              <w:spacing w:after="0"/>
            </w:pPr>
          </w:p>
          <w:p w14:paraId="0F88B22A" w14:textId="02CF6FB9" w:rsidR="00D74138" w:rsidRDefault="00DF3CBF" w:rsidP="002455C0">
            <w:pPr>
              <w:pStyle w:val="ListParagraph"/>
              <w:numPr>
                <w:ilvl w:val="0"/>
                <w:numId w:val="9"/>
              </w:numPr>
              <w:spacing w:after="0"/>
            </w:pPr>
            <w:r>
              <w:rPr>
                <w:b/>
                <w:bCs/>
              </w:rPr>
              <w:t>Restricted</w:t>
            </w:r>
            <w:r w:rsidR="008548A6" w:rsidRPr="001D2BA5">
              <w:rPr>
                <w:b/>
                <w:bCs/>
              </w:rPr>
              <w:t xml:space="preserve"> range of options considered</w:t>
            </w:r>
            <w:r w:rsidR="008548A6" w:rsidRPr="001D2BA5">
              <w:t xml:space="preserve">: </w:t>
            </w:r>
            <w:r w:rsidR="008548A6">
              <w:t>The Government has already</w:t>
            </w:r>
            <w:r w:rsidR="007904A6">
              <w:t xml:space="preserve"> announced its intention to </w:t>
            </w:r>
            <w:r w:rsidR="00D85CB2">
              <w:t>introduce a new</w:t>
            </w:r>
            <w:r w:rsidR="007904A6">
              <w:t xml:space="preserve"> top </w:t>
            </w:r>
            <w:r w:rsidR="008364DE">
              <w:t>personal</w:t>
            </w:r>
            <w:r w:rsidR="007904A6">
              <w:t xml:space="preserve"> </w:t>
            </w:r>
            <w:r w:rsidR="00187B42">
              <w:t xml:space="preserve">income tax rate </w:t>
            </w:r>
            <w:r w:rsidR="00D85CB2">
              <w:t>of</w:t>
            </w:r>
            <w:r w:rsidR="00187B42">
              <w:t xml:space="preserve"> 39 percent </w:t>
            </w:r>
            <w:r w:rsidR="007C6E09">
              <w:t xml:space="preserve">on income over $180,000 </w:t>
            </w:r>
            <w:r w:rsidR="00187B42">
              <w:t>as part of</w:t>
            </w:r>
            <w:r w:rsidR="00951D0D">
              <w:t xml:space="preserve"> the</w:t>
            </w:r>
            <w:r w:rsidR="00187B42">
              <w:t xml:space="preserve"> </w:t>
            </w:r>
            <w:r w:rsidR="008F6C11">
              <w:t>Labour</w:t>
            </w:r>
            <w:r w:rsidR="00951D0D">
              <w:t xml:space="preserve"> party</w:t>
            </w:r>
            <w:r w:rsidR="008F6C11">
              <w:t>’s 2020 Election M</w:t>
            </w:r>
            <w:r w:rsidR="00187B42">
              <w:t xml:space="preserve">anifesto. </w:t>
            </w:r>
            <w:r w:rsidR="00B424CC">
              <w:t>The approaches</w:t>
            </w:r>
            <w:r w:rsidR="00187B42">
              <w:t xml:space="preserve"> considered</w:t>
            </w:r>
            <w:r w:rsidR="00B424CC">
              <w:t xml:space="preserve"> in this Impact Statement</w:t>
            </w:r>
            <w:r w:rsidR="00187B42">
              <w:t xml:space="preserve"> are </w:t>
            </w:r>
            <w:r w:rsidR="004656A9">
              <w:t xml:space="preserve">limited to </w:t>
            </w:r>
            <w:r w:rsidR="009F58DC">
              <w:t>options that could better</w:t>
            </w:r>
            <w:r w:rsidR="00E901F0">
              <w:t xml:space="preserve"> </w:t>
            </w:r>
            <w:r w:rsidR="00F4675F">
              <w:t xml:space="preserve">ensure </w:t>
            </w:r>
            <w:r w:rsidR="00E901F0">
              <w:t xml:space="preserve">(based on traditional tax policy criteria) </w:t>
            </w:r>
            <w:r w:rsidR="00F4675F">
              <w:t xml:space="preserve">that </w:t>
            </w:r>
            <w:r w:rsidR="009F58DC">
              <w:t>th</w:t>
            </w:r>
            <w:r w:rsidR="00F300BD">
              <w:t>is</w:t>
            </w:r>
            <w:r w:rsidR="009F58DC">
              <w:t xml:space="preserve"> proposed </w:t>
            </w:r>
            <w:r w:rsidR="00F4675F">
              <w:t xml:space="preserve">top rate applies to </w:t>
            </w:r>
            <w:r w:rsidR="0060391D">
              <w:t xml:space="preserve">taxpayers </w:t>
            </w:r>
            <w:r w:rsidR="00E85858">
              <w:t xml:space="preserve">as broadly as </w:t>
            </w:r>
            <w:r w:rsidR="009F58DC">
              <w:t>intended</w:t>
            </w:r>
            <w:r w:rsidR="00863E6C">
              <w:t xml:space="preserve"> while minimising negative impacts</w:t>
            </w:r>
            <w:r w:rsidR="0060391D">
              <w:t>.</w:t>
            </w:r>
            <w:r w:rsidR="00C533F1">
              <w:t xml:space="preserve"> It does not consider</w:t>
            </w:r>
            <w:r w:rsidR="004938FB">
              <w:t xml:space="preserve"> any</w:t>
            </w:r>
            <w:r w:rsidR="00C533F1">
              <w:t xml:space="preserve"> </w:t>
            </w:r>
            <w:r w:rsidR="00907A82">
              <w:t xml:space="preserve">other ways of achieving </w:t>
            </w:r>
            <w:r w:rsidR="00F67623">
              <w:t>the Government’s objectives</w:t>
            </w:r>
            <w:r w:rsidR="00951D0D">
              <w:t xml:space="preserve"> </w:t>
            </w:r>
            <w:r w:rsidR="00C533F1">
              <w:t xml:space="preserve">given the pre-election announcement. </w:t>
            </w:r>
          </w:p>
          <w:p w14:paraId="7B344841" w14:textId="77777777" w:rsidR="00816215" w:rsidRDefault="00816215" w:rsidP="00816215">
            <w:pPr>
              <w:pStyle w:val="ListParagraph"/>
              <w:spacing w:after="0"/>
            </w:pPr>
          </w:p>
          <w:p w14:paraId="7DA16F24" w14:textId="0F68762F" w:rsidR="00852144" w:rsidRDefault="0060391D" w:rsidP="00DA414F">
            <w:pPr>
              <w:pStyle w:val="ListParagraph"/>
              <w:numPr>
                <w:ilvl w:val="0"/>
                <w:numId w:val="9"/>
              </w:numPr>
              <w:spacing w:after="0"/>
            </w:pPr>
            <w:r w:rsidRPr="001D2BA5">
              <w:rPr>
                <w:b/>
                <w:bCs/>
              </w:rPr>
              <w:t xml:space="preserve">Time </w:t>
            </w:r>
            <w:r w:rsidR="001D2BA5">
              <w:rPr>
                <w:b/>
                <w:bCs/>
              </w:rPr>
              <w:t>c</w:t>
            </w:r>
            <w:r w:rsidRPr="001D2BA5">
              <w:rPr>
                <w:b/>
                <w:bCs/>
              </w:rPr>
              <w:t>onstraints</w:t>
            </w:r>
            <w:r w:rsidRPr="001D2BA5">
              <w:t>:</w:t>
            </w:r>
            <w:r>
              <w:t xml:space="preserve"> Ministers have decided to plan for the introduction of the new top </w:t>
            </w:r>
            <w:r w:rsidR="0063480A">
              <w:t>personal</w:t>
            </w:r>
            <w:r>
              <w:t xml:space="preserve"> income tax rate </w:t>
            </w:r>
            <w:r w:rsidR="007C6E09">
              <w:t xml:space="preserve">from </w:t>
            </w:r>
            <w:r w:rsidR="0082152D">
              <w:t xml:space="preserve">the </w:t>
            </w:r>
            <w:r w:rsidR="0082152D" w:rsidRPr="00130321">
              <w:t>2021</w:t>
            </w:r>
            <w:r w:rsidR="0063480A" w:rsidRPr="00130321">
              <w:t>–</w:t>
            </w:r>
            <w:r w:rsidR="0082152D" w:rsidRPr="00130321">
              <w:t xml:space="preserve">22 </w:t>
            </w:r>
            <w:r w:rsidR="001A73A7" w:rsidRPr="00130321">
              <w:t>income year onward (</w:t>
            </w:r>
            <w:r w:rsidR="00ED12D4" w:rsidRPr="00130321">
              <w:t>1 April 2021</w:t>
            </w:r>
            <w:r w:rsidR="001A73A7">
              <w:t xml:space="preserve"> for most taxpayers)</w:t>
            </w:r>
            <w:r w:rsidR="00ED12D4">
              <w:t>. With that commencement date in min</w:t>
            </w:r>
            <w:r w:rsidR="003D30BD">
              <w:t>d</w:t>
            </w:r>
            <w:r w:rsidR="00730355">
              <w:t>,</w:t>
            </w:r>
            <w:r w:rsidR="00006D60">
              <w:t xml:space="preserve"> the proposals </w:t>
            </w:r>
            <w:r w:rsidR="00730355">
              <w:t>must be</w:t>
            </w:r>
            <w:r w:rsidR="00006D60">
              <w:t xml:space="preserve"> included </w:t>
            </w:r>
            <w:r w:rsidR="00006D60" w:rsidRPr="00AD23D5">
              <w:t xml:space="preserve">in legislation </w:t>
            </w:r>
            <w:r w:rsidR="00C533F1" w:rsidRPr="00AD23D5">
              <w:t>introduced</w:t>
            </w:r>
            <w:r w:rsidR="00006D60" w:rsidRPr="00AD23D5">
              <w:t xml:space="preserve"> before 31 December 2020</w:t>
            </w:r>
            <w:r w:rsidR="00006D60">
              <w:t xml:space="preserve"> to allow payroll software providers</w:t>
            </w:r>
            <w:r w:rsidR="000833C8">
              <w:t xml:space="preserve"> and employers</w:t>
            </w:r>
            <w:r w:rsidR="00730355">
              <w:t xml:space="preserve"> enough time</w:t>
            </w:r>
            <w:r w:rsidR="000833C8">
              <w:t xml:space="preserve"> </w:t>
            </w:r>
            <w:r w:rsidR="00006D60">
              <w:t xml:space="preserve">to update their </w:t>
            </w:r>
            <w:r w:rsidR="000833C8">
              <w:t>systems.</w:t>
            </w:r>
            <w:r w:rsidR="0063480A">
              <w:t xml:space="preserve"> That leaves </w:t>
            </w:r>
            <w:r w:rsidR="005156CF">
              <w:t>a significantly shortened amount of time to undertake sufficient analysis of this proposal.</w:t>
            </w:r>
          </w:p>
          <w:p w14:paraId="7B2399C7" w14:textId="77777777" w:rsidR="00B12AE2" w:rsidRDefault="00B12AE2" w:rsidP="00B12AE2">
            <w:pPr>
              <w:pStyle w:val="ListParagraph"/>
            </w:pPr>
          </w:p>
          <w:p w14:paraId="3531C026" w14:textId="4E48A5FC" w:rsidR="00852144" w:rsidRDefault="00B12AE2" w:rsidP="00DA414F">
            <w:pPr>
              <w:pStyle w:val="ListParagraph"/>
              <w:numPr>
                <w:ilvl w:val="0"/>
                <w:numId w:val="9"/>
              </w:numPr>
              <w:spacing w:after="0"/>
            </w:pPr>
            <w:r w:rsidRPr="00BA4157">
              <w:rPr>
                <w:b/>
                <w:bCs/>
              </w:rPr>
              <w:t xml:space="preserve">Uncertainty </w:t>
            </w:r>
            <w:r w:rsidR="00BA4157" w:rsidRPr="00BA4157">
              <w:rPr>
                <w:b/>
                <w:bCs/>
              </w:rPr>
              <w:t xml:space="preserve">surrounding </w:t>
            </w:r>
            <w:r w:rsidR="00365D73">
              <w:rPr>
                <w:b/>
                <w:bCs/>
              </w:rPr>
              <w:t>magnitude</w:t>
            </w:r>
            <w:r w:rsidR="00BA4157" w:rsidRPr="00BA4157">
              <w:rPr>
                <w:b/>
                <w:bCs/>
              </w:rPr>
              <w:t xml:space="preserve"> of impacts</w:t>
            </w:r>
            <w:r w:rsidR="00BA4157">
              <w:t xml:space="preserve">: Inland Revenue has a strong evidence base to </w:t>
            </w:r>
            <w:r w:rsidR="00365D73">
              <w:t>determine the expected</w:t>
            </w:r>
            <w:r w:rsidR="004F5A45">
              <w:t xml:space="preserve"> qualitative effects of a</w:t>
            </w:r>
            <w:r w:rsidR="00935B98">
              <w:t xml:space="preserve"> higher </w:t>
            </w:r>
            <w:r w:rsidR="004F5A45">
              <w:t xml:space="preserve">top personal income tax </w:t>
            </w:r>
            <w:r w:rsidR="00105567">
              <w:t>rate but</w:t>
            </w:r>
            <w:r w:rsidR="00694EB3">
              <w:t xml:space="preserve"> cannot</w:t>
            </w:r>
            <w:r w:rsidR="00365D73">
              <w:t xml:space="preserve"> easily</w:t>
            </w:r>
            <w:r w:rsidR="00694EB3">
              <w:t xml:space="preserve"> </w:t>
            </w:r>
            <w:r w:rsidR="00365D73">
              <w:t>quantify</w:t>
            </w:r>
            <w:r w:rsidR="00F50AC0">
              <w:t xml:space="preserve"> the magnitudes of these </w:t>
            </w:r>
            <w:r w:rsidR="00D90178">
              <w:t>effects</w:t>
            </w:r>
            <w:r w:rsidR="00F50AC0">
              <w:t>.</w:t>
            </w:r>
            <w:r w:rsidR="003C3942">
              <w:t xml:space="preserve"> </w:t>
            </w:r>
            <w:r w:rsidR="0058642C">
              <w:t>Revenue estimates throughout</w:t>
            </w:r>
            <w:r w:rsidR="000917A7">
              <w:t xml:space="preserve"> this Impact Statement are sensitive to assumptions about how much people change their behaviour in response to the new rate (e.g., reducing hours, diverting income into another entity).</w:t>
            </w:r>
            <w:r w:rsidR="0058642C">
              <w:t xml:space="preserve"> </w:t>
            </w:r>
            <w:r w:rsidR="003C3942">
              <w:t xml:space="preserve">One assumption </w:t>
            </w:r>
            <w:r w:rsidR="00AE237B">
              <w:t xml:space="preserve">underlying the estimates is that there is no change in the income distribution because of </w:t>
            </w:r>
            <w:r w:rsidR="00E901F0">
              <w:t xml:space="preserve">current and future </w:t>
            </w:r>
            <w:r w:rsidR="00AE237B">
              <w:t>COVID-19-related shocks.</w:t>
            </w:r>
            <w:r w:rsidR="000917A7">
              <w:t xml:space="preserve"> There is significant uncertainty in these assumptions </w:t>
            </w:r>
            <w:r w:rsidR="00EC0B0B">
              <w:t>and changing them results in substantial changes in revenue.</w:t>
            </w:r>
            <w:r w:rsidR="002153A9">
              <w:t xml:space="preserve"> Hence, some estimates provided in this Impact Statement </w:t>
            </w:r>
            <w:r w:rsidR="000362B1">
              <w:t xml:space="preserve">are subject to a wide margin of error, </w:t>
            </w:r>
            <w:r w:rsidR="004001C5">
              <w:t>while</w:t>
            </w:r>
            <w:r w:rsidR="000362B1">
              <w:t xml:space="preserve"> other impacts </w:t>
            </w:r>
            <w:r w:rsidR="00105567">
              <w:t xml:space="preserve">are unable to be </w:t>
            </w:r>
            <w:r w:rsidR="000362B1">
              <w:t xml:space="preserve">estimated at all. </w:t>
            </w:r>
          </w:p>
          <w:p w14:paraId="49F7802E" w14:textId="77777777" w:rsidR="00E75C42" w:rsidRDefault="00E75C42" w:rsidP="00E75C42">
            <w:pPr>
              <w:pStyle w:val="ListParagraph"/>
            </w:pPr>
          </w:p>
          <w:p w14:paraId="50A54640" w14:textId="57C15910" w:rsidR="00852144" w:rsidRDefault="00AD23D5" w:rsidP="005C3437">
            <w:pPr>
              <w:pStyle w:val="ListParagraph"/>
              <w:numPr>
                <w:ilvl w:val="0"/>
                <w:numId w:val="9"/>
              </w:numPr>
              <w:spacing w:after="0"/>
            </w:pPr>
            <w:r>
              <w:rPr>
                <w:b/>
                <w:bCs/>
              </w:rPr>
              <w:t>C</w:t>
            </w:r>
            <w:r w:rsidR="00DF7ABE" w:rsidRPr="00DF7ABE">
              <w:rPr>
                <w:b/>
                <w:bCs/>
              </w:rPr>
              <w:t>onsultation</w:t>
            </w:r>
            <w:r w:rsidR="00DF7ABE">
              <w:t xml:space="preserve">: The speed at which this proposal </w:t>
            </w:r>
            <w:r w:rsidR="004B4D3E">
              <w:t xml:space="preserve">is being advanced </w:t>
            </w:r>
            <w:r w:rsidR="00DF7ABE">
              <w:t xml:space="preserve">has meant </w:t>
            </w:r>
            <w:r w:rsidR="004B4D3E">
              <w:t xml:space="preserve">that </w:t>
            </w:r>
            <w:r w:rsidR="0067351E">
              <w:t xml:space="preserve">no active consultation has taken place. However, the </w:t>
            </w:r>
            <w:r w:rsidR="008A7C88">
              <w:t>intention</w:t>
            </w:r>
            <w:r w:rsidR="0067351E">
              <w:t xml:space="preserve"> to </w:t>
            </w:r>
            <w:r w:rsidR="003754FE">
              <w:t>introduce a new</w:t>
            </w:r>
            <w:r w:rsidR="0067351E">
              <w:t xml:space="preserve"> top personal income tax rate </w:t>
            </w:r>
            <w:r w:rsidR="0067489A">
              <w:t>was announced</w:t>
            </w:r>
            <w:r w:rsidR="00B60F7C">
              <w:t xml:space="preserve"> to the public</w:t>
            </w:r>
            <w:r w:rsidR="008A7C88">
              <w:t xml:space="preserve"> prior to the 2020 </w:t>
            </w:r>
            <w:r w:rsidR="00C81C86">
              <w:t>g</w:t>
            </w:r>
            <w:r w:rsidR="008A7C88">
              <w:t xml:space="preserve">eneral </w:t>
            </w:r>
            <w:r w:rsidR="00C81C86">
              <w:t>e</w:t>
            </w:r>
            <w:r w:rsidR="008A7C88">
              <w:t>lection</w:t>
            </w:r>
            <w:r w:rsidR="00BC445B">
              <w:t xml:space="preserve">, so </w:t>
            </w:r>
            <w:r w:rsidR="00493403">
              <w:t>taxpayers have been notified of the intended policy change</w:t>
            </w:r>
            <w:r w:rsidR="0067489A">
              <w:t xml:space="preserve">. </w:t>
            </w:r>
            <w:r w:rsidR="0015670F">
              <w:t>Inland Revenue</w:t>
            </w:r>
            <w:r w:rsidR="002A072C">
              <w:t xml:space="preserve"> </w:t>
            </w:r>
            <w:r w:rsidR="0067489A">
              <w:t>also recommend</w:t>
            </w:r>
            <w:r w:rsidR="0015670F">
              <w:t>s</w:t>
            </w:r>
            <w:r w:rsidR="0067489A">
              <w:t xml:space="preserve"> implementing integrity measures alongside </w:t>
            </w:r>
            <w:r w:rsidR="00AE6D52">
              <w:t>introducing a new</w:t>
            </w:r>
            <w:r w:rsidR="0067489A">
              <w:t xml:space="preserve"> top personal income tax rate</w:t>
            </w:r>
            <w:r w:rsidR="00BE2235">
              <w:t>. It would seek</w:t>
            </w:r>
            <w:r w:rsidR="00E721EE">
              <w:t xml:space="preserve"> </w:t>
            </w:r>
            <w:r w:rsidR="00BE2235">
              <w:t>to consult on these measures in</w:t>
            </w:r>
            <w:r w:rsidR="00E721EE">
              <w:t xml:space="preserve"> 2021</w:t>
            </w:r>
            <w:r w:rsidR="00E3230B">
              <w:t xml:space="preserve"> </w:t>
            </w:r>
            <w:r w:rsidR="003E54AC">
              <w:t>with implementation for 1 April 2022 (a year after the introduction of the new top personal tax rate)</w:t>
            </w:r>
            <w:r w:rsidR="00E721EE">
              <w:t xml:space="preserve">. </w:t>
            </w:r>
            <w:r w:rsidR="002364E2">
              <w:t>Inland Revenue will seek feedback</w:t>
            </w:r>
            <w:r w:rsidR="002122D7">
              <w:t xml:space="preserve"> on the proposed information reporting requirements for trusts following their implementation</w:t>
            </w:r>
            <w:r w:rsidR="00960143">
              <w:t>. This will</w:t>
            </w:r>
            <w:r w:rsidR="002C6C21">
              <w:t xml:space="preserve"> occur in lieu of </w:t>
            </w:r>
            <w:r w:rsidR="00CA0272">
              <w:t xml:space="preserve">formal consultation before the requirements </w:t>
            </w:r>
            <w:r w:rsidR="005C3437">
              <w:t xml:space="preserve">come into effect </w:t>
            </w:r>
            <w:r w:rsidR="00CA0272">
              <w:t xml:space="preserve">but will </w:t>
            </w:r>
            <w:r w:rsidR="00960143">
              <w:t>allow Inland Revenue to evaluate</w:t>
            </w:r>
            <w:r w:rsidR="00CA0272">
              <w:t xml:space="preserve"> post-implementation</w:t>
            </w:r>
            <w:r w:rsidR="00960143">
              <w:t xml:space="preserve"> whether the benefits of the requirements outweigh the compliance costs imposed upon trust</w:t>
            </w:r>
            <w:r w:rsidR="00F56FC3">
              <w:t>ee</w:t>
            </w:r>
            <w:r w:rsidR="00960143">
              <w:t>s.</w:t>
            </w:r>
          </w:p>
          <w:p w14:paraId="2C3568BD" w14:textId="380C6267" w:rsidR="00AD23D5" w:rsidRPr="00AD23D5" w:rsidRDefault="00AD23D5" w:rsidP="00AD23D5">
            <w:pPr>
              <w:spacing w:after="0"/>
            </w:pPr>
          </w:p>
        </w:tc>
      </w:tr>
    </w:tbl>
    <w:p w14:paraId="43C66176" w14:textId="77777777" w:rsidR="007958EF" w:rsidRPr="00143420" w:rsidRDefault="007958EF" w:rsidP="00143420">
      <w:pPr>
        <w:pStyle w:val="spacer"/>
        <w:rPr>
          <w:sz w:val="22"/>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1B2A4572" w14:textId="77777777" w:rsidTr="00346B30">
        <w:tc>
          <w:tcPr>
            <w:tcW w:w="5000" w:type="pct"/>
            <w:shd w:val="clear" w:color="auto" w:fill="99CDDD"/>
            <w:hideMark/>
          </w:tcPr>
          <w:p w14:paraId="4E3D27BC" w14:textId="58736D56" w:rsidR="0062657E" w:rsidRPr="009C4129" w:rsidRDefault="00020F75" w:rsidP="006356D0">
            <w:pPr>
              <w:keepNext/>
              <w:spacing w:before="60" w:after="60" w:line="240" w:lineRule="auto"/>
              <w:rPr>
                <w:rFonts w:cs="Arial"/>
                <w:b/>
                <w:szCs w:val="22"/>
              </w:rPr>
            </w:pPr>
            <w:bookmarkStart w:id="1" w:name="_Toc363047038"/>
            <w:bookmarkStart w:id="2" w:name="_Toc362940530"/>
            <w:bookmarkStart w:id="3" w:name="_Toc362618966"/>
            <w:bookmarkStart w:id="4" w:name="_Toc362434720"/>
            <w:bookmarkStart w:id="5" w:name="_Toc362368098"/>
            <w:r>
              <w:rPr>
                <w:rFonts w:cs="Arial"/>
                <w:b/>
                <w:szCs w:val="22"/>
              </w:rPr>
              <w:t xml:space="preserve">1.3   </w:t>
            </w:r>
            <w:r w:rsidR="0062657E" w:rsidRPr="009C4129">
              <w:rPr>
                <w:rFonts w:cs="Arial"/>
                <w:b/>
                <w:szCs w:val="22"/>
              </w:rPr>
              <w:t>Responsible Manager</w:t>
            </w:r>
            <w:r w:rsidR="001B3F24">
              <w:rPr>
                <w:rFonts w:cs="Arial"/>
                <w:b/>
                <w:szCs w:val="22"/>
              </w:rPr>
              <w:t>:</w:t>
            </w:r>
          </w:p>
        </w:tc>
      </w:tr>
      <w:tr w:rsidR="0062657E" w:rsidRPr="009C4129" w14:paraId="6C8BFA33" w14:textId="77777777" w:rsidTr="00343533">
        <w:trPr>
          <w:trHeight w:val="1937"/>
        </w:trPr>
        <w:tc>
          <w:tcPr>
            <w:tcW w:w="5000" w:type="pct"/>
            <w:shd w:val="clear" w:color="auto" w:fill="FFFFFF"/>
          </w:tcPr>
          <w:p w14:paraId="6261E8E6" w14:textId="77777777" w:rsidR="00343533" w:rsidRDefault="00343533" w:rsidP="00343533">
            <w:pPr>
              <w:spacing w:after="0" w:line="276" w:lineRule="auto"/>
              <w:jc w:val="both"/>
              <w:rPr>
                <w:rFonts w:cs="Arial"/>
                <w:szCs w:val="22"/>
              </w:rPr>
            </w:pPr>
          </w:p>
          <w:p w14:paraId="347304EB" w14:textId="3FE0A949" w:rsidR="007449BA" w:rsidRDefault="007449BA" w:rsidP="00343533">
            <w:pPr>
              <w:spacing w:after="0" w:line="276" w:lineRule="auto"/>
              <w:jc w:val="both"/>
              <w:rPr>
                <w:rFonts w:cs="Arial"/>
                <w:szCs w:val="22"/>
              </w:rPr>
            </w:pPr>
          </w:p>
          <w:p w14:paraId="30003510" w14:textId="0CA3F685" w:rsidR="007449BA" w:rsidRDefault="00427FDE" w:rsidP="00343533">
            <w:pPr>
              <w:spacing w:after="0" w:line="276" w:lineRule="auto"/>
              <w:jc w:val="both"/>
              <w:rPr>
                <w:rFonts w:cs="Arial"/>
                <w:szCs w:val="22"/>
              </w:rPr>
            </w:pPr>
            <w:r>
              <w:rPr>
                <w:noProof/>
              </w:rPr>
              <w:drawing>
                <wp:inline distT="0" distB="0" distL="0" distR="0" wp14:anchorId="0935080A" wp14:editId="11E4C7FD">
                  <wp:extent cx="1344385" cy="4317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153" cy="440306"/>
                          </a:xfrm>
                          <a:prstGeom prst="rect">
                            <a:avLst/>
                          </a:prstGeom>
                        </pic:spPr>
                      </pic:pic>
                    </a:graphicData>
                  </a:graphic>
                </wp:inline>
              </w:drawing>
            </w:r>
          </w:p>
          <w:p w14:paraId="10DF2BAF" w14:textId="77777777" w:rsidR="007449BA" w:rsidRDefault="007449BA" w:rsidP="00343533">
            <w:pPr>
              <w:spacing w:after="0" w:line="276" w:lineRule="auto"/>
              <w:jc w:val="both"/>
              <w:rPr>
                <w:rFonts w:cs="Arial"/>
                <w:szCs w:val="22"/>
              </w:rPr>
            </w:pPr>
          </w:p>
          <w:p w14:paraId="3FB6DA57" w14:textId="130062E8" w:rsidR="0062657E" w:rsidRPr="007449BA" w:rsidRDefault="000833C8" w:rsidP="00343533">
            <w:pPr>
              <w:spacing w:after="0" w:line="276" w:lineRule="auto"/>
              <w:jc w:val="both"/>
              <w:rPr>
                <w:rFonts w:cs="Arial"/>
                <w:szCs w:val="22"/>
              </w:rPr>
            </w:pPr>
            <w:r w:rsidRPr="007449BA">
              <w:rPr>
                <w:rFonts w:cs="Arial"/>
                <w:szCs w:val="22"/>
              </w:rPr>
              <w:t>Phil Whittington</w:t>
            </w:r>
          </w:p>
          <w:p w14:paraId="64E310B9" w14:textId="2F5A276A" w:rsidR="0062657E" w:rsidRPr="007449BA" w:rsidRDefault="00505146" w:rsidP="00343533">
            <w:pPr>
              <w:spacing w:after="0" w:line="276" w:lineRule="auto"/>
              <w:ind w:left="284" w:hanging="284"/>
              <w:jc w:val="both"/>
              <w:rPr>
                <w:rFonts w:cs="Arial"/>
                <w:szCs w:val="22"/>
              </w:rPr>
            </w:pPr>
            <w:r w:rsidRPr="007449BA">
              <w:rPr>
                <w:rFonts w:cs="Arial"/>
                <w:szCs w:val="22"/>
              </w:rPr>
              <w:t>Chief Economist</w:t>
            </w:r>
          </w:p>
          <w:p w14:paraId="7605703B" w14:textId="47271435" w:rsidR="0062657E" w:rsidRPr="007449BA" w:rsidRDefault="00505146" w:rsidP="00343533">
            <w:pPr>
              <w:spacing w:after="0" w:line="276" w:lineRule="auto"/>
              <w:ind w:left="284" w:hanging="284"/>
              <w:jc w:val="both"/>
              <w:rPr>
                <w:rFonts w:cs="Arial"/>
                <w:szCs w:val="22"/>
              </w:rPr>
            </w:pPr>
            <w:r w:rsidRPr="007449BA">
              <w:rPr>
                <w:rFonts w:cs="Arial"/>
                <w:szCs w:val="22"/>
              </w:rPr>
              <w:t>Policy and Strategy</w:t>
            </w:r>
          </w:p>
          <w:p w14:paraId="71B55F19" w14:textId="6130ADC6" w:rsidR="0062657E" w:rsidRPr="007449BA" w:rsidRDefault="00505146" w:rsidP="00343533">
            <w:pPr>
              <w:spacing w:after="0" w:line="276" w:lineRule="auto"/>
              <w:ind w:left="284" w:hanging="284"/>
              <w:jc w:val="both"/>
              <w:rPr>
                <w:rFonts w:cs="Arial"/>
                <w:szCs w:val="22"/>
              </w:rPr>
            </w:pPr>
            <w:r w:rsidRPr="007449BA">
              <w:rPr>
                <w:rFonts w:cs="Arial"/>
                <w:szCs w:val="22"/>
              </w:rPr>
              <w:t>Inland Revenue</w:t>
            </w:r>
          </w:p>
          <w:p w14:paraId="23876630" w14:textId="77777777" w:rsidR="00343533" w:rsidRPr="007449BA" w:rsidRDefault="00343533" w:rsidP="00343533">
            <w:pPr>
              <w:spacing w:after="0" w:line="276" w:lineRule="auto"/>
              <w:ind w:left="284" w:hanging="284"/>
              <w:jc w:val="both"/>
              <w:rPr>
                <w:rFonts w:cs="Arial"/>
                <w:szCs w:val="22"/>
              </w:rPr>
            </w:pPr>
          </w:p>
          <w:p w14:paraId="65704467" w14:textId="1B33FEA0" w:rsidR="00B56273" w:rsidRDefault="00947E1F" w:rsidP="00343533">
            <w:pPr>
              <w:spacing w:after="0" w:line="276" w:lineRule="auto"/>
              <w:ind w:left="284" w:hanging="284"/>
              <w:jc w:val="both"/>
              <w:rPr>
                <w:rFonts w:cs="Arial"/>
                <w:szCs w:val="22"/>
              </w:rPr>
            </w:pPr>
            <w:r w:rsidRPr="007449BA">
              <w:rPr>
                <w:rFonts w:cs="Arial"/>
                <w:szCs w:val="22"/>
              </w:rPr>
              <w:t>1</w:t>
            </w:r>
            <w:r w:rsidR="006709AB">
              <w:rPr>
                <w:rFonts w:cs="Arial"/>
                <w:szCs w:val="22"/>
              </w:rPr>
              <w:t>8</w:t>
            </w:r>
            <w:r w:rsidRPr="007449BA">
              <w:rPr>
                <w:rFonts w:cs="Arial"/>
                <w:szCs w:val="22"/>
              </w:rPr>
              <w:t xml:space="preserve"> November 2020</w:t>
            </w:r>
          </w:p>
          <w:p w14:paraId="49AF7E45" w14:textId="6CF7471E" w:rsidR="00343533" w:rsidRPr="009C4129" w:rsidRDefault="00343533" w:rsidP="00343533">
            <w:pPr>
              <w:spacing w:after="0" w:line="276" w:lineRule="auto"/>
              <w:ind w:left="284" w:hanging="284"/>
              <w:jc w:val="both"/>
              <w:rPr>
                <w:rFonts w:cs="Arial"/>
                <w:szCs w:val="22"/>
              </w:rPr>
            </w:pPr>
          </w:p>
        </w:tc>
      </w:tr>
    </w:tbl>
    <w:p w14:paraId="510A6E43" w14:textId="77777777" w:rsidR="0062657E" w:rsidRPr="0005691A" w:rsidRDefault="0062657E" w:rsidP="00663BAA">
      <w:pPr>
        <w:spacing w:line="276" w:lineRule="auto"/>
        <w:rPr>
          <w:rFonts w:cs="Arial"/>
          <w:b/>
          <w:color w:val="0082AB"/>
          <w:spacing w:val="20"/>
          <w:w w:val="90"/>
          <w:sz w:val="32"/>
          <w:szCs w:val="24"/>
        </w:rPr>
      </w:pPr>
      <w:r w:rsidRPr="009C4129">
        <w:rPr>
          <w:rFonts w:cs="Arial"/>
          <w:szCs w:val="22"/>
        </w:rPr>
        <w:br w:type="page"/>
      </w:r>
      <w:r w:rsidRPr="0005691A">
        <w:rPr>
          <w:rFonts w:cs="Arial"/>
          <w:b/>
          <w:color w:val="0082AB"/>
          <w:spacing w:val="20"/>
          <w:w w:val="90"/>
          <w:sz w:val="32"/>
          <w:szCs w:val="24"/>
        </w:rPr>
        <w:t>Section 2:</w:t>
      </w:r>
      <w:bookmarkEnd w:id="1"/>
      <w:bookmarkEnd w:id="2"/>
      <w:bookmarkEnd w:id="3"/>
      <w:bookmarkEnd w:id="4"/>
      <w:bookmarkEnd w:id="5"/>
      <w:r w:rsidR="0005691A" w:rsidRPr="0005691A">
        <w:rPr>
          <w:rFonts w:cs="Arial"/>
          <w:b/>
          <w:color w:val="0082AB"/>
          <w:spacing w:val="20"/>
          <w:w w:val="90"/>
          <w:sz w:val="32"/>
          <w:szCs w:val="24"/>
        </w:rPr>
        <w:t xml:space="preserve"> </w:t>
      </w:r>
      <w:r w:rsidRPr="0005691A">
        <w:rPr>
          <w:rFonts w:cs="Arial"/>
          <w:b/>
          <w:color w:val="0082AB"/>
          <w:spacing w:val="20"/>
          <w:w w:val="90"/>
          <w:sz w:val="32"/>
          <w:szCs w:val="24"/>
        </w:rPr>
        <w:t>Problem definition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9C4129" w:rsidRPr="009C4129" w14:paraId="4029D6CB" w14:textId="77777777" w:rsidTr="007958EF">
        <w:trPr>
          <w:trHeight w:val="77"/>
        </w:trPr>
        <w:tc>
          <w:tcPr>
            <w:tcW w:w="5000" w:type="pct"/>
            <w:shd w:val="clear" w:color="auto" w:fill="99CDDD"/>
          </w:tcPr>
          <w:p w14:paraId="1834E45F" w14:textId="45D02DC5" w:rsidR="0062657E" w:rsidRPr="009C4129" w:rsidRDefault="00216981" w:rsidP="006356D0">
            <w:pPr>
              <w:keepNext/>
              <w:spacing w:before="60" w:after="60" w:line="240" w:lineRule="auto"/>
              <w:rPr>
                <w:rFonts w:cs="Arial"/>
                <w:b/>
                <w:szCs w:val="22"/>
              </w:rPr>
            </w:pPr>
            <w:r>
              <w:rPr>
                <w:rFonts w:cs="Arial"/>
                <w:b/>
                <w:szCs w:val="22"/>
              </w:rPr>
              <w:t xml:space="preserve">2.1   </w:t>
            </w:r>
            <w:r w:rsidR="0062657E" w:rsidRPr="009C4129">
              <w:rPr>
                <w:rFonts w:cs="Arial"/>
                <w:b/>
                <w:szCs w:val="22"/>
              </w:rPr>
              <w:t xml:space="preserve">What is the </w:t>
            </w:r>
            <w:r w:rsidR="00B96523">
              <w:rPr>
                <w:rFonts w:cs="Arial"/>
                <w:b/>
                <w:szCs w:val="22"/>
              </w:rPr>
              <w:t xml:space="preserve">current state </w:t>
            </w:r>
            <w:r w:rsidR="0062657E" w:rsidRPr="009C4129">
              <w:rPr>
                <w:rFonts w:cs="Arial"/>
                <w:b/>
                <w:szCs w:val="22"/>
              </w:rPr>
              <w:t>within which action is proposed?</w:t>
            </w:r>
          </w:p>
        </w:tc>
      </w:tr>
      <w:tr w:rsidR="009C4129" w:rsidRPr="009C4129" w14:paraId="69A48309" w14:textId="77777777" w:rsidTr="00FE42D7">
        <w:trPr>
          <w:trHeight w:val="1039"/>
        </w:trPr>
        <w:tc>
          <w:tcPr>
            <w:tcW w:w="5000" w:type="pct"/>
            <w:shd w:val="clear" w:color="auto" w:fill="auto"/>
          </w:tcPr>
          <w:p w14:paraId="1A5C60E9" w14:textId="77777777" w:rsidR="004D6ACC" w:rsidRDefault="004D6ACC" w:rsidP="009C4129">
            <w:pPr>
              <w:spacing w:after="0" w:line="276" w:lineRule="auto"/>
              <w:jc w:val="both"/>
              <w:rPr>
                <w:rFonts w:cs="Arial"/>
                <w:szCs w:val="22"/>
                <w:lang w:eastAsia="en-AU"/>
              </w:rPr>
            </w:pPr>
          </w:p>
          <w:p w14:paraId="15858523" w14:textId="3EED18CF" w:rsidR="006C0D39" w:rsidRDefault="006C0D39" w:rsidP="009C4129">
            <w:pPr>
              <w:spacing w:after="0" w:line="276" w:lineRule="auto"/>
              <w:jc w:val="both"/>
              <w:rPr>
                <w:rFonts w:cs="Arial"/>
                <w:szCs w:val="22"/>
                <w:lang w:eastAsia="en-AU"/>
              </w:rPr>
            </w:pPr>
            <w:r>
              <w:rPr>
                <w:rFonts w:cs="Arial"/>
                <w:szCs w:val="22"/>
                <w:lang w:eastAsia="en-AU"/>
              </w:rPr>
              <w:t>New Zealand</w:t>
            </w:r>
            <w:r w:rsidR="0073498F">
              <w:rPr>
                <w:rFonts w:cs="Arial"/>
                <w:szCs w:val="22"/>
                <w:lang w:eastAsia="en-AU"/>
              </w:rPr>
              <w:t>’s tax system is based on a broad-base low-rate framework</w:t>
            </w:r>
            <w:r w:rsidR="00B3497C">
              <w:rPr>
                <w:rFonts w:cs="Arial"/>
                <w:szCs w:val="22"/>
                <w:lang w:eastAsia="en-AU"/>
              </w:rPr>
              <w:t>. This means that the system</w:t>
            </w:r>
            <w:r w:rsidR="0073498F">
              <w:rPr>
                <w:rFonts w:cs="Arial"/>
                <w:szCs w:val="22"/>
                <w:lang w:eastAsia="en-AU"/>
              </w:rPr>
              <w:t xml:space="preserve"> seeks to </w:t>
            </w:r>
            <w:r w:rsidR="00CE024E">
              <w:rPr>
                <w:rFonts w:cs="Arial"/>
                <w:szCs w:val="22"/>
                <w:lang w:eastAsia="en-AU"/>
              </w:rPr>
              <w:t>minimise exemptions/concessions</w:t>
            </w:r>
            <w:r w:rsidR="005F314F">
              <w:rPr>
                <w:rFonts w:cs="Arial"/>
                <w:szCs w:val="22"/>
                <w:lang w:eastAsia="en-AU"/>
              </w:rPr>
              <w:t xml:space="preserve"> (broad-base) while mitigating any distortionary effects</w:t>
            </w:r>
            <w:r w:rsidR="00B3497C">
              <w:rPr>
                <w:rFonts w:cs="Arial"/>
                <w:szCs w:val="22"/>
                <w:lang w:eastAsia="en-AU"/>
              </w:rPr>
              <w:t xml:space="preserve"> </w:t>
            </w:r>
            <w:r w:rsidR="007F393A">
              <w:rPr>
                <w:rFonts w:cs="Arial"/>
                <w:szCs w:val="22"/>
                <w:lang w:eastAsia="en-AU"/>
              </w:rPr>
              <w:t xml:space="preserve">arising </w:t>
            </w:r>
            <w:r w:rsidR="00B3497C">
              <w:rPr>
                <w:rFonts w:cs="Arial"/>
                <w:szCs w:val="22"/>
                <w:lang w:eastAsia="en-AU"/>
              </w:rPr>
              <w:t xml:space="preserve">from absolutely or relatively high taxes (low-rate). </w:t>
            </w:r>
            <w:r w:rsidR="007F393A">
              <w:rPr>
                <w:rFonts w:cs="Arial"/>
                <w:szCs w:val="22"/>
                <w:lang w:eastAsia="en-AU"/>
              </w:rPr>
              <w:t xml:space="preserve">This ensures that </w:t>
            </w:r>
            <w:r w:rsidR="00012794">
              <w:rPr>
                <w:rFonts w:cs="Arial"/>
                <w:szCs w:val="22"/>
                <w:lang w:eastAsia="en-AU"/>
              </w:rPr>
              <w:t xml:space="preserve">substantial amounts of revenue can be raised by the Government without </w:t>
            </w:r>
            <w:r w:rsidR="00765280">
              <w:rPr>
                <w:rFonts w:cs="Arial"/>
                <w:szCs w:val="22"/>
                <w:lang w:eastAsia="en-AU"/>
              </w:rPr>
              <w:t xml:space="preserve">having </w:t>
            </w:r>
            <w:r w:rsidR="006C6FF2">
              <w:rPr>
                <w:rFonts w:cs="Arial"/>
                <w:szCs w:val="22"/>
                <w:lang w:eastAsia="en-AU"/>
              </w:rPr>
              <w:t xml:space="preserve">high tax rates. </w:t>
            </w:r>
            <w:r w:rsidR="00951D0D">
              <w:rPr>
                <w:rFonts w:cs="Arial"/>
                <w:szCs w:val="22"/>
                <w:lang w:eastAsia="en-AU"/>
              </w:rPr>
              <w:t xml:space="preserve">This </w:t>
            </w:r>
            <w:r w:rsidR="00000E3F">
              <w:rPr>
                <w:rFonts w:cs="Arial"/>
                <w:szCs w:val="22"/>
                <w:lang w:eastAsia="en-AU"/>
              </w:rPr>
              <w:t>provides two benefits:</w:t>
            </w:r>
          </w:p>
          <w:p w14:paraId="64FDECDE" w14:textId="77777777" w:rsidR="004A3000" w:rsidRDefault="004A3000" w:rsidP="009C4129">
            <w:pPr>
              <w:spacing w:after="0" w:line="276" w:lineRule="auto"/>
              <w:jc w:val="both"/>
              <w:rPr>
                <w:rFonts w:cs="Arial"/>
                <w:szCs w:val="22"/>
                <w:lang w:eastAsia="en-AU"/>
              </w:rPr>
            </w:pPr>
          </w:p>
          <w:p w14:paraId="67A190C5" w14:textId="2F82AE6E" w:rsidR="004A3000" w:rsidRDefault="00000E3F" w:rsidP="004A3000">
            <w:pPr>
              <w:pStyle w:val="ListParagraph"/>
              <w:numPr>
                <w:ilvl w:val="0"/>
                <w:numId w:val="9"/>
              </w:numPr>
              <w:spacing w:after="0"/>
            </w:pPr>
            <w:r>
              <w:t>Tax</w:t>
            </w:r>
            <w:r w:rsidR="008C0522">
              <w:t>-</w:t>
            </w:r>
            <w:r>
              <w:t>induced distortions between different activities are minimised by having the widest possible base</w:t>
            </w:r>
            <w:r w:rsidR="004A3000">
              <w:t>.</w:t>
            </w:r>
          </w:p>
          <w:p w14:paraId="2D45D4AF" w14:textId="544A06B3" w:rsidR="00000E3F" w:rsidRDefault="00000E3F" w:rsidP="004A3000">
            <w:pPr>
              <w:pStyle w:val="ListParagraph"/>
              <w:numPr>
                <w:ilvl w:val="0"/>
                <w:numId w:val="9"/>
              </w:numPr>
              <w:spacing w:after="0"/>
              <w:rPr>
                <w:lang w:eastAsia="en-AU"/>
              </w:rPr>
            </w:pPr>
            <w:r>
              <w:t>The widest possible base means a lower rate of tax is sufficient to collect required revenue. This lower rate of tax</w:t>
            </w:r>
            <w:r>
              <w:rPr>
                <w:lang w:eastAsia="en-AU"/>
              </w:rPr>
              <w:t xml:space="preserve"> minimises any distortions between any remaining non-taxed and taxed activities.</w:t>
            </w:r>
          </w:p>
          <w:p w14:paraId="51881E12" w14:textId="77777777" w:rsidR="006C0D39" w:rsidRDefault="006C0D39" w:rsidP="009C4129">
            <w:pPr>
              <w:spacing w:after="0" w:line="276" w:lineRule="auto"/>
              <w:jc w:val="both"/>
              <w:rPr>
                <w:rFonts w:cs="Arial"/>
                <w:szCs w:val="22"/>
                <w:lang w:eastAsia="en-AU"/>
              </w:rPr>
            </w:pPr>
          </w:p>
          <w:p w14:paraId="770829AB" w14:textId="38FF5D95" w:rsidR="0062657E" w:rsidRDefault="006C0D39" w:rsidP="009C4129">
            <w:pPr>
              <w:spacing w:after="0" w:line="276" w:lineRule="auto"/>
              <w:jc w:val="both"/>
              <w:rPr>
                <w:rFonts w:cs="Arial"/>
                <w:szCs w:val="22"/>
                <w:lang w:eastAsia="en-AU"/>
              </w:rPr>
            </w:pPr>
            <w:r>
              <w:rPr>
                <w:rFonts w:cs="Arial"/>
                <w:szCs w:val="22"/>
                <w:lang w:eastAsia="en-AU"/>
              </w:rPr>
              <w:t xml:space="preserve">Within this framework, </w:t>
            </w:r>
            <w:r w:rsidR="00BF018C">
              <w:rPr>
                <w:rFonts w:cs="Arial"/>
                <w:szCs w:val="22"/>
                <w:lang w:eastAsia="en-AU"/>
              </w:rPr>
              <w:t>New Zealand has a progressive personal</w:t>
            </w:r>
            <w:r w:rsidR="00D75251">
              <w:rPr>
                <w:rFonts w:cs="Arial"/>
                <w:szCs w:val="22"/>
                <w:lang w:eastAsia="en-AU"/>
              </w:rPr>
              <w:t xml:space="preserve"> income</w:t>
            </w:r>
            <w:r w:rsidR="00BF018C">
              <w:rPr>
                <w:rFonts w:cs="Arial"/>
                <w:szCs w:val="22"/>
                <w:lang w:eastAsia="en-AU"/>
              </w:rPr>
              <w:t xml:space="preserve"> tax </w:t>
            </w:r>
            <w:r w:rsidR="0073498F">
              <w:rPr>
                <w:rFonts w:cs="Arial"/>
                <w:szCs w:val="22"/>
                <w:lang w:eastAsia="en-AU"/>
              </w:rPr>
              <w:t>scale</w:t>
            </w:r>
            <w:r w:rsidR="00AD559E">
              <w:rPr>
                <w:rFonts w:cs="Arial"/>
                <w:szCs w:val="22"/>
                <w:lang w:eastAsia="en-AU"/>
              </w:rPr>
              <w:t>. This means</w:t>
            </w:r>
            <w:r w:rsidR="00BF018C">
              <w:rPr>
                <w:rFonts w:cs="Arial"/>
                <w:szCs w:val="22"/>
                <w:lang w:eastAsia="en-AU"/>
              </w:rPr>
              <w:t xml:space="preserve"> that</w:t>
            </w:r>
            <w:r w:rsidR="0085251E">
              <w:rPr>
                <w:rFonts w:cs="Arial"/>
                <w:szCs w:val="22"/>
                <w:lang w:eastAsia="en-AU"/>
              </w:rPr>
              <w:t xml:space="preserve"> the system</w:t>
            </w:r>
            <w:r w:rsidR="00BF018C">
              <w:rPr>
                <w:rFonts w:cs="Arial"/>
                <w:szCs w:val="22"/>
                <w:lang w:eastAsia="en-AU"/>
              </w:rPr>
              <w:t xml:space="preserve"> taxes </w:t>
            </w:r>
            <w:r w:rsidR="00105F92">
              <w:rPr>
                <w:rFonts w:cs="Arial"/>
                <w:szCs w:val="22"/>
                <w:lang w:eastAsia="en-AU"/>
              </w:rPr>
              <w:t>a larger share of</w:t>
            </w:r>
            <w:r w:rsidR="000423A2">
              <w:rPr>
                <w:rFonts w:cs="Arial"/>
                <w:szCs w:val="22"/>
                <w:lang w:eastAsia="en-AU"/>
              </w:rPr>
              <w:t xml:space="preserve"> an individual’s</w:t>
            </w:r>
            <w:r w:rsidR="00105F92">
              <w:rPr>
                <w:rFonts w:cs="Arial"/>
                <w:szCs w:val="22"/>
                <w:lang w:eastAsia="en-AU"/>
              </w:rPr>
              <w:t xml:space="preserve"> income </w:t>
            </w:r>
            <w:r w:rsidR="000423A2">
              <w:rPr>
                <w:rFonts w:cs="Arial"/>
                <w:szCs w:val="22"/>
                <w:lang w:eastAsia="en-AU"/>
              </w:rPr>
              <w:t>as it increases</w:t>
            </w:r>
            <w:r w:rsidR="00105F92">
              <w:rPr>
                <w:rFonts w:cs="Arial"/>
                <w:szCs w:val="22"/>
                <w:lang w:eastAsia="en-AU"/>
              </w:rPr>
              <w:t xml:space="preserve">. There are currently four rates and thresholds within the New Zealand </w:t>
            </w:r>
            <w:r w:rsidR="009600C8">
              <w:rPr>
                <w:rFonts w:cs="Arial"/>
                <w:szCs w:val="22"/>
                <w:lang w:eastAsia="en-AU"/>
              </w:rPr>
              <w:t xml:space="preserve">personal income tax </w:t>
            </w:r>
            <w:r w:rsidR="00105F92">
              <w:rPr>
                <w:rFonts w:cs="Arial"/>
                <w:szCs w:val="22"/>
                <w:lang w:eastAsia="en-AU"/>
              </w:rPr>
              <w:t>system:</w:t>
            </w:r>
          </w:p>
          <w:p w14:paraId="4563A059" w14:textId="77777777" w:rsidR="00105F92" w:rsidRDefault="00105F92" w:rsidP="009C4129">
            <w:pPr>
              <w:spacing w:after="0" w:line="276" w:lineRule="auto"/>
              <w:jc w:val="both"/>
              <w:rPr>
                <w:rFonts w:cs="Arial"/>
                <w:szCs w:val="22"/>
                <w:lang w:eastAsia="en-AU"/>
              </w:rPr>
            </w:pPr>
          </w:p>
          <w:tbl>
            <w:tblPr>
              <w:tblStyle w:val="TableGrid"/>
              <w:tblW w:w="0" w:type="auto"/>
              <w:jc w:val="center"/>
              <w:tblLook w:val="04A0" w:firstRow="1" w:lastRow="0" w:firstColumn="1" w:lastColumn="0" w:noHBand="0" w:noVBand="1"/>
            </w:tblPr>
            <w:tblGrid>
              <w:gridCol w:w="3886"/>
              <w:gridCol w:w="2126"/>
            </w:tblGrid>
            <w:tr w:rsidR="00E5053B" w14:paraId="5809D3CD" w14:textId="77777777" w:rsidTr="006928B2">
              <w:trPr>
                <w:jc w:val="center"/>
              </w:trPr>
              <w:tc>
                <w:tcPr>
                  <w:tcW w:w="3886" w:type="dxa"/>
                </w:tcPr>
                <w:p w14:paraId="62CCEACB" w14:textId="28827F1D" w:rsidR="00E5053B" w:rsidRPr="000423A2" w:rsidRDefault="00E5053B" w:rsidP="009C4129">
                  <w:pPr>
                    <w:spacing w:after="0" w:line="276" w:lineRule="auto"/>
                    <w:rPr>
                      <w:rFonts w:cs="Arial"/>
                      <w:b/>
                      <w:bCs/>
                      <w:szCs w:val="22"/>
                      <w:lang w:eastAsia="en-AU"/>
                    </w:rPr>
                  </w:pPr>
                  <w:r w:rsidRPr="000423A2">
                    <w:rPr>
                      <w:rFonts w:cs="Arial"/>
                      <w:b/>
                      <w:bCs/>
                      <w:szCs w:val="22"/>
                      <w:lang w:eastAsia="en-AU"/>
                    </w:rPr>
                    <w:t>For each dollar of income</w:t>
                  </w:r>
                  <w:r w:rsidR="008C01E5">
                    <w:rPr>
                      <w:rFonts w:cs="Arial"/>
                      <w:b/>
                      <w:bCs/>
                      <w:szCs w:val="22"/>
                      <w:lang w:eastAsia="en-AU"/>
                    </w:rPr>
                    <w:t xml:space="preserve"> between</w:t>
                  </w:r>
                  <w:r w:rsidR="001D1314">
                    <w:rPr>
                      <w:rFonts w:cs="Arial"/>
                      <w:b/>
                      <w:bCs/>
                      <w:szCs w:val="22"/>
                      <w:lang w:eastAsia="en-AU"/>
                    </w:rPr>
                    <w:t>:</w:t>
                  </w:r>
                </w:p>
              </w:tc>
              <w:tc>
                <w:tcPr>
                  <w:tcW w:w="2126" w:type="dxa"/>
                </w:tcPr>
                <w:p w14:paraId="6A584988" w14:textId="3153384E" w:rsidR="00E5053B" w:rsidRPr="000423A2" w:rsidRDefault="000423A2" w:rsidP="009C4129">
                  <w:pPr>
                    <w:spacing w:after="0" w:line="276" w:lineRule="auto"/>
                    <w:rPr>
                      <w:rFonts w:cs="Arial"/>
                      <w:b/>
                      <w:bCs/>
                      <w:szCs w:val="22"/>
                      <w:lang w:eastAsia="en-AU"/>
                    </w:rPr>
                  </w:pPr>
                  <w:r w:rsidRPr="000423A2">
                    <w:rPr>
                      <w:rFonts w:cs="Arial"/>
                      <w:b/>
                      <w:bCs/>
                      <w:szCs w:val="22"/>
                      <w:lang w:eastAsia="en-AU"/>
                    </w:rPr>
                    <w:t>Marginal t</w:t>
                  </w:r>
                  <w:r w:rsidR="00E5053B" w:rsidRPr="000423A2">
                    <w:rPr>
                      <w:rFonts w:cs="Arial"/>
                      <w:b/>
                      <w:bCs/>
                      <w:szCs w:val="22"/>
                      <w:lang w:eastAsia="en-AU"/>
                    </w:rPr>
                    <w:t xml:space="preserve">ax </w:t>
                  </w:r>
                  <w:r w:rsidRPr="000423A2">
                    <w:rPr>
                      <w:rFonts w:cs="Arial"/>
                      <w:b/>
                      <w:bCs/>
                      <w:szCs w:val="22"/>
                      <w:lang w:eastAsia="en-AU"/>
                    </w:rPr>
                    <w:t>r</w:t>
                  </w:r>
                  <w:r w:rsidR="00E5053B" w:rsidRPr="000423A2">
                    <w:rPr>
                      <w:rFonts w:cs="Arial"/>
                      <w:b/>
                      <w:bCs/>
                      <w:szCs w:val="22"/>
                      <w:lang w:eastAsia="en-AU"/>
                    </w:rPr>
                    <w:t>ate</w:t>
                  </w:r>
                  <w:r w:rsidR="001D1314">
                    <w:rPr>
                      <w:rFonts w:cs="Arial"/>
                      <w:b/>
                      <w:bCs/>
                      <w:szCs w:val="22"/>
                      <w:lang w:eastAsia="en-AU"/>
                    </w:rPr>
                    <w:t>:</w:t>
                  </w:r>
                </w:p>
              </w:tc>
            </w:tr>
            <w:tr w:rsidR="00E5053B" w14:paraId="7149F9C0" w14:textId="77777777" w:rsidTr="006928B2">
              <w:trPr>
                <w:jc w:val="center"/>
              </w:trPr>
              <w:tc>
                <w:tcPr>
                  <w:tcW w:w="3886" w:type="dxa"/>
                </w:tcPr>
                <w:p w14:paraId="0C0F40CF" w14:textId="5DED83E4" w:rsidR="00E5053B" w:rsidRDefault="008C01E5" w:rsidP="009C4129">
                  <w:pPr>
                    <w:spacing w:after="0" w:line="276" w:lineRule="auto"/>
                    <w:rPr>
                      <w:rFonts w:cs="Arial"/>
                      <w:szCs w:val="22"/>
                      <w:lang w:eastAsia="en-AU"/>
                    </w:rPr>
                  </w:pPr>
                  <w:r>
                    <w:rPr>
                      <w:rFonts w:cs="Arial"/>
                      <w:szCs w:val="22"/>
                      <w:lang w:eastAsia="en-AU"/>
                    </w:rPr>
                    <w:t>$0</w:t>
                  </w:r>
                  <w:r w:rsidR="00E5053B">
                    <w:rPr>
                      <w:rFonts w:cs="Arial"/>
                      <w:szCs w:val="22"/>
                      <w:lang w:eastAsia="en-AU"/>
                    </w:rPr>
                    <w:t xml:space="preserve"> to $14,000</w:t>
                  </w:r>
                </w:p>
              </w:tc>
              <w:tc>
                <w:tcPr>
                  <w:tcW w:w="2126" w:type="dxa"/>
                </w:tcPr>
                <w:p w14:paraId="4035F6CD" w14:textId="4A0D4F38" w:rsidR="00E5053B" w:rsidRDefault="00E5053B" w:rsidP="009C4129">
                  <w:pPr>
                    <w:spacing w:after="0" w:line="276" w:lineRule="auto"/>
                    <w:rPr>
                      <w:rFonts w:cs="Arial"/>
                      <w:szCs w:val="22"/>
                      <w:lang w:eastAsia="en-AU"/>
                    </w:rPr>
                  </w:pPr>
                  <w:r>
                    <w:rPr>
                      <w:rFonts w:cs="Arial"/>
                      <w:szCs w:val="22"/>
                      <w:lang w:eastAsia="en-AU"/>
                    </w:rPr>
                    <w:t>10.5%</w:t>
                  </w:r>
                </w:p>
              </w:tc>
            </w:tr>
            <w:tr w:rsidR="00E5053B" w14:paraId="41DCE6B6" w14:textId="77777777" w:rsidTr="006928B2">
              <w:trPr>
                <w:jc w:val="center"/>
              </w:trPr>
              <w:tc>
                <w:tcPr>
                  <w:tcW w:w="3886" w:type="dxa"/>
                </w:tcPr>
                <w:p w14:paraId="3DFF2E71" w14:textId="6FEE3ECF" w:rsidR="00E5053B" w:rsidRDefault="00E5053B" w:rsidP="009C4129">
                  <w:pPr>
                    <w:spacing w:after="0" w:line="276" w:lineRule="auto"/>
                    <w:rPr>
                      <w:rFonts w:cs="Arial"/>
                      <w:szCs w:val="22"/>
                      <w:lang w:eastAsia="en-AU"/>
                    </w:rPr>
                  </w:pPr>
                  <w:r>
                    <w:rPr>
                      <w:rFonts w:cs="Arial"/>
                      <w:szCs w:val="22"/>
                      <w:lang w:eastAsia="en-AU"/>
                    </w:rPr>
                    <w:t>$14,00</w:t>
                  </w:r>
                  <w:r w:rsidR="00735313">
                    <w:rPr>
                      <w:rFonts w:cs="Arial"/>
                      <w:szCs w:val="22"/>
                      <w:lang w:eastAsia="en-AU"/>
                    </w:rPr>
                    <w:t>1</w:t>
                  </w:r>
                  <w:r>
                    <w:rPr>
                      <w:rFonts w:cs="Arial"/>
                      <w:szCs w:val="22"/>
                      <w:lang w:eastAsia="en-AU"/>
                    </w:rPr>
                    <w:t xml:space="preserve"> </w:t>
                  </w:r>
                  <w:r w:rsidR="0012540A">
                    <w:rPr>
                      <w:rFonts w:cs="Arial"/>
                      <w:szCs w:val="22"/>
                      <w:lang w:eastAsia="en-AU"/>
                    </w:rPr>
                    <w:t xml:space="preserve">to </w:t>
                  </w:r>
                  <w:r>
                    <w:rPr>
                      <w:rFonts w:cs="Arial"/>
                      <w:szCs w:val="22"/>
                      <w:lang w:eastAsia="en-AU"/>
                    </w:rPr>
                    <w:t>$48,000</w:t>
                  </w:r>
                </w:p>
              </w:tc>
              <w:tc>
                <w:tcPr>
                  <w:tcW w:w="2126" w:type="dxa"/>
                </w:tcPr>
                <w:p w14:paraId="01A569EA" w14:textId="3B6CC48C" w:rsidR="00E5053B" w:rsidRDefault="00735313" w:rsidP="009C4129">
                  <w:pPr>
                    <w:spacing w:after="0" w:line="276" w:lineRule="auto"/>
                    <w:rPr>
                      <w:rFonts w:cs="Arial"/>
                      <w:szCs w:val="22"/>
                      <w:lang w:eastAsia="en-AU"/>
                    </w:rPr>
                  </w:pPr>
                  <w:r>
                    <w:rPr>
                      <w:rFonts w:cs="Arial"/>
                      <w:szCs w:val="22"/>
                      <w:lang w:eastAsia="en-AU"/>
                    </w:rPr>
                    <w:t>17.5%</w:t>
                  </w:r>
                </w:p>
              </w:tc>
            </w:tr>
            <w:tr w:rsidR="00E5053B" w14:paraId="7ECADFBB" w14:textId="77777777" w:rsidTr="006928B2">
              <w:trPr>
                <w:jc w:val="center"/>
              </w:trPr>
              <w:tc>
                <w:tcPr>
                  <w:tcW w:w="3886" w:type="dxa"/>
                </w:tcPr>
                <w:p w14:paraId="528BB081" w14:textId="23766A5F" w:rsidR="00E5053B" w:rsidRDefault="00735313" w:rsidP="009C4129">
                  <w:pPr>
                    <w:spacing w:after="0" w:line="276" w:lineRule="auto"/>
                    <w:rPr>
                      <w:rFonts w:cs="Arial"/>
                      <w:szCs w:val="22"/>
                      <w:lang w:eastAsia="en-AU"/>
                    </w:rPr>
                  </w:pPr>
                  <w:r>
                    <w:rPr>
                      <w:rFonts w:cs="Arial"/>
                      <w:szCs w:val="22"/>
                      <w:lang w:eastAsia="en-AU"/>
                    </w:rPr>
                    <w:t>$</w:t>
                  </w:r>
                  <w:r w:rsidR="0012540A">
                    <w:rPr>
                      <w:rFonts w:cs="Arial"/>
                      <w:szCs w:val="22"/>
                      <w:lang w:eastAsia="en-AU"/>
                    </w:rPr>
                    <w:t>48,001 to $70,000</w:t>
                  </w:r>
                </w:p>
              </w:tc>
              <w:tc>
                <w:tcPr>
                  <w:tcW w:w="2126" w:type="dxa"/>
                </w:tcPr>
                <w:p w14:paraId="53FF28BE" w14:textId="7A5742A9" w:rsidR="00E5053B" w:rsidRDefault="0012540A" w:rsidP="009C4129">
                  <w:pPr>
                    <w:spacing w:after="0" w:line="276" w:lineRule="auto"/>
                    <w:rPr>
                      <w:rFonts w:cs="Arial"/>
                      <w:szCs w:val="22"/>
                      <w:lang w:eastAsia="en-AU"/>
                    </w:rPr>
                  </w:pPr>
                  <w:r>
                    <w:rPr>
                      <w:rFonts w:cs="Arial"/>
                      <w:szCs w:val="22"/>
                      <w:lang w:eastAsia="en-AU"/>
                    </w:rPr>
                    <w:t>30.0%</w:t>
                  </w:r>
                </w:p>
              </w:tc>
            </w:tr>
            <w:tr w:rsidR="00E5053B" w14:paraId="61AA66F7" w14:textId="77777777" w:rsidTr="006928B2">
              <w:trPr>
                <w:jc w:val="center"/>
              </w:trPr>
              <w:tc>
                <w:tcPr>
                  <w:tcW w:w="3886" w:type="dxa"/>
                </w:tcPr>
                <w:p w14:paraId="47F5F98D" w14:textId="7E84883F" w:rsidR="00E5053B" w:rsidRDefault="0012540A" w:rsidP="009C4129">
                  <w:pPr>
                    <w:spacing w:after="0" w:line="276" w:lineRule="auto"/>
                    <w:rPr>
                      <w:rFonts w:cs="Arial"/>
                      <w:szCs w:val="22"/>
                      <w:lang w:eastAsia="en-AU"/>
                    </w:rPr>
                  </w:pPr>
                  <w:r>
                    <w:rPr>
                      <w:rFonts w:cs="Arial"/>
                      <w:szCs w:val="22"/>
                      <w:lang w:eastAsia="en-AU"/>
                    </w:rPr>
                    <w:t>$70,001</w:t>
                  </w:r>
                  <w:r w:rsidR="00660908">
                    <w:rPr>
                      <w:rFonts w:cs="Arial"/>
                      <w:szCs w:val="22"/>
                      <w:lang w:eastAsia="en-AU"/>
                    </w:rPr>
                    <w:t xml:space="preserve"> </w:t>
                  </w:r>
                  <w:r w:rsidR="008C01E5">
                    <w:rPr>
                      <w:rFonts w:cs="Arial"/>
                      <w:szCs w:val="22"/>
                      <w:lang w:eastAsia="en-AU"/>
                    </w:rPr>
                    <w:t xml:space="preserve">and </w:t>
                  </w:r>
                  <w:r w:rsidR="00660908">
                    <w:rPr>
                      <w:rFonts w:cs="Arial"/>
                      <w:szCs w:val="22"/>
                      <w:lang w:eastAsia="en-AU"/>
                    </w:rPr>
                    <w:t>upward</w:t>
                  </w:r>
                </w:p>
              </w:tc>
              <w:tc>
                <w:tcPr>
                  <w:tcW w:w="2126" w:type="dxa"/>
                </w:tcPr>
                <w:p w14:paraId="4273705D" w14:textId="020D2A75" w:rsidR="00E5053B" w:rsidRDefault="00660908" w:rsidP="009C4129">
                  <w:pPr>
                    <w:spacing w:after="0" w:line="276" w:lineRule="auto"/>
                    <w:rPr>
                      <w:rFonts w:cs="Arial"/>
                      <w:szCs w:val="22"/>
                      <w:lang w:eastAsia="en-AU"/>
                    </w:rPr>
                  </w:pPr>
                  <w:r>
                    <w:rPr>
                      <w:rFonts w:cs="Arial"/>
                      <w:szCs w:val="22"/>
                      <w:lang w:eastAsia="en-AU"/>
                    </w:rPr>
                    <w:t>33.0%</w:t>
                  </w:r>
                </w:p>
              </w:tc>
            </w:tr>
          </w:tbl>
          <w:p w14:paraId="35CFF241" w14:textId="77777777" w:rsidR="00105F92" w:rsidRDefault="00105F92" w:rsidP="009C4129">
            <w:pPr>
              <w:spacing w:after="0" w:line="276" w:lineRule="auto"/>
              <w:jc w:val="both"/>
              <w:rPr>
                <w:rFonts w:cs="Arial"/>
                <w:szCs w:val="22"/>
                <w:lang w:eastAsia="en-AU"/>
              </w:rPr>
            </w:pPr>
          </w:p>
          <w:p w14:paraId="77A7579D" w14:textId="7BA7A4E7" w:rsidR="0086449C" w:rsidRDefault="00D5785F" w:rsidP="009C4129">
            <w:pPr>
              <w:spacing w:after="0" w:line="276" w:lineRule="auto"/>
              <w:jc w:val="both"/>
              <w:rPr>
                <w:rFonts w:cs="Arial"/>
                <w:szCs w:val="22"/>
                <w:lang w:eastAsia="en-AU"/>
              </w:rPr>
            </w:pPr>
            <w:r>
              <w:rPr>
                <w:rFonts w:cs="Arial"/>
                <w:szCs w:val="22"/>
                <w:lang w:eastAsia="en-AU"/>
              </w:rPr>
              <w:t xml:space="preserve">These rates have been in place since 1 October 2010. </w:t>
            </w:r>
            <w:r w:rsidR="00F927C1">
              <w:rPr>
                <w:rFonts w:cs="Arial"/>
                <w:szCs w:val="22"/>
                <w:lang w:eastAsia="en-AU"/>
              </w:rPr>
              <w:t xml:space="preserve">New Zealand had a </w:t>
            </w:r>
            <w:r w:rsidR="006B5158">
              <w:rPr>
                <w:rFonts w:cs="Arial"/>
                <w:szCs w:val="22"/>
                <w:lang w:eastAsia="en-AU"/>
              </w:rPr>
              <w:t>top personal income tax rate of 39</w:t>
            </w:r>
            <w:r w:rsidR="00E80D36">
              <w:rPr>
                <w:rFonts w:cs="Arial"/>
                <w:szCs w:val="22"/>
                <w:lang w:eastAsia="en-AU"/>
              </w:rPr>
              <w:t xml:space="preserve"> percent</w:t>
            </w:r>
            <w:r w:rsidR="006B5158">
              <w:rPr>
                <w:rFonts w:cs="Arial"/>
                <w:szCs w:val="22"/>
                <w:lang w:eastAsia="en-AU"/>
              </w:rPr>
              <w:t xml:space="preserve"> from 1 April 2000 to 31 March 2009 (and a</w:t>
            </w:r>
            <w:r w:rsidR="00C40301">
              <w:rPr>
                <w:rFonts w:cs="Arial"/>
                <w:szCs w:val="22"/>
                <w:lang w:eastAsia="en-AU"/>
              </w:rPr>
              <w:t>n effective</w:t>
            </w:r>
            <w:r w:rsidR="006B5158">
              <w:rPr>
                <w:rFonts w:cs="Arial"/>
                <w:szCs w:val="22"/>
                <w:lang w:eastAsia="en-AU"/>
              </w:rPr>
              <w:t xml:space="preserve"> 38</w:t>
            </w:r>
            <w:r w:rsidR="00E80D36">
              <w:rPr>
                <w:rFonts w:cs="Arial"/>
                <w:szCs w:val="22"/>
                <w:lang w:eastAsia="en-AU"/>
              </w:rPr>
              <w:t xml:space="preserve"> percent</w:t>
            </w:r>
            <w:r w:rsidR="006B5158">
              <w:rPr>
                <w:rFonts w:cs="Arial"/>
                <w:szCs w:val="22"/>
                <w:lang w:eastAsia="en-AU"/>
              </w:rPr>
              <w:t xml:space="preserve"> rate from 1 April 2009 to 30 September 2010). </w:t>
            </w:r>
          </w:p>
          <w:p w14:paraId="379E9D06" w14:textId="1A125415" w:rsidR="000C3F1E" w:rsidRDefault="000C3F1E" w:rsidP="009C4129">
            <w:pPr>
              <w:spacing w:after="0" w:line="276" w:lineRule="auto"/>
              <w:jc w:val="both"/>
              <w:rPr>
                <w:rFonts w:cs="Arial"/>
                <w:szCs w:val="22"/>
                <w:lang w:eastAsia="en-AU"/>
              </w:rPr>
            </w:pPr>
          </w:p>
          <w:p w14:paraId="4C306F03" w14:textId="60CB5298" w:rsidR="000C3F1E" w:rsidRDefault="00FE5377" w:rsidP="009C4129">
            <w:pPr>
              <w:spacing w:after="0" w:line="276" w:lineRule="auto"/>
              <w:jc w:val="both"/>
              <w:rPr>
                <w:rFonts w:cs="Arial"/>
                <w:szCs w:val="22"/>
                <w:lang w:eastAsia="en-AU"/>
              </w:rPr>
            </w:pPr>
            <w:r>
              <w:rPr>
                <w:rFonts w:cs="Arial"/>
                <w:szCs w:val="22"/>
                <w:lang w:eastAsia="en-AU"/>
              </w:rPr>
              <w:t xml:space="preserve">The progressiveness of the personal income tax scale affects several other </w:t>
            </w:r>
            <w:r w:rsidR="00D0122A">
              <w:rPr>
                <w:rFonts w:cs="Arial"/>
                <w:szCs w:val="22"/>
                <w:lang w:eastAsia="en-AU"/>
              </w:rPr>
              <w:t>areas of the tax system</w:t>
            </w:r>
            <w:r w:rsidR="009474A5">
              <w:rPr>
                <w:rFonts w:cs="Arial"/>
                <w:szCs w:val="22"/>
                <w:lang w:eastAsia="en-AU"/>
              </w:rPr>
              <w:t>, including secondary earnings and extra pay codes, fringe benefit tax, resident withholding tax,</w:t>
            </w:r>
            <w:r w:rsidR="00B031CC">
              <w:rPr>
                <w:rFonts w:cs="Arial"/>
                <w:szCs w:val="22"/>
                <w:lang w:eastAsia="en-AU"/>
              </w:rPr>
              <w:t xml:space="preserve"> resident land withholding tax, and</w:t>
            </w:r>
            <w:r w:rsidR="009474A5">
              <w:rPr>
                <w:rFonts w:cs="Arial"/>
                <w:szCs w:val="22"/>
                <w:lang w:eastAsia="en-AU"/>
              </w:rPr>
              <w:t xml:space="preserve"> employer superannuation contribution tax</w:t>
            </w:r>
            <w:r w:rsidR="00250935">
              <w:rPr>
                <w:rFonts w:cs="Arial"/>
                <w:szCs w:val="22"/>
                <w:lang w:eastAsia="en-AU"/>
              </w:rPr>
              <w:t>.</w:t>
            </w:r>
          </w:p>
          <w:p w14:paraId="52EC30B9" w14:textId="112A9A2D" w:rsidR="00DB2B5E" w:rsidRDefault="00DB2B5E" w:rsidP="009C4129">
            <w:pPr>
              <w:spacing w:after="0" w:line="276" w:lineRule="auto"/>
              <w:jc w:val="both"/>
              <w:rPr>
                <w:rFonts w:cs="Arial"/>
                <w:szCs w:val="22"/>
                <w:lang w:eastAsia="en-AU"/>
              </w:rPr>
            </w:pPr>
          </w:p>
          <w:p w14:paraId="0105734D" w14:textId="20E1BA97" w:rsidR="00BF52D5" w:rsidRDefault="00325E44" w:rsidP="009C4129">
            <w:pPr>
              <w:spacing w:after="0" w:line="276" w:lineRule="auto"/>
              <w:jc w:val="both"/>
              <w:rPr>
                <w:rFonts w:cs="Arial"/>
                <w:szCs w:val="22"/>
                <w:lang w:eastAsia="en-AU"/>
              </w:rPr>
            </w:pPr>
            <w:r>
              <w:rPr>
                <w:rFonts w:cs="Arial"/>
                <w:szCs w:val="22"/>
                <w:lang w:eastAsia="en-AU"/>
              </w:rPr>
              <w:t>New Zealand’s</w:t>
            </w:r>
            <w:r w:rsidR="006C4B9E">
              <w:rPr>
                <w:rFonts w:cs="Arial"/>
                <w:szCs w:val="22"/>
                <w:lang w:eastAsia="en-AU"/>
              </w:rPr>
              <w:t xml:space="preserve"> tax system </w:t>
            </w:r>
            <w:r w:rsidR="006C5E3D">
              <w:rPr>
                <w:rFonts w:cs="Arial"/>
                <w:szCs w:val="22"/>
                <w:lang w:eastAsia="en-AU"/>
              </w:rPr>
              <w:t xml:space="preserve">taxes </w:t>
            </w:r>
            <w:r w:rsidR="00261E95">
              <w:rPr>
                <w:rFonts w:cs="Arial"/>
                <w:szCs w:val="22"/>
                <w:lang w:eastAsia="en-AU"/>
              </w:rPr>
              <w:t>trustee income at a rate of 33 percent</w:t>
            </w:r>
            <w:r w:rsidR="00C12A4A">
              <w:rPr>
                <w:rFonts w:cs="Arial"/>
                <w:szCs w:val="22"/>
                <w:lang w:eastAsia="en-AU"/>
              </w:rPr>
              <w:t>, and distributions</w:t>
            </w:r>
            <w:r w:rsidR="00197548">
              <w:rPr>
                <w:rFonts w:cs="Arial"/>
                <w:szCs w:val="22"/>
                <w:lang w:eastAsia="en-AU"/>
              </w:rPr>
              <w:t xml:space="preserve"> of trustee income</w:t>
            </w:r>
            <w:r w:rsidR="00C12A4A">
              <w:rPr>
                <w:rFonts w:cs="Arial"/>
                <w:szCs w:val="22"/>
                <w:lang w:eastAsia="en-AU"/>
              </w:rPr>
              <w:t xml:space="preserve"> from complying trusts</w:t>
            </w:r>
            <w:r w:rsidR="00261E95">
              <w:rPr>
                <w:rFonts w:cs="Arial"/>
                <w:szCs w:val="22"/>
                <w:lang w:eastAsia="en-AU"/>
              </w:rPr>
              <w:t xml:space="preserve"> </w:t>
            </w:r>
            <w:r w:rsidR="00197548">
              <w:rPr>
                <w:rFonts w:cs="Arial"/>
                <w:szCs w:val="22"/>
                <w:lang w:eastAsia="en-AU"/>
              </w:rPr>
              <w:t xml:space="preserve">to beneficiaries </w:t>
            </w:r>
            <w:r w:rsidR="006C4B9E">
              <w:rPr>
                <w:rFonts w:cs="Arial"/>
                <w:szCs w:val="22"/>
                <w:lang w:eastAsia="en-AU"/>
              </w:rPr>
              <w:t>are</w:t>
            </w:r>
            <w:r w:rsidR="00197548">
              <w:rPr>
                <w:rFonts w:cs="Arial"/>
                <w:szCs w:val="22"/>
                <w:lang w:eastAsia="en-AU"/>
              </w:rPr>
              <w:t xml:space="preserve"> non-taxable. B</w:t>
            </w:r>
            <w:r w:rsidR="00564B1A">
              <w:rPr>
                <w:rFonts w:cs="Arial"/>
                <w:szCs w:val="22"/>
                <w:lang w:eastAsia="en-AU"/>
              </w:rPr>
              <w:t xml:space="preserve">eneficiary income </w:t>
            </w:r>
            <w:r w:rsidR="00197548">
              <w:rPr>
                <w:rFonts w:cs="Arial"/>
                <w:szCs w:val="22"/>
                <w:lang w:eastAsia="en-AU"/>
              </w:rPr>
              <w:t xml:space="preserve">is taxed </w:t>
            </w:r>
            <w:r w:rsidR="00564B1A">
              <w:rPr>
                <w:rFonts w:cs="Arial"/>
                <w:szCs w:val="22"/>
                <w:lang w:eastAsia="en-AU"/>
              </w:rPr>
              <w:t>at the beneficiary’s marginal rates</w:t>
            </w:r>
            <w:r w:rsidR="00B53A26">
              <w:rPr>
                <w:rStyle w:val="FootnoteReference"/>
                <w:rFonts w:cs="Arial"/>
                <w:szCs w:val="22"/>
                <w:lang w:eastAsia="en-AU"/>
              </w:rPr>
              <w:footnoteReference w:id="7"/>
            </w:r>
            <w:r w:rsidR="008B101B">
              <w:rPr>
                <w:rFonts w:cs="Arial"/>
                <w:szCs w:val="22"/>
                <w:lang w:eastAsia="en-AU"/>
              </w:rPr>
              <w:t xml:space="preserve"> (subject to the minor beneficiary rule)</w:t>
            </w:r>
            <w:r w:rsidR="00564B1A">
              <w:rPr>
                <w:rFonts w:cs="Arial"/>
                <w:szCs w:val="22"/>
                <w:lang w:eastAsia="en-AU"/>
              </w:rPr>
              <w:t>.</w:t>
            </w:r>
            <w:r w:rsidR="006C5E3D">
              <w:rPr>
                <w:rFonts w:cs="Arial"/>
                <w:szCs w:val="22"/>
                <w:lang w:eastAsia="en-AU"/>
              </w:rPr>
              <w:t xml:space="preserve"> </w:t>
            </w:r>
          </w:p>
          <w:p w14:paraId="2931A398" w14:textId="77777777" w:rsidR="00BF52D5" w:rsidRDefault="00BF52D5" w:rsidP="009C4129">
            <w:pPr>
              <w:spacing w:after="0" w:line="276" w:lineRule="auto"/>
              <w:jc w:val="both"/>
              <w:rPr>
                <w:rFonts w:cs="Arial"/>
                <w:szCs w:val="22"/>
                <w:lang w:eastAsia="en-AU"/>
              </w:rPr>
            </w:pPr>
          </w:p>
          <w:p w14:paraId="2A696C97" w14:textId="1C4A079F" w:rsidR="006C5E3D" w:rsidRDefault="00BF52D5" w:rsidP="009C4129">
            <w:pPr>
              <w:spacing w:after="0" w:line="276" w:lineRule="auto"/>
              <w:jc w:val="both"/>
              <w:rPr>
                <w:rFonts w:cs="Arial"/>
                <w:szCs w:val="22"/>
                <w:lang w:eastAsia="en-AU"/>
              </w:rPr>
            </w:pPr>
            <w:r>
              <w:rPr>
                <w:rFonts w:cs="Arial"/>
                <w:szCs w:val="22"/>
                <w:lang w:eastAsia="en-AU"/>
              </w:rPr>
              <w:t>P</w:t>
            </w:r>
            <w:r w:rsidR="006C5E3D">
              <w:rPr>
                <w:rFonts w:cs="Arial"/>
                <w:szCs w:val="22"/>
                <w:lang w:eastAsia="en-AU"/>
              </w:rPr>
              <w:t>ortfolio investment entit</w:t>
            </w:r>
            <w:r>
              <w:rPr>
                <w:rFonts w:cs="Arial"/>
                <w:szCs w:val="22"/>
                <w:lang w:eastAsia="en-AU"/>
              </w:rPr>
              <w:t>ies</w:t>
            </w:r>
            <w:r w:rsidR="006C5E3D">
              <w:rPr>
                <w:rFonts w:cs="Arial"/>
                <w:szCs w:val="22"/>
                <w:lang w:eastAsia="en-AU"/>
              </w:rPr>
              <w:t xml:space="preserve"> (PIE</w:t>
            </w:r>
            <w:r w:rsidR="00F25B11">
              <w:rPr>
                <w:rFonts w:cs="Arial"/>
                <w:szCs w:val="22"/>
                <w:lang w:eastAsia="en-AU"/>
              </w:rPr>
              <w:t>s</w:t>
            </w:r>
            <w:r w:rsidR="006C5E3D">
              <w:rPr>
                <w:rFonts w:cs="Arial"/>
                <w:szCs w:val="22"/>
                <w:lang w:eastAsia="en-AU"/>
              </w:rPr>
              <w:t>)</w:t>
            </w:r>
            <w:r w:rsidR="00000E3F">
              <w:rPr>
                <w:rFonts w:cs="Arial"/>
                <w:szCs w:val="22"/>
                <w:lang w:eastAsia="en-AU"/>
              </w:rPr>
              <w:t xml:space="preserve"> are collective investment vehicles that</w:t>
            </w:r>
            <w:r w:rsidR="00F25B11">
              <w:rPr>
                <w:rFonts w:cs="Arial"/>
                <w:szCs w:val="22"/>
                <w:lang w:eastAsia="en-AU"/>
              </w:rPr>
              <w:t xml:space="preserve"> pool contributions from many people for investment purposes.</w:t>
            </w:r>
            <w:r w:rsidR="005F522B">
              <w:rPr>
                <w:rFonts w:cs="Arial"/>
                <w:szCs w:val="22"/>
                <w:lang w:eastAsia="en-AU"/>
              </w:rPr>
              <w:t xml:space="preserve"> Income from PIEs</w:t>
            </w:r>
            <w:r>
              <w:rPr>
                <w:rFonts w:cs="Arial"/>
                <w:szCs w:val="22"/>
                <w:lang w:eastAsia="en-AU"/>
              </w:rPr>
              <w:t xml:space="preserve"> </w:t>
            </w:r>
            <w:r w:rsidR="005F522B">
              <w:rPr>
                <w:rFonts w:cs="Arial"/>
                <w:szCs w:val="22"/>
                <w:lang w:eastAsia="en-AU"/>
              </w:rPr>
              <w:t>is</w:t>
            </w:r>
            <w:r>
              <w:rPr>
                <w:rFonts w:cs="Arial"/>
                <w:szCs w:val="22"/>
                <w:lang w:eastAsia="en-AU"/>
              </w:rPr>
              <w:t xml:space="preserve"> taxed </w:t>
            </w:r>
            <w:r w:rsidR="00416078">
              <w:rPr>
                <w:rFonts w:cs="Arial"/>
                <w:szCs w:val="22"/>
                <w:lang w:eastAsia="en-AU"/>
              </w:rPr>
              <w:t>at rates</w:t>
            </w:r>
            <w:r>
              <w:rPr>
                <w:rFonts w:cs="Arial"/>
                <w:szCs w:val="22"/>
                <w:lang w:eastAsia="en-AU"/>
              </w:rPr>
              <w:t xml:space="preserve"> that approximate </w:t>
            </w:r>
            <w:r w:rsidR="00E2221E">
              <w:rPr>
                <w:rFonts w:cs="Arial"/>
                <w:szCs w:val="22"/>
                <w:lang w:eastAsia="en-AU"/>
              </w:rPr>
              <w:t>personal income tax rates</w:t>
            </w:r>
            <w:r>
              <w:rPr>
                <w:rFonts w:cs="Arial"/>
                <w:szCs w:val="22"/>
                <w:lang w:eastAsia="en-AU"/>
              </w:rPr>
              <w:t xml:space="preserve">. One of the key differences is that the </w:t>
            </w:r>
            <w:r w:rsidR="004740FE">
              <w:rPr>
                <w:rFonts w:cs="Arial"/>
                <w:szCs w:val="22"/>
                <w:lang w:eastAsia="en-AU"/>
              </w:rPr>
              <w:t>top PIE</w:t>
            </w:r>
            <w:r w:rsidR="006C5E3D">
              <w:rPr>
                <w:rFonts w:cs="Arial"/>
                <w:szCs w:val="22"/>
                <w:lang w:eastAsia="en-AU"/>
              </w:rPr>
              <w:t xml:space="preserve"> rate </w:t>
            </w:r>
            <w:r w:rsidR="004740FE">
              <w:rPr>
                <w:rFonts w:cs="Arial"/>
                <w:szCs w:val="22"/>
                <w:lang w:eastAsia="en-AU"/>
              </w:rPr>
              <w:t>is</w:t>
            </w:r>
            <w:r w:rsidR="006C5E3D">
              <w:rPr>
                <w:rFonts w:cs="Arial"/>
                <w:szCs w:val="22"/>
                <w:lang w:eastAsia="en-AU"/>
              </w:rPr>
              <w:t xml:space="preserve"> 28</w:t>
            </w:r>
            <w:r w:rsidR="004740FE">
              <w:rPr>
                <w:rFonts w:cs="Arial"/>
                <w:szCs w:val="22"/>
                <w:lang w:eastAsia="en-AU"/>
              </w:rPr>
              <w:t xml:space="preserve"> percent (rather than 33 percent</w:t>
            </w:r>
            <w:r w:rsidR="00887BF4">
              <w:rPr>
                <w:rFonts w:cs="Arial"/>
                <w:szCs w:val="22"/>
                <w:lang w:eastAsia="en-AU"/>
              </w:rPr>
              <w:t xml:space="preserve"> in the personal income tax scale</w:t>
            </w:r>
            <w:r w:rsidR="004740FE">
              <w:rPr>
                <w:rFonts w:cs="Arial"/>
                <w:szCs w:val="22"/>
                <w:lang w:eastAsia="en-AU"/>
              </w:rPr>
              <w:t>)</w:t>
            </w:r>
            <w:r w:rsidR="006C5E3D">
              <w:rPr>
                <w:rFonts w:cs="Arial"/>
                <w:szCs w:val="22"/>
                <w:lang w:eastAsia="en-AU"/>
              </w:rPr>
              <w:t>.</w:t>
            </w:r>
            <w:r w:rsidR="00000E3F">
              <w:rPr>
                <w:rFonts w:cs="Arial"/>
                <w:szCs w:val="22"/>
                <w:lang w:eastAsia="en-AU"/>
              </w:rPr>
              <w:t xml:space="preserve"> This was set due to a concern that</w:t>
            </w:r>
            <w:r w:rsidR="005B3D31">
              <w:rPr>
                <w:rFonts w:cs="Arial"/>
                <w:szCs w:val="22"/>
                <w:lang w:eastAsia="en-AU"/>
              </w:rPr>
              <w:t>,</w:t>
            </w:r>
            <w:r w:rsidR="00000E3F">
              <w:rPr>
                <w:rFonts w:cs="Arial"/>
                <w:szCs w:val="22"/>
                <w:lang w:eastAsia="en-AU"/>
              </w:rPr>
              <w:t xml:space="preserve"> unless the top PIE rate matched the company rate (28</w:t>
            </w:r>
            <w:r w:rsidR="005B3D31">
              <w:rPr>
                <w:rFonts w:cs="Arial"/>
                <w:szCs w:val="22"/>
                <w:lang w:eastAsia="en-AU"/>
              </w:rPr>
              <w:t xml:space="preserve"> percent</w:t>
            </w:r>
            <w:r w:rsidR="00000E3F">
              <w:rPr>
                <w:rFonts w:cs="Arial"/>
                <w:szCs w:val="22"/>
                <w:lang w:eastAsia="en-AU"/>
              </w:rPr>
              <w:t>), taxpayers would use unit trusts (unit trusts are taxed at the company rate) and avoid dividend taxation at their personal rate by having the managers of the unit trusts buy back their units. Buy</w:t>
            </w:r>
            <w:r w:rsidR="004D6624">
              <w:rPr>
                <w:rFonts w:cs="Arial"/>
                <w:szCs w:val="22"/>
                <w:lang w:eastAsia="en-AU"/>
              </w:rPr>
              <w:t>-</w:t>
            </w:r>
            <w:r w:rsidR="00000E3F">
              <w:rPr>
                <w:rFonts w:cs="Arial"/>
                <w:szCs w:val="22"/>
                <w:lang w:eastAsia="en-AU"/>
              </w:rPr>
              <w:t>back arrangements like this are not treated as dividends</w:t>
            </w:r>
            <w:r w:rsidR="00EC153F">
              <w:rPr>
                <w:rFonts w:cs="Arial"/>
                <w:szCs w:val="22"/>
                <w:lang w:eastAsia="en-AU"/>
              </w:rPr>
              <w:t xml:space="preserve"> and the taxpayer’s </w:t>
            </w:r>
            <w:r w:rsidR="00623660">
              <w:rPr>
                <w:rFonts w:cs="Arial"/>
                <w:szCs w:val="22"/>
                <w:lang w:eastAsia="en-AU"/>
              </w:rPr>
              <w:t>profit from the buyback</w:t>
            </w:r>
            <w:r w:rsidR="00EC153F">
              <w:rPr>
                <w:rFonts w:cs="Arial"/>
                <w:szCs w:val="22"/>
                <w:lang w:eastAsia="en-AU"/>
              </w:rPr>
              <w:t xml:space="preserve"> is usually</w:t>
            </w:r>
            <w:r w:rsidR="00623660">
              <w:rPr>
                <w:rFonts w:cs="Arial"/>
                <w:szCs w:val="22"/>
                <w:lang w:eastAsia="en-AU"/>
              </w:rPr>
              <w:t xml:space="preserve"> a non-taxable capital gain</w:t>
            </w:r>
            <w:r w:rsidR="00000E3F">
              <w:rPr>
                <w:rFonts w:cs="Arial"/>
                <w:szCs w:val="22"/>
                <w:lang w:eastAsia="en-AU"/>
              </w:rPr>
              <w:t>.</w:t>
            </w:r>
          </w:p>
          <w:p w14:paraId="70E219BF" w14:textId="77777777" w:rsidR="006C5E3D" w:rsidRDefault="006C5E3D" w:rsidP="009C4129">
            <w:pPr>
              <w:spacing w:after="0" w:line="276" w:lineRule="auto"/>
              <w:jc w:val="both"/>
              <w:rPr>
                <w:rFonts w:cs="Arial"/>
                <w:szCs w:val="22"/>
                <w:lang w:eastAsia="en-AU"/>
              </w:rPr>
            </w:pPr>
          </w:p>
          <w:p w14:paraId="4A4EABB8" w14:textId="3ADA4002" w:rsidR="00DB2B5E" w:rsidRDefault="00197752" w:rsidP="009C4129">
            <w:pPr>
              <w:spacing w:after="0" w:line="276" w:lineRule="auto"/>
              <w:jc w:val="both"/>
              <w:rPr>
                <w:rFonts w:cs="Arial"/>
                <w:szCs w:val="22"/>
                <w:lang w:eastAsia="en-AU"/>
              </w:rPr>
            </w:pPr>
            <w:r>
              <w:rPr>
                <w:rFonts w:cs="Arial"/>
                <w:szCs w:val="22"/>
                <w:lang w:eastAsia="en-AU"/>
              </w:rPr>
              <w:t xml:space="preserve">Other </w:t>
            </w:r>
            <w:r w:rsidR="00DE7363">
              <w:rPr>
                <w:rFonts w:cs="Arial"/>
                <w:szCs w:val="22"/>
                <w:lang w:eastAsia="en-AU"/>
              </w:rPr>
              <w:t>important</w:t>
            </w:r>
            <w:r>
              <w:rPr>
                <w:rFonts w:cs="Arial"/>
                <w:szCs w:val="22"/>
                <w:lang w:eastAsia="en-AU"/>
              </w:rPr>
              <w:t xml:space="preserve"> tax </w:t>
            </w:r>
            <w:r w:rsidR="00F33A1B">
              <w:rPr>
                <w:rFonts w:cs="Arial"/>
                <w:szCs w:val="22"/>
                <w:lang w:eastAsia="en-AU"/>
              </w:rPr>
              <w:t>rates</w:t>
            </w:r>
            <w:r w:rsidR="00250935">
              <w:rPr>
                <w:rFonts w:cs="Arial"/>
                <w:szCs w:val="22"/>
                <w:lang w:eastAsia="en-AU"/>
              </w:rPr>
              <w:t xml:space="preserve"> in New Zealand</w:t>
            </w:r>
            <w:r>
              <w:rPr>
                <w:rFonts w:cs="Arial"/>
                <w:szCs w:val="22"/>
                <w:lang w:eastAsia="en-AU"/>
              </w:rPr>
              <w:t xml:space="preserve"> include a company rate of 2</w:t>
            </w:r>
            <w:r w:rsidR="00E80D36">
              <w:rPr>
                <w:rFonts w:cs="Arial"/>
                <w:szCs w:val="22"/>
                <w:lang w:eastAsia="en-AU"/>
              </w:rPr>
              <w:t>8 percent</w:t>
            </w:r>
            <w:r>
              <w:rPr>
                <w:rFonts w:cs="Arial"/>
                <w:szCs w:val="22"/>
                <w:lang w:eastAsia="en-AU"/>
              </w:rPr>
              <w:t xml:space="preserve"> and GST of 15</w:t>
            </w:r>
            <w:r w:rsidR="00E80D36">
              <w:rPr>
                <w:rFonts w:cs="Arial"/>
                <w:szCs w:val="22"/>
                <w:lang w:eastAsia="en-AU"/>
              </w:rPr>
              <w:t xml:space="preserve"> percent</w:t>
            </w:r>
            <w:r>
              <w:rPr>
                <w:rFonts w:cs="Arial"/>
                <w:szCs w:val="22"/>
                <w:lang w:eastAsia="en-AU"/>
              </w:rPr>
              <w:t xml:space="preserve">. </w:t>
            </w:r>
            <w:r w:rsidR="00DE7363">
              <w:rPr>
                <w:rFonts w:cs="Arial"/>
                <w:szCs w:val="22"/>
                <w:lang w:eastAsia="en-AU"/>
              </w:rPr>
              <w:t xml:space="preserve">Changes to these </w:t>
            </w:r>
            <w:r w:rsidR="00F33A1B">
              <w:rPr>
                <w:rFonts w:cs="Arial"/>
                <w:szCs w:val="22"/>
                <w:lang w:eastAsia="en-AU"/>
              </w:rPr>
              <w:t xml:space="preserve">settings are out of scope for this Impact Statement. </w:t>
            </w:r>
          </w:p>
          <w:p w14:paraId="36049A69" w14:textId="59164BC8" w:rsidR="00100C96" w:rsidRPr="009C4129" w:rsidRDefault="00100C96" w:rsidP="000558DD">
            <w:pPr>
              <w:spacing w:after="0" w:line="276" w:lineRule="auto"/>
              <w:jc w:val="both"/>
              <w:rPr>
                <w:rFonts w:cs="Arial"/>
                <w:szCs w:val="22"/>
                <w:lang w:eastAsia="en-AU"/>
              </w:rPr>
            </w:pPr>
          </w:p>
        </w:tc>
      </w:tr>
    </w:tbl>
    <w:p w14:paraId="575D6988" w14:textId="77777777" w:rsidR="007958EF" w:rsidRPr="00143420" w:rsidRDefault="007958EF" w:rsidP="00143420">
      <w:pPr>
        <w:pStyle w:val="spacer"/>
        <w:rPr>
          <w:sz w:val="22"/>
        </w:rPr>
      </w:pPr>
    </w:p>
    <w:tbl>
      <w:tblPr>
        <w:tblW w:w="494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951"/>
      </w:tblGrid>
      <w:tr w:rsidR="009C4129" w:rsidRPr="009C4129" w14:paraId="7BA81623" w14:textId="77777777" w:rsidTr="007958EF">
        <w:tc>
          <w:tcPr>
            <w:tcW w:w="5000" w:type="pct"/>
            <w:shd w:val="clear" w:color="auto" w:fill="99CDDD"/>
          </w:tcPr>
          <w:p w14:paraId="334510F3" w14:textId="58A39051" w:rsidR="0062657E" w:rsidRPr="00384E9B" w:rsidRDefault="00216981" w:rsidP="00970321">
            <w:pPr>
              <w:pStyle w:val="Heading5"/>
              <w:spacing w:before="60" w:after="60" w:line="240" w:lineRule="atLeast"/>
              <w:jc w:val="both"/>
              <w:rPr>
                <w:rFonts w:eastAsia="Calibri" w:cs="Arial"/>
                <w:b/>
                <w:color w:val="auto"/>
              </w:rPr>
            </w:pPr>
            <w:r>
              <w:rPr>
                <w:rFonts w:cs="Arial"/>
                <w:b/>
                <w:color w:val="auto"/>
              </w:rPr>
              <w:t xml:space="preserve">2.2   </w:t>
            </w:r>
            <w:r w:rsidR="0062657E" w:rsidRPr="00384E9B">
              <w:rPr>
                <w:rFonts w:cs="Arial"/>
                <w:b/>
                <w:color w:val="auto"/>
              </w:rPr>
              <w:t>What regulatory system</w:t>
            </w:r>
            <w:r w:rsidR="00D96EB2">
              <w:rPr>
                <w:rFonts w:cs="Arial"/>
                <w:b/>
                <w:color w:val="auto"/>
              </w:rPr>
              <w:t>(s)</w:t>
            </w:r>
            <w:r w:rsidR="0062657E" w:rsidRPr="00384E9B">
              <w:rPr>
                <w:rFonts w:cs="Arial"/>
                <w:b/>
                <w:color w:val="auto"/>
              </w:rPr>
              <w:t xml:space="preserve"> are already in place?</w:t>
            </w:r>
          </w:p>
        </w:tc>
      </w:tr>
      <w:tr w:rsidR="009C4129" w:rsidRPr="009C4129" w14:paraId="0B3EF53E" w14:textId="77777777" w:rsidTr="00FD3C3A">
        <w:trPr>
          <w:trHeight w:val="756"/>
        </w:trPr>
        <w:tc>
          <w:tcPr>
            <w:tcW w:w="5000" w:type="pct"/>
            <w:shd w:val="clear" w:color="auto" w:fill="FFFFFF"/>
          </w:tcPr>
          <w:p w14:paraId="113C4FAE" w14:textId="25271A1F" w:rsidR="0032145B" w:rsidRDefault="0032145B" w:rsidP="004C7123">
            <w:pPr>
              <w:spacing w:after="0"/>
              <w:rPr>
                <w:lang w:eastAsia="en-AU"/>
              </w:rPr>
            </w:pPr>
          </w:p>
          <w:p w14:paraId="00AEDF96" w14:textId="227B076B" w:rsidR="0061697B" w:rsidRDefault="0061697B" w:rsidP="004C7123">
            <w:pPr>
              <w:spacing w:after="0"/>
              <w:rPr>
                <w:lang w:eastAsia="en-AU"/>
              </w:rPr>
            </w:pPr>
            <w:r>
              <w:rPr>
                <w:lang w:eastAsia="en-AU"/>
              </w:rPr>
              <w:t>The tax system is</w:t>
            </w:r>
            <w:r w:rsidR="00E058AB">
              <w:rPr>
                <w:lang w:eastAsia="en-AU"/>
              </w:rPr>
              <w:t xml:space="preserve"> a</w:t>
            </w:r>
            <w:r>
              <w:rPr>
                <w:lang w:eastAsia="en-AU"/>
              </w:rPr>
              <w:t xml:space="preserve"> key regulatory system</w:t>
            </w:r>
            <w:r w:rsidR="00E058AB">
              <w:rPr>
                <w:lang w:eastAsia="en-AU"/>
              </w:rPr>
              <w:t xml:space="preserve"> in New Zealand.</w:t>
            </w:r>
            <w:r>
              <w:rPr>
                <w:lang w:eastAsia="en-AU"/>
              </w:rPr>
              <w:t xml:space="preserve"> </w:t>
            </w:r>
            <w:r w:rsidR="008E2336">
              <w:rPr>
                <w:lang w:eastAsia="en-AU"/>
              </w:rPr>
              <w:t>Tax</w:t>
            </w:r>
            <w:r>
              <w:rPr>
                <w:lang w:eastAsia="en-AU"/>
              </w:rPr>
              <w:t xml:space="preserve"> </w:t>
            </w:r>
            <w:r w:rsidR="008E2336">
              <w:rPr>
                <w:lang w:eastAsia="en-AU"/>
              </w:rPr>
              <w:t>enables</w:t>
            </w:r>
            <w:r>
              <w:rPr>
                <w:lang w:eastAsia="en-AU"/>
              </w:rPr>
              <w:t xml:space="preserve"> </w:t>
            </w:r>
            <w:r w:rsidR="002F55DC">
              <w:rPr>
                <w:lang w:eastAsia="en-AU"/>
              </w:rPr>
              <w:t>the</w:t>
            </w:r>
            <w:r>
              <w:rPr>
                <w:lang w:eastAsia="en-AU"/>
              </w:rPr>
              <w:t xml:space="preserve"> government to </w:t>
            </w:r>
            <w:r w:rsidR="004C087C">
              <w:rPr>
                <w:lang w:eastAsia="en-AU"/>
              </w:rPr>
              <w:t>fund its desired spending</w:t>
            </w:r>
            <w:r w:rsidR="00161713">
              <w:rPr>
                <w:lang w:eastAsia="en-AU"/>
              </w:rPr>
              <w:t>.</w:t>
            </w:r>
            <w:r w:rsidR="008E2336">
              <w:rPr>
                <w:lang w:eastAsia="en-AU"/>
              </w:rPr>
              <w:t xml:space="preserve"> </w:t>
            </w:r>
            <w:r w:rsidR="00161713">
              <w:rPr>
                <w:lang w:eastAsia="en-AU"/>
              </w:rPr>
              <w:t>T</w:t>
            </w:r>
            <w:r w:rsidR="008E2336">
              <w:rPr>
                <w:lang w:eastAsia="en-AU"/>
              </w:rPr>
              <w:t xml:space="preserve">he tax </w:t>
            </w:r>
            <w:r w:rsidR="007C723B">
              <w:rPr>
                <w:lang w:eastAsia="en-AU"/>
              </w:rPr>
              <w:t xml:space="preserve">system has a regulatory role of </w:t>
            </w:r>
            <w:r w:rsidR="00FF3195">
              <w:rPr>
                <w:lang w:eastAsia="en-AU"/>
              </w:rPr>
              <w:t>raising revenue in an efficient and fair way</w:t>
            </w:r>
            <w:r w:rsidR="008232F2">
              <w:rPr>
                <w:lang w:eastAsia="en-AU"/>
              </w:rPr>
              <w:t xml:space="preserve">. It is </w:t>
            </w:r>
            <w:r w:rsidR="00FF3195">
              <w:rPr>
                <w:lang w:eastAsia="en-AU"/>
              </w:rPr>
              <w:t>desirable</w:t>
            </w:r>
            <w:r w:rsidR="008232F2">
              <w:rPr>
                <w:lang w:eastAsia="en-AU"/>
              </w:rPr>
              <w:t xml:space="preserve"> that the tax</w:t>
            </w:r>
            <w:r w:rsidR="008A6257">
              <w:rPr>
                <w:lang w:eastAsia="en-AU"/>
              </w:rPr>
              <w:t xml:space="preserve"> system is easy to </w:t>
            </w:r>
            <w:r w:rsidR="008232F2">
              <w:rPr>
                <w:lang w:eastAsia="en-AU"/>
              </w:rPr>
              <w:t xml:space="preserve">comply with and </w:t>
            </w:r>
            <w:r w:rsidR="00FF3195">
              <w:rPr>
                <w:lang w:eastAsia="en-AU"/>
              </w:rPr>
              <w:t xml:space="preserve">hard to avoid or evade. </w:t>
            </w:r>
          </w:p>
          <w:p w14:paraId="4286B4AA" w14:textId="77777777" w:rsidR="0061697B" w:rsidRDefault="0061697B" w:rsidP="004C7123">
            <w:pPr>
              <w:spacing w:after="0"/>
              <w:rPr>
                <w:lang w:eastAsia="en-AU"/>
              </w:rPr>
            </w:pPr>
          </w:p>
          <w:p w14:paraId="269D1D92" w14:textId="1B0071D7" w:rsidR="008A241E" w:rsidRDefault="004C7123" w:rsidP="009709B2">
            <w:pPr>
              <w:spacing w:after="0"/>
              <w:rPr>
                <w:lang w:eastAsia="en-AU"/>
              </w:rPr>
            </w:pPr>
            <w:r>
              <w:rPr>
                <w:lang w:eastAsia="en-AU"/>
              </w:rPr>
              <w:t>The tax system is</w:t>
            </w:r>
            <w:r w:rsidR="008B2CD6">
              <w:rPr>
                <w:lang w:eastAsia="en-AU"/>
              </w:rPr>
              <w:t xml:space="preserve"> mostly</w:t>
            </w:r>
            <w:r>
              <w:rPr>
                <w:lang w:eastAsia="en-AU"/>
              </w:rPr>
              <w:t xml:space="preserve"> administered by Inland Revenue</w:t>
            </w:r>
            <w:r w:rsidR="00362B30">
              <w:rPr>
                <w:lang w:eastAsia="en-AU"/>
              </w:rPr>
              <w:t>.</w:t>
            </w:r>
            <w:r w:rsidR="00EF5C8E">
              <w:rPr>
                <w:lang w:eastAsia="en-AU"/>
              </w:rPr>
              <w:t xml:space="preserve"> </w:t>
            </w:r>
            <w:r w:rsidR="00532D61">
              <w:rPr>
                <w:lang w:eastAsia="en-AU"/>
              </w:rPr>
              <w:t xml:space="preserve">Inland Revenue is </w:t>
            </w:r>
            <w:r w:rsidR="003362A5">
              <w:rPr>
                <w:lang w:eastAsia="en-AU"/>
              </w:rPr>
              <w:t xml:space="preserve">responsible for administering several different </w:t>
            </w:r>
            <w:r w:rsidR="008F5A89">
              <w:rPr>
                <w:lang w:eastAsia="en-AU"/>
              </w:rPr>
              <w:t>Acts and Legislative Instruments</w:t>
            </w:r>
            <w:r w:rsidR="006E5FDF">
              <w:rPr>
                <w:lang w:eastAsia="en-AU"/>
              </w:rPr>
              <w:t xml:space="preserve">. The key tax legislation is contained in the Income Tax </w:t>
            </w:r>
            <w:r w:rsidR="00341230">
              <w:rPr>
                <w:lang w:eastAsia="en-AU"/>
              </w:rPr>
              <w:t xml:space="preserve">Act </w:t>
            </w:r>
            <w:r w:rsidR="006E5FDF">
              <w:rPr>
                <w:lang w:eastAsia="en-AU"/>
              </w:rPr>
              <w:t>2007 and the Tax Administration Act 1994</w:t>
            </w:r>
            <w:r w:rsidR="00362B30">
              <w:rPr>
                <w:lang w:eastAsia="en-AU"/>
              </w:rPr>
              <w:t>.</w:t>
            </w:r>
            <w:r w:rsidR="006243F5">
              <w:rPr>
                <w:lang w:eastAsia="en-AU"/>
              </w:rPr>
              <w:t xml:space="preserve"> </w:t>
            </w:r>
          </w:p>
          <w:p w14:paraId="7D0EE539" w14:textId="1713192B" w:rsidR="00287A1C" w:rsidRPr="00100C96" w:rsidRDefault="00287A1C" w:rsidP="00287A1C">
            <w:pPr>
              <w:spacing w:after="0" w:line="276" w:lineRule="auto"/>
              <w:jc w:val="both"/>
              <w:rPr>
                <w:lang w:eastAsia="en-AU"/>
              </w:rPr>
            </w:pPr>
          </w:p>
        </w:tc>
      </w:tr>
    </w:tbl>
    <w:p w14:paraId="2E932C42" w14:textId="77777777" w:rsidR="007958EF" w:rsidRPr="00143420" w:rsidRDefault="007958EF" w:rsidP="00143420">
      <w:pPr>
        <w:pStyle w:val="spac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9C4129" w:rsidRPr="009C4129" w14:paraId="48F4418F" w14:textId="77777777" w:rsidTr="007958EF">
        <w:trPr>
          <w:trHeight w:val="77"/>
        </w:trPr>
        <w:tc>
          <w:tcPr>
            <w:tcW w:w="8852" w:type="dxa"/>
            <w:tcBorders>
              <w:top w:val="single" w:sz="4" w:space="0" w:color="DDDDDD"/>
              <w:left w:val="single" w:sz="4" w:space="0" w:color="DDDDDD"/>
              <w:bottom w:val="single" w:sz="4" w:space="0" w:color="DDDDDD"/>
              <w:right w:val="single" w:sz="4" w:space="0" w:color="DDDDDD"/>
            </w:tcBorders>
            <w:shd w:val="clear" w:color="auto" w:fill="99CDDD"/>
            <w:hideMark/>
          </w:tcPr>
          <w:p w14:paraId="4F77FB65" w14:textId="5241A81D" w:rsidR="0062657E" w:rsidRPr="009C4129" w:rsidRDefault="00B87AED" w:rsidP="00DF2E7B">
            <w:pPr>
              <w:pStyle w:val="Heading5"/>
              <w:spacing w:before="60" w:after="60" w:line="240" w:lineRule="auto"/>
              <w:jc w:val="both"/>
              <w:rPr>
                <w:rFonts w:cs="Arial"/>
                <w:b/>
                <w:color w:val="auto"/>
              </w:rPr>
            </w:pPr>
            <w:r>
              <w:rPr>
                <w:rFonts w:cs="Arial"/>
                <w:b/>
                <w:color w:val="auto"/>
              </w:rPr>
              <w:t xml:space="preserve">2.3   </w:t>
            </w:r>
            <w:r w:rsidR="0062657E" w:rsidRPr="009C4129">
              <w:rPr>
                <w:rFonts w:cs="Arial"/>
                <w:b/>
                <w:color w:val="auto"/>
              </w:rPr>
              <w:t xml:space="preserve">What is the policy problem or opportunity? </w:t>
            </w:r>
          </w:p>
        </w:tc>
      </w:tr>
      <w:tr w:rsidR="009C4129" w:rsidRPr="009C4129" w14:paraId="694FAD63" w14:textId="77777777" w:rsidTr="00801CDE">
        <w:trPr>
          <w:trHeight w:val="90"/>
        </w:trPr>
        <w:tc>
          <w:tcPr>
            <w:tcW w:w="8852" w:type="dxa"/>
            <w:tcBorders>
              <w:top w:val="single" w:sz="4" w:space="0" w:color="DDDDDD"/>
              <w:left w:val="single" w:sz="4" w:space="0" w:color="DDDDDD"/>
              <w:bottom w:val="single" w:sz="4" w:space="0" w:color="DDDDDD"/>
              <w:right w:val="single" w:sz="4" w:space="0" w:color="DDDDDD"/>
            </w:tcBorders>
            <w:shd w:val="clear" w:color="auto" w:fill="FFFFFF"/>
          </w:tcPr>
          <w:p w14:paraId="25C6705B" w14:textId="1D2C5147" w:rsidR="0062657E" w:rsidRDefault="0062657E" w:rsidP="009C4129">
            <w:pPr>
              <w:spacing w:after="0" w:line="276" w:lineRule="auto"/>
              <w:jc w:val="both"/>
              <w:rPr>
                <w:rFonts w:cs="Arial"/>
                <w:szCs w:val="22"/>
                <w:lang w:eastAsia="en-AU"/>
              </w:rPr>
            </w:pPr>
          </w:p>
          <w:p w14:paraId="203629E4" w14:textId="1CCAE035" w:rsidR="003B6CA0" w:rsidRDefault="00262F76" w:rsidP="009C4129">
            <w:pPr>
              <w:spacing w:after="0" w:line="276" w:lineRule="auto"/>
              <w:jc w:val="both"/>
              <w:rPr>
                <w:rFonts w:cs="Arial"/>
                <w:szCs w:val="22"/>
                <w:lang w:eastAsia="en-AU"/>
              </w:rPr>
            </w:pPr>
            <w:r>
              <w:rPr>
                <w:rFonts w:cs="Arial"/>
                <w:szCs w:val="22"/>
                <w:lang w:eastAsia="en-AU"/>
              </w:rPr>
              <w:t xml:space="preserve">The primary role of tax policy is to raise revenue for the government to </w:t>
            </w:r>
            <w:r w:rsidR="00CA77C5">
              <w:rPr>
                <w:rFonts w:cs="Arial"/>
                <w:szCs w:val="22"/>
                <w:lang w:eastAsia="en-AU"/>
              </w:rPr>
              <w:t xml:space="preserve">spend on its functions. Good tax policy seeks to raise revenue in a way that is efficient (at a low cost to the economy as a whole) and fair (for example, </w:t>
            </w:r>
            <w:proofErr w:type="gramStart"/>
            <w:r w:rsidR="00CA77C5">
              <w:rPr>
                <w:rFonts w:cs="Arial"/>
                <w:szCs w:val="22"/>
                <w:lang w:eastAsia="en-AU"/>
              </w:rPr>
              <w:t>taking into account</w:t>
            </w:r>
            <w:proofErr w:type="gramEnd"/>
            <w:r w:rsidR="00CA77C5">
              <w:rPr>
                <w:rFonts w:cs="Arial"/>
                <w:szCs w:val="22"/>
                <w:lang w:eastAsia="en-AU"/>
              </w:rPr>
              <w:t xml:space="preserve"> distributional objectives). </w:t>
            </w:r>
          </w:p>
          <w:p w14:paraId="300D82E9" w14:textId="1163F3EC" w:rsidR="00F87917" w:rsidRDefault="00F87917" w:rsidP="009C4129">
            <w:pPr>
              <w:spacing w:after="0" w:line="276" w:lineRule="auto"/>
              <w:jc w:val="both"/>
              <w:rPr>
                <w:rFonts w:cs="Arial"/>
                <w:szCs w:val="22"/>
                <w:lang w:eastAsia="en-AU"/>
              </w:rPr>
            </w:pPr>
          </w:p>
          <w:p w14:paraId="42915EF4" w14:textId="7D3FECC4" w:rsidR="00F87917" w:rsidRDefault="007144D4" w:rsidP="009C4129">
            <w:pPr>
              <w:spacing w:after="0" w:line="276" w:lineRule="auto"/>
              <w:jc w:val="both"/>
              <w:rPr>
                <w:rFonts w:cs="Arial"/>
                <w:szCs w:val="22"/>
                <w:lang w:eastAsia="en-AU"/>
              </w:rPr>
            </w:pPr>
            <w:r>
              <w:rPr>
                <w:rFonts w:cs="Arial"/>
                <w:szCs w:val="22"/>
                <w:lang w:eastAsia="en-AU"/>
              </w:rPr>
              <w:t>Inland Revenue</w:t>
            </w:r>
            <w:r w:rsidR="008455C4">
              <w:rPr>
                <w:rFonts w:cs="Arial"/>
                <w:szCs w:val="22"/>
                <w:lang w:eastAsia="en-AU"/>
              </w:rPr>
              <w:t xml:space="preserve"> </w:t>
            </w:r>
            <w:r w:rsidR="00000E3F">
              <w:rPr>
                <w:rFonts w:cs="Arial"/>
                <w:szCs w:val="22"/>
                <w:lang w:eastAsia="en-AU"/>
              </w:rPr>
              <w:t xml:space="preserve">understands that the Government </w:t>
            </w:r>
            <w:r w:rsidR="004C5076">
              <w:rPr>
                <w:rFonts w:cs="Arial"/>
                <w:szCs w:val="22"/>
                <w:lang w:eastAsia="en-AU"/>
              </w:rPr>
              <w:t>wishes to raise</w:t>
            </w:r>
            <w:r w:rsidR="008455C4">
              <w:rPr>
                <w:rFonts w:cs="Arial"/>
                <w:szCs w:val="22"/>
                <w:lang w:eastAsia="en-AU"/>
              </w:rPr>
              <w:t xml:space="preserve"> </w:t>
            </w:r>
            <w:r w:rsidR="009A01D5">
              <w:rPr>
                <w:rFonts w:cs="Arial"/>
                <w:szCs w:val="22"/>
                <w:lang w:eastAsia="en-AU"/>
              </w:rPr>
              <w:t xml:space="preserve">extra </w:t>
            </w:r>
            <w:r w:rsidR="008455C4">
              <w:rPr>
                <w:rFonts w:cs="Arial"/>
                <w:szCs w:val="22"/>
                <w:lang w:eastAsia="en-AU"/>
              </w:rPr>
              <w:t>revenue</w:t>
            </w:r>
            <w:r w:rsidR="002631A8">
              <w:rPr>
                <w:rFonts w:cs="Arial"/>
                <w:szCs w:val="22"/>
                <w:lang w:eastAsia="en-AU"/>
              </w:rPr>
              <w:t xml:space="preserve"> to reduce the fiscal impact of higher operating allowances proposed </w:t>
            </w:r>
            <w:r w:rsidR="00DE35B9">
              <w:rPr>
                <w:rFonts w:cs="Arial"/>
                <w:szCs w:val="22"/>
                <w:lang w:eastAsia="en-AU"/>
              </w:rPr>
              <w:t>i</w:t>
            </w:r>
            <w:r w:rsidR="002631A8">
              <w:rPr>
                <w:rFonts w:cs="Arial"/>
                <w:szCs w:val="22"/>
                <w:lang w:eastAsia="en-AU"/>
              </w:rPr>
              <w:t xml:space="preserve">n </w:t>
            </w:r>
            <w:r w:rsidR="001D38D9">
              <w:rPr>
                <w:rFonts w:cs="Arial"/>
                <w:szCs w:val="22"/>
                <w:lang w:eastAsia="en-AU"/>
              </w:rPr>
              <w:t>its</w:t>
            </w:r>
            <w:r w:rsidR="002631A8">
              <w:rPr>
                <w:rFonts w:cs="Arial"/>
                <w:szCs w:val="22"/>
                <w:lang w:eastAsia="en-AU"/>
              </w:rPr>
              <w:t xml:space="preserve"> fiscal strategy, and that this revenue</w:t>
            </w:r>
            <w:r w:rsidR="001D73A5">
              <w:rPr>
                <w:rFonts w:cs="Arial"/>
                <w:szCs w:val="22"/>
                <w:lang w:eastAsia="en-AU"/>
              </w:rPr>
              <w:t xml:space="preserve"> collection</w:t>
            </w:r>
            <w:r w:rsidR="002631A8">
              <w:rPr>
                <w:rFonts w:cs="Arial"/>
                <w:szCs w:val="22"/>
                <w:lang w:eastAsia="en-AU"/>
              </w:rPr>
              <w:t xml:space="preserve"> should </w:t>
            </w:r>
            <w:r w:rsidR="005013F8">
              <w:rPr>
                <w:rFonts w:cs="Arial"/>
                <w:szCs w:val="22"/>
                <w:lang w:eastAsia="en-AU"/>
              </w:rPr>
              <w:t xml:space="preserve">have as little </w:t>
            </w:r>
            <w:r w:rsidR="00A65CBF">
              <w:rPr>
                <w:rFonts w:cs="Arial"/>
                <w:szCs w:val="22"/>
                <w:lang w:eastAsia="en-AU"/>
              </w:rPr>
              <w:t xml:space="preserve">an impact </w:t>
            </w:r>
            <w:r w:rsidR="005013F8">
              <w:rPr>
                <w:rFonts w:cs="Arial"/>
                <w:szCs w:val="22"/>
                <w:lang w:eastAsia="en-AU"/>
              </w:rPr>
              <w:t>as possible on low- to mid</w:t>
            </w:r>
            <w:r w:rsidR="007C09BF">
              <w:rPr>
                <w:rFonts w:cs="Arial"/>
                <w:szCs w:val="22"/>
                <w:lang w:eastAsia="en-AU"/>
              </w:rPr>
              <w:t>dle-income earners and add to progressivity</w:t>
            </w:r>
            <w:r w:rsidR="00494B84">
              <w:rPr>
                <w:rFonts w:cs="Arial"/>
                <w:szCs w:val="22"/>
                <w:lang w:eastAsia="en-AU"/>
              </w:rPr>
              <w:t xml:space="preserve">. </w:t>
            </w:r>
          </w:p>
          <w:p w14:paraId="12A4C5C1" w14:textId="564348CA" w:rsidR="0078237B" w:rsidRDefault="0078237B" w:rsidP="009C4129">
            <w:pPr>
              <w:spacing w:after="0" w:line="276" w:lineRule="auto"/>
              <w:jc w:val="both"/>
              <w:rPr>
                <w:rFonts w:cs="Arial"/>
                <w:szCs w:val="22"/>
                <w:lang w:eastAsia="en-AU"/>
              </w:rPr>
            </w:pPr>
          </w:p>
          <w:p w14:paraId="5F1190AC" w14:textId="77777777" w:rsidR="00CC3B02" w:rsidRDefault="00CC3B02" w:rsidP="00CC3B02">
            <w:pPr>
              <w:pStyle w:val="TableText"/>
              <w:spacing w:before="0" w:after="0" w:line="276" w:lineRule="auto"/>
              <w:rPr>
                <w:sz w:val="22"/>
              </w:rPr>
            </w:pPr>
            <w:r>
              <w:rPr>
                <w:sz w:val="22"/>
              </w:rPr>
              <w:t>As signalled in the Labour party’s 2020 Election Manifesto, the Government has committed to introducing a new top personal income tax rate of 39 percent on income over $180,000. This is to meet two objectives:</w:t>
            </w:r>
          </w:p>
          <w:p w14:paraId="3FE81291" w14:textId="77777777" w:rsidR="00CC3B02" w:rsidRDefault="00CC3B02" w:rsidP="00CC3B02">
            <w:pPr>
              <w:pStyle w:val="TableText"/>
              <w:spacing w:before="0" w:after="0" w:line="276" w:lineRule="auto"/>
              <w:rPr>
                <w:sz w:val="22"/>
              </w:rPr>
            </w:pPr>
          </w:p>
          <w:p w14:paraId="451D16B9" w14:textId="77777777" w:rsidR="00CC3B02" w:rsidRDefault="00CC3B02" w:rsidP="00CC3B02">
            <w:pPr>
              <w:pStyle w:val="ListParagraph"/>
              <w:numPr>
                <w:ilvl w:val="0"/>
                <w:numId w:val="13"/>
              </w:numPr>
              <w:spacing w:after="0"/>
              <w:jc w:val="both"/>
              <w:rPr>
                <w:rFonts w:cs="Arial"/>
              </w:rPr>
            </w:pPr>
            <w:r>
              <w:rPr>
                <w:rFonts w:cs="Arial"/>
              </w:rPr>
              <w:t xml:space="preserve">A </w:t>
            </w:r>
            <w:r w:rsidRPr="008E7CEF">
              <w:rPr>
                <w:rFonts w:cs="Arial"/>
                <w:b/>
                <w:bCs/>
              </w:rPr>
              <w:t>revenue objective</w:t>
            </w:r>
            <w:r>
              <w:rPr>
                <w:rFonts w:cs="Arial"/>
              </w:rPr>
              <w:t xml:space="preserve">: The Government is raising extra revenue to reduce the fiscal impact of higher operating allowances proposed in its fiscal strategy. </w:t>
            </w:r>
          </w:p>
          <w:p w14:paraId="07FD8D14" w14:textId="34B78CB6" w:rsidR="00CC3B02" w:rsidRDefault="00CC3B02" w:rsidP="00CC3B02">
            <w:pPr>
              <w:pStyle w:val="ListParagraph"/>
              <w:numPr>
                <w:ilvl w:val="0"/>
                <w:numId w:val="13"/>
              </w:numPr>
              <w:spacing w:after="0"/>
              <w:jc w:val="both"/>
              <w:rPr>
                <w:rFonts w:cs="Arial"/>
              </w:rPr>
            </w:pPr>
            <w:r>
              <w:rPr>
                <w:rFonts w:cs="Arial"/>
              </w:rPr>
              <w:t xml:space="preserve">A </w:t>
            </w:r>
            <w:r w:rsidRPr="008E7CEF">
              <w:rPr>
                <w:rFonts w:cs="Arial"/>
                <w:b/>
                <w:bCs/>
              </w:rPr>
              <w:t>distributional objective</w:t>
            </w:r>
            <w:r>
              <w:rPr>
                <w:rFonts w:cs="Arial"/>
              </w:rPr>
              <w:t>: The Government is seeking to raise this additional revenue in a way which has as little as possible impact on low- and middle-income earners and which thus increases the progressivity of the tax system.</w:t>
            </w:r>
          </w:p>
          <w:p w14:paraId="2519F1E3" w14:textId="77777777" w:rsidR="00CC3B02" w:rsidRDefault="00CC3B02" w:rsidP="00CC3B02">
            <w:pPr>
              <w:pStyle w:val="TableText"/>
              <w:spacing w:before="0" w:after="0" w:line="276" w:lineRule="auto"/>
              <w:rPr>
                <w:sz w:val="22"/>
              </w:rPr>
            </w:pPr>
          </w:p>
          <w:p w14:paraId="6F615F17" w14:textId="353E17EE" w:rsidR="00CC3B02" w:rsidRDefault="00CC3B02" w:rsidP="00CC3B02">
            <w:pPr>
              <w:pStyle w:val="TableText"/>
              <w:spacing w:before="0" w:after="0" w:line="276" w:lineRule="auto"/>
              <w:rPr>
                <w:sz w:val="22"/>
              </w:rPr>
            </w:pPr>
            <w:r>
              <w:rPr>
                <w:sz w:val="22"/>
              </w:rPr>
              <w:t xml:space="preserve">This Impact Statement analyses how to implement the new rate in a way that best meets </w:t>
            </w:r>
            <w:r w:rsidR="001E7E43">
              <w:rPr>
                <w:sz w:val="22"/>
              </w:rPr>
              <w:t xml:space="preserve">(using traditional tax policy criteria) </w:t>
            </w:r>
            <w:r>
              <w:rPr>
                <w:sz w:val="22"/>
              </w:rPr>
              <w:t xml:space="preserve">the Government’s </w:t>
            </w:r>
            <w:r w:rsidRPr="00786DA3">
              <w:rPr>
                <w:b/>
                <w:bCs/>
                <w:sz w:val="22"/>
              </w:rPr>
              <w:t>revenue</w:t>
            </w:r>
            <w:r>
              <w:rPr>
                <w:sz w:val="22"/>
              </w:rPr>
              <w:t xml:space="preserve"> and </w:t>
            </w:r>
            <w:r w:rsidRPr="00786DA3">
              <w:rPr>
                <w:b/>
                <w:bCs/>
                <w:sz w:val="22"/>
              </w:rPr>
              <w:t>distributional</w:t>
            </w:r>
            <w:r>
              <w:rPr>
                <w:sz w:val="22"/>
              </w:rPr>
              <w:t xml:space="preserve"> objectives</w:t>
            </w:r>
            <w:r w:rsidR="00F23CC5">
              <w:rPr>
                <w:sz w:val="22"/>
              </w:rPr>
              <w:t xml:space="preserve"> while minimising unintended impacts</w:t>
            </w:r>
            <w:r>
              <w:rPr>
                <w:sz w:val="22"/>
              </w:rPr>
              <w:t xml:space="preserve">. </w:t>
            </w:r>
          </w:p>
          <w:p w14:paraId="6F674F07" w14:textId="21C6BB12" w:rsidR="00C75331" w:rsidRPr="009C4129" w:rsidRDefault="00C75331" w:rsidP="00C96448">
            <w:pPr>
              <w:spacing w:after="0" w:line="276" w:lineRule="auto"/>
              <w:jc w:val="both"/>
              <w:rPr>
                <w:rFonts w:cs="Arial"/>
                <w:szCs w:val="22"/>
                <w:lang w:eastAsia="en-AU"/>
              </w:rPr>
            </w:pPr>
          </w:p>
        </w:tc>
      </w:tr>
    </w:tbl>
    <w:p w14:paraId="1CC3E57F" w14:textId="77777777" w:rsidR="007958EF" w:rsidRPr="00143420" w:rsidRDefault="007958EF" w:rsidP="00143420">
      <w:pPr>
        <w:pStyle w:val="spacer"/>
        <w:rPr>
          <w:sz w:val="22"/>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9C4129" w:rsidRPr="009C4129" w14:paraId="16D8C4A9" w14:textId="77777777" w:rsidTr="00346B30">
        <w:trPr>
          <w:trHeight w:val="77"/>
        </w:trPr>
        <w:tc>
          <w:tcPr>
            <w:tcW w:w="5000" w:type="pct"/>
            <w:tcBorders>
              <w:top w:val="single" w:sz="4" w:space="0" w:color="DDDDDD"/>
              <w:left w:val="single" w:sz="4" w:space="0" w:color="DDDDDD"/>
              <w:bottom w:val="single" w:sz="4" w:space="0" w:color="DDDDDD"/>
              <w:right w:val="single" w:sz="4" w:space="0" w:color="DDDDDD"/>
            </w:tcBorders>
            <w:shd w:val="clear" w:color="auto" w:fill="99CDDD"/>
          </w:tcPr>
          <w:p w14:paraId="76EDAB7D" w14:textId="41060CF6" w:rsidR="0062657E" w:rsidRPr="009C4129" w:rsidRDefault="00554046" w:rsidP="006356D0">
            <w:pPr>
              <w:keepNext/>
              <w:spacing w:before="60" w:after="60" w:line="240" w:lineRule="auto"/>
              <w:rPr>
                <w:rFonts w:cs="Arial"/>
                <w:b/>
                <w:szCs w:val="22"/>
              </w:rPr>
            </w:pPr>
            <w:r>
              <w:rPr>
                <w:rFonts w:cs="Arial"/>
                <w:b/>
                <w:szCs w:val="22"/>
              </w:rPr>
              <w:t>2.4</w:t>
            </w:r>
            <w:r w:rsidR="00B87AED">
              <w:rPr>
                <w:rFonts w:cs="Arial"/>
                <w:b/>
                <w:szCs w:val="22"/>
              </w:rPr>
              <w:t xml:space="preserve">   </w:t>
            </w:r>
            <w:r w:rsidR="0062657E" w:rsidRPr="009C4129">
              <w:rPr>
                <w:rFonts w:cs="Arial"/>
                <w:b/>
                <w:szCs w:val="22"/>
              </w:rPr>
              <w:t>What do stakeholders think</w:t>
            </w:r>
            <w:r w:rsidR="00EA7ED8">
              <w:rPr>
                <w:rFonts w:cs="Arial"/>
                <w:b/>
                <w:szCs w:val="22"/>
              </w:rPr>
              <w:t xml:space="preserve"> about the problem</w:t>
            </w:r>
            <w:r w:rsidR="0062657E" w:rsidRPr="009C4129">
              <w:rPr>
                <w:rFonts w:cs="Arial"/>
                <w:b/>
                <w:szCs w:val="22"/>
              </w:rPr>
              <w:t>?</w:t>
            </w:r>
          </w:p>
        </w:tc>
      </w:tr>
      <w:tr w:rsidR="009C4129" w:rsidRPr="009C4129" w14:paraId="73892045" w14:textId="77777777" w:rsidTr="000F35B1">
        <w:trPr>
          <w:trHeight w:val="4725"/>
        </w:trPr>
        <w:tc>
          <w:tcPr>
            <w:tcW w:w="5000" w:type="pct"/>
            <w:tcBorders>
              <w:top w:val="single" w:sz="4" w:space="0" w:color="DDDDDD"/>
              <w:left w:val="single" w:sz="4" w:space="0" w:color="DDDDDD"/>
              <w:bottom w:val="single" w:sz="4" w:space="0" w:color="DDDDDD"/>
              <w:right w:val="single" w:sz="4" w:space="0" w:color="DDDDDD"/>
            </w:tcBorders>
            <w:shd w:val="clear" w:color="auto" w:fill="FFFFFF"/>
          </w:tcPr>
          <w:p w14:paraId="2A84FAC6" w14:textId="4A95365A" w:rsidR="00D066E5" w:rsidRDefault="00D066E5" w:rsidP="007F4EF9">
            <w:pPr>
              <w:spacing w:after="0"/>
              <w:rPr>
                <w:lang w:eastAsia="en-AU"/>
              </w:rPr>
            </w:pPr>
          </w:p>
          <w:p w14:paraId="0ED107A2" w14:textId="2501590A" w:rsidR="00855241" w:rsidRDefault="00D066E5" w:rsidP="007F4EF9">
            <w:pPr>
              <w:spacing w:after="0"/>
              <w:rPr>
                <w:lang w:eastAsia="en-AU"/>
              </w:rPr>
            </w:pPr>
            <w:r>
              <w:rPr>
                <w:lang w:eastAsia="en-AU"/>
              </w:rPr>
              <w:t xml:space="preserve">The personal income tax </w:t>
            </w:r>
            <w:r w:rsidR="00BD32DB">
              <w:rPr>
                <w:lang w:eastAsia="en-AU"/>
              </w:rPr>
              <w:t>system</w:t>
            </w:r>
            <w:r>
              <w:rPr>
                <w:lang w:eastAsia="en-AU"/>
              </w:rPr>
              <w:t xml:space="preserve"> </w:t>
            </w:r>
            <w:r w:rsidR="00BD32DB">
              <w:rPr>
                <w:lang w:eastAsia="en-AU"/>
              </w:rPr>
              <w:t>directly affect</w:t>
            </w:r>
            <w:r w:rsidR="008832A4">
              <w:rPr>
                <w:lang w:eastAsia="en-AU"/>
              </w:rPr>
              <w:t>s</w:t>
            </w:r>
            <w:r>
              <w:rPr>
                <w:lang w:eastAsia="en-AU"/>
              </w:rPr>
              <w:t xml:space="preserve"> all New Zealanders</w:t>
            </w:r>
            <w:r w:rsidR="00065F73">
              <w:rPr>
                <w:lang w:eastAsia="en-AU"/>
              </w:rPr>
              <w:t>, whether that is through each individual taxpayer</w:t>
            </w:r>
            <w:r w:rsidR="00790E78">
              <w:rPr>
                <w:lang w:eastAsia="en-AU"/>
              </w:rPr>
              <w:t xml:space="preserve"> </w:t>
            </w:r>
            <w:r w:rsidR="001162D0">
              <w:rPr>
                <w:lang w:eastAsia="en-AU"/>
              </w:rPr>
              <w:t xml:space="preserve">being liable for an amount of </w:t>
            </w:r>
            <w:r w:rsidR="007D3749">
              <w:rPr>
                <w:lang w:eastAsia="en-AU"/>
              </w:rPr>
              <w:t xml:space="preserve">income tax </w:t>
            </w:r>
            <w:r w:rsidR="00790E78">
              <w:rPr>
                <w:lang w:eastAsia="en-AU"/>
              </w:rPr>
              <w:t xml:space="preserve">or through the Government’s spending as a result of </w:t>
            </w:r>
            <w:r w:rsidR="007D3749">
              <w:rPr>
                <w:lang w:eastAsia="en-AU"/>
              </w:rPr>
              <w:t xml:space="preserve">income </w:t>
            </w:r>
            <w:r w:rsidR="00790E78">
              <w:rPr>
                <w:lang w:eastAsia="en-AU"/>
              </w:rPr>
              <w:t>tax collection</w:t>
            </w:r>
            <w:r w:rsidR="00DD35C4">
              <w:rPr>
                <w:lang w:eastAsia="en-AU"/>
              </w:rPr>
              <w:t>, or both</w:t>
            </w:r>
            <w:r w:rsidR="00BD32DB">
              <w:rPr>
                <w:lang w:eastAsia="en-AU"/>
              </w:rPr>
              <w:t xml:space="preserve">. </w:t>
            </w:r>
            <w:r w:rsidR="009F0E4F">
              <w:rPr>
                <w:lang w:eastAsia="en-AU"/>
              </w:rPr>
              <w:t xml:space="preserve">Any way of raising additional revenue </w:t>
            </w:r>
            <w:r w:rsidR="00CC56B9">
              <w:rPr>
                <w:lang w:eastAsia="en-AU"/>
              </w:rPr>
              <w:t>that</w:t>
            </w:r>
            <w:r w:rsidR="009F0E4F">
              <w:rPr>
                <w:lang w:eastAsia="en-AU"/>
              </w:rPr>
              <w:t xml:space="preserve"> falls on some taxpayers and not on others </w:t>
            </w:r>
            <w:r w:rsidR="0042116E">
              <w:rPr>
                <w:lang w:eastAsia="en-AU"/>
              </w:rPr>
              <w:t xml:space="preserve">is </w:t>
            </w:r>
            <w:r w:rsidR="009F0E4F">
              <w:rPr>
                <w:lang w:eastAsia="en-AU"/>
              </w:rPr>
              <w:t xml:space="preserve">likely to be of most concern to those who are directly affected. </w:t>
            </w:r>
          </w:p>
          <w:p w14:paraId="43A6611A" w14:textId="77777777" w:rsidR="00855241" w:rsidRDefault="00855241" w:rsidP="007F4EF9">
            <w:pPr>
              <w:spacing w:after="0"/>
              <w:rPr>
                <w:lang w:eastAsia="en-AU"/>
              </w:rPr>
            </w:pPr>
          </w:p>
          <w:p w14:paraId="76541420" w14:textId="1E677CCF" w:rsidR="00E6669E" w:rsidRDefault="00855241" w:rsidP="007F4EF9">
            <w:pPr>
              <w:spacing w:after="0"/>
              <w:rPr>
                <w:lang w:eastAsia="en-AU"/>
              </w:rPr>
            </w:pPr>
            <w:r>
              <w:rPr>
                <w:lang w:eastAsia="en-AU"/>
              </w:rPr>
              <w:t xml:space="preserve">A July 2020 </w:t>
            </w:r>
            <w:proofErr w:type="spellStart"/>
            <w:r>
              <w:rPr>
                <w:lang w:eastAsia="en-AU"/>
              </w:rPr>
              <w:t>Newshub</w:t>
            </w:r>
            <w:proofErr w:type="spellEnd"/>
            <w:r>
              <w:rPr>
                <w:lang w:eastAsia="en-AU"/>
              </w:rPr>
              <w:t>-Reid</w:t>
            </w:r>
            <w:r w:rsidR="004437C2">
              <w:rPr>
                <w:lang w:eastAsia="en-AU"/>
              </w:rPr>
              <w:t xml:space="preserve"> Research poll</w:t>
            </w:r>
            <w:r>
              <w:rPr>
                <w:lang w:eastAsia="en-AU"/>
              </w:rPr>
              <w:t xml:space="preserve"> found that 50 percent of those polled</w:t>
            </w:r>
            <w:r>
              <w:rPr>
                <w:rStyle w:val="FootnoteReference"/>
                <w:lang w:eastAsia="en-AU"/>
              </w:rPr>
              <w:footnoteReference w:id="8"/>
            </w:r>
            <w:r>
              <w:rPr>
                <w:lang w:eastAsia="en-AU"/>
              </w:rPr>
              <w:t xml:space="preserve"> supported an </w:t>
            </w:r>
            <w:r w:rsidR="00546F41">
              <w:rPr>
                <w:lang w:eastAsia="en-AU"/>
              </w:rPr>
              <w:t>additional</w:t>
            </w:r>
            <w:r>
              <w:rPr>
                <w:lang w:eastAsia="en-AU"/>
              </w:rPr>
              <w:t xml:space="preserve"> higher income tax bracket.</w:t>
            </w:r>
            <w:r>
              <w:rPr>
                <w:rStyle w:val="FootnoteReference"/>
                <w:lang w:eastAsia="en-AU"/>
              </w:rPr>
              <w:footnoteReference w:id="9"/>
            </w:r>
            <w:r>
              <w:rPr>
                <w:lang w:eastAsia="en-AU"/>
              </w:rPr>
              <w:t xml:space="preserve"> In contrast, an August 2020 </w:t>
            </w:r>
            <w:r w:rsidRPr="0094335B">
              <w:rPr>
                <w:i/>
                <w:iCs/>
                <w:lang w:eastAsia="en-AU"/>
              </w:rPr>
              <w:t>BusinessNZ</w:t>
            </w:r>
            <w:r>
              <w:rPr>
                <w:lang w:eastAsia="en-AU"/>
              </w:rPr>
              <w:t xml:space="preserve"> survey found</w:t>
            </w:r>
            <w:r w:rsidR="00726A0E">
              <w:rPr>
                <w:lang w:eastAsia="en-AU"/>
              </w:rPr>
              <w:t xml:space="preserve"> that</w:t>
            </w:r>
            <w:r>
              <w:rPr>
                <w:lang w:eastAsia="en-AU"/>
              </w:rPr>
              <w:t xml:space="preserve"> only </w:t>
            </w:r>
            <w:r w:rsidR="00726A0E">
              <w:rPr>
                <w:lang w:eastAsia="en-AU"/>
              </w:rPr>
              <w:t>9 percent</w:t>
            </w:r>
            <w:r>
              <w:rPr>
                <w:lang w:eastAsia="en-AU"/>
              </w:rPr>
              <w:t xml:space="preserve"> of the 1,193 business respondents supported increases in personal tax rates to address the fiscal challenges of COVID-19.</w:t>
            </w:r>
            <w:r w:rsidR="00726A0E">
              <w:rPr>
                <w:rStyle w:val="FootnoteReference"/>
                <w:lang w:eastAsia="en-AU"/>
              </w:rPr>
              <w:footnoteReference w:id="10"/>
            </w:r>
            <w:r>
              <w:rPr>
                <w:lang w:eastAsia="en-AU"/>
              </w:rPr>
              <w:t xml:space="preserve"> </w:t>
            </w:r>
          </w:p>
          <w:p w14:paraId="6F4A8264" w14:textId="148A5BB0" w:rsidR="009876E8" w:rsidRDefault="009876E8" w:rsidP="009876E8">
            <w:pPr>
              <w:spacing w:after="0"/>
              <w:rPr>
                <w:lang w:eastAsia="en-AU"/>
              </w:rPr>
            </w:pPr>
          </w:p>
          <w:p w14:paraId="1AEC3C31" w14:textId="27D165BE" w:rsidR="00964772" w:rsidRDefault="00964772" w:rsidP="009876E8">
            <w:pPr>
              <w:spacing w:after="0"/>
              <w:rPr>
                <w:lang w:eastAsia="en-AU"/>
              </w:rPr>
            </w:pPr>
            <w:r>
              <w:rPr>
                <w:lang w:eastAsia="en-AU"/>
              </w:rPr>
              <w:t>Inland Revenue has regular engagement with tax practitioners on policy issues/proposals and is aware of comments made in the media by parts of the sector regarding this proposal.</w:t>
            </w:r>
            <w:r>
              <w:rPr>
                <w:rStyle w:val="FootnoteReference"/>
                <w:lang w:eastAsia="en-AU"/>
              </w:rPr>
              <w:footnoteReference w:id="11"/>
            </w:r>
            <w:r w:rsidRPr="00866A29">
              <w:rPr>
                <w:lang w:eastAsia="en-AU"/>
              </w:rPr>
              <w:t xml:space="preserve"> There is concern that, without corresponding increases in the trustee rate and the top PIE rate, the 39 percent rate will apply to wage/salary earners but investment income will be able to be earned through companies, PIEs, and trusts at lower rates.</w:t>
            </w:r>
            <w:r>
              <w:rPr>
                <w:rStyle w:val="FootnoteReference"/>
                <w:lang w:eastAsia="en-AU"/>
              </w:rPr>
              <w:footnoteReference w:id="12"/>
            </w:r>
            <w:r>
              <w:rPr>
                <w:lang w:eastAsia="en-AU"/>
              </w:rPr>
              <w:t xml:space="preserve"> There are concerns that this would be unfair and reduce the integrity of the tax system. The proposal would exacerbate existing tax system pressures associated with unaligned rates.</w:t>
            </w:r>
            <w:r>
              <w:rPr>
                <w:rStyle w:val="FootnoteReference"/>
                <w:lang w:eastAsia="en-AU"/>
              </w:rPr>
              <w:footnoteReference w:id="13"/>
            </w:r>
            <w:r w:rsidDel="00184E4D">
              <w:rPr>
                <w:lang w:eastAsia="en-AU"/>
              </w:rPr>
              <w:t xml:space="preserve"> </w:t>
            </w:r>
            <w:r>
              <w:rPr>
                <w:lang w:eastAsia="en-AU"/>
              </w:rPr>
              <w:t xml:space="preserve">Because of these reasons, many commentaries are forecasting that the introduction of a new top personal income tax rate will raise less revenue than the $550 million estimated by the Labour party in its 2020 Election Manifesto. </w:t>
            </w:r>
          </w:p>
          <w:p w14:paraId="7DED44BA" w14:textId="77777777" w:rsidR="00964772" w:rsidRDefault="00964772" w:rsidP="009876E8">
            <w:pPr>
              <w:spacing w:after="0"/>
              <w:rPr>
                <w:lang w:eastAsia="en-AU"/>
              </w:rPr>
            </w:pPr>
          </w:p>
          <w:p w14:paraId="6EC808CB" w14:textId="05BFADF8" w:rsidR="00184E4D" w:rsidRDefault="00A433AA" w:rsidP="00184E4D">
            <w:pPr>
              <w:spacing w:after="0"/>
              <w:rPr>
                <w:lang w:eastAsia="en-AU"/>
              </w:rPr>
            </w:pPr>
            <w:r>
              <w:rPr>
                <w:lang w:eastAsia="en-AU"/>
              </w:rPr>
              <w:t>One</w:t>
            </w:r>
            <w:r w:rsidR="00184E4D">
              <w:rPr>
                <w:lang w:eastAsia="en-AU"/>
              </w:rPr>
              <w:t xml:space="preserve"> public viewpoint is that </w:t>
            </w:r>
            <w:r w:rsidR="00641370">
              <w:rPr>
                <w:lang w:eastAsia="en-AU"/>
              </w:rPr>
              <w:t>the proposal comprises only</w:t>
            </w:r>
            <w:r w:rsidR="00184E4D">
              <w:rPr>
                <w:lang w:eastAsia="en-AU"/>
              </w:rPr>
              <w:t xml:space="preserve"> a small adjustment to tax rates given the number of people it affects and the extent to which it affects them. The proposal can be perceived as a signal that redistribution to meet the Government’s wider objectives might happen through channels outside of the tax system.</w:t>
            </w:r>
            <w:r w:rsidR="00363B97">
              <w:rPr>
                <w:rStyle w:val="FootnoteReference"/>
                <w:lang w:eastAsia="en-AU"/>
              </w:rPr>
              <w:footnoteReference w:id="14"/>
            </w:r>
            <w:r w:rsidR="00184E4D">
              <w:rPr>
                <w:lang w:eastAsia="en-AU"/>
              </w:rPr>
              <w:t xml:space="preserve"> </w:t>
            </w:r>
          </w:p>
          <w:p w14:paraId="0B064E7B" w14:textId="77777777" w:rsidR="00184E4D" w:rsidRDefault="00184E4D" w:rsidP="00184E4D">
            <w:pPr>
              <w:spacing w:after="0"/>
              <w:rPr>
                <w:lang w:eastAsia="en-AU"/>
              </w:rPr>
            </w:pPr>
          </w:p>
          <w:p w14:paraId="7E03EF69" w14:textId="69CF7BC8" w:rsidR="00184E4D" w:rsidRDefault="00184E4D" w:rsidP="009876E8">
            <w:pPr>
              <w:spacing w:after="0"/>
              <w:rPr>
                <w:lang w:eastAsia="en-AU"/>
              </w:rPr>
            </w:pPr>
            <w:r>
              <w:rPr>
                <w:lang w:eastAsia="en-AU"/>
              </w:rPr>
              <w:t>Other public commentary on the policy has expressed an opinion that there have long been deficiencies in the redistribution of income, and so the proposal is a step in the right direction to fix that problem. At the same time, some people believe that this problem will exist after the implementation of the policy as well since they believe it does not go far enough.</w:t>
            </w:r>
            <w:r w:rsidR="005C322A">
              <w:rPr>
                <w:rStyle w:val="FootnoteReference"/>
                <w:lang w:eastAsia="en-AU"/>
              </w:rPr>
              <w:footnoteReference w:id="15"/>
            </w:r>
            <w:r>
              <w:rPr>
                <w:lang w:eastAsia="en-AU"/>
              </w:rPr>
              <w:t xml:space="preserve"> </w:t>
            </w:r>
          </w:p>
          <w:p w14:paraId="608C6102" w14:textId="77777777" w:rsidR="00C96448" w:rsidRDefault="00C96448" w:rsidP="009876E8">
            <w:pPr>
              <w:spacing w:after="0"/>
              <w:rPr>
                <w:lang w:eastAsia="en-AU"/>
              </w:rPr>
            </w:pPr>
          </w:p>
          <w:p w14:paraId="17E6B492" w14:textId="1D36D2B3" w:rsidR="00CB605A" w:rsidRDefault="00CB605A" w:rsidP="009876E8">
            <w:pPr>
              <w:spacing w:after="0"/>
              <w:rPr>
                <w:lang w:eastAsia="en-AU"/>
              </w:rPr>
            </w:pPr>
            <w:r>
              <w:rPr>
                <w:lang w:eastAsia="en-AU"/>
              </w:rPr>
              <w:t xml:space="preserve">Some people have </w:t>
            </w:r>
            <w:r w:rsidR="001E7E43">
              <w:rPr>
                <w:lang w:eastAsia="en-AU"/>
              </w:rPr>
              <w:t>noted</w:t>
            </w:r>
            <w:r>
              <w:rPr>
                <w:lang w:eastAsia="en-AU"/>
              </w:rPr>
              <w:t xml:space="preserve"> the pre-election </w:t>
            </w:r>
            <w:r w:rsidR="001E7E43">
              <w:rPr>
                <w:lang w:eastAsia="en-AU"/>
              </w:rPr>
              <w:t xml:space="preserve">statements that the trustee rate would not be increased. </w:t>
            </w:r>
            <w:r w:rsidR="004225D6">
              <w:rPr>
                <w:lang w:eastAsia="en-AU"/>
              </w:rPr>
              <w:t xml:space="preserve">They recognise that there is an existing problem regarding misalignment between companies/PIEs and the top personal rate/trustees, and that this problem is exacerbated by </w:t>
            </w:r>
            <w:r w:rsidR="001E4550">
              <w:rPr>
                <w:lang w:eastAsia="en-AU"/>
              </w:rPr>
              <w:t>not increasing the trustee rate</w:t>
            </w:r>
            <w:r w:rsidR="004225D6">
              <w:rPr>
                <w:lang w:eastAsia="en-AU"/>
              </w:rPr>
              <w:t>. At the same time, it was noted that Inland Revenue will be expected to crack down on any aggressive structuring that seeks to exploit the discrepancies between the tax rates of different entities.</w:t>
            </w:r>
            <w:r w:rsidR="00D44425">
              <w:rPr>
                <w:rStyle w:val="FootnoteReference"/>
                <w:lang w:eastAsia="en-AU"/>
              </w:rPr>
              <w:footnoteReference w:id="16"/>
            </w:r>
            <w:r w:rsidR="004225D6">
              <w:rPr>
                <w:lang w:eastAsia="en-AU"/>
              </w:rPr>
              <w:t xml:space="preserve"> </w:t>
            </w:r>
          </w:p>
          <w:p w14:paraId="7CF1A323" w14:textId="77777777" w:rsidR="00CB605A" w:rsidRDefault="00CB605A" w:rsidP="009876E8">
            <w:pPr>
              <w:spacing w:after="0"/>
              <w:rPr>
                <w:lang w:eastAsia="en-AU"/>
              </w:rPr>
            </w:pPr>
          </w:p>
          <w:p w14:paraId="24630544" w14:textId="7B324028" w:rsidR="009B74D6" w:rsidRDefault="00380D66" w:rsidP="00184E4D">
            <w:pPr>
              <w:spacing w:after="0"/>
              <w:rPr>
                <w:lang w:eastAsia="en-AU"/>
              </w:rPr>
            </w:pPr>
            <w:r w:rsidRPr="009B74D6">
              <w:rPr>
                <w:lang w:eastAsia="en-AU"/>
              </w:rPr>
              <w:t>G</w:t>
            </w:r>
            <w:r w:rsidR="00C96448">
              <w:rPr>
                <w:lang w:eastAsia="en-AU"/>
              </w:rPr>
              <w:t xml:space="preserve">iven </w:t>
            </w:r>
            <w:r w:rsidRPr="009B74D6">
              <w:rPr>
                <w:lang w:eastAsia="en-AU"/>
              </w:rPr>
              <w:t>the short timeframes for developing and implementing this proposal, Inland Revenue has not undertaken any active consultation to date</w:t>
            </w:r>
            <w:r w:rsidR="009B74D6" w:rsidRPr="009B74D6">
              <w:rPr>
                <w:lang w:eastAsia="en-AU"/>
              </w:rPr>
              <w:t xml:space="preserve"> on introducing a new top personal income t</w:t>
            </w:r>
            <w:r w:rsidR="00C96448">
              <w:rPr>
                <w:lang w:eastAsia="en-AU"/>
              </w:rPr>
              <w:t>ax rate</w:t>
            </w:r>
            <w:r w:rsidR="00764C34">
              <w:rPr>
                <w:lang w:eastAsia="en-AU"/>
              </w:rPr>
              <w:t>.</w:t>
            </w:r>
            <w:r w:rsidRPr="009B74D6">
              <w:rPr>
                <w:lang w:eastAsia="en-AU"/>
              </w:rPr>
              <w:t xml:space="preserve"> </w:t>
            </w:r>
          </w:p>
          <w:p w14:paraId="7352CD98" w14:textId="77777777" w:rsidR="009B74D6" w:rsidRDefault="009B74D6" w:rsidP="00184E4D">
            <w:pPr>
              <w:spacing w:after="0"/>
              <w:rPr>
                <w:lang w:eastAsia="en-AU"/>
              </w:rPr>
            </w:pPr>
          </w:p>
          <w:p w14:paraId="221A0C48" w14:textId="423D3E70" w:rsidR="009B74D6" w:rsidRPr="009B74D6" w:rsidRDefault="009B74D6" w:rsidP="00184E4D">
            <w:pPr>
              <w:spacing w:after="0"/>
              <w:rPr>
                <w:lang w:eastAsia="en-AU"/>
              </w:rPr>
            </w:pPr>
            <w:r>
              <w:rPr>
                <w:lang w:eastAsia="en-AU"/>
              </w:rPr>
              <w:t xml:space="preserve">Inland Revenue intends to consult with stakeholders on the possible integrity measures over the first half of 2021 so that they can be legislated for 1 April 2022. </w:t>
            </w:r>
            <w:r w:rsidR="003A686E">
              <w:rPr>
                <w:lang w:eastAsia="en-AU"/>
              </w:rPr>
              <w:t>Inland Revenue considers that the success of these integrity measures depends on sufficient engagement with stakeholders</w:t>
            </w:r>
            <w:r w:rsidR="00BD551C">
              <w:rPr>
                <w:lang w:eastAsia="en-AU"/>
              </w:rPr>
              <w:t xml:space="preserve"> given their potential complexity compared to the introduction of the new top personal rate alone</w:t>
            </w:r>
            <w:r w:rsidR="003A686E">
              <w:rPr>
                <w:lang w:eastAsia="en-AU"/>
              </w:rPr>
              <w:t xml:space="preserve">. Although these measures would still come into effect quicker than preferred, </w:t>
            </w:r>
            <w:r w:rsidR="00BD551C">
              <w:rPr>
                <w:lang w:eastAsia="en-AU"/>
              </w:rPr>
              <w:t xml:space="preserve">Inland Revenue believes that the benefits of consultation during 2021 outweighs the potential integrity benefits of implementing these measures in 2021 with no consultation. </w:t>
            </w:r>
          </w:p>
          <w:p w14:paraId="30D59C82" w14:textId="77777777" w:rsidR="009B74D6" w:rsidRDefault="009B74D6" w:rsidP="00184E4D">
            <w:pPr>
              <w:spacing w:after="0"/>
              <w:rPr>
                <w:highlight w:val="yellow"/>
                <w:lang w:eastAsia="en-AU"/>
              </w:rPr>
            </w:pPr>
          </w:p>
          <w:p w14:paraId="2FFAC3C9" w14:textId="5711ED6D" w:rsidR="00DF6482" w:rsidRDefault="0029419C" w:rsidP="00184E4D">
            <w:pPr>
              <w:spacing w:after="0"/>
              <w:rPr>
                <w:lang w:eastAsia="en-AU"/>
              </w:rPr>
            </w:pPr>
            <w:r>
              <w:rPr>
                <w:lang w:eastAsia="en-AU"/>
              </w:rPr>
              <w:t>I</w:t>
            </w:r>
            <w:r w:rsidR="00EF58BA" w:rsidRPr="00866A29">
              <w:rPr>
                <w:lang w:eastAsia="en-AU"/>
              </w:rPr>
              <w:t xml:space="preserve">f options other than </w:t>
            </w:r>
            <w:r w:rsidR="00CD381E" w:rsidRPr="00CD381E">
              <w:rPr>
                <w:b/>
                <w:bCs/>
                <w:lang w:eastAsia="en-AU"/>
              </w:rPr>
              <w:t>O</w:t>
            </w:r>
            <w:r w:rsidR="00EF58BA" w:rsidRPr="00CD381E">
              <w:rPr>
                <w:b/>
                <w:bCs/>
                <w:lang w:eastAsia="en-AU"/>
              </w:rPr>
              <w:t>ption 2</w:t>
            </w:r>
            <w:r w:rsidR="00EF58BA" w:rsidRPr="00866A29">
              <w:rPr>
                <w:lang w:eastAsia="en-AU"/>
              </w:rPr>
              <w:t xml:space="preserve"> are </w:t>
            </w:r>
            <w:r w:rsidR="003008C6" w:rsidRPr="00866A29">
              <w:rPr>
                <w:lang w:eastAsia="en-AU"/>
              </w:rPr>
              <w:t>progressed</w:t>
            </w:r>
            <w:r w:rsidR="00DF2C8D" w:rsidRPr="00866A29">
              <w:rPr>
                <w:lang w:eastAsia="en-AU"/>
              </w:rPr>
              <w:t xml:space="preserve">, the lack of consultation on </w:t>
            </w:r>
            <w:r w:rsidR="000C2565">
              <w:rPr>
                <w:lang w:eastAsia="en-AU"/>
              </w:rPr>
              <w:t xml:space="preserve">issues to do with the trustee rate </w:t>
            </w:r>
            <w:r>
              <w:rPr>
                <w:lang w:eastAsia="en-AU"/>
              </w:rPr>
              <w:t xml:space="preserve">will </w:t>
            </w:r>
            <w:r w:rsidR="0013053B">
              <w:rPr>
                <w:lang w:eastAsia="en-AU"/>
              </w:rPr>
              <w:t>likely be raised as a particular concern</w:t>
            </w:r>
            <w:r w:rsidR="000C2565">
              <w:rPr>
                <w:lang w:eastAsia="en-AU"/>
              </w:rPr>
              <w:t>. However, if the Government raises the trustee tax rate, consultation may still be able to occur to provide useful information on potential over-taxation problems, with any solutions being able to resolve problems in the future, or potentially with retrospective effect if the design of solutions allows that.</w:t>
            </w:r>
            <w:r w:rsidR="00DF6482">
              <w:rPr>
                <w:lang w:eastAsia="en-AU"/>
              </w:rPr>
              <w:t xml:space="preserve"> </w:t>
            </w:r>
          </w:p>
          <w:p w14:paraId="6C230E84" w14:textId="77777777" w:rsidR="00DF6482" w:rsidRDefault="00DF6482" w:rsidP="00184E4D">
            <w:pPr>
              <w:spacing w:after="0"/>
              <w:rPr>
                <w:lang w:eastAsia="en-AU"/>
              </w:rPr>
            </w:pPr>
          </w:p>
          <w:p w14:paraId="0D78EF83" w14:textId="26967CE8" w:rsidR="0057150A" w:rsidRPr="009C4129" w:rsidRDefault="00C33E5A" w:rsidP="001B3F24">
            <w:pPr>
              <w:spacing w:after="0" w:line="276" w:lineRule="auto"/>
              <w:rPr>
                <w:lang w:eastAsia="en-AU"/>
              </w:rPr>
            </w:pPr>
            <w:r>
              <w:rPr>
                <w:lang w:eastAsia="en-AU"/>
              </w:rPr>
              <w:t xml:space="preserve">The absence of consultation is likely to result in Inland Revenue </w:t>
            </w:r>
            <w:r w:rsidR="002463F2">
              <w:rPr>
                <w:lang w:eastAsia="en-AU"/>
              </w:rPr>
              <w:t>having a limited understanding of the compliance costs that trusts</w:t>
            </w:r>
            <w:r w:rsidR="00780E21">
              <w:rPr>
                <w:lang w:eastAsia="en-AU"/>
              </w:rPr>
              <w:t xml:space="preserve"> will</w:t>
            </w:r>
            <w:r w:rsidR="002463F2">
              <w:rPr>
                <w:lang w:eastAsia="en-AU"/>
              </w:rPr>
              <w:t xml:space="preserve"> face with the new information requirements and how large these costs are. </w:t>
            </w:r>
            <w:r w:rsidR="00006108" w:rsidRPr="00305E04">
              <w:rPr>
                <w:lang w:eastAsia="en-AU"/>
              </w:rPr>
              <w:t>Inland Revenue will conduct a post-implementation review of the proposed information requirements for trusts</w:t>
            </w:r>
            <w:r w:rsidR="00006108">
              <w:rPr>
                <w:lang w:eastAsia="en-AU"/>
              </w:rPr>
              <w:t>,</w:t>
            </w:r>
            <w:r w:rsidR="00006108" w:rsidRPr="00305E04">
              <w:rPr>
                <w:lang w:eastAsia="en-AU"/>
              </w:rPr>
              <w:t xml:space="preserve"> which will include consultation with the affected trustees to determine the compliance costs associated with the new requirements and to identify if any changes could be made to reduce these compliance costs</w:t>
            </w:r>
            <w:r w:rsidR="00006108">
              <w:rPr>
                <w:lang w:eastAsia="en-AU"/>
              </w:rPr>
              <w:t>.</w:t>
            </w:r>
          </w:p>
        </w:tc>
      </w:tr>
    </w:tbl>
    <w:p w14:paraId="466682DF" w14:textId="77777777" w:rsidR="007958EF" w:rsidRPr="00143420" w:rsidRDefault="007958EF" w:rsidP="00143420">
      <w:pPr>
        <w:pStyle w:val="spacer"/>
        <w:rPr>
          <w:sz w:val="22"/>
        </w:rPr>
      </w:pP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952"/>
      </w:tblGrid>
      <w:tr w:rsidR="004C6060" w14:paraId="3A3076A9" w14:textId="77777777" w:rsidTr="007958EF">
        <w:trPr>
          <w:trHeight w:val="317"/>
        </w:trPr>
        <w:tc>
          <w:tcPr>
            <w:tcW w:w="8952" w:type="dxa"/>
            <w:shd w:val="clear" w:color="auto" w:fill="99CDDD"/>
          </w:tcPr>
          <w:p w14:paraId="3C2D8ABE" w14:textId="2C589D5D" w:rsidR="004C6060" w:rsidRPr="00721CE1" w:rsidRDefault="00B87AED" w:rsidP="006356D0">
            <w:pPr>
              <w:keepNext/>
              <w:spacing w:after="120"/>
              <w:jc w:val="both"/>
              <w:rPr>
                <w:b/>
              </w:rPr>
            </w:pPr>
            <w:r w:rsidRPr="00721CE1">
              <w:rPr>
                <w:b/>
              </w:rPr>
              <w:t xml:space="preserve">2.5   </w:t>
            </w:r>
            <w:r w:rsidR="004C6060" w:rsidRPr="00721CE1">
              <w:rPr>
                <w:b/>
              </w:rPr>
              <w:t xml:space="preserve">What are the objectives sought in relation to the identified problem? </w:t>
            </w:r>
          </w:p>
        </w:tc>
      </w:tr>
      <w:tr w:rsidR="004C6060" w14:paraId="538A84A8" w14:textId="77777777" w:rsidTr="00635F6F">
        <w:trPr>
          <w:trHeight w:val="473"/>
        </w:trPr>
        <w:tc>
          <w:tcPr>
            <w:tcW w:w="8952" w:type="dxa"/>
            <w:shd w:val="clear" w:color="auto" w:fill="auto"/>
          </w:tcPr>
          <w:p w14:paraId="097304E7" w14:textId="77777777" w:rsidR="004C6060" w:rsidRDefault="004C6060" w:rsidP="002318A3">
            <w:pPr>
              <w:spacing w:after="0"/>
              <w:jc w:val="both"/>
              <w:rPr>
                <w:rFonts w:cs="Arial"/>
              </w:rPr>
            </w:pPr>
          </w:p>
          <w:p w14:paraId="4319EF58" w14:textId="0031C3B2" w:rsidR="005E3078" w:rsidRDefault="005E3078" w:rsidP="002318A3">
            <w:pPr>
              <w:spacing w:after="0"/>
              <w:jc w:val="both"/>
              <w:rPr>
                <w:rFonts w:cs="Arial"/>
              </w:rPr>
            </w:pPr>
            <w:r>
              <w:rPr>
                <w:rFonts w:cs="Arial"/>
              </w:rPr>
              <w:t>There ar</w:t>
            </w:r>
            <w:r w:rsidR="00AA7444">
              <w:rPr>
                <w:rFonts w:cs="Arial"/>
              </w:rPr>
              <w:t xml:space="preserve">e two objectives </w:t>
            </w:r>
            <w:r w:rsidR="00986CD6">
              <w:rPr>
                <w:rFonts w:cs="Arial"/>
              </w:rPr>
              <w:t>sought in relation to the issues discussed</w:t>
            </w:r>
            <w:r w:rsidR="00AA7444">
              <w:rPr>
                <w:rFonts w:cs="Arial"/>
              </w:rPr>
              <w:t>:</w:t>
            </w:r>
          </w:p>
          <w:p w14:paraId="63FBB051" w14:textId="77777777" w:rsidR="00E058AB" w:rsidRDefault="00E058AB" w:rsidP="002318A3">
            <w:pPr>
              <w:spacing w:after="0"/>
              <w:jc w:val="both"/>
              <w:rPr>
                <w:rFonts w:cs="Arial"/>
              </w:rPr>
            </w:pPr>
          </w:p>
          <w:p w14:paraId="497BBE5C" w14:textId="751E4996" w:rsidR="00627EF2" w:rsidRDefault="00627EF2" w:rsidP="00627EF2">
            <w:pPr>
              <w:pStyle w:val="ListParagraph"/>
              <w:numPr>
                <w:ilvl w:val="0"/>
                <w:numId w:val="13"/>
              </w:numPr>
              <w:spacing w:after="0"/>
              <w:jc w:val="both"/>
              <w:rPr>
                <w:rFonts w:cs="Arial"/>
              </w:rPr>
            </w:pPr>
            <w:r>
              <w:rPr>
                <w:rFonts w:cs="Arial"/>
              </w:rPr>
              <w:t xml:space="preserve">A </w:t>
            </w:r>
            <w:r w:rsidRPr="008E7CEF">
              <w:rPr>
                <w:rFonts w:cs="Arial"/>
                <w:b/>
                <w:bCs/>
              </w:rPr>
              <w:t>revenue objective</w:t>
            </w:r>
            <w:r>
              <w:rPr>
                <w:rFonts w:cs="Arial"/>
              </w:rPr>
              <w:t xml:space="preserve">: The Government is raising extra revenue to reduce the fiscal impact of higher operating allowances proposed in its fiscal strategy. </w:t>
            </w:r>
          </w:p>
          <w:p w14:paraId="78E32A8E" w14:textId="7ACC3567" w:rsidR="00AA7444" w:rsidRDefault="008E7CEF" w:rsidP="002455C0">
            <w:pPr>
              <w:pStyle w:val="ListParagraph"/>
              <w:numPr>
                <w:ilvl w:val="0"/>
                <w:numId w:val="13"/>
              </w:numPr>
              <w:spacing w:after="0"/>
              <w:jc w:val="both"/>
              <w:rPr>
                <w:rFonts w:cs="Arial"/>
              </w:rPr>
            </w:pPr>
            <w:r>
              <w:rPr>
                <w:rFonts w:cs="Arial"/>
              </w:rPr>
              <w:t xml:space="preserve">A </w:t>
            </w:r>
            <w:r w:rsidRPr="008E7CEF">
              <w:rPr>
                <w:rFonts w:cs="Arial"/>
                <w:b/>
                <w:bCs/>
              </w:rPr>
              <w:t>distributional objective</w:t>
            </w:r>
            <w:r w:rsidR="00986CD6">
              <w:rPr>
                <w:rFonts w:cs="Arial"/>
              </w:rPr>
              <w:t xml:space="preserve">: </w:t>
            </w:r>
            <w:r w:rsidR="006B03F7">
              <w:rPr>
                <w:rFonts w:cs="Arial"/>
              </w:rPr>
              <w:t xml:space="preserve">The Government </w:t>
            </w:r>
            <w:r w:rsidR="00627EF2">
              <w:rPr>
                <w:rFonts w:cs="Arial"/>
              </w:rPr>
              <w:t>is seeking to raise this additional revenue in a way which has as little as possible impact on low- and middle</w:t>
            </w:r>
            <w:r w:rsidR="00EE6A5E">
              <w:rPr>
                <w:rFonts w:cs="Arial"/>
              </w:rPr>
              <w:t>-</w:t>
            </w:r>
            <w:r w:rsidR="00627EF2">
              <w:rPr>
                <w:rFonts w:cs="Arial"/>
              </w:rPr>
              <w:t xml:space="preserve">income earners and </w:t>
            </w:r>
            <w:r w:rsidR="001A1C9D">
              <w:rPr>
                <w:rFonts w:cs="Arial"/>
              </w:rPr>
              <w:t>is progressive</w:t>
            </w:r>
            <w:r w:rsidR="00627EF2">
              <w:rPr>
                <w:rFonts w:cs="Arial"/>
              </w:rPr>
              <w:t>.</w:t>
            </w:r>
          </w:p>
          <w:p w14:paraId="53647C89" w14:textId="77777777" w:rsidR="002E3CBE" w:rsidRPr="002E3CBE" w:rsidRDefault="002E3CBE" w:rsidP="002E3CBE">
            <w:pPr>
              <w:spacing w:after="0"/>
              <w:jc w:val="both"/>
              <w:rPr>
                <w:rFonts w:cs="Arial"/>
              </w:rPr>
            </w:pPr>
          </w:p>
          <w:p w14:paraId="618201C3" w14:textId="0334ADFC" w:rsidR="00D236AF" w:rsidRPr="005548D9" w:rsidRDefault="002E3CBE" w:rsidP="005548D9">
            <w:pPr>
              <w:spacing w:after="0"/>
              <w:jc w:val="both"/>
              <w:rPr>
                <w:rFonts w:cs="Arial"/>
              </w:rPr>
            </w:pPr>
            <w:r>
              <w:rPr>
                <w:rFonts w:cs="Arial"/>
              </w:rPr>
              <w:t>T</w:t>
            </w:r>
            <w:r w:rsidR="003B367F">
              <w:rPr>
                <w:rFonts w:cs="Arial"/>
              </w:rPr>
              <w:t xml:space="preserve">he analysis will focus on how well each proposed option meets these </w:t>
            </w:r>
            <w:r w:rsidR="00627EF2" w:rsidRPr="00586AE8">
              <w:rPr>
                <w:rFonts w:cs="Arial"/>
                <w:b/>
                <w:bCs/>
              </w:rPr>
              <w:t>revenue</w:t>
            </w:r>
            <w:r w:rsidR="00627EF2">
              <w:rPr>
                <w:rFonts w:cs="Arial"/>
              </w:rPr>
              <w:t xml:space="preserve"> and </w:t>
            </w:r>
            <w:r w:rsidR="003B367F" w:rsidRPr="00586AE8">
              <w:rPr>
                <w:rFonts w:cs="Arial"/>
                <w:b/>
                <w:bCs/>
              </w:rPr>
              <w:t>distributional</w:t>
            </w:r>
            <w:r w:rsidR="003B367F">
              <w:rPr>
                <w:rFonts w:cs="Arial"/>
              </w:rPr>
              <w:t xml:space="preserve"> objectives</w:t>
            </w:r>
            <w:r w:rsidR="000C2565">
              <w:rPr>
                <w:rFonts w:cs="Arial"/>
              </w:rPr>
              <w:t xml:space="preserve"> by applying traditional tax policy criteria which provide an analytical framework to assess strengths and weaknesses of individual options</w:t>
            </w:r>
            <w:r w:rsidR="005D4E9E">
              <w:rPr>
                <w:rFonts w:cs="Arial"/>
              </w:rPr>
              <w:t>.</w:t>
            </w:r>
          </w:p>
        </w:tc>
      </w:tr>
    </w:tbl>
    <w:p w14:paraId="77CF83E0" w14:textId="1FBA3CE0" w:rsidR="0062657E" w:rsidRPr="00635F6F" w:rsidRDefault="00F05AD9" w:rsidP="00635F6F">
      <w:pPr>
        <w:spacing w:line="276" w:lineRule="auto"/>
        <w:rPr>
          <w:rFonts w:cs="Arial"/>
          <w:b/>
          <w:color w:val="0082AB"/>
          <w:spacing w:val="20"/>
          <w:w w:val="90"/>
          <w:sz w:val="32"/>
          <w:szCs w:val="24"/>
        </w:rPr>
      </w:pPr>
      <w:r w:rsidRPr="00635F6F">
        <w:rPr>
          <w:rFonts w:cs="Arial"/>
          <w:b/>
          <w:color w:val="0082AB"/>
          <w:spacing w:val="20"/>
          <w:w w:val="90"/>
          <w:sz w:val="32"/>
          <w:szCs w:val="24"/>
        </w:rPr>
        <w:t>Section 3: Option identification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8"/>
      </w:tblGrid>
      <w:tr w:rsidR="009C4129" w:rsidRPr="009C4129" w14:paraId="63F40D12" w14:textId="77777777" w:rsidTr="00346B30">
        <w:trPr>
          <w:trHeight w:val="77"/>
        </w:trPr>
        <w:tc>
          <w:tcPr>
            <w:tcW w:w="5000" w:type="pct"/>
            <w:shd w:val="clear" w:color="auto" w:fill="99CDDD"/>
            <w:hideMark/>
          </w:tcPr>
          <w:p w14:paraId="6F0312C5" w14:textId="21FE2159" w:rsidR="0062657E" w:rsidRPr="009C4129" w:rsidRDefault="00F05AD9" w:rsidP="006356D0">
            <w:pPr>
              <w:keepNext/>
              <w:spacing w:before="60" w:after="60" w:line="240" w:lineRule="auto"/>
              <w:rPr>
                <w:rFonts w:cs="Arial"/>
                <w:b/>
                <w:szCs w:val="22"/>
                <w:lang w:eastAsia="en-AU"/>
              </w:rPr>
            </w:pPr>
            <w:r>
              <w:rPr>
                <w:rFonts w:cs="Arial"/>
                <w:b/>
                <w:szCs w:val="22"/>
                <w:lang w:eastAsia="en-AU"/>
              </w:rPr>
              <w:t xml:space="preserve">3.1   </w:t>
            </w:r>
            <w:r w:rsidR="0062657E" w:rsidRPr="009C4129">
              <w:rPr>
                <w:rFonts w:cs="Arial"/>
                <w:b/>
                <w:szCs w:val="22"/>
                <w:lang w:eastAsia="en-AU"/>
              </w:rPr>
              <w:t>What options are available to address the problem?</w:t>
            </w:r>
          </w:p>
        </w:tc>
      </w:tr>
      <w:tr w:rsidR="009C4129" w:rsidRPr="009C4129" w14:paraId="5152248D" w14:textId="77777777" w:rsidTr="00EB1E31">
        <w:trPr>
          <w:trHeight w:val="331"/>
        </w:trPr>
        <w:tc>
          <w:tcPr>
            <w:tcW w:w="5000" w:type="pct"/>
            <w:shd w:val="clear" w:color="auto" w:fill="FFFFFF"/>
          </w:tcPr>
          <w:p w14:paraId="2188FA28" w14:textId="77777777" w:rsidR="0030521A" w:rsidRPr="0028286A" w:rsidRDefault="0030521A" w:rsidP="0030521A">
            <w:pPr>
              <w:spacing w:after="0"/>
              <w:rPr>
                <w:b/>
                <w:bCs/>
                <w:lang w:eastAsia="en-AU"/>
              </w:rPr>
            </w:pPr>
          </w:p>
          <w:p w14:paraId="787C0929" w14:textId="1A8EAC4F" w:rsidR="009B05EA" w:rsidRPr="0028286A" w:rsidRDefault="00D533B6" w:rsidP="0026383D">
            <w:pPr>
              <w:spacing w:after="0" w:line="276" w:lineRule="auto"/>
              <w:jc w:val="both"/>
              <w:rPr>
                <w:lang w:eastAsia="en-AU"/>
              </w:rPr>
            </w:pPr>
            <w:r>
              <w:rPr>
                <w:lang w:eastAsia="en-AU"/>
              </w:rPr>
              <w:t>This</w:t>
            </w:r>
            <w:r w:rsidR="0011314D" w:rsidRPr="0028286A">
              <w:rPr>
                <w:lang w:eastAsia="en-AU"/>
              </w:rPr>
              <w:t xml:space="preserve"> options analysis looks at </w:t>
            </w:r>
            <w:r>
              <w:rPr>
                <w:lang w:eastAsia="en-AU"/>
              </w:rPr>
              <w:t xml:space="preserve">several </w:t>
            </w:r>
            <w:r w:rsidR="00F15EA6" w:rsidRPr="0028286A">
              <w:rPr>
                <w:lang w:eastAsia="en-AU"/>
              </w:rPr>
              <w:t xml:space="preserve">packages of key design options for introducing a new </w:t>
            </w:r>
            <w:r w:rsidR="00BB1969" w:rsidRPr="0028286A">
              <w:rPr>
                <w:lang w:eastAsia="en-AU"/>
              </w:rPr>
              <w:t>top personal</w:t>
            </w:r>
            <w:r>
              <w:rPr>
                <w:lang w:eastAsia="en-AU"/>
              </w:rPr>
              <w:t xml:space="preserve"> income</w:t>
            </w:r>
            <w:r w:rsidR="00BB1969" w:rsidRPr="0028286A">
              <w:rPr>
                <w:lang w:eastAsia="en-AU"/>
              </w:rPr>
              <w:t xml:space="preserve"> tax rate of 39</w:t>
            </w:r>
            <w:r w:rsidR="009774AD">
              <w:rPr>
                <w:lang w:eastAsia="en-AU"/>
              </w:rPr>
              <w:t xml:space="preserve"> percent</w:t>
            </w:r>
            <w:r w:rsidR="00BB1969" w:rsidRPr="0028286A">
              <w:rPr>
                <w:lang w:eastAsia="en-AU"/>
              </w:rPr>
              <w:t xml:space="preserve"> </w:t>
            </w:r>
            <w:r>
              <w:rPr>
                <w:lang w:eastAsia="en-AU"/>
              </w:rPr>
              <w:t>for income</w:t>
            </w:r>
            <w:r w:rsidR="00BB1969" w:rsidRPr="0028286A">
              <w:rPr>
                <w:lang w:eastAsia="en-AU"/>
              </w:rPr>
              <w:t xml:space="preserve"> over $180,000</w:t>
            </w:r>
            <w:r w:rsidR="00EC6507" w:rsidRPr="0028286A">
              <w:rPr>
                <w:lang w:eastAsia="en-AU"/>
              </w:rPr>
              <w:t>.</w:t>
            </w:r>
            <w:r w:rsidR="0026383D" w:rsidRPr="0028286A">
              <w:rPr>
                <w:lang w:eastAsia="en-AU"/>
              </w:rPr>
              <w:t xml:space="preserve"> </w:t>
            </w:r>
          </w:p>
          <w:p w14:paraId="2BDB8F36" w14:textId="77777777" w:rsidR="009B05EA" w:rsidRPr="0028286A" w:rsidRDefault="009B05EA" w:rsidP="0026383D">
            <w:pPr>
              <w:spacing w:after="0" w:line="276" w:lineRule="auto"/>
              <w:jc w:val="both"/>
              <w:rPr>
                <w:lang w:eastAsia="en-AU"/>
              </w:rPr>
            </w:pPr>
          </w:p>
          <w:p w14:paraId="0FB02EDF" w14:textId="49786C32" w:rsidR="0026383D" w:rsidRPr="0028286A" w:rsidRDefault="0026383D" w:rsidP="0026383D">
            <w:pPr>
              <w:spacing w:after="0" w:line="276" w:lineRule="auto"/>
              <w:jc w:val="both"/>
              <w:rPr>
                <w:lang w:eastAsia="en-AU"/>
              </w:rPr>
            </w:pPr>
            <w:r w:rsidRPr="0028286A">
              <w:rPr>
                <w:lang w:eastAsia="en-AU"/>
              </w:rPr>
              <w:t>The options identified here differ in two ways – those are whether or not they incorporate:</w:t>
            </w:r>
          </w:p>
          <w:p w14:paraId="7502E8A4" w14:textId="77777777" w:rsidR="0026383D" w:rsidRPr="0028286A" w:rsidRDefault="0026383D" w:rsidP="0026383D">
            <w:pPr>
              <w:spacing w:after="0" w:line="276" w:lineRule="auto"/>
              <w:jc w:val="both"/>
              <w:rPr>
                <w:lang w:eastAsia="en-AU"/>
              </w:rPr>
            </w:pPr>
          </w:p>
          <w:p w14:paraId="262DF0AF" w14:textId="6A6FEEB3" w:rsidR="0026383D" w:rsidRPr="0028286A" w:rsidRDefault="0026383D" w:rsidP="00E34138">
            <w:pPr>
              <w:pStyle w:val="ListParagraph"/>
              <w:numPr>
                <w:ilvl w:val="0"/>
                <w:numId w:val="15"/>
              </w:numPr>
              <w:spacing w:after="0" w:line="240" w:lineRule="auto"/>
              <w:ind w:left="714" w:hanging="357"/>
              <w:rPr>
                <w:rFonts w:cs="Arial"/>
                <w:szCs w:val="22"/>
                <w:lang w:eastAsia="en-AU"/>
              </w:rPr>
            </w:pPr>
            <w:r w:rsidRPr="0028286A">
              <w:rPr>
                <w:b/>
                <w:bCs/>
                <w:lang w:eastAsia="en-AU"/>
              </w:rPr>
              <w:t>Alignment</w:t>
            </w:r>
            <w:r w:rsidRPr="0028286A">
              <w:rPr>
                <w:lang w:eastAsia="en-AU"/>
              </w:rPr>
              <w:t xml:space="preserve"> of the top personal income tax rate</w:t>
            </w:r>
            <w:r w:rsidR="00F259DE">
              <w:rPr>
                <w:lang w:eastAsia="en-AU"/>
              </w:rPr>
              <w:t xml:space="preserve"> and </w:t>
            </w:r>
            <w:r w:rsidRPr="0028286A">
              <w:rPr>
                <w:lang w:eastAsia="en-AU"/>
              </w:rPr>
              <w:t>the trustee income tax rate.</w:t>
            </w:r>
            <w:r w:rsidRPr="0028286A">
              <w:rPr>
                <w:rStyle w:val="FootnoteReference"/>
                <w:lang w:eastAsia="en-AU"/>
              </w:rPr>
              <w:footnoteReference w:id="17"/>
            </w:r>
            <w:r w:rsidR="00CD1854">
              <w:rPr>
                <w:lang w:eastAsia="en-AU"/>
              </w:rPr>
              <w:t xml:space="preserve"> </w:t>
            </w:r>
            <w:r w:rsidR="00A37D57">
              <w:rPr>
                <w:lang w:eastAsia="en-AU"/>
              </w:rPr>
              <w:br/>
            </w:r>
            <w:r w:rsidR="00FB76D6" w:rsidRPr="00E34138">
              <w:rPr>
                <w:shd w:val="clear" w:color="auto" w:fill="BFBFBF" w:themeFill="background1" w:themeFillShade="BF"/>
                <w:lang w:eastAsia="en-AU"/>
              </w:rPr>
              <w:t>s 9(2)(f)(iv)</w:t>
            </w:r>
            <w:r w:rsidR="00FB76D6" w:rsidRPr="00E34138">
              <w:rPr>
                <w:color w:val="BFBFBF" w:themeColor="background1" w:themeShade="BF"/>
                <w:shd w:val="clear" w:color="auto" w:fill="BFBFBF" w:themeFill="background1" w:themeFillShade="BF"/>
                <w:lang w:eastAsia="en-AU"/>
              </w:rPr>
              <w:t>…………………………………………………………………………………</w:t>
            </w:r>
            <w:r w:rsidR="00A37D57" w:rsidRPr="00E34138">
              <w:rPr>
                <w:color w:val="BFBFBF" w:themeColor="background1" w:themeShade="BF"/>
                <w:shd w:val="clear" w:color="auto" w:fill="BFBFBF" w:themeFill="background1" w:themeFillShade="BF"/>
                <w:lang w:eastAsia="en-AU"/>
              </w:rPr>
              <w:br/>
            </w:r>
            <w:r w:rsidR="00FB76D6" w:rsidRPr="00E34138">
              <w:rPr>
                <w:color w:val="BFBFBF" w:themeColor="background1" w:themeShade="BF"/>
                <w:shd w:val="clear" w:color="auto" w:fill="BFBFBF" w:themeFill="background1" w:themeFillShade="BF"/>
                <w:lang w:eastAsia="en-AU"/>
              </w:rPr>
              <w:t>…………………………………………………………………………</w:t>
            </w:r>
            <w:r w:rsidR="00533CC8">
              <w:rPr>
                <w:color w:val="BFBFBF" w:themeColor="background1" w:themeShade="BF"/>
                <w:shd w:val="clear" w:color="auto" w:fill="BFBFBF" w:themeFill="background1" w:themeFillShade="BF"/>
                <w:lang w:eastAsia="en-AU"/>
              </w:rPr>
              <w:t>…</w:t>
            </w:r>
            <w:r w:rsidR="00FB76D6" w:rsidRPr="00E34138">
              <w:rPr>
                <w:color w:val="BFBFBF" w:themeColor="background1" w:themeShade="BF"/>
                <w:shd w:val="clear" w:color="auto" w:fill="BFBFBF" w:themeFill="background1" w:themeFillShade="BF"/>
                <w:lang w:eastAsia="en-AU"/>
              </w:rPr>
              <w:t>……</w:t>
            </w:r>
            <w:r w:rsidR="00FB76D6" w:rsidRPr="00E34138">
              <w:rPr>
                <w:color w:val="BFBFBF" w:themeColor="background1" w:themeShade="BF"/>
                <w:shd w:val="clear" w:color="auto" w:fill="BFBFBF" w:themeFill="background1" w:themeFillShade="BF"/>
                <w:lang w:eastAsia="en-AU"/>
              </w:rPr>
              <w:t>……………</w:t>
            </w:r>
            <w:r w:rsidR="00A37D57" w:rsidRPr="00E34138">
              <w:rPr>
                <w:color w:val="BFBFBF" w:themeColor="background1" w:themeShade="BF"/>
                <w:shd w:val="clear" w:color="auto" w:fill="BFBFBF" w:themeFill="background1" w:themeFillShade="BF"/>
                <w:lang w:eastAsia="en-AU"/>
              </w:rPr>
              <w:br/>
            </w:r>
            <w:r w:rsidR="00E34138" w:rsidRPr="00E34138">
              <w:rPr>
                <w:color w:val="BFBFBF" w:themeColor="background1" w:themeShade="BF"/>
                <w:shd w:val="clear" w:color="auto" w:fill="BFBFBF" w:themeFill="background1" w:themeFillShade="BF"/>
                <w:lang w:eastAsia="en-AU"/>
              </w:rPr>
              <w:t>………………………………………………………………………………………………</w:t>
            </w:r>
            <w:r w:rsidR="00A37D57" w:rsidRPr="00E34138">
              <w:rPr>
                <w:color w:val="BFBFBF" w:themeColor="background1" w:themeShade="BF"/>
                <w:shd w:val="clear" w:color="auto" w:fill="BFBFBF" w:themeFill="background1" w:themeFillShade="BF"/>
                <w:lang w:eastAsia="en-AU"/>
              </w:rPr>
              <w:br/>
            </w:r>
            <w:r w:rsidR="00E34138" w:rsidRPr="00E34138">
              <w:rPr>
                <w:color w:val="BFBFBF" w:themeColor="background1" w:themeShade="BF"/>
                <w:shd w:val="clear" w:color="auto" w:fill="BFBFBF" w:themeFill="background1" w:themeFillShade="BF"/>
                <w:lang w:eastAsia="en-AU"/>
              </w:rPr>
              <w:t>………………………………………………………………………………………………</w:t>
            </w:r>
          </w:p>
          <w:p w14:paraId="4B773075" w14:textId="3D13A723" w:rsidR="0026383D" w:rsidRPr="0028286A" w:rsidRDefault="0026383D" w:rsidP="002455C0">
            <w:pPr>
              <w:pStyle w:val="ListParagraph"/>
              <w:numPr>
                <w:ilvl w:val="0"/>
                <w:numId w:val="14"/>
              </w:numPr>
              <w:spacing w:after="0"/>
              <w:rPr>
                <w:b/>
                <w:bCs/>
                <w:lang w:eastAsia="en-AU"/>
              </w:rPr>
            </w:pPr>
            <w:r w:rsidRPr="0028286A">
              <w:rPr>
                <w:b/>
                <w:bCs/>
                <w:lang w:eastAsia="en-AU"/>
              </w:rPr>
              <w:t xml:space="preserve">Integrity measures </w:t>
            </w:r>
            <w:r w:rsidRPr="0028286A">
              <w:rPr>
                <w:lang w:eastAsia="en-AU"/>
              </w:rPr>
              <w:t xml:space="preserve">designed to </w:t>
            </w:r>
            <w:r w:rsidR="002B131D">
              <w:rPr>
                <w:lang w:eastAsia="en-AU"/>
              </w:rPr>
              <w:t>minimise</w:t>
            </w:r>
            <w:r w:rsidRPr="0028286A">
              <w:rPr>
                <w:lang w:eastAsia="en-AU"/>
              </w:rPr>
              <w:t xml:space="preserve"> opportunities for structuring activity with the purpose of avoiding the new personal rate. </w:t>
            </w:r>
          </w:p>
          <w:p w14:paraId="51690A4D" w14:textId="2111C450" w:rsidR="0030521A" w:rsidRPr="0028286A" w:rsidRDefault="0030521A" w:rsidP="0030521A">
            <w:pPr>
              <w:spacing w:after="0"/>
              <w:rPr>
                <w:lang w:eastAsia="en-AU"/>
              </w:rPr>
            </w:pPr>
          </w:p>
          <w:p w14:paraId="41A505A8" w14:textId="13D06FA8" w:rsidR="009B05EA" w:rsidRPr="0028286A" w:rsidRDefault="009B05EA" w:rsidP="0030521A">
            <w:pPr>
              <w:spacing w:after="0"/>
              <w:rPr>
                <w:lang w:eastAsia="en-AU"/>
              </w:rPr>
            </w:pPr>
            <w:r w:rsidRPr="0028286A">
              <w:rPr>
                <w:lang w:eastAsia="en-AU"/>
              </w:rPr>
              <w:t xml:space="preserve">The </w:t>
            </w:r>
            <w:r w:rsidR="003D12A4">
              <w:rPr>
                <w:lang w:eastAsia="en-AU"/>
              </w:rPr>
              <w:t xml:space="preserve">analysis investigates each of the following </w:t>
            </w:r>
            <w:r w:rsidRPr="0028286A">
              <w:rPr>
                <w:lang w:eastAsia="en-AU"/>
              </w:rPr>
              <w:t>options</w:t>
            </w:r>
            <w:r w:rsidR="0018474F" w:rsidRPr="0028286A">
              <w:rPr>
                <w:lang w:eastAsia="en-AU"/>
              </w:rPr>
              <w:t>:</w:t>
            </w:r>
          </w:p>
          <w:p w14:paraId="47DD2254" w14:textId="77777777" w:rsidR="009B05EA" w:rsidRPr="0028286A" w:rsidRDefault="009B05EA" w:rsidP="0030521A">
            <w:pPr>
              <w:spacing w:after="0"/>
              <w:rPr>
                <w:lang w:eastAsia="en-AU"/>
              </w:rPr>
            </w:pPr>
          </w:p>
          <w:p w14:paraId="6E8D7571" w14:textId="02C41C7A" w:rsidR="001F080E" w:rsidRPr="0028286A" w:rsidRDefault="000066F8" w:rsidP="002455C0">
            <w:pPr>
              <w:pStyle w:val="ListParagraph"/>
              <w:numPr>
                <w:ilvl w:val="0"/>
                <w:numId w:val="10"/>
              </w:numPr>
              <w:spacing w:after="0"/>
            </w:pPr>
            <w:r w:rsidRPr="0028286A">
              <w:rPr>
                <w:b/>
                <w:bCs/>
              </w:rPr>
              <w:t>Option 1</w:t>
            </w:r>
            <w:r w:rsidR="009B05EA" w:rsidRPr="0028286A">
              <w:t>:</w:t>
            </w:r>
            <w:r w:rsidRPr="0028286A">
              <w:t xml:space="preserve"> Status quo</w:t>
            </w:r>
            <w:r w:rsidR="00186F8A" w:rsidRPr="0028286A">
              <w:t>.</w:t>
            </w:r>
          </w:p>
          <w:p w14:paraId="6D471D45" w14:textId="3F327112" w:rsidR="001F080E" w:rsidRPr="0028286A" w:rsidRDefault="000066F8" w:rsidP="002455C0">
            <w:pPr>
              <w:pStyle w:val="ListParagraph"/>
              <w:numPr>
                <w:ilvl w:val="0"/>
                <w:numId w:val="10"/>
              </w:numPr>
              <w:spacing w:after="0"/>
            </w:pPr>
            <w:r w:rsidRPr="0028286A">
              <w:rPr>
                <w:b/>
                <w:bCs/>
              </w:rPr>
              <w:t>Option 2</w:t>
            </w:r>
            <w:r w:rsidR="009B05EA" w:rsidRPr="0028286A">
              <w:t>:</w:t>
            </w:r>
            <w:r w:rsidRPr="0028286A">
              <w:t xml:space="preserve"> </w:t>
            </w:r>
            <w:r w:rsidR="00EC6507" w:rsidRPr="0028286A">
              <w:t xml:space="preserve">Introducing a </w:t>
            </w:r>
            <w:r w:rsidR="00FB482C" w:rsidRPr="0028286A">
              <w:t>new top personal</w:t>
            </w:r>
            <w:r w:rsidR="001F080E" w:rsidRPr="0028286A">
              <w:t xml:space="preserve"> income</w:t>
            </w:r>
            <w:r w:rsidR="00FB482C" w:rsidRPr="0028286A">
              <w:t xml:space="preserve"> tax rate of 39</w:t>
            </w:r>
            <w:r w:rsidR="001F080E" w:rsidRPr="0028286A">
              <w:t xml:space="preserve"> percent</w:t>
            </w:r>
            <w:r w:rsidR="00FB482C" w:rsidRPr="0028286A">
              <w:t xml:space="preserve"> for income over $180,000</w:t>
            </w:r>
            <w:r w:rsidR="0031562B" w:rsidRPr="0028286A">
              <w:t xml:space="preserve"> (</w:t>
            </w:r>
            <w:r w:rsidR="0031562B" w:rsidRPr="0028286A">
              <w:rPr>
                <w:b/>
                <w:bCs/>
              </w:rPr>
              <w:t>no alignment</w:t>
            </w:r>
            <w:r w:rsidR="0031562B" w:rsidRPr="0028286A">
              <w:t xml:space="preserve"> and </w:t>
            </w:r>
            <w:r w:rsidR="0031562B" w:rsidRPr="0028286A">
              <w:rPr>
                <w:b/>
                <w:bCs/>
              </w:rPr>
              <w:t>no integrity measures</w:t>
            </w:r>
            <w:r w:rsidR="0031562B" w:rsidRPr="0028286A">
              <w:t>)</w:t>
            </w:r>
            <w:r w:rsidR="00FB482C" w:rsidRPr="0028286A">
              <w:t>.</w:t>
            </w:r>
          </w:p>
          <w:p w14:paraId="57284681" w14:textId="0A92A927" w:rsidR="001F080E" w:rsidRPr="0028286A" w:rsidRDefault="000066F8" w:rsidP="002455C0">
            <w:pPr>
              <w:pStyle w:val="ListParagraph"/>
              <w:numPr>
                <w:ilvl w:val="0"/>
                <w:numId w:val="10"/>
              </w:numPr>
              <w:spacing w:after="0"/>
            </w:pPr>
            <w:r w:rsidRPr="0028286A">
              <w:rPr>
                <w:b/>
                <w:bCs/>
              </w:rPr>
              <w:t>Option 3</w:t>
            </w:r>
            <w:r w:rsidR="009B05EA" w:rsidRPr="0028286A">
              <w:t xml:space="preserve">: </w:t>
            </w:r>
            <w:r w:rsidR="009B05EA" w:rsidRPr="0028286A">
              <w:rPr>
                <w:b/>
                <w:bCs/>
              </w:rPr>
              <w:t>O</w:t>
            </w:r>
            <w:r w:rsidR="00FB482C" w:rsidRPr="0028286A">
              <w:rPr>
                <w:b/>
                <w:bCs/>
              </w:rPr>
              <w:t xml:space="preserve">ption </w:t>
            </w:r>
            <w:r w:rsidR="009B05EA" w:rsidRPr="0028286A">
              <w:rPr>
                <w:b/>
                <w:bCs/>
              </w:rPr>
              <w:t>2</w:t>
            </w:r>
            <w:r w:rsidR="00FB482C" w:rsidRPr="0028286A">
              <w:t xml:space="preserve"> </w:t>
            </w:r>
            <w:r w:rsidR="009B05EA" w:rsidRPr="0028286A">
              <w:t>plus</w:t>
            </w:r>
            <w:r w:rsidR="00FB482C" w:rsidRPr="0028286A">
              <w:t xml:space="preserve"> increasing the </w:t>
            </w:r>
            <w:r w:rsidR="009B05EA" w:rsidRPr="0028286A">
              <w:t xml:space="preserve">trustee income tax rate </w:t>
            </w:r>
            <w:r w:rsidR="00FB482C" w:rsidRPr="0028286A">
              <w:t>to 39</w:t>
            </w:r>
            <w:r w:rsidR="00E719E8" w:rsidRPr="0028286A">
              <w:t xml:space="preserve"> percent</w:t>
            </w:r>
            <w:r w:rsidR="0031562B" w:rsidRPr="0028286A">
              <w:t xml:space="preserve"> (</w:t>
            </w:r>
            <w:r w:rsidR="00186F8A" w:rsidRPr="0028286A">
              <w:rPr>
                <w:b/>
                <w:bCs/>
              </w:rPr>
              <w:t>alignment</w:t>
            </w:r>
            <w:r w:rsidR="00525237">
              <w:rPr>
                <w:b/>
                <w:bCs/>
              </w:rPr>
              <w:t xml:space="preserve"> </w:t>
            </w:r>
            <w:r w:rsidR="003A6E25">
              <w:rPr>
                <w:b/>
                <w:bCs/>
              </w:rPr>
              <w:t>with</w:t>
            </w:r>
            <w:r w:rsidR="00525237">
              <w:rPr>
                <w:b/>
                <w:bCs/>
              </w:rPr>
              <w:t xml:space="preserve"> trustee rate</w:t>
            </w:r>
            <w:r w:rsidR="00186F8A" w:rsidRPr="0028286A">
              <w:t xml:space="preserve"> but </w:t>
            </w:r>
            <w:r w:rsidR="00186F8A" w:rsidRPr="0028286A">
              <w:rPr>
                <w:b/>
                <w:bCs/>
              </w:rPr>
              <w:t>no integrity measures</w:t>
            </w:r>
            <w:r w:rsidR="0031562B" w:rsidRPr="0028286A">
              <w:t>)</w:t>
            </w:r>
            <w:r w:rsidR="00FB482C" w:rsidRPr="0028286A">
              <w:t>.</w:t>
            </w:r>
          </w:p>
          <w:p w14:paraId="3263E40E" w14:textId="0AB4DAAF" w:rsidR="001F080E" w:rsidRPr="0028286A" w:rsidRDefault="000066F8" w:rsidP="002455C0">
            <w:pPr>
              <w:pStyle w:val="ListParagraph"/>
              <w:numPr>
                <w:ilvl w:val="0"/>
                <w:numId w:val="10"/>
              </w:numPr>
              <w:spacing w:after="0"/>
            </w:pPr>
            <w:r w:rsidRPr="0028286A">
              <w:rPr>
                <w:b/>
                <w:bCs/>
              </w:rPr>
              <w:t xml:space="preserve">Option </w:t>
            </w:r>
            <w:r w:rsidR="009B05EA" w:rsidRPr="0028286A">
              <w:rPr>
                <w:b/>
                <w:bCs/>
              </w:rPr>
              <w:t>4</w:t>
            </w:r>
            <w:r w:rsidR="009B05EA" w:rsidRPr="0028286A">
              <w:t xml:space="preserve">: </w:t>
            </w:r>
            <w:r w:rsidR="009B05EA" w:rsidRPr="0028286A">
              <w:rPr>
                <w:b/>
                <w:bCs/>
              </w:rPr>
              <w:t>O</w:t>
            </w:r>
            <w:r w:rsidR="001337F9" w:rsidRPr="0028286A">
              <w:rPr>
                <w:b/>
                <w:bCs/>
              </w:rPr>
              <w:t>ption</w:t>
            </w:r>
            <w:r w:rsidR="00FB482C" w:rsidRPr="0028286A">
              <w:rPr>
                <w:b/>
                <w:bCs/>
              </w:rPr>
              <w:t xml:space="preserve"> </w:t>
            </w:r>
            <w:r w:rsidR="009B05EA" w:rsidRPr="0028286A">
              <w:rPr>
                <w:b/>
                <w:bCs/>
              </w:rPr>
              <w:t>2</w:t>
            </w:r>
            <w:r w:rsidR="009B05EA" w:rsidRPr="0028286A">
              <w:t xml:space="preserve"> </w:t>
            </w:r>
            <w:r w:rsidR="008A6B89" w:rsidRPr="0028286A">
              <w:t xml:space="preserve">plus </w:t>
            </w:r>
            <w:r w:rsidR="000C2565">
              <w:t>investigati</w:t>
            </w:r>
            <w:r w:rsidR="002B2312">
              <w:t>ng</w:t>
            </w:r>
            <w:r w:rsidR="000C2565">
              <w:t xml:space="preserve"> </w:t>
            </w:r>
            <w:r w:rsidR="008A6B89" w:rsidRPr="0028286A">
              <w:t>integrity measures</w:t>
            </w:r>
            <w:r w:rsidR="00323853" w:rsidRPr="0028286A">
              <w:t xml:space="preserve"> to buttress the new higher personal income tax rate</w:t>
            </w:r>
            <w:r w:rsidR="00186F8A" w:rsidRPr="0028286A">
              <w:t xml:space="preserve"> (</w:t>
            </w:r>
            <w:r w:rsidR="00186F8A" w:rsidRPr="0028286A">
              <w:rPr>
                <w:b/>
                <w:bCs/>
              </w:rPr>
              <w:t>no alignment</w:t>
            </w:r>
            <w:r w:rsidR="00186F8A" w:rsidRPr="0028286A">
              <w:t xml:space="preserve"> but </w:t>
            </w:r>
            <w:r w:rsidR="00186F8A" w:rsidRPr="0028286A">
              <w:rPr>
                <w:b/>
                <w:bCs/>
              </w:rPr>
              <w:t>integrity measures</w:t>
            </w:r>
            <w:r w:rsidR="00186F8A" w:rsidRPr="0028286A">
              <w:t>).</w:t>
            </w:r>
          </w:p>
          <w:p w14:paraId="1DBF2B68" w14:textId="3B9A19AE" w:rsidR="0064127B" w:rsidRPr="0028286A" w:rsidRDefault="008A6B89" w:rsidP="002455C0">
            <w:pPr>
              <w:pStyle w:val="ListParagraph"/>
              <w:numPr>
                <w:ilvl w:val="0"/>
                <w:numId w:val="10"/>
              </w:numPr>
              <w:spacing w:after="0"/>
            </w:pPr>
            <w:r w:rsidRPr="0028286A">
              <w:rPr>
                <w:b/>
                <w:bCs/>
              </w:rPr>
              <w:t>Option 5</w:t>
            </w:r>
            <w:r w:rsidRPr="0028286A">
              <w:t>:</w:t>
            </w:r>
            <w:r w:rsidR="00FB482C" w:rsidRPr="0028286A">
              <w:t xml:space="preserve"> </w:t>
            </w:r>
            <w:r w:rsidRPr="0028286A">
              <w:rPr>
                <w:b/>
                <w:bCs/>
              </w:rPr>
              <w:t>Option 2</w:t>
            </w:r>
            <w:r w:rsidRPr="0028286A">
              <w:t xml:space="preserve"> plus</w:t>
            </w:r>
            <w:r w:rsidR="00323853" w:rsidRPr="0028286A">
              <w:t xml:space="preserve"> both increasing the trustee income</w:t>
            </w:r>
            <w:r w:rsidR="00B81C8A">
              <w:t xml:space="preserve"> tax</w:t>
            </w:r>
            <w:r w:rsidR="007A2AB1">
              <w:t xml:space="preserve"> rate</w:t>
            </w:r>
            <w:r w:rsidR="00323853" w:rsidRPr="0028286A">
              <w:t xml:space="preserve"> </w:t>
            </w:r>
            <w:r w:rsidR="0018474F" w:rsidRPr="0028286A">
              <w:t xml:space="preserve">to 39 percent </w:t>
            </w:r>
            <w:r w:rsidR="00065991">
              <w:t>and</w:t>
            </w:r>
            <w:r w:rsidRPr="0028286A">
              <w:t xml:space="preserve"> </w:t>
            </w:r>
            <w:r w:rsidR="00A3520F">
              <w:t>investigating</w:t>
            </w:r>
            <w:r w:rsidR="00A3520F" w:rsidRPr="0028286A">
              <w:t xml:space="preserve"> </w:t>
            </w:r>
            <w:r w:rsidR="001C5D2A" w:rsidRPr="0028286A">
              <w:t>integrity measures to buttress the</w:t>
            </w:r>
            <w:r w:rsidR="0018474F" w:rsidRPr="0028286A">
              <w:t xml:space="preserve"> new</w:t>
            </w:r>
            <w:r w:rsidR="001C5D2A" w:rsidRPr="0028286A">
              <w:t xml:space="preserve"> higher</w:t>
            </w:r>
            <w:r w:rsidR="00F9205D" w:rsidRPr="0028286A">
              <w:t xml:space="preserve"> personal</w:t>
            </w:r>
            <w:r w:rsidR="0018474F" w:rsidRPr="0028286A">
              <w:t xml:space="preserve"> income</w:t>
            </w:r>
            <w:r w:rsidR="00F9205D" w:rsidRPr="0028286A">
              <w:t xml:space="preserve"> tax rate</w:t>
            </w:r>
            <w:r w:rsidR="00186F8A" w:rsidRPr="0028286A">
              <w:t xml:space="preserve"> (</w:t>
            </w:r>
            <w:r w:rsidR="00186F8A" w:rsidRPr="0028286A">
              <w:rPr>
                <w:b/>
                <w:bCs/>
              </w:rPr>
              <w:t>alignment</w:t>
            </w:r>
            <w:r w:rsidR="00280F99">
              <w:rPr>
                <w:b/>
                <w:bCs/>
              </w:rPr>
              <w:t xml:space="preserve"> </w:t>
            </w:r>
            <w:r w:rsidR="00B77E0C">
              <w:rPr>
                <w:b/>
                <w:bCs/>
              </w:rPr>
              <w:t>with</w:t>
            </w:r>
            <w:r w:rsidR="00A3520F">
              <w:rPr>
                <w:b/>
                <w:bCs/>
              </w:rPr>
              <w:t xml:space="preserve"> </w:t>
            </w:r>
            <w:r w:rsidR="00774648">
              <w:rPr>
                <w:b/>
                <w:bCs/>
              </w:rPr>
              <w:t>trustee</w:t>
            </w:r>
            <w:r w:rsidR="00280F99">
              <w:rPr>
                <w:b/>
                <w:bCs/>
              </w:rPr>
              <w:t xml:space="preserve"> rate</w:t>
            </w:r>
            <w:r w:rsidR="0094149B">
              <w:rPr>
                <w:b/>
                <w:bCs/>
              </w:rPr>
              <w:t xml:space="preserve"> </w:t>
            </w:r>
            <w:r w:rsidR="00B81C8A">
              <w:t>and</w:t>
            </w:r>
            <w:r w:rsidR="00B81C8A">
              <w:rPr>
                <w:b/>
                <w:bCs/>
              </w:rPr>
              <w:t xml:space="preserve"> </w:t>
            </w:r>
            <w:r w:rsidR="00186F8A" w:rsidRPr="0028286A">
              <w:rPr>
                <w:b/>
                <w:bCs/>
              </w:rPr>
              <w:t>integrity measures</w:t>
            </w:r>
            <w:r w:rsidR="00186F8A" w:rsidRPr="0028286A">
              <w:t>)</w:t>
            </w:r>
            <w:r w:rsidR="0031562B" w:rsidRPr="0028286A">
              <w:t xml:space="preserve">. </w:t>
            </w:r>
          </w:p>
          <w:p w14:paraId="2B2CE27B" w14:textId="77777777" w:rsidR="0064127B" w:rsidRDefault="0064127B" w:rsidP="0064127B">
            <w:pPr>
              <w:spacing w:after="0"/>
              <w:ind w:left="360"/>
            </w:pPr>
          </w:p>
          <w:p w14:paraId="4D1FB8D6" w14:textId="77777777" w:rsidR="0064127B" w:rsidRPr="0028286A" w:rsidRDefault="0064127B" w:rsidP="0030521A">
            <w:pPr>
              <w:spacing w:after="0"/>
            </w:pPr>
          </w:p>
          <w:p w14:paraId="6776EC4C" w14:textId="50D34D2D" w:rsidR="00B53114" w:rsidRPr="0028286A" w:rsidRDefault="001F080E" w:rsidP="0030521A">
            <w:pPr>
              <w:spacing w:after="0"/>
            </w:pPr>
            <w:r w:rsidRPr="0028286A">
              <w:t>These options</w:t>
            </w:r>
            <w:r w:rsidR="00B53114" w:rsidRPr="0028286A">
              <w:t xml:space="preserve"> </w:t>
            </w:r>
            <w:r w:rsidRPr="0028286A">
              <w:t>a</w:t>
            </w:r>
            <w:r w:rsidR="00B53114" w:rsidRPr="0028286A">
              <w:t xml:space="preserve">re assessed against </w:t>
            </w:r>
            <w:r w:rsidR="00802E7A">
              <w:t>five</w:t>
            </w:r>
            <w:r w:rsidR="00B53114" w:rsidRPr="0028286A">
              <w:t xml:space="preserve"> criteria:</w:t>
            </w:r>
          </w:p>
          <w:p w14:paraId="61E754A7" w14:textId="77777777" w:rsidR="001F080E" w:rsidRPr="0028286A" w:rsidRDefault="001F080E" w:rsidP="0030521A">
            <w:pPr>
              <w:spacing w:after="0"/>
            </w:pPr>
          </w:p>
          <w:p w14:paraId="032918E0" w14:textId="5E7DDBA2" w:rsidR="00486024" w:rsidRPr="0028286A" w:rsidRDefault="00B53114" w:rsidP="002455C0">
            <w:pPr>
              <w:pStyle w:val="ListParagraph"/>
              <w:numPr>
                <w:ilvl w:val="0"/>
                <w:numId w:val="11"/>
              </w:numPr>
              <w:spacing w:after="0"/>
            </w:pPr>
            <w:r w:rsidRPr="0028286A">
              <w:rPr>
                <w:b/>
                <w:bCs/>
              </w:rPr>
              <w:t>Efficiency</w:t>
            </w:r>
            <w:r w:rsidRPr="0028286A">
              <w:t xml:space="preserve">: </w:t>
            </w:r>
            <w:r w:rsidR="009F7F40">
              <w:t>T</w:t>
            </w:r>
            <w:r w:rsidRPr="0028286A">
              <w:t xml:space="preserve">he options should </w:t>
            </w:r>
            <w:r w:rsidR="00056CE9">
              <w:t>minimise</w:t>
            </w:r>
            <w:r w:rsidRPr="0028286A">
              <w:t xml:space="preserve"> the </w:t>
            </w:r>
            <w:r w:rsidR="006C4CDA">
              <w:t xml:space="preserve">excess burden or </w:t>
            </w:r>
            <w:r w:rsidR="00CB42E3">
              <w:t xml:space="preserve">economic </w:t>
            </w:r>
            <w:r w:rsidR="006C4CDA">
              <w:t xml:space="preserve">efficiency cost of the tax system (i.e., the cost of raising tax </w:t>
            </w:r>
            <w:r w:rsidR="004D45C5">
              <w:t>from</w:t>
            </w:r>
            <w:r w:rsidR="006C4CDA">
              <w:t xml:space="preserve"> New Zealanders which is over and above the tax revenue </w:t>
            </w:r>
            <w:r w:rsidR="0065688F">
              <w:t>actually</w:t>
            </w:r>
            <w:r w:rsidR="006C4CDA">
              <w:t xml:space="preserve"> raised). </w:t>
            </w:r>
            <w:r w:rsidR="00B72FB2">
              <w:t xml:space="preserve">This ensures that </w:t>
            </w:r>
            <w:r w:rsidR="00254D13">
              <w:rPr>
                <w:rFonts w:cs="Arial"/>
                <w:szCs w:val="22"/>
                <w:lang w:eastAsia="en-AU"/>
              </w:rPr>
              <w:t xml:space="preserve">tax is doing as little as possible to distort labour supply, savings and investment, and entity </w:t>
            </w:r>
            <w:r w:rsidR="0094149B">
              <w:rPr>
                <w:rFonts w:cs="Arial"/>
                <w:szCs w:val="22"/>
                <w:lang w:eastAsia="en-AU"/>
              </w:rPr>
              <w:t>decisions.</w:t>
            </w:r>
          </w:p>
          <w:p w14:paraId="3129E975" w14:textId="3A850B31" w:rsidR="005D3C9F" w:rsidRPr="0028286A" w:rsidRDefault="005D3C9F" w:rsidP="002455C0">
            <w:pPr>
              <w:pStyle w:val="ListParagraph"/>
              <w:numPr>
                <w:ilvl w:val="0"/>
                <w:numId w:val="11"/>
              </w:numPr>
              <w:spacing w:after="0"/>
            </w:pPr>
            <w:r w:rsidRPr="0028286A">
              <w:rPr>
                <w:b/>
                <w:bCs/>
              </w:rPr>
              <w:t>Equity</w:t>
            </w:r>
            <w:r w:rsidRPr="0028286A">
              <w:t xml:space="preserve">: </w:t>
            </w:r>
            <w:r w:rsidR="009F7F40">
              <w:t>T</w:t>
            </w:r>
            <w:r w:rsidRPr="0028286A">
              <w:t>he options should</w:t>
            </w:r>
            <w:r w:rsidR="00DC37EE" w:rsidRPr="0028286A">
              <w:t xml:space="preserve"> ensure</w:t>
            </w:r>
            <w:r w:rsidRPr="0028286A">
              <w:t xml:space="preserve"> that taxpayers with similar levels of income pay similar levels of tax</w:t>
            </w:r>
            <w:r w:rsidR="00DC37EE" w:rsidRPr="0028286A">
              <w:t xml:space="preserve"> (horizontal equity) and that taxpayers </w:t>
            </w:r>
            <w:r w:rsidR="00627EF2">
              <w:t xml:space="preserve">on higher incomes pay higher levels of income tax in a way which reflects the Government’s views on </w:t>
            </w:r>
            <w:r w:rsidR="00FF3BD5">
              <w:t>how progressive the tax system should be</w:t>
            </w:r>
            <w:r w:rsidR="000524B9">
              <w:t xml:space="preserve"> </w:t>
            </w:r>
            <w:r w:rsidR="00DC37EE" w:rsidRPr="0028286A">
              <w:t>(vertical equity)</w:t>
            </w:r>
            <w:r w:rsidRPr="0028286A">
              <w:t>.</w:t>
            </w:r>
            <w:r w:rsidR="00254D13">
              <w:t xml:space="preserve"> </w:t>
            </w:r>
            <w:r w:rsidR="00254D13">
              <w:rPr>
                <w:rFonts w:cs="Arial"/>
                <w:szCs w:val="22"/>
                <w:lang w:eastAsia="en-AU"/>
              </w:rPr>
              <w:t xml:space="preserve">In </w:t>
            </w:r>
            <w:r w:rsidR="00623BCA">
              <w:rPr>
                <w:rFonts w:cs="Arial"/>
                <w:szCs w:val="22"/>
                <w:lang w:eastAsia="en-AU"/>
              </w:rPr>
              <w:t xml:space="preserve">Inland Revenue’s </w:t>
            </w:r>
            <w:r w:rsidR="00254D13">
              <w:rPr>
                <w:rFonts w:cs="Arial"/>
                <w:szCs w:val="22"/>
                <w:lang w:eastAsia="en-AU"/>
              </w:rPr>
              <w:t>assessment of the options</w:t>
            </w:r>
            <w:r w:rsidR="00623BCA">
              <w:rPr>
                <w:rFonts w:cs="Arial"/>
                <w:szCs w:val="22"/>
                <w:lang w:eastAsia="en-AU"/>
              </w:rPr>
              <w:t>,</w:t>
            </w:r>
            <w:r w:rsidR="00254D13">
              <w:rPr>
                <w:rFonts w:cs="Arial"/>
                <w:szCs w:val="22"/>
                <w:lang w:eastAsia="en-AU"/>
              </w:rPr>
              <w:t xml:space="preserve"> the phrase “improves vertical equity” </w:t>
            </w:r>
            <w:r w:rsidR="00623BCA">
              <w:rPr>
                <w:rFonts w:cs="Arial"/>
                <w:szCs w:val="22"/>
                <w:lang w:eastAsia="en-AU"/>
              </w:rPr>
              <w:t xml:space="preserve">is used if </w:t>
            </w:r>
            <w:r w:rsidR="00254D13">
              <w:rPr>
                <w:rFonts w:cs="Arial"/>
                <w:szCs w:val="22"/>
                <w:lang w:eastAsia="en-AU"/>
              </w:rPr>
              <w:t xml:space="preserve">a measure better </w:t>
            </w:r>
            <w:r w:rsidR="00C6236D">
              <w:rPr>
                <w:rFonts w:cs="Arial"/>
                <w:szCs w:val="22"/>
                <w:lang w:eastAsia="en-AU"/>
              </w:rPr>
              <w:t xml:space="preserve">meets </w:t>
            </w:r>
            <w:r w:rsidR="00254D13">
              <w:rPr>
                <w:rFonts w:cs="Arial"/>
                <w:szCs w:val="22"/>
                <w:lang w:eastAsia="en-AU"/>
              </w:rPr>
              <w:t xml:space="preserve">the </w:t>
            </w:r>
            <w:r w:rsidR="00433887">
              <w:rPr>
                <w:rFonts w:cs="Arial"/>
                <w:szCs w:val="22"/>
                <w:lang w:eastAsia="en-AU"/>
              </w:rPr>
              <w:t>G</w:t>
            </w:r>
            <w:r w:rsidR="00254D13">
              <w:rPr>
                <w:rFonts w:cs="Arial"/>
                <w:szCs w:val="22"/>
                <w:lang w:eastAsia="en-AU"/>
              </w:rPr>
              <w:t>overnment’s distributional objective of increasing the progressivity of the tax system.</w:t>
            </w:r>
            <w:r w:rsidR="00E34138">
              <w:rPr>
                <w:rFonts w:cs="Arial"/>
                <w:szCs w:val="22"/>
                <w:lang w:eastAsia="en-AU"/>
              </w:rPr>
              <w:br/>
            </w:r>
          </w:p>
          <w:p w14:paraId="67F16A75" w14:textId="47E7E0D3" w:rsidR="00486024" w:rsidRPr="0028286A" w:rsidRDefault="00B53114" w:rsidP="002455C0">
            <w:pPr>
              <w:pStyle w:val="ListParagraph"/>
              <w:numPr>
                <w:ilvl w:val="0"/>
                <w:numId w:val="11"/>
              </w:numPr>
              <w:spacing w:after="0"/>
              <w:rPr>
                <w:lang w:eastAsia="en-AU"/>
              </w:rPr>
            </w:pPr>
            <w:r w:rsidRPr="0028286A">
              <w:rPr>
                <w:b/>
                <w:bCs/>
              </w:rPr>
              <w:t>Complexity</w:t>
            </w:r>
            <w:r w:rsidRPr="0028286A">
              <w:t xml:space="preserve">: </w:t>
            </w:r>
            <w:r w:rsidR="009F7F40">
              <w:t>T</w:t>
            </w:r>
            <w:r w:rsidRPr="0028286A">
              <w:t>he options should</w:t>
            </w:r>
            <w:r w:rsidR="00706B16">
              <w:t xml:space="preserve"> minimise</w:t>
            </w:r>
            <w:r w:rsidR="003C49CC">
              <w:t xml:space="preserve"> the introduction of</w:t>
            </w:r>
            <w:r w:rsidR="00706B16">
              <w:t xml:space="preserve"> complexity</w:t>
            </w:r>
            <w:r w:rsidRPr="0028286A">
              <w:t xml:space="preserve"> as much as possible.</w:t>
            </w:r>
            <w:r w:rsidR="001722B6">
              <w:t xml:space="preserve"> </w:t>
            </w:r>
            <w:r w:rsidR="00C6236D">
              <w:t>Generally, c</w:t>
            </w:r>
            <w:r w:rsidR="001722B6">
              <w:t>omplexity</w:t>
            </w:r>
            <w:r w:rsidR="001722B6">
              <w:rPr>
                <w:rFonts w:cs="Arial"/>
                <w:szCs w:val="22"/>
                <w:lang w:eastAsia="en-AU"/>
              </w:rPr>
              <w:t xml:space="preserve"> should be minimised so that tax laws are easy to comply with and difficult not to. This encourages voluntary compliance over time, which benefits both the tax take as well as paying tax at rates intended by the Government.</w:t>
            </w:r>
          </w:p>
          <w:p w14:paraId="567D1D05" w14:textId="141B9148" w:rsidR="00B53114" w:rsidRDefault="00143738" w:rsidP="006363C2">
            <w:pPr>
              <w:pStyle w:val="ListParagraph"/>
              <w:numPr>
                <w:ilvl w:val="0"/>
                <w:numId w:val="11"/>
              </w:numPr>
              <w:spacing w:after="0"/>
              <w:rPr>
                <w:lang w:eastAsia="en-AU"/>
              </w:rPr>
            </w:pPr>
            <w:r>
              <w:rPr>
                <w:b/>
                <w:bCs/>
              </w:rPr>
              <w:t>I</w:t>
            </w:r>
            <w:r w:rsidR="00B53114" w:rsidRPr="0028286A">
              <w:rPr>
                <w:b/>
                <w:bCs/>
              </w:rPr>
              <w:t>ntegrity</w:t>
            </w:r>
            <w:r w:rsidR="00B53114" w:rsidRPr="0028286A">
              <w:t xml:space="preserve">: The options should maintain protection against taxpayers using other vehicles taxed at lower rates to avoid the </w:t>
            </w:r>
            <w:r w:rsidR="003D12A4">
              <w:t>proposed top</w:t>
            </w:r>
            <w:r w:rsidR="00B53114" w:rsidRPr="0028286A">
              <w:t xml:space="preserve"> personal</w:t>
            </w:r>
            <w:r w:rsidR="003D12A4">
              <w:t xml:space="preserve"> income</w:t>
            </w:r>
            <w:r w:rsidR="00B53114" w:rsidRPr="0028286A">
              <w:t xml:space="preserve"> tax rate.</w:t>
            </w:r>
            <w:r w:rsidR="0086502C">
              <w:t xml:space="preserve"> Integrity in the tax system </w:t>
            </w:r>
            <w:r w:rsidR="006363C2">
              <w:rPr>
                <w:rFonts w:cs="Arial"/>
                <w:szCs w:val="22"/>
                <w:lang w:eastAsia="en-AU"/>
              </w:rPr>
              <w:t xml:space="preserve">ensures that taxpayers cannot access methods or vehicles to avoid paying tax at rates applicable to them given their </w:t>
            </w:r>
            <w:r w:rsidR="00DA2297">
              <w:rPr>
                <w:rFonts w:cs="Arial"/>
                <w:szCs w:val="22"/>
                <w:lang w:eastAsia="en-AU"/>
              </w:rPr>
              <w:t xml:space="preserve">economic </w:t>
            </w:r>
            <w:r w:rsidR="006363C2">
              <w:rPr>
                <w:rFonts w:cs="Arial"/>
                <w:szCs w:val="22"/>
                <w:lang w:eastAsia="en-AU"/>
              </w:rPr>
              <w:t>circumstances. This also leads to greater collection of tax revenues as well as high-income individuals paying their full amount of tax without being able to successfully engage in avoidance behaviour. This improves the fairness of the tax system and is an important factor that supports voluntary compliance.</w:t>
            </w:r>
            <w:r w:rsidR="006363C2" w:rsidDel="006363C2">
              <w:rPr>
                <w:rStyle w:val="CommentReference"/>
              </w:rPr>
              <w:t xml:space="preserve"> </w:t>
            </w:r>
          </w:p>
          <w:p w14:paraId="6FE3964E" w14:textId="2897A5C4" w:rsidR="00B05C89" w:rsidRPr="00334194" w:rsidRDefault="00470849" w:rsidP="00334194">
            <w:pPr>
              <w:pStyle w:val="ListParagraph"/>
              <w:numPr>
                <w:ilvl w:val="0"/>
                <w:numId w:val="11"/>
              </w:numPr>
              <w:spacing w:after="0"/>
              <w:rPr>
                <w:b/>
                <w:bCs/>
              </w:rPr>
            </w:pPr>
            <w:r>
              <w:rPr>
                <w:b/>
                <w:bCs/>
              </w:rPr>
              <w:t>Revenue raised</w:t>
            </w:r>
            <w:r w:rsidRPr="00470849">
              <w:rPr>
                <w:lang w:eastAsia="en-AU"/>
              </w:rPr>
              <w:t>:</w:t>
            </w:r>
            <w:r>
              <w:rPr>
                <w:b/>
                <w:bCs/>
                <w:lang w:eastAsia="en-AU"/>
              </w:rPr>
              <w:t xml:space="preserve"> </w:t>
            </w:r>
            <w:r w:rsidR="00D43C47">
              <w:rPr>
                <w:lang w:eastAsia="en-AU"/>
              </w:rPr>
              <w:t xml:space="preserve">The options should be effective at raising </w:t>
            </w:r>
            <w:r w:rsidR="00C319F3">
              <w:rPr>
                <w:lang w:eastAsia="en-AU"/>
              </w:rPr>
              <w:t xml:space="preserve">the intended </w:t>
            </w:r>
            <w:r w:rsidR="00D43C47">
              <w:rPr>
                <w:lang w:eastAsia="en-AU"/>
              </w:rPr>
              <w:t xml:space="preserve">amount of revenue for the Government. </w:t>
            </w:r>
            <w:r w:rsidR="00334194">
              <w:rPr>
                <w:lang w:eastAsia="en-AU"/>
              </w:rPr>
              <w:t xml:space="preserve">Using this criterion is important to ensure the primary function of tax collection is achieved by the policy settings. </w:t>
            </w:r>
          </w:p>
          <w:p w14:paraId="6477AF05" w14:textId="77777777" w:rsidR="00B05C89" w:rsidRPr="0028286A" w:rsidRDefault="00B05C89" w:rsidP="0030521A">
            <w:pPr>
              <w:spacing w:after="0"/>
              <w:rPr>
                <w:b/>
                <w:bCs/>
              </w:rPr>
            </w:pPr>
          </w:p>
          <w:p w14:paraId="6C5DC9C2" w14:textId="7AA7D909" w:rsidR="00486024" w:rsidRPr="0028286A" w:rsidRDefault="00486024" w:rsidP="0030521A">
            <w:pPr>
              <w:spacing w:after="0"/>
            </w:pPr>
            <w:r w:rsidRPr="0028286A">
              <w:t>The analysis of the five options against the</w:t>
            </w:r>
            <w:r w:rsidR="008A5DC1">
              <w:t>se</w:t>
            </w:r>
            <w:r w:rsidRPr="0028286A">
              <w:t xml:space="preserve"> </w:t>
            </w:r>
            <w:r w:rsidR="0018577C">
              <w:t>five</w:t>
            </w:r>
            <w:r w:rsidRPr="0028286A">
              <w:t xml:space="preserve"> criteria follows. </w:t>
            </w:r>
          </w:p>
          <w:p w14:paraId="364C361F" w14:textId="02B883E3" w:rsidR="00922A61" w:rsidRDefault="00922A61" w:rsidP="0030521A">
            <w:pPr>
              <w:pBdr>
                <w:bottom w:val="single" w:sz="6" w:space="1" w:color="auto"/>
              </w:pBdr>
              <w:spacing w:after="0"/>
              <w:rPr>
                <w:b/>
                <w:bCs/>
              </w:rPr>
            </w:pPr>
          </w:p>
          <w:p w14:paraId="4FF5B9BA" w14:textId="77777777" w:rsidR="00270730" w:rsidRPr="0028286A" w:rsidRDefault="00270730" w:rsidP="0030521A">
            <w:pPr>
              <w:spacing w:after="0"/>
              <w:rPr>
                <w:b/>
                <w:bCs/>
              </w:rPr>
            </w:pPr>
          </w:p>
          <w:p w14:paraId="58B3C4BB" w14:textId="77777777" w:rsidR="00F1623B" w:rsidRPr="003A5576" w:rsidRDefault="00F1623B" w:rsidP="00F1623B">
            <w:pPr>
              <w:spacing w:after="0"/>
              <w:rPr>
                <w:b/>
                <w:bCs/>
              </w:rPr>
            </w:pPr>
            <w:r w:rsidRPr="003A5576">
              <w:rPr>
                <w:b/>
                <w:bCs/>
              </w:rPr>
              <w:t>Option 1: Status quo.</w:t>
            </w:r>
          </w:p>
          <w:p w14:paraId="59032314" w14:textId="3788A23C" w:rsidR="00C3648A" w:rsidRPr="003579D9" w:rsidRDefault="00C3648A" w:rsidP="0030521A">
            <w:pPr>
              <w:spacing w:after="0"/>
            </w:pPr>
          </w:p>
          <w:p w14:paraId="0FC4ACC5" w14:textId="6D505038" w:rsidR="00F549BE" w:rsidRPr="003579D9" w:rsidRDefault="003579D9" w:rsidP="0030521A">
            <w:pPr>
              <w:spacing w:after="0"/>
            </w:pPr>
            <w:r>
              <w:t>This option involves doing nothing</w:t>
            </w:r>
            <w:r w:rsidR="00A7578C">
              <w:t>. It t</w:t>
            </w:r>
            <w:r w:rsidR="00FF3BD5">
              <w:t>herefore fails to achieve the Government’s fundamental revenue objective. It retains</w:t>
            </w:r>
            <w:r>
              <w:t xml:space="preserve"> the distributional and </w:t>
            </w:r>
            <w:r w:rsidR="00B62B9E">
              <w:t xml:space="preserve">progressivity outcomes resulting from the current </w:t>
            </w:r>
            <w:r w:rsidR="00511772">
              <w:t xml:space="preserve">personal income </w:t>
            </w:r>
            <w:r w:rsidR="00B62B9E">
              <w:t xml:space="preserve">tax settings. </w:t>
            </w:r>
          </w:p>
          <w:p w14:paraId="097062BD" w14:textId="77777777" w:rsidR="00F549BE" w:rsidRPr="003579D9" w:rsidRDefault="00F549BE" w:rsidP="0030521A">
            <w:pPr>
              <w:spacing w:after="0"/>
            </w:pPr>
          </w:p>
          <w:p w14:paraId="4DF5FDF7" w14:textId="6716C168" w:rsidR="00E45112" w:rsidRDefault="00176EB0" w:rsidP="0030521A">
            <w:pPr>
              <w:spacing w:after="0"/>
            </w:pPr>
            <w:r w:rsidRPr="001760C3">
              <w:rPr>
                <w:b/>
                <w:bCs/>
              </w:rPr>
              <w:t>Efficiency</w:t>
            </w:r>
            <w:r w:rsidRPr="0028286A">
              <w:t xml:space="preserve">: </w:t>
            </w:r>
            <w:r w:rsidR="00EA3C97">
              <w:t>There is n</w:t>
            </w:r>
            <w:r w:rsidR="001753A2">
              <w:t>o gain or loss in efficienc</w:t>
            </w:r>
            <w:r w:rsidR="00C627A0">
              <w:t>ies</w:t>
            </w:r>
            <w:r w:rsidR="001753A2">
              <w:t xml:space="preserve"> </w:t>
            </w:r>
            <w:r w:rsidR="00E80D36">
              <w:t xml:space="preserve">associated with leaving the top personal income tax rate at 33 percent for incomes over $70,000. This is a notably low </w:t>
            </w:r>
            <w:r w:rsidR="00A930B5">
              <w:t xml:space="preserve">upper tax rate </w:t>
            </w:r>
            <w:r w:rsidR="006D17FD">
              <w:t>compared to the highest rate imposed in other jurisdictions. However, it applies at a low threshold.</w:t>
            </w:r>
            <w:r w:rsidR="00E45112">
              <w:t xml:space="preserve"> </w:t>
            </w:r>
          </w:p>
          <w:p w14:paraId="2F95374E" w14:textId="22F28C1D" w:rsidR="00176EB0" w:rsidRPr="0028286A" w:rsidRDefault="00A930B5" w:rsidP="0030521A">
            <w:pPr>
              <w:spacing w:after="0"/>
            </w:pPr>
            <w:r>
              <w:t xml:space="preserve"> </w:t>
            </w:r>
          </w:p>
          <w:p w14:paraId="3677BA15" w14:textId="38EF715A" w:rsidR="00DC37EE" w:rsidRDefault="00DC37EE" w:rsidP="0030521A">
            <w:pPr>
              <w:spacing w:after="0"/>
            </w:pPr>
            <w:r w:rsidRPr="001760C3">
              <w:rPr>
                <w:b/>
                <w:bCs/>
              </w:rPr>
              <w:t>Equity</w:t>
            </w:r>
            <w:r w:rsidRPr="0028286A">
              <w:t>:</w:t>
            </w:r>
            <w:r w:rsidR="00E45112">
              <w:t xml:space="preserve"> Th</w:t>
            </w:r>
            <w:r w:rsidR="00A35309">
              <w:t>e status quo has no impact on any dimension of equity in the tax syst</w:t>
            </w:r>
            <w:r w:rsidR="005C6078">
              <w:t xml:space="preserve">em. </w:t>
            </w:r>
          </w:p>
          <w:p w14:paraId="6CE070FB" w14:textId="77777777" w:rsidR="00922A61" w:rsidRPr="0028286A" w:rsidRDefault="00922A61" w:rsidP="0030521A">
            <w:pPr>
              <w:spacing w:after="0"/>
            </w:pPr>
          </w:p>
          <w:p w14:paraId="0A776901" w14:textId="48E6475D" w:rsidR="00176EB0" w:rsidRDefault="00176EB0" w:rsidP="0030521A">
            <w:pPr>
              <w:spacing w:after="0"/>
            </w:pPr>
            <w:r w:rsidRPr="001760C3">
              <w:rPr>
                <w:b/>
                <w:bCs/>
              </w:rPr>
              <w:t>Complexity</w:t>
            </w:r>
            <w:r w:rsidRPr="0028286A">
              <w:t xml:space="preserve">: </w:t>
            </w:r>
            <w:r w:rsidR="00FF3BD5">
              <w:t xml:space="preserve">The status quo has no impact on complexity. </w:t>
            </w:r>
            <w:r w:rsidR="00564C3B">
              <w:t xml:space="preserve">The existing </w:t>
            </w:r>
            <w:r w:rsidR="00F33A8F">
              <w:t>settings</w:t>
            </w:r>
            <w:r w:rsidR="00564C3B">
              <w:t xml:space="preserve"> are well understood publicly.</w:t>
            </w:r>
            <w:r w:rsidR="00800111">
              <w:t xml:space="preserve"> </w:t>
            </w:r>
          </w:p>
          <w:p w14:paraId="63723E0E" w14:textId="77777777" w:rsidR="00576241" w:rsidRPr="0028286A" w:rsidRDefault="00576241" w:rsidP="0030521A">
            <w:pPr>
              <w:spacing w:after="0"/>
            </w:pPr>
          </w:p>
          <w:p w14:paraId="220411A6" w14:textId="1A520C4C" w:rsidR="00176EB0" w:rsidRDefault="00143738" w:rsidP="0030521A">
            <w:pPr>
              <w:spacing w:after="0"/>
            </w:pPr>
            <w:r>
              <w:rPr>
                <w:b/>
                <w:bCs/>
              </w:rPr>
              <w:t>I</w:t>
            </w:r>
            <w:r w:rsidR="00176EB0" w:rsidRPr="001760C3">
              <w:rPr>
                <w:b/>
                <w:bCs/>
              </w:rPr>
              <w:t>ntegrity</w:t>
            </w:r>
            <w:r w:rsidR="00176EB0" w:rsidRPr="0028286A">
              <w:t xml:space="preserve">: </w:t>
            </w:r>
            <w:r w:rsidR="006C6934">
              <w:t>The</w:t>
            </w:r>
            <w:r w:rsidR="00FF3BD5">
              <w:t xml:space="preserve"> status quo has no impact on integrity but the</w:t>
            </w:r>
            <w:r w:rsidR="006C6934">
              <w:t xml:space="preserve">re are already existing concerns with </w:t>
            </w:r>
            <w:r w:rsidR="000816AE">
              <w:t xml:space="preserve">taxpayers undertaking arrangements that seek to avoid </w:t>
            </w:r>
            <w:r w:rsidR="00901CB3">
              <w:t xml:space="preserve">the application of the current top personal income tax rate of 33 percent. This is partly a function of </w:t>
            </w:r>
            <w:r w:rsidR="009963F6">
              <w:t xml:space="preserve">the existing </w:t>
            </w:r>
            <w:r w:rsidR="00901CB3">
              <w:t>misalignment between that rate and the company rate</w:t>
            </w:r>
            <w:r w:rsidR="001B2E42">
              <w:t xml:space="preserve">. For example, dividend avoidance arrangements </w:t>
            </w:r>
            <w:r w:rsidR="00956BF9">
              <w:t>can allow a shareholder taxed at 33</w:t>
            </w:r>
            <w:r w:rsidR="00563EFC">
              <w:t xml:space="preserve"> percent</w:t>
            </w:r>
            <w:r w:rsidR="00956BF9">
              <w:t xml:space="preserve"> to derive income from a company that is only subject to the corporate tax rate of 28</w:t>
            </w:r>
            <w:r w:rsidR="00563EFC">
              <w:t xml:space="preserve"> percent</w:t>
            </w:r>
            <w:r w:rsidR="000608BC">
              <w:t xml:space="preserve"> (with no 5</w:t>
            </w:r>
            <w:r w:rsidR="00563EFC">
              <w:t xml:space="preserve"> percent</w:t>
            </w:r>
            <w:r w:rsidR="000608BC">
              <w:t xml:space="preserve"> top</w:t>
            </w:r>
            <w:r w:rsidR="00563EFC">
              <w:t>-</w:t>
            </w:r>
            <w:r w:rsidR="000608BC">
              <w:t>up tax)</w:t>
            </w:r>
            <w:r w:rsidR="00D919BF">
              <w:t>.</w:t>
            </w:r>
          </w:p>
          <w:p w14:paraId="247734CD" w14:textId="0C31598B" w:rsidR="00D43C47" w:rsidRDefault="00D43C47" w:rsidP="0030521A">
            <w:pPr>
              <w:spacing w:after="0"/>
            </w:pPr>
          </w:p>
          <w:p w14:paraId="5C44DE65" w14:textId="1073D6CF" w:rsidR="00D43C47" w:rsidRPr="0028286A" w:rsidRDefault="00D43C47" w:rsidP="0030521A">
            <w:pPr>
              <w:spacing w:after="0"/>
            </w:pPr>
            <w:r w:rsidRPr="00D43C47">
              <w:rPr>
                <w:b/>
                <w:bCs/>
              </w:rPr>
              <w:t>Revenue raised</w:t>
            </w:r>
            <w:r>
              <w:t xml:space="preserve">: No change in revenue raised under the status quo. </w:t>
            </w:r>
          </w:p>
          <w:p w14:paraId="2978B7DC" w14:textId="780BEA17" w:rsidR="0030521A" w:rsidRDefault="0030521A" w:rsidP="0030521A">
            <w:pPr>
              <w:pBdr>
                <w:bottom w:val="single" w:sz="6" w:space="1" w:color="auto"/>
              </w:pBdr>
              <w:spacing w:after="0"/>
            </w:pPr>
          </w:p>
          <w:p w14:paraId="6168FEB4" w14:textId="77777777" w:rsidR="001E2BFE" w:rsidRPr="0028286A" w:rsidRDefault="001E2BFE" w:rsidP="0030521A">
            <w:pPr>
              <w:spacing w:after="0"/>
            </w:pPr>
          </w:p>
          <w:p w14:paraId="047DB808" w14:textId="77777777" w:rsidR="005D4E9E" w:rsidRDefault="005D4E9E" w:rsidP="003C3FB0">
            <w:pPr>
              <w:spacing w:after="0"/>
              <w:rPr>
                <w:b/>
                <w:bCs/>
              </w:rPr>
            </w:pPr>
          </w:p>
          <w:p w14:paraId="1F1E842C" w14:textId="77777777" w:rsidR="005D4E9E" w:rsidRDefault="005D4E9E" w:rsidP="003C3FB0">
            <w:pPr>
              <w:spacing w:after="0"/>
              <w:rPr>
                <w:b/>
                <w:bCs/>
              </w:rPr>
            </w:pPr>
          </w:p>
          <w:p w14:paraId="43080861" w14:textId="77777777" w:rsidR="005D4E9E" w:rsidRDefault="005D4E9E" w:rsidP="003C3FB0">
            <w:pPr>
              <w:spacing w:after="0"/>
              <w:rPr>
                <w:b/>
                <w:bCs/>
              </w:rPr>
            </w:pPr>
          </w:p>
          <w:p w14:paraId="4D269BA6" w14:textId="70C14F31" w:rsidR="003C3FB0" w:rsidRPr="003A5576" w:rsidRDefault="003C3FB0" w:rsidP="003C3FB0">
            <w:pPr>
              <w:spacing w:after="0"/>
              <w:rPr>
                <w:b/>
                <w:bCs/>
              </w:rPr>
            </w:pPr>
            <w:r w:rsidRPr="003A5576">
              <w:rPr>
                <w:b/>
                <w:bCs/>
              </w:rPr>
              <w:t>Option 2: Introducing a new top personal income tax rate of 39 percent for income over $180,000 (no alignment and no integrity measures).</w:t>
            </w:r>
          </w:p>
          <w:p w14:paraId="1850D7CD" w14:textId="70739482" w:rsidR="00511772" w:rsidRDefault="00511772" w:rsidP="003C3FB0">
            <w:pPr>
              <w:spacing w:after="0"/>
            </w:pPr>
          </w:p>
          <w:p w14:paraId="2BE92E3E" w14:textId="3BA25EC9" w:rsidR="00D967AB" w:rsidRDefault="00511772" w:rsidP="003C3FB0">
            <w:pPr>
              <w:spacing w:after="0"/>
              <w:rPr>
                <w:rFonts w:cs="Arial"/>
                <w:szCs w:val="22"/>
                <w:lang w:eastAsia="en-AU"/>
              </w:rPr>
            </w:pPr>
            <w:r>
              <w:t>This option constitutes the existing commitment contained in</w:t>
            </w:r>
            <w:r w:rsidR="00E6669E">
              <w:t xml:space="preserve"> the</w:t>
            </w:r>
            <w:r>
              <w:t xml:space="preserve"> Labour</w:t>
            </w:r>
            <w:r w:rsidR="00E6669E">
              <w:t xml:space="preserve"> party</w:t>
            </w:r>
            <w:r>
              <w:t>’s 2020 Election Manifesto</w:t>
            </w:r>
            <w:r w:rsidR="00713F17">
              <w:t xml:space="preserve"> regarding a new higher top personal income tax rate. It will also include consequential changes to </w:t>
            </w:r>
            <w:r w:rsidR="00713F17">
              <w:rPr>
                <w:rFonts w:cs="Arial"/>
                <w:szCs w:val="22"/>
                <w:lang w:eastAsia="en-AU"/>
              </w:rPr>
              <w:t>secondary earnings and extra pay codes, fringe benefit tax, resident withholding tax, resident land withholding tax, and employer superannuation contribution tax</w:t>
            </w:r>
            <w:r w:rsidR="005D12C2">
              <w:rPr>
                <w:rFonts w:cs="Arial"/>
                <w:szCs w:val="22"/>
                <w:lang w:eastAsia="en-AU"/>
              </w:rPr>
              <w:t xml:space="preserve"> (and this will be true for all options except for the status quo)</w:t>
            </w:r>
            <w:r w:rsidR="00713F17">
              <w:rPr>
                <w:rFonts w:cs="Arial"/>
                <w:szCs w:val="22"/>
                <w:lang w:eastAsia="en-AU"/>
              </w:rPr>
              <w:t>.</w:t>
            </w:r>
            <w:r w:rsidR="004F7487">
              <w:rPr>
                <w:rFonts w:cs="Arial"/>
                <w:szCs w:val="22"/>
                <w:lang w:eastAsia="en-AU"/>
              </w:rPr>
              <w:t xml:space="preserve"> No </w:t>
            </w:r>
            <w:r w:rsidR="00FF79BF">
              <w:rPr>
                <w:rFonts w:cs="Arial"/>
                <w:szCs w:val="22"/>
                <w:lang w:eastAsia="en-AU"/>
              </w:rPr>
              <w:t xml:space="preserve">integrity </w:t>
            </w:r>
            <w:r w:rsidR="004F7487">
              <w:rPr>
                <w:rFonts w:cs="Arial"/>
                <w:szCs w:val="22"/>
                <w:lang w:eastAsia="en-AU"/>
              </w:rPr>
              <w:t xml:space="preserve">measures would be implemented </w:t>
            </w:r>
            <w:r w:rsidR="009A4831">
              <w:rPr>
                <w:rFonts w:cs="Arial"/>
                <w:szCs w:val="22"/>
                <w:lang w:eastAsia="en-AU"/>
              </w:rPr>
              <w:t xml:space="preserve">to guard against avoidance activities. </w:t>
            </w:r>
            <w:r w:rsidR="00E31EC8">
              <w:rPr>
                <w:rFonts w:cs="Arial"/>
                <w:szCs w:val="22"/>
                <w:lang w:eastAsia="en-AU"/>
              </w:rPr>
              <w:t xml:space="preserve">However, there would still be data monitoring by Inland Revenue. This would include </w:t>
            </w:r>
            <w:r w:rsidR="00E31EC8">
              <w:t>Inland Revenue collecting more information on trust assets</w:t>
            </w:r>
            <w:r w:rsidR="00A35642">
              <w:t>,</w:t>
            </w:r>
            <w:r w:rsidR="00E31EC8">
              <w:t xml:space="preserve"> liabilities</w:t>
            </w:r>
            <w:r w:rsidR="00A35642">
              <w:t>,</w:t>
            </w:r>
            <w:r w:rsidR="00E31EC8">
              <w:t xml:space="preserve"> and distributions</w:t>
            </w:r>
            <w:r w:rsidR="00A3520F">
              <w:t xml:space="preserve"> </w:t>
            </w:r>
            <w:r w:rsidR="00A3520F">
              <w:rPr>
                <w:rFonts w:cs="Arial"/>
                <w:szCs w:val="22"/>
                <w:lang w:eastAsia="en-AU"/>
              </w:rPr>
              <w:t>(and again, this will be true for all options except for the status quo)</w:t>
            </w:r>
            <w:r w:rsidR="00E31EC8">
              <w:t>. This will increase compliance costs for trustees, but it will be an important part of monitoring any systemic avoidance issues.</w:t>
            </w:r>
            <w:r w:rsidR="009A4831">
              <w:rPr>
                <w:rFonts w:cs="Arial"/>
                <w:szCs w:val="22"/>
                <w:lang w:eastAsia="en-AU"/>
              </w:rPr>
              <w:t xml:space="preserve"> </w:t>
            </w:r>
          </w:p>
          <w:p w14:paraId="061BC8F1" w14:textId="77777777" w:rsidR="00D967AB" w:rsidRDefault="00D967AB" w:rsidP="003C3FB0">
            <w:pPr>
              <w:spacing w:after="0"/>
              <w:rPr>
                <w:rFonts w:cs="Arial"/>
                <w:szCs w:val="22"/>
                <w:lang w:eastAsia="en-AU"/>
              </w:rPr>
            </w:pPr>
          </w:p>
          <w:p w14:paraId="1D15328B" w14:textId="69A70BAF" w:rsidR="00511772" w:rsidRPr="0028286A" w:rsidRDefault="006A3E13" w:rsidP="003C3FB0">
            <w:pPr>
              <w:spacing w:after="0"/>
            </w:pPr>
            <w:r>
              <w:rPr>
                <w:rFonts w:cs="Arial"/>
                <w:szCs w:val="22"/>
                <w:lang w:eastAsia="en-AU"/>
              </w:rPr>
              <w:t>The consequential changes to other tax types and trust information collection will not constitute part of t</w:t>
            </w:r>
            <w:r w:rsidR="00D967AB">
              <w:rPr>
                <w:rFonts w:cs="Arial"/>
                <w:szCs w:val="22"/>
                <w:lang w:eastAsia="en-AU"/>
              </w:rPr>
              <w:t xml:space="preserve">he analysis between options since they hold true for all options bar </w:t>
            </w:r>
            <w:r w:rsidR="00D967AB" w:rsidRPr="00D967AB">
              <w:rPr>
                <w:rFonts w:cs="Arial"/>
                <w:b/>
                <w:bCs/>
                <w:szCs w:val="22"/>
                <w:lang w:eastAsia="en-AU"/>
              </w:rPr>
              <w:t>Option 1</w:t>
            </w:r>
            <w:r w:rsidR="00D967AB">
              <w:rPr>
                <w:rFonts w:cs="Arial"/>
                <w:szCs w:val="22"/>
                <w:lang w:eastAsia="en-AU"/>
              </w:rPr>
              <w:t>.</w:t>
            </w:r>
          </w:p>
          <w:p w14:paraId="74E0C0EC" w14:textId="77777777" w:rsidR="003C3FB0" w:rsidRPr="0028286A" w:rsidRDefault="003C3FB0" w:rsidP="003C3FB0">
            <w:pPr>
              <w:spacing w:after="0"/>
            </w:pPr>
          </w:p>
          <w:p w14:paraId="139D3F83" w14:textId="136A6AFF" w:rsidR="00176EB0" w:rsidRDefault="00176EB0" w:rsidP="0030521A">
            <w:pPr>
              <w:spacing w:after="0"/>
            </w:pPr>
            <w:r w:rsidRPr="001760C3">
              <w:rPr>
                <w:b/>
                <w:bCs/>
              </w:rPr>
              <w:t>Efficiency</w:t>
            </w:r>
            <w:r w:rsidRPr="0028286A">
              <w:t xml:space="preserve">: </w:t>
            </w:r>
            <w:r w:rsidR="00DD31CB">
              <w:t>The introduction of a higher</w:t>
            </w:r>
            <w:r w:rsidR="00FD48C9">
              <w:t xml:space="preserve"> top personal income tax rate, all else</w:t>
            </w:r>
            <w:r w:rsidR="006C112C">
              <w:t xml:space="preserve"> being</w:t>
            </w:r>
            <w:r w:rsidR="00FD48C9">
              <w:t xml:space="preserve"> equal, </w:t>
            </w:r>
            <w:r w:rsidR="0009080A">
              <w:t xml:space="preserve">will create further </w:t>
            </w:r>
            <w:r w:rsidR="00DD31CB">
              <w:t>disincentive</w:t>
            </w:r>
            <w:r w:rsidR="0009080A">
              <w:t>s</w:t>
            </w:r>
            <w:r w:rsidR="00DD31CB">
              <w:t xml:space="preserve"> to earn income above the level at which that new rate applies from. </w:t>
            </w:r>
            <w:r w:rsidR="006C5EDD">
              <w:t xml:space="preserve">This change is likely to have a </w:t>
            </w:r>
            <w:r w:rsidR="00286F9E">
              <w:t>number of efficiency costs including through it</w:t>
            </w:r>
            <w:r w:rsidR="006C3846">
              <w:t>s</w:t>
            </w:r>
            <w:r w:rsidR="00286F9E">
              <w:t xml:space="preserve"> impacts on</w:t>
            </w:r>
            <w:r w:rsidR="006C5EDD">
              <w:t xml:space="preserve"> labour supply, savings</w:t>
            </w:r>
            <w:r w:rsidR="006C3846">
              <w:t>,</w:t>
            </w:r>
            <w:r w:rsidR="00286F9E">
              <w:t xml:space="preserve"> and</w:t>
            </w:r>
            <w:r w:rsidR="00482F7F">
              <w:t xml:space="preserve"> through influencing the allocation of investment</w:t>
            </w:r>
            <w:r w:rsidR="001902F7">
              <w:t>.</w:t>
            </w:r>
            <w:r w:rsidR="00286F9E">
              <w:t xml:space="preserve"> The efficiency costs are likely to be high per dollar of additional revenue raised </w:t>
            </w:r>
            <w:r w:rsidR="00E46F9E">
              <w:t xml:space="preserve">compared to alternative ways to raise that revenue (including </w:t>
            </w:r>
            <w:r w:rsidR="00E46F9E">
              <w:rPr>
                <w:b/>
                <w:bCs/>
              </w:rPr>
              <w:t>Option 3</w:t>
            </w:r>
            <w:r w:rsidR="00E46F9E">
              <w:t xml:space="preserve">, </w:t>
            </w:r>
            <w:r w:rsidR="00E46F9E">
              <w:rPr>
                <w:b/>
                <w:bCs/>
              </w:rPr>
              <w:t>Option 4</w:t>
            </w:r>
            <w:r w:rsidR="00E46F9E">
              <w:t xml:space="preserve">, and </w:t>
            </w:r>
            <w:r w:rsidR="00E46F9E">
              <w:rPr>
                <w:b/>
                <w:bCs/>
              </w:rPr>
              <w:t>Option 5</w:t>
            </w:r>
            <w:r w:rsidR="00E46F9E">
              <w:t>)</w:t>
            </w:r>
            <w:r w:rsidR="00286F9E">
              <w:t xml:space="preserve"> because </w:t>
            </w:r>
            <w:r w:rsidR="00E6669E">
              <w:t xml:space="preserve">of increased tax-induced activity of </w:t>
            </w:r>
            <w:r w:rsidR="00286F9E">
              <w:t xml:space="preserve">people </w:t>
            </w:r>
            <w:r w:rsidR="00686A2B">
              <w:t xml:space="preserve">circumventing </w:t>
            </w:r>
            <w:r w:rsidR="00286F9E">
              <w:t>higher rates of tax</w:t>
            </w:r>
            <w:r w:rsidR="00E6669E">
              <w:t xml:space="preserve"> (an efficiency cost), and consequential lower amounts of additional revenue raised</w:t>
            </w:r>
            <w:r w:rsidR="00286F9E">
              <w:t>.</w:t>
            </w:r>
            <w:bookmarkStart w:id="6" w:name="_Hlk56459463"/>
            <w:r w:rsidR="00A3520F">
              <w:t xml:space="preserve"> If it is particularly easy to step around paying higher rates of tax, the additional revenue raised falls while total costs increase as people change their behaviour</w:t>
            </w:r>
            <w:r w:rsidR="00AF496B">
              <w:t>, even if the cost to any individual is small</w:t>
            </w:r>
            <w:r w:rsidR="00A3520F">
              <w:t xml:space="preserve">. This results in the costs per dollar of revenue raised being high, because the numerator (costs) </w:t>
            </w:r>
            <w:r w:rsidR="005E6CA0">
              <w:t xml:space="preserve">likely </w:t>
            </w:r>
            <w:r w:rsidR="00A3520F">
              <w:t>grows while the denominator (revenue) falls.</w:t>
            </w:r>
            <w:r w:rsidR="00E6669E" w:rsidDel="00A3520F">
              <w:t xml:space="preserve"> </w:t>
            </w:r>
            <w:bookmarkEnd w:id="6"/>
          </w:p>
          <w:p w14:paraId="5933490A" w14:textId="77777777" w:rsidR="00576241" w:rsidRPr="0028286A" w:rsidRDefault="00576241" w:rsidP="0030521A">
            <w:pPr>
              <w:spacing w:after="0"/>
            </w:pPr>
          </w:p>
          <w:p w14:paraId="09C08123" w14:textId="7CAE94E7" w:rsidR="00DC37EE" w:rsidRDefault="00DC37EE" w:rsidP="0030521A">
            <w:pPr>
              <w:spacing w:after="0"/>
            </w:pPr>
            <w:r w:rsidRPr="001760C3">
              <w:rPr>
                <w:b/>
                <w:bCs/>
              </w:rPr>
              <w:t>Equity</w:t>
            </w:r>
            <w:r w:rsidRPr="0028286A">
              <w:t>:</w:t>
            </w:r>
            <w:r w:rsidR="00A42BC0">
              <w:t xml:space="preserve"> </w:t>
            </w:r>
            <w:r w:rsidR="003E657E">
              <w:t xml:space="preserve">Introducing a new top personal tax rate will </w:t>
            </w:r>
            <w:r w:rsidR="00286F9E">
              <w:t xml:space="preserve">support the Government’s objective of raising additional revenue in a way </w:t>
            </w:r>
            <w:r w:rsidR="00CA4CB8">
              <w:t xml:space="preserve">that </w:t>
            </w:r>
            <w:r w:rsidR="00286F9E">
              <w:t xml:space="preserve">adds to progressivity without impacting on low- or middle-income earners. </w:t>
            </w:r>
            <w:r w:rsidR="00BC3EF3">
              <w:t>I</w:t>
            </w:r>
            <w:r w:rsidR="003E657E">
              <w:t xml:space="preserve">ndividuals earning above $180,000 will </w:t>
            </w:r>
            <w:r w:rsidR="00AE575D">
              <w:t xml:space="preserve">have a greater amount of tax </w:t>
            </w:r>
            <w:r w:rsidR="00ED04D4">
              <w:t>collected from</w:t>
            </w:r>
            <w:r w:rsidR="00AE575D">
              <w:t xml:space="preserve"> them. </w:t>
            </w:r>
            <w:r w:rsidR="00630F90">
              <w:t xml:space="preserve">However, incentives to structure </w:t>
            </w:r>
            <w:r w:rsidR="00E6669E">
              <w:t>around</w:t>
            </w:r>
            <w:r w:rsidR="00630F90">
              <w:t xml:space="preserve"> the new rate</w:t>
            </w:r>
            <w:r w:rsidR="007737DB">
              <w:t xml:space="preserve"> </w:t>
            </w:r>
            <w:r w:rsidR="00C62076">
              <w:t>may result in a decrease in horizontal equity</w:t>
            </w:r>
            <w:r w:rsidR="00383253">
              <w:t xml:space="preserve"> and a reduction in the progressivity benefits</w:t>
            </w:r>
            <w:r w:rsidR="006A6BE2">
              <w:t>. S</w:t>
            </w:r>
            <w:r w:rsidR="00C62076">
              <w:t>ome people</w:t>
            </w:r>
            <w:r w:rsidR="003913EB">
              <w:t xml:space="preserve"> will find it too costly/difficult to structure to avoid the new rate</w:t>
            </w:r>
            <w:r w:rsidR="00C62076">
              <w:t xml:space="preserve"> (e.g.</w:t>
            </w:r>
            <w:r w:rsidR="003A7FD5">
              <w:t>,</w:t>
            </w:r>
            <w:r w:rsidR="00C62076">
              <w:t xml:space="preserve"> salary/wage earners)</w:t>
            </w:r>
            <w:r w:rsidR="008E7ECB">
              <w:t xml:space="preserve">, whereas other high-income earners will choose </w:t>
            </w:r>
            <w:r w:rsidR="00383253">
              <w:t xml:space="preserve">and be able </w:t>
            </w:r>
            <w:r w:rsidR="008E7ECB">
              <w:t xml:space="preserve">to </w:t>
            </w:r>
            <w:r w:rsidR="00333C8F">
              <w:t xml:space="preserve">structure </w:t>
            </w:r>
            <w:r w:rsidR="00E6669E">
              <w:t xml:space="preserve">around the rate </w:t>
            </w:r>
            <w:r w:rsidR="008E7ECB">
              <w:t xml:space="preserve">when they might not have </w:t>
            </w:r>
            <w:r w:rsidR="002304AC">
              <w:t>under the status quo</w:t>
            </w:r>
            <w:r w:rsidR="008E7ECB">
              <w:t xml:space="preserve">. </w:t>
            </w:r>
            <w:r w:rsidR="00623348">
              <w:t xml:space="preserve">This would decrease horizontal equity between </w:t>
            </w:r>
            <w:r w:rsidR="002304AC">
              <w:t xml:space="preserve">people earning over $180,000. </w:t>
            </w:r>
            <w:r w:rsidR="00392D5A">
              <w:t xml:space="preserve">It could also be regressive </w:t>
            </w:r>
            <w:r w:rsidR="00E75BE5">
              <w:t>within the group of taxpayers earning over $180,000. This is because</w:t>
            </w:r>
            <w:r w:rsidR="00392D5A">
              <w:t xml:space="preserve"> people earning a little over $180,000 may </w:t>
            </w:r>
            <w:r w:rsidR="000B5497">
              <w:t>be unwilling (due to the cost of setting up structures compared to the tax saving) or unable (due to their income being wages and salary)</w:t>
            </w:r>
            <w:r w:rsidR="00392D5A">
              <w:t xml:space="preserve"> </w:t>
            </w:r>
            <w:r w:rsidR="00E234FB">
              <w:t>to reduce their marginal tax rate from 39 percent to 33 percent</w:t>
            </w:r>
            <w:r w:rsidR="0060490B">
              <w:t xml:space="preserve">. However, </w:t>
            </w:r>
            <w:r w:rsidR="00A2247E">
              <w:t>taxpayers</w:t>
            </w:r>
            <w:r w:rsidR="0060490B">
              <w:t xml:space="preserve"> earning a lot more than $180,000 </w:t>
            </w:r>
            <w:r w:rsidR="007863B6">
              <w:t>are more likely to derive income that can be diverted into</w:t>
            </w:r>
            <w:r w:rsidR="00454F12">
              <w:t xml:space="preserve"> structures (primarily trusts) that will allow them to </w:t>
            </w:r>
            <w:r w:rsidR="00E6669E">
              <w:t xml:space="preserve">effectively </w:t>
            </w:r>
            <w:r w:rsidR="00454F12">
              <w:t>have a personal income tax rate of 33 percent</w:t>
            </w:r>
            <w:r w:rsidR="00B505ED">
              <w:t>, while also being more likely to have such structures</w:t>
            </w:r>
            <w:r w:rsidR="00454F12">
              <w:t>.</w:t>
            </w:r>
            <w:r w:rsidR="00AA22A8">
              <w:t xml:space="preserve"> Therefore</w:t>
            </w:r>
            <w:r w:rsidR="00EC6142">
              <w:t>,</w:t>
            </w:r>
            <w:r w:rsidR="00AA22A8">
              <w:t xml:space="preserve"> the wealthiest </w:t>
            </w:r>
            <w:r w:rsidR="00267A48">
              <w:t>will be taxed at a lower rate than those earning just over $180,000</w:t>
            </w:r>
            <w:r w:rsidR="00454F12">
              <w:t>.</w:t>
            </w:r>
          </w:p>
          <w:p w14:paraId="7077B9D0" w14:textId="77777777" w:rsidR="00576241" w:rsidRPr="0028286A" w:rsidRDefault="00576241" w:rsidP="0030521A">
            <w:pPr>
              <w:spacing w:after="0"/>
            </w:pPr>
          </w:p>
          <w:p w14:paraId="129A4BDA" w14:textId="41C2DB27" w:rsidR="00176EB0" w:rsidRDefault="00176EB0" w:rsidP="0030521A">
            <w:pPr>
              <w:spacing w:after="0"/>
            </w:pPr>
            <w:r w:rsidRPr="001760C3">
              <w:rPr>
                <w:b/>
                <w:bCs/>
              </w:rPr>
              <w:t>Complexity</w:t>
            </w:r>
            <w:r w:rsidRPr="0028286A">
              <w:t xml:space="preserve">: </w:t>
            </w:r>
            <w:r w:rsidR="007D0FB3">
              <w:t>The introduction of a new rate alone will increase complexity</w:t>
            </w:r>
            <w:r w:rsidR="0023627C">
              <w:t xml:space="preserve"> to the extent</w:t>
            </w:r>
            <w:r w:rsidR="009C2628">
              <w:t xml:space="preserve"> that</w:t>
            </w:r>
            <w:r w:rsidR="0023627C">
              <w:t xml:space="preserve"> it raises questions </w:t>
            </w:r>
            <w:r w:rsidR="000E09B6">
              <w:t xml:space="preserve">and </w:t>
            </w:r>
            <w:r w:rsidR="00F63AA6">
              <w:t xml:space="preserve">induces </w:t>
            </w:r>
            <w:r w:rsidR="000E09B6">
              <w:t>compliance activity</w:t>
            </w:r>
            <w:r w:rsidR="0023627C">
              <w:t xml:space="preserve"> about whether structuring around </w:t>
            </w:r>
            <w:r w:rsidR="00004380">
              <w:t>the rate</w:t>
            </w:r>
            <w:r w:rsidR="0023627C">
              <w:t xml:space="preserve"> </w:t>
            </w:r>
            <w:r w:rsidR="009C2628">
              <w:t>constitutes</w:t>
            </w:r>
            <w:r w:rsidR="0023627C">
              <w:t xml:space="preserve"> tax avoidance.</w:t>
            </w:r>
            <w:r w:rsidR="007D0FB3">
              <w:t xml:space="preserve"> </w:t>
            </w:r>
            <w:r w:rsidR="00CE2918">
              <w:t>It will impose compliance costs</w:t>
            </w:r>
            <w:r w:rsidR="00117A54">
              <w:t xml:space="preserve"> </w:t>
            </w:r>
            <w:r w:rsidR="0023627C">
              <w:t>on</w:t>
            </w:r>
            <w:r w:rsidR="00117A54">
              <w:t xml:space="preserve"> taxpayers</w:t>
            </w:r>
            <w:r w:rsidR="0023627C">
              <w:t xml:space="preserve"> that</w:t>
            </w:r>
            <w:r w:rsidR="00117A54">
              <w:t xml:space="preserve"> need to make systems changes to accommodate the new rate.</w:t>
            </w:r>
            <w:r w:rsidR="006059D2">
              <w:t xml:space="preserve"> </w:t>
            </w:r>
            <w:r w:rsidR="0023627C">
              <w:t>However, t</w:t>
            </w:r>
            <w:r w:rsidR="006059D2">
              <w:t>he absence of new integrity measures under this option also means</w:t>
            </w:r>
            <w:r w:rsidR="00E6669E">
              <w:t xml:space="preserve"> that</w:t>
            </w:r>
            <w:r w:rsidR="00B21FEB">
              <w:t>,</w:t>
            </w:r>
            <w:r w:rsidR="00E6669E">
              <w:t xml:space="preserve"> outside of the question of what does and does not constitute tax avoidance,</w:t>
            </w:r>
            <w:r w:rsidR="006059D2">
              <w:t xml:space="preserve"> it is not significantly complex.</w:t>
            </w:r>
          </w:p>
          <w:p w14:paraId="3EA92DEB" w14:textId="77777777" w:rsidR="00576241" w:rsidRPr="0028286A" w:rsidRDefault="00576241" w:rsidP="0030521A">
            <w:pPr>
              <w:spacing w:after="0"/>
            </w:pPr>
          </w:p>
          <w:p w14:paraId="445C93B5" w14:textId="509363B1" w:rsidR="00176EB0" w:rsidRDefault="00143738" w:rsidP="0030521A">
            <w:pPr>
              <w:spacing w:after="0"/>
            </w:pPr>
            <w:r>
              <w:rPr>
                <w:b/>
                <w:bCs/>
              </w:rPr>
              <w:t>I</w:t>
            </w:r>
            <w:r w:rsidR="00176EB0" w:rsidRPr="001760C3">
              <w:rPr>
                <w:b/>
                <w:bCs/>
              </w:rPr>
              <w:t>ntegrity</w:t>
            </w:r>
            <w:r w:rsidR="00176EB0" w:rsidRPr="0028286A">
              <w:t xml:space="preserve">: </w:t>
            </w:r>
            <w:r w:rsidR="00C73608">
              <w:t>This option has the worst integrity outcomes</w:t>
            </w:r>
            <w:r w:rsidR="009D2E9A">
              <w:t xml:space="preserve">. It is worse than the status quo; under existing settings, the top personal rate </w:t>
            </w:r>
            <w:r w:rsidR="00E84EAE">
              <w:t xml:space="preserve">is the same as </w:t>
            </w:r>
            <w:r w:rsidR="009D2E9A">
              <w:t xml:space="preserve">the trustee rate </w:t>
            </w:r>
            <w:r w:rsidR="00E84EAE">
              <w:t xml:space="preserve">and </w:t>
            </w:r>
            <w:r w:rsidR="00F63AA6">
              <w:t>5 percentage points</w:t>
            </w:r>
            <w:r w:rsidR="00E84EAE">
              <w:t xml:space="preserve"> higher than </w:t>
            </w:r>
            <w:r w:rsidR="009D2E9A">
              <w:t xml:space="preserve">the company rate and the top PIE rate. </w:t>
            </w:r>
            <w:r w:rsidR="00D808DF">
              <w:t>Under this option, that discrepancy would increase to an 11 percentage-point discrepancy between</w:t>
            </w:r>
            <w:r w:rsidR="00DD506B">
              <w:t xml:space="preserve"> the top personal rate versus the company rate and the top PIE rate, and</w:t>
            </w:r>
            <w:r w:rsidR="003F0F4A">
              <w:t xml:space="preserve"> it would</w:t>
            </w:r>
            <w:r w:rsidR="00DD506B">
              <w:t xml:space="preserve"> </w:t>
            </w:r>
            <w:r w:rsidR="00E84EAE">
              <w:t xml:space="preserve">introduce a </w:t>
            </w:r>
            <w:r w:rsidR="00DD506B">
              <w:t xml:space="preserve">6 percentage-point discrepancy between the top personal rate versus the trustee rate. </w:t>
            </w:r>
            <w:r w:rsidR="003D150A">
              <w:t xml:space="preserve">This </w:t>
            </w:r>
            <w:r w:rsidR="00EC4548">
              <w:t>will</w:t>
            </w:r>
            <w:r w:rsidR="003D150A">
              <w:t xml:space="preserve"> create significant incentives for </w:t>
            </w:r>
            <w:r w:rsidR="00EC4548">
              <w:t>entering into arrangements</w:t>
            </w:r>
            <w:r w:rsidR="00602A71">
              <w:t xml:space="preserve"> to avoid the 39 percent rat</w:t>
            </w:r>
            <w:r w:rsidR="00FC51D4">
              <w:t>e.</w:t>
            </w:r>
            <w:r w:rsidR="00B1490F">
              <w:t xml:space="preserve"> </w:t>
            </w:r>
            <w:r w:rsidR="00B03FA2">
              <w:t>The di</w:t>
            </w:r>
            <w:r w:rsidR="004C7E39">
              <w:t xml:space="preserve">fference between the top personal rate and the trustee rate is particularly significant, as </w:t>
            </w:r>
            <w:r w:rsidR="002669E1">
              <w:t>earning income through a trust is</w:t>
            </w:r>
            <w:r w:rsidR="004C7E39">
              <w:t xml:space="preserve"> the easiest </w:t>
            </w:r>
            <w:r w:rsidR="002669E1">
              <w:t>way to</w:t>
            </w:r>
            <w:r w:rsidR="0094197C">
              <w:t xml:space="preserve"> avoid the top personal tax rate</w:t>
            </w:r>
            <w:r w:rsidR="00FC51D4">
              <w:t>.</w:t>
            </w:r>
            <w:r w:rsidR="00A3520F">
              <w:t xml:space="preserve"> The </w:t>
            </w:r>
            <w:r w:rsidR="000C2565">
              <w:t xml:space="preserve">existing </w:t>
            </w:r>
            <w:r w:rsidR="00A3520F">
              <w:t xml:space="preserve">general anti-avoidance provision can provide some integrity protection, but this will be </w:t>
            </w:r>
            <w:r w:rsidR="006C112C">
              <w:t xml:space="preserve">incomplete </w:t>
            </w:r>
            <w:r w:rsidR="00A3520F">
              <w:t>due to the fact-specific nature of the inquiry required to apply anti-avoidance provisions</w:t>
            </w:r>
            <w:r w:rsidR="00F17350">
              <w:t xml:space="preserve"> as well as the requirement to demonstrate a more-than-merely-incidental purpose of tax avoidance</w:t>
            </w:r>
            <w:r w:rsidR="00A3520F">
              <w:t>.</w:t>
            </w:r>
          </w:p>
          <w:p w14:paraId="1777DDC3" w14:textId="6C834D37" w:rsidR="00470849" w:rsidRDefault="00470849" w:rsidP="0030521A">
            <w:pPr>
              <w:spacing w:after="0"/>
            </w:pPr>
          </w:p>
          <w:p w14:paraId="04362CD9" w14:textId="4969F651" w:rsidR="00470849" w:rsidRPr="00424A41" w:rsidRDefault="00470849" w:rsidP="0030521A">
            <w:pPr>
              <w:spacing w:after="0"/>
            </w:pPr>
            <w:r>
              <w:rPr>
                <w:b/>
                <w:bCs/>
              </w:rPr>
              <w:t xml:space="preserve">Revenue raised: </w:t>
            </w:r>
            <w:r w:rsidR="00424A41">
              <w:t xml:space="preserve">This option will raise more revenue than the status quo but the least compared to the other options due to the </w:t>
            </w:r>
            <w:r w:rsidR="0076334A">
              <w:t xml:space="preserve">opportunities </w:t>
            </w:r>
            <w:r w:rsidR="00424A41">
              <w:t>for structuring around the top personal income tax rate</w:t>
            </w:r>
            <w:r w:rsidR="000E735E">
              <w:t>, as well as trustee income continuing to be taxed at 33 percent rather than 39 percent</w:t>
            </w:r>
          </w:p>
          <w:p w14:paraId="284C0C5C" w14:textId="316DA58D" w:rsidR="0030521A" w:rsidRDefault="0030521A" w:rsidP="0030521A">
            <w:pPr>
              <w:pBdr>
                <w:bottom w:val="single" w:sz="6" w:space="1" w:color="auto"/>
              </w:pBdr>
              <w:spacing w:after="0"/>
            </w:pPr>
          </w:p>
          <w:p w14:paraId="721F0812" w14:textId="77777777" w:rsidR="001E2BFE" w:rsidRPr="0028286A" w:rsidRDefault="001E2BFE" w:rsidP="0030521A">
            <w:pPr>
              <w:spacing w:after="0"/>
            </w:pPr>
          </w:p>
          <w:p w14:paraId="6D51580A" w14:textId="44E529EB" w:rsidR="00176EB0" w:rsidRPr="003A5576" w:rsidRDefault="003C3FB0" w:rsidP="0030521A">
            <w:pPr>
              <w:spacing w:after="0"/>
              <w:rPr>
                <w:b/>
                <w:bCs/>
              </w:rPr>
            </w:pPr>
            <w:r w:rsidRPr="003A5576">
              <w:rPr>
                <w:b/>
                <w:bCs/>
              </w:rPr>
              <w:t>Option 3: Option 2 plus increasing the trustee income tax rate to 39 percent (alignment</w:t>
            </w:r>
            <w:r w:rsidR="003A6E25">
              <w:rPr>
                <w:b/>
                <w:bCs/>
              </w:rPr>
              <w:t xml:space="preserve"> </w:t>
            </w:r>
            <w:r w:rsidR="0088757F">
              <w:rPr>
                <w:b/>
                <w:bCs/>
              </w:rPr>
              <w:t>with</w:t>
            </w:r>
            <w:r w:rsidR="003A6E25">
              <w:rPr>
                <w:b/>
                <w:bCs/>
              </w:rPr>
              <w:t xml:space="preserve"> trustee rate</w:t>
            </w:r>
            <w:r w:rsidRPr="003A5576">
              <w:rPr>
                <w:b/>
                <w:bCs/>
              </w:rPr>
              <w:t xml:space="preserve"> but no integrity measures).</w:t>
            </w:r>
          </w:p>
          <w:p w14:paraId="16798FFF" w14:textId="10BC5EAD" w:rsidR="00ED16F0" w:rsidRPr="00237367" w:rsidRDefault="00ED16F0" w:rsidP="0030521A">
            <w:pPr>
              <w:spacing w:after="0"/>
            </w:pPr>
          </w:p>
          <w:p w14:paraId="2588C13B" w14:textId="2685F277" w:rsidR="00237367" w:rsidRDefault="00D44F8D" w:rsidP="0030521A">
            <w:pPr>
              <w:spacing w:after="0"/>
            </w:pPr>
            <w:r>
              <w:t xml:space="preserve">This option recognises the significant integrity concerns associated with </w:t>
            </w:r>
            <w:r w:rsidRPr="00D44F8D">
              <w:rPr>
                <w:b/>
                <w:bCs/>
              </w:rPr>
              <w:t>Option 2</w:t>
            </w:r>
            <w:r>
              <w:t xml:space="preserve"> and attempts to mitigate some of them </w:t>
            </w:r>
            <w:r w:rsidR="00435FBD">
              <w:t xml:space="preserve">by aligning the </w:t>
            </w:r>
            <w:r w:rsidR="00441CD6">
              <w:t xml:space="preserve">trustee rate </w:t>
            </w:r>
            <w:r w:rsidR="00A46E85">
              <w:t>with the proposed new top personal income tax rate. The top personal rate</w:t>
            </w:r>
            <w:r w:rsidR="00441CD6">
              <w:t xml:space="preserve"> and</w:t>
            </w:r>
            <w:r w:rsidR="00A46E85">
              <w:t xml:space="preserve"> trustee rate would </w:t>
            </w:r>
            <w:r w:rsidR="00D85003">
              <w:t>both</w:t>
            </w:r>
            <w:r w:rsidR="00A46E85">
              <w:t xml:space="preserve"> be 39 percent </w:t>
            </w:r>
            <w:r w:rsidR="00731394">
              <w:t>(though the</w:t>
            </w:r>
            <w:r w:rsidR="00D85003">
              <w:t xml:space="preserve"> top PIE rate and the</w:t>
            </w:r>
            <w:r w:rsidR="00731394">
              <w:t xml:space="preserve"> company rate would remain unaligned at 28</w:t>
            </w:r>
            <w:r w:rsidR="0095504B">
              <w:t xml:space="preserve"> percent</w:t>
            </w:r>
            <w:r w:rsidR="00731394">
              <w:t>).</w:t>
            </w:r>
            <w:r w:rsidR="00CB5217">
              <w:t xml:space="preserve"> No </w:t>
            </w:r>
            <w:r w:rsidR="00D85003">
              <w:t xml:space="preserve">integrity </w:t>
            </w:r>
            <w:r w:rsidR="00CB5217">
              <w:t xml:space="preserve">measures would be </w:t>
            </w:r>
            <w:r w:rsidR="006A2769">
              <w:t xml:space="preserve">investigated </w:t>
            </w:r>
            <w:r w:rsidR="00CB5217">
              <w:t xml:space="preserve">to guard against </w:t>
            </w:r>
            <w:r w:rsidR="00D85003">
              <w:t xml:space="preserve">structuring </w:t>
            </w:r>
            <w:r w:rsidR="00CB5217">
              <w:t>activities.</w:t>
            </w:r>
          </w:p>
          <w:p w14:paraId="1DB20401" w14:textId="51505ED9" w:rsidR="00CB5133" w:rsidRDefault="00CB5133" w:rsidP="0030521A">
            <w:pPr>
              <w:spacing w:after="0"/>
            </w:pPr>
          </w:p>
          <w:p w14:paraId="1353856C" w14:textId="10BF9098" w:rsidR="00CB5133" w:rsidRPr="00D44F8D" w:rsidRDefault="00CB5133" w:rsidP="0030521A">
            <w:pPr>
              <w:spacing w:after="0"/>
            </w:pPr>
            <w:r>
              <w:t xml:space="preserve">Potential downsides of this option include taxing some income </w:t>
            </w:r>
            <w:r w:rsidR="00F46B24">
              <w:t xml:space="preserve">accruing in trusts at 39 percent that may be attributable to lower-income beneficiaries. There are ways to mitigate this, such as </w:t>
            </w:r>
            <w:r w:rsidR="001E00DB">
              <w:t xml:space="preserve">distributing </w:t>
            </w:r>
            <w:r w:rsidR="00F46B24">
              <w:t>income to beneficiaries on lower rates</w:t>
            </w:r>
            <w:r w:rsidR="001E00DB">
              <w:t xml:space="preserve"> </w:t>
            </w:r>
            <w:r w:rsidR="000035B1">
              <w:t>as beneficiary income (so it is taxed at their marginal rates) rather than accumulating it in the trust. However</w:t>
            </w:r>
            <w:r w:rsidR="00D73EB0">
              <w:t>,</w:t>
            </w:r>
            <w:r w:rsidR="0042308A">
              <w:t xml:space="preserve"> these will have their own costs</w:t>
            </w:r>
            <w:r w:rsidR="000035B1">
              <w:t xml:space="preserve"> and may not always be</w:t>
            </w:r>
            <w:r w:rsidR="0052212B">
              <w:t xml:space="preserve"> feasible (for example</w:t>
            </w:r>
            <w:r w:rsidR="00D73EB0">
              <w:t>,</w:t>
            </w:r>
            <w:r w:rsidR="0052212B">
              <w:t xml:space="preserve"> the trust deed may call for restrictions on the distribution of income to beneficiaries</w:t>
            </w:r>
            <w:r w:rsidR="00D73EB0">
              <w:t xml:space="preserve"> such as</w:t>
            </w:r>
            <w:r w:rsidR="00A95AEC">
              <w:t xml:space="preserve"> </w:t>
            </w:r>
            <w:r w:rsidR="004D7ABF">
              <w:t>b</w:t>
            </w:r>
            <w:r w:rsidR="00A95AEC">
              <w:t>efore they reach a certain age)</w:t>
            </w:r>
            <w:r w:rsidR="0042308A">
              <w:t>.</w:t>
            </w:r>
            <w:r w:rsidR="000C2565">
              <w:t xml:space="preserve"> It would be possible to consult after the increase and then try to address over-taxation with any remedy having potentially retrospective effect, </w:t>
            </w:r>
            <w:r w:rsidR="004D7ABF">
              <w:t xml:space="preserve">though </w:t>
            </w:r>
            <w:r w:rsidR="000C2565">
              <w:t>this would not be an ideal consultation process.</w:t>
            </w:r>
          </w:p>
          <w:p w14:paraId="14DC6A7B" w14:textId="77777777" w:rsidR="00237367" w:rsidRPr="00237367" w:rsidRDefault="00237367" w:rsidP="0030521A">
            <w:pPr>
              <w:spacing w:after="0"/>
            </w:pPr>
          </w:p>
          <w:p w14:paraId="64AB7AAE" w14:textId="6E8BF0C3" w:rsidR="00176EB0" w:rsidRPr="004A5275" w:rsidRDefault="00176EB0" w:rsidP="0030521A">
            <w:pPr>
              <w:spacing w:after="0"/>
            </w:pPr>
            <w:r w:rsidRPr="001760C3">
              <w:rPr>
                <w:b/>
                <w:bCs/>
              </w:rPr>
              <w:t>Efficiency</w:t>
            </w:r>
            <w:r w:rsidRPr="0028286A">
              <w:t xml:space="preserve">: </w:t>
            </w:r>
            <w:r w:rsidR="004A5275">
              <w:t>There will be some efficiency costs</w:t>
            </w:r>
            <w:r w:rsidR="00415901">
              <w:t>,</w:t>
            </w:r>
            <w:r w:rsidR="004A5275">
              <w:t xml:space="preserve"> which are an inevitable part of raising the top marginal tax rate. </w:t>
            </w:r>
            <w:r w:rsidR="00A3063C">
              <w:t xml:space="preserve">By raising more revenue, the total efficiency costs are likely to be higher than </w:t>
            </w:r>
            <w:r w:rsidR="00A3063C" w:rsidRPr="00C96448">
              <w:rPr>
                <w:b/>
                <w:bCs/>
              </w:rPr>
              <w:t>Option 2</w:t>
            </w:r>
            <w:r w:rsidR="00A3063C">
              <w:t xml:space="preserve">. However, the efficiency costs per dollar of revenue raised </w:t>
            </w:r>
            <w:r w:rsidR="00A3063C" w:rsidRPr="00C96448">
              <w:t>are likely to be lower</w:t>
            </w:r>
            <w:r w:rsidR="00A3063C">
              <w:t xml:space="preserve"> </w:t>
            </w:r>
            <w:r w:rsidR="004A5275">
              <w:t>tha</w:t>
            </w:r>
            <w:r w:rsidR="00415901">
              <w:t>n</w:t>
            </w:r>
            <w:r w:rsidR="004A5275">
              <w:t xml:space="preserve"> </w:t>
            </w:r>
            <w:r w:rsidR="004A5275">
              <w:rPr>
                <w:b/>
                <w:bCs/>
              </w:rPr>
              <w:t xml:space="preserve">Option 2 </w:t>
            </w:r>
            <w:r w:rsidR="004A5275">
              <w:t xml:space="preserve">because it will mean that the higher top marginal tax rate is less able to be </w:t>
            </w:r>
            <w:r w:rsidR="00FC4921">
              <w:t>circumvented</w:t>
            </w:r>
            <w:r w:rsidR="00FC4921">
              <w:rPr>
                <w:rStyle w:val="FootnoteReference"/>
              </w:rPr>
              <w:footnoteReference w:id="18"/>
            </w:r>
            <w:r w:rsidR="004A5275">
              <w:t>.</w:t>
            </w:r>
            <w:r w:rsidR="00B57ACC">
              <w:t xml:space="preserve"> This is because trusts </w:t>
            </w:r>
            <w:r w:rsidR="002708B8">
              <w:t xml:space="preserve">are </w:t>
            </w:r>
            <w:r w:rsidR="00B57ACC">
              <w:t>one of the key vehicles for high-income individuals to use</w:t>
            </w:r>
            <w:r w:rsidR="008E438B">
              <w:t xml:space="preserve"> when a gap between the top personal rate and the trustee rate exists, which is nullified under this option.</w:t>
            </w:r>
          </w:p>
          <w:p w14:paraId="4B747BE6" w14:textId="77777777" w:rsidR="00576241" w:rsidRPr="0028286A" w:rsidRDefault="00576241" w:rsidP="0030521A">
            <w:pPr>
              <w:spacing w:after="0"/>
            </w:pPr>
          </w:p>
          <w:p w14:paraId="5E4BD708" w14:textId="5EB73107" w:rsidR="00DC37EE" w:rsidRDefault="00DC37EE" w:rsidP="0030521A">
            <w:pPr>
              <w:spacing w:after="0"/>
            </w:pPr>
            <w:r w:rsidRPr="001760C3">
              <w:rPr>
                <w:b/>
                <w:bCs/>
              </w:rPr>
              <w:t>Equity</w:t>
            </w:r>
            <w:r w:rsidRPr="0028286A">
              <w:t>:</w:t>
            </w:r>
            <w:r w:rsidR="00E907FC">
              <w:t xml:space="preserve"> </w:t>
            </w:r>
            <w:r w:rsidR="006945DF">
              <w:t>Increases in the top personal rate</w:t>
            </w:r>
            <w:r w:rsidR="008F4FB4">
              <w:t xml:space="preserve"> and</w:t>
            </w:r>
            <w:r w:rsidR="006945DF">
              <w:t xml:space="preserve"> the trustee rate</w:t>
            </w:r>
            <w:r w:rsidR="004614C9">
              <w:t xml:space="preserve"> </w:t>
            </w:r>
            <w:r w:rsidR="00B43276">
              <w:t xml:space="preserve">will do a better job of </w:t>
            </w:r>
            <w:r w:rsidR="004A5275">
              <w:t xml:space="preserve">raising additional tax revenue in a way </w:t>
            </w:r>
            <w:r w:rsidR="00415901">
              <w:t>that</w:t>
            </w:r>
            <w:r w:rsidR="004A5275">
              <w:t xml:space="preserve"> supports the Government’s </w:t>
            </w:r>
            <w:r w:rsidR="00856D92">
              <w:t>vertical</w:t>
            </w:r>
            <w:r w:rsidR="00B43276">
              <w:t xml:space="preserve"> equity </w:t>
            </w:r>
            <w:r w:rsidR="004A5275">
              <w:t xml:space="preserve">objectives </w:t>
            </w:r>
            <w:r w:rsidR="00B43276">
              <w:t>than</w:t>
            </w:r>
            <w:r w:rsidR="008F4FB4">
              <w:t xml:space="preserve"> </w:t>
            </w:r>
            <w:r w:rsidR="008F4FB4" w:rsidRPr="008F4FB4">
              <w:rPr>
                <w:b/>
                <w:bCs/>
              </w:rPr>
              <w:t>Option 1</w:t>
            </w:r>
            <w:r w:rsidR="008F4FB4">
              <w:t xml:space="preserve"> or</w:t>
            </w:r>
            <w:r w:rsidR="00B43276">
              <w:t xml:space="preserve"> </w:t>
            </w:r>
            <w:r w:rsidR="00B43276" w:rsidRPr="00B43276">
              <w:rPr>
                <w:b/>
                <w:bCs/>
              </w:rPr>
              <w:t>Option 2</w:t>
            </w:r>
            <w:r w:rsidR="00B43276">
              <w:t xml:space="preserve"> as the changes will ensure a broader</w:t>
            </w:r>
            <w:r w:rsidR="00214571">
              <w:t xml:space="preserve"> range of income will be taxable at the new 39 percent rate.</w:t>
            </w:r>
            <w:r w:rsidR="007769B7">
              <w:t xml:space="preserve"> Increasing </w:t>
            </w:r>
            <w:r w:rsidR="008F4FB4">
              <w:t>both</w:t>
            </w:r>
            <w:r w:rsidR="007769B7">
              <w:t xml:space="preserve"> of these rates will be perceived to be fair</w:t>
            </w:r>
            <w:r w:rsidR="0090497D">
              <w:t>er</w:t>
            </w:r>
            <w:r w:rsidR="007769B7">
              <w:t xml:space="preserve"> </w:t>
            </w:r>
            <w:r w:rsidR="008D35A3">
              <w:t>from a horizontal equity perspective compared to only introducing the new personal rate. However</w:t>
            </w:r>
            <w:r w:rsidR="0090497D">
              <w:t>,</w:t>
            </w:r>
            <w:r w:rsidR="00214571">
              <w:t xml:space="preserve"> </w:t>
            </w:r>
            <w:r w:rsidR="008D35A3">
              <w:t>o</w:t>
            </w:r>
            <w:r w:rsidR="00856D92">
              <w:t xml:space="preserve">pportunities for structuring </w:t>
            </w:r>
            <w:r w:rsidR="00377108">
              <w:t xml:space="preserve">will </w:t>
            </w:r>
            <w:r w:rsidR="00856D92">
              <w:t xml:space="preserve">still </w:t>
            </w:r>
            <w:r w:rsidR="006B5544">
              <w:t xml:space="preserve">reduce </w:t>
            </w:r>
            <w:r w:rsidR="00856D92">
              <w:t>horizontal equity</w:t>
            </w:r>
            <w:r w:rsidR="00377108">
              <w:t>, making this option worse than the status quo on horizontal equity</w:t>
            </w:r>
            <w:r w:rsidR="00856D92">
              <w:t xml:space="preserve">. </w:t>
            </w:r>
          </w:p>
          <w:p w14:paraId="04C6A6A9" w14:textId="77777777" w:rsidR="00576241" w:rsidRPr="0028286A" w:rsidRDefault="00576241" w:rsidP="0030521A">
            <w:pPr>
              <w:spacing w:after="0"/>
            </w:pPr>
          </w:p>
          <w:p w14:paraId="218E5994" w14:textId="635F4788" w:rsidR="00176EB0" w:rsidRDefault="00176EB0" w:rsidP="0030521A">
            <w:pPr>
              <w:spacing w:after="0"/>
            </w:pPr>
            <w:r w:rsidRPr="001760C3">
              <w:rPr>
                <w:b/>
                <w:bCs/>
              </w:rPr>
              <w:t>Complexity</w:t>
            </w:r>
            <w:r w:rsidRPr="0028286A">
              <w:t xml:space="preserve">: </w:t>
            </w:r>
            <w:r w:rsidR="00BA145F">
              <w:t xml:space="preserve">This option involves </w:t>
            </w:r>
            <w:r w:rsidR="006400E9">
              <w:t xml:space="preserve">two </w:t>
            </w:r>
            <w:r w:rsidR="00BA145F">
              <w:t>rate changes but</w:t>
            </w:r>
            <w:r w:rsidR="00D73EB0">
              <w:t>,</w:t>
            </w:r>
            <w:r w:rsidR="00BA145F">
              <w:t xml:space="preserve"> </w:t>
            </w:r>
            <w:r w:rsidR="00757270">
              <w:t xml:space="preserve">in </w:t>
            </w:r>
            <w:r w:rsidR="00590253">
              <w:t>Inland Revenue’s</w:t>
            </w:r>
            <w:r w:rsidR="00D73EB0">
              <w:t xml:space="preserve"> </w:t>
            </w:r>
            <w:r w:rsidR="00757270">
              <w:t>view</w:t>
            </w:r>
            <w:r w:rsidR="00D73EB0">
              <w:t>,</w:t>
            </w:r>
            <w:r w:rsidR="00757270">
              <w:t xml:space="preserve"> would</w:t>
            </w:r>
            <w:r w:rsidR="00BA145F">
              <w:t xml:space="preserve"> be </w:t>
            </w:r>
            <w:r w:rsidR="00E44A84">
              <w:t>less complex</w:t>
            </w:r>
            <w:r w:rsidR="00BA145F">
              <w:t xml:space="preserve"> than having </w:t>
            </w:r>
            <w:r w:rsidR="002A6E23">
              <w:t>the top personal rate at 39 percent</w:t>
            </w:r>
            <w:r w:rsidR="00B812AD">
              <w:t xml:space="preserve"> and</w:t>
            </w:r>
            <w:r w:rsidR="002A6E23">
              <w:t xml:space="preserve"> the trustee rate at 33 percent</w:t>
            </w:r>
            <w:r w:rsidR="00BA145F">
              <w:t xml:space="preserve">. </w:t>
            </w:r>
            <w:r w:rsidR="000C2565">
              <w:t>Not developing integrity measures</w:t>
            </w:r>
            <w:r w:rsidR="006059D2">
              <w:t xml:space="preserve"> under this option also means it </w:t>
            </w:r>
            <w:r w:rsidR="000C2565">
              <w:t>would not be</w:t>
            </w:r>
            <w:r w:rsidR="006059D2">
              <w:t xml:space="preserve"> </w:t>
            </w:r>
            <w:r w:rsidR="00866204">
              <w:t xml:space="preserve">significantly </w:t>
            </w:r>
            <w:r w:rsidR="006059D2">
              <w:t>complex</w:t>
            </w:r>
            <w:r w:rsidR="00866204">
              <w:t xml:space="preserve"> compared to other options</w:t>
            </w:r>
            <w:r w:rsidR="006059D2">
              <w:t>.</w:t>
            </w:r>
          </w:p>
          <w:p w14:paraId="5D1E5B11" w14:textId="77777777" w:rsidR="00576241" w:rsidRPr="0028286A" w:rsidRDefault="00576241" w:rsidP="0030521A">
            <w:pPr>
              <w:spacing w:after="0"/>
            </w:pPr>
          </w:p>
          <w:p w14:paraId="58880025" w14:textId="48C0F05D" w:rsidR="001E2BFE" w:rsidRDefault="00143738" w:rsidP="0030521A">
            <w:pPr>
              <w:pBdr>
                <w:bottom w:val="single" w:sz="6" w:space="1" w:color="auto"/>
              </w:pBdr>
              <w:spacing w:after="0"/>
            </w:pPr>
            <w:r>
              <w:rPr>
                <w:b/>
                <w:bCs/>
              </w:rPr>
              <w:t>I</w:t>
            </w:r>
            <w:r w:rsidR="00176EB0" w:rsidRPr="001760C3">
              <w:rPr>
                <w:b/>
                <w:bCs/>
              </w:rPr>
              <w:t>ntegrity</w:t>
            </w:r>
            <w:r w:rsidR="00176EB0" w:rsidRPr="006E4246">
              <w:t>:</w:t>
            </w:r>
            <w:r w:rsidR="00D7331F">
              <w:t xml:space="preserve"> By </w:t>
            </w:r>
            <w:r w:rsidR="003E4C1F">
              <w:t>aligning the trustee rate with the top personal rate</w:t>
            </w:r>
            <w:r w:rsidR="00872961">
              <w:t xml:space="preserve">, this option improves on the integrity concerns </w:t>
            </w:r>
            <w:r w:rsidR="00205A91">
              <w:t xml:space="preserve">associated with only introducing a new top personal rate. </w:t>
            </w:r>
            <w:r w:rsidR="000430DE">
              <w:t>C</w:t>
            </w:r>
            <w:r w:rsidR="00065859">
              <w:t>ompanies</w:t>
            </w:r>
            <w:r w:rsidR="00F35D4A">
              <w:t xml:space="preserve"> and PIEs</w:t>
            </w:r>
            <w:r w:rsidR="00065859">
              <w:t xml:space="preserve"> would still be potential vehicle</w:t>
            </w:r>
            <w:r w:rsidR="00C45C2C">
              <w:t>s</w:t>
            </w:r>
            <w:r w:rsidR="00065859">
              <w:t xml:space="preserve"> for </w:t>
            </w:r>
            <w:r w:rsidR="008734C5">
              <w:t>stepping around</w:t>
            </w:r>
            <w:r w:rsidR="00065859">
              <w:t xml:space="preserve"> the 39 percent rate, </w:t>
            </w:r>
            <w:r w:rsidR="000430DE">
              <w:t>but this option would leave taxpayers with signif</w:t>
            </w:r>
            <w:r w:rsidR="00851F92">
              <w:t>icantly fewer avenues for tax-driven restructuring</w:t>
            </w:r>
            <w:r w:rsidR="00B53EAE">
              <w:t xml:space="preserve"> (and would eliminate the easiest way to sidestep the rate)</w:t>
            </w:r>
            <w:r w:rsidR="00851F92">
              <w:t xml:space="preserve">. </w:t>
            </w:r>
            <w:r w:rsidR="00836754">
              <w:t xml:space="preserve">From an integrity perspective, it would </w:t>
            </w:r>
            <w:r w:rsidR="00DA34C5">
              <w:t xml:space="preserve">lack </w:t>
            </w:r>
            <w:r w:rsidR="000C2565" w:rsidRPr="00C96448">
              <w:t>any</w:t>
            </w:r>
            <w:r w:rsidR="00D94CB4">
              <w:t xml:space="preserve"> </w:t>
            </w:r>
            <w:r w:rsidR="00DA34C5">
              <w:t>further</w:t>
            </w:r>
            <w:r w:rsidR="00870122">
              <w:t xml:space="preserve"> measures to buttress the higher rates, which are </w:t>
            </w:r>
            <w:r w:rsidR="00D94CB4">
              <w:t>present in some of the other</w:t>
            </w:r>
            <w:r w:rsidR="00A57894">
              <w:t xml:space="preserve"> </w:t>
            </w:r>
            <w:r w:rsidR="00870122">
              <w:t>option</w:t>
            </w:r>
            <w:r w:rsidR="00A57894">
              <w:t>s</w:t>
            </w:r>
            <w:r w:rsidR="00870122">
              <w:t xml:space="preserve">. </w:t>
            </w:r>
          </w:p>
          <w:p w14:paraId="5AE476D2" w14:textId="09AF3C92" w:rsidR="006E4246" w:rsidRDefault="006E4246" w:rsidP="0030521A">
            <w:pPr>
              <w:pBdr>
                <w:bottom w:val="single" w:sz="6" w:space="1" w:color="auto"/>
              </w:pBdr>
              <w:spacing w:after="0"/>
            </w:pPr>
          </w:p>
          <w:p w14:paraId="22B35E32" w14:textId="7F69DAE1" w:rsidR="006E4246" w:rsidRDefault="006E4246" w:rsidP="0030521A">
            <w:pPr>
              <w:pBdr>
                <w:bottom w:val="single" w:sz="6" w:space="1" w:color="auto"/>
              </w:pBdr>
              <w:spacing w:after="0"/>
            </w:pPr>
            <w:r w:rsidRPr="006E4246">
              <w:rPr>
                <w:b/>
                <w:bCs/>
              </w:rPr>
              <w:t>Revenue raised</w:t>
            </w:r>
            <w:r w:rsidRPr="006E4246">
              <w:t>:</w:t>
            </w:r>
            <w:r>
              <w:t xml:space="preserve"> </w:t>
            </w:r>
            <w:r w:rsidR="009767C8">
              <w:t xml:space="preserve">Increasing the trustee rate </w:t>
            </w:r>
            <w:r w:rsidR="00B950C8">
              <w:t xml:space="preserve">to 39 percent </w:t>
            </w:r>
            <w:r w:rsidR="009767C8">
              <w:t xml:space="preserve">will increase revenue in </w:t>
            </w:r>
            <w:r w:rsidR="00065ECC">
              <w:t>addition to the revenue collected through the 39 percent</w:t>
            </w:r>
            <w:r w:rsidR="0063619C">
              <w:t xml:space="preserve"> personal</w:t>
            </w:r>
            <w:r w:rsidR="00065ECC">
              <w:t xml:space="preserve"> rate. This option will also ensure less leakage from the </w:t>
            </w:r>
            <w:r w:rsidR="007715FC">
              <w:t xml:space="preserve">personal </w:t>
            </w:r>
            <w:r w:rsidR="00065ECC">
              <w:t xml:space="preserve">tax system by </w:t>
            </w:r>
            <w:r w:rsidR="001B7F5D">
              <w:t xml:space="preserve">mitigating structuring opportunities, meaning that more people earning income above $180,000 will pay the 39 percent rate compared to </w:t>
            </w:r>
            <w:r w:rsidR="001B7F5D" w:rsidRPr="001B7F5D">
              <w:rPr>
                <w:b/>
                <w:bCs/>
              </w:rPr>
              <w:t>Option 2</w:t>
            </w:r>
            <w:r w:rsidR="001B7F5D">
              <w:t xml:space="preserve">. </w:t>
            </w:r>
            <w:r w:rsidR="007715FC">
              <w:t xml:space="preserve">Of these two channels, the majority of the revenue increase arises through the first (higher rate on trustee income). </w:t>
            </w:r>
          </w:p>
          <w:p w14:paraId="6D0F399C" w14:textId="380B46B9" w:rsidR="00176EB0" w:rsidRPr="0028286A" w:rsidRDefault="00176EB0" w:rsidP="0030521A">
            <w:pPr>
              <w:pBdr>
                <w:bottom w:val="single" w:sz="6" w:space="1" w:color="auto"/>
              </w:pBdr>
              <w:spacing w:after="0"/>
            </w:pPr>
          </w:p>
          <w:p w14:paraId="5AC6DDB7" w14:textId="77777777" w:rsidR="001E2BFE" w:rsidRPr="0028286A" w:rsidRDefault="001E2BFE" w:rsidP="0030521A">
            <w:pPr>
              <w:spacing w:after="0"/>
            </w:pPr>
          </w:p>
          <w:p w14:paraId="09054389" w14:textId="4B045FD3" w:rsidR="003C3FB0" w:rsidRPr="003A5576" w:rsidRDefault="003C3FB0" w:rsidP="003C3FB0">
            <w:pPr>
              <w:spacing w:after="0"/>
              <w:rPr>
                <w:b/>
                <w:bCs/>
              </w:rPr>
            </w:pPr>
            <w:r w:rsidRPr="003A5576">
              <w:rPr>
                <w:b/>
                <w:bCs/>
              </w:rPr>
              <w:t xml:space="preserve">Option 4: Option 2 plus </w:t>
            </w:r>
            <w:r w:rsidR="000C2565">
              <w:rPr>
                <w:b/>
                <w:bCs/>
              </w:rPr>
              <w:t>investigating</w:t>
            </w:r>
            <w:r w:rsidR="000C2565" w:rsidRPr="003A5576">
              <w:rPr>
                <w:b/>
                <w:bCs/>
              </w:rPr>
              <w:t xml:space="preserve"> </w:t>
            </w:r>
            <w:r w:rsidRPr="003A5576">
              <w:rPr>
                <w:b/>
                <w:bCs/>
              </w:rPr>
              <w:t>integrity measures to buttress the new higher personal income tax rate (no alignment but integrity measures).</w:t>
            </w:r>
          </w:p>
          <w:p w14:paraId="153B9808" w14:textId="4991319F" w:rsidR="00ED16F0" w:rsidRPr="00237367" w:rsidRDefault="00ED16F0" w:rsidP="0030521A">
            <w:pPr>
              <w:spacing w:after="0"/>
            </w:pPr>
          </w:p>
          <w:p w14:paraId="424BAF90" w14:textId="77777777" w:rsidR="00917D46" w:rsidRDefault="00870122" w:rsidP="00C82DC0">
            <w:pPr>
              <w:spacing w:after="0"/>
            </w:pPr>
            <w:r>
              <w:t>Under this option,</w:t>
            </w:r>
            <w:r w:rsidR="0080799C">
              <w:t xml:space="preserve"> the introduction of the new top personal income tax rate is not matched by </w:t>
            </w:r>
            <w:r w:rsidR="005D369E">
              <w:t xml:space="preserve">a </w:t>
            </w:r>
            <w:r w:rsidR="00BE126E">
              <w:t xml:space="preserve">corresponding increase in the trustee rate. Instead, integrity concerns are </w:t>
            </w:r>
            <w:r w:rsidR="006A210F">
              <w:t xml:space="preserve">addressed </w:t>
            </w:r>
            <w:r w:rsidR="00BE126E">
              <w:t xml:space="preserve">to an extent by </w:t>
            </w:r>
            <w:r w:rsidR="00FC1C59">
              <w:t xml:space="preserve">investigating and developing </w:t>
            </w:r>
            <w:r w:rsidR="00BE126E">
              <w:t xml:space="preserve">specific integrity measures to minimise </w:t>
            </w:r>
            <w:r w:rsidR="00FE77DB">
              <w:t xml:space="preserve">opportunities for tax-motivated structuring </w:t>
            </w:r>
            <w:r w:rsidR="00936545">
              <w:t>activity</w:t>
            </w:r>
            <w:r w:rsidR="00FE77DB">
              <w:t xml:space="preserve"> in the absence of rate alignment.</w:t>
            </w:r>
            <w:r w:rsidR="00A2728A">
              <w:t xml:space="preserve"> </w:t>
            </w:r>
            <w:r w:rsidR="007F161F">
              <w:t>I</w:t>
            </w:r>
            <w:r w:rsidR="002A75EC">
              <w:t xml:space="preserve">ntegrity measures </w:t>
            </w:r>
            <w:r w:rsidR="00936545">
              <w:t xml:space="preserve">alone are less ideal than alignment for </w:t>
            </w:r>
            <w:r w:rsidR="006B1C18">
              <w:t xml:space="preserve">countering </w:t>
            </w:r>
            <w:r w:rsidR="00936545">
              <w:t>structuring arrangements.</w:t>
            </w:r>
            <w:r w:rsidR="000F692C">
              <w:t xml:space="preserve"> They are more complex and</w:t>
            </w:r>
            <w:r w:rsidR="00B92EEB">
              <w:t xml:space="preserve"> </w:t>
            </w:r>
            <w:r w:rsidR="00A2728A">
              <w:t>Inland Revenue</w:t>
            </w:r>
            <w:r w:rsidR="0080688C">
              <w:t xml:space="preserve"> would expect them to be </w:t>
            </w:r>
            <w:r w:rsidR="00072840">
              <w:t xml:space="preserve">less effective </w:t>
            </w:r>
            <w:r w:rsidR="0080688C">
              <w:t xml:space="preserve">than rate alignment </w:t>
            </w:r>
            <w:r w:rsidR="00072840">
              <w:t>in preventing</w:t>
            </w:r>
            <w:r w:rsidR="00447111">
              <w:t xml:space="preserve"> </w:t>
            </w:r>
            <w:r w:rsidR="004A738A">
              <w:t xml:space="preserve">income earned </w:t>
            </w:r>
            <w:r w:rsidR="00447111">
              <w:t>by a 39</w:t>
            </w:r>
            <w:r w:rsidR="00A2728A">
              <w:t xml:space="preserve"> percent</w:t>
            </w:r>
            <w:r w:rsidR="00447111">
              <w:t xml:space="preserve"> taxpayer </w:t>
            </w:r>
            <w:r w:rsidR="000C59B0">
              <w:t>from being taxed at</w:t>
            </w:r>
            <w:r w:rsidR="004A738A">
              <w:t xml:space="preserve"> 33</w:t>
            </w:r>
            <w:r w:rsidR="00A2728A">
              <w:t xml:space="preserve"> percent</w:t>
            </w:r>
            <w:r w:rsidR="00031391">
              <w:t>.</w:t>
            </w:r>
            <w:r w:rsidR="00B92EEB">
              <w:t xml:space="preserve"> </w:t>
            </w:r>
            <w:r w:rsidR="00D63477">
              <w:t xml:space="preserve">The measures themselves require more development and Inland Revenue would prefer that </w:t>
            </w:r>
            <w:r w:rsidR="005857EC">
              <w:t xml:space="preserve">these </w:t>
            </w:r>
            <w:r w:rsidR="00D63477">
              <w:t xml:space="preserve">measures were not </w:t>
            </w:r>
          </w:p>
          <w:p w14:paraId="55D9E140" w14:textId="14079BBA" w:rsidR="00576241" w:rsidRDefault="00D63477" w:rsidP="008B0757">
            <w:pPr>
              <w:spacing w:after="0" w:line="240" w:lineRule="auto"/>
            </w:pPr>
            <w:r>
              <w:t xml:space="preserve">brought in until 1 April 2022 to allow for sufficient </w:t>
            </w:r>
            <w:r w:rsidR="005857EC">
              <w:t xml:space="preserve">consultation. </w:t>
            </w:r>
            <w:r w:rsidR="00D50F9D" w:rsidRPr="008B0757">
              <w:rPr>
                <w:shd w:val="clear" w:color="auto" w:fill="BFBFBF" w:themeFill="background1" w:themeFillShade="BF"/>
              </w:rPr>
              <w:t>s</w:t>
            </w:r>
            <w:r w:rsidR="00917D46" w:rsidRPr="008B0757">
              <w:rPr>
                <w:shd w:val="clear" w:color="auto" w:fill="BFBFBF" w:themeFill="background1" w:themeFillShade="BF"/>
              </w:rPr>
              <w:t xml:space="preserve"> 9(2)(f)(iv)</w:t>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C82DC0" w:rsidRPr="008B0757">
              <w:rPr>
                <w:color w:val="BFBFBF" w:themeColor="background1" w:themeShade="BF"/>
                <w:shd w:val="clear" w:color="auto" w:fill="BFBFBF" w:themeFill="background1" w:themeFillShade="BF"/>
              </w:rPr>
              <w:br/>
            </w:r>
            <w:r w:rsidR="00D50F9D" w:rsidRPr="008B0757">
              <w:rPr>
                <w:color w:val="BFBFBF" w:themeColor="background1" w:themeShade="BF"/>
                <w:shd w:val="clear" w:color="auto" w:fill="BFBFBF" w:themeFill="background1" w:themeFillShade="BF"/>
              </w:rPr>
              <w:t>……………………………………………………………………………………………………….</w:t>
            </w:r>
            <w:r w:rsidR="008B0757" w:rsidRPr="008B0757">
              <w:rPr>
                <w:color w:val="BFBFBF" w:themeColor="background1" w:themeShade="BF"/>
                <w:shd w:val="clear" w:color="auto" w:fill="BFBFBF" w:themeFill="background1" w:themeFillShade="BF"/>
              </w:rPr>
              <w:br/>
            </w:r>
            <w:r w:rsidR="008B0757" w:rsidRPr="008B0757">
              <w:rPr>
                <w:color w:val="BFBFBF" w:themeColor="background1" w:themeShade="BF"/>
                <w:shd w:val="clear" w:color="auto" w:fill="BFBFBF" w:themeFill="background1" w:themeFillShade="BF"/>
              </w:rPr>
              <w:t>……………………………………………………………………………………………………….</w:t>
            </w:r>
          </w:p>
          <w:p w14:paraId="7D69FC7B" w14:textId="77777777" w:rsidR="008B0757" w:rsidRPr="00237367" w:rsidRDefault="008B0757" w:rsidP="00C82DC0">
            <w:pPr>
              <w:spacing w:after="0"/>
            </w:pPr>
          </w:p>
          <w:p w14:paraId="43BD9974" w14:textId="5C714B03" w:rsidR="00176EB0" w:rsidRDefault="00176EB0" w:rsidP="0030521A">
            <w:pPr>
              <w:spacing w:after="0"/>
            </w:pPr>
            <w:r w:rsidRPr="001760C3">
              <w:rPr>
                <w:b/>
                <w:bCs/>
              </w:rPr>
              <w:t>Efficiency</w:t>
            </w:r>
            <w:r w:rsidRPr="0028286A">
              <w:t xml:space="preserve">: </w:t>
            </w:r>
            <w:r w:rsidR="009015ED">
              <w:t>Again</w:t>
            </w:r>
            <w:r w:rsidR="00891E50">
              <w:t>,</w:t>
            </w:r>
            <w:r w:rsidR="009015ED">
              <w:t xml:space="preserve"> this would involve the inevitable efficiency costs associated with raising the top marginal tax rate. It is likely to involve </w:t>
            </w:r>
            <w:r w:rsidR="006B1C18">
              <w:t xml:space="preserve">lower </w:t>
            </w:r>
            <w:r w:rsidR="009015ED">
              <w:t xml:space="preserve">efficiency costs per dollar of revenue raised than </w:t>
            </w:r>
            <w:r w:rsidR="00891E50" w:rsidRPr="00891E50">
              <w:rPr>
                <w:b/>
                <w:bCs/>
              </w:rPr>
              <w:t>O</w:t>
            </w:r>
            <w:r w:rsidR="009015ED" w:rsidRPr="00891E50">
              <w:rPr>
                <w:b/>
                <w:bCs/>
              </w:rPr>
              <w:t>ption 2</w:t>
            </w:r>
            <w:r w:rsidR="009015ED">
              <w:t xml:space="preserve"> but higher efficiency costs per dollar of revenue raised than </w:t>
            </w:r>
            <w:r w:rsidR="00891E50" w:rsidRPr="00891E50">
              <w:rPr>
                <w:b/>
                <w:bCs/>
              </w:rPr>
              <w:t>O</w:t>
            </w:r>
            <w:r w:rsidR="009015ED" w:rsidRPr="00891E50">
              <w:rPr>
                <w:b/>
                <w:bCs/>
              </w:rPr>
              <w:t>ption 3</w:t>
            </w:r>
            <w:r w:rsidR="009015ED">
              <w:t xml:space="preserve"> as it would be a less effective way of preventing the top marginal tax rate from being </w:t>
            </w:r>
            <w:r w:rsidR="00412D36">
              <w:t>circumvented</w:t>
            </w:r>
            <w:r w:rsidR="009015ED">
              <w:t>.</w:t>
            </w:r>
            <w:r w:rsidR="00A3063C">
              <w:t xml:space="preserve"> Total efficiency costs will depend on the nature of the integrity measures and the aggregate revenue they raise</w:t>
            </w:r>
            <w:r w:rsidR="00E33762">
              <w:t>, though this is unable to be quantified</w:t>
            </w:r>
            <w:r w:rsidR="00A3063C">
              <w:t>.</w:t>
            </w:r>
          </w:p>
          <w:p w14:paraId="233E3298" w14:textId="77777777" w:rsidR="00576241" w:rsidRPr="0028286A" w:rsidRDefault="00576241" w:rsidP="0030521A">
            <w:pPr>
              <w:spacing w:after="0"/>
            </w:pPr>
          </w:p>
          <w:p w14:paraId="66C7FDA3" w14:textId="775CFFB0" w:rsidR="00DC37EE" w:rsidRDefault="00DC37EE" w:rsidP="0030521A">
            <w:pPr>
              <w:spacing w:after="0"/>
            </w:pPr>
            <w:r w:rsidRPr="001760C3">
              <w:rPr>
                <w:b/>
                <w:bCs/>
              </w:rPr>
              <w:t>Equity</w:t>
            </w:r>
            <w:r w:rsidRPr="0028286A">
              <w:t>:</w:t>
            </w:r>
            <w:r w:rsidR="008517B2">
              <w:t xml:space="preserve"> </w:t>
            </w:r>
            <w:r w:rsidR="00F672F6">
              <w:t>Introducing integrity measures may be perceived to be closing tax loopholes and therefor</w:t>
            </w:r>
            <w:r w:rsidR="00AB243D">
              <w:t xml:space="preserve">e </w:t>
            </w:r>
            <w:r w:rsidR="008A7CD1">
              <w:t>better meet</w:t>
            </w:r>
            <w:r w:rsidR="00204018">
              <w:t>s</w:t>
            </w:r>
            <w:r w:rsidR="00AB243D">
              <w:t xml:space="preserve"> horizontal equity</w:t>
            </w:r>
            <w:r w:rsidR="008A7CD1">
              <w:t xml:space="preserve"> objectives</w:t>
            </w:r>
            <w:r w:rsidR="00A27656">
              <w:t xml:space="preserve"> compared to </w:t>
            </w:r>
            <w:r w:rsidR="00A27656" w:rsidRPr="00A27656">
              <w:rPr>
                <w:b/>
                <w:bCs/>
              </w:rPr>
              <w:t>Option 2</w:t>
            </w:r>
            <w:r w:rsidR="00AB243D">
              <w:t xml:space="preserve"> (as the measures will prevent </w:t>
            </w:r>
            <w:r w:rsidR="00F02B4A">
              <w:t>some</w:t>
            </w:r>
            <w:r w:rsidR="00AB243D">
              <w:t xml:space="preserve"> instances of taxpayers structuring their way out of the 39 percent rate).</w:t>
            </w:r>
            <w:r w:rsidR="00A27656">
              <w:t xml:space="preserve"> However, it is still worse than the status quo </w:t>
            </w:r>
            <w:r w:rsidR="00F02B4A">
              <w:t xml:space="preserve">in terms of horizonal equity </w:t>
            </w:r>
            <w:r w:rsidR="00A27656">
              <w:t xml:space="preserve">because </w:t>
            </w:r>
            <w:r w:rsidR="00F02B4A">
              <w:t>opportunities for avoidance will still remain open to some taxpayers</w:t>
            </w:r>
            <w:r w:rsidR="00A27656">
              <w:t>.</w:t>
            </w:r>
            <w:r w:rsidR="00AB243D">
              <w:t xml:space="preserve"> </w:t>
            </w:r>
            <w:r w:rsidR="009015ED">
              <w:t>The Government’s v</w:t>
            </w:r>
            <w:r w:rsidR="001D558E">
              <w:t>ertical equity</w:t>
            </w:r>
            <w:r w:rsidR="009015ED">
              <w:t xml:space="preserve"> objectives are likely to be</w:t>
            </w:r>
            <w:r w:rsidR="001D558E">
              <w:t xml:space="preserve"> </w:t>
            </w:r>
            <w:r w:rsidR="008A7CD1">
              <w:t>better met</w:t>
            </w:r>
            <w:r w:rsidR="001D558E">
              <w:t xml:space="preserve"> </w:t>
            </w:r>
            <w:r w:rsidR="00721E7A">
              <w:t xml:space="preserve">than </w:t>
            </w:r>
            <w:r w:rsidR="00C47487">
              <w:t xml:space="preserve">under </w:t>
            </w:r>
            <w:r w:rsidR="00C47487" w:rsidRPr="00C47487">
              <w:rPr>
                <w:b/>
                <w:bCs/>
              </w:rPr>
              <w:t>O</w:t>
            </w:r>
            <w:r w:rsidR="00721E7A" w:rsidRPr="00C47487">
              <w:rPr>
                <w:b/>
                <w:bCs/>
              </w:rPr>
              <w:t>ption 1</w:t>
            </w:r>
            <w:r w:rsidR="00721E7A">
              <w:t xml:space="preserve"> </w:t>
            </w:r>
            <w:r w:rsidR="00C47487">
              <w:t xml:space="preserve">and </w:t>
            </w:r>
            <w:r w:rsidR="00C47487" w:rsidRPr="00C47487">
              <w:rPr>
                <w:b/>
                <w:bCs/>
              </w:rPr>
              <w:t>Option</w:t>
            </w:r>
            <w:r w:rsidR="002629A4" w:rsidRPr="00C47487">
              <w:rPr>
                <w:b/>
                <w:bCs/>
              </w:rPr>
              <w:t xml:space="preserve"> </w:t>
            </w:r>
            <w:r w:rsidR="00A36A4B">
              <w:rPr>
                <w:b/>
                <w:bCs/>
              </w:rPr>
              <w:t>2</w:t>
            </w:r>
            <w:r w:rsidR="002629A4">
              <w:t>, as</w:t>
            </w:r>
            <w:r w:rsidR="001D558E">
              <w:t xml:space="preserve"> the 39 percent rate is more enforceable with the integrity measures compared to without them. </w:t>
            </w:r>
            <w:r w:rsidR="00B7067B">
              <w:t xml:space="preserve">However, the misalignment of rates under this option may still present some taxpayers with opportunities to use </w:t>
            </w:r>
            <w:r w:rsidR="00832321">
              <w:t>entities</w:t>
            </w:r>
            <w:r w:rsidR="00B7067B">
              <w:t xml:space="preserve"> to avoid the new top personal rate</w:t>
            </w:r>
            <w:r w:rsidR="00F9077E">
              <w:t xml:space="preserve">, thus resulting in </w:t>
            </w:r>
            <w:r w:rsidR="00A3063C">
              <w:t>unequal treatment</w:t>
            </w:r>
            <w:r w:rsidR="00F9077E">
              <w:t xml:space="preserve"> among the group of taxpayers earning more than $180,000</w:t>
            </w:r>
            <w:r w:rsidR="00B7067B">
              <w:t xml:space="preserve">. </w:t>
            </w:r>
          </w:p>
          <w:p w14:paraId="48E9B9FE" w14:textId="77777777" w:rsidR="00576241" w:rsidRPr="0028286A" w:rsidRDefault="00576241" w:rsidP="0030521A">
            <w:pPr>
              <w:spacing w:after="0"/>
            </w:pPr>
          </w:p>
          <w:p w14:paraId="5BB4DF4A" w14:textId="5823EFF5" w:rsidR="00176EB0" w:rsidRDefault="00176EB0" w:rsidP="0030521A">
            <w:pPr>
              <w:spacing w:after="0"/>
            </w:pPr>
            <w:r w:rsidRPr="001760C3">
              <w:rPr>
                <w:b/>
                <w:bCs/>
              </w:rPr>
              <w:t>Complexity</w:t>
            </w:r>
            <w:r w:rsidRPr="0028286A">
              <w:t xml:space="preserve">: </w:t>
            </w:r>
            <w:r w:rsidR="00E61856">
              <w:t>Investigating and developing</w:t>
            </w:r>
            <w:r w:rsidR="00347B82">
              <w:t xml:space="preserve"> integrity measures </w:t>
            </w:r>
            <w:r w:rsidR="00E61856">
              <w:t>are</w:t>
            </w:r>
            <w:r w:rsidR="00347B82">
              <w:t xml:space="preserve"> likely to introduce significant complexity</w:t>
            </w:r>
            <w:r w:rsidR="00942205">
              <w:t xml:space="preserve"> to the proposal</w:t>
            </w:r>
            <w:r w:rsidR="00347B82">
              <w:t xml:space="preserve">. </w:t>
            </w:r>
            <w:r w:rsidR="00A3063C">
              <w:t xml:space="preserve">Any </w:t>
            </w:r>
            <w:r w:rsidR="00347B82">
              <w:t>rules are likely to be new or not well known</w:t>
            </w:r>
            <w:r w:rsidR="002A7543">
              <w:t xml:space="preserve">. </w:t>
            </w:r>
            <w:r w:rsidR="00DB6FC5">
              <w:t>Th</w:t>
            </w:r>
            <w:r w:rsidR="00A3063C">
              <w:t>ese problems</w:t>
            </w:r>
            <w:r w:rsidR="00DB6FC5">
              <w:t xml:space="preserve"> will be mitigated through </w:t>
            </w:r>
            <w:r w:rsidR="00A3063C">
              <w:t xml:space="preserve">a consultation process where stakeholders can have input into the development of integrity measures. </w:t>
            </w:r>
            <w:r w:rsidR="000018F8">
              <w:t>Some arrangements that would be acceptable under any new rules may not be undertaken</w:t>
            </w:r>
            <w:r w:rsidR="00B950C8">
              <w:t xml:space="preserve"> by taxpayers</w:t>
            </w:r>
            <w:r w:rsidR="000018F8">
              <w:t xml:space="preserve"> </w:t>
            </w:r>
            <w:r w:rsidR="007E64FB">
              <w:t>due to uncertainty as to how some integrity measures may apply</w:t>
            </w:r>
            <w:r w:rsidR="000018F8">
              <w:t xml:space="preserve">, while other arrangements may be in breach of any new rules </w:t>
            </w:r>
            <w:r w:rsidR="002D5225">
              <w:t xml:space="preserve">despite no malintent by the parties entering into that arrangement. </w:t>
            </w:r>
            <w:r w:rsidR="0016319C">
              <w:t xml:space="preserve">This will create significant uncertainty for taxpayers. </w:t>
            </w:r>
            <w:r w:rsidR="00F42733">
              <w:t xml:space="preserve">These effects will be mitigated through providing advice on how these measures would be applied/enforced on the Inland Revenue website and in the Tax Information Bulletin. </w:t>
            </w:r>
            <w:r w:rsidR="00126262">
              <w:t>Inland Revenue will also face administrative cost</w:t>
            </w:r>
            <w:r w:rsidR="007F3B09">
              <w:t>s</w:t>
            </w:r>
            <w:r w:rsidR="00126262">
              <w:t xml:space="preserve"> in enforcing </w:t>
            </w:r>
            <w:r w:rsidR="00A3063C">
              <w:t xml:space="preserve">any </w:t>
            </w:r>
            <w:r w:rsidR="00126262">
              <w:t>new rules, particularly if they are unfamiliar</w:t>
            </w:r>
            <w:r w:rsidR="00DE5C32">
              <w:t xml:space="preserve"> measures</w:t>
            </w:r>
            <w:r w:rsidR="00126262">
              <w:t xml:space="preserve">. </w:t>
            </w:r>
          </w:p>
          <w:p w14:paraId="68EF9CBE" w14:textId="77777777" w:rsidR="00576241" w:rsidRPr="0028286A" w:rsidRDefault="00576241" w:rsidP="0030521A">
            <w:pPr>
              <w:spacing w:after="0"/>
            </w:pPr>
          </w:p>
          <w:p w14:paraId="6DAF6CFA" w14:textId="610C2C8D" w:rsidR="0062657E" w:rsidRDefault="00143738" w:rsidP="0030521A">
            <w:pPr>
              <w:spacing w:after="0"/>
            </w:pPr>
            <w:r>
              <w:rPr>
                <w:b/>
                <w:bCs/>
              </w:rPr>
              <w:t>I</w:t>
            </w:r>
            <w:r w:rsidR="00176EB0" w:rsidRPr="001760C3">
              <w:rPr>
                <w:b/>
                <w:bCs/>
              </w:rPr>
              <w:t>ntegrity</w:t>
            </w:r>
            <w:r w:rsidR="00176EB0" w:rsidRPr="0028286A">
              <w:t xml:space="preserve">: </w:t>
            </w:r>
            <w:r w:rsidR="00CC540D">
              <w:t>The integrity measures</w:t>
            </w:r>
            <w:r w:rsidR="00FA548B">
              <w:t xml:space="preserve"> are less ideal than alignment of tax rates but are also an improvement on </w:t>
            </w:r>
            <w:r w:rsidR="00C966BA">
              <w:t xml:space="preserve">having </w:t>
            </w:r>
            <w:r w:rsidR="00FA548B">
              <w:t xml:space="preserve">no integrity measures at all. </w:t>
            </w:r>
            <w:r w:rsidR="00715684">
              <w:t xml:space="preserve">So long as rates are not aligned, it is likely that some taxpayers will seek to enter into structures or arrangements </w:t>
            </w:r>
            <w:r w:rsidR="005C683D">
              <w:t xml:space="preserve">that enable them to bypass the 39 percent rate. </w:t>
            </w:r>
          </w:p>
          <w:p w14:paraId="2B15F5F0" w14:textId="0488D46E" w:rsidR="000721BC" w:rsidRDefault="000721BC" w:rsidP="0030521A">
            <w:pPr>
              <w:spacing w:after="0"/>
            </w:pPr>
          </w:p>
          <w:p w14:paraId="104A2414" w14:textId="24D37F90" w:rsidR="000721BC" w:rsidRPr="0028286A" w:rsidRDefault="000721BC" w:rsidP="008A4BBB">
            <w:pPr>
              <w:spacing w:after="0"/>
            </w:pPr>
            <w:r w:rsidRPr="000721BC">
              <w:rPr>
                <w:b/>
                <w:bCs/>
              </w:rPr>
              <w:t>Revenue raised</w:t>
            </w:r>
            <w:r>
              <w:t xml:space="preserve">: Although there is no alignment under this option, </w:t>
            </w:r>
            <w:r w:rsidR="0062348C">
              <w:t xml:space="preserve">the introduction of a new top personal income tax rate combined with supporting integrity measures to counter structuring behaviours will </w:t>
            </w:r>
            <w:r w:rsidR="00D33532">
              <w:t xml:space="preserve">lead to higher tax revenues than both </w:t>
            </w:r>
            <w:r w:rsidR="00D33532" w:rsidRPr="00D33532">
              <w:rPr>
                <w:b/>
                <w:bCs/>
              </w:rPr>
              <w:t>Option 1</w:t>
            </w:r>
            <w:r w:rsidR="00D33532">
              <w:t xml:space="preserve"> and </w:t>
            </w:r>
            <w:r w:rsidR="00D33532" w:rsidRPr="00D33532">
              <w:rPr>
                <w:b/>
                <w:bCs/>
              </w:rPr>
              <w:t>Option 2</w:t>
            </w:r>
            <w:r w:rsidR="008A4BBB">
              <w:rPr>
                <w:b/>
                <w:bCs/>
              </w:rPr>
              <w:t xml:space="preserve"> </w:t>
            </w:r>
            <w:r w:rsidR="008A4BBB">
              <w:t xml:space="preserve">but lower tax revenues than </w:t>
            </w:r>
            <w:r w:rsidR="008A4BBB" w:rsidRPr="008758D8">
              <w:rPr>
                <w:b/>
                <w:bCs/>
              </w:rPr>
              <w:t>Option 3</w:t>
            </w:r>
            <w:r w:rsidR="008A4BBB" w:rsidRPr="008758D8" w:rsidDel="008A4BBB">
              <w:rPr>
                <w:rStyle w:val="CommentReference"/>
                <w:b/>
                <w:bCs/>
              </w:rPr>
              <w:t xml:space="preserve"> </w:t>
            </w:r>
            <w:r w:rsidR="00D33532">
              <w:t xml:space="preserve">. </w:t>
            </w:r>
          </w:p>
          <w:p w14:paraId="525B1C83" w14:textId="15AB8BE0" w:rsidR="001F353B" w:rsidRDefault="001F353B" w:rsidP="008A4BBB">
            <w:pPr>
              <w:pBdr>
                <w:bottom w:val="single" w:sz="6" w:space="1" w:color="auto"/>
              </w:pBdr>
              <w:spacing w:after="0"/>
            </w:pPr>
          </w:p>
          <w:p w14:paraId="1003876B" w14:textId="77777777" w:rsidR="001E2BFE" w:rsidRPr="0028286A" w:rsidRDefault="001E2BFE" w:rsidP="008A4BBB">
            <w:pPr>
              <w:spacing w:after="0"/>
            </w:pPr>
          </w:p>
          <w:p w14:paraId="674BC882" w14:textId="5882837E" w:rsidR="003C3FB0" w:rsidRDefault="003C3FB0" w:rsidP="008A4BBB">
            <w:pPr>
              <w:spacing w:after="0"/>
            </w:pPr>
            <w:r w:rsidRPr="003A5576">
              <w:rPr>
                <w:b/>
                <w:bCs/>
              </w:rPr>
              <w:t>Option 5: Option 2 plus both increasing the trustee income</w:t>
            </w:r>
            <w:r w:rsidR="000253A3">
              <w:rPr>
                <w:b/>
                <w:bCs/>
              </w:rPr>
              <w:t xml:space="preserve"> tax</w:t>
            </w:r>
            <w:r w:rsidRPr="003A5576">
              <w:rPr>
                <w:b/>
                <w:bCs/>
              </w:rPr>
              <w:t xml:space="preserve"> rate</w:t>
            </w:r>
            <w:r w:rsidR="000253A3">
              <w:rPr>
                <w:b/>
                <w:bCs/>
              </w:rPr>
              <w:t xml:space="preserve"> to 39 percent</w:t>
            </w:r>
            <w:r w:rsidRPr="003A5576">
              <w:rPr>
                <w:b/>
                <w:bCs/>
              </w:rPr>
              <w:t xml:space="preserve"> </w:t>
            </w:r>
            <w:r w:rsidR="002474AB">
              <w:rPr>
                <w:b/>
                <w:bCs/>
              </w:rPr>
              <w:t>and</w:t>
            </w:r>
            <w:r w:rsidR="00B54F4D">
              <w:rPr>
                <w:b/>
                <w:bCs/>
              </w:rPr>
              <w:t xml:space="preserve"> </w:t>
            </w:r>
            <w:r w:rsidR="00A3063C">
              <w:rPr>
                <w:b/>
                <w:bCs/>
              </w:rPr>
              <w:t xml:space="preserve">investigating </w:t>
            </w:r>
            <w:r w:rsidRPr="003A5576">
              <w:rPr>
                <w:b/>
                <w:bCs/>
              </w:rPr>
              <w:t>integrity measures to buttress the new higher personal income tax rate (alignment</w:t>
            </w:r>
            <w:r w:rsidR="008D0DB3">
              <w:rPr>
                <w:b/>
                <w:bCs/>
              </w:rPr>
              <w:t xml:space="preserve"> with trustee rate </w:t>
            </w:r>
            <w:r w:rsidR="00B54F4D" w:rsidRPr="00B54F4D">
              <w:t>and</w:t>
            </w:r>
            <w:r w:rsidR="00B54F4D">
              <w:rPr>
                <w:b/>
                <w:bCs/>
              </w:rPr>
              <w:t xml:space="preserve"> </w:t>
            </w:r>
            <w:r w:rsidRPr="003A5576">
              <w:rPr>
                <w:b/>
                <w:bCs/>
              </w:rPr>
              <w:t>integrity measures)</w:t>
            </w:r>
            <w:r w:rsidR="00A24B03">
              <w:rPr>
                <w:b/>
                <w:bCs/>
              </w:rPr>
              <w:t xml:space="preserve">. </w:t>
            </w:r>
          </w:p>
          <w:p w14:paraId="053C0819" w14:textId="6B0F6558" w:rsidR="003A5576" w:rsidRDefault="003A5576" w:rsidP="003C3FB0">
            <w:pPr>
              <w:spacing w:after="0"/>
            </w:pPr>
          </w:p>
          <w:p w14:paraId="48AFDEFF" w14:textId="58A6D802" w:rsidR="003A5576" w:rsidRDefault="003A5576" w:rsidP="003C3FB0">
            <w:pPr>
              <w:spacing w:after="0"/>
            </w:pPr>
            <w:r>
              <w:t xml:space="preserve">This option involves the most comprehensive reform </w:t>
            </w:r>
            <w:r w:rsidR="00893695">
              <w:t xml:space="preserve">in tandem with the proposal to introduce a new top personal income tax rate. </w:t>
            </w:r>
            <w:r w:rsidR="007814F9">
              <w:t xml:space="preserve">It </w:t>
            </w:r>
            <w:r w:rsidR="000603D1">
              <w:t>combines both the alignment of</w:t>
            </w:r>
            <w:r w:rsidR="00DD02D2">
              <w:t xml:space="preserve"> the trustee</w:t>
            </w:r>
            <w:r w:rsidR="000603D1">
              <w:t xml:space="preserve"> rate in </w:t>
            </w:r>
            <w:r w:rsidR="000603D1" w:rsidRPr="000603D1">
              <w:rPr>
                <w:b/>
                <w:bCs/>
              </w:rPr>
              <w:t>Option 3</w:t>
            </w:r>
            <w:r w:rsidR="008B00AC">
              <w:rPr>
                <w:b/>
                <w:bCs/>
              </w:rPr>
              <w:t xml:space="preserve"> </w:t>
            </w:r>
            <w:r w:rsidR="008B00AC" w:rsidRPr="008B00AC">
              <w:t>and</w:t>
            </w:r>
            <w:r w:rsidR="008B00AC">
              <w:rPr>
                <w:b/>
                <w:bCs/>
              </w:rPr>
              <w:t xml:space="preserve"> </w:t>
            </w:r>
            <w:r w:rsidR="00AA15BD">
              <w:t>the</w:t>
            </w:r>
            <w:r w:rsidR="00B9021C">
              <w:t xml:space="preserve"> investigation of</w:t>
            </w:r>
            <w:r w:rsidR="000603D1">
              <w:t xml:space="preserve"> integrity measures in </w:t>
            </w:r>
            <w:r w:rsidR="000603D1" w:rsidRPr="000603D1">
              <w:rPr>
                <w:b/>
                <w:bCs/>
              </w:rPr>
              <w:t>Option 4</w:t>
            </w:r>
            <w:r w:rsidR="00E11B1E">
              <w:t xml:space="preserve">. </w:t>
            </w:r>
            <w:r w:rsidR="00733D96">
              <w:t>This is to ensur</w:t>
            </w:r>
            <w:r w:rsidR="00957D1D">
              <w:t>e</w:t>
            </w:r>
            <w:r w:rsidR="00733D96">
              <w:t xml:space="preserve"> that the </w:t>
            </w:r>
            <w:r w:rsidR="000A13B3">
              <w:t xml:space="preserve">proposed introduction of a new top personal income tax rate </w:t>
            </w:r>
            <w:r w:rsidR="00AE4721">
              <w:t xml:space="preserve">is as effective as possible </w:t>
            </w:r>
            <w:r w:rsidR="00957D1D">
              <w:t xml:space="preserve">by </w:t>
            </w:r>
            <w:r w:rsidR="00AE4721">
              <w:t xml:space="preserve">reducing </w:t>
            </w:r>
            <w:r w:rsidR="000A13B3">
              <w:t>avenues for that new rate to be avoided</w:t>
            </w:r>
            <w:r w:rsidR="00FE0169">
              <w:t xml:space="preserve">. </w:t>
            </w:r>
          </w:p>
          <w:p w14:paraId="6128A3C0" w14:textId="4CE013D0" w:rsidR="00F17C3F" w:rsidRDefault="00F17C3F" w:rsidP="003C3FB0">
            <w:pPr>
              <w:spacing w:after="0"/>
            </w:pPr>
          </w:p>
          <w:p w14:paraId="3C8991F5" w14:textId="50767A81" w:rsidR="00F17C3F" w:rsidRDefault="00F17C3F" w:rsidP="003C3FB0">
            <w:pPr>
              <w:spacing w:after="0"/>
            </w:pPr>
            <w:r>
              <w:t xml:space="preserve">Potential downsides of this option include taxing some income accruing in trusts at 39 percent that may be attributable to lower-income beneficiaries. </w:t>
            </w:r>
            <w:r w:rsidR="00C92CFE">
              <w:t>As noted above there</w:t>
            </w:r>
            <w:r>
              <w:t xml:space="preserve"> are ways to mitigate this, but these will have their own costs</w:t>
            </w:r>
            <w:r w:rsidR="00C92CFE">
              <w:t xml:space="preserve"> and may not always be feasible</w:t>
            </w:r>
            <w:r>
              <w:t>.</w:t>
            </w:r>
            <w:r w:rsidR="00C92CFE">
              <w:t xml:space="preserve"> </w:t>
            </w:r>
          </w:p>
          <w:p w14:paraId="368B3055" w14:textId="77777777" w:rsidR="00ED16F0" w:rsidRPr="0028286A" w:rsidRDefault="00ED16F0" w:rsidP="003C3FB0">
            <w:pPr>
              <w:spacing w:after="0"/>
              <w:rPr>
                <w:u w:val="single"/>
              </w:rPr>
            </w:pPr>
          </w:p>
          <w:p w14:paraId="226E97C6" w14:textId="57680866" w:rsidR="00DC1A6A" w:rsidRPr="00BD160B" w:rsidRDefault="00BD160B" w:rsidP="00BD160B">
            <w:pPr>
              <w:shd w:val="clear" w:color="auto" w:fill="BFBFBF" w:themeFill="background1" w:themeFillShade="BF"/>
              <w:spacing w:after="0" w:line="240" w:lineRule="auto"/>
              <w:rPr>
                <w:color w:val="BFBFBF" w:themeColor="background1" w:themeShade="BF"/>
              </w:rPr>
            </w:pPr>
            <w:r>
              <w:t>s</w:t>
            </w:r>
            <w:r w:rsidR="000D5ECD">
              <w:t xml:space="preserve"> 9(2)(f)(iv)</w:t>
            </w:r>
            <w:r w:rsidR="000D5ECD" w:rsidRPr="00BD160B">
              <w:rPr>
                <w:color w:val="BFBFBF" w:themeColor="background1" w:themeShade="BF"/>
              </w:rPr>
              <w:t>…</w:t>
            </w:r>
            <w:r w:rsidRPr="00BD160B">
              <w:rPr>
                <w:color w:val="BFBFBF" w:themeColor="background1" w:themeShade="BF"/>
              </w:rPr>
              <w:t>…</w:t>
            </w:r>
            <w:r w:rsidR="000D5ECD" w:rsidRPr="00BD160B">
              <w:rPr>
                <w:color w:val="BFBFBF" w:themeColor="background1" w:themeShade="BF"/>
              </w:rPr>
              <w:t>…………………………………………………………………………………….</w:t>
            </w:r>
            <w:r w:rsidR="000D5ECD" w:rsidRPr="00BD160B">
              <w:rPr>
                <w:color w:val="BFBFBF" w:themeColor="background1" w:themeShade="BF"/>
              </w:rPr>
              <w:br/>
              <w:t>…………</w:t>
            </w:r>
            <w:proofErr w:type="gramStart"/>
            <w:r w:rsidR="000D5ECD" w:rsidRPr="00BD160B">
              <w:rPr>
                <w:color w:val="BFBFBF" w:themeColor="background1" w:themeShade="BF"/>
              </w:rPr>
              <w:t>…</w:t>
            </w:r>
            <w:r w:rsidRPr="00BD160B">
              <w:rPr>
                <w:color w:val="BFBFBF" w:themeColor="background1" w:themeShade="BF"/>
              </w:rPr>
              <w:t>..</w:t>
            </w:r>
            <w:proofErr w:type="gramEnd"/>
            <w:r w:rsidR="000D5ECD" w:rsidRPr="00BD160B">
              <w:rPr>
                <w:color w:val="BFBFBF" w:themeColor="background1" w:themeShade="BF"/>
              </w:rPr>
              <w:t>…</w:t>
            </w:r>
            <w:r w:rsidRPr="00BD160B">
              <w:rPr>
                <w:color w:val="BFBFBF" w:themeColor="background1" w:themeShade="BF"/>
              </w:rPr>
              <w:t>.</w:t>
            </w:r>
            <w:r w:rsidR="000D5ECD" w:rsidRPr="00BD160B">
              <w:rPr>
                <w:color w:val="BFBFBF" w:themeColor="background1" w:themeShade="BF"/>
              </w:rPr>
              <w:t>…………………………………………………………………………………….</w:t>
            </w:r>
          </w:p>
          <w:p w14:paraId="1BA830EC" w14:textId="77777777" w:rsidR="00DC1A6A" w:rsidRPr="00DC1A6A" w:rsidRDefault="00DC1A6A" w:rsidP="003C3FB0">
            <w:pPr>
              <w:spacing w:after="0"/>
            </w:pPr>
          </w:p>
          <w:p w14:paraId="46D62EFC" w14:textId="0B60F6D0" w:rsidR="003C3FB0" w:rsidRDefault="003C3FB0" w:rsidP="003C3FB0">
            <w:pPr>
              <w:spacing w:after="0"/>
            </w:pPr>
            <w:r w:rsidRPr="001760C3">
              <w:rPr>
                <w:b/>
                <w:bCs/>
              </w:rPr>
              <w:t>Efficiency</w:t>
            </w:r>
            <w:r w:rsidRPr="0028286A">
              <w:t xml:space="preserve">: </w:t>
            </w:r>
            <w:r w:rsidR="009015ED">
              <w:t>Again</w:t>
            </w:r>
            <w:r w:rsidR="00BB5357">
              <w:t>,</w:t>
            </w:r>
            <w:r w:rsidR="009015ED">
              <w:t xml:space="preserve"> this would involve the inevitable efficiency costs associated with raising the top marginal tax rate. It is likely to involve </w:t>
            </w:r>
            <w:r w:rsidR="00A3063C">
              <w:t xml:space="preserve">the highest aggregate efficiency costs because of the amount of revenue it raises, but </w:t>
            </w:r>
            <w:r w:rsidR="009015ED">
              <w:t xml:space="preserve">lower efficiency costs per dollar of revenue raised than any of the other options by </w:t>
            </w:r>
            <w:r w:rsidR="006D54A6">
              <w:t xml:space="preserve">being the most comprehensive way of </w:t>
            </w:r>
            <w:r w:rsidR="009015ED">
              <w:t xml:space="preserve">preventing the top marginal tax rate from being </w:t>
            </w:r>
            <w:r w:rsidR="004E5D53">
              <w:t>circumvented</w:t>
            </w:r>
            <w:r w:rsidR="008B00AC">
              <w:t>.</w:t>
            </w:r>
          </w:p>
          <w:p w14:paraId="4B1185CA" w14:textId="77777777" w:rsidR="00576241" w:rsidRPr="0028286A" w:rsidRDefault="00576241" w:rsidP="003C3FB0">
            <w:pPr>
              <w:spacing w:after="0"/>
            </w:pPr>
          </w:p>
          <w:p w14:paraId="34195123" w14:textId="13B9A097" w:rsidR="00DC37EE" w:rsidRDefault="00DC37EE" w:rsidP="003C3FB0">
            <w:pPr>
              <w:spacing w:after="0"/>
            </w:pPr>
            <w:r w:rsidRPr="001760C3">
              <w:rPr>
                <w:b/>
                <w:bCs/>
              </w:rPr>
              <w:t>Equity</w:t>
            </w:r>
            <w:r w:rsidRPr="0028286A">
              <w:t>:</w:t>
            </w:r>
            <w:r w:rsidR="00EE4FAA">
              <w:t xml:space="preserve"> The combination of alignment and integrity measures will ensure </w:t>
            </w:r>
            <w:r w:rsidR="00BB1599">
              <w:t xml:space="preserve">the most robust equity outcomes. </w:t>
            </w:r>
            <w:r w:rsidR="004F3A9A">
              <w:t>This option would be the most difficult for</w:t>
            </w:r>
            <w:r w:rsidR="00BB1599">
              <w:t xml:space="preserve"> people on incomes over $180,000 </w:t>
            </w:r>
            <w:r w:rsidR="004F3A9A">
              <w:t>who are trying to</w:t>
            </w:r>
            <w:r w:rsidR="00BB1599">
              <w:t xml:space="preserve"> </w:t>
            </w:r>
            <w:r w:rsidR="006B1C18">
              <w:t xml:space="preserve">structure around </w:t>
            </w:r>
            <w:r w:rsidR="00BB1599">
              <w:t>paying the 39 percent rate</w:t>
            </w:r>
            <w:r w:rsidR="000204B8">
              <w:t xml:space="preserve">, leading to improvements in both vertical equity </w:t>
            </w:r>
            <w:r w:rsidR="005051EE">
              <w:t xml:space="preserve">(compared to </w:t>
            </w:r>
            <w:r w:rsidR="00053ACB" w:rsidRPr="00BA363D">
              <w:rPr>
                <w:b/>
                <w:bCs/>
              </w:rPr>
              <w:t>Options 1</w:t>
            </w:r>
            <w:r w:rsidR="00053ACB">
              <w:t xml:space="preserve"> to </w:t>
            </w:r>
            <w:r w:rsidR="00053ACB" w:rsidRPr="00BA363D">
              <w:rPr>
                <w:b/>
                <w:bCs/>
              </w:rPr>
              <w:t>4</w:t>
            </w:r>
            <w:r w:rsidR="005051EE">
              <w:t>)</w:t>
            </w:r>
            <w:r w:rsidR="000204B8">
              <w:t xml:space="preserve"> and horizontal equity</w:t>
            </w:r>
            <w:r w:rsidR="005051EE">
              <w:t xml:space="preserve"> (compared to </w:t>
            </w:r>
            <w:r w:rsidR="00E53F8F" w:rsidRPr="00BA363D">
              <w:rPr>
                <w:b/>
                <w:bCs/>
              </w:rPr>
              <w:t>O</w:t>
            </w:r>
            <w:r w:rsidR="005051EE" w:rsidRPr="00BA363D">
              <w:rPr>
                <w:b/>
                <w:bCs/>
              </w:rPr>
              <w:t>ptions 2</w:t>
            </w:r>
            <w:r w:rsidR="005051EE">
              <w:t xml:space="preserve"> </w:t>
            </w:r>
            <w:r w:rsidR="00E53F8F">
              <w:t>to</w:t>
            </w:r>
            <w:r w:rsidR="005051EE">
              <w:t xml:space="preserve"> </w:t>
            </w:r>
            <w:r w:rsidR="005051EE" w:rsidRPr="00BA363D">
              <w:rPr>
                <w:b/>
                <w:bCs/>
              </w:rPr>
              <w:t>4</w:t>
            </w:r>
            <w:r w:rsidR="005051EE">
              <w:t>)</w:t>
            </w:r>
            <w:r w:rsidR="000204B8">
              <w:t xml:space="preserve">. </w:t>
            </w:r>
          </w:p>
          <w:p w14:paraId="7E850742" w14:textId="77777777" w:rsidR="00576241" w:rsidRPr="0028286A" w:rsidRDefault="00576241" w:rsidP="003C3FB0">
            <w:pPr>
              <w:spacing w:after="0"/>
            </w:pPr>
          </w:p>
          <w:p w14:paraId="21D55B2E" w14:textId="6C35F0B7" w:rsidR="003C3FB0" w:rsidRDefault="003C3FB0" w:rsidP="003C3FB0">
            <w:pPr>
              <w:spacing w:after="0"/>
            </w:pPr>
            <w:r w:rsidRPr="001760C3">
              <w:rPr>
                <w:b/>
                <w:bCs/>
              </w:rPr>
              <w:t>Complexity</w:t>
            </w:r>
            <w:r w:rsidRPr="0028286A">
              <w:t xml:space="preserve">: </w:t>
            </w:r>
            <w:r w:rsidR="000E1641">
              <w:t>Given alignment between the new top personal rate</w:t>
            </w:r>
            <w:r w:rsidR="00A3063C">
              <w:t xml:space="preserve"> and </w:t>
            </w:r>
            <w:r w:rsidR="000E1641">
              <w:t xml:space="preserve">the trustee rate, it is likely that </w:t>
            </w:r>
            <w:r w:rsidR="006B1C18">
              <w:t>fewer</w:t>
            </w:r>
            <w:r w:rsidR="000E1641">
              <w:t xml:space="preserve"> integrity measures would be needed under this option than under </w:t>
            </w:r>
            <w:r w:rsidR="000E1641" w:rsidRPr="000E1641">
              <w:rPr>
                <w:b/>
                <w:bCs/>
              </w:rPr>
              <w:t>Option 4</w:t>
            </w:r>
            <w:r w:rsidR="000E1641">
              <w:t xml:space="preserve">. Consequently, this is </w:t>
            </w:r>
            <w:r w:rsidR="00DA2304">
              <w:t>likely to be a less complex option</w:t>
            </w:r>
            <w:r w:rsidR="00FF1038">
              <w:t xml:space="preserve"> than </w:t>
            </w:r>
            <w:r w:rsidR="009709A9">
              <w:t>O</w:t>
            </w:r>
            <w:r w:rsidR="00FF1038">
              <w:t>ption 4</w:t>
            </w:r>
            <w:r w:rsidR="00DA2304">
              <w:t xml:space="preserve">, though it will still be more complex than </w:t>
            </w:r>
            <w:r w:rsidR="005327CF">
              <w:t>the other options</w:t>
            </w:r>
            <w:r w:rsidR="00DA2304">
              <w:t xml:space="preserve">. </w:t>
            </w:r>
            <w:r w:rsidR="00B74175">
              <w:t xml:space="preserve">The same concerns regarding taxpayer uncertainty and reluctance to undertake potentially </w:t>
            </w:r>
            <w:r w:rsidR="0038714C">
              <w:t>aggressive transactions</w:t>
            </w:r>
            <w:r w:rsidR="00B74175">
              <w:t xml:space="preserve"> will exist, though not to the same extent as if rates were not aligned and more integrity measures were required. </w:t>
            </w:r>
          </w:p>
          <w:p w14:paraId="1EC5BEDB" w14:textId="77777777" w:rsidR="00576241" w:rsidRPr="0028286A" w:rsidRDefault="00576241" w:rsidP="003C3FB0">
            <w:pPr>
              <w:spacing w:after="0"/>
            </w:pPr>
          </w:p>
          <w:p w14:paraId="044FBD78" w14:textId="14687DC0" w:rsidR="00DC37EE" w:rsidRDefault="00143738" w:rsidP="00D36551">
            <w:pPr>
              <w:spacing w:after="0" w:line="240" w:lineRule="auto"/>
            </w:pPr>
            <w:r>
              <w:rPr>
                <w:b/>
                <w:bCs/>
              </w:rPr>
              <w:t>I</w:t>
            </w:r>
            <w:r w:rsidR="003C3FB0" w:rsidRPr="001760C3">
              <w:rPr>
                <w:b/>
                <w:bCs/>
              </w:rPr>
              <w:t>ntegrity</w:t>
            </w:r>
            <w:r w:rsidR="003C3FB0" w:rsidRPr="0028286A">
              <w:t xml:space="preserve">: </w:t>
            </w:r>
            <w:r w:rsidR="00B11845">
              <w:t xml:space="preserve">This option reduces </w:t>
            </w:r>
            <w:r w:rsidR="004047B3">
              <w:t>avoidance opportunit</w:t>
            </w:r>
            <w:r w:rsidR="00EF0BDD">
              <w:t>i</w:t>
            </w:r>
            <w:r w:rsidR="004047B3">
              <w:t>es the most for the 39</w:t>
            </w:r>
            <w:r w:rsidR="0038154E">
              <w:t xml:space="preserve"> percent</w:t>
            </w:r>
            <w:r w:rsidR="004047B3">
              <w:t xml:space="preserve"> rate</w:t>
            </w:r>
            <w:r w:rsidR="009D7C9B">
              <w:t xml:space="preserve">. Alignment </w:t>
            </w:r>
            <w:r w:rsidR="0081513C">
              <w:t>of the trustee rate</w:t>
            </w:r>
            <w:r w:rsidR="000F16CC">
              <w:t xml:space="preserve"> with </w:t>
            </w:r>
            <w:r w:rsidR="005C7385">
              <w:t>the top personal rate ensures that trusts</w:t>
            </w:r>
            <w:r w:rsidR="000F16CC">
              <w:t xml:space="preserve"> </w:t>
            </w:r>
            <w:r w:rsidR="001A42F5">
              <w:t xml:space="preserve">cannot be used to avoid the new top personal rate, </w:t>
            </w:r>
            <w:r w:rsidR="00AD6356" w:rsidRPr="00D36551">
              <w:rPr>
                <w:shd w:val="clear" w:color="auto" w:fill="BFBFBF" w:themeFill="background1" w:themeFillShade="BF"/>
              </w:rPr>
              <w:t>s 9(2)(f)(iv)</w:t>
            </w:r>
            <w:r w:rsidR="00AD6356" w:rsidRPr="00D36551">
              <w:rPr>
                <w:color w:val="BFBFBF" w:themeColor="background1" w:themeShade="BF"/>
                <w:shd w:val="clear" w:color="auto" w:fill="BFBFBF" w:themeFill="background1" w:themeFillShade="BF"/>
              </w:rPr>
              <w:t>………………………………………….</w:t>
            </w:r>
            <w:r w:rsidR="00AD6356" w:rsidRPr="00D36551">
              <w:rPr>
                <w:color w:val="BFBFBF" w:themeColor="background1" w:themeShade="BF"/>
                <w:shd w:val="clear" w:color="auto" w:fill="BFBFBF" w:themeFill="background1" w:themeFillShade="BF"/>
              </w:rPr>
              <w:br/>
              <w:t>……………………………………………………………………………………………………….</w:t>
            </w:r>
            <w:r w:rsidR="00AD6356" w:rsidRPr="00D36551">
              <w:rPr>
                <w:color w:val="BFBFBF" w:themeColor="background1" w:themeShade="BF"/>
                <w:shd w:val="clear" w:color="auto" w:fill="BFBFBF" w:themeFill="background1" w:themeFillShade="BF"/>
              </w:rPr>
              <w:br/>
            </w:r>
            <w:r w:rsidR="00D36551" w:rsidRPr="00D36551">
              <w:rPr>
                <w:color w:val="BFBFBF" w:themeColor="background1" w:themeShade="BF"/>
                <w:shd w:val="clear" w:color="auto" w:fill="BFBFBF" w:themeFill="background1" w:themeFillShade="BF"/>
              </w:rPr>
              <w:t>………………………</w:t>
            </w:r>
            <w:proofErr w:type="gramStart"/>
            <w:r w:rsidR="00D36551" w:rsidRPr="00D36551">
              <w:rPr>
                <w:color w:val="BFBFBF" w:themeColor="background1" w:themeShade="BF"/>
                <w:shd w:val="clear" w:color="auto" w:fill="BFBFBF" w:themeFill="background1" w:themeFillShade="BF"/>
              </w:rPr>
              <w:t>…..</w:t>
            </w:r>
            <w:proofErr w:type="gramEnd"/>
            <w:r w:rsidR="008B6ADA">
              <w:t xml:space="preserve"> </w:t>
            </w:r>
            <w:r w:rsidR="003920E9">
              <w:t xml:space="preserve">This option will result in the least long-term pressure on the tax system regarding rate alignment and </w:t>
            </w:r>
            <w:r w:rsidR="008359F8">
              <w:t>anti-avoidance rules</w:t>
            </w:r>
            <w:r w:rsidR="00F1788A">
              <w:t>, resulting in the best tax integrity outcomes</w:t>
            </w:r>
            <w:r w:rsidR="008359F8">
              <w:t xml:space="preserve">. </w:t>
            </w:r>
          </w:p>
          <w:p w14:paraId="34E277B2" w14:textId="6F16C7DF" w:rsidR="00836A43" w:rsidRDefault="00836A43" w:rsidP="0030521A">
            <w:pPr>
              <w:spacing w:after="0"/>
            </w:pPr>
          </w:p>
          <w:p w14:paraId="6C534385" w14:textId="26365B90" w:rsidR="00F1623B" w:rsidRPr="0028286A" w:rsidRDefault="00836A43" w:rsidP="005D4E9E">
            <w:pPr>
              <w:spacing w:after="0"/>
            </w:pPr>
            <w:r w:rsidRPr="00836A43">
              <w:rPr>
                <w:b/>
                <w:bCs/>
              </w:rPr>
              <w:t>Revenue raised</w:t>
            </w:r>
            <w:r w:rsidRPr="00836A43">
              <w:t>:</w:t>
            </w:r>
            <w:r>
              <w:t xml:space="preserve"> This option will raise the most revenue of any of the options. The corresponding increase in the trustee rate will raise extra revenu</w:t>
            </w:r>
            <w:r w:rsidR="00547CBE">
              <w:t>e</w:t>
            </w:r>
            <w:r w:rsidR="008F11D4">
              <w:t xml:space="preserve"> alone (as with </w:t>
            </w:r>
            <w:r w:rsidR="008F11D4">
              <w:rPr>
                <w:b/>
                <w:bCs/>
              </w:rPr>
              <w:t>Option 3</w:t>
            </w:r>
            <w:r w:rsidR="00DF52AA">
              <w:t>) and the integrity measures will raise additional revenue</w:t>
            </w:r>
            <w:r>
              <w:t>. This measure is also the most comprehensive at minimising structuring behaviours to avoid the new top personal rate</w:t>
            </w:r>
            <w:r w:rsidR="005204B7">
              <w:t>.</w:t>
            </w:r>
          </w:p>
        </w:tc>
      </w:tr>
    </w:tbl>
    <w:p w14:paraId="13FBDEFF" w14:textId="77777777" w:rsidR="007958EF" w:rsidRPr="00270730" w:rsidRDefault="007958EF" w:rsidP="00270730">
      <w:pPr>
        <w:pStyle w:val="spacer"/>
        <w:rPr>
          <w:sz w:val="22"/>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9C4129" w:rsidRPr="009C4129" w14:paraId="7ED40FDE" w14:textId="77777777" w:rsidTr="00346B30">
        <w:trPr>
          <w:trHeight w:val="510"/>
        </w:trPr>
        <w:tc>
          <w:tcPr>
            <w:tcW w:w="5000" w:type="pct"/>
            <w:shd w:val="clear" w:color="auto" w:fill="99CDDD"/>
          </w:tcPr>
          <w:p w14:paraId="5AF83347" w14:textId="2B7A6D8A" w:rsidR="0062657E" w:rsidRPr="009C4129" w:rsidRDefault="00F05AD9" w:rsidP="002428A4">
            <w:pPr>
              <w:keepNext/>
              <w:keepLines/>
              <w:spacing w:before="60" w:after="60" w:line="240" w:lineRule="auto"/>
              <w:rPr>
                <w:rFonts w:cs="Arial"/>
                <w:b/>
                <w:szCs w:val="22"/>
                <w:lang w:eastAsia="en-AU"/>
              </w:rPr>
            </w:pPr>
            <w:r>
              <w:rPr>
                <w:rFonts w:cs="Arial"/>
                <w:b/>
                <w:szCs w:val="22"/>
                <w:lang w:eastAsia="en-AU"/>
              </w:rPr>
              <w:t xml:space="preserve">3.2   </w:t>
            </w:r>
            <w:r w:rsidR="0062657E" w:rsidRPr="009C4129">
              <w:rPr>
                <w:rFonts w:cs="Arial"/>
                <w:b/>
                <w:szCs w:val="22"/>
                <w:lang w:eastAsia="en-AU"/>
              </w:rPr>
              <w:t>What criteria, in addition to monetary costs and benefits</w:t>
            </w:r>
            <w:r w:rsidR="001837C1">
              <w:rPr>
                <w:rFonts w:cs="Arial"/>
                <w:b/>
                <w:szCs w:val="22"/>
                <w:lang w:eastAsia="en-AU"/>
              </w:rPr>
              <w:t xml:space="preserve"> </w:t>
            </w:r>
            <w:r w:rsidR="0062657E" w:rsidRPr="009C4129">
              <w:rPr>
                <w:rFonts w:cs="Arial"/>
                <w:b/>
                <w:szCs w:val="22"/>
                <w:lang w:eastAsia="en-AU"/>
              </w:rPr>
              <w:t>have been used to assess the likely impacts of the options under consideration?</w:t>
            </w:r>
          </w:p>
        </w:tc>
      </w:tr>
      <w:tr w:rsidR="009C4129" w:rsidRPr="009C4129" w14:paraId="2F126AF3" w14:textId="77777777" w:rsidTr="000172C1">
        <w:trPr>
          <w:trHeight w:val="597"/>
        </w:trPr>
        <w:tc>
          <w:tcPr>
            <w:tcW w:w="5000" w:type="pct"/>
            <w:shd w:val="clear" w:color="auto" w:fill="FFFFFF"/>
          </w:tcPr>
          <w:p w14:paraId="63A91240" w14:textId="77777777" w:rsidR="0062657E" w:rsidRDefault="0062657E" w:rsidP="0087646D">
            <w:pPr>
              <w:spacing w:after="0"/>
              <w:rPr>
                <w:rFonts w:cs="Arial"/>
                <w:szCs w:val="22"/>
                <w:lang w:eastAsia="en-AU"/>
              </w:rPr>
            </w:pPr>
          </w:p>
          <w:p w14:paraId="0A0A3158" w14:textId="2778A52B" w:rsidR="00802E7A" w:rsidRDefault="004E11C2" w:rsidP="00280E66">
            <w:pPr>
              <w:spacing w:after="0"/>
              <w:rPr>
                <w:lang w:eastAsia="en-AU"/>
              </w:rPr>
            </w:pPr>
            <w:r>
              <w:rPr>
                <w:rFonts w:cs="Arial"/>
                <w:szCs w:val="22"/>
                <w:lang w:eastAsia="en-AU"/>
              </w:rPr>
              <w:t xml:space="preserve">The two objectives </w:t>
            </w:r>
            <w:r w:rsidR="005839DD">
              <w:rPr>
                <w:rFonts w:cs="Arial"/>
                <w:szCs w:val="22"/>
                <w:lang w:eastAsia="en-AU"/>
              </w:rPr>
              <w:t xml:space="preserve">of the tax policy reform considered in this proposal are the </w:t>
            </w:r>
            <w:r w:rsidR="005839DD" w:rsidRPr="005D51BE">
              <w:rPr>
                <w:rFonts w:cs="Arial"/>
                <w:b/>
                <w:bCs/>
                <w:szCs w:val="22"/>
                <w:lang w:eastAsia="en-AU"/>
              </w:rPr>
              <w:t>distribution</w:t>
            </w:r>
            <w:r w:rsidR="00570CC8">
              <w:rPr>
                <w:rFonts w:cs="Arial"/>
                <w:b/>
                <w:bCs/>
                <w:szCs w:val="22"/>
                <w:lang w:eastAsia="en-AU"/>
              </w:rPr>
              <w:t>al</w:t>
            </w:r>
            <w:r w:rsidR="005839DD" w:rsidRPr="005D51BE">
              <w:rPr>
                <w:rFonts w:cs="Arial"/>
                <w:b/>
                <w:bCs/>
                <w:szCs w:val="22"/>
                <w:lang w:eastAsia="en-AU"/>
              </w:rPr>
              <w:t xml:space="preserve"> objective</w:t>
            </w:r>
            <w:r w:rsidR="005839DD">
              <w:rPr>
                <w:rFonts w:cs="Arial"/>
                <w:szCs w:val="22"/>
                <w:lang w:eastAsia="en-AU"/>
              </w:rPr>
              <w:t xml:space="preserve"> and the </w:t>
            </w:r>
            <w:r w:rsidR="005839DD" w:rsidRPr="005D51BE">
              <w:rPr>
                <w:rFonts w:cs="Arial"/>
                <w:b/>
                <w:bCs/>
                <w:szCs w:val="22"/>
                <w:lang w:eastAsia="en-AU"/>
              </w:rPr>
              <w:t>revenue objective</w:t>
            </w:r>
            <w:r w:rsidR="005839DD">
              <w:rPr>
                <w:rFonts w:cs="Arial"/>
                <w:szCs w:val="22"/>
                <w:lang w:eastAsia="en-AU"/>
              </w:rPr>
              <w:t>.</w:t>
            </w:r>
            <w:r w:rsidR="0062612C">
              <w:rPr>
                <w:rFonts w:cs="Arial"/>
                <w:szCs w:val="22"/>
                <w:lang w:eastAsia="en-AU"/>
              </w:rPr>
              <w:t xml:space="preserve"> These objectives encapsulate why </w:t>
            </w:r>
            <w:r w:rsidR="004E40FD">
              <w:rPr>
                <w:rFonts w:cs="Arial"/>
                <w:szCs w:val="22"/>
                <w:lang w:eastAsia="en-AU"/>
              </w:rPr>
              <w:t>the introduction of a new top personal income tax rate is being proposed.</w:t>
            </w:r>
            <w:r w:rsidR="005839DD">
              <w:rPr>
                <w:rFonts w:cs="Arial"/>
                <w:szCs w:val="22"/>
                <w:lang w:eastAsia="en-AU"/>
              </w:rPr>
              <w:t xml:space="preserve"> </w:t>
            </w:r>
            <w:r w:rsidR="00B621D5">
              <w:rPr>
                <w:rFonts w:cs="Arial"/>
                <w:szCs w:val="22"/>
                <w:lang w:eastAsia="en-AU"/>
              </w:rPr>
              <w:t xml:space="preserve">The criteria for </w:t>
            </w:r>
            <w:r w:rsidR="009D705D">
              <w:rPr>
                <w:rFonts w:cs="Arial"/>
                <w:szCs w:val="22"/>
                <w:lang w:eastAsia="en-AU"/>
              </w:rPr>
              <w:t>analysing</w:t>
            </w:r>
            <w:r w:rsidR="00B621D5">
              <w:rPr>
                <w:rFonts w:cs="Arial"/>
                <w:szCs w:val="22"/>
                <w:lang w:eastAsia="en-AU"/>
              </w:rPr>
              <w:t xml:space="preserve"> the option</w:t>
            </w:r>
            <w:r w:rsidR="00D005C2">
              <w:rPr>
                <w:rFonts w:cs="Arial"/>
                <w:szCs w:val="22"/>
                <w:lang w:eastAsia="en-AU"/>
              </w:rPr>
              <w:t>s</w:t>
            </w:r>
            <w:r w:rsidR="00280E66">
              <w:rPr>
                <w:rFonts w:cs="Arial"/>
                <w:szCs w:val="22"/>
                <w:lang w:eastAsia="en-AU"/>
              </w:rPr>
              <w:t xml:space="preserve"> (</w:t>
            </w:r>
            <w:r w:rsidR="00280E66">
              <w:rPr>
                <w:rFonts w:cs="Arial"/>
                <w:b/>
                <w:bCs/>
                <w:szCs w:val="22"/>
                <w:lang w:eastAsia="en-AU"/>
              </w:rPr>
              <w:t>efficiency</w:t>
            </w:r>
            <w:r w:rsidR="00280E66">
              <w:rPr>
                <w:rFonts w:cs="Arial"/>
                <w:szCs w:val="22"/>
                <w:lang w:eastAsia="en-AU"/>
              </w:rPr>
              <w:t xml:space="preserve">, </w:t>
            </w:r>
            <w:r w:rsidR="00280E66">
              <w:rPr>
                <w:rFonts w:cs="Arial"/>
                <w:b/>
                <w:bCs/>
                <w:szCs w:val="22"/>
                <w:lang w:eastAsia="en-AU"/>
              </w:rPr>
              <w:t>equity</w:t>
            </w:r>
            <w:r w:rsidR="00280E66">
              <w:rPr>
                <w:rFonts w:cs="Arial"/>
                <w:szCs w:val="22"/>
                <w:lang w:eastAsia="en-AU"/>
              </w:rPr>
              <w:t xml:space="preserve">, </w:t>
            </w:r>
            <w:r w:rsidR="00280E66">
              <w:rPr>
                <w:rFonts w:cs="Arial"/>
                <w:b/>
                <w:bCs/>
                <w:szCs w:val="22"/>
                <w:lang w:eastAsia="en-AU"/>
              </w:rPr>
              <w:t>complexity</w:t>
            </w:r>
            <w:r w:rsidR="00280E66">
              <w:rPr>
                <w:rFonts w:cs="Arial"/>
                <w:szCs w:val="22"/>
                <w:lang w:eastAsia="en-AU"/>
              </w:rPr>
              <w:t xml:space="preserve">, </w:t>
            </w:r>
            <w:r w:rsidR="00280E66">
              <w:rPr>
                <w:rFonts w:cs="Arial"/>
                <w:b/>
                <w:bCs/>
                <w:szCs w:val="22"/>
                <w:lang w:eastAsia="en-AU"/>
              </w:rPr>
              <w:t>integrity</w:t>
            </w:r>
            <w:r w:rsidR="00280E66">
              <w:rPr>
                <w:rFonts w:cs="Arial"/>
                <w:szCs w:val="22"/>
                <w:lang w:eastAsia="en-AU"/>
              </w:rPr>
              <w:t xml:space="preserve">, and </w:t>
            </w:r>
            <w:r w:rsidR="00280E66">
              <w:rPr>
                <w:rFonts w:cs="Arial"/>
                <w:b/>
                <w:bCs/>
                <w:szCs w:val="22"/>
                <w:lang w:eastAsia="en-AU"/>
              </w:rPr>
              <w:t>revenue raised</w:t>
            </w:r>
            <w:r w:rsidR="00280E66">
              <w:rPr>
                <w:rFonts w:cs="Arial"/>
                <w:szCs w:val="22"/>
                <w:lang w:eastAsia="en-AU"/>
              </w:rPr>
              <w:t>)</w:t>
            </w:r>
            <w:r w:rsidR="00EA73F7">
              <w:rPr>
                <w:rFonts w:cs="Arial"/>
                <w:szCs w:val="22"/>
                <w:lang w:eastAsia="en-AU"/>
              </w:rPr>
              <w:t xml:space="preserve"> were chosen </w:t>
            </w:r>
            <w:r w:rsidR="002A6265">
              <w:rPr>
                <w:rFonts w:cs="Arial"/>
                <w:szCs w:val="22"/>
                <w:lang w:eastAsia="en-AU"/>
              </w:rPr>
              <w:t xml:space="preserve">because </w:t>
            </w:r>
            <w:r w:rsidR="006E1B5A">
              <w:rPr>
                <w:rFonts w:cs="Arial"/>
                <w:szCs w:val="22"/>
                <w:lang w:eastAsia="en-AU"/>
              </w:rPr>
              <w:t xml:space="preserve">they are some of the most important </w:t>
            </w:r>
            <w:r w:rsidR="0081513C">
              <w:rPr>
                <w:rFonts w:cs="Arial"/>
                <w:szCs w:val="22"/>
                <w:lang w:eastAsia="en-AU"/>
              </w:rPr>
              <w:t xml:space="preserve">criteria </w:t>
            </w:r>
            <w:r w:rsidR="006E1B5A">
              <w:rPr>
                <w:rFonts w:cs="Arial"/>
                <w:szCs w:val="22"/>
                <w:lang w:eastAsia="en-AU"/>
              </w:rPr>
              <w:t>for measuring the success of tax policy</w:t>
            </w:r>
            <w:r w:rsidR="003738CE">
              <w:rPr>
                <w:rFonts w:cs="Arial"/>
                <w:szCs w:val="22"/>
                <w:lang w:eastAsia="en-AU"/>
              </w:rPr>
              <w:t xml:space="preserve"> and directly determine how well the objectives are achieved</w:t>
            </w:r>
            <w:r w:rsidR="00280E66">
              <w:rPr>
                <w:rFonts w:cs="Arial"/>
                <w:szCs w:val="22"/>
                <w:lang w:eastAsia="en-AU"/>
              </w:rPr>
              <w:t>.</w:t>
            </w:r>
            <w:r w:rsidR="00762514">
              <w:rPr>
                <w:rFonts w:cs="Arial"/>
                <w:szCs w:val="22"/>
                <w:lang w:eastAsia="en-AU"/>
              </w:rPr>
              <w:t xml:space="preserve"> The importance of</w:t>
            </w:r>
            <w:r w:rsidR="00DD5520">
              <w:rPr>
                <w:rFonts w:cs="Arial"/>
                <w:szCs w:val="22"/>
                <w:lang w:eastAsia="en-AU"/>
              </w:rPr>
              <w:t xml:space="preserve"> each of</w:t>
            </w:r>
            <w:r w:rsidR="00762514">
              <w:rPr>
                <w:rFonts w:cs="Arial"/>
                <w:szCs w:val="22"/>
                <w:lang w:eastAsia="en-AU"/>
              </w:rPr>
              <w:t xml:space="preserve"> these measures for evaluating tax policy was described earlier. </w:t>
            </w:r>
          </w:p>
          <w:p w14:paraId="1ACDDFAD" w14:textId="77777777" w:rsidR="007E29E1" w:rsidRDefault="007E29E1" w:rsidP="007E29E1">
            <w:pPr>
              <w:spacing w:after="0"/>
              <w:rPr>
                <w:rFonts w:cs="Arial"/>
                <w:szCs w:val="22"/>
                <w:lang w:eastAsia="en-AU"/>
              </w:rPr>
            </w:pPr>
          </w:p>
          <w:p w14:paraId="11CE9139" w14:textId="010149BF" w:rsidR="00871DA7" w:rsidRPr="007E29E1" w:rsidRDefault="00B66BAB" w:rsidP="007E29E1">
            <w:pPr>
              <w:spacing w:after="0"/>
              <w:rPr>
                <w:rFonts w:cs="Arial"/>
                <w:szCs w:val="22"/>
                <w:lang w:eastAsia="en-AU"/>
              </w:rPr>
            </w:pPr>
            <w:r>
              <w:rPr>
                <w:rFonts w:cs="Arial"/>
                <w:szCs w:val="22"/>
                <w:lang w:eastAsia="en-AU"/>
              </w:rPr>
              <w:t xml:space="preserve">These criteria can conflict with one another; for example, options that rank high on integrity </w:t>
            </w:r>
            <w:r w:rsidR="00D26562">
              <w:rPr>
                <w:rFonts w:cs="Arial"/>
                <w:szCs w:val="22"/>
                <w:lang w:eastAsia="en-AU"/>
              </w:rPr>
              <w:t>may</w:t>
            </w:r>
            <w:r w:rsidR="00392223">
              <w:rPr>
                <w:rFonts w:cs="Arial"/>
                <w:szCs w:val="22"/>
                <w:lang w:eastAsia="en-AU"/>
              </w:rPr>
              <w:t xml:space="preserve"> tend</w:t>
            </w:r>
            <w:r>
              <w:rPr>
                <w:rFonts w:cs="Arial"/>
                <w:szCs w:val="22"/>
                <w:lang w:eastAsia="en-AU"/>
              </w:rPr>
              <w:t xml:space="preserve"> to rank </w:t>
            </w:r>
            <w:r w:rsidR="00204F92">
              <w:rPr>
                <w:rFonts w:cs="Arial"/>
                <w:szCs w:val="22"/>
                <w:lang w:eastAsia="en-AU"/>
              </w:rPr>
              <w:t>poorly</w:t>
            </w:r>
            <w:r>
              <w:rPr>
                <w:rFonts w:cs="Arial"/>
                <w:szCs w:val="22"/>
                <w:lang w:eastAsia="en-AU"/>
              </w:rPr>
              <w:t xml:space="preserve"> on </w:t>
            </w:r>
            <w:r w:rsidR="00204F92">
              <w:rPr>
                <w:rFonts w:cs="Arial"/>
                <w:szCs w:val="22"/>
                <w:lang w:eastAsia="en-AU"/>
              </w:rPr>
              <w:t xml:space="preserve">complexity (since implementing more rules reduces loopholes but creates complexity). </w:t>
            </w:r>
            <w:r w:rsidR="004B64CF">
              <w:rPr>
                <w:rFonts w:cs="Arial"/>
                <w:szCs w:val="22"/>
                <w:lang w:eastAsia="en-AU"/>
              </w:rPr>
              <w:t>This analysis does not consider there to be any individual criterion that will trump the others in all cases of criteria conflict. The</w:t>
            </w:r>
            <w:r w:rsidR="00B01095">
              <w:rPr>
                <w:rFonts w:cs="Arial"/>
                <w:szCs w:val="22"/>
                <w:lang w:eastAsia="en-AU"/>
              </w:rPr>
              <w:t xml:space="preserve"> </w:t>
            </w:r>
            <w:r w:rsidR="00C32C5D">
              <w:rPr>
                <w:rFonts w:cs="Arial"/>
                <w:szCs w:val="22"/>
                <w:lang w:eastAsia="en-AU"/>
              </w:rPr>
              <w:t xml:space="preserve">overall </w:t>
            </w:r>
            <w:r w:rsidR="00B01095">
              <w:rPr>
                <w:rFonts w:cs="Arial"/>
                <w:szCs w:val="22"/>
                <w:lang w:eastAsia="en-AU"/>
              </w:rPr>
              <w:t xml:space="preserve">evaluation </w:t>
            </w:r>
            <w:r w:rsidR="00C32C5D">
              <w:rPr>
                <w:rFonts w:cs="Arial"/>
                <w:szCs w:val="22"/>
                <w:lang w:eastAsia="en-AU"/>
              </w:rPr>
              <w:t>and comparison of each</w:t>
            </w:r>
            <w:r w:rsidR="00B01095">
              <w:rPr>
                <w:rFonts w:cs="Arial"/>
                <w:szCs w:val="22"/>
                <w:lang w:eastAsia="en-AU"/>
              </w:rPr>
              <w:t xml:space="preserve"> </w:t>
            </w:r>
            <w:r w:rsidR="00C32C5D">
              <w:rPr>
                <w:rFonts w:cs="Arial"/>
                <w:szCs w:val="22"/>
                <w:lang w:eastAsia="en-AU"/>
              </w:rPr>
              <w:t xml:space="preserve">option should be a holistic exercise based on all of the criteria </w:t>
            </w:r>
            <w:r w:rsidR="004B64CF">
              <w:rPr>
                <w:rFonts w:cs="Arial"/>
                <w:szCs w:val="22"/>
                <w:lang w:eastAsia="en-AU"/>
              </w:rPr>
              <w:t xml:space="preserve">in their </w:t>
            </w:r>
            <w:r w:rsidR="008F5AAF">
              <w:rPr>
                <w:rFonts w:cs="Arial"/>
                <w:szCs w:val="22"/>
                <w:lang w:eastAsia="en-AU"/>
              </w:rPr>
              <w:t>entirety and</w:t>
            </w:r>
            <w:r w:rsidR="00E9629D">
              <w:rPr>
                <w:rFonts w:cs="Arial"/>
                <w:szCs w:val="22"/>
                <w:lang w:eastAsia="en-AU"/>
              </w:rPr>
              <w:t xml:space="preserve"> taking note of how well each option achieves the two overarching objectives</w:t>
            </w:r>
            <w:r w:rsidR="00C32C5D">
              <w:rPr>
                <w:rFonts w:cs="Arial"/>
                <w:szCs w:val="22"/>
                <w:lang w:eastAsia="en-AU"/>
              </w:rPr>
              <w:t>.</w:t>
            </w:r>
          </w:p>
          <w:p w14:paraId="70C7764D" w14:textId="52D015E3" w:rsidR="0087646D" w:rsidRPr="009C4129" w:rsidRDefault="0087646D" w:rsidP="0087646D">
            <w:pPr>
              <w:spacing w:after="0"/>
              <w:rPr>
                <w:rFonts w:cs="Arial"/>
                <w:szCs w:val="22"/>
                <w:lang w:eastAsia="en-AU"/>
              </w:rPr>
            </w:pPr>
          </w:p>
        </w:tc>
      </w:tr>
    </w:tbl>
    <w:p w14:paraId="709DB33B" w14:textId="77777777" w:rsidR="0062657E" w:rsidRPr="00270730" w:rsidRDefault="0062657E" w:rsidP="00C17661">
      <w:pPr>
        <w:pStyle w:val="spacer"/>
        <w:rPr>
          <w:sz w:val="22"/>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8"/>
      </w:tblGrid>
      <w:tr w:rsidR="009C4129" w:rsidRPr="009C4129" w14:paraId="160B0422" w14:textId="77777777" w:rsidTr="00346B30">
        <w:trPr>
          <w:trHeight w:val="124"/>
        </w:trPr>
        <w:tc>
          <w:tcPr>
            <w:tcW w:w="5000" w:type="pct"/>
            <w:shd w:val="clear" w:color="auto" w:fill="99CDDD"/>
          </w:tcPr>
          <w:p w14:paraId="6CF1DF28" w14:textId="3B7B5D64" w:rsidR="0062657E" w:rsidRPr="009C4129" w:rsidRDefault="00F05AD9" w:rsidP="006356D0">
            <w:pPr>
              <w:keepNext/>
              <w:spacing w:before="60" w:after="60" w:line="240" w:lineRule="auto"/>
              <w:rPr>
                <w:rFonts w:cs="Arial"/>
                <w:b/>
                <w:szCs w:val="22"/>
                <w:lang w:eastAsia="en-AU"/>
              </w:rPr>
            </w:pPr>
            <w:r>
              <w:rPr>
                <w:rFonts w:cs="Arial"/>
                <w:b/>
                <w:szCs w:val="22"/>
                <w:lang w:eastAsia="en-AU"/>
              </w:rPr>
              <w:t xml:space="preserve">3.3   </w:t>
            </w:r>
            <w:r w:rsidR="0062657E" w:rsidRPr="009C4129">
              <w:rPr>
                <w:rFonts w:cs="Arial"/>
                <w:b/>
                <w:szCs w:val="22"/>
                <w:lang w:eastAsia="en-AU"/>
              </w:rPr>
              <w:t>What other</w:t>
            </w:r>
            <w:r w:rsidR="0062657E" w:rsidRPr="004A11FC">
              <w:rPr>
                <w:rFonts w:cs="Arial"/>
                <w:b/>
                <w:szCs w:val="22"/>
                <w:lang w:eastAsia="en-AU"/>
              </w:rPr>
              <w:t xml:space="preserve"> </w:t>
            </w:r>
            <w:r w:rsidR="0062657E" w:rsidRPr="009C4129">
              <w:rPr>
                <w:rFonts w:cs="Arial"/>
                <w:b/>
                <w:szCs w:val="22"/>
                <w:lang w:eastAsia="en-AU"/>
              </w:rPr>
              <w:t>options have been ruled out of scope, or not considered, and why?</w:t>
            </w:r>
          </w:p>
        </w:tc>
      </w:tr>
      <w:tr w:rsidR="009C4129" w:rsidRPr="009C4129" w14:paraId="5803D46D" w14:textId="77777777" w:rsidTr="000172C1">
        <w:trPr>
          <w:trHeight w:val="757"/>
        </w:trPr>
        <w:tc>
          <w:tcPr>
            <w:tcW w:w="5000" w:type="pct"/>
            <w:shd w:val="clear" w:color="auto" w:fill="FFFFFF"/>
          </w:tcPr>
          <w:p w14:paraId="74E9D0E4" w14:textId="77777777" w:rsidR="00942676" w:rsidRDefault="00942676" w:rsidP="009C4129">
            <w:pPr>
              <w:spacing w:after="0" w:line="276" w:lineRule="auto"/>
              <w:jc w:val="both"/>
              <w:rPr>
                <w:rFonts w:cs="Arial"/>
                <w:szCs w:val="22"/>
                <w:lang w:eastAsia="en-AU"/>
              </w:rPr>
            </w:pPr>
          </w:p>
          <w:p w14:paraId="7FB7B479" w14:textId="3BB305A1" w:rsidR="0062657E" w:rsidRDefault="00776FAB" w:rsidP="009C4129">
            <w:pPr>
              <w:spacing w:after="0" w:line="276" w:lineRule="auto"/>
              <w:jc w:val="both"/>
              <w:rPr>
                <w:rFonts w:cs="Arial"/>
                <w:szCs w:val="22"/>
                <w:lang w:eastAsia="en-AU"/>
              </w:rPr>
            </w:pPr>
            <w:r>
              <w:rPr>
                <w:rFonts w:cs="Arial"/>
                <w:szCs w:val="22"/>
                <w:lang w:eastAsia="en-AU"/>
              </w:rPr>
              <w:t xml:space="preserve">The tax policy settings under practical consideration in this Impact Statement include </w:t>
            </w:r>
            <w:r w:rsidR="00466F74">
              <w:rPr>
                <w:rFonts w:cs="Arial"/>
                <w:szCs w:val="22"/>
                <w:lang w:eastAsia="en-AU"/>
              </w:rPr>
              <w:t xml:space="preserve">the top personal income tax rate, the trustee income tax rate, and </w:t>
            </w:r>
            <w:r w:rsidR="008C5260">
              <w:rPr>
                <w:rFonts w:cs="Arial"/>
                <w:szCs w:val="22"/>
                <w:lang w:eastAsia="en-AU"/>
              </w:rPr>
              <w:t xml:space="preserve">the investigation of </w:t>
            </w:r>
            <w:r w:rsidR="00942676">
              <w:rPr>
                <w:rFonts w:cs="Arial"/>
                <w:szCs w:val="22"/>
                <w:lang w:eastAsia="en-AU"/>
              </w:rPr>
              <w:t>integrity measures to support any rate increases.</w:t>
            </w:r>
          </w:p>
          <w:p w14:paraId="4660D24C" w14:textId="77777777" w:rsidR="00942676" w:rsidRDefault="00942676" w:rsidP="009C4129">
            <w:pPr>
              <w:spacing w:after="0" w:line="276" w:lineRule="auto"/>
              <w:jc w:val="both"/>
              <w:rPr>
                <w:rFonts w:cs="Arial"/>
                <w:szCs w:val="22"/>
                <w:lang w:eastAsia="en-AU"/>
              </w:rPr>
            </w:pPr>
          </w:p>
          <w:p w14:paraId="0E74D4BC" w14:textId="68232483" w:rsidR="00D65DBA" w:rsidRDefault="00942676" w:rsidP="00D65DBA">
            <w:pPr>
              <w:spacing w:after="0" w:line="240" w:lineRule="auto"/>
              <w:jc w:val="both"/>
              <w:rPr>
                <w:rFonts w:cs="Arial"/>
                <w:szCs w:val="22"/>
                <w:lang w:eastAsia="en-AU"/>
              </w:rPr>
            </w:pPr>
            <w:r>
              <w:rPr>
                <w:rFonts w:cs="Arial"/>
                <w:szCs w:val="22"/>
                <w:lang w:eastAsia="en-AU"/>
              </w:rPr>
              <w:t xml:space="preserve">One tax policy setting of </w:t>
            </w:r>
            <w:r w:rsidR="003B422E">
              <w:rPr>
                <w:rFonts w:cs="Arial"/>
                <w:szCs w:val="22"/>
                <w:lang w:eastAsia="en-AU"/>
              </w:rPr>
              <w:t xml:space="preserve">potential </w:t>
            </w:r>
            <w:r>
              <w:rPr>
                <w:rFonts w:cs="Arial"/>
                <w:szCs w:val="22"/>
                <w:lang w:eastAsia="en-AU"/>
              </w:rPr>
              <w:t>relevance is</w:t>
            </w:r>
            <w:r w:rsidR="008F5AAF">
              <w:rPr>
                <w:rFonts w:cs="Arial"/>
                <w:szCs w:val="22"/>
                <w:lang w:eastAsia="en-AU"/>
              </w:rPr>
              <w:t xml:space="preserve"> aligning</w:t>
            </w:r>
            <w:r>
              <w:rPr>
                <w:rFonts w:cs="Arial"/>
                <w:szCs w:val="22"/>
                <w:lang w:eastAsia="en-AU"/>
              </w:rPr>
              <w:t xml:space="preserve"> the company tax rate. Changes to this setting </w:t>
            </w:r>
            <w:r w:rsidR="006E704A">
              <w:rPr>
                <w:rFonts w:cs="Arial"/>
                <w:szCs w:val="22"/>
                <w:lang w:eastAsia="en-AU"/>
              </w:rPr>
              <w:t xml:space="preserve">were </w:t>
            </w:r>
            <w:r>
              <w:rPr>
                <w:rFonts w:cs="Arial"/>
                <w:szCs w:val="22"/>
                <w:lang w:eastAsia="en-AU"/>
              </w:rPr>
              <w:t xml:space="preserve">not under consideration for the analysis in this Impact Statement </w:t>
            </w:r>
            <w:r w:rsidR="00C2009A">
              <w:rPr>
                <w:rFonts w:cs="Arial"/>
                <w:szCs w:val="22"/>
                <w:lang w:eastAsia="en-AU"/>
              </w:rPr>
              <w:t xml:space="preserve">because </w:t>
            </w:r>
            <w:r w:rsidR="00D26562">
              <w:rPr>
                <w:rFonts w:cs="Arial"/>
                <w:szCs w:val="22"/>
                <w:lang w:eastAsia="en-AU"/>
              </w:rPr>
              <w:t>this is out of scope</w:t>
            </w:r>
            <w:r w:rsidR="00964480">
              <w:rPr>
                <w:rFonts w:cs="Arial"/>
                <w:szCs w:val="22"/>
                <w:lang w:eastAsia="en-AU"/>
              </w:rPr>
              <w:t xml:space="preserve"> of the Government’s proposal</w:t>
            </w:r>
            <w:r w:rsidR="00D26562">
              <w:rPr>
                <w:rFonts w:cs="Arial"/>
                <w:szCs w:val="22"/>
                <w:lang w:eastAsia="en-AU"/>
              </w:rPr>
              <w:t xml:space="preserve">. </w:t>
            </w:r>
            <w:r w:rsidR="006E704A">
              <w:rPr>
                <w:rFonts w:cs="Arial"/>
                <w:szCs w:val="22"/>
              </w:rPr>
              <w:t>U</w:t>
            </w:r>
            <w:r w:rsidR="006E704A">
              <w:t xml:space="preserve">nlike the personal </w:t>
            </w:r>
            <w:r w:rsidR="001D2172">
              <w:t>and</w:t>
            </w:r>
            <w:r w:rsidR="006E704A">
              <w:t xml:space="preserve"> trustee</w:t>
            </w:r>
            <w:r w:rsidR="001D2172">
              <w:t xml:space="preserve"> rates</w:t>
            </w:r>
            <w:r w:rsidR="006E704A">
              <w:t xml:space="preserve">, the company rate affects the taxation of foreign investment in New Zealand. </w:t>
            </w:r>
            <w:r w:rsidR="000F25C9" w:rsidRPr="00BC203F">
              <w:rPr>
                <w:shd w:val="clear" w:color="auto" w:fill="BFBFBF" w:themeFill="background1" w:themeFillShade="BF"/>
              </w:rPr>
              <w:t>s 9(2)(f)(iv</w:t>
            </w:r>
            <w:proofErr w:type="gramStart"/>
            <w:r w:rsidR="000F25C9" w:rsidRPr="00BC203F">
              <w:rPr>
                <w:shd w:val="clear" w:color="auto" w:fill="BFBFBF" w:themeFill="background1" w:themeFillShade="BF"/>
              </w:rPr>
              <w:t>)</w:t>
            </w:r>
            <w:r w:rsidR="00D3167F" w:rsidRPr="004A578D">
              <w:rPr>
                <w:color w:val="BFBFBF" w:themeColor="background1" w:themeShade="BF"/>
                <w:shd w:val="clear" w:color="auto" w:fill="BFBFBF" w:themeFill="background1" w:themeFillShade="BF"/>
              </w:rPr>
              <w:t>..</w:t>
            </w:r>
            <w:proofErr w:type="gramEnd"/>
            <w:r w:rsidR="000F25C9" w:rsidRPr="004A578D">
              <w:rPr>
                <w:color w:val="BFBFBF" w:themeColor="background1" w:themeShade="BF"/>
                <w:shd w:val="clear" w:color="auto" w:fill="BFBFBF" w:themeFill="background1" w:themeFillShade="BF"/>
              </w:rPr>
              <w:br/>
            </w:r>
            <w:r w:rsidR="00BC203F" w:rsidRPr="004A578D">
              <w:rPr>
                <w:rFonts w:cs="Arial"/>
                <w:color w:val="BFBFBF" w:themeColor="background1" w:themeShade="BF"/>
                <w:szCs w:val="22"/>
                <w:shd w:val="clear" w:color="auto" w:fill="BFBFBF" w:themeFill="background1" w:themeFillShade="BF"/>
              </w:rPr>
              <w:t>……………………………………………………………………………………………………….</w:t>
            </w:r>
            <w:r w:rsidR="000F25C9" w:rsidRPr="004A578D">
              <w:rPr>
                <w:rFonts w:cs="Arial"/>
                <w:color w:val="BFBFBF" w:themeColor="background1" w:themeShade="BF"/>
                <w:szCs w:val="22"/>
                <w:shd w:val="clear" w:color="auto" w:fill="BFBFBF" w:themeFill="background1" w:themeFillShade="BF"/>
              </w:rPr>
              <w:br/>
            </w:r>
            <w:r w:rsidR="00BC203F" w:rsidRPr="004A578D">
              <w:rPr>
                <w:rFonts w:cs="Arial"/>
                <w:color w:val="BFBFBF" w:themeColor="background1" w:themeShade="BF"/>
                <w:szCs w:val="22"/>
                <w:shd w:val="clear" w:color="auto" w:fill="BFBFBF" w:themeFill="background1" w:themeFillShade="BF"/>
              </w:rPr>
              <w:t>……………………………………………………………………………………………………….</w:t>
            </w:r>
            <w:r w:rsidR="00BC203F" w:rsidRPr="004A578D">
              <w:rPr>
                <w:rFonts w:cs="Arial"/>
                <w:color w:val="BFBFBF" w:themeColor="background1" w:themeShade="BF"/>
                <w:szCs w:val="22"/>
                <w:shd w:val="clear" w:color="auto" w:fill="BFBFBF" w:themeFill="background1" w:themeFillShade="BF"/>
              </w:rPr>
              <w:br/>
            </w:r>
            <w:r w:rsidR="00D65DBA" w:rsidRPr="004A578D">
              <w:rPr>
                <w:rFonts w:cs="Arial"/>
                <w:color w:val="BFBFBF" w:themeColor="background1" w:themeShade="BF"/>
                <w:szCs w:val="22"/>
                <w:shd w:val="clear" w:color="auto" w:fill="BFBFBF" w:themeFill="background1" w:themeFillShade="BF"/>
              </w:rPr>
              <w:t>……………………………………………………………………………………………………….</w:t>
            </w:r>
            <w:r w:rsidR="00D65DBA">
              <w:rPr>
                <w:rFonts w:cs="Arial"/>
                <w:szCs w:val="22"/>
                <w:shd w:val="clear" w:color="auto" w:fill="BFBFBF" w:themeFill="background1" w:themeFillShade="BF"/>
              </w:rPr>
              <w:br/>
            </w:r>
          </w:p>
          <w:p w14:paraId="18189B58" w14:textId="3CCD50B7" w:rsidR="00D468A5" w:rsidRDefault="00E242A2" w:rsidP="009C4129">
            <w:pPr>
              <w:spacing w:after="0" w:line="276" w:lineRule="auto"/>
              <w:jc w:val="both"/>
              <w:rPr>
                <w:rFonts w:cs="Arial"/>
                <w:szCs w:val="22"/>
                <w:lang w:eastAsia="en-AU"/>
              </w:rPr>
            </w:pPr>
            <w:r>
              <w:rPr>
                <w:rFonts w:cs="Arial"/>
                <w:szCs w:val="22"/>
                <w:lang w:eastAsia="en-AU"/>
              </w:rPr>
              <w:t xml:space="preserve">There are also other potential tax policy reforms that could serve to achieve the </w:t>
            </w:r>
            <w:r w:rsidR="00882187">
              <w:rPr>
                <w:rFonts w:cs="Arial"/>
                <w:szCs w:val="22"/>
                <w:lang w:eastAsia="en-AU"/>
              </w:rPr>
              <w:t>distribution</w:t>
            </w:r>
            <w:r w:rsidR="00570CC8">
              <w:rPr>
                <w:rFonts w:cs="Arial"/>
                <w:szCs w:val="22"/>
                <w:lang w:eastAsia="en-AU"/>
              </w:rPr>
              <w:t>al</w:t>
            </w:r>
            <w:r w:rsidR="00882187">
              <w:rPr>
                <w:rFonts w:cs="Arial"/>
                <w:szCs w:val="22"/>
                <w:lang w:eastAsia="en-AU"/>
              </w:rPr>
              <w:t xml:space="preserve"> and revenue </w:t>
            </w:r>
            <w:r>
              <w:rPr>
                <w:rFonts w:cs="Arial"/>
                <w:szCs w:val="22"/>
                <w:lang w:eastAsia="en-AU"/>
              </w:rPr>
              <w:t>objectives posited in this Impact Statement</w:t>
            </w:r>
            <w:r w:rsidR="00882187">
              <w:rPr>
                <w:rFonts w:cs="Arial"/>
                <w:szCs w:val="22"/>
                <w:lang w:eastAsia="en-AU"/>
              </w:rPr>
              <w:t>,</w:t>
            </w:r>
            <w:r w:rsidR="00A93C14">
              <w:rPr>
                <w:rFonts w:cs="Arial"/>
                <w:szCs w:val="22"/>
                <w:lang w:eastAsia="en-AU"/>
              </w:rPr>
              <w:t xml:space="preserve"> such as </w:t>
            </w:r>
            <w:r w:rsidR="00D26562">
              <w:rPr>
                <w:rFonts w:cs="Arial"/>
                <w:szCs w:val="22"/>
                <w:lang w:eastAsia="en-AU"/>
              </w:rPr>
              <w:t>increas</w:t>
            </w:r>
            <w:r w:rsidR="00A93C14">
              <w:rPr>
                <w:rFonts w:cs="Arial"/>
                <w:szCs w:val="22"/>
                <w:lang w:eastAsia="en-AU"/>
              </w:rPr>
              <w:t xml:space="preserve">ing the rate of GST </w:t>
            </w:r>
            <w:r w:rsidR="00D26562">
              <w:rPr>
                <w:rFonts w:cs="Arial"/>
                <w:szCs w:val="22"/>
                <w:lang w:eastAsia="en-AU"/>
              </w:rPr>
              <w:t xml:space="preserve">while giving tax relief or other support to those on lower incomes (so the net tax increase falls on those with higher incomes) </w:t>
            </w:r>
            <w:r w:rsidR="00A93C14">
              <w:rPr>
                <w:rFonts w:cs="Arial"/>
                <w:szCs w:val="22"/>
                <w:lang w:eastAsia="en-AU"/>
              </w:rPr>
              <w:t xml:space="preserve">or </w:t>
            </w:r>
            <w:r w:rsidR="00A7727E">
              <w:rPr>
                <w:rFonts w:cs="Arial"/>
                <w:szCs w:val="22"/>
                <w:lang w:eastAsia="en-AU"/>
              </w:rPr>
              <w:t xml:space="preserve">adjusting existing tax rates/thresholds (in contrast to introducing a new one). These </w:t>
            </w:r>
            <w:r w:rsidR="00BF5438">
              <w:rPr>
                <w:rFonts w:cs="Arial"/>
                <w:szCs w:val="22"/>
                <w:lang w:eastAsia="en-AU"/>
              </w:rPr>
              <w:t>options and others</w:t>
            </w:r>
            <w:r w:rsidR="00A7727E">
              <w:rPr>
                <w:rFonts w:cs="Arial"/>
                <w:szCs w:val="22"/>
                <w:lang w:eastAsia="en-AU"/>
              </w:rPr>
              <w:t xml:space="preserve"> were not </w:t>
            </w:r>
            <w:r w:rsidR="00BF5438">
              <w:rPr>
                <w:rFonts w:cs="Arial"/>
                <w:szCs w:val="22"/>
                <w:lang w:eastAsia="en-AU"/>
              </w:rPr>
              <w:t>discussed</w:t>
            </w:r>
            <w:r w:rsidR="00A7727E">
              <w:rPr>
                <w:rFonts w:cs="Arial"/>
                <w:szCs w:val="22"/>
                <w:lang w:eastAsia="en-AU"/>
              </w:rPr>
              <w:t xml:space="preserve"> in this Impact Statement</w:t>
            </w:r>
            <w:r w:rsidR="00BF5438">
              <w:rPr>
                <w:rFonts w:cs="Arial"/>
                <w:szCs w:val="22"/>
                <w:lang w:eastAsia="en-AU"/>
              </w:rPr>
              <w:t xml:space="preserve"> as they were considered to be too </w:t>
            </w:r>
            <w:r w:rsidR="00CD7288">
              <w:rPr>
                <w:rFonts w:cs="Arial"/>
                <w:szCs w:val="22"/>
                <w:lang w:eastAsia="en-AU"/>
              </w:rPr>
              <w:t>f</w:t>
            </w:r>
            <w:r w:rsidR="0090455C">
              <w:rPr>
                <w:rFonts w:cs="Arial"/>
                <w:szCs w:val="22"/>
                <w:lang w:eastAsia="en-AU"/>
              </w:rPr>
              <w:t>ar removed from</w:t>
            </w:r>
            <w:r w:rsidR="00BF5438">
              <w:rPr>
                <w:rFonts w:cs="Arial"/>
                <w:szCs w:val="22"/>
                <w:lang w:eastAsia="en-AU"/>
              </w:rPr>
              <w:t xml:space="preserve"> the current proposal</w:t>
            </w:r>
            <w:r w:rsidR="0090455C">
              <w:rPr>
                <w:rFonts w:cs="Arial"/>
                <w:szCs w:val="22"/>
                <w:lang w:eastAsia="en-AU"/>
              </w:rPr>
              <w:t>.</w:t>
            </w:r>
          </w:p>
          <w:p w14:paraId="0F8B9DD9" w14:textId="77777777" w:rsidR="00E05E93" w:rsidRDefault="00E05E93" w:rsidP="009C4129">
            <w:pPr>
              <w:spacing w:after="0" w:line="276" w:lineRule="auto"/>
              <w:jc w:val="both"/>
              <w:rPr>
                <w:rFonts w:cs="Arial"/>
                <w:szCs w:val="22"/>
                <w:lang w:eastAsia="en-AU"/>
              </w:rPr>
            </w:pPr>
          </w:p>
          <w:p w14:paraId="29A4F4A6" w14:textId="17BD81CE" w:rsidR="00877DCC" w:rsidRPr="00877DCC" w:rsidRDefault="00D65DBA" w:rsidP="004A578D">
            <w:pPr>
              <w:shd w:val="clear" w:color="auto" w:fill="BFBFBF" w:themeFill="background1" w:themeFillShade="BF"/>
              <w:spacing w:after="0" w:line="240" w:lineRule="auto"/>
              <w:rPr>
                <w:rFonts w:cs="Arial"/>
                <w:color w:val="BFBFBF" w:themeColor="background1" w:themeShade="BF"/>
                <w:szCs w:val="22"/>
                <w:lang w:eastAsia="en-AU"/>
              </w:rPr>
            </w:pPr>
            <w:r>
              <w:rPr>
                <w:rFonts w:cs="Arial"/>
                <w:szCs w:val="22"/>
                <w:lang w:eastAsia="en-AU"/>
              </w:rPr>
              <w:t>s 9(2)(f)(iv)</w:t>
            </w:r>
            <w:r w:rsidRPr="00877DCC">
              <w:rPr>
                <w:rFonts w:cs="Arial"/>
                <w:color w:val="BFBFBF" w:themeColor="background1" w:themeShade="BF"/>
                <w:szCs w:val="22"/>
                <w:lang w:eastAsia="en-AU"/>
              </w:rPr>
              <w:t>…………………………………………………………………………………………</w:t>
            </w:r>
            <w:r w:rsidR="004A578D">
              <w:rPr>
                <w:rFonts w:cs="Arial"/>
                <w:color w:val="BFBFBF" w:themeColor="background1" w:themeShade="BF"/>
                <w:szCs w:val="22"/>
                <w:lang w:eastAsia="en-AU"/>
              </w:rPr>
              <w:br/>
            </w:r>
            <w:r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r w:rsidR="004A578D">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p>
          <w:p w14:paraId="19EA9932" w14:textId="262A32D3" w:rsidR="00D65DBA" w:rsidRPr="009C4129" w:rsidRDefault="00D65DBA" w:rsidP="004A578D">
            <w:pPr>
              <w:shd w:val="clear" w:color="auto" w:fill="BFBFBF" w:themeFill="background1" w:themeFillShade="BF"/>
              <w:spacing w:after="0" w:line="240" w:lineRule="auto"/>
              <w:rPr>
                <w:rFonts w:cs="Arial"/>
                <w:szCs w:val="22"/>
                <w:lang w:eastAsia="en-AU"/>
              </w:rPr>
            </w:pPr>
            <w:r>
              <w:rPr>
                <w:rFonts w:cs="Arial"/>
                <w:szCs w:val="22"/>
                <w:lang w:eastAsia="en-AU"/>
              </w:rPr>
              <w:t>s 9(2)(f)(iv)</w:t>
            </w:r>
            <w:r w:rsidR="00877DCC" w:rsidRPr="00877DCC">
              <w:rPr>
                <w:rFonts w:cs="Arial"/>
                <w:color w:val="BFBFBF" w:themeColor="background1" w:themeShade="BF"/>
                <w:szCs w:val="22"/>
                <w:lang w:eastAsia="en-AU"/>
              </w:rPr>
              <w:t>………………………………………………………………………………………</w:t>
            </w:r>
            <w:r w:rsidR="009E6DF1">
              <w:rPr>
                <w:rFonts w:cs="Arial"/>
                <w:color w:val="BFBFBF" w:themeColor="background1" w:themeShade="BF"/>
                <w:szCs w:val="22"/>
                <w:lang w:eastAsia="en-AU"/>
              </w:rPr>
              <w:br/>
            </w:r>
            <w:r w:rsidR="00877DCC" w:rsidRPr="00877DCC">
              <w:rPr>
                <w:rFonts w:cs="Arial"/>
                <w:color w:val="BFBFBF" w:themeColor="background1" w:themeShade="BF"/>
                <w:szCs w:val="22"/>
                <w:shd w:val="clear" w:color="auto" w:fill="BFBFBF" w:themeFill="background1" w:themeFillShade="BF"/>
              </w:rPr>
              <w:t>……………………………………………………………………………………………………….</w:t>
            </w:r>
            <w:r w:rsidR="009E6DF1">
              <w:rPr>
                <w:rFonts w:cs="Arial"/>
                <w:color w:val="BFBFBF" w:themeColor="background1" w:themeShade="BF"/>
                <w:szCs w:val="22"/>
                <w:shd w:val="clear" w:color="auto" w:fill="BFBFBF" w:themeFill="background1" w:themeFillShade="BF"/>
              </w:rPr>
              <w:br/>
            </w:r>
            <w:r w:rsidR="00877DCC" w:rsidRPr="00877DCC">
              <w:rPr>
                <w:rFonts w:cs="Arial"/>
                <w:color w:val="BFBFBF" w:themeColor="background1" w:themeShade="BF"/>
                <w:szCs w:val="22"/>
                <w:shd w:val="clear" w:color="auto" w:fill="BFBFBF" w:themeFill="background1" w:themeFillShade="BF"/>
              </w:rPr>
              <w:t>……………………………………………………………………………………………………….</w:t>
            </w:r>
          </w:p>
        </w:tc>
      </w:tr>
    </w:tbl>
    <w:p w14:paraId="656AB385" w14:textId="77777777" w:rsidR="0062657E" w:rsidRPr="0049234F" w:rsidRDefault="0062657E" w:rsidP="00C17661">
      <w:pPr>
        <w:pStyle w:val="spacer"/>
        <w:sectPr w:rsidR="0062657E" w:rsidRPr="0049234F" w:rsidSect="00FA7EFC">
          <w:headerReference w:type="default" r:id="rId9"/>
          <w:footerReference w:type="default" r:id="rId10"/>
          <w:pgSz w:w="11906" w:h="16838"/>
          <w:pgMar w:top="1134" w:right="1418" w:bottom="992" w:left="1418" w:header="709" w:footer="709" w:gutter="0"/>
          <w:cols w:space="708"/>
          <w:docGrid w:linePitch="360"/>
        </w:sectPr>
      </w:pPr>
    </w:p>
    <w:p w14:paraId="4975E21D" w14:textId="35C485E0"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t>Section 4: Impact Analysis</w:t>
      </w:r>
    </w:p>
    <w:p w14:paraId="6881CD60" w14:textId="6117DB98" w:rsidR="00B61F23" w:rsidRDefault="009435C4" w:rsidP="009435C4">
      <w:pPr>
        <w:spacing w:after="0" w:line="276" w:lineRule="auto"/>
        <w:rPr>
          <w:rFonts w:cs="Arial"/>
          <w:i/>
          <w:szCs w:val="22"/>
        </w:rPr>
      </w:pPr>
      <w:r w:rsidRPr="009435C4">
        <w:rPr>
          <w:rFonts w:cs="Arial"/>
          <w:b/>
          <w:szCs w:val="22"/>
        </w:rPr>
        <w:t xml:space="preserve">Marginal impact: How does each of the options identified </w:t>
      </w:r>
      <w:r w:rsidR="0023241A">
        <w:rPr>
          <w:rFonts w:cs="Arial"/>
          <w:b/>
          <w:szCs w:val="22"/>
        </w:rPr>
        <w:t xml:space="preserve">in </w:t>
      </w:r>
      <w:r w:rsidRPr="009435C4">
        <w:rPr>
          <w:rFonts w:cs="Arial"/>
          <w:b/>
          <w:szCs w:val="22"/>
        </w:rPr>
        <w:t xml:space="preserve">section 3.1 compare with </w:t>
      </w:r>
      <w:r w:rsidR="00DF0840">
        <w:rPr>
          <w:rFonts w:cs="Arial"/>
          <w:b/>
          <w:szCs w:val="22"/>
        </w:rPr>
        <w:t>taking no action</w:t>
      </w:r>
      <w:r w:rsidR="007271F7">
        <w:rPr>
          <w:rFonts w:cs="Arial"/>
          <w:b/>
          <w:szCs w:val="22"/>
        </w:rPr>
        <w:t xml:space="preserve"> </w:t>
      </w:r>
      <w:r w:rsidRPr="009435C4">
        <w:rPr>
          <w:rFonts w:cs="Arial"/>
          <w:b/>
          <w:szCs w:val="22"/>
        </w:rPr>
        <w:t>under each of the criteria set out in section 3.2?</w:t>
      </w:r>
    </w:p>
    <w:p w14:paraId="33EEAA3B" w14:textId="77777777" w:rsidR="009435C4" w:rsidRDefault="009435C4" w:rsidP="0049234F">
      <w:pPr>
        <w:pStyle w:val="spacer"/>
      </w:pPr>
    </w:p>
    <w:tbl>
      <w:tblPr>
        <w:tblW w:w="13834"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447"/>
        <w:gridCol w:w="1134"/>
        <w:gridCol w:w="2835"/>
        <w:gridCol w:w="2835"/>
        <w:gridCol w:w="2835"/>
        <w:gridCol w:w="2748"/>
      </w:tblGrid>
      <w:tr w:rsidR="00EA3C97" w:rsidRPr="005910FD" w14:paraId="7962793C" w14:textId="321BAB46" w:rsidTr="001B3F24">
        <w:tc>
          <w:tcPr>
            <w:tcW w:w="1447" w:type="dxa"/>
            <w:shd w:val="clear" w:color="auto" w:fill="99CDDD"/>
          </w:tcPr>
          <w:p w14:paraId="6605693B" w14:textId="77777777" w:rsidR="00EA3C97" w:rsidRPr="00384E9B" w:rsidRDefault="00EA3C97" w:rsidP="00384E9B">
            <w:pPr>
              <w:spacing w:before="60" w:after="60" w:line="276" w:lineRule="auto"/>
              <w:jc w:val="both"/>
              <w:rPr>
                <w:rFonts w:cs="Arial"/>
                <w:b/>
                <w:color w:val="FFFFFF"/>
                <w:sz w:val="20"/>
                <w:szCs w:val="24"/>
              </w:rPr>
            </w:pPr>
          </w:p>
        </w:tc>
        <w:tc>
          <w:tcPr>
            <w:tcW w:w="1134" w:type="dxa"/>
            <w:shd w:val="clear" w:color="auto" w:fill="99CDDD"/>
          </w:tcPr>
          <w:p w14:paraId="78A2E76E" w14:textId="4E322D43" w:rsidR="00EA3C97" w:rsidRPr="00384E9B" w:rsidRDefault="00EA3C97" w:rsidP="00384E9B">
            <w:pPr>
              <w:spacing w:before="60" w:after="60" w:line="240" w:lineRule="auto"/>
              <w:rPr>
                <w:rFonts w:cs="Arial"/>
                <w:b/>
                <w:color w:val="000000"/>
                <w:sz w:val="20"/>
                <w:szCs w:val="24"/>
              </w:rPr>
            </w:pPr>
            <w:r>
              <w:rPr>
                <w:rFonts w:cs="Arial"/>
                <w:b/>
                <w:color w:val="000000"/>
                <w:sz w:val="20"/>
                <w:szCs w:val="24"/>
              </w:rPr>
              <w:t>Option 1: Status quo</w:t>
            </w:r>
          </w:p>
        </w:tc>
        <w:tc>
          <w:tcPr>
            <w:tcW w:w="2835" w:type="dxa"/>
            <w:shd w:val="clear" w:color="auto" w:fill="99CDDD"/>
          </w:tcPr>
          <w:p w14:paraId="1C954F7D" w14:textId="72A13502" w:rsidR="00EA3C97" w:rsidRPr="00384E9B" w:rsidRDefault="00EA3C97" w:rsidP="00384E9B">
            <w:pPr>
              <w:spacing w:before="60" w:after="60" w:line="276" w:lineRule="auto"/>
              <w:jc w:val="both"/>
              <w:rPr>
                <w:rFonts w:cs="Arial"/>
                <w:b/>
                <w:color w:val="000000"/>
                <w:sz w:val="20"/>
                <w:szCs w:val="24"/>
              </w:rPr>
            </w:pPr>
            <w:r>
              <w:rPr>
                <w:rFonts w:cs="Arial"/>
                <w:b/>
                <w:color w:val="000000"/>
                <w:sz w:val="20"/>
                <w:szCs w:val="24"/>
              </w:rPr>
              <w:t>Option 2: No alignment and no integrity measures</w:t>
            </w:r>
          </w:p>
        </w:tc>
        <w:tc>
          <w:tcPr>
            <w:tcW w:w="2835" w:type="dxa"/>
            <w:shd w:val="clear" w:color="auto" w:fill="99CDDD"/>
          </w:tcPr>
          <w:p w14:paraId="271730E0" w14:textId="1254C91D" w:rsidR="000D2B6B" w:rsidRPr="00384E9B" w:rsidRDefault="00EA3C97" w:rsidP="00384E9B">
            <w:pPr>
              <w:spacing w:before="60" w:after="60" w:line="276" w:lineRule="auto"/>
              <w:jc w:val="both"/>
              <w:rPr>
                <w:rFonts w:cs="Arial"/>
                <w:b/>
                <w:color w:val="000000"/>
                <w:sz w:val="20"/>
                <w:szCs w:val="24"/>
              </w:rPr>
            </w:pPr>
            <w:r>
              <w:rPr>
                <w:rFonts w:cs="Arial"/>
                <w:b/>
                <w:color w:val="000000"/>
                <w:sz w:val="20"/>
                <w:szCs w:val="24"/>
              </w:rPr>
              <w:t xml:space="preserve">Option 3: </w:t>
            </w:r>
            <w:r w:rsidR="005544C0">
              <w:rPr>
                <w:rFonts w:cs="Arial"/>
                <w:b/>
                <w:color w:val="000000"/>
                <w:sz w:val="20"/>
                <w:szCs w:val="24"/>
              </w:rPr>
              <w:t>Alignment</w:t>
            </w:r>
            <w:r w:rsidR="006755F2">
              <w:rPr>
                <w:rFonts w:cs="Arial"/>
                <w:b/>
                <w:color w:val="000000"/>
                <w:sz w:val="20"/>
                <w:szCs w:val="24"/>
              </w:rPr>
              <w:t xml:space="preserve"> with trustee rate</w:t>
            </w:r>
            <w:r w:rsidR="005544C0">
              <w:rPr>
                <w:rFonts w:cs="Arial"/>
                <w:b/>
                <w:color w:val="000000"/>
                <w:sz w:val="20"/>
                <w:szCs w:val="24"/>
              </w:rPr>
              <w:t xml:space="preserve"> but no integrity measures</w:t>
            </w:r>
          </w:p>
        </w:tc>
        <w:tc>
          <w:tcPr>
            <w:tcW w:w="2835" w:type="dxa"/>
            <w:shd w:val="clear" w:color="auto" w:fill="99CDDD"/>
          </w:tcPr>
          <w:p w14:paraId="3FBAB946" w14:textId="195C1769" w:rsidR="00EA3C97" w:rsidRPr="00384E9B" w:rsidRDefault="00EA3C97" w:rsidP="00384E9B">
            <w:pPr>
              <w:spacing w:before="60" w:after="60" w:line="276" w:lineRule="auto"/>
              <w:jc w:val="both"/>
              <w:rPr>
                <w:rFonts w:cs="Arial"/>
                <w:b/>
                <w:color w:val="000000"/>
                <w:sz w:val="20"/>
                <w:szCs w:val="24"/>
              </w:rPr>
            </w:pPr>
            <w:r w:rsidRPr="00384E9B">
              <w:rPr>
                <w:rFonts w:cs="Arial"/>
                <w:b/>
                <w:color w:val="000000"/>
                <w:sz w:val="20"/>
                <w:szCs w:val="24"/>
              </w:rPr>
              <w:t>Option</w:t>
            </w:r>
            <w:r w:rsidR="005544C0">
              <w:rPr>
                <w:rFonts w:cs="Arial"/>
                <w:b/>
                <w:color w:val="000000"/>
                <w:sz w:val="20"/>
                <w:szCs w:val="24"/>
              </w:rPr>
              <w:t xml:space="preserve"> 4: No alignment but </w:t>
            </w:r>
            <w:r w:rsidR="0081513C">
              <w:rPr>
                <w:rFonts w:cs="Arial"/>
                <w:b/>
                <w:color w:val="000000"/>
                <w:sz w:val="20"/>
                <w:szCs w:val="24"/>
              </w:rPr>
              <w:t xml:space="preserve">investigation of </w:t>
            </w:r>
            <w:r w:rsidR="005544C0">
              <w:rPr>
                <w:rFonts w:cs="Arial"/>
                <w:b/>
                <w:color w:val="000000"/>
                <w:sz w:val="20"/>
                <w:szCs w:val="24"/>
              </w:rPr>
              <w:t>integrity measures</w:t>
            </w:r>
          </w:p>
        </w:tc>
        <w:tc>
          <w:tcPr>
            <w:tcW w:w="2748" w:type="dxa"/>
            <w:shd w:val="clear" w:color="auto" w:fill="99CDDD"/>
          </w:tcPr>
          <w:p w14:paraId="6A8667F5" w14:textId="44511970" w:rsidR="00EA3C97" w:rsidRPr="00384E9B" w:rsidRDefault="005544C0" w:rsidP="00384E9B">
            <w:pPr>
              <w:spacing w:before="60" w:after="60" w:line="276" w:lineRule="auto"/>
              <w:jc w:val="both"/>
              <w:rPr>
                <w:rFonts w:cs="Arial"/>
                <w:b/>
                <w:color w:val="000000"/>
                <w:sz w:val="20"/>
                <w:szCs w:val="24"/>
              </w:rPr>
            </w:pPr>
            <w:r>
              <w:rPr>
                <w:rFonts w:cs="Arial"/>
                <w:b/>
                <w:color w:val="000000"/>
                <w:sz w:val="20"/>
                <w:szCs w:val="24"/>
              </w:rPr>
              <w:t xml:space="preserve">Option 5: </w:t>
            </w:r>
            <w:r w:rsidR="00B61122">
              <w:rPr>
                <w:rFonts w:cs="Arial"/>
                <w:b/>
                <w:color w:val="000000"/>
                <w:sz w:val="20"/>
                <w:szCs w:val="24"/>
              </w:rPr>
              <w:t>A</w:t>
            </w:r>
            <w:r>
              <w:rPr>
                <w:rFonts w:cs="Arial"/>
                <w:b/>
                <w:color w:val="000000"/>
                <w:sz w:val="20"/>
                <w:szCs w:val="24"/>
              </w:rPr>
              <w:t>lignment</w:t>
            </w:r>
            <w:r w:rsidR="00A362C1">
              <w:rPr>
                <w:rFonts w:cs="Arial"/>
                <w:b/>
                <w:color w:val="000000"/>
                <w:sz w:val="20"/>
                <w:szCs w:val="24"/>
              </w:rPr>
              <w:t xml:space="preserve"> with trustee rate</w:t>
            </w:r>
            <w:r w:rsidR="000B4DDB">
              <w:rPr>
                <w:rFonts w:cs="Arial"/>
                <w:b/>
                <w:color w:val="000000"/>
                <w:sz w:val="20"/>
                <w:szCs w:val="24"/>
              </w:rPr>
              <w:t xml:space="preserve"> </w:t>
            </w:r>
            <w:r>
              <w:rPr>
                <w:rFonts w:cs="Arial"/>
                <w:b/>
                <w:color w:val="000000"/>
                <w:sz w:val="20"/>
                <w:szCs w:val="24"/>
              </w:rPr>
              <w:t xml:space="preserve">and </w:t>
            </w:r>
            <w:r w:rsidR="0081513C">
              <w:rPr>
                <w:rFonts w:cs="Arial"/>
                <w:b/>
                <w:color w:val="000000"/>
                <w:sz w:val="20"/>
                <w:szCs w:val="24"/>
              </w:rPr>
              <w:t xml:space="preserve">investigation of </w:t>
            </w:r>
            <w:r>
              <w:rPr>
                <w:rFonts w:cs="Arial"/>
                <w:b/>
                <w:color w:val="000000"/>
                <w:sz w:val="20"/>
                <w:szCs w:val="24"/>
              </w:rPr>
              <w:t>integrity measures</w:t>
            </w:r>
          </w:p>
        </w:tc>
      </w:tr>
      <w:tr w:rsidR="00EA3C97" w:rsidRPr="00DD7964" w14:paraId="3239F7AF" w14:textId="38229C38" w:rsidTr="001B3F24">
        <w:tc>
          <w:tcPr>
            <w:tcW w:w="1447" w:type="dxa"/>
            <w:shd w:val="clear" w:color="auto" w:fill="99CDDD"/>
          </w:tcPr>
          <w:p w14:paraId="6BE60231" w14:textId="4D7D8FC3" w:rsidR="009562AA" w:rsidRPr="00422FEC" w:rsidRDefault="007D0FB3" w:rsidP="00384E9B">
            <w:pPr>
              <w:spacing w:before="60" w:after="60" w:line="240" w:lineRule="auto"/>
              <w:rPr>
                <w:rFonts w:cs="Arial"/>
                <w:b/>
                <w:color w:val="000000"/>
                <w:sz w:val="20"/>
                <w:szCs w:val="24"/>
              </w:rPr>
            </w:pPr>
            <w:r w:rsidRPr="00422FEC">
              <w:rPr>
                <w:rFonts w:cs="Arial"/>
                <w:b/>
                <w:color w:val="000000"/>
                <w:sz w:val="20"/>
                <w:szCs w:val="24"/>
              </w:rPr>
              <w:t>Efficiency</w:t>
            </w:r>
          </w:p>
          <w:p w14:paraId="65010394" w14:textId="77777777" w:rsidR="00637EE5" w:rsidRPr="00422FEC" w:rsidRDefault="00637EE5" w:rsidP="00384E9B">
            <w:pPr>
              <w:spacing w:before="60" w:after="60" w:line="240" w:lineRule="auto"/>
              <w:rPr>
                <w:rFonts w:cs="Arial"/>
                <w:b/>
                <w:color w:val="000000"/>
                <w:sz w:val="20"/>
                <w:szCs w:val="24"/>
              </w:rPr>
            </w:pPr>
          </w:p>
          <w:p w14:paraId="51D1E596" w14:textId="68B110FF" w:rsidR="009562AA" w:rsidRPr="00422FEC" w:rsidRDefault="009562AA" w:rsidP="00384E9B">
            <w:pPr>
              <w:spacing w:before="60" w:after="60" w:line="240" w:lineRule="auto"/>
              <w:rPr>
                <w:rFonts w:cs="Arial"/>
                <w:b/>
                <w:color w:val="000000"/>
                <w:sz w:val="20"/>
                <w:szCs w:val="24"/>
              </w:rPr>
            </w:pPr>
          </w:p>
        </w:tc>
        <w:tc>
          <w:tcPr>
            <w:tcW w:w="1134" w:type="dxa"/>
            <w:shd w:val="clear" w:color="auto" w:fill="auto"/>
          </w:tcPr>
          <w:p w14:paraId="7C618FD1" w14:textId="77777777" w:rsidR="00EA3C97" w:rsidRPr="003A0EE0" w:rsidRDefault="00EA3C97" w:rsidP="003A0EE0">
            <w:pPr>
              <w:pStyle w:val="TableText"/>
              <w:spacing w:line="276" w:lineRule="auto"/>
              <w:rPr>
                <w:bCs/>
              </w:rPr>
            </w:pPr>
            <w:r w:rsidRPr="003A0EE0">
              <w:rPr>
                <w:bCs/>
              </w:rPr>
              <w:t>0</w:t>
            </w:r>
          </w:p>
        </w:tc>
        <w:tc>
          <w:tcPr>
            <w:tcW w:w="2835" w:type="dxa"/>
            <w:shd w:val="clear" w:color="auto" w:fill="auto"/>
          </w:tcPr>
          <w:p w14:paraId="0D7A75E0" w14:textId="0C0A6EDF" w:rsidR="00EA3C97" w:rsidRPr="0049075B" w:rsidRDefault="0040366B" w:rsidP="003A0EE0">
            <w:pPr>
              <w:pStyle w:val="TableText"/>
              <w:spacing w:line="276" w:lineRule="auto"/>
              <w:rPr>
                <w:rFonts w:cs="Arial"/>
                <w:b/>
                <w:color w:val="FF0000"/>
              </w:rPr>
            </w:pPr>
            <w:r w:rsidRPr="0040366B">
              <w:rPr>
                <w:rFonts w:cs="Arial"/>
                <w:b/>
                <w:color w:val="FF0000"/>
              </w:rPr>
              <w:t>-</w:t>
            </w:r>
            <w:r>
              <w:rPr>
                <w:rFonts w:cs="Arial"/>
                <w:b/>
                <w:color w:val="FF0000"/>
              </w:rPr>
              <w:t xml:space="preserve"> </w:t>
            </w:r>
            <w:r w:rsidRPr="0049075B">
              <w:rPr>
                <w:rFonts w:cs="Arial"/>
                <w:b/>
                <w:color w:val="FF0000"/>
              </w:rPr>
              <w:t>-</w:t>
            </w:r>
            <w:r w:rsidR="00025FDE">
              <w:rPr>
                <w:rFonts w:cs="Arial"/>
                <w:b/>
                <w:color w:val="FF0000"/>
              </w:rPr>
              <w:t xml:space="preserve"> </w:t>
            </w:r>
            <w:r w:rsidR="00025FDE" w:rsidRPr="0049075B">
              <w:rPr>
                <w:rFonts w:cs="Arial"/>
                <w:b/>
                <w:color w:val="FF0000"/>
              </w:rPr>
              <w:t>-</w:t>
            </w:r>
          </w:p>
          <w:p w14:paraId="45D74D72" w14:textId="4663C648" w:rsidR="00355736" w:rsidRPr="0049075B" w:rsidRDefault="0049075B" w:rsidP="003A0EE0">
            <w:pPr>
              <w:pStyle w:val="TableText"/>
              <w:spacing w:line="276" w:lineRule="auto"/>
              <w:rPr>
                <w:bCs/>
              </w:rPr>
            </w:pPr>
            <w:r w:rsidRPr="0049075B">
              <w:rPr>
                <w:bCs/>
              </w:rPr>
              <w:t>Increases tax disincentives</w:t>
            </w:r>
            <w:r w:rsidR="0040366B">
              <w:rPr>
                <w:bCs/>
              </w:rPr>
              <w:t xml:space="preserve"> and increases distortions</w:t>
            </w:r>
          </w:p>
        </w:tc>
        <w:tc>
          <w:tcPr>
            <w:tcW w:w="2835" w:type="dxa"/>
            <w:shd w:val="clear" w:color="auto" w:fill="auto"/>
          </w:tcPr>
          <w:p w14:paraId="10A20B6F" w14:textId="0CAB8463" w:rsidR="00EA3C97" w:rsidRPr="0049075B" w:rsidRDefault="00D75F18" w:rsidP="003A0EE0">
            <w:pPr>
              <w:pStyle w:val="TableText"/>
              <w:spacing w:line="276" w:lineRule="auto"/>
              <w:rPr>
                <w:rFonts w:cs="Arial"/>
                <w:b/>
                <w:color w:val="FF0000"/>
              </w:rPr>
            </w:pPr>
            <w:r w:rsidRPr="0049075B">
              <w:rPr>
                <w:rFonts w:cs="Arial"/>
                <w:b/>
                <w:color w:val="FF0000"/>
              </w:rPr>
              <w:t>-</w:t>
            </w:r>
            <w:r w:rsidR="00025FDE">
              <w:rPr>
                <w:rFonts w:cs="Arial"/>
                <w:b/>
                <w:color w:val="FF0000"/>
              </w:rPr>
              <w:t xml:space="preserve"> </w:t>
            </w:r>
            <w:r w:rsidR="00025FDE" w:rsidRPr="0049075B">
              <w:rPr>
                <w:rFonts w:cs="Arial"/>
                <w:b/>
                <w:color w:val="FF0000"/>
              </w:rPr>
              <w:t>-</w:t>
            </w:r>
          </w:p>
          <w:p w14:paraId="6FC2E674" w14:textId="32225441" w:rsidR="000D2B6B" w:rsidRPr="0049075B" w:rsidRDefault="0049075B" w:rsidP="003A0EE0">
            <w:pPr>
              <w:pStyle w:val="TableText"/>
              <w:spacing w:line="276" w:lineRule="auto"/>
              <w:rPr>
                <w:bCs/>
              </w:rPr>
            </w:pPr>
            <w:r w:rsidRPr="0049075B">
              <w:rPr>
                <w:bCs/>
              </w:rPr>
              <w:t>Increases tax disincentives</w:t>
            </w:r>
            <w:r w:rsidR="00290514">
              <w:rPr>
                <w:bCs/>
              </w:rPr>
              <w:t xml:space="preserve"> but </w:t>
            </w:r>
            <w:r w:rsidR="002A64F4">
              <w:rPr>
                <w:bCs/>
              </w:rPr>
              <w:t xml:space="preserve">increases distortions by less than </w:t>
            </w:r>
            <w:r w:rsidR="002A64F4">
              <w:rPr>
                <w:b/>
              </w:rPr>
              <w:t xml:space="preserve">Option 2 </w:t>
            </w:r>
          </w:p>
        </w:tc>
        <w:tc>
          <w:tcPr>
            <w:tcW w:w="2835" w:type="dxa"/>
            <w:shd w:val="clear" w:color="auto" w:fill="auto"/>
          </w:tcPr>
          <w:p w14:paraId="367D4621" w14:textId="6954F8E9" w:rsidR="00EA3C97" w:rsidRPr="0049075B" w:rsidRDefault="00D75F18" w:rsidP="00D75F18">
            <w:pPr>
              <w:pStyle w:val="TableText"/>
              <w:spacing w:line="276" w:lineRule="auto"/>
              <w:rPr>
                <w:rFonts w:cs="Arial"/>
                <w:b/>
                <w:color w:val="FF0000"/>
              </w:rPr>
            </w:pPr>
            <w:r w:rsidRPr="0049075B">
              <w:rPr>
                <w:rFonts w:cs="Arial"/>
                <w:b/>
                <w:color w:val="FF0000"/>
              </w:rPr>
              <w:t>-</w:t>
            </w:r>
            <w:r w:rsidR="00025FDE">
              <w:rPr>
                <w:rFonts w:cs="Arial"/>
                <w:b/>
                <w:color w:val="FF0000"/>
              </w:rPr>
              <w:t xml:space="preserve"> </w:t>
            </w:r>
            <w:r w:rsidR="00025FDE" w:rsidRPr="0049075B">
              <w:rPr>
                <w:rFonts w:cs="Arial"/>
                <w:b/>
                <w:color w:val="FF0000"/>
              </w:rPr>
              <w:t>-</w:t>
            </w:r>
          </w:p>
          <w:p w14:paraId="230FDA64" w14:textId="6A06FED4" w:rsidR="00355736" w:rsidRPr="0049075B" w:rsidRDefault="0049075B" w:rsidP="00D75F18">
            <w:pPr>
              <w:pStyle w:val="TableText"/>
              <w:spacing w:line="276" w:lineRule="auto"/>
              <w:rPr>
                <w:rFonts w:cs="Arial"/>
                <w:bCs/>
                <w:szCs w:val="24"/>
              </w:rPr>
            </w:pPr>
            <w:r w:rsidRPr="0049075B">
              <w:rPr>
                <w:bCs/>
              </w:rPr>
              <w:t>Increases tax disincentives</w:t>
            </w:r>
            <w:r w:rsidR="00422FEC">
              <w:rPr>
                <w:bCs/>
              </w:rPr>
              <w:t xml:space="preserve"> but </w:t>
            </w:r>
            <w:r w:rsidR="004A36A0">
              <w:rPr>
                <w:bCs/>
              </w:rPr>
              <w:t xml:space="preserve">increases distortions by less than </w:t>
            </w:r>
            <w:r w:rsidR="004A36A0">
              <w:rPr>
                <w:b/>
              </w:rPr>
              <w:t xml:space="preserve">Option 2 </w:t>
            </w:r>
          </w:p>
        </w:tc>
        <w:tc>
          <w:tcPr>
            <w:tcW w:w="2748" w:type="dxa"/>
          </w:tcPr>
          <w:p w14:paraId="0FF2782E" w14:textId="02874941" w:rsidR="00EA3C97" w:rsidRPr="009E4185" w:rsidRDefault="00025FDE" w:rsidP="00D75F18">
            <w:pPr>
              <w:pStyle w:val="TableText"/>
              <w:spacing w:line="276" w:lineRule="auto"/>
              <w:rPr>
                <w:rFonts w:cs="Arial"/>
                <w:bCs/>
              </w:rPr>
            </w:pPr>
            <w:r w:rsidRPr="0049075B">
              <w:rPr>
                <w:rFonts w:cs="Arial"/>
                <w:b/>
                <w:color w:val="FF0000"/>
              </w:rPr>
              <w:t>-</w:t>
            </w:r>
          </w:p>
          <w:p w14:paraId="22CFF08E" w14:textId="296AF437" w:rsidR="003E22E1" w:rsidRPr="003E22E1" w:rsidRDefault="0049075B" w:rsidP="00D75F18">
            <w:pPr>
              <w:pStyle w:val="TableText"/>
              <w:spacing w:line="276" w:lineRule="auto"/>
              <w:rPr>
                <w:bCs/>
              </w:rPr>
            </w:pPr>
            <w:r w:rsidRPr="0049075B">
              <w:rPr>
                <w:bCs/>
              </w:rPr>
              <w:t>Increases tax disincentives</w:t>
            </w:r>
            <w:r w:rsidR="009E4185">
              <w:rPr>
                <w:bCs/>
              </w:rPr>
              <w:t xml:space="preserve"> but </w:t>
            </w:r>
            <w:r w:rsidR="004A36A0">
              <w:rPr>
                <w:bCs/>
              </w:rPr>
              <w:t>increases distortions</w:t>
            </w:r>
            <w:r w:rsidR="008F3F49">
              <w:rPr>
                <w:bCs/>
              </w:rPr>
              <w:t xml:space="preserve"> the least of Options 2 to 5 </w:t>
            </w:r>
          </w:p>
        </w:tc>
      </w:tr>
      <w:tr w:rsidR="00EA3C97" w:rsidRPr="00DD7964" w14:paraId="79EEF2BD" w14:textId="444527C1" w:rsidTr="001B3F24">
        <w:tc>
          <w:tcPr>
            <w:tcW w:w="1447" w:type="dxa"/>
            <w:shd w:val="clear" w:color="auto" w:fill="99CDDD"/>
          </w:tcPr>
          <w:p w14:paraId="74DFC7BE" w14:textId="6A21C543" w:rsidR="00EA3C97" w:rsidRPr="00422FEC" w:rsidRDefault="007D0FB3" w:rsidP="00384E9B">
            <w:pPr>
              <w:spacing w:before="60" w:after="60" w:line="240" w:lineRule="auto"/>
              <w:rPr>
                <w:rFonts w:cs="Arial"/>
                <w:b/>
                <w:color w:val="000000"/>
                <w:sz w:val="20"/>
                <w:szCs w:val="24"/>
              </w:rPr>
            </w:pPr>
            <w:r w:rsidRPr="00422FEC">
              <w:rPr>
                <w:rFonts w:cs="Arial"/>
                <w:b/>
                <w:color w:val="000000"/>
                <w:sz w:val="20"/>
                <w:szCs w:val="24"/>
              </w:rPr>
              <w:t>Equity</w:t>
            </w:r>
          </w:p>
        </w:tc>
        <w:tc>
          <w:tcPr>
            <w:tcW w:w="1134" w:type="dxa"/>
            <w:shd w:val="clear" w:color="auto" w:fill="auto"/>
          </w:tcPr>
          <w:p w14:paraId="47FEB5B1" w14:textId="77777777" w:rsidR="00EA3C97" w:rsidRPr="003A0EE0" w:rsidRDefault="00EA3C97" w:rsidP="003A0EE0">
            <w:pPr>
              <w:pStyle w:val="TableText"/>
              <w:spacing w:line="276" w:lineRule="auto"/>
              <w:rPr>
                <w:bCs/>
              </w:rPr>
            </w:pPr>
            <w:r w:rsidRPr="003A0EE0">
              <w:rPr>
                <w:bCs/>
              </w:rPr>
              <w:t>0</w:t>
            </w:r>
          </w:p>
        </w:tc>
        <w:tc>
          <w:tcPr>
            <w:tcW w:w="2835" w:type="dxa"/>
            <w:shd w:val="clear" w:color="auto" w:fill="auto"/>
          </w:tcPr>
          <w:p w14:paraId="0968FA33" w14:textId="77777777" w:rsidR="00EA3C97" w:rsidRDefault="00463BF7" w:rsidP="003A0EE0">
            <w:pPr>
              <w:pStyle w:val="TableText"/>
              <w:spacing w:line="276" w:lineRule="auto"/>
              <w:rPr>
                <w:bCs/>
              </w:rPr>
            </w:pPr>
            <w:r w:rsidRPr="003A0EE0">
              <w:rPr>
                <w:bCs/>
              </w:rPr>
              <w:t>0</w:t>
            </w:r>
          </w:p>
          <w:p w14:paraId="118D0FE9" w14:textId="5CECC389" w:rsidR="0015394B" w:rsidRPr="003A0EE0" w:rsidRDefault="0015394B" w:rsidP="003A0EE0">
            <w:pPr>
              <w:pStyle w:val="TableText"/>
              <w:spacing w:line="276" w:lineRule="auto"/>
              <w:rPr>
                <w:bCs/>
              </w:rPr>
            </w:pPr>
            <w:r>
              <w:rPr>
                <w:bCs/>
              </w:rPr>
              <w:t>Improves vertical equity</w:t>
            </w:r>
            <w:r w:rsidR="00B61F23">
              <w:rPr>
                <w:bCs/>
              </w:rPr>
              <w:t xml:space="preserve"> but offset by</w:t>
            </w:r>
            <w:r>
              <w:rPr>
                <w:bCs/>
              </w:rPr>
              <w:t xml:space="preserve"> worsen</w:t>
            </w:r>
            <w:r w:rsidR="00B61F23">
              <w:rPr>
                <w:bCs/>
              </w:rPr>
              <w:t>ing of</w:t>
            </w:r>
            <w:r>
              <w:rPr>
                <w:bCs/>
              </w:rPr>
              <w:t xml:space="preserve"> horizontal equity</w:t>
            </w:r>
          </w:p>
        </w:tc>
        <w:tc>
          <w:tcPr>
            <w:tcW w:w="2835" w:type="dxa"/>
            <w:shd w:val="clear" w:color="auto" w:fill="auto"/>
          </w:tcPr>
          <w:p w14:paraId="177B26A8" w14:textId="77777777" w:rsidR="00EA3C97" w:rsidRDefault="00AE2E6E" w:rsidP="003A0EE0">
            <w:pPr>
              <w:pStyle w:val="TableText"/>
              <w:spacing w:line="276" w:lineRule="auto"/>
              <w:rPr>
                <w:rFonts w:cs="Arial"/>
                <w:b/>
                <w:color w:val="00B050"/>
              </w:rPr>
            </w:pPr>
            <w:r w:rsidRPr="00373CD5">
              <w:rPr>
                <w:rFonts w:cs="Arial"/>
                <w:b/>
                <w:color w:val="00B050"/>
              </w:rPr>
              <w:t>+</w:t>
            </w:r>
            <w:r>
              <w:rPr>
                <w:rFonts w:cs="Arial"/>
                <w:b/>
                <w:color w:val="00B050"/>
              </w:rPr>
              <w:t xml:space="preserve"> </w:t>
            </w:r>
          </w:p>
          <w:p w14:paraId="6BA8117E" w14:textId="4BB48826" w:rsidR="0049075B" w:rsidRPr="003A0EE0" w:rsidRDefault="009562AA" w:rsidP="003A0EE0">
            <w:pPr>
              <w:pStyle w:val="TableText"/>
              <w:spacing w:line="276" w:lineRule="auto"/>
              <w:rPr>
                <w:bCs/>
              </w:rPr>
            </w:pPr>
            <w:r>
              <w:rPr>
                <w:bCs/>
              </w:rPr>
              <w:t>Improve</w:t>
            </w:r>
            <w:r w:rsidR="009A09D1">
              <w:rPr>
                <w:bCs/>
              </w:rPr>
              <w:t>s</w:t>
            </w:r>
            <w:r>
              <w:rPr>
                <w:bCs/>
              </w:rPr>
              <w:t xml:space="preserve"> vertical equity</w:t>
            </w:r>
            <w:r w:rsidR="00A338A3">
              <w:rPr>
                <w:bCs/>
              </w:rPr>
              <w:t>,</w:t>
            </w:r>
            <w:r w:rsidR="00B77764">
              <w:rPr>
                <w:bCs/>
              </w:rPr>
              <w:t xml:space="preserve"> </w:t>
            </w:r>
            <w:r w:rsidR="00A338A3">
              <w:rPr>
                <w:bCs/>
              </w:rPr>
              <w:t>w</w:t>
            </w:r>
            <w:r w:rsidR="00940975">
              <w:rPr>
                <w:bCs/>
              </w:rPr>
              <w:t>orsens horizontal equity</w:t>
            </w:r>
            <w:r w:rsidR="009700CB">
              <w:rPr>
                <w:bCs/>
              </w:rPr>
              <w:t xml:space="preserve"> to a lesser extent than </w:t>
            </w:r>
            <w:r w:rsidR="00B658A5">
              <w:rPr>
                <w:b/>
              </w:rPr>
              <w:t>O</w:t>
            </w:r>
            <w:r w:rsidR="009700CB" w:rsidRPr="00B658A5">
              <w:rPr>
                <w:b/>
              </w:rPr>
              <w:t>p</w:t>
            </w:r>
            <w:r w:rsidR="00011317" w:rsidRPr="00B658A5">
              <w:rPr>
                <w:b/>
              </w:rPr>
              <w:t>tion 2</w:t>
            </w:r>
          </w:p>
        </w:tc>
        <w:tc>
          <w:tcPr>
            <w:tcW w:w="2835" w:type="dxa"/>
            <w:shd w:val="clear" w:color="auto" w:fill="auto"/>
          </w:tcPr>
          <w:p w14:paraId="25CCE733" w14:textId="77777777" w:rsidR="009562AA" w:rsidRDefault="00AE2E6E" w:rsidP="00463BF7">
            <w:pPr>
              <w:pStyle w:val="TableText"/>
              <w:spacing w:line="276" w:lineRule="auto"/>
              <w:rPr>
                <w:rFonts w:cs="Arial"/>
                <w:b/>
                <w:color w:val="00B050"/>
              </w:rPr>
            </w:pPr>
            <w:r w:rsidRPr="00373CD5">
              <w:rPr>
                <w:rFonts w:cs="Arial"/>
                <w:b/>
                <w:color w:val="00B050"/>
              </w:rPr>
              <w:t>+</w:t>
            </w:r>
          </w:p>
          <w:p w14:paraId="29B4034A" w14:textId="0D1E3D46" w:rsidR="0049075B" w:rsidRPr="009562AA" w:rsidRDefault="000D2B6B" w:rsidP="00463BF7">
            <w:pPr>
              <w:pStyle w:val="TableText"/>
              <w:spacing w:line="276" w:lineRule="auto"/>
              <w:rPr>
                <w:rFonts w:cs="Arial"/>
                <w:b/>
                <w:color w:val="00B050"/>
              </w:rPr>
            </w:pPr>
            <w:r>
              <w:rPr>
                <w:bCs/>
              </w:rPr>
              <w:t>Improves vertical equity</w:t>
            </w:r>
            <w:r w:rsidR="00A338A3">
              <w:rPr>
                <w:bCs/>
              </w:rPr>
              <w:t>,</w:t>
            </w:r>
            <w:r w:rsidR="00940975">
              <w:rPr>
                <w:bCs/>
              </w:rPr>
              <w:t xml:space="preserve"> </w:t>
            </w:r>
            <w:r w:rsidR="00A338A3">
              <w:rPr>
                <w:bCs/>
              </w:rPr>
              <w:t>w</w:t>
            </w:r>
            <w:r w:rsidR="00940975">
              <w:rPr>
                <w:bCs/>
              </w:rPr>
              <w:t>orsens horizontal equity</w:t>
            </w:r>
            <w:r w:rsidR="00011317">
              <w:rPr>
                <w:bCs/>
              </w:rPr>
              <w:t xml:space="preserve"> to a lesser extent than </w:t>
            </w:r>
            <w:r w:rsidR="00B658A5" w:rsidRPr="00B658A5">
              <w:rPr>
                <w:b/>
              </w:rPr>
              <w:t>O</w:t>
            </w:r>
            <w:r w:rsidR="00011317" w:rsidRPr="00B658A5">
              <w:rPr>
                <w:b/>
              </w:rPr>
              <w:t>ption 2</w:t>
            </w:r>
          </w:p>
        </w:tc>
        <w:tc>
          <w:tcPr>
            <w:tcW w:w="2748" w:type="dxa"/>
          </w:tcPr>
          <w:p w14:paraId="0C5DAC08" w14:textId="537530A8" w:rsidR="00EA3C97" w:rsidRDefault="00AE2E6E" w:rsidP="00463BF7">
            <w:pPr>
              <w:pStyle w:val="TableText"/>
              <w:spacing w:line="276" w:lineRule="auto"/>
              <w:rPr>
                <w:rFonts w:cs="Arial"/>
                <w:b/>
                <w:color w:val="00B050"/>
              </w:rPr>
            </w:pPr>
            <w:r w:rsidRPr="00373CD5">
              <w:rPr>
                <w:rFonts w:cs="Arial"/>
                <w:b/>
                <w:color w:val="00B050"/>
              </w:rPr>
              <w:t>+</w:t>
            </w:r>
            <w:r>
              <w:rPr>
                <w:rFonts w:cs="Arial"/>
                <w:b/>
                <w:color w:val="00B050"/>
              </w:rPr>
              <w:t xml:space="preserve"> </w:t>
            </w:r>
            <w:r w:rsidRPr="00373CD5">
              <w:rPr>
                <w:rFonts w:cs="Arial"/>
                <w:b/>
                <w:color w:val="00B050"/>
              </w:rPr>
              <w:t>+</w:t>
            </w:r>
          </w:p>
          <w:p w14:paraId="2C12EA83" w14:textId="02B4B59A" w:rsidR="0049075B" w:rsidRPr="003A0EE0" w:rsidRDefault="003717E8" w:rsidP="00463BF7">
            <w:pPr>
              <w:pStyle w:val="TableText"/>
              <w:spacing w:line="276" w:lineRule="auto"/>
              <w:rPr>
                <w:rFonts w:cs="Arial"/>
                <w:bCs/>
                <w:szCs w:val="24"/>
              </w:rPr>
            </w:pPr>
            <w:r>
              <w:rPr>
                <w:rFonts w:cs="Arial"/>
                <w:bCs/>
                <w:szCs w:val="24"/>
              </w:rPr>
              <w:t>Improves</w:t>
            </w:r>
            <w:r w:rsidR="00C12E8E">
              <w:rPr>
                <w:rFonts w:cs="Arial"/>
                <w:bCs/>
                <w:szCs w:val="24"/>
              </w:rPr>
              <w:t xml:space="preserve"> </w:t>
            </w:r>
            <w:r w:rsidR="009562AA">
              <w:rPr>
                <w:rFonts w:cs="Arial"/>
                <w:bCs/>
                <w:szCs w:val="24"/>
              </w:rPr>
              <w:t>vertical</w:t>
            </w:r>
            <w:r>
              <w:rPr>
                <w:rFonts w:cs="Arial"/>
                <w:bCs/>
                <w:szCs w:val="24"/>
              </w:rPr>
              <w:t xml:space="preserve"> equity most</w:t>
            </w:r>
            <w:r w:rsidR="009562AA">
              <w:rPr>
                <w:rFonts w:cs="Arial"/>
                <w:bCs/>
                <w:szCs w:val="24"/>
              </w:rPr>
              <w:t xml:space="preserve"> </w:t>
            </w:r>
            <w:r w:rsidR="00A06E94">
              <w:rPr>
                <w:rFonts w:cs="Arial"/>
                <w:bCs/>
                <w:szCs w:val="24"/>
              </w:rPr>
              <w:t xml:space="preserve">and horizontal equity </w:t>
            </w:r>
            <w:r w:rsidR="00A02483">
              <w:rPr>
                <w:rFonts w:cs="Arial"/>
                <w:bCs/>
                <w:szCs w:val="24"/>
              </w:rPr>
              <w:t xml:space="preserve">most of </w:t>
            </w:r>
            <w:r w:rsidR="00B17B83">
              <w:rPr>
                <w:rFonts w:cs="Arial"/>
                <w:bCs/>
                <w:szCs w:val="24"/>
              </w:rPr>
              <w:t>O</w:t>
            </w:r>
            <w:r w:rsidR="00A02483">
              <w:rPr>
                <w:rFonts w:cs="Arial"/>
                <w:bCs/>
                <w:szCs w:val="24"/>
              </w:rPr>
              <w:t xml:space="preserve">ptions 2 </w:t>
            </w:r>
            <w:r w:rsidR="00B17B83">
              <w:rPr>
                <w:rFonts w:cs="Arial"/>
                <w:bCs/>
                <w:szCs w:val="24"/>
              </w:rPr>
              <w:t>to</w:t>
            </w:r>
            <w:r w:rsidR="00A02483">
              <w:rPr>
                <w:rFonts w:cs="Arial"/>
                <w:bCs/>
                <w:szCs w:val="24"/>
              </w:rPr>
              <w:t xml:space="preserve"> 5 </w:t>
            </w:r>
          </w:p>
        </w:tc>
      </w:tr>
      <w:tr w:rsidR="005700EC" w:rsidRPr="00DD7964" w14:paraId="281D9CCE" w14:textId="6C439F00" w:rsidTr="001B3F24">
        <w:tc>
          <w:tcPr>
            <w:tcW w:w="1447" w:type="dxa"/>
            <w:shd w:val="clear" w:color="auto" w:fill="99CDDD"/>
          </w:tcPr>
          <w:p w14:paraId="5EE33A17" w14:textId="107B0876" w:rsidR="009562AA" w:rsidRPr="00422FEC" w:rsidRDefault="005700EC" w:rsidP="005700EC">
            <w:pPr>
              <w:spacing w:before="60" w:after="60" w:line="240" w:lineRule="auto"/>
              <w:rPr>
                <w:rFonts w:cs="Arial"/>
                <w:b/>
                <w:color w:val="000000"/>
                <w:sz w:val="20"/>
                <w:szCs w:val="24"/>
              </w:rPr>
            </w:pPr>
            <w:r w:rsidRPr="00422FEC">
              <w:rPr>
                <w:rFonts w:cs="Arial"/>
                <w:b/>
                <w:color w:val="000000"/>
                <w:sz w:val="20"/>
                <w:szCs w:val="24"/>
              </w:rPr>
              <w:t>Complexity</w:t>
            </w:r>
          </w:p>
        </w:tc>
        <w:tc>
          <w:tcPr>
            <w:tcW w:w="1134" w:type="dxa"/>
            <w:shd w:val="clear" w:color="auto" w:fill="auto"/>
          </w:tcPr>
          <w:p w14:paraId="4E3860E4" w14:textId="77777777" w:rsidR="005700EC" w:rsidRPr="003A0EE0" w:rsidRDefault="005700EC" w:rsidP="005700EC">
            <w:pPr>
              <w:pStyle w:val="TableText"/>
              <w:spacing w:line="276" w:lineRule="auto"/>
              <w:rPr>
                <w:bCs/>
              </w:rPr>
            </w:pPr>
            <w:r w:rsidRPr="003A0EE0">
              <w:rPr>
                <w:bCs/>
              </w:rPr>
              <w:t>0</w:t>
            </w:r>
          </w:p>
        </w:tc>
        <w:tc>
          <w:tcPr>
            <w:tcW w:w="2835" w:type="dxa"/>
            <w:shd w:val="clear" w:color="auto" w:fill="auto"/>
          </w:tcPr>
          <w:p w14:paraId="50E38159" w14:textId="77777777" w:rsidR="00855FDC" w:rsidRDefault="00855FDC" w:rsidP="00855FDC">
            <w:pPr>
              <w:pStyle w:val="TableText"/>
              <w:spacing w:line="276" w:lineRule="auto"/>
              <w:rPr>
                <w:bCs/>
              </w:rPr>
            </w:pPr>
            <w:r w:rsidRPr="00373CD5">
              <w:rPr>
                <w:rFonts w:cs="Arial"/>
                <w:b/>
                <w:color w:val="FF0000"/>
              </w:rPr>
              <w:t>-</w:t>
            </w:r>
          </w:p>
          <w:p w14:paraId="63E9F12E" w14:textId="6EDDA7BF" w:rsidR="00A97EE1" w:rsidRPr="003A0EE0" w:rsidRDefault="00334585" w:rsidP="005700EC">
            <w:pPr>
              <w:pStyle w:val="TableText"/>
              <w:spacing w:line="276" w:lineRule="auto"/>
              <w:rPr>
                <w:bCs/>
              </w:rPr>
            </w:pPr>
            <w:r>
              <w:rPr>
                <w:bCs/>
              </w:rPr>
              <w:t>Small</w:t>
            </w:r>
            <w:r w:rsidR="009562AA">
              <w:rPr>
                <w:bCs/>
              </w:rPr>
              <w:t xml:space="preserve"> complexity associated with tax rate increase</w:t>
            </w:r>
          </w:p>
        </w:tc>
        <w:tc>
          <w:tcPr>
            <w:tcW w:w="2835" w:type="dxa"/>
            <w:shd w:val="clear" w:color="auto" w:fill="auto"/>
          </w:tcPr>
          <w:p w14:paraId="52D5339F" w14:textId="69A05167" w:rsidR="005700EC" w:rsidRDefault="00904D29" w:rsidP="005700EC">
            <w:pPr>
              <w:pStyle w:val="TableText"/>
              <w:spacing w:line="276" w:lineRule="auto"/>
              <w:rPr>
                <w:bCs/>
              </w:rPr>
            </w:pPr>
            <w:r w:rsidRPr="00373CD5">
              <w:rPr>
                <w:rFonts w:cs="Arial"/>
                <w:b/>
                <w:color w:val="FF0000"/>
              </w:rPr>
              <w:t>-</w:t>
            </w:r>
          </w:p>
          <w:p w14:paraId="20D65033" w14:textId="5CCF143E" w:rsidR="009562AA" w:rsidRPr="003A0EE0" w:rsidRDefault="009562AA" w:rsidP="005700EC">
            <w:pPr>
              <w:pStyle w:val="TableText"/>
              <w:spacing w:line="276" w:lineRule="auto"/>
              <w:rPr>
                <w:bCs/>
              </w:rPr>
            </w:pPr>
            <w:r>
              <w:rPr>
                <w:bCs/>
              </w:rPr>
              <w:t>Some</w:t>
            </w:r>
            <w:r w:rsidR="00334585">
              <w:rPr>
                <w:bCs/>
              </w:rPr>
              <w:t xml:space="preserve"> </w:t>
            </w:r>
            <w:r>
              <w:rPr>
                <w:bCs/>
              </w:rPr>
              <w:t>complexity but mitigated by</w:t>
            </w:r>
            <w:r w:rsidR="00CF08F7">
              <w:rPr>
                <w:bCs/>
              </w:rPr>
              <w:t xml:space="preserve"> trust</w:t>
            </w:r>
            <w:r>
              <w:rPr>
                <w:bCs/>
              </w:rPr>
              <w:t xml:space="preserve"> alignment</w:t>
            </w:r>
          </w:p>
        </w:tc>
        <w:tc>
          <w:tcPr>
            <w:tcW w:w="2835" w:type="dxa"/>
            <w:shd w:val="clear" w:color="auto" w:fill="auto"/>
          </w:tcPr>
          <w:p w14:paraId="669B24D4" w14:textId="3498429C" w:rsidR="005700EC" w:rsidRDefault="005700EC" w:rsidP="005700EC">
            <w:pPr>
              <w:pStyle w:val="TableText"/>
              <w:spacing w:line="276" w:lineRule="auto"/>
              <w:rPr>
                <w:rFonts w:cs="Arial"/>
                <w:b/>
                <w:color w:val="FF0000"/>
              </w:rPr>
            </w:pPr>
            <w:r w:rsidRPr="00373CD5">
              <w:rPr>
                <w:rFonts w:cs="Arial"/>
                <w:b/>
                <w:color w:val="FF0000"/>
              </w:rPr>
              <w:t>-</w:t>
            </w:r>
            <w:r>
              <w:rPr>
                <w:rFonts w:cs="Arial"/>
                <w:b/>
                <w:color w:val="FF0000"/>
              </w:rPr>
              <w:t xml:space="preserve"> </w:t>
            </w:r>
            <w:r w:rsidRPr="00373CD5">
              <w:rPr>
                <w:rFonts w:cs="Arial"/>
                <w:b/>
                <w:color w:val="FF0000"/>
              </w:rPr>
              <w:t>-</w:t>
            </w:r>
          </w:p>
          <w:p w14:paraId="58CF69E0" w14:textId="5EB0081E" w:rsidR="009562AA" w:rsidRPr="00334585" w:rsidRDefault="00334585" w:rsidP="005700EC">
            <w:pPr>
              <w:pStyle w:val="TableText"/>
              <w:spacing w:line="276" w:lineRule="auto"/>
              <w:rPr>
                <w:rFonts w:cs="Arial"/>
                <w:bCs/>
                <w:color w:val="FF0000"/>
              </w:rPr>
            </w:pPr>
            <w:r w:rsidRPr="00334585">
              <w:rPr>
                <w:rFonts w:cs="Arial"/>
                <w:bCs/>
              </w:rPr>
              <w:t>Misalignment as well as complex integrity measures</w:t>
            </w:r>
          </w:p>
        </w:tc>
        <w:tc>
          <w:tcPr>
            <w:tcW w:w="2748" w:type="dxa"/>
          </w:tcPr>
          <w:p w14:paraId="150E2A1D" w14:textId="1A7FB769" w:rsidR="005700EC" w:rsidRDefault="00430C58" w:rsidP="005700EC">
            <w:pPr>
              <w:pStyle w:val="TableText"/>
              <w:spacing w:line="276" w:lineRule="auto"/>
              <w:rPr>
                <w:rFonts w:cs="Arial"/>
                <w:b/>
                <w:color w:val="FF0000"/>
              </w:rPr>
            </w:pPr>
            <w:r w:rsidRPr="00430C58">
              <w:rPr>
                <w:rFonts w:cs="Arial"/>
                <w:b/>
                <w:color w:val="FF0000"/>
              </w:rPr>
              <w:t>-</w:t>
            </w:r>
            <w:r>
              <w:rPr>
                <w:rFonts w:cs="Arial"/>
                <w:b/>
                <w:color w:val="FF0000"/>
              </w:rPr>
              <w:t xml:space="preserve"> </w:t>
            </w:r>
          </w:p>
          <w:p w14:paraId="7937B81C" w14:textId="53DFF2E2" w:rsidR="003E22E1" w:rsidRPr="003A0EE0" w:rsidRDefault="00334585" w:rsidP="005700EC">
            <w:pPr>
              <w:pStyle w:val="TableText"/>
              <w:spacing w:line="276" w:lineRule="auto"/>
              <w:rPr>
                <w:rFonts w:cs="Arial"/>
                <w:bCs/>
                <w:szCs w:val="24"/>
              </w:rPr>
            </w:pPr>
            <w:r>
              <w:rPr>
                <w:rFonts w:cs="Arial"/>
                <w:bCs/>
                <w:szCs w:val="24"/>
              </w:rPr>
              <w:t xml:space="preserve">Some </w:t>
            </w:r>
            <w:r w:rsidR="008F3F49">
              <w:rPr>
                <w:rFonts w:cs="Arial"/>
                <w:bCs/>
                <w:szCs w:val="24"/>
              </w:rPr>
              <w:t xml:space="preserve">complexity but less than </w:t>
            </w:r>
            <w:r w:rsidR="008F3F49">
              <w:rPr>
                <w:rFonts w:cs="Arial"/>
                <w:b/>
                <w:szCs w:val="24"/>
              </w:rPr>
              <w:t>Option 4</w:t>
            </w:r>
            <w:r>
              <w:rPr>
                <w:rFonts w:cs="Arial"/>
                <w:b/>
                <w:szCs w:val="24"/>
              </w:rPr>
              <w:t xml:space="preserve"> </w:t>
            </w:r>
            <w:r w:rsidR="0072246B">
              <w:rPr>
                <w:rFonts w:cs="Arial"/>
                <w:bCs/>
                <w:szCs w:val="24"/>
              </w:rPr>
              <w:t xml:space="preserve">due to fewer </w:t>
            </w:r>
            <w:r w:rsidR="00450CBD">
              <w:rPr>
                <w:rFonts w:cs="Arial"/>
                <w:bCs/>
                <w:szCs w:val="24"/>
              </w:rPr>
              <w:t>complexities with trusts</w:t>
            </w:r>
            <w:r w:rsidR="0081513C">
              <w:rPr>
                <w:rFonts w:cs="Arial"/>
                <w:bCs/>
                <w:szCs w:val="24"/>
              </w:rPr>
              <w:t xml:space="preserve"> </w:t>
            </w:r>
          </w:p>
        </w:tc>
      </w:tr>
      <w:tr w:rsidR="005700EC" w:rsidRPr="00DD7964" w14:paraId="2213E791" w14:textId="1ECB975F" w:rsidTr="001B3F24">
        <w:tc>
          <w:tcPr>
            <w:tcW w:w="1447" w:type="dxa"/>
            <w:shd w:val="clear" w:color="auto" w:fill="99CDDD"/>
          </w:tcPr>
          <w:p w14:paraId="131549EE" w14:textId="70C56AF2" w:rsidR="00637EE5" w:rsidRPr="00422FEC" w:rsidRDefault="005700EC" w:rsidP="005700EC">
            <w:pPr>
              <w:spacing w:before="60" w:after="60" w:line="240" w:lineRule="auto"/>
              <w:rPr>
                <w:rFonts w:cs="Arial"/>
                <w:b/>
                <w:color w:val="000000"/>
                <w:sz w:val="20"/>
                <w:szCs w:val="24"/>
              </w:rPr>
            </w:pPr>
            <w:r w:rsidRPr="00422FEC">
              <w:rPr>
                <w:rFonts w:cs="Arial"/>
                <w:b/>
                <w:color w:val="000000"/>
                <w:sz w:val="20"/>
                <w:szCs w:val="24"/>
              </w:rPr>
              <w:t>Integrity</w:t>
            </w:r>
          </w:p>
        </w:tc>
        <w:tc>
          <w:tcPr>
            <w:tcW w:w="1134" w:type="dxa"/>
            <w:shd w:val="clear" w:color="auto" w:fill="auto"/>
          </w:tcPr>
          <w:p w14:paraId="32C1E0B1" w14:textId="77777777" w:rsidR="005700EC" w:rsidRPr="003A0EE0" w:rsidRDefault="005700EC" w:rsidP="005700EC">
            <w:pPr>
              <w:pStyle w:val="TableText"/>
              <w:spacing w:line="276" w:lineRule="auto"/>
              <w:rPr>
                <w:bCs/>
              </w:rPr>
            </w:pPr>
            <w:r w:rsidRPr="003A0EE0">
              <w:rPr>
                <w:bCs/>
              </w:rPr>
              <w:t>0</w:t>
            </w:r>
          </w:p>
        </w:tc>
        <w:tc>
          <w:tcPr>
            <w:tcW w:w="2835" w:type="dxa"/>
            <w:shd w:val="clear" w:color="auto" w:fill="auto"/>
          </w:tcPr>
          <w:p w14:paraId="1B66055B" w14:textId="6311A701" w:rsidR="005700EC" w:rsidRDefault="00792D63" w:rsidP="005700EC">
            <w:pPr>
              <w:pStyle w:val="TableText"/>
              <w:spacing w:line="276" w:lineRule="auto"/>
              <w:rPr>
                <w:rFonts w:cs="Arial"/>
                <w:b/>
                <w:color w:val="FF0000"/>
              </w:rPr>
            </w:pPr>
            <w:r w:rsidRPr="00373CD5">
              <w:rPr>
                <w:rFonts w:cs="Arial"/>
                <w:b/>
                <w:color w:val="FF0000"/>
              </w:rPr>
              <w:t>- -</w:t>
            </w:r>
            <w:r w:rsidR="00B15830">
              <w:rPr>
                <w:rFonts w:cs="Arial"/>
                <w:b/>
                <w:color w:val="FF0000"/>
              </w:rPr>
              <w:t xml:space="preserve"> </w:t>
            </w:r>
            <w:r w:rsidR="00B15830" w:rsidRPr="00373CD5">
              <w:rPr>
                <w:rFonts w:cs="Arial"/>
                <w:b/>
                <w:color w:val="FF0000"/>
              </w:rPr>
              <w:t>-</w:t>
            </w:r>
          </w:p>
          <w:p w14:paraId="52D5A6BD" w14:textId="7442DAAF" w:rsidR="00A06E94" w:rsidRPr="00B61F23" w:rsidRDefault="00637EE5" w:rsidP="005700EC">
            <w:pPr>
              <w:pStyle w:val="TableText"/>
              <w:spacing w:line="276" w:lineRule="auto"/>
              <w:rPr>
                <w:rFonts w:cs="Arial"/>
                <w:bCs/>
              </w:rPr>
            </w:pPr>
            <w:r w:rsidRPr="00637EE5">
              <w:rPr>
                <w:rFonts w:cs="Arial"/>
                <w:bCs/>
              </w:rPr>
              <w:t>Significant structuring incentives</w:t>
            </w:r>
            <w:r w:rsidR="00795A06">
              <w:rPr>
                <w:rFonts w:cs="Arial"/>
                <w:bCs/>
              </w:rPr>
              <w:t xml:space="preserve"> for avoidance</w:t>
            </w:r>
          </w:p>
        </w:tc>
        <w:tc>
          <w:tcPr>
            <w:tcW w:w="2835" w:type="dxa"/>
            <w:shd w:val="clear" w:color="auto" w:fill="auto"/>
          </w:tcPr>
          <w:p w14:paraId="17FD653D" w14:textId="5E00CF43" w:rsidR="005700EC" w:rsidRPr="008C4F98" w:rsidRDefault="00B15830" w:rsidP="005700EC">
            <w:pPr>
              <w:pStyle w:val="TableText"/>
              <w:spacing w:line="276" w:lineRule="auto"/>
              <w:rPr>
                <w:bCs/>
              </w:rPr>
            </w:pPr>
            <w:r w:rsidRPr="00373CD5">
              <w:rPr>
                <w:rFonts w:cs="Arial"/>
                <w:b/>
                <w:color w:val="FF0000"/>
              </w:rPr>
              <w:t>-</w:t>
            </w:r>
          </w:p>
          <w:p w14:paraId="696A8297" w14:textId="31DD03EF" w:rsidR="00A97EE1" w:rsidRPr="003A0EE0" w:rsidRDefault="00CA0BB2" w:rsidP="005700EC">
            <w:pPr>
              <w:pStyle w:val="TableText"/>
              <w:spacing w:line="276" w:lineRule="auto"/>
              <w:rPr>
                <w:bCs/>
              </w:rPr>
            </w:pPr>
            <w:r>
              <w:rPr>
                <w:bCs/>
              </w:rPr>
              <w:t>Larger gap between top personal/trustee rates and company rate</w:t>
            </w:r>
          </w:p>
        </w:tc>
        <w:tc>
          <w:tcPr>
            <w:tcW w:w="2835" w:type="dxa"/>
            <w:shd w:val="clear" w:color="auto" w:fill="auto"/>
          </w:tcPr>
          <w:p w14:paraId="33F613B5" w14:textId="06ECBAA0" w:rsidR="005700EC" w:rsidRDefault="00F756A4" w:rsidP="00B15830">
            <w:pPr>
              <w:pStyle w:val="TableText"/>
              <w:spacing w:line="276" w:lineRule="auto"/>
              <w:rPr>
                <w:rFonts w:cs="Arial"/>
                <w:b/>
                <w:color w:val="00B050"/>
              </w:rPr>
            </w:pPr>
            <w:r w:rsidRPr="00F756A4">
              <w:rPr>
                <w:rFonts w:cs="Arial"/>
                <w:b/>
                <w:color w:val="FF0000"/>
              </w:rPr>
              <w:t>-</w:t>
            </w:r>
            <w:r>
              <w:rPr>
                <w:rFonts w:cs="Arial"/>
                <w:b/>
                <w:color w:val="FF0000"/>
              </w:rPr>
              <w:t xml:space="preserve"> </w:t>
            </w:r>
            <w:r w:rsidRPr="00373CD5">
              <w:rPr>
                <w:rFonts w:cs="Arial"/>
                <w:b/>
                <w:color w:val="FF0000"/>
              </w:rPr>
              <w:t>-</w:t>
            </w:r>
          </w:p>
          <w:p w14:paraId="3620C435" w14:textId="2EF5E0E9" w:rsidR="00795A06" w:rsidRPr="003A0EE0" w:rsidRDefault="00F9028C" w:rsidP="00792D63">
            <w:pPr>
              <w:pStyle w:val="TableText"/>
              <w:spacing w:line="276" w:lineRule="auto"/>
              <w:rPr>
                <w:rFonts w:cs="Arial"/>
                <w:bCs/>
                <w:szCs w:val="24"/>
              </w:rPr>
            </w:pPr>
            <w:r>
              <w:rPr>
                <w:rFonts w:cs="Arial"/>
                <w:bCs/>
                <w:szCs w:val="24"/>
              </w:rPr>
              <w:t>Integrity measures designed to counter avoidance</w:t>
            </w:r>
            <w:r w:rsidR="00B75156">
              <w:rPr>
                <w:rFonts w:cs="Arial"/>
                <w:bCs/>
                <w:szCs w:val="24"/>
              </w:rPr>
              <w:t xml:space="preserve"> but offset by no alignment</w:t>
            </w:r>
          </w:p>
        </w:tc>
        <w:tc>
          <w:tcPr>
            <w:tcW w:w="2748" w:type="dxa"/>
          </w:tcPr>
          <w:p w14:paraId="6ACEE4AF" w14:textId="703035D1" w:rsidR="005700EC" w:rsidRDefault="00792D63" w:rsidP="00792D63">
            <w:pPr>
              <w:pStyle w:val="TableText"/>
              <w:spacing w:line="276" w:lineRule="auto"/>
              <w:rPr>
                <w:rFonts w:cs="Arial"/>
                <w:b/>
                <w:color w:val="00B050"/>
              </w:rPr>
            </w:pPr>
            <w:r w:rsidRPr="00373CD5">
              <w:rPr>
                <w:rFonts w:cs="Arial"/>
                <w:b/>
                <w:color w:val="00B050"/>
              </w:rPr>
              <w:t>+</w:t>
            </w:r>
            <w:r>
              <w:rPr>
                <w:rFonts w:cs="Arial"/>
                <w:b/>
                <w:color w:val="00B050"/>
              </w:rPr>
              <w:t xml:space="preserve"> </w:t>
            </w:r>
          </w:p>
          <w:p w14:paraId="037ACFA3" w14:textId="2CF4BC97" w:rsidR="00F9028C" w:rsidRPr="003A0EE0" w:rsidRDefault="0092453B" w:rsidP="00792D63">
            <w:pPr>
              <w:pStyle w:val="TableText"/>
              <w:spacing w:line="276" w:lineRule="auto"/>
              <w:rPr>
                <w:rFonts w:cs="Arial"/>
                <w:bCs/>
                <w:szCs w:val="24"/>
              </w:rPr>
            </w:pPr>
            <w:r>
              <w:rPr>
                <w:rFonts w:cs="Arial"/>
                <w:bCs/>
                <w:szCs w:val="24"/>
              </w:rPr>
              <w:t>Multiple effective measures to prevent avoidance</w:t>
            </w:r>
          </w:p>
        </w:tc>
      </w:tr>
      <w:tr w:rsidR="008C4F98" w:rsidRPr="00DD7964" w14:paraId="1DC0696A" w14:textId="77777777" w:rsidTr="001B3F24">
        <w:tc>
          <w:tcPr>
            <w:tcW w:w="1447" w:type="dxa"/>
            <w:shd w:val="clear" w:color="auto" w:fill="99CDDD"/>
          </w:tcPr>
          <w:p w14:paraId="181E119A" w14:textId="1F1A7295" w:rsidR="008C4F98" w:rsidRPr="008C4F98" w:rsidRDefault="008C4F98" w:rsidP="008C4F98">
            <w:pPr>
              <w:spacing w:before="60" w:after="60" w:line="240" w:lineRule="auto"/>
              <w:rPr>
                <w:rFonts w:cs="Arial"/>
                <w:b/>
                <w:color w:val="000000"/>
                <w:sz w:val="20"/>
                <w:szCs w:val="24"/>
                <w:highlight w:val="yellow"/>
              </w:rPr>
            </w:pPr>
            <w:r w:rsidRPr="00274E60">
              <w:rPr>
                <w:rFonts w:cs="Arial"/>
                <w:b/>
                <w:color w:val="000000"/>
                <w:sz w:val="20"/>
                <w:szCs w:val="24"/>
              </w:rPr>
              <w:t>Revenue raised</w:t>
            </w:r>
          </w:p>
        </w:tc>
        <w:tc>
          <w:tcPr>
            <w:tcW w:w="1134" w:type="dxa"/>
            <w:shd w:val="clear" w:color="auto" w:fill="auto"/>
          </w:tcPr>
          <w:p w14:paraId="5496074D" w14:textId="65E30705" w:rsidR="008C4F98" w:rsidRPr="000414A3" w:rsidRDefault="008C4F98" w:rsidP="008C4F98">
            <w:pPr>
              <w:pStyle w:val="TableText"/>
              <w:spacing w:line="276" w:lineRule="auto"/>
              <w:rPr>
                <w:bCs/>
              </w:rPr>
            </w:pPr>
            <w:r w:rsidRPr="000414A3">
              <w:rPr>
                <w:bCs/>
              </w:rPr>
              <w:t>0</w:t>
            </w:r>
          </w:p>
        </w:tc>
        <w:tc>
          <w:tcPr>
            <w:tcW w:w="2835" w:type="dxa"/>
            <w:shd w:val="clear" w:color="auto" w:fill="auto"/>
          </w:tcPr>
          <w:p w14:paraId="570285B1" w14:textId="77777777" w:rsidR="00274E60" w:rsidRPr="000414A3" w:rsidRDefault="00274E60" w:rsidP="00274E60">
            <w:pPr>
              <w:pStyle w:val="TableText"/>
              <w:spacing w:line="276" w:lineRule="auto"/>
              <w:rPr>
                <w:rFonts w:cs="Arial"/>
                <w:b/>
                <w:color w:val="00B050"/>
              </w:rPr>
            </w:pPr>
            <w:r w:rsidRPr="000414A3">
              <w:rPr>
                <w:rFonts w:cs="Arial"/>
                <w:b/>
                <w:color w:val="00B050"/>
              </w:rPr>
              <w:t>+</w:t>
            </w:r>
          </w:p>
          <w:p w14:paraId="1AA30452" w14:textId="7C447291" w:rsidR="00A06E94" w:rsidRPr="00A06E94" w:rsidRDefault="00274E60" w:rsidP="008C4F98">
            <w:pPr>
              <w:pStyle w:val="TableText"/>
              <w:spacing w:line="276" w:lineRule="auto"/>
              <w:rPr>
                <w:rFonts w:cs="Arial"/>
                <w:bCs/>
              </w:rPr>
            </w:pPr>
            <w:r w:rsidRPr="000414A3">
              <w:rPr>
                <w:rFonts w:cs="Arial"/>
                <w:bCs/>
              </w:rPr>
              <w:t>Raises some revenue subject to structuring</w:t>
            </w:r>
          </w:p>
        </w:tc>
        <w:tc>
          <w:tcPr>
            <w:tcW w:w="2835" w:type="dxa"/>
            <w:shd w:val="clear" w:color="auto" w:fill="auto"/>
          </w:tcPr>
          <w:p w14:paraId="027F28C6" w14:textId="487AF1C7" w:rsidR="00274E60" w:rsidRPr="000414A3" w:rsidRDefault="00274E60" w:rsidP="00274E60">
            <w:pPr>
              <w:pStyle w:val="TableText"/>
              <w:spacing w:line="276" w:lineRule="auto"/>
              <w:rPr>
                <w:rFonts w:cs="Arial"/>
                <w:b/>
                <w:color w:val="00B050"/>
              </w:rPr>
            </w:pPr>
            <w:r w:rsidRPr="000414A3">
              <w:rPr>
                <w:rFonts w:cs="Arial"/>
                <w:b/>
                <w:color w:val="00B050"/>
              </w:rPr>
              <w:t>+ +</w:t>
            </w:r>
            <w:r w:rsidR="0017733D">
              <w:rPr>
                <w:rFonts w:cs="Arial"/>
                <w:b/>
                <w:color w:val="00B050"/>
              </w:rPr>
              <w:t xml:space="preserve"> </w:t>
            </w:r>
          </w:p>
          <w:p w14:paraId="7AE96E1D" w14:textId="3E9BE11F" w:rsidR="00A97EE1" w:rsidRPr="000414A3" w:rsidRDefault="000414A3" w:rsidP="008C4F98">
            <w:pPr>
              <w:pStyle w:val="TableText"/>
              <w:spacing w:line="276" w:lineRule="auto"/>
              <w:rPr>
                <w:bCs/>
              </w:rPr>
            </w:pPr>
            <w:r w:rsidRPr="000414A3">
              <w:rPr>
                <w:bCs/>
              </w:rPr>
              <w:t xml:space="preserve">Raises some revenue </w:t>
            </w:r>
            <w:r w:rsidR="001E0206">
              <w:rPr>
                <w:bCs/>
              </w:rPr>
              <w:t>but</w:t>
            </w:r>
            <w:r w:rsidR="005204B7">
              <w:rPr>
                <w:bCs/>
              </w:rPr>
              <w:t xml:space="preserve"> with</w:t>
            </w:r>
            <w:r w:rsidR="001E0206">
              <w:rPr>
                <w:bCs/>
              </w:rPr>
              <w:t xml:space="preserve"> some</w:t>
            </w:r>
            <w:r w:rsidRPr="000414A3">
              <w:rPr>
                <w:bCs/>
              </w:rPr>
              <w:t xml:space="preserve"> structuring</w:t>
            </w:r>
            <w:r w:rsidR="005204B7">
              <w:rPr>
                <w:bCs/>
              </w:rPr>
              <w:t xml:space="preserve"> possibilities</w:t>
            </w:r>
          </w:p>
        </w:tc>
        <w:tc>
          <w:tcPr>
            <w:tcW w:w="2835" w:type="dxa"/>
            <w:shd w:val="clear" w:color="auto" w:fill="auto"/>
          </w:tcPr>
          <w:p w14:paraId="71BA4642" w14:textId="18516D76" w:rsidR="008C4F98" w:rsidRPr="000414A3" w:rsidRDefault="008C4F98" w:rsidP="008C4F98">
            <w:pPr>
              <w:pStyle w:val="TableText"/>
              <w:spacing w:line="276" w:lineRule="auto"/>
              <w:rPr>
                <w:rFonts w:cs="Arial"/>
                <w:b/>
                <w:color w:val="00B050"/>
              </w:rPr>
            </w:pPr>
            <w:r w:rsidRPr="000414A3">
              <w:rPr>
                <w:rFonts w:cs="Arial"/>
                <w:b/>
                <w:color w:val="00B050"/>
              </w:rPr>
              <w:t>+</w:t>
            </w:r>
            <w:r w:rsidR="00274E60" w:rsidRPr="000414A3">
              <w:rPr>
                <w:rFonts w:cs="Arial"/>
                <w:b/>
                <w:color w:val="00B050"/>
              </w:rPr>
              <w:t xml:space="preserve"> +</w:t>
            </w:r>
            <w:r w:rsidR="0017733D">
              <w:rPr>
                <w:rFonts w:cs="Arial"/>
                <w:b/>
                <w:color w:val="00B050"/>
              </w:rPr>
              <w:t xml:space="preserve"> </w:t>
            </w:r>
          </w:p>
          <w:p w14:paraId="683254CE" w14:textId="5025B6E3" w:rsidR="008C4F98" w:rsidRPr="000414A3" w:rsidRDefault="000414A3" w:rsidP="008C4F98">
            <w:pPr>
              <w:pStyle w:val="TableText"/>
              <w:spacing w:line="276" w:lineRule="auto"/>
              <w:rPr>
                <w:rFonts w:cs="Arial"/>
                <w:b/>
                <w:color w:val="00B050"/>
              </w:rPr>
            </w:pPr>
            <w:r w:rsidRPr="000414A3">
              <w:rPr>
                <w:rFonts w:cs="Arial"/>
                <w:bCs/>
                <w:szCs w:val="24"/>
              </w:rPr>
              <w:t xml:space="preserve">Raises some revenue </w:t>
            </w:r>
            <w:r w:rsidR="001E0206">
              <w:rPr>
                <w:rFonts w:cs="Arial"/>
                <w:bCs/>
                <w:szCs w:val="24"/>
              </w:rPr>
              <w:t xml:space="preserve">but </w:t>
            </w:r>
            <w:r w:rsidR="005204B7">
              <w:rPr>
                <w:rFonts w:cs="Arial"/>
                <w:bCs/>
                <w:szCs w:val="24"/>
              </w:rPr>
              <w:t xml:space="preserve">with </w:t>
            </w:r>
            <w:r w:rsidR="001E0206">
              <w:rPr>
                <w:rFonts w:cs="Arial"/>
                <w:bCs/>
                <w:szCs w:val="24"/>
              </w:rPr>
              <w:t>some</w:t>
            </w:r>
            <w:r w:rsidRPr="000414A3">
              <w:rPr>
                <w:rFonts w:cs="Arial"/>
                <w:bCs/>
                <w:szCs w:val="24"/>
              </w:rPr>
              <w:t xml:space="preserve"> structuring</w:t>
            </w:r>
            <w:r w:rsidR="005204B7">
              <w:rPr>
                <w:rFonts w:cs="Arial"/>
                <w:bCs/>
                <w:szCs w:val="24"/>
              </w:rPr>
              <w:t xml:space="preserve"> possibilities</w:t>
            </w:r>
          </w:p>
        </w:tc>
        <w:tc>
          <w:tcPr>
            <w:tcW w:w="2748" w:type="dxa"/>
          </w:tcPr>
          <w:p w14:paraId="641CF598" w14:textId="1800EEF2" w:rsidR="008C4F98" w:rsidRPr="000414A3" w:rsidRDefault="008C4F98" w:rsidP="008C4F98">
            <w:pPr>
              <w:pStyle w:val="TableText"/>
              <w:spacing w:line="276" w:lineRule="auto"/>
              <w:rPr>
                <w:rFonts w:cs="Arial"/>
                <w:b/>
                <w:color w:val="00B050"/>
              </w:rPr>
            </w:pPr>
            <w:r w:rsidRPr="000414A3">
              <w:rPr>
                <w:rFonts w:cs="Arial"/>
                <w:b/>
                <w:color w:val="00B050"/>
              </w:rPr>
              <w:t xml:space="preserve">+ + </w:t>
            </w:r>
            <w:r w:rsidR="00274E60" w:rsidRPr="000414A3">
              <w:rPr>
                <w:rFonts w:cs="Arial"/>
                <w:b/>
                <w:color w:val="00B050"/>
              </w:rPr>
              <w:t>+</w:t>
            </w:r>
          </w:p>
          <w:p w14:paraId="6DEC4FDB" w14:textId="15BB87CC" w:rsidR="003E22E1" w:rsidRPr="00AA7EAF" w:rsidRDefault="000414A3" w:rsidP="008C4F98">
            <w:pPr>
              <w:pStyle w:val="TableText"/>
              <w:spacing w:line="276" w:lineRule="auto"/>
              <w:rPr>
                <w:rFonts w:cs="Arial"/>
                <w:bCs/>
                <w:szCs w:val="24"/>
              </w:rPr>
            </w:pPr>
            <w:r w:rsidRPr="000414A3">
              <w:rPr>
                <w:rFonts w:cs="Arial"/>
                <w:bCs/>
                <w:szCs w:val="24"/>
              </w:rPr>
              <w:t xml:space="preserve">Raises the most revenue with the least </w:t>
            </w:r>
            <w:r w:rsidR="00FC2D88">
              <w:rPr>
                <w:rFonts w:cs="Arial"/>
                <w:bCs/>
                <w:szCs w:val="24"/>
              </w:rPr>
              <w:t xml:space="preserve">opportunities for </w:t>
            </w:r>
            <w:r w:rsidRPr="000414A3">
              <w:rPr>
                <w:rFonts w:cs="Arial"/>
                <w:bCs/>
                <w:szCs w:val="24"/>
              </w:rPr>
              <w:t>structuring</w:t>
            </w:r>
          </w:p>
        </w:tc>
      </w:tr>
      <w:tr w:rsidR="008C4F98" w:rsidRPr="00DD7964" w14:paraId="7260D108" w14:textId="4D2B471D" w:rsidTr="001B3F24">
        <w:tc>
          <w:tcPr>
            <w:tcW w:w="1447" w:type="dxa"/>
            <w:shd w:val="clear" w:color="auto" w:fill="99CDDD"/>
          </w:tcPr>
          <w:p w14:paraId="70A775FF" w14:textId="3CC39097" w:rsidR="008C4F98" w:rsidRPr="00384E9B" w:rsidRDefault="008C4F98" w:rsidP="008C4F98">
            <w:pPr>
              <w:spacing w:before="60" w:after="60" w:line="240" w:lineRule="auto"/>
              <w:rPr>
                <w:rFonts w:cs="Arial"/>
                <w:b/>
                <w:color w:val="000000"/>
                <w:sz w:val="20"/>
                <w:szCs w:val="24"/>
              </w:rPr>
            </w:pPr>
            <w:r w:rsidRPr="00384E9B">
              <w:rPr>
                <w:rFonts w:cs="Arial"/>
                <w:b/>
                <w:color w:val="000000"/>
                <w:sz w:val="20"/>
                <w:szCs w:val="24"/>
              </w:rPr>
              <w:t>Overall assessment</w:t>
            </w:r>
          </w:p>
        </w:tc>
        <w:tc>
          <w:tcPr>
            <w:tcW w:w="1134" w:type="dxa"/>
            <w:shd w:val="clear" w:color="auto" w:fill="auto"/>
          </w:tcPr>
          <w:p w14:paraId="6366AD0C" w14:textId="47D5E68B" w:rsidR="008C4F98" w:rsidRPr="00DD7964" w:rsidRDefault="008C4F98" w:rsidP="008C4F98">
            <w:pPr>
              <w:pStyle w:val="TableText"/>
              <w:spacing w:line="276" w:lineRule="auto"/>
            </w:pPr>
            <w:r w:rsidRPr="00384E9B">
              <w:rPr>
                <w:b/>
              </w:rPr>
              <w:t>0</w:t>
            </w:r>
          </w:p>
        </w:tc>
        <w:tc>
          <w:tcPr>
            <w:tcW w:w="2835" w:type="dxa"/>
            <w:shd w:val="clear" w:color="auto" w:fill="auto"/>
          </w:tcPr>
          <w:p w14:paraId="75099779" w14:textId="143AFB3F" w:rsidR="00274E60" w:rsidRPr="00B61F23" w:rsidRDefault="008C4F98" w:rsidP="008C4F98">
            <w:pPr>
              <w:pStyle w:val="TableText"/>
              <w:spacing w:line="276" w:lineRule="auto"/>
              <w:rPr>
                <w:rFonts w:cs="Arial"/>
                <w:b/>
                <w:color w:val="FF0000"/>
              </w:rPr>
            </w:pPr>
            <w:r w:rsidRPr="00373CD5">
              <w:rPr>
                <w:rFonts w:cs="Arial"/>
                <w:b/>
                <w:color w:val="FF0000"/>
              </w:rPr>
              <w:t xml:space="preserve">- </w:t>
            </w:r>
          </w:p>
        </w:tc>
        <w:tc>
          <w:tcPr>
            <w:tcW w:w="2835" w:type="dxa"/>
            <w:shd w:val="clear" w:color="auto" w:fill="auto"/>
          </w:tcPr>
          <w:p w14:paraId="0C04EF4D" w14:textId="271E0C6D" w:rsidR="00274E60" w:rsidRPr="00B61F23" w:rsidRDefault="008C4F98" w:rsidP="008C4F98">
            <w:pPr>
              <w:pStyle w:val="TableText"/>
              <w:spacing w:line="276" w:lineRule="auto"/>
              <w:rPr>
                <w:rFonts w:cs="Arial"/>
                <w:b/>
                <w:color w:val="00B050"/>
              </w:rPr>
            </w:pPr>
            <w:r w:rsidRPr="00373CD5">
              <w:rPr>
                <w:rFonts w:cs="Arial"/>
                <w:b/>
                <w:color w:val="00B050"/>
              </w:rPr>
              <w:t>+</w:t>
            </w:r>
          </w:p>
        </w:tc>
        <w:tc>
          <w:tcPr>
            <w:tcW w:w="2835" w:type="dxa"/>
            <w:shd w:val="clear" w:color="auto" w:fill="auto"/>
          </w:tcPr>
          <w:p w14:paraId="345D17A4" w14:textId="30C5895C" w:rsidR="008C4F98" w:rsidRPr="00B61F23" w:rsidRDefault="00274E60" w:rsidP="008C4F98">
            <w:pPr>
              <w:pStyle w:val="TableText"/>
              <w:spacing w:line="276" w:lineRule="auto"/>
              <w:rPr>
                <w:bCs/>
              </w:rPr>
            </w:pPr>
            <w:r w:rsidRPr="008C4F98">
              <w:rPr>
                <w:bCs/>
              </w:rPr>
              <w:t>0</w:t>
            </w:r>
          </w:p>
        </w:tc>
        <w:tc>
          <w:tcPr>
            <w:tcW w:w="2748" w:type="dxa"/>
          </w:tcPr>
          <w:p w14:paraId="635B0F28" w14:textId="7B8D3137" w:rsidR="00274E60" w:rsidRDefault="008C4F98" w:rsidP="008C4F98">
            <w:pPr>
              <w:pStyle w:val="TableText"/>
              <w:spacing w:line="276" w:lineRule="auto"/>
              <w:rPr>
                <w:rFonts w:cs="Arial"/>
                <w:b/>
                <w:color w:val="00B050"/>
              </w:rPr>
            </w:pPr>
            <w:r w:rsidRPr="00373CD5">
              <w:rPr>
                <w:rFonts w:cs="Arial"/>
                <w:b/>
                <w:color w:val="00B050"/>
              </w:rPr>
              <w:t>+</w:t>
            </w:r>
            <w:r>
              <w:rPr>
                <w:rFonts w:cs="Arial"/>
                <w:b/>
                <w:color w:val="00B050"/>
              </w:rPr>
              <w:t xml:space="preserve"> </w:t>
            </w:r>
            <w:r w:rsidRPr="00373CD5">
              <w:rPr>
                <w:rFonts w:cs="Arial"/>
                <w:b/>
                <w:color w:val="00B050"/>
              </w:rPr>
              <w:t>+</w:t>
            </w:r>
            <w:r>
              <w:rPr>
                <w:rFonts w:cs="Arial"/>
                <w:b/>
                <w:color w:val="00B050"/>
              </w:rPr>
              <w:t xml:space="preserve"> </w:t>
            </w:r>
          </w:p>
          <w:p w14:paraId="1053FB21" w14:textId="350A28CD" w:rsidR="00B61F23" w:rsidRPr="00AF56D3" w:rsidRDefault="008C4F98" w:rsidP="008C4F98">
            <w:pPr>
              <w:pStyle w:val="TableText"/>
              <w:spacing w:line="276" w:lineRule="auto"/>
              <w:rPr>
                <w:rFonts w:cs="Arial"/>
                <w:b/>
              </w:rPr>
            </w:pPr>
            <w:r w:rsidRPr="00AF56D3">
              <w:rPr>
                <w:rFonts w:cs="Arial"/>
                <w:b/>
              </w:rPr>
              <w:t>Inland Revenue’s recommended option</w:t>
            </w:r>
          </w:p>
        </w:tc>
      </w:tr>
    </w:tbl>
    <w:p w14:paraId="403F7963" w14:textId="56B0D961" w:rsidR="0049467D" w:rsidRPr="0049467D" w:rsidRDefault="0049467D" w:rsidP="0049467D">
      <w:pPr>
        <w:spacing w:after="120" w:line="276" w:lineRule="auto"/>
        <w:rPr>
          <w:rFonts w:cs="Arial"/>
          <w:b/>
          <w:sz w:val="20"/>
        </w:rPr>
      </w:pPr>
      <w:r w:rsidRPr="0049467D">
        <w:rPr>
          <w:rFonts w:cs="Arial"/>
          <w:b/>
          <w:sz w:val="20"/>
        </w:rPr>
        <w:t>Key:</w:t>
      </w:r>
    </w:p>
    <w:p w14:paraId="27527E3B" w14:textId="58E15451" w:rsidR="003D5677" w:rsidRDefault="003D5677" w:rsidP="0049467D">
      <w:pPr>
        <w:spacing w:after="120" w:line="276" w:lineRule="auto"/>
        <w:rPr>
          <w:rFonts w:cs="Arial"/>
          <w:b/>
          <w:color w:val="00B050"/>
          <w:sz w:val="20"/>
        </w:rPr>
      </w:pPr>
      <w:r w:rsidRPr="00373CD5">
        <w:rPr>
          <w:rFonts w:cs="Arial"/>
          <w:b/>
          <w:color w:val="00B050"/>
          <w:sz w:val="20"/>
        </w:rPr>
        <w:t>+</w:t>
      </w:r>
      <w:r>
        <w:rPr>
          <w:rFonts w:cs="Arial"/>
          <w:b/>
          <w:color w:val="00B050"/>
          <w:sz w:val="20"/>
        </w:rPr>
        <w:t xml:space="preserve"> </w:t>
      </w:r>
      <w:r w:rsidRPr="00373CD5">
        <w:rPr>
          <w:rFonts w:cs="Arial"/>
          <w:b/>
          <w:color w:val="00B050"/>
          <w:sz w:val="20"/>
        </w:rPr>
        <w:t>+</w:t>
      </w:r>
      <w:r w:rsidRPr="0049467D">
        <w:rPr>
          <w:rFonts w:cs="Arial"/>
          <w:sz w:val="20"/>
        </w:rPr>
        <w:t xml:space="preserve"> </w:t>
      </w:r>
      <w:r w:rsidRPr="00373CD5">
        <w:rPr>
          <w:rFonts w:cs="Arial"/>
          <w:b/>
          <w:color w:val="00B050"/>
          <w:sz w:val="20"/>
        </w:rPr>
        <w:t>+</w:t>
      </w:r>
      <w:r w:rsidRPr="0049467D">
        <w:rPr>
          <w:rFonts w:cs="Arial"/>
          <w:sz w:val="20"/>
        </w:rPr>
        <w:t xml:space="preserve"> </w:t>
      </w:r>
      <w:r w:rsidR="00C517A6">
        <w:rPr>
          <w:rFonts w:cs="Arial"/>
          <w:sz w:val="20"/>
        </w:rPr>
        <w:tab/>
      </w:r>
      <w:r w:rsidR="00BA679F">
        <w:rPr>
          <w:rFonts w:cs="Arial"/>
          <w:sz w:val="20"/>
        </w:rPr>
        <w:t>very much</w:t>
      </w:r>
      <w:r w:rsidRPr="0049467D">
        <w:rPr>
          <w:rFonts w:cs="Arial"/>
          <w:sz w:val="20"/>
        </w:rPr>
        <w:t xml:space="preserve"> better than doing nothing/the status quo</w:t>
      </w:r>
    </w:p>
    <w:p w14:paraId="5E20A4E1" w14:textId="5A0B9A00" w:rsidR="0062657E" w:rsidRPr="0049467D" w:rsidRDefault="0062657E" w:rsidP="0049467D">
      <w:pPr>
        <w:spacing w:after="120" w:line="276" w:lineRule="auto"/>
        <w:rPr>
          <w:rFonts w:cs="Arial"/>
          <w:sz w:val="20"/>
        </w:rPr>
      </w:pPr>
      <w:r w:rsidRPr="00373CD5">
        <w:rPr>
          <w:rFonts w:cs="Arial"/>
          <w:b/>
          <w:color w:val="00B050"/>
          <w:sz w:val="20"/>
        </w:rPr>
        <w:t>+</w:t>
      </w:r>
      <w:r w:rsidR="003D5677">
        <w:rPr>
          <w:rFonts w:cs="Arial"/>
          <w:b/>
          <w:color w:val="00B050"/>
          <w:sz w:val="20"/>
        </w:rPr>
        <w:t xml:space="preserve"> </w:t>
      </w:r>
      <w:r w:rsidRPr="00373CD5">
        <w:rPr>
          <w:rFonts w:cs="Arial"/>
          <w:b/>
          <w:color w:val="00B050"/>
          <w:sz w:val="20"/>
        </w:rPr>
        <w:t>+</w:t>
      </w:r>
      <w:r w:rsidR="00C517A6">
        <w:rPr>
          <w:rFonts w:cs="Arial"/>
          <w:sz w:val="20"/>
        </w:rPr>
        <w:tab/>
      </w:r>
      <w:r w:rsidRPr="0049467D">
        <w:rPr>
          <w:rFonts w:cs="Arial"/>
          <w:sz w:val="20"/>
        </w:rPr>
        <w:t>much better than doing nothing/the status quo</w:t>
      </w:r>
    </w:p>
    <w:p w14:paraId="25622461" w14:textId="0417A389" w:rsidR="0062657E" w:rsidRPr="0049467D" w:rsidRDefault="0062657E" w:rsidP="0049467D">
      <w:pPr>
        <w:spacing w:after="120" w:line="276" w:lineRule="auto"/>
        <w:rPr>
          <w:rFonts w:cs="Arial"/>
          <w:sz w:val="20"/>
        </w:rPr>
      </w:pPr>
      <w:r w:rsidRPr="00373CD5">
        <w:rPr>
          <w:rFonts w:cs="Arial"/>
          <w:b/>
          <w:color w:val="00B050"/>
          <w:sz w:val="20"/>
        </w:rPr>
        <w:t>+</w:t>
      </w:r>
      <w:r w:rsidRPr="0049467D">
        <w:rPr>
          <w:rFonts w:cs="Arial"/>
          <w:sz w:val="20"/>
        </w:rPr>
        <w:tab/>
        <w:t>better than doing nothing/the status quo</w:t>
      </w:r>
    </w:p>
    <w:p w14:paraId="411A7282" w14:textId="27A47FBB" w:rsidR="0062657E" w:rsidRPr="0049467D" w:rsidRDefault="003D5677" w:rsidP="0049467D">
      <w:pPr>
        <w:spacing w:after="120" w:line="276" w:lineRule="auto"/>
        <w:rPr>
          <w:rFonts w:cs="Arial"/>
          <w:sz w:val="20"/>
        </w:rPr>
      </w:pPr>
      <w:r>
        <w:rPr>
          <w:rFonts w:cs="Arial"/>
          <w:bCs/>
          <w:sz w:val="20"/>
        </w:rPr>
        <w:t>0</w:t>
      </w:r>
      <w:r w:rsidR="00C517A6">
        <w:rPr>
          <w:rFonts w:cs="Arial"/>
          <w:sz w:val="20"/>
        </w:rPr>
        <w:tab/>
      </w:r>
      <w:r w:rsidR="0062657E" w:rsidRPr="0049467D">
        <w:rPr>
          <w:rFonts w:cs="Arial"/>
          <w:sz w:val="20"/>
        </w:rPr>
        <w:t>about the same as doing nothing/the status quo</w:t>
      </w:r>
    </w:p>
    <w:p w14:paraId="2EA7B3D4" w14:textId="77777777" w:rsidR="0062657E" w:rsidRPr="0049467D" w:rsidRDefault="0062657E" w:rsidP="0049467D">
      <w:pPr>
        <w:spacing w:after="12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t>worse than doing nothing/the status quo</w:t>
      </w:r>
    </w:p>
    <w:p w14:paraId="72AA943E" w14:textId="061C9E2F" w:rsidR="0049467D" w:rsidRDefault="0062657E" w:rsidP="0049467D">
      <w:pPr>
        <w:spacing w:after="120" w:line="276" w:lineRule="auto"/>
        <w:rPr>
          <w:rFonts w:cs="Arial"/>
          <w:sz w:val="20"/>
        </w:rPr>
      </w:pPr>
      <w:r w:rsidRPr="00373CD5">
        <w:rPr>
          <w:rFonts w:cs="Arial"/>
          <w:b/>
          <w:color w:val="FF0000"/>
          <w:sz w:val="20"/>
        </w:rPr>
        <w:t>- -</w:t>
      </w:r>
      <w:r w:rsidRPr="0049467D">
        <w:rPr>
          <w:rFonts w:cs="Arial"/>
          <w:sz w:val="20"/>
        </w:rPr>
        <w:t xml:space="preserve"> </w:t>
      </w:r>
      <w:r w:rsidRPr="0049467D">
        <w:rPr>
          <w:rFonts w:cs="Arial"/>
          <w:sz w:val="20"/>
        </w:rPr>
        <w:tab/>
        <w:t>much worse than doing nothing/the status quo</w:t>
      </w:r>
    </w:p>
    <w:p w14:paraId="12ED1B43" w14:textId="1725A04B" w:rsidR="00FE4897" w:rsidRPr="0049467D" w:rsidRDefault="00FE4897" w:rsidP="0049467D">
      <w:pPr>
        <w:spacing w:after="120" w:line="276" w:lineRule="auto"/>
        <w:rPr>
          <w:rFonts w:cs="Arial"/>
          <w:sz w:val="20"/>
        </w:rPr>
      </w:pPr>
      <w:r w:rsidRPr="0049075B">
        <w:rPr>
          <w:rFonts w:cs="Arial"/>
          <w:b/>
          <w:color w:val="FF0000"/>
        </w:rPr>
        <w:t>-</w:t>
      </w:r>
      <w:r>
        <w:rPr>
          <w:rFonts w:cs="Arial"/>
          <w:b/>
          <w:color w:val="FF0000"/>
        </w:rPr>
        <w:t xml:space="preserve"> </w:t>
      </w:r>
      <w:r w:rsidRPr="0049075B">
        <w:rPr>
          <w:rFonts w:cs="Arial"/>
          <w:b/>
          <w:color w:val="FF0000"/>
        </w:rPr>
        <w:t>-</w:t>
      </w:r>
      <w:r>
        <w:rPr>
          <w:rFonts w:cs="Arial"/>
          <w:b/>
          <w:color w:val="FF0000"/>
        </w:rPr>
        <w:t xml:space="preserve"> </w:t>
      </w:r>
      <w:r w:rsidRPr="0049075B">
        <w:rPr>
          <w:rFonts w:cs="Arial"/>
          <w:b/>
          <w:color w:val="FF0000"/>
        </w:rPr>
        <w:t>-</w:t>
      </w:r>
      <w:r>
        <w:rPr>
          <w:rFonts w:cs="Arial"/>
          <w:b/>
          <w:color w:val="FF0000"/>
        </w:rPr>
        <w:tab/>
      </w:r>
      <w:r w:rsidR="00BA679F">
        <w:rPr>
          <w:rFonts w:cs="Arial"/>
          <w:sz w:val="20"/>
        </w:rPr>
        <w:t xml:space="preserve">very much </w:t>
      </w:r>
      <w:r w:rsidRPr="0075084C">
        <w:rPr>
          <w:rFonts w:cs="Arial"/>
          <w:sz w:val="20"/>
        </w:rPr>
        <w:t xml:space="preserve">worse than </w:t>
      </w:r>
      <w:r w:rsidR="0075084C" w:rsidRPr="0075084C">
        <w:rPr>
          <w:rFonts w:cs="Arial"/>
          <w:sz w:val="20"/>
        </w:rPr>
        <w:t>doing nothing/the status quo</w:t>
      </w:r>
    </w:p>
    <w:p w14:paraId="150612A0" w14:textId="77777777" w:rsidR="0062657E" w:rsidRPr="0049467D" w:rsidRDefault="0062657E" w:rsidP="0049467D">
      <w:pPr>
        <w:spacing w:after="120" w:line="276" w:lineRule="auto"/>
        <w:rPr>
          <w:rFonts w:ascii="Arial Narrow" w:hAnsi="Arial Narrow"/>
          <w:i/>
          <w:sz w:val="20"/>
        </w:rPr>
        <w:sectPr w:rsidR="0062657E" w:rsidRPr="0049467D" w:rsidSect="00FE1832">
          <w:footerReference w:type="default" r:id="rId11"/>
          <w:pgSz w:w="16838" w:h="11906" w:orient="landscape"/>
          <w:pgMar w:top="1134" w:right="1418" w:bottom="992" w:left="1418" w:header="709" w:footer="709" w:gutter="0"/>
          <w:cols w:space="708"/>
          <w:docGrid w:linePitch="360"/>
        </w:sectPr>
      </w:pPr>
    </w:p>
    <w:p w14:paraId="25054098" w14:textId="4F50B47F"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t>Section 5: Conclusions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6FE189AA" w14:textId="77777777" w:rsidTr="007958EF">
        <w:trPr>
          <w:trHeight w:val="529"/>
        </w:trPr>
        <w:tc>
          <w:tcPr>
            <w:tcW w:w="9072" w:type="dxa"/>
            <w:shd w:val="clear" w:color="auto" w:fill="99CDDD"/>
          </w:tcPr>
          <w:p w14:paraId="558BD119" w14:textId="3DF47BAE" w:rsidR="0062657E" w:rsidRPr="0049467D" w:rsidRDefault="00F05AD9" w:rsidP="00DF2E7B">
            <w:pPr>
              <w:spacing w:before="60" w:after="60" w:line="240" w:lineRule="auto"/>
              <w:rPr>
                <w:rFonts w:cs="Arial"/>
                <w:b/>
                <w:szCs w:val="22"/>
                <w:lang w:eastAsia="en-AU"/>
              </w:rPr>
            </w:pPr>
            <w:r>
              <w:rPr>
                <w:rFonts w:cs="Arial"/>
                <w:b/>
                <w:szCs w:val="22"/>
                <w:lang w:eastAsia="en-AU"/>
              </w:rPr>
              <w:br w:type="page"/>
              <w:t xml:space="preserve">5.1   </w:t>
            </w:r>
            <w:r w:rsidR="0062657E" w:rsidRPr="0049467D">
              <w:rPr>
                <w:rFonts w:cs="Arial"/>
                <w:b/>
                <w:szCs w:val="22"/>
                <w:lang w:eastAsia="en-AU"/>
              </w:rPr>
              <w:t xml:space="preserve">What option, or combination of options is likely </w:t>
            </w:r>
            <w:r w:rsidR="00105D66">
              <w:rPr>
                <w:rFonts w:cs="Arial"/>
                <w:b/>
                <w:szCs w:val="22"/>
                <w:lang w:eastAsia="en-AU"/>
              </w:rPr>
              <w:t xml:space="preserve">to </w:t>
            </w:r>
            <w:r w:rsidR="0062657E" w:rsidRPr="0049467D">
              <w:rPr>
                <w:rFonts w:cs="Arial"/>
                <w:b/>
                <w:szCs w:val="22"/>
                <w:lang w:eastAsia="en-AU"/>
              </w:rPr>
              <w:t>best address the problem, meet the policy objectives and deliver the highest net benefits?</w:t>
            </w:r>
          </w:p>
        </w:tc>
      </w:tr>
      <w:tr w:rsidR="0049467D" w:rsidRPr="0049467D" w14:paraId="49AD4F84" w14:textId="77777777" w:rsidTr="007958EF">
        <w:trPr>
          <w:trHeight w:val="641"/>
        </w:trPr>
        <w:tc>
          <w:tcPr>
            <w:tcW w:w="9072" w:type="dxa"/>
            <w:shd w:val="clear" w:color="auto" w:fill="FFFFFF"/>
          </w:tcPr>
          <w:p w14:paraId="31691E79" w14:textId="3B2DB5A0" w:rsidR="00E040AB" w:rsidRDefault="00E040AB" w:rsidP="00E040AB">
            <w:pPr>
              <w:spacing w:after="0"/>
              <w:rPr>
                <w:lang w:eastAsia="en-AU"/>
              </w:rPr>
            </w:pPr>
          </w:p>
          <w:p w14:paraId="28477B30" w14:textId="28E40F75" w:rsidR="006E704A" w:rsidRDefault="00430889" w:rsidP="00E040AB">
            <w:pPr>
              <w:spacing w:after="0"/>
              <w:rPr>
                <w:lang w:eastAsia="en-AU"/>
              </w:rPr>
            </w:pPr>
            <w:r>
              <w:rPr>
                <w:lang w:eastAsia="en-AU"/>
              </w:rPr>
              <w:t>Inland Revenue’s analysis of the options</w:t>
            </w:r>
            <w:r w:rsidR="00713D83">
              <w:rPr>
                <w:lang w:eastAsia="en-AU"/>
              </w:rPr>
              <w:t xml:space="preserve"> presented</w:t>
            </w:r>
            <w:r>
              <w:rPr>
                <w:lang w:eastAsia="en-AU"/>
              </w:rPr>
              <w:t xml:space="preserve"> in this Impact Statement</w:t>
            </w:r>
            <w:r w:rsidR="00713D83">
              <w:rPr>
                <w:lang w:eastAsia="en-AU"/>
              </w:rPr>
              <w:t xml:space="preserve"> conclude</w:t>
            </w:r>
            <w:r w:rsidR="00503693">
              <w:rPr>
                <w:lang w:eastAsia="en-AU"/>
              </w:rPr>
              <w:t>s</w:t>
            </w:r>
            <w:r w:rsidR="00713D83">
              <w:rPr>
                <w:lang w:eastAsia="en-AU"/>
              </w:rPr>
              <w:t xml:space="preserve"> that </w:t>
            </w:r>
            <w:r w:rsidR="00713D83">
              <w:rPr>
                <w:b/>
                <w:bCs/>
                <w:lang w:eastAsia="en-AU"/>
              </w:rPr>
              <w:t>Option 5</w:t>
            </w:r>
            <w:r w:rsidR="00713D83">
              <w:rPr>
                <w:lang w:eastAsia="en-AU"/>
              </w:rPr>
              <w:t xml:space="preserve"> is the best package for advancing the Government’s proposal to introduce a new top personal income tax rate of 39 percent on income over $180,000.</w:t>
            </w:r>
            <w:r w:rsidR="002753AC">
              <w:rPr>
                <w:lang w:eastAsia="en-AU"/>
              </w:rPr>
              <w:t xml:space="preserve"> This involves both increasing the </w:t>
            </w:r>
            <w:r w:rsidR="00BA45C7">
              <w:rPr>
                <w:lang w:eastAsia="en-AU"/>
              </w:rPr>
              <w:t>trustee rate</w:t>
            </w:r>
            <w:r w:rsidR="00352408">
              <w:rPr>
                <w:lang w:eastAsia="en-AU"/>
              </w:rPr>
              <w:t xml:space="preserve"> and</w:t>
            </w:r>
            <w:r w:rsidR="00BA45C7">
              <w:rPr>
                <w:lang w:eastAsia="en-AU"/>
              </w:rPr>
              <w:t xml:space="preserve"> </w:t>
            </w:r>
            <w:r w:rsidR="0081513C">
              <w:rPr>
                <w:lang w:eastAsia="en-AU"/>
              </w:rPr>
              <w:t>investigating</w:t>
            </w:r>
            <w:r w:rsidR="00BA45C7">
              <w:rPr>
                <w:lang w:eastAsia="en-AU"/>
              </w:rPr>
              <w:t xml:space="preserve"> integrity measures to buttress the new top personal income tax rate. </w:t>
            </w:r>
          </w:p>
          <w:p w14:paraId="02B59550" w14:textId="77777777" w:rsidR="006E704A" w:rsidRDefault="006E704A" w:rsidP="00E040AB">
            <w:pPr>
              <w:spacing w:after="0"/>
              <w:rPr>
                <w:lang w:eastAsia="en-AU"/>
              </w:rPr>
            </w:pPr>
          </w:p>
          <w:p w14:paraId="5433CE0F" w14:textId="210799FB" w:rsidR="008A333D" w:rsidRDefault="006E704A" w:rsidP="00E040AB">
            <w:pPr>
              <w:spacing w:after="0"/>
              <w:rPr>
                <w:lang w:eastAsia="en-AU"/>
              </w:rPr>
            </w:pPr>
            <w:r>
              <w:rPr>
                <w:lang w:eastAsia="en-AU"/>
              </w:rPr>
              <w:t xml:space="preserve">Inland Revenue concludes that </w:t>
            </w:r>
            <w:r w:rsidRPr="00154D17">
              <w:rPr>
                <w:b/>
                <w:bCs/>
                <w:lang w:eastAsia="en-AU"/>
              </w:rPr>
              <w:t>Option 5</w:t>
            </w:r>
            <w:r>
              <w:rPr>
                <w:lang w:eastAsia="en-AU"/>
              </w:rPr>
              <w:t xml:space="preserve"> is </w:t>
            </w:r>
            <w:r w:rsidR="00A65C0E">
              <w:rPr>
                <w:lang w:eastAsia="en-AU"/>
              </w:rPr>
              <w:t>best</w:t>
            </w:r>
            <w:r w:rsidR="008A333D">
              <w:rPr>
                <w:lang w:eastAsia="en-AU"/>
              </w:rPr>
              <w:t xml:space="preserve"> because</w:t>
            </w:r>
            <w:r w:rsidR="003E0B8F">
              <w:rPr>
                <w:lang w:eastAsia="en-AU"/>
              </w:rPr>
              <w:t xml:space="preserve"> it comprises a package that implements the new 39 percent rate in a way that best meets the Government’s revenue and distributional </w:t>
            </w:r>
            <w:r w:rsidR="0092512E">
              <w:rPr>
                <w:lang w:eastAsia="en-AU"/>
              </w:rPr>
              <w:t>objectives</w:t>
            </w:r>
            <w:r w:rsidR="00F23CC5">
              <w:rPr>
                <w:lang w:eastAsia="en-AU"/>
              </w:rPr>
              <w:t xml:space="preserve"> while minimising unintended impacts</w:t>
            </w:r>
            <w:r w:rsidR="008A333D">
              <w:rPr>
                <w:lang w:eastAsia="en-AU"/>
              </w:rPr>
              <w:t>:</w:t>
            </w:r>
          </w:p>
          <w:p w14:paraId="1D68EC3C" w14:textId="77777777" w:rsidR="00D4258C" w:rsidRDefault="00D4258C" w:rsidP="00E040AB">
            <w:pPr>
              <w:spacing w:after="0"/>
              <w:rPr>
                <w:lang w:eastAsia="en-AU"/>
              </w:rPr>
            </w:pPr>
          </w:p>
          <w:p w14:paraId="6BDCF696" w14:textId="43B771BF" w:rsidR="00106B98" w:rsidRDefault="00106B98" w:rsidP="008A333D">
            <w:pPr>
              <w:pStyle w:val="ListParagraph"/>
              <w:numPr>
                <w:ilvl w:val="0"/>
                <w:numId w:val="19"/>
              </w:numPr>
              <w:spacing w:after="0"/>
              <w:rPr>
                <w:lang w:eastAsia="en-AU"/>
              </w:rPr>
            </w:pPr>
            <w:r>
              <w:rPr>
                <w:lang w:eastAsia="en-AU"/>
              </w:rPr>
              <w:t>Inland</w:t>
            </w:r>
            <w:r w:rsidR="00942C7E">
              <w:rPr>
                <w:lang w:eastAsia="en-AU"/>
              </w:rPr>
              <w:t xml:space="preserve"> Revenue </w:t>
            </w:r>
            <w:r w:rsidR="00851C29">
              <w:rPr>
                <w:lang w:eastAsia="en-AU"/>
              </w:rPr>
              <w:t>considers</w:t>
            </w:r>
            <w:r w:rsidR="00942C7E">
              <w:rPr>
                <w:lang w:eastAsia="en-AU"/>
              </w:rPr>
              <w:t xml:space="preserve"> both </w:t>
            </w:r>
            <w:r w:rsidR="00942C7E">
              <w:rPr>
                <w:b/>
                <w:bCs/>
                <w:lang w:eastAsia="en-AU"/>
              </w:rPr>
              <w:t>alignment</w:t>
            </w:r>
            <w:r w:rsidR="00F1280C">
              <w:rPr>
                <w:b/>
                <w:bCs/>
                <w:lang w:eastAsia="en-AU"/>
              </w:rPr>
              <w:t xml:space="preserve"> with the trustee rate </w:t>
            </w:r>
            <w:r w:rsidR="001F3AF8" w:rsidRPr="001F3AF8">
              <w:rPr>
                <w:lang w:eastAsia="en-AU"/>
              </w:rPr>
              <w:t>and</w:t>
            </w:r>
            <w:r w:rsidR="001F3AF8">
              <w:rPr>
                <w:b/>
                <w:bCs/>
                <w:lang w:eastAsia="en-AU"/>
              </w:rPr>
              <w:t xml:space="preserve"> </w:t>
            </w:r>
            <w:r w:rsidR="0081513C">
              <w:rPr>
                <w:b/>
                <w:bCs/>
                <w:lang w:eastAsia="en-AU"/>
              </w:rPr>
              <w:t>investigatin</w:t>
            </w:r>
            <w:r w:rsidR="00942C7E" w:rsidRPr="001F3AF8">
              <w:rPr>
                <w:b/>
                <w:bCs/>
                <w:lang w:eastAsia="en-AU"/>
              </w:rPr>
              <w:t>g</w:t>
            </w:r>
            <w:r w:rsidR="00942C7E">
              <w:rPr>
                <w:lang w:eastAsia="en-AU"/>
              </w:rPr>
              <w:t xml:space="preserve"> </w:t>
            </w:r>
            <w:r w:rsidR="00942C7E">
              <w:rPr>
                <w:b/>
                <w:bCs/>
                <w:lang w:eastAsia="en-AU"/>
              </w:rPr>
              <w:t>integrity measures</w:t>
            </w:r>
            <w:r w:rsidR="00942C7E">
              <w:rPr>
                <w:lang w:eastAsia="en-AU"/>
              </w:rPr>
              <w:t xml:space="preserve"> </w:t>
            </w:r>
            <w:r w:rsidR="00851C29">
              <w:rPr>
                <w:lang w:eastAsia="en-AU"/>
              </w:rPr>
              <w:t>to be</w:t>
            </w:r>
            <w:r w:rsidR="00942C7E">
              <w:rPr>
                <w:lang w:eastAsia="en-AU"/>
              </w:rPr>
              <w:t xml:space="preserve"> key </w:t>
            </w:r>
            <w:r w:rsidR="0081513C">
              <w:rPr>
                <w:lang w:eastAsia="en-AU"/>
              </w:rPr>
              <w:t>complementary decisions</w:t>
            </w:r>
            <w:r w:rsidR="00942C7E">
              <w:rPr>
                <w:lang w:eastAsia="en-AU"/>
              </w:rPr>
              <w:t xml:space="preserve"> to support the </w:t>
            </w:r>
            <w:r w:rsidR="001F1868">
              <w:rPr>
                <w:lang w:eastAsia="en-AU"/>
              </w:rPr>
              <w:t xml:space="preserve">effective </w:t>
            </w:r>
            <w:r w:rsidR="00942C7E">
              <w:rPr>
                <w:lang w:eastAsia="en-AU"/>
              </w:rPr>
              <w:t>introduction of a new top personal income tax rate</w:t>
            </w:r>
            <w:r w:rsidR="00851C29">
              <w:rPr>
                <w:lang w:eastAsia="en-AU"/>
              </w:rPr>
              <w:t xml:space="preserve">. </w:t>
            </w:r>
            <w:r w:rsidR="00851C29" w:rsidRPr="00851C29">
              <w:rPr>
                <w:b/>
                <w:bCs/>
                <w:lang w:eastAsia="en-AU"/>
              </w:rPr>
              <w:t>Option 5</w:t>
            </w:r>
            <w:r w:rsidR="00851C29">
              <w:rPr>
                <w:lang w:eastAsia="en-AU"/>
              </w:rPr>
              <w:t xml:space="preserve"> incorporates both these features. </w:t>
            </w:r>
            <w:r w:rsidR="006461F3">
              <w:rPr>
                <w:lang w:eastAsia="en-AU"/>
              </w:rPr>
              <w:t>Other options omitted either alignment, integrity measures, or both</w:t>
            </w:r>
            <w:r w:rsidR="002D5FBE">
              <w:rPr>
                <w:lang w:eastAsia="en-AU"/>
              </w:rPr>
              <w:t xml:space="preserve"> and</w:t>
            </w:r>
            <w:r w:rsidR="00622A2E">
              <w:rPr>
                <w:lang w:eastAsia="en-AU"/>
              </w:rPr>
              <w:t>,</w:t>
            </w:r>
            <w:r w:rsidR="002D5FBE">
              <w:rPr>
                <w:lang w:eastAsia="en-AU"/>
              </w:rPr>
              <w:t xml:space="preserve"> as a result</w:t>
            </w:r>
            <w:r w:rsidR="00622A2E">
              <w:rPr>
                <w:lang w:eastAsia="en-AU"/>
              </w:rPr>
              <w:t>,</w:t>
            </w:r>
            <w:r w:rsidR="002D5FBE">
              <w:rPr>
                <w:lang w:eastAsia="en-AU"/>
              </w:rPr>
              <w:t xml:space="preserve"> will have reduced revenue and distributional benefits</w:t>
            </w:r>
            <w:r w:rsidR="006461F3">
              <w:rPr>
                <w:lang w:eastAsia="en-AU"/>
              </w:rPr>
              <w:t xml:space="preserve">. </w:t>
            </w:r>
          </w:p>
          <w:p w14:paraId="7F520964" w14:textId="2B0E8DFD" w:rsidR="0092512E" w:rsidRDefault="0092512E" w:rsidP="0092512E">
            <w:pPr>
              <w:pStyle w:val="ListParagraph"/>
              <w:numPr>
                <w:ilvl w:val="0"/>
                <w:numId w:val="19"/>
              </w:numPr>
              <w:spacing w:after="0"/>
              <w:rPr>
                <w:lang w:eastAsia="en-AU"/>
              </w:rPr>
            </w:pPr>
            <w:r>
              <w:rPr>
                <w:lang w:eastAsia="en-AU"/>
              </w:rPr>
              <w:t xml:space="preserve">The efficiency benefits from removing misalignment distortions as well as minimising opportunities for avoidance means that </w:t>
            </w:r>
            <w:r w:rsidRPr="006E1366">
              <w:rPr>
                <w:b/>
                <w:bCs/>
                <w:lang w:eastAsia="en-AU"/>
              </w:rPr>
              <w:t>Option 5</w:t>
            </w:r>
            <w:r>
              <w:rPr>
                <w:lang w:eastAsia="en-AU"/>
              </w:rPr>
              <w:t xml:space="preserve"> best meets the </w:t>
            </w:r>
            <w:r w:rsidRPr="00BE02E3">
              <w:rPr>
                <w:b/>
                <w:bCs/>
                <w:lang w:eastAsia="en-AU"/>
              </w:rPr>
              <w:t>revenue objective</w:t>
            </w:r>
            <w:r w:rsidR="0081513C">
              <w:rPr>
                <w:b/>
                <w:bCs/>
                <w:lang w:eastAsia="en-AU"/>
              </w:rPr>
              <w:t xml:space="preserve">, </w:t>
            </w:r>
            <w:r w:rsidR="0081513C" w:rsidRPr="00C96448">
              <w:rPr>
                <w:lang w:eastAsia="en-AU"/>
              </w:rPr>
              <w:t>by reducing the total cost of achieving the objective</w:t>
            </w:r>
            <w:r>
              <w:rPr>
                <w:lang w:eastAsia="en-AU"/>
              </w:rPr>
              <w:t>.</w:t>
            </w:r>
          </w:p>
          <w:p w14:paraId="639D9B2E" w14:textId="172E6A2B" w:rsidR="00E040AB" w:rsidRDefault="00642CDD" w:rsidP="008A333D">
            <w:pPr>
              <w:pStyle w:val="ListParagraph"/>
              <w:numPr>
                <w:ilvl w:val="0"/>
                <w:numId w:val="19"/>
              </w:numPr>
              <w:spacing w:after="0"/>
              <w:rPr>
                <w:lang w:eastAsia="en-AU"/>
              </w:rPr>
            </w:pPr>
            <w:r>
              <w:rPr>
                <w:lang w:eastAsia="en-AU"/>
              </w:rPr>
              <w:t>Ensuring</w:t>
            </w:r>
            <w:r w:rsidR="00503693">
              <w:rPr>
                <w:lang w:eastAsia="en-AU"/>
              </w:rPr>
              <w:t xml:space="preserve"> </w:t>
            </w:r>
            <w:r>
              <w:rPr>
                <w:lang w:eastAsia="en-AU"/>
              </w:rPr>
              <w:t xml:space="preserve">alignment of rates alongside </w:t>
            </w:r>
            <w:r w:rsidR="0081513C">
              <w:rPr>
                <w:lang w:eastAsia="en-AU"/>
              </w:rPr>
              <w:t xml:space="preserve">investigating </w:t>
            </w:r>
            <w:r>
              <w:rPr>
                <w:lang w:eastAsia="en-AU"/>
              </w:rPr>
              <w:t xml:space="preserve">integrity measures will </w:t>
            </w:r>
            <w:r w:rsidR="0081513C">
              <w:rPr>
                <w:lang w:eastAsia="en-AU"/>
              </w:rPr>
              <w:t xml:space="preserve">likely </w:t>
            </w:r>
            <w:r w:rsidR="006E3527">
              <w:rPr>
                <w:lang w:eastAsia="en-AU"/>
              </w:rPr>
              <w:t>have the strongest impact on integrity and equity</w:t>
            </w:r>
            <w:r w:rsidR="006E1366">
              <w:rPr>
                <w:lang w:eastAsia="en-AU"/>
              </w:rPr>
              <w:t xml:space="preserve"> within the tax system</w:t>
            </w:r>
            <w:r w:rsidR="00C90909">
              <w:rPr>
                <w:lang w:eastAsia="en-AU"/>
              </w:rPr>
              <w:t xml:space="preserve">, meaning that the </w:t>
            </w:r>
            <w:r w:rsidR="00C90909" w:rsidRPr="00C90909">
              <w:rPr>
                <w:b/>
                <w:bCs/>
                <w:lang w:eastAsia="en-AU"/>
              </w:rPr>
              <w:t>distribution</w:t>
            </w:r>
            <w:r w:rsidR="00570CC8">
              <w:rPr>
                <w:b/>
                <w:bCs/>
                <w:lang w:eastAsia="en-AU"/>
              </w:rPr>
              <w:t>al</w:t>
            </w:r>
            <w:r w:rsidR="00C90909" w:rsidRPr="00C90909">
              <w:rPr>
                <w:b/>
                <w:bCs/>
                <w:lang w:eastAsia="en-AU"/>
              </w:rPr>
              <w:t xml:space="preserve"> objective</w:t>
            </w:r>
            <w:r w:rsidR="00C90909">
              <w:rPr>
                <w:lang w:eastAsia="en-AU"/>
              </w:rPr>
              <w:t xml:space="preserve"> is best met by this option.</w:t>
            </w:r>
          </w:p>
          <w:p w14:paraId="7057364E" w14:textId="77777777" w:rsidR="00C82069" w:rsidRDefault="00C82069" w:rsidP="00F24A78">
            <w:pPr>
              <w:spacing w:after="0"/>
              <w:rPr>
                <w:lang w:eastAsia="en-AU"/>
              </w:rPr>
            </w:pPr>
          </w:p>
          <w:p w14:paraId="53DC18A8" w14:textId="31DB33B4" w:rsidR="00504365" w:rsidRDefault="00DF3CBF" w:rsidP="00F24A78">
            <w:pPr>
              <w:spacing w:after="0"/>
              <w:rPr>
                <w:lang w:eastAsia="en-AU"/>
              </w:rPr>
            </w:pPr>
            <w:r>
              <w:rPr>
                <w:lang w:eastAsia="en-AU"/>
              </w:rPr>
              <w:t xml:space="preserve">This Impact Statement noted that the analysis undertaken was constrained by several factors, including a restricted range of options </w:t>
            </w:r>
            <w:r w:rsidR="00DD38B3">
              <w:rPr>
                <w:lang w:eastAsia="en-AU"/>
              </w:rPr>
              <w:t>available for consideration</w:t>
            </w:r>
            <w:r>
              <w:rPr>
                <w:lang w:eastAsia="en-AU"/>
              </w:rPr>
              <w:t xml:space="preserve">, time constraints, uncertainty surrounding magnitude of impacts, and insufficient consultation. </w:t>
            </w:r>
          </w:p>
          <w:p w14:paraId="5DB65CA9" w14:textId="77777777" w:rsidR="00504365" w:rsidRDefault="00504365" w:rsidP="00F24A78">
            <w:pPr>
              <w:spacing w:after="0"/>
              <w:rPr>
                <w:lang w:eastAsia="en-AU"/>
              </w:rPr>
            </w:pPr>
          </w:p>
          <w:p w14:paraId="534C8F99" w14:textId="31F98C85" w:rsidR="00E040AB" w:rsidRDefault="00CA472A" w:rsidP="00E040AB">
            <w:pPr>
              <w:spacing w:after="0"/>
              <w:rPr>
                <w:lang w:eastAsia="en-AU"/>
              </w:rPr>
            </w:pPr>
            <w:r>
              <w:rPr>
                <w:lang w:eastAsia="en-AU"/>
              </w:rPr>
              <w:t xml:space="preserve">Although there is a strong evidence base for the general impact of tax rate changes, the point of insufficient consultation to date will be particularly significant </w:t>
            </w:r>
            <w:r w:rsidR="00C26B88">
              <w:rPr>
                <w:lang w:eastAsia="en-AU"/>
              </w:rPr>
              <w:t>for the</w:t>
            </w:r>
            <w:r w:rsidR="007361FF">
              <w:rPr>
                <w:lang w:eastAsia="en-AU"/>
              </w:rPr>
              <w:t xml:space="preserve"> integrity measures to buttress the new higher personal income tax rate</w:t>
            </w:r>
            <w:r w:rsidR="00E948E1">
              <w:rPr>
                <w:lang w:eastAsia="en-AU"/>
              </w:rPr>
              <w:t xml:space="preserve">. </w:t>
            </w:r>
            <w:r w:rsidR="00B03518">
              <w:rPr>
                <w:lang w:eastAsia="en-AU"/>
              </w:rPr>
              <w:t xml:space="preserve">To mitigate this, </w:t>
            </w:r>
            <w:r w:rsidR="00E948E1">
              <w:rPr>
                <w:lang w:eastAsia="en-AU"/>
              </w:rPr>
              <w:t xml:space="preserve">Inland Revenue’s preference is for these measures to be consulted on over the first half of 2021 so that they can be legislated </w:t>
            </w:r>
            <w:r w:rsidR="00515995">
              <w:rPr>
                <w:lang w:eastAsia="en-AU"/>
              </w:rPr>
              <w:t>for 1 April 2022</w:t>
            </w:r>
            <w:r w:rsidR="003319D7">
              <w:rPr>
                <w:lang w:eastAsia="en-AU"/>
              </w:rPr>
              <w:t xml:space="preserve">, despite the </w:t>
            </w:r>
            <w:r w:rsidR="001F1510">
              <w:rPr>
                <w:lang w:eastAsia="en-AU"/>
              </w:rPr>
              <w:t>likelihood</w:t>
            </w:r>
            <w:r w:rsidR="003319D7">
              <w:rPr>
                <w:lang w:eastAsia="en-AU"/>
              </w:rPr>
              <w:t xml:space="preserve"> that the introduction of a new top personal income tax rate could occur as early as 1 April 2021</w:t>
            </w:r>
            <w:r w:rsidR="00515995">
              <w:rPr>
                <w:lang w:eastAsia="en-AU"/>
              </w:rPr>
              <w:t xml:space="preserve">. </w:t>
            </w:r>
            <w:r w:rsidR="005E0495">
              <w:rPr>
                <w:lang w:eastAsia="en-AU"/>
              </w:rPr>
              <w:t xml:space="preserve">Inland Revenue also notes </w:t>
            </w:r>
            <w:r w:rsidR="00C0103F">
              <w:rPr>
                <w:lang w:eastAsia="en-AU"/>
              </w:rPr>
              <w:t xml:space="preserve">that many aspects of this analysis </w:t>
            </w:r>
            <w:r w:rsidR="00365012">
              <w:rPr>
                <w:lang w:eastAsia="en-AU"/>
              </w:rPr>
              <w:t>are</w:t>
            </w:r>
            <w:r w:rsidR="00C0103F">
              <w:rPr>
                <w:lang w:eastAsia="en-AU"/>
              </w:rPr>
              <w:t xml:space="preserve"> qualitative due to significant uncertainty around </w:t>
            </w:r>
            <w:r w:rsidR="007D75F0">
              <w:rPr>
                <w:lang w:eastAsia="en-AU"/>
              </w:rPr>
              <w:t xml:space="preserve">estimating fiscal costs/revenues for the various options. </w:t>
            </w:r>
          </w:p>
          <w:p w14:paraId="0B431F98" w14:textId="77777777" w:rsidR="00B3425C" w:rsidRDefault="00B3425C" w:rsidP="00E040AB">
            <w:pPr>
              <w:spacing w:after="0"/>
              <w:rPr>
                <w:lang w:eastAsia="en-AU"/>
              </w:rPr>
            </w:pPr>
          </w:p>
          <w:p w14:paraId="0B31C555" w14:textId="140E3054" w:rsidR="00E040AB" w:rsidRDefault="00E040AB" w:rsidP="00E040AB">
            <w:pPr>
              <w:spacing w:after="0"/>
              <w:rPr>
                <w:lang w:eastAsia="en-AU"/>
              </w:rPr>
            </w:pPr>
            <w:r w:rsidRPr="009E259B">
              <w:rPr>
                <w:lang w:eastAsia="en-AU"/>
              </w:rPr>
              <w:t xml:space="preserve">Given a divergence of views across New Zealand society on the optimal level of progressivity for the tax system, there will be significant numbers of people that both agree and disagree with the </w:t>
            </w:r>
            <w:r w:rsidR="00B3425C" w:rsidRPr="009E259B">
              <w:rPr>
                <w:lang w:eastAsia="en-AU"/>
              </w:rPr>
              <w:t>recommendation</w:t>
            </w:r>
            <w:r w:rsidRPr="009E259B">
              <w:rPr>
                <w:lang w:eastAsia="en-AU"/>
              </w:rPr>
              <w:t xml:space="preserve"> of this Impact Statement. </w:t>
            </w:r>
            <w:r w:rsidR="00E44B25" w:rsidRPr="009E259B">
              <w:rPr>
                <w:lang w:eastAsia="en-AU"/>
              </w:rPr>
              <w:t>Some stakeholders will hold a more direct interest in the practicalities of a tax change, such as payroll software providers who will want enough time to make the requisite changes to their products.</w:t>
            </w:r>
            <w:r w:rsidR="00E44B25">
              <w:rPr>
                <w:lang w:eastAsia="en-AU"/>
              </w:rPr>
              <w:t xml:space="preserve"> </w:t>
            </w:r>
          </w:p>
          <w:p w14:paraId="5C879AE8" w14:textId="594E8C26" w:rsidR="00B6180B" w:rsidRDefault="00B6180B" w:rsidP="00E040AB">
            <w:pPr>
              <w:spacing w:after="0"/>
              <w:rPr>
                <w:lang w:eastAsia="en-AU"/>
              </w:rPr>
            </w:pPr>
          </w:p>
          <w:p w14:paraId="57464419" w14:textId="3A1EEE83" w:rsidR="0062657E" w:rsidRDefault="00B6180B" w:rsidP="00F04787">
            <w:pPr>
              <w:spacing w:after="0"/>
              <w:rPr>
                <w:lang w:eastAsia="en-AU"/>
              </w:rPr>
            </w:pPr>
            <w:r>
              <w:rPr>
                <w:lang w:eastAsia="en-AU"/>
              </w:rPr>
              <w:t xml:space="preserve">Inland Revenue notes that </w:t>
            </w:r>
            <w:r w:rsidR="002F7DB4">
              <w:rPr>
                <w:lang w:eastAsia="en-AU"/>
              </w:rPr>
              <w:t xml:space="preserve">its recommendation of </w:t>
            </w:r>
            <w:r w:rsidR="002F7DB4" w:rsidRPr="002F7DB4">
              <w:rPr>
                <w:b/>
                <w:bCs/>
                <w:lang w:eastAsia="en-AU"/>
              </w:rPr>
              <w:t>Option 5</w:t>
            </w:r>
            <w:r w:rsidR="002F7DB4">
              <w:rPr>
                <w:lang w:eastAsia="en-AU"/>
              </w:rPr>
              <w:t xml:space="preserve"> </w:t>
            </w:r>
            <w:r w:rsidR="0081513C">
              <w:rPr>
                <w:lang w:eastAsia="en-AU"/>
              </w:rPr>
              <w:t>is one of the options that it expects the Government to seriously consider.</w:t>
            </w:r>
          </w:p>
          <w:p w14:paraId="35DBBB4D" w14:textId="2A3F3E50" w:rsidR="00B65741" w:rsidRPr="00B65741" w:rsidRDefault="00B65741" w:rsidP="00F04787">
            <w:pPr>
              <w:spacing w:after="0"/>
              <w:rPr>
                <w:lang w:eastAsia="en-AU"/>
              </w:rPr>
            </w:pPr>
          </w:p>
        </w:tc>
      </w:tr>
    </w:tbl>
    <w:p w14:paraId="776668DD" w14:textId="77777777" w:rsidR="007958EF" w:rsidRDefault="007958EF"/>
    <w:tbl>
      <w:tblPr>
        <w:tblW w:w="9060"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9060"/>
      </w:tblGrid>
      <w:tr w:rsidR="0049467D" w:rsidRPr="0049467D" w14:paraId="1F9490BE" w14:textId="77777777" w:rsidTr="007958EF">
        <w:trPr>
          <w:trHeight w:val="141"/>
        </w:trPr>
        <w:tc>
          <w:tcPr>
            <w:tcW w:w="9060" w:type="dxa"/>
            <w:shd w:val="clear" w:color="auto" w:fill="99CDDD"/>
            <w:hideMark/>
          </w:tcPr>
          <w:p w14:paraId="0A23EF00" w14:textId="561CF5B4" w:rsidR="0062657E" w:rsidRPr="0049467D" w:rsidRDefault="002428A4" w:rsidP="002428A4">
            <w:pPr>
              <w:keepNext/>
              <w:keepLines/>
              <w:spacing w:before="60" w:after="60" w:line="240" w:lineRule="auto"/>
              <w:rPr>
                <w:rFonts w:cs="Arial"/>
                <w:b/>
                <w:szCs w:val="22"/>
                <w:lang w:eastAsia="en-AU"/>
              </w:rPr>
            </w:pPr>
            <w:r>
              <w:br w:type="page"/>
            </w:r>
            <w:r w:rsidR="00F05AD9">
              <w:rPr>
                <w:rFonts w:cs="Arial"/>
                <w:b/>
                <w:szCs w:val="22"/>
                <w:lang w:eastAsia="en-AU"/>
              </w:rPr>
              <w:t xml:space="preserve">5.2   </w:t>
            </w:r>
            <w:r w:rsidR="0062657E" w:rsidRPr="0049467D">
              <w:rPr>
                <w:rFonts w:cs="Arial"/>
                <w:b/>
                <w:szCs w:val="22"/>
                <w:lang w:eastAsia="en-AU"/>
              </w:rPr>
              <w:t>Summary table of costs and benefits of the preferred approach</w:t>
            </w:r>
            <w:r w:rsidR="002C438F">
              <w:rPr>
                <w:rFonts w:cs="Arial"/>
                <w:b/>
                <w:szCs w:val="22"/>
                <w:lang w:eastAsia="en-AU"/>
              </w:rPr>
              <w:t xml:space="preserve"> (Option 5)</w:t>
            </w:r>
          </w:p>
        </w:tc>
      </w:tr>
    </w:tbl>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0"/>
        <w:gridCol w:w="3969"/>
        <w:gridCol w:w="1843"/>
        <w:gridCol w:w="1289"/>
      </w:tblGrid>
      <w:tr w:rsidR="0049467D" w:rsidRPr="0049467D" w14:paraId="1CEC7574" w14:textId="77777777" w:rsidTr="003275DF">
        <w:trPr>
          <w:trHeight w:val="732"/>
        </w:trPr>
        <w:tc>
          <w:tcPr>
            <w:tcW w:w="1980" w:type="dxa"/>
            <w:tcBorders>
              <w:top w:val="single" w:sz="4" w:space="0" w:color="DDDDDD"/>
              <w:left w:val="single" w:sz="4" w:space="0" w:color="DDDDDD"/>
              <w:bottom w:val="single" w:sz="4" w:space="0" w:color="DDDDDD"/>
              <w:right w:val="single" w:sz="4" w:space="0" w:color="DDDDDD"/>
            </w:tcBorders>
            <w:shd w:val="clear" w:color="auto" w:fill="99CDDD"/>
          </w:tcPr>
          <w:p w14:paraId="62141F52" w14:textId="79C0C7E4" w:rsidR="0062657E" w:rsidRPr="0049467D" w:rsidRDefault="0062657E" w:rsidP="002428A4">
            <w:pPr>
              <w:pStyle w:val="TableText"/>
              <w:autoSpaceDE/>
              <w:autoSpaceDN/>
              <w:adjustRightInd/>
              <w:spacing w:line="240" w:lineRule="auto"/>
              <w:rPr>
                <w:rFonts w:eastAsia="Calibri" w:cs="Arial"/>
                <w:sz w:val="22"/>
              </w:rPr>
            </w:pPr>
            <w:r w:rsidRPr="0049467D">
              <w:rPr>
                <w:rFonts w:eastAsia="Calibri" w:cs="Arial"/>
                <w:b/>
                <w:sz w:val="22"/>
              </w:rPr>
              <w:t>Affected parties</w:t>
            </w:r>
          </w:p>
        </w:tc>
        <w:tc>
          <w:tcPr>
            <w:tcW w:w="3969" w:type="dxa"/>
            <w:tcBorders>
              <w:top w:val="single" w:sz="4" w:space="0" w:color="DDDDDD"/>
              <w:left w:val="single" w:sz="4" w:space="0" w:color="DDDDDD"/>
              <w:bottom w:val="single" w:sz="4" w:space="0" w:color="DDDDDD"/>
              <w:right w:val="single" w:sz="4" w:space="0" w:color="DDDDDD"/>
            </w:tcBorders>
            <w:shd w:val="clear" w:color="auto" w:fill="99CDDD"/>
          </w:tcPr>
          <w:p w14:paraId="390265E1" w14:textId="75C95C9A" w:rsidR="0062657E" w:rsidRPr="0049467D" w:rsidRDefault="0062657E" w:rsidP="00431CA7">
            <w:pPr>
              <w:pStyle w:val="TableText"/>
              <w:autoSpaceDE/>
              <w:autoSpaceDN/>
              <w:adjustRightInd/>
              <w:spacing w:line="240" w:lineRule="auto"/>
              <w:rPr>
                <w:rFonts w:eastAsia="Calibri" w:cs="Arial"/>
                <w:sz w:val="22"/>
              </w:rPr>
            </w:pPr>
            <w:r w:rsidRPr="0049467D">
              <w:rPr>
                <w:rFonts w:eastAsia="Calibri" w:cs="Arial"/>
                <w:b/>
                <w:sz w:val="22"/>
              </w:rPr>
              <w:t>Comment</w:t>
            </w:r>
          </w:p>
        </w:tc>
        <w:tc>
          <w:tcPr>
            <w:tcW w:w="1843" w:type="dxa"/>
            <w:tcBorders>
              <w:top w:val="single" w:sz="4" w:space="0" w:color="DDDDDD"/>
              <w:left w:val="single" w:sz="4" w:space="0" w:color="DDDDDD"/>
              <w:bottom w:val="single" w:sz="4" w:space="0" w:color="DDDDDD"/>
              <w:right w:val="single" w:sz="4" w:space="0" w:color="DDDDDD"/>
            </w:tcBorders>
            <w:shd w:val="clear" w:color="auto" w:fill="99CDDD"/>
          </w:tcPr>
          <w:p w14:paraId="2C0B4174" w14:textId="77777777" w:rsidR="0062657E" w:rsidRPr="0049467D" w:rsidRDefault="0062657E" w:rsidP="002428A4">
            <w:pPr>
              <w:pStyle w:val="TableText"/>
              <w:autoSpaceDE/>
              <w:autoSpaceDN/>
              <w:adjustRightInd/>
              <w:spacing w:line="240" w:lineRule="auto"/>
              <w:rPr>
                <w:rFonts w:eastAsia="Calibri" w:cs="Arial"/>
                <w:b/>
                <w:sz w:val="22"/>
              </w:rPr>
            </w:pPr>
            <w:r w:rsidRPr="0049467D">
              <w:rPr>
                <w:rFonts w:eastAsia="Calibri" w:cs="Arial"/>
                <w:b/>
                <w:sz w:val="22"/>
              </w:rPr>
              <w:t>Impact</w:t>
            </w:r>
          </w:p>
          <w:p w14:paraId="46DADB61" w14:textId="63785D3F" w:rsidR="0062657E" w:rsidRPr="0049467D" w:rsidRDefault="0062657E" w:rsidP="002428A4">
            <w:pPr>
              <w:pStyle w:val="TableText"/>
              <w:autoSpaceDE/>
              <w:autoSpaceDN/>
              <w:adjustRightInd/>
              <w:spacing w:line="240" w:lineRule="auto"/>
              <w:rPr>
                <w:rFonts w:eastAsia="Calibri" w:cs="Arial"/>
                <w:i/>
                <w:sz w:val="22"/>
              </w:rPr>
            </w:pPr>
          </w:p>
        </w:tc>
        <w:tc>
          <w:tcPr>
            <w:tcW w:w="1289" w:type="dxa"/>
            <w:tcBorders>
              <w:top w:val="single" w:sz="4" w:space="0" w:color="DDDDDD"/>
              <w:left w:val="single" w:sz="4" w:space="0" w:color="DDDDDD"/>
              <w:bottom w:val="single" w:sz="4" w:space="0" w:color="DDDDDD"/>
              <w:right w:val="single" w:sz="4" w:space="0" w:color="DDDDDD"/>
            </w:tcBorders>
            <w:shd w:val="clear" w:color="auto" w:fill="99CDDD"/>
          </w:tcPr>
          <w:p w14:paraId="551EE2B7" w14:textId="7B5DA52E" w:rsidR="0062657E" w:rsidRPr="0049467D" w:rsidRDefault="0062657E" w:rsidP="002428A4">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p>
        </w:tc>
      </w:tr>
      <w:tr w:rsidR="0049467D" w:rsidRPr="0049467D" w14:paraId="7F475C6C" w14:textId="77777777" w:rsidTr="00346B30">
        <w:trPr>
          <w:trHeight w:val="253"/>
        </w:trPr>
        <w:tc>
          <w:tcPr>
            <w:tcW w:w="9081" w:type="dxa"/>
            <w:gridSpan w:val="4"/>
            <w:tcBorders>
              <w:top w:val="single" w:sz="4" w:space="0" w:color="DDDDDD"/>
              <w:left w:val="nil"/>
              <w:bottom w:val="single" w:sz="4" w:space="0" w:color="DDDDDD"/>
              <w:right w:val="nil"/>
            </w:tcBorders>
          </w:tcPr>
          <w:p w14:paraId="366296FE" w14:textId="77777777" w:rsidR="0062657E" w:rsidRPr="00093CBE" w:rsidRDefault="0062657E" w:rsidP="002428A4">
            <w:pPr>
              <w:pStyle w:val="spacer"/>
              <w:keepNext/>
              <w:rPr>
                <w:rFonts w:eastAsia="Calibri"/>
                <w:sz w:val="22"/>
              </w:rPr>
            </w:pPr>
          </w:p>
        </w:tc>
      </w:tr>
      <w:tr w:rsidR="0049467D" w:rsidRPr="0049467D" w14:paraId="087D2DDA" w14:textId="77777777" w:rsidTr="00346B30">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6FB18661" w14:textId="3408F7CB" w:rsidR="0062657E" w:rsidRPr="0049467D" w:rsidRDefault="0062657E" w:rsidP="002428A4">
            <w:pPr>
              <w:keepNext/>
              <w:spacing w:before="40" w:after="20" w:line="276" w:lineRule="auto"/>
              <w:rPr>
                <w:rFonts w:eastAsia="Calibri" w:cs="Arial"/>
                <w:b/>
                <w:szCs w:val="22"/>
              </w:rPr>
            </w:pPr>
            <w:r w:rsidRPr="0049467D">
              <w:rPr>
                <w:rFonts w:eastAsia="Calibri" w:cs="Arial"/>
                <w:b/>
                <w:szCs w:val="22"/>
              </w:rPr>
              <w:t>Additional costs of proposed approach compared to taking no action</w:t>
            </w:r>
          </w:p>
        </w:tc>
      </w:tr>
      <w:tr w:rsidR="00DB6E2A" w:rsidRPr="0049467D" w14:paraId="1B28B199"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04D932E1"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Regulated parties:</w:t>
            </w:r>
          </w:p>
          <w:p w14:paraId="1B818914"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Taxpayers</w:t>
            </w:r>
            <w:r>
              <w:rPr>
                <w:rFonts w:eastAsia="Calibri" w:cs="Arial"/>
                <w:sz w:val="22"/>
              </w:rPr>
              <w:t xml:space="preserve"> earning over $180,000 and trustees</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5374859A" w14:textId="4665A0D9" w:rsidR="00DB6E2A" w:rsidRPr="0049467D" w:rsidRDefault="00DB6E2A" w:rsidP="001230AD">
            <w:pPr>
              <w:pStyle w:val="TableText"/>
              <w:keepNext/>
              <w:spacing w:before="0" w:after="0" w:line="276" w:lineRule="auto"/>
              <w:rPr>
                <w:rFonts w:eastAsia="Calibri" w:cs="Arial"/>
                <w:sz w:val="22"/>
              </w:rPr>
            </w:pPr>
            <w:r>
              <w:rPr>
                <w:rFonts w:eastAsia="Calibri" w:cs="Arial"/>
                <w:sz w:val="22"/>
              </w:rPr>
              <w:t xml:space="preserve">Trustees, and individual taxpayers earning more than $180,000, will be taxed at 39 percent on that income. </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38364DC5" w14:textId="77777777" w:rsidR="00DB6E2A" w:rsidRDefault="00DB6E2A" w:rsidP="001230AD">
            <w:pPr>
              <w:pStyle w:val="TableText"/>
              <w:keepNext/>
              <w:spacing w:before="0" w:after="0" w:line="276" w:lineRule="auto"/>
              <w:rPr>
                <w:rFonts w:eastAsia="Calibri" w:cs="Arial"/>
                <w:sz w:val="22"/>
              </w:rPr>
            </w:pPr>
            <w:r w:rsidRPr="003E1EB6">
              <w:rPr>
                <w:rFonts w:eastAsia="Calibri" w:cs="Arial"/>
                <w:sz w:val="22"/>
              </w:rPr>
              <w:t>$</w:t>
            </w:r>
            <w:r>
              <w:rPr>
                <w:rFonts w:eastAsia="Calibri" w:cs="Arial"/>
                <w:sz w:val="22"/>
              </w:rPr>
              <w:t xml:space="preserve">3.7 </w:t>
            </w:r>
            <w:r w:rsidRPr="003E1EB6">
              <w:rPr>
                <w:rFonts w:eastAsia="Calibri" w:cs="Arial"/>
                <w:sz w:val="22"/>
              </w:rPr>
              <w:t>billion</w:t>
            </w:r>
            <w:r>
              <w:rPr>
                <w:rFonts w:eastAsia="Calibri" w:cs="Arial"/>
                <w:sz w:val="22"/>
              </w:rPr>
              <w:t xml:space="preserve"> over the forecast period</w:t>
            </w:r>
            <w:r>
              <w:rPr>
                <w:rStyle w:val="FootnoteReference"/>
                <w:rFonts w:eastAsia="Calibri" w:cs="Arial"/>
                <w:b/>
              </w:rPr>
              <w:footnoteReference w:id="19"/>
            </w:r>
          </w:p>
          <w:p w14:paraId="16525CD4" w14:textId="77777777" w:rsidR="00DB6E2A" w:rsidRDefault="00DB6E2A" w:rsidP="001230AD">
            <w:pPr>
              <w:pStyle w:val="TableText"/>
              <w:keepNext/>
              <w:spacing w:before="0" w:after="0" w:line="276" w:lineRule="auto"/>
              <w:rPr>
                <w:rFonts w:eastAsia="Calibri" w:cs="Arial"/>
                <w:sz w:val="22"/>
              </w:rPr>
            </w:pPr>
          </w:p>
          <w:p w14:paraId="70BFF7D2" w14:textId="014EA0F3" w:rsidR="00DB6E2A" w:rsidRPr="0049467D" w:rsidRDefault="00DB6E2A" w:rsidP="001230AD">
            <w:pPr>
              <w:pStyle w:val="TableText"/>
              <w:keepNext/>
              <w:spacing w:before="0" w:after="0" w:line="276" w:lineRule="auto"/>
              <w:rPr>
                <w:rFonts w:eastAsia="Calibri" w:cs="Arial"/>
                <w:sz w:val="22"/>
              </w:rPr>
            </w:pPr>
            <w:r>
              <w:rPr>
                <w:rFonts w:eastAsia="Calibri" w:cs="Arial"/>
                <w:sz w:val="22"/>
              </w:rPr>
              <w:t xml:space="preserve">Refer to </w:t>
            </w:r>
            <w:r w:rsidR="004B5EF0" w:rsidRPr="00DA3EAD">
              <w:rPr>
                <w:rFonts w:eastAsia="Calibri" w:cs="Arial"/>
                <w:b/>
                <w:bCs/>
                <w:sz w:val="22"/>
              </w:rPr>
              <w:t>T</w:t>
            </w:r>
            <w:r w:rsidRPr="00DA3EAD">
              <w:rPr>
                <w:rFonts w:eastAsia="Calibri" w:cs="Arial"/>
                <w:b/>
                <w:bCs/>
                <w:sz w:val="22"/>
              </w:rPr>
              <w:t>able 3</w:t>
            </w:r>
            <w:r>
              <w:rPr>
                <w:rFonts w:eastAsia="Calibri" w:cs="Arial"/>
                <w:sz w:val="22"/>
              </w:rPr>
              <w:t xml:space="preserve"> for breakdown of income distribution of individuals earning above $180,000. </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F932615"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Medium</w:t>
            </w:r>
          </w:p>
        </w:tc>
      </w:tr>
      <w:tr w:rsidR="00DB6E2A" w14:paraId="3D681BAF"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0331F661"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Regulated parties:</w:t>
            </w:r>
          </w:p>
          <w:p w14:paraId="2EC598C4"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Taxpayers</w:t>
            </w:r>
            <w:r>
              <w:rPr>
                <w:rFonts w:eastAsia="Calibri" w:cs="Arial"/>
                <w:sz w:val="22"/>
              </w:rPr>
              <w:t xml:space="preserve"> earning under $180,000</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6D827384" w14:textId="77777777" w:rsidR="00DB6E2A" w:rsidRDefault="00DB6E2A" w:rsidP="001230AD">
            <w:pPr>
              <w:pStyle w:val="TableText"/>
              <w:keepNext/>
              <w:spacing w:before="0" w:after="0" w:line="276" w:lineRule="auto"/>
              <w:rPr>
                <w:rFonts w:eastAsia="Calibri" w:cs="Arial"/>
                <w:sz w:val="22"/>
              </w:rPr>
            </w:pPr>
            <w:r>
              <w:rPr>
                <w:rFonts w:eastAsia="Calibri" w:cs="Arial"/>
                <w:sz w:val="22"/>
              </w:rPr>
              <w:t>N/A</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40967767" w14:textId="77777777" w:rsidR="00DB6E2A" w:rsidRDefault="00DB6E2A" w:rsidP="001230AD">
            <w:pPr>
              <w:pStyle w:val="TableText"/>
              <w:keepNext/>
              <w:spacing w:before="0" w:after="0" w:line="276" w:lineRule="auto"/>
              <w:rPr>
                <w:rFonts w:eastAsia="Calibri" w:cs="Arial"/>
                <w:sz w:val="22"/>
              </w:rPr>
            </w:pP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676F8C59" w14:textId="77777777" w:rsidR="00DB6E2A" w:rsidRDefault="00DB6E2A" w:rsidP="001230AD">
            <w:pPr>
              <w:pStyle w:val="TableText"/>
              <w:keepNext/>
              <w:spacing w:before="0" w:after="0" w:line="276" w:lineRule="auto"/>
              <w:rPr>
                <w:rFonts w:eastAsia="Calibri" w:cs="Arial"/>
                <w:sz w:val="22"/>
              </w:rPr>
            </w:pPr>
          </w:p>
        </w:tc>
      </w:tr>
      <w:tr w:rsidR="00DB6E2A" w14:paraId="5FB172D8"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5DFACAE2" w14:textId="77777777" w:rsidR="00DB6E2A" w:rsidRPr="002868AE" w:rsidRDefault="00DB6E2A" w:rsidP="001230AD">
            <w:pPr>
              <w:pStyle w:val="TableText"/>
              <w:keepNext/>
              <w:spacing w:before="0" w:after="0" w:line="276" w:lineRule="auto"/>
              <w:rPr>
                <w:rFonts w:eastAsia="Calibri" w:cs="Arial"/>
                <w:sz w:val="22"/>
              </w:rPr>
            </w:pPr>
            <w:r>
              <w:rPr>
                <w:rFonts w:eastAsia="Calibri" w:cs="Arial"/>
                <w:sz w:val="22"/>
              </w:rPr>
              <w:t>Regulated parties: Trustees and beneficiaries</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36BA1814" w14:textId="77777777" w:rsidR="00DB6E2A" w:rsidRDefault="00DB6E2A" w:rsidP="001230AD">
            <w:pPr>
              <w:pStyle w:val="TableText"/>
              <w:keepNext/>
              <w:spacing w:before="0" w:after="0" w:line="276" w:lineRule="auto"/>
              <w:rPr>
                <w:rFonts w:eastAsia="Calibri" w:cs="Arial"/>
                <w:sz w:val="22"/>
              </w:rPr>
            </w:pPr>
            <w:r>
              <w:rPr>
                <w:rFonts w:eastAsia="Calibri" w:cs="Arial"/>
                <w:sz w:val="22"/>
              </w:rPr>
              <w:t>As part of integrity measures, the Commissioner of Inland Revenue will collect more information on trust assets, liabilities, and distributions. This will impose compliance costs on trustees. Inland Revenue receives approximately 245,000 income tax returns from trustees per year.</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1C3A833F" w14:textId="77777777" w:rsidR="00DB6E2A" w:rsidRDefault="00DB6E2A" w:rsidP="001230AD">
            <w:pPr>
              <w:pStyle w:val="TableText"/>
              <w:keepNext/>
              <w:spacing w:before="0" w:after="0" w:line="276" w:lineRule="auto"/>
              <w:rPr>
                <w:rFonts w:eastAsia="Calibri" w:cs="Arial"/>
                <w:sz w:val="22"/>
              </w:rPr>
            </w:pPr>
            <w:r>
              <w:rPr>
                <w:rFonts w:eastAsia="Calibri" w:cs="Arial"/>
                <w:sz w:val="22"/>
              </w:rPr>
              <w:t>Medium</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7879474E" w14:textId="77777777" w:rsidR="00DB6E2A" w:rsidRDefault="00DB6E2A" w:rsidP="001230AD">
            <w:pPr>
              <w:pStyle w:val="TableText"/>
              <w:keepNext/>
              <w:spacing w:before="0" w:after="0" w:line="276" w:lineRule="auto"/>
              <w:rPr>
                <w:rFonts w:eastAsia="Calibri" w:cs="Arial"/>
                <w:sz w:val="22"/>
              </w:rPr>
            </w:pPr>
            <w:r>
              <w:rPr>
                <w:rFonts w:eastAsia="Calibri" w:cs="Arial"/>
                <w:sz w:val="22"/>
              </w:rPr>
              <w:t>Medium</w:t>
            </w:r>
          </w:p>
        </w:tc>
      </w:tr>
      <w:tr w:rsidR="00DB6E2A" w:rsidRPr="0049467D" w14:paraId="623969B6"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358FBDE2"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Regulators:</w:t>
            </w:r>
          </w:p>
          <w:p w14:paraId="667452C7"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Inland Revenue</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179887AB"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Further policy development required to progress the integrity measures. There is also likely to be increased work associated with enforcing those measures.</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519969C3"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Medium</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57B31FD"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Medium</w:t>
            </w:r>
          </w:p>
        </w:tc>
      </w:tr>
      <w:tr w:rsidR="00DB6E2A" w:rsidRPr="0049467D" w14:paraId="5D55CC7F"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4F994ACD" w14:textId="77777777" w:rsidR="00DB6E2A" w:rsidRPr="002868AE" w:rsidRDefault="00DB6E2A" w:rsidP="001230AD">
            <w:pPr>
              <w:pStyle w:val="TableText"/>
              <w:keepNext/>
              <w:spacing w:before="0" w:after="0" w:line="276" w:lineRule="auto"/>
              <w:rPr>
                <w:rFonts w:eastAsia="Calibri" w:cs="Arial"/>
                <w:sz w:val="22"/>
              </w:rPr>
            </w:pPr>
            <w:r w:rsidRPr="002868AE">
              <w:rPr>
                <w:rFonts w:eastAsia="Calibri" w:cs="Arial"/>
                <w:sz w:val="22"/>
              </w:rPr>
              <w:t>Wider Government</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46D77297"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N/A</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5253D5B5" w14:textId="77777777" w:rsidR="00DB6E2A" w:rsidRPr="0049467D" w:rsidRDefault="00DB6E2A" w:rsidP="001230AD">
            <w:pPr>
              <w:pStyle w:val="TableText"/>
              <w:keepNext/>
              <w:spacing w:before="0" w:after="0" w:line="276" w:lineRule="auto"/>
              <w:rPr>
                <w:rFonts w:eastAsia="Calibri" w:cs="Arial"/>
                <w:sz w:val="22"/>
              </w:rPr>
            </w:pP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753A6C33" w14:textId="77777777" w:rsidR="00DB6E2A" w:rsidRPr="0049467D" w:rsidRDefault="00DB6E2A" w:rsidP="001230AD">
            <w:pPr>
              <w:pStyle w:val="TableText"/>
              <w:keepNext/>
              <w:spacing w:before="0" w:after="0" w:line="276" w:lineRule="auto"/>
              <w:rPr>
                <w:rFonts w:eastAsia="Calibri" w:cs="Arial"/>
                <w:sz w:val="22"/>
              </w:rPr>
            </w:pPr>
          </w:p>
        </w:tc>
      </w:tr>
      <w:tr w:rsidR="00DB6E2A" w:rsidRPr="0049467D" w14:paraId="4D7883B6"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3F931A99" w14:textId="77777777" w:rsidR="00DB6E2A" w:rsidRDefault="00DB6E2A" w:rsidP="001230AD">
            <w:pPr>
              <w:pStyle w:val="TableText"/>
              <w:keepNext/>
              <w:spacing w:before="0" w:after="0" w:line="276" w:lineRule="auto"/>
              <w:rPr>
                <w:rFonts w:eastAsia="Calibri" w:cs="Arial"/>
                <w:sz w:val="22"/>
              </w:rPr>
            </w:pPr>
            <w:r w:rsidRPr="002868AE">
              <w:rPr>
                <w:rFonts w:eastAsia="Calibri" w:cs="Arial"/>
                <w:sz w:val="22"/>
              </w:rPr>
              <w:t>Other parties</w:t>
            </w:r>
            <w:r>
              <w:rPr>
                <w:rFonts w:eastAsia="Calibri" w:cs="Arial"/>
                <w:sz w:val="22"/>
              </w:rPr>
              <w:t>:</w:t>
            </w:r>
          </w:p>
          <w:p w14:paraId="09704018" w14:textId="50585F19" w:rsidR="00DB6E2A" w:rsidRPr="002868AE" w:rsidRDefault="00DB6E2A" w:rsidP="001230AD">
            <w:pPr>
              <w:pStyle w:val="TableText"/>
              <w:keepNext/>
              <w:spacing w:before="0" w:after="0" w:line="276" w:lineRule="auto"/>
              <w:rPr>
                <w:rFonts w:eastAsia="Calibri" w:cs="Arial"/>
                <w:sz w:val="22"/>
              </w:rPr>
            </w:pPr>
            <w:r>
              <w:rPr>
                <w:rFonts w:eastAsia="Calibri" w:cs="Arial"/>
                <w:sz w:val="22"/>
              </w:rPr>
              <w:t>Payroll software providers and related parties</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32578A66" w14:textId="738A42F1" w:rsidR="00DB6E2A" w:rsidRPr="0049467D" w:rsidRDefault="00DB6E2A" w:rsidP="001230AD">
            <w:pPr>
              <w:pStyle w:val="TableText"/>
              <w:keepNext/>
              <w:spacing w:before="0" w:after="0" w:line="276" w:lineRule="auto"/>
              <w:rPr>
                <w:rFonts w:eastAsia="Calibri" w:cs="Arial"/>
                <w:sz w:val="22"/>
              </w:rPr>
            </w:pPr>
            <w:r>
              <w:rPr>
                <w:rFonts w:eastAsia="Calibri" w:cs="Arial"/>
                <w:sz w:val="22"/>
              </w:rPr>
              <w:t xml:space="preserve">Any person who is required to make technical/software changes to accommodate the introduction of a new top personal tax rate will face </w:t>
            </w:r>
            <w:r w:rsidR="00D67166">
              <w:rPr>
                <w:rFonts w:eastAsia="Calibri" w:cs="Arial"/>
                <w:sz w:val="22"/>
              </w:rPr>
              <w:t xml:space="preserve">some </w:t>
            </w:r>
            <w:r>
              <w:rPr>
                <w:rFonts w:eastAsia="Calibri" w:cs="Arial"/>
                <w:sz w:val="22"/>
              </w:rPr>
              <w:t xml:space="preserve">administrative costs. </w:t>
            </w: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63652EF0"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Low</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3BC69CC2" w14:textId="77777777" w:rsidR="00DB6E2A" w:rsidRPr="0049467D" w:rsidRDefault="00DB6E2A" w:rsidP="001230AD">
            <w:pPr>
              <w:pStyle w:val="TableText"/>
              <w:keepNext/>
              <w:spacing w:before="0" w:after="0" w:line="276" w:lineRule="auto"/>
              <w:rPr>
                <w:rFonts w:eastAsia="Calibri" w:cs="Arial"/>
                <w:sz w:val="22"/>
              </w:rPr>
            </w:pPr>
            <w:r>
              <w:rPr>
                <w:rFonts w:eastAsia="Calibri" w:cs="Arial"/>
                <w:sz w:val="22"/>
              </w:rPr>
              <w:t>Medium</w:t>
            </w:r>
          </w:p>
        </w:tc>
      </w:tr>
      <w:tr w:rsidR="00DB6E2A" w:rsidRPr="003E7556" w14:paraId="78137497"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2361B0AA" w14:textId="77777777" w:rsidR="00DB6E2A" w:rsidRPr="003E7556" w:rsidRDefault="00DB6E2A" w:rsidP="001230AD">
            <w:pPr>
              <w:pStyle w:val="TableText"/>
              <w:keepNext/>
              <w:spacing w:before="0" w:after="0" w:line="276" w:lineRule="auto"/>
              <w:rPr>
                <w:rFonts w:eastAsia="Calibri" w:cs="Arial"/>
                <w:b/>
                <w:sz w:val="22"/>
              </w:rPr>
            </w:pPr>
            <w:r w:rsidRPr="003E7556">
              <w:rPr>
                <w:rFonts w:eastAsia="Calibri" w:cs="Arial"/>
                <w:b/>
                <w:sz w:val="22"/>
              </w:rPr>
              <w:t xml:space="preserve">Total </w:t>
            </w:r>
            <w:r>
              <w:rPr>
                <w:rFonts w:eastAsia="Calibri" w:cs="Arial"/>
                <w:b/>
                <w:sz w:val="22"/>
              </w:rPr>
              <w:t>m</w:t>
            </w:r>
            <w:r w:rsidRPr="003E7556">
              <w:rPr>
                <w:rFonts w:eastAsia="Calibri" w:cs="Arial"/>
                <w:b/>
                <w:sz w:val="22"/>
              </w:rPr>
              <w:t xml:space="preserve">onetised </w:t>
            </w:r>
            <w:r>
              <w:rPr>
                <w:rFonts w:eastAsia="Calibri" w:cs="Arial"/>
                <w:b/>
                <w:sz w:val="22"/>
              </w:rPr>
              <w:t>c</w:t>
            </w:r>
            <w:r w:rsidRPr="003E7556">
              <w:rPr>
                <w:rFonts w:eastAsia="Calibri" w:cs="Arial"/>
                <w:b/>
                <w:sz w:val="22"/>
              </w:rPr>
              <w:t>ost</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75C33189" w14:textId="77777777" w:rsidR="00DB6E2A" w:rsidRPr="003E7556" w:rsidRDefault="00DB6E2A" w:rsidP="001230AD">
            <w:pPr>
              <w:pStyle w:val="TableText"/>
              <w:keepNext/>
              <w:spacing w:before="0" w:after="0" w:line="276" w:lineRule="auto"/>
              <w:rPr>
                <w:rFonts w:eastAsia="Calibri" w:cs="Arial"/>
                <w:b/>
                <w:sz w:val="22"/>
              </w:rPr>
            </w:pP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5C50556C" w14:textId="77777777" w:rsidR="00DB6E2A" w:rsidRPr="003E7556" w:rsidRDefault="00DB6E2A" w:rsidP="001230AD">
            <w:pPr>
              <w:pStyle w:val="TableText"/>
              <w:keepNext/>
              <w:spacing w:before="0" w:after="0" w:line="276" w:lineRule="auto"/>
              <w:rPr>
                <w:rFonts w:eastAsia="Calibri" w:cs="Arial"/>
                <w:b/>
                <w:sz w:val="22"/>
              </w:rPr>
            </w:pPr>
            <w:r>
              <w:rPr>
                <w:rFonts w:eastAsia="Calibri" w:cs="Arial"/>
                <w:b/>
                <w:sz w:val="22"/>
              </w:rPr>
              <w:t>$3.7 billion over the forecast period</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10E9E56E" w14:textId="77777777" w:rsidR="00DB6E2A" w:rsidRPr="003E7556" w:rsidRDefault="00DB6E2A" w:rsidP="001230AD">
            <w:pPr>
              <w:pStyle w:val="TableText"/>
              <w:keepNext/>
              <w:spacing w:before="0" w:after="0" w:line="276" w:lineRule="auto"/>
              <w:rPr>
                <w:rFonts w:eastAsia="Calibri" w:cs="Arial"/>
                <w:b/>
                <w:sz w:val="22"/>
              </w:rPr>
            </w:pPr>
            <w:r>
              <w:rPr>
                <w:rFonts w:eastAsia="Calibri" w:cs="Arial"/>
                <w:b/>
                <w:sz w:val="22"/>
              </w:rPr>
              <w:t>Low</w:t>
            </w:r>
          </w:p>
        </w:tc>
      </w:tr>
      <w:tr w:rsidR="00DB6E2A" w:rsidRPr="003E7556" w14:paraId="5504DA78" w14:textId="77777777" w:rsidTr="003275DF">
        <w:trPr>
          <w:trHeight w:val="253"/>
        </w:trPr>
        <w:tc>
          <w:tcPr>
            <w:tcW w:w="1980" w:type="dxa"/>
            <w:tcBorders>
              <w:top w:val="single" w:sz="4" w:space="0" w:color="DDDDDD"/>
              <w:left w:val="single" w:sz="4" w:space="0" w:color="DDDDDD"/>
              <w:bottom w:val="single" w:sz="4" w:space="0" w:color="DDDDDD"/>
              <w:right w:val="single" w:sz="4" w:space="0" w:color="DDDDDD"/>
            </w:tcBorders>
            <w:shd w:val="clear" w:color="auto" w:fill="auto"/>
          </w:tcPr>
          <w:p w14:paraId="1D6CB793" w14:textId="77777777" w:rsidR="00DB6E2A" w:rsidRPr="003E7556" w:rsidRDefault="00DB6E2A" w:rsidP="001230AD">
            <w:pPr>
              <w:pStyle w:val="TableText"/>
              <w:keepNext/>
              <w:spacing w:before="0" w:after="0" w:line="276" w:lineRule="auto"/>
              <w:rPr>
                <w:rFonts w:eastAsia="Calibri" w:cs="Arial"/>
                <w:b/>
                <w:sz w:val="22"/>
              </w:rPr>
            </w:pPr>
            <w:r>
              <w:rPr>
                <w:rFonts w:eastAsia="Calibri" w:cs="Arial"/>
                <w:b/>
                <w:sz w:val="22"/>
              </w:rPr>
              <w:t>Total n</w:t>
            </w:r>
            <w:r w:rsidRPr="003E7556">
              <w:rPr>
                <w:rFonts w:eastAsia="Calibri" w:cs="Arial"/>
                <w:b/>
                <w:sz w:val="22"/>
              </w:rPr>
              <w:t xml:space="preserve">on-monetised cost </w:t>
            </w:r>
          </w:p>
        </w:tc>
        <w:tc>
          <w:tcPr>
            <w:tcW w:w="3969" w:type="dxa"/>
            <w:tcBorders>
              <w:top w:val="single" w:sz="4" w:space="0" w:color="DDDDDD"/>
              <w:left w:val="single" w:sz="4" w:space="0" w:color="DDDDDD"/>
              <w:bottom w:val="single" w:sz="4" w:space="0" w:color="DDDDDD"/>
              <w:right w:val="single" w:sz="4" w:space="0" w:color="DDDDDD"/>
            </w:tcBorders>
            <w:shd w:val="clear" w:color="auto" w:fill="auto"/>
          </w:tcPr>
          <w:p w14:paraId="6ECB3979" w14:textId="77777777" w:rsidR="00DB6E2A" w:rsidRPr="003E7556" w:rsidRDefault="00DB6E2A" w:rsidP="001230AD">
            <w:pPr>
              <w:pStyle w:val="TableText"/>
              <w:keepNext/>
              <w:spacing w:before="0" w:after="0" w:line="276" w:lineRule="auto"/>
              <w:rPr>
                <w:rFonts w:eastAsia="Calibri" w:cs="Arial"/>
                <w:b/>
                <w:sz w:val="22"/>
              </w:rPr>
            </w:pPr>
          </w:p>
        </w:tc>
        <w:tc>
          <w:tcPr>
            <w:tcW w:w="1843" w:type="dxa"/>
            <w:tcBorders>
              <w:top w:val="single" w:sz="4" w:space="0" w:color="DDDDDD"/>
              <w:left w:val="single" w:sz="4" w:space="0" w:color="DDDDDD"/>
              <w:bottom w:val="single" w:sz="4" w:space="0" w:color="DDDDDD"/>
              <w:right w:val="single" w:sz="4" w:space="0" w:color="DDDDDD"/>
            </w:tcBorders>
            <w:shd w:val="clear" w:color="auto" w:fill="auto"/>
          </w:tcPr>
          <w:p w14:paraId="0568C435" w14:textId="77777777" w:rsidR="00DB6E2A" w:rsidRPr="003E7556" w:rsidRDefault="00DB6E2A" w:rsidP="001230AD">
            <w:pPr>
              <w:pStyle w:val="TableText"/>
              <w:keepNext/>
              <w:spacing w:before="0" w:after="0" w:line="276" w:lineRule="auto"/>
              <w:rPr>
                <w:rFonts w:eastAsia="Calibri" w:cs="Arial"/>
                <w:b/>
                <w:sz w:val="22"/>
                <w:highlight w:val="yellow"/>
              </w:rPr>
            </w:pPr>
            <w:r w:rsidRPr="003E7556">
              <w:rPr>
                <w:rFonts w:eastAsia="Calibri" w:cs="Arial"/>
                <w:b/>
                <w:sz w:val="22"/>
              </w:rPr>
              <w:t>Medium</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1F3BD270" w14:textId="77777777" w:rsidR="00DB6E2A" w:rsidRPr="003E7556" w:rsidRDefault="00DB6E2A" w:rsidP="001230AD">
            <w:pPr>
              <w:pStyle w:val="TableText"/>
              <w:keepNext/>
              <w:spacing w:before="0" w:after="0" w:line="276" w:lineRule="auto"/>
              <w:rPr>
                <w:rFonts w:eastAsia="Calibri" w:cs="Arial"/>
                <w:b/>
                <w:sz w:val="22"/>
              </w:rPr>
            </w:pPr>
            <w:r>
              <w:rPr>
                <w:rFonts w:eastAsia="Calibri" w:cs="Arial"/>
                <w:b/>
                <w:sz w:val="22"/>
              </w:rPr>
              <w:t>Medium</w:t>
            </w:r>
          </w:p>
        </w:tc>
      </w:tr>
    </w:tbl>
    <w:p w14:paraId="6A96A3F9" w14:textId="77777777" w:rsidR="005E1EBF" w:rsidRPr="00093CBE" w:rsidRDefault="005E1EBF" w:rsidP="0049234F">
      <w:pPr>
        <w:pStyle w:val="spacer"/>
        <w:rPr>
          <w:sz w:val="22"/>
        </w:rPr>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980"/>
        <w:gridCol w:w="3969"/>
        <w:gridCol w:w="1737"/>
        <w:gridCol w:w="1395"/>
      </w:tblGrid>
      <w:tr w:rsidR="0049467D" w:rsidRPr="0049467D" w14:paraId="65DA5212" w14:textId="77777777" w:rsidTr="00346B30">
        <w:trPr>
          <w:trHeight w:val="253"/>
        </w:trPr>
        <w:tc>
          <w:tcPr>
            <w:tcW w:w="9081" w:type="dxa"/>
            <w:gridSpan w:val="4"/>
            <w:shd w:val="clear" w:color="auto" w:fill="99CDDD"/>
          </w:tcPr>
          <w:p w14:paraId="575B550A" w14:textId="0C76E2EA" w:rsidR="0062657E" w:rsidRPr="0049467D" w:rsidRDefault="0062657E" w:rsidP="00C31CD3">
            <w:pPr>
              <w:spacing w:after="0" w:line="276" w:lineRule="auto"/>
              <w:rPr>
                <w:rFonts w:eastAsia="Calibri" w:cs="Arial"/>
                <w:b/>
                <w:szCs w:val="22"/>
              </w:rPr>
            </w:pPr>
            <w:r w:rsidRPr="0049467D">
              <w:rPr>
                <w:rFonts w:eastAsia="Calibri" w:cs="Arial"/>
                <w:b/>
                <w:szCs w:val="22"/>
              </w:rPr>
              <w:t>Expected benefits of proposed approach compared to taking no action</w:t>
            </w:r>
          </w:p>
        </w:tc>
      </w:tr>
      <w:tr w:rsidR="000E5AE8" w:rsidRPr="0049467D" w14:paraId="7867468D" w14:textId="77777777" w:rsidTr="003275DF">
        <w:trPr>
          <w:trHeight w:val="253"/>
        </w:trPr>
        <w:tc>
          <w:tcPr>
            <w:tcW w:w="1980" w:type="dxa"/>
            <w:shd w:val="clear" w:color="auto" w:fill="auto"/>
          </w:tcPr>
          <w:p w14:paraId="6FEDC985" w14:textId="77777777" w:rsidR="000E5AE8" w:rsidRPr="002868AE" w:rsidRDefault="000E5AE8" w:rsidP="00C31CD3">
            <w:pPr>
              <w:pStyle w:val="TableText"/>
              <w:keepNext/>
              <w:spacing w:before="0" w:after="0" w:line="276" w:lineRule="auto"/>
              <w:rPr>
                <w:rFonts w:eastAsia="Calibri" w:cs="Arial"/>
                <w:sz w:val="22"/>
              </w:rPr>
            </w:pPr>
            <w:r w:rsidRPr="002868AE">
              <w:rPr>
                <w:rFonts w:eastAsia="Calibri" w:cs="Arial"/>
                <w:sz w:val="22"/>
              </w:rPr>
              <w:t>Regulated parties:</w:t>
            </w:r>
          </w:p>
          <w:p w14:paraId="038B7CE5" w14:textId="1058EC54" w:rsidR="000E5AE8" w:rsidRPr="0049467D" w:rsidRDefault="000E5AE8" w:rsidP="00C31CD3">
            <w:pPr>
              <w:pStyle w:val="TableText"/>
              <w:spacing w:before="0" w:after="0" w:line="276" w:lineRule="auto"/>
              <w:rPr>
                <w:rFonts w:eastAsia="Calibri" w:cs="Arial"/>
                <w:sz w:val="22"/>
              </w:rPr>
            </w:pPr>
            <w:r w:rsidRPr="002868AE">
              <w:rPr>
                <w:rFonts w:eastAsia="Calibri" w:cs="Arial"/>
                <w:sz w:val="22"/>
              </w:rPr>
              <w:t>Taxpayers</w:t>
            </w:r>
            <w:r>
              <w:rPr>
                <w:rFonts w:eastAsia="Calibri" w:cs="Arial"/>
                <w:sz w:val="22"/>
              </w:rPr>
              <w:t xml:space="preserve"> earning over $180,000</w:t>
            </w:r>
          </w:p>
        </w:tc>
        <w:tc>
          <w:tcPr>
            <w:tcW w:w="3969" w:type="dxa"/>
            <w:shd w:val="clear" w:color="auto" w:fill="auto"/>
          </w:tcPr>
          <w:p w14:paraId="19431670" w14:textId="71F2FBFF" w:rsidR="000E5AE8" w:rsidRPr="0049467D" w:rsidRDefault="00F86CB1" w:rsidP="00C31CD3">
            <w:pPr>
              <w:pStyle w:val="TableText"/>
              <w:spacing w:before="0" w:after="0" w:line="276" w:lineRule="auto"/>
              <w:rPr>
                <w:rFonts w:eastAsia="Calibri" w:cs="Arial"/>
                <w:sz w:val="22"/>
              </w:rPr>
            </w:pPr>
            <w:r>
              <w:rPr>
                <w:rFonts w:eastAsia="Calibri" w:cs="Arial"/>
                <w:sz w:val="22"/>
              </w:rPr>
              <w:t>N/A</w:t>
            </w:r>
          </w:p>
        </w:tc>
        <w:tc>
          <w:tcPr>
            <w:tcW w:w="1737" w:type="dxa"/>
            <w:shd w:val="clear" w:color="auto" w:fill="auto"/>
          </w:tcPr>
          <w:p w14:paraId="3DC097D6" w14:textId="252D0BAF" w:rsidR="000E5AE8" w:rsidRPr="0049467D" w:rsidRDefault="000E5AE8" w:rsidP="00C31CD3">
            <w:pPr>
              <w:pStyle w:val="TableText"/>
              <w:spacing w:before="0" w:after="0" w:line="276" w:lineRule="auto"/>
              <w:rPr>
                <w:rFonts w:eastAsia="Calibri" w:cs="Arial"/>
                <w:sz w:val="22"/>
              </w:rPr>
            </w:pPr>
          </w:p>
        </w:tc>
        <w:tc>
          <w:tcPr>
            <w:tcW w:w="1395" w:type="dxa"/>
            <w:shd w:val="clear" w:color="auto" w:fill="auto"/>
          </w:tcPr>
          <w:p w14:paraId="208DBBB8" w14:textId="14E2A147" w:rsidR="000E5AE8" w:rsidRPr="0049467D" w:rsidRDefault="000E5AE8" w:rsidP="00C31CD3">
            <w:pPr>
              <w:pStyle w:val="TableText"/>
              <w:spacing w:before="0" w:after="0" w:line="276" w:lineRule="auto"/>
              <w:rPr>
                <w:rFonts w:eastAsia="Calibri" w:cs="Arial"/>
                <w:sz w:val="22"/>
              </w:rPr>
            </w:pPr>
          </w:p>
        </w:tc>
      </w:tr>
      <w:tr w:rsidR="000E5AE8" w:rsidRPr="0049467D" w14:paraId="3BACA667" w14:textId="77777777" w:rsidTr="003275DF">
        <w:trPr>
          <w:trHeight w:val="253"/>
        </w:trPr>
        <w:tc>
          <w:tcPr>
            <w:tcW w:w="1980" w:type="dxa"/>
            <w:shd w:val="clear" w:color="auto" w:fill="auto"/>
          </w:tcPr>
          <w:p w14:paraId="464B1BAB" w14:textId="77777777" w:rsidR="000E5AE8" w:rsidRPr="002868AE" w:rsidRDefault="000E5AE8" w:rsidP="00C31CD3">
            <w:pPr>
              <w:pStyle w:val="TableText"/>
              <w:keepNext/>
              <w:spacing w:before="0" w:after="0" w:line="276" w:lineRule="auto"/>
              <w:rPr>
                <w:rFonts w:eastAsia="Calibri" w:cs="Arial"/>
                <w:sz w:val="22"/>
              </w:rPr>
            </w:pPr>
            <w:r w:rsidRPr="002868AE">
              <w:rPr>
                <w:rFonts w:eastAsia="Calibri" w:cs="Arial"/>
                <w:sz w:val="22"/>
              </w:rPr>
              <w:t>Regulated parties:</w:t>
            </w:r>
          </w:p>
          <w:p w14:paraId="2D0A7EB8" w14:textId="4A713B9F" w:rsidR="000E5AE8" w:rsidRPr="0049467D" w:rsidRDefault="000E5AE8" w:rsidP="00C31CD3">
            <w:pPr>
              <w:pStyle w:val="TableText"/>
              <w:spacing w:before="0" w:after="0" w:line="276" w:lineRule="auto"/>
              <w:rPr>
                <w:rFonts w:eastAsia="Calibri" w:cs="Arial"/>
                <w:sz w:val="22"/>
              </w:rPr>
            </w:pPr>
            <w:r w:rsidRPr="002868AE">
              <w:rPr>
                <w:rFonts w:eastAsia="Calibri" w:cs="Arial"/>
                <w:sz w:val="22"/>
              </w:rPr>
              <w:t>Taxpayers</w:t>
            </w:r>
            <w:r>
              <w:rPr>
                <w:rFonts w:eastAsia="Calibri" w:cs="Arial"/>
                <w:sz w:val="22"/>
              </w:rPr>
              <w:t xml:space="preserve"> earning under $180,000</w:t>
            </w:r>
          </w:p>
        </w:tc>
        <w:tc>
          <w:tcPr>
            <w:tcW w:w="3969" w:type="dxa"/>
            <w:shd w:val="clear" w:color="auto" w:fill="auto"/>
          </w:tcPr>
          <w:p w14:paraId="06AC171D" w14:textId="18594319" w:rsidR="000E5AE8" w:rsidRPr="0049467D" w:rsidRDefault="00BC7FBE" w:rsidP="00C31CD3">
            <w:pPr>
              <w:pStyle w:val="TableText"/>
              <w:spacing w:before="0" w:after="0" w:line="276" w:lineRule="auto"/>
              <w:rPr>
                <w:rFonts w:eastAsia="Calibri" w:cs="Arial"/>
                <w:sz w:val="22"/>
              </w:rPr>
            </w:pPr>
            <w:r>
              <w:rPr>
                <w:rFonts w:eastAsia="Calibri" w:cs="Arial"/>
                <w:sz w:val="22"/>
              </w:rPr>
              <w:t xml:space="preserve">These taxpayers do not </w:t>
            </w:r>
            <w:r w:rsidR="005D4E9E">
              <w:rPr>
                <w:rFonts w:eastAsia="Calibri" w:cs="Arial"/>
                <w:sz w:val="22"/>
              </w:rPr>
              <w:t>face the</w:t>
            </w:r>
            <w:r>
              <w:rPr>
                <w:rFonts w:eastAsia="Calibri" w:cs="Arial"/>
                <w:sz w:val="22"/>
              </w:rPr>
              <w:t xml:space="preserve"> new top personal income tax rate and so stand to gain from </w:t>
            </w:r>
            <w:r w:rsidR="005D4E9E">
              <w:rPr>
                <w:rFonts w:eastAsia="Calibri" w:cs="Arial"/>
                <w:sz w:val="22"/>
              </w:rPr>
              <w:t xml:space="preserve">government spending or lower future taxes </w:t>
            </w:r>
            <w:r w:rsidR="00E95DE8">
              <w:rPr>
                <w:rFonts w:eastAsia="Calibri" w:cs="Arial"/>
                <w:sz w:val="22"/>
              </w:rPr>
              <w:t>resulting from increased progressivity of the income tax scale</w:t>
            </w:r>
          </w:p>
        </w:tc>
        <w:tc>
          <w:tcPr>
            <w:tcW w:w="1737" w:type="dxa"/>
            <w:shd w:val="clear" w:color="auto" w:fill="auto"/>
          </w:tcPr>
          <w:p w14:paraId="12FF64D7" w14:textId="77554B0C" w:rsidR="000E5AE8" w:rsidRPr="0049467D" w:rsidRDefault="00E95DE8" w:rsidP="00C31CD3">
            <w:pPr>
              <w:pStyle w:val="TableText"/>
              <w:spacing w:before="0" w:after="0" w:line="276" w:lineRule="auto"/>
              <w:rPr>
                <w:rFonts w:eastAsia="Calibri" w:cs="Arial"/>
                <w:sz w:val="22"/>
              </w:rPr>
            </w:pPr>
            <w:r>
              <w:rPr>
                <w:rFonts w:eastAsia="Calibri" w:cs="Arial"/>
                <w:sz w:val="22"/>
              </w:rPr>
              <w:t>Low</w:t>
            </w:r>
          </w:p>
        </w:tc>
        <w:tc>
          <w:tcPr>
            <w:tcW w:w="1395" w:type="dxa"/>
            <w:shd w:val="clear" w:color="auto" w:fill="auto"/>
          </w:tcPr>
          <w:p w14:paraId="6ACC5383" w14:textId="7A3E8012" w:rsidR="000E5AE8" w:rsidRPr="0049467D" w:rsidRDefault="00E95DE8" w:rsidP="00C31CD3">
            <w:pPr>
              <w:pStyle w:val="TableText"/>
              <w:spacing w:before="0" w:after="0" w:line="276" w:lineRule="auto"/>
              <w:rPr>
                <w:rFonts w:eastAsia="Calibri" w:cs="Arial"/>
                <w:sz w:val="22"/>
              </w:rPr>
            </w:pPr>
            <w:r>
              <w:rPr>
                <w:rFonts w:eastAsia="Calibri" w:cs="Arial"/>
                <w:sz w:val="22"/>
              </w:rPr>
              <w:t>Low</w:t>
            </w:r>
          </w:p>
        </w:tc>
      </w:tr>
      <w:tr w:rsidR="003A2818" w:rsidRPr="0049467D" w14:paraId="43182F50" w14:textId="77777777" w:rsidTr="003275DF">
        <w:trPr>
          <w:trHeight w:val="253"/>
        </w:trPr>
        <w:tc>
          <w:tcPr>
            <w:tcW w:w="1980" w:type="dxa"/>
            <w:shd w:val="clear" w:color="auto" w:fill="auto"/>
          </w:tcPr>
          <w:p w14:paraId="60E79A75" w14:textId="780CA4C4" w:rsidR="003A2818" w:rsidRPr="002868AE" w:rsidRDefault="003A2818" w:rsidP="00C31CD3">
            <w:pPr>
              <w:pStyle w:val="TableText"/>
              <w:keepNext/>
              <w:spacing w:before="0" w:after="0" w:line="276" w:lineRule="auto"/>
              <w:rPr>
                <w:rFonts w:eastAsia="Calibri" w:cs="Arial"/>
                <w:sz w:val="22"/>
              </w:rPr>
            </w:pPr>
            <w:r>
              <w:rPr>
                <w:rFonts w:eastAsia="Calibri" w:cs="Arial"/>
                <w:sz w:val="22"/>
              </w:rPr>
              <w:t>Regulated parties: Trustees</w:t>
            </w:r>
            <w:r w:rsidR="002F4368">
              <w:rPr>
                <w:rFonts w:eastAsia="Calibri" w:cs="Arial"/>
                <w:sz w:val="22"/>
              </w:rPr>
              <w:t xml:space="preserve"> and beneficiaries</w:t>
            </w:r>
          </w:p>
        </w:tc>
        <w:tc>
          <w:tcPr>
            <w:tcW w:w="3969" w:type="dxa"/>
            <w:shd w:val="clear" w:color="auto" w:fill="auto"/>
          </w:tcPr>
          <w:p w14:paraId="301D6B33" w14:textId="4C1342BD" w:rsidR="003A2818" w:rsidRDefault="003A2818" w:rsidP="00C31CD3">
            <w:pPr>
              <w:pStyle w:val="TableText"/>
              <w:spacing w:before="0" w:after="0" w:line="276" w:lineRule="auto"/>
              <w:rPr>
                <w:rFonts w:eastAsia="Calibri" w:cs="Arial"/>
                <w:sz w:val="22"/>
              </w:rPr>
            </w:pPr>
            <w:r>
              <w:rPr>
                <w:rFonts w:eastAsia="Calibri" w:cs="Arial"/>
                <w:sz w:val="22"/>
              </w:rPr>
              <w:t>N/A</w:t>
            </w:r>
          </w:p>
        </w:tc>
        <w:tc>
          <w:tcPr>
            <w:tcW w:w="1737" w:type="dxa"/>
            <w:shd w:val="clear" w:color="auto" w:fill="auto"/>
          </w:tcPr>
          <w:p w14:paraId="73A63E32" w14:textId="77777777" w:rsidR="003A2818" w:rsidRDefault="003A2818" w:rsidP="00C31CD3">
            <w:pPr>
              <w:pStyle w:val="TableText"/>
              <w:spacing w:before="0" w:after="0" w:line="276" w:lineRule="auto"/>
              <w:rPr>
                <w:rFonts w:eastAsia="Calibri" w:cs="Arial"/>
                <w:sz w:val="22"/>
              </w:rPr>
            </w:pPr>
          </w:p>
        </w:tc>
        <w:tc>
          <w:tcPr>
            <w:tcW w:w="1395" w:type="dxa"/>
            <w:shd w:val="clear" w:color="auto" w:fill="auto"/>
          </w:tcPr>
          <w:p w14:paraId="4BACE69F" w14:textId="77777777" w:rsidR="003A2818" w:rsidRDefault="003A2818" w:rsidP="00C31CD3">
            <w:pPr>
              <w:pStyle w:val="TableText"/>
              <w:spacing w:before="0" w:after="0" w:line="276" w:lineRule="auto"/>
              <w:rPr>
                <w:rFonts w:eastAsia="Calibri" w:cs="Arial"/>
                <w:sz w:val="22"/>
              </w:rPr>
            </w:pPr>
          </w:p>
        </w:tc>
      </w:tr>
      <w:tr w:rsidR="00727B94" w:rsidRPr="0049467D" w14:paraId="0BE0D7A0" w14:textId="77777777" w:rsidTr="003275DF">
        <w:trPr>
          <w:trHeight w:val="253"/>
        </w:trPr>
        <w:tc>
          <w:tcPr>
            <w:tcW w:w="1980" w:type="dxa"/>
            <w:shd w:val="clear" w:color="auto" w:fill="auto"/>
          </w:tcPr>
          <w:p w14:paraId="58622CE3" w14:textId="362AE2D4" w:rsidR="00727B94" w:rsidRPr="002868AE" w:rsidRDefault="00727B94" w:rsidP="00C31CD3">
            <w:pPr>
              <w:pStyle w:val="TableText"/>
              <w:spacing w:before="0" w:after="0" w:line="276" w:lineRule="auto"/>
              <w:rPr>
                <w:rFonts w:eastAsia="Calibri" w:cs="Arial"/>
                <w:sz w:val="22"/>
              </w:rPr>
            </w:pPr>
            <w:r>
              <w:rPr>
                <w:rFonts w:eastAsia="Calibri" w:cs="Arial"/>
                <w:sz w:val="22"/>
              </w:rPr>
              <w:t xml:space="preserve">Regulators: </w:t>
            </w:r>
            <w:r>
              <w:rPr>
                <w:rFonts w:eastAsia="Calibri" w:cs="Arial"/>
                <w:sz w:val="22"/>
              </w:rPr>
              <w:br/>
              <w:t>Inland Revenue</w:t>
            </w:r>
          </w:p>
        </w:tc>
        <w:tc>
          <w:tcPr>
            <w:tcW w:w="3969" w:type="dxa"/>
            <w:shd w:val="clear" w:color="auto" w:fill="auto"/>
          </w:tcPr>
          <w:p w14:paraId="4960D788" w14:textId="2A2B7E27" w:rsidR="00727B94" w:rsidRDefault="00727B94" w:rsidP="00C31CD3">
            <w:pPr>
              <w:pStyle w:val="TableText"/>
              <w:spacing w:before="0" w:after="0" w:line="276" w:lineRule="auto"/>
              <w:rPr>
                <w:rFonts w:eastAsia="Calibri" w:cs="Arial"/>
                <w:sz w:val="22"/>
              </w:rPr>
            </w:pPr>
            <w:r>
              <w:rPr>
                <w:rFonts w:eastAsia="Calibri" w:cs="Arial"/>
                <w:sz w:val="22"/>
              </w:rPr>
              <w:t>N/A</w:t>
            </w:r>
          </w:p>
        </w:tc>
        <w:tc>
          <w:tcPr>
            <w:tcW w:w="1737" w:type="dxa"/>
            <w:shd w:val="clear" w:color="auto" w:fill="auto"/>
          </w:tcPr>
          <w:p w14:paraId="233958CB" w14:textId="77777777" w:rsidR="00727B94" w:rsidRDefault="00727B94" w:rsidP="00C31CD3">
            <w:pPr>
              <w:pStyle w:val="TableText"/>
              <w:spacing w:before="0" w:after="0" w:line="276" w:lineRule="auto"/>
              <w:rPr>
                <w:rFonts w:eastAsia="Calibri" w:cs="Arial"/>
                <w:sz w:val="22"/>
              </w:rPr>
            </w:pPr>
          </w:p>
        </w:tc>
        <w:tc>
          <w:tcPr>
            <w:tcW w:w="1395" w:type="dxa"/>
            <w:shd w:val="clear" w:color="auto" w:fill="auto"/>
          </w:tcPr>
          <w:p w14:paraId="6A103C29" w14:textId="77777777" w:rsidR="00727B94" w:rsidRDefault="00727B94" w:rsidP="00C31CD3">
            <w:pPr>
              <w:pStyle w:val="TableText"/>
              <w:spacing w:before="0" w:after="0" w:line="276" w:lineRule="auto"/>
              <w:rPr>
                <w:rFonts w:eastAsia="Calibri" w:cs="Arial"/>
                <w:sz w:val="22"/>
              </w:rPr>
            </w:pPr>
          </w:p>
        </w:tc>
      </w:tr>
      <w:tr w:rsidR="000E5AE8" w:rsidRPr="0049467D" w14:paraId="3566F6E2" w14:textId="77777777" w:rsidTr="003275DF">
        <w:trPr>
          <w:trHeight w:val="253"/>
        </w:trPr>
        <w:tc>
          <w:tcPr>
            <w:tcW w:w="1980" w:type="dxa"/>
            <w:shd w:val="clear" w:color="auto" w:fill="auto"/>
          </w:tcPr>
          <w:p w14:paraId="697880C7" w14:textId="0918F9CD" w:rsidR="000E5AE8" w:rsidRPr="0049467D" w:rsidRDefault="000E5AE8" w:rsidP="00C31CD3">
            <w:pPr>
              <w:pStyle w:val="TableText"/>
              <w:spacing w:before="0" w:after="0" w:line="276" w:lineRule="auto"/>
              <w:rPr>
                <w:rFonts w:eastAsia="Calibri" w:cs="Arial"/>
                <w:sz w:val="22"/>
              </w:rPr>
            </w:pPr>
            <w:r w:rsidRPr="002868AE">
              <w:rPr>
                <w:rFonts w:eastAsia="Calibri" w:cs="Arial"/>
                <w:sz w:val="22"/>
              </w:rPr>
              <w:t>Wider Government</w:t>
            </w:r>
          </w:p>
        </w:tc>
        <w:tc>
          <w:tcPr>
            <w:tcW w:w="3969" w:type="dxa"/>
            <w:shd w:val="clear" w:color="auto" w:fill="auto"/>
          </w:tcPr>
          <w:p w14:paraId="4173F3C7" w14:textId="47FAD312" w:rsidR="000E5AE8" w:rsidRDefault="006F703D" w:rsidP="00C31CD3">
            <w:pPr>
              <w:pStyle w:val="TableText"/>
              <w:spacing w:before="0" w:after="0" w:line="276" w:lineRule="auto"/>
              <w:rPr>
                <w:rFonts w:eastAsia="Calibri" w:cs="Arial"/>
                <w:sz w:val="22"/>
              </w:rPr>
            </w:pPr>
            <w:r>
              <w:rPr>
                <w:rFonts w:eastAsia="Calibri" w:cs="Arial"/>
                <w:sz w:val="22"/>
              </w:rPr>
              <w:t xml:space="preserve">The revenue collected under this option will </w:t>
            </w:r>
            <w:r w:rsidR="00153D79">
              <w:rPr>
                <w:rFonts w:eastAsia="Calibri" w:cs="Arial"/>
                <w:sz w:val="22"/>
              </w:rPr>
              <w:t>reduce the fiscal impact of higher operating allowances proposed in the Government’s fiscal strategy.</w:t>
            </w:r>
            <w:r>
              <w:rPr>
                <w:rFonts w:eastAsia="Calibri" w:cs="Arial"/>
                <w:sz w:val="22"/>
              </w:rPr>
              <w:t xml:space="preserve"> Over the longer term, the Government may have more flexibility in spending this </w:t>
            </w:r>
            <w:r w:rsidR="00367324">
              <w:rPr>
                <w:rFonts w:eastAsia="Calibri" w:cs="Arial"/>
                <w:sz w:val="22"/>
              </w:rPr>
              <w:t>extra revenue.</w:t>
            </w:r>
          </w:p>
          <w:p w14:paraId="1C03C016" w14:textId="77777777" w:rsidR="00F86CB1" w:rsidRDefault="00F86CB1" w:rsidP="00C31CD3">
            <w:pPr>
              <w:pStyle w:val="TableText"/>
              <w:spacing w:before="0" w:after="0" w:line="276" w:lineRule="auto"/>
              <w:rPr>
                <w:rFonts w:eastAsia="Calibri" w:cs="Arial"/>
                <w:sz w:val="22"/>
              </w:rPr>
            </w:pPr>
          </w:p>
          <w:p w14:paraId="4EF13772" w14:textId="3E182961" w:rsidR="004241D0" w:rsidRPr="0049467D" w:rsidRDefault="00F86CB1" w:rsidP="00C31CD3">
            <w:pPr>
              <w:pStyle w:val="TableText"/>
              <w:spacing w:before="0" w:after="0" w:line="276" w:lineRule="auto"/>
              <w:rPr>
                <w:rFonts w:eastAsia="Calibri" w:cs="Arial"/>
                <w:sz w:val="22"/>
              </w:rPr>
            </w:pPr>
            <w:r>
              <w:rPr>
                <w:rFonts w:eastAsia="Calibri" w:cs="Arial"/>
                <w:sz w:val="22"/>
              </w:rPr>
              <w:t>The Government also moves toward achieving its</w:t>
            </w:r>
            <w:r w:rsidR="00CB5445">
              <w:rPr>
                <w:rFonts w:eastAsia="Calibri" w:cs="Arial"/>
                <w:sz w:val="22"/>
              </w:rPr>
              <w:t xml:space="preserve"> vertical</w:t>
            </w:r>
            <w:r>
              <w:rPr>
                <w:rFonts w:eastAsia="Calibri" w:cs="Arial"/>
                <w:sz w:val="22"/>
              </w:rPr>
              <w:t xml:space="preserve"> </w:t>
            </w:r>
            <w:r w:rsidR="004241D0">
              <w:rPr>
                <w:rFonts w:eastAsia="Calibri" w:cs="Arial"/>
                <w:sz w:val="22"/>
              </w:rPr>
              <w:t>equity objectives with this change.</w:t>
            </w:r>
          </w:p>
        </w:tc>
        <w:tc>
          <w:tcPr>
            <w:tcW w:w="1737" w:type="dxa"/>
            <w:shd w:val="clear" w:color="auto" w:fill="auto"/>
          </w:tcPr>
          <w:p w14:paraId="1F2B4854" w14:textId="49267C3D" w:rsidR="000E5AE8" w:rsidRDefault="004241D0" w:rsidP="00C31CD3">
            <w:pPr>
              <w:pStyle w:val="TableText"/>
              <w:spacing w:before="0" w:after="0" w:line="276" w:lineRule="auto"/>
              <w:rPr>
                <w:rFonts w:eastAsia="Calibri" w:cs="Arial"/>
                <w:sz w:val="22"/>
              </w:rPr>
            </w:pPr>
            <w:r>
              <w:rPr>
                <w:rFonts w:eastAsia="Calibri" w:cs="Arial"/>
                <w:sz w:val="22"/>
              </w:rPr>
              <w:t>$</w:t>
            </w:r>
            <w:r w:rsidR="006567F5">
              <w:rPr>
                <w:rFonts w:eastAsia="Calibri" w:cs="Arial"/>
                <w:sz w:val="22"/>
              </w:rPr>
              <w:t>3.</w:t>
            </w:r>
            <w:r w:rsidR="00AC1D99">
              <w:rPr>
                <w:rFonts w:eastAsia="Calibri" w:cs="Arial"/>
                <w:sz w:val="22"/>
              </w:rPr>
              <w:t>7</w:t>
            </w:r>
            <w:r w:rsidR="0081513C">
              <w:rPr>
                <w:rFonts w:eastAsia="Calibri" w:cs="Arial"/>
                <w:sz w:val="22"/>
              </w:rPr>
              <w:t xml:space="preserve"> </w:t>
            </w:r>
            <w:r>
              <w:rPr>
                <w:rFonts w:eastAsia="Calibri" w:cs="Arial"/>
                <w:sz w:val="22"/>
              </w:rPr>
              <w:t>billion</w:t>
            </w:r>
          </w:p>
          <w:p w14:paraId="5DE25AD3" w14:textId="77777777" w:rsidR="004241D0" w:rsidRDefault="004241D0" w:rsidP="00C31CD3">
            <w:pPr>
              <w:pStyle w:val="TableText"/>
              <w:spacing w:before="0" w:after="0" w:line="276" w:lineRule="auto"/>
              <w:rPr>
                <w:rFonts w:eastAsia="Calibri" w:cs="Arial"/>
                <w:sz w:val="22"/>
              </w:rPr>
            </w:pPr>
          </w:p>
          <w:p w14:paraId="30823501" w14:textId="77777777" w:rsidR="00C45C06" w:rsidRDefault="00C45C06" w:rsidP="00C31CD3">
            <w:pPr>
              <w:pStyle w:val="TableText"/>
              <w:spacing w:before="0" w:after="0" w:line="276" w:lineRule="auto"/>
              <w:rPr>
                <w:rFonts w:eastAsia="Calibri" w:cs="Arial"/>
                <w:sz w:val="22"/>
              </w:rPr>
            </w:pPr>
          </w:p>
          <w:p w14:paraId="05502C45" w14:textId="3CC26CA2" w:rsidR="00C45C06" w:rsidRDefault="00C45C06" w:rsidP="00C31CD3">
            <w:pPr>
              <w:pStyle w:val="TableText"/>
              <w:spacing w:before="0" w:after="0" w:line="276" w:lineRule="auto"/>
              <w:rPr>
                <w:rFonts w:eastAsia="Calibri" w:cs="Arial"/>
                <w:sz w:val="22"/>
              </w:rPr>
            </w:pPr>
          </w:p>
          <w:p w14:paraId="09CE67A2" w14:textId="77777777" w:rsidR="00B052A0" w:rsidRDefault="00B052A0" w:rsidP="00C31CD3">
            <w:pPr>
              <w:pStyle w:val="TableText"/>
              <w:spacing w:before="0" w:after="0" w:line="276" w:lineRule="auto"/>
              <w:rPr>
                <w:rFonts w:eastAsia="Calibri" w:cs="Arial"/>
                <w:sz w:val="22"/>
              </w:rPr>
            </w:pPr>
          </w:p>
          <w:p w14:paraId="0D1D632C" w14:textId="77777777" w:rsidR="00C45C06" w:rsidRDefault="00C45C06" w:rsidP="00C31CD3">
            <w:pPr>
              <w:pStyle w:val="TableText"/>
              <w:spacing w:before="0" w:after="0" w:line="276" w:lineRule="auto"/>
              <w:rPr>
                <w:rFonts w:eastAsia="Calibri" w:cs="Arial"/>
                <w:sz w:val="22"/>
              </w:rPr>
            </w:pPr>
          </w:p>
          <w:p w14:paraId="2C075C89" w14:textId="77777777" w:rsidR="00C45C06" w:rsidRDefault="00C45C06" w:rsidP="00C31CD3">
            <w:pPr>
              <w:pStyle w:val="TableText"/>
              <w:spacing w:before="0" w:after="0" w:line="276" w:lineRule="auto"/>
              <w:rPr>
                <w:rFonts w:eastAsia="Calibri" w:cs="Arial"/>
                <w:sz w:val="22"/>
              </w:rPr>
            </w:pPr>
          </w:p>
          <w:p w14:paraId="0FBF66F3" w14:textId="77777777" w:rsidR="00C45C06" w:rsidRDefault="00C45C06" w:rsidP="00C31CD3">
            <w:pPr>
              <w:pStyle w:val="TableText"/>
              <w:spacing w:before="0" w:after="0" w:line="276" w:lineRule="auto"/>
              <w:rPr>
                <w:rFonts w:eastAsia="Calibri" w:cs="Arial"/>
                <w:sz w:val="22"/>
              </w:rPr>
            </w:pPr>
          </w:p>
          <w:p w14:paraId="0DD2C68B" w14:textId="77777777" w:rsidR="00C45C06" w:rsidRDefault="00C45C06" w:rsidP="00C31CD3">
            <w:pPr>
              <w:pStyle w:val="TableText"/>
              <w:spacing w:before="0" w:after="0" w:line="276" w:lineRule="auto"/>
              <w:rPr>
                <w:rFonts w:eastAsia="Calibri" w:cs="Arial"/>
                <w:sz w:val="22"/>
              </w:rPr>
            </w:pPr>
          </w:p>
          <w:p w14:paraId="2406C13F" w14:textId="77777777" w:rsidR="00C45C06" w:rsidRDefault="00C45C06" w:rsidP="00C31CD3">
            <w:pPr>
              <w:pStyle w:val="TableText"/>
              <w:spacing w:before="0" w:after="0" w:line="276" w:lineRule="auto"/>
              <w:rPr>
                <w:rFonts w:eastAsia="Calibri" w:cs="Arial"/>
                <w:sz w:val="22"/>
              </w:rPr>
            </w:pPr>
          </w:p>
          <w:p w14:paraId="16E8F27F" w14:textId="06F8D0BA" w:rsidR="004241D0" w:rsidRPr="0049467D" w:rsidRDefault="004241D0" w:rsidP="00C31CD3">
            <w:pPr>
              <w:pStyle w:val="TableText"/>
              <w:spacing w:before="0" w:after="0" w:line="276" w:lineRule="auto"/>
              <w:rPr>
                <w:rFonts w:eastAsia="Calibri" w:cs="Arial"/>
                <w:sz w:val="22"/>
              </w:rPr>
            </w:pPr>
            <w:r>
              <w:rPr>
                <w:rFonts w:eastAsia="Calibri" w:cs="Arial"/>
                <w:sz w:val="22"/>
              </w:rPr>
              <w:t xml:space="preserve">Medium </w:t>
            </w:r>
          </w:p>
        </w:tc>
        <w:tc>
          <w:tcPr>
            <w:tcW w:w="1395" w:type="dxa"/>
            <w:shd w:val="clear" w:color="auto" w:fill="auto"/>
          </w:tcPr>
          <w:p w14:paraId="56DD33CF" w14:textId="1204682D" w:rsidR="000E5AE8" w:rsidRDefault="006567F5" w:rsidP="00C31CD3">
            <w:pPr>
              <w:pStyle w:val="TableText"/>
              <w:spacing w:before="0" w:after="0" w:line="276" w:lineRule="auto"/>
              <w:rPr>
                <w:rFonts w:eastAsia="Calibri" w:cs="Arial"/>
                <w:sz w:val="22"/>
              </w:rPr>
            </w:pPr>
            <w:r>
              <w:rPr>
                <w:rFonts w:eastAsia="Calibri" w:cs="Arial"/>
                <w:sz w:val="22"/>
              </w:rPr>
              <w:t>Medium</w:t>
            </w:r>
          </w:p>
          <w:p w14:paraId="4245B250" w14:textId="77777777" w:rsidR="00C45C06" w:rsidRDefault="00C45C06" w:rsidP="00C31CD3">
            <w:pPr>
              <w:pStyle w:val="TableText"/>
              <w:spacing w:before="0" w:after="0" w:line="276" w:lineRule="auto"/>
              <w:rPr>
                <w:rFonts w:eastAsia="Calibri" w:cs="Arial"/>
                <w:sz w:val="22"/>
              </w:rPr>
            </w:pPr>
          </w:p>
          <w:p w14:paraId="6D753717" w14:textId="77777777" w:rsidR="00C45C06" w:rsidRDefault="00C45C06" w:rsidP="00C31CD3">
            <w:pPr>
              <w:pStyle w:val="TableText"/>
              <w:spacing w:before="0" w:after="0" w:line="276" w:lineRule="auto"/>
              <w:rPr>
                <w:rFonts w:eastAsia="Calibri" w:cs="Arial"/>
                <w:sz w:val="22"/>
              </w:rPr>
            </w:pPr>
          </w:p>
          <w:p w14:paraId="602D0C6D" w14:textId="77777777" w:rsidR="00C45C06" w:rsidRDefault="00C45C06" w:rsidP="00C31CD3">
            <w:pPr>
              <w:pStyle w:val="TableText"/>
              <w:spacing w:before="0" w:after="0" w:line="276" w:lineRule="auto"/>
              <w:rPr>
                <w:rFonts w:eastAsia="Calibri" w:cs="Arial"/>
                <w:sz w:val="22"/>
              </w:rPr>
            </w:pPr>
          </w:p>
          <w:p w14:paraId="03B8302E" w14:textId="77777777" w:rsidR="00C45C06" w:rsidRDefault="00C45C06" w:rsidP="00C31CD3">
            <w:pPr>
              <w:pStyle w:val="TableText"/>
              <w:spacing w:before="0" w:after="0" w:line="276" w:lineRule="auto"/>
              <w:rPr>
                <w:rFonts w:eastAsia="Calibri" w:cs="Arial"/>
                <w:sz w:val="22"/>
              </w:rPr>
            </w:pPr>
          </w:p>
          <w:p w14:paraId="12E3B330" w14:textId="77777777" w:rsidR="00C45C06" w:rsidRDefault="00C45C06" w:rsidP="00C31CD3">
            <w:pPr>
              <w:pStyle w:val="TableText"/>
              <w:spacing w:before="0" w:after="0" w:line="276" w:lineRule="auto"/>
              <w:rPr>
                <w:rFonts w:eastAsia="Calibri" w:cs="Arial"/>
                <w:sz w:val="22"/>
              </w:rPr>
            </w:pPr>
          </w:p>
          <w:p w14:paraId="62D9DA0C" w14:textId="77777777" w:rsidR="00C45C06" w:rsidRDefault="00C45C06" w:rsidP="00C31CD3">
            <w:pPr>
              <w:pStyle w:val="TableText"/>
              <w:spacing w:before="0" w:after="0" w:line="276" w:lineRule="auto"/>
              <w:rPr>
                <w:rFonts w:eastAsia="Calibri" w:cs="Arial"/>
                <w:sz w:val="22"/>
              </w:rPr>
            </w:pPr>
          </w:p>
          <w:p w14:paraId="38C62322" w14:textId="77777777" w:rsidR="00C45C06" w:rsidRDefault="00C45C06" w:rsidP="00C31CD3">
            <w:pPr>
              <w:pStyle w:val="TableText"/>
              <w:spacing w:before="0" w:after="0" w:line="276" w:lineRule="auto"/>
              <w:rPr>
                <w:rFonts w:eastAsia="Calibri" w:cs="Arial"/>
                <w:sz w:val="22"/>
              </w:rPr>
            </w:pPr>
          </w:p>
          <w:p w14:paraId="142CA01F" w14:textId="77777777" w:rsidR="00C45C06" w:rsidRDefault="00C45C06" w:rsidP="00C31CD3">
            <w:pPr>
              <w:pStyle w:val="TableText"/>
              <w:spacing w:before="0" w:after="0" w:line="276" w:lineRule="auto"/>
              <w:rPr>
                <w:rFonts w:eastAsia="Calibri" w:cs="Arial"/>
                <w:sz w:val="22"/>
              </w:rPr>
            </w:pPr>
          </w:p>
          <w:p w14:paraId="2D0E9811" w14:textId="77777777" w:rsidR="00C45C06" w:rsidRDefault="00C45C06" w:rsidP="00C31CD3">
            <w:pPr>
              <w:pStyle w:val="TableText"/>
              <w:spacing w:before="0" w:after="0" w:line="276" w:lineRule="auto"/>
              <w:rPr>
                <w:rFonts w:eastAsia="Calibri" w:cs="Arial"/>
                <w:sz w:val="22"/>
              </w:rPr>
            </w:pPr>
          </w:p>
          <w:p w14:paraId="01ABC310" w14:textId="44597C0B" w:rsidR="00C45C06" w:rsidRPr="0049467D" w:rsidRDefault="00C45C06" w:rsidP="00C31CD3">
            <w:pPr>
              <w:pStyle w:val="TableText"/>
              <w:spacing w:before="0" w:after="0" w:line="276" w:lineRule="auto"/>
              <w:rPr>
                <w:rFonts w:eastAsia="Calibri" w:cs="Arial"/>
                <w:sz w:val="22"/>
              </w:rPr>
            </w:pPr>
            <w:r>
              <w:rPr>
                <w:rFonts w:eastAsia="Calibri" w:cs="Arial"/>
                <w:sz w:val="22"/>
              </w:rPr>
              <w:t>Medium</w:t>
            </w:r>
          </w:p>
        </w:tc>
      </w:tr>
      <w:tr w:rsidR="000E5AE8" w:rsidRPr="0049467D" w14:paraId="5A15EFAD" w14:textId="77777777" w:rsidTr="003275DF">
        <w:trPr>
          <w:trHeight w:val="253"/>
        </w:trPr>
        <w:tc>
          <w:tcPr>
            <w:tcW w:w="1980" w:type="dxa"/>
            <w:shd w:val="clear" w:color="auto" w:fill="auto"/>
          </w:tcPr>
          <w:p w14:paraId="491E26DE" w14:textId="77777777" w:rsidR="000E5AE8" w:rsidRDefault="000E5AE8" w:rsidP="00C31CD3">
            <w:pPr>
              <w:pStyle w:val="TableText"/>
              <w:keepNext/>
              <w:spacing w:before="0" w:after="0" w:line="276" w:lineRule="auto"/>
              <w:rPr>
                <w:rFonts w:eastAsia="Calibri" w:cs="Arial"/>
                <w:sz w:val="22"/>
              </w:rPr>
            </w:pPr>
            <w:r w:rsidRPr="002868AE">
              <w:rPr>
                <w:rFonts w:eastAsia="Calibri" w:cs="Arial"/>
                <w:sz w:val="22"/>
              </w:rPr>
              <w:t>Other parties</w:t>
            </w:r>
            <w:r>
              <w:rPr>
                <w:rFonts w:eastAsia="Calibri" w:cs="Arial"/>
                <w:sz w:val="22"/>
              </w:rPr>
              <w:t>:</w:t>
            </w:r>
          </w:p>
          <w:p w14:paraId="4A1A0D2D" w14:textId="24C5FED9" w:rsidR="000E5AE8" w:rsidRPr="0049467D" w:rsidRDefault="000E5AE8" w:rsidP="00C31CD3">
            <w:pPr>
              <w:pStyle w:val="TableText"/>
              <w:spacing w:before="0" w:after="0" w:line="276" w:lineRule="auto"/>
              <w:rPr>
                <w:rFonts w:eastAsia="Calibri" w:cs="Arial"/>
                <w:sz w:val="22"/>
              </w:rPr>
            </w:pPr>
            <w:r>
              <w:rPr>
                <w:rFonts w:eastAsia="Calibri" w:cs="Arial"/>
                <w:sz w:val="22"/>
              </w:rPr>
              <w:t>Payroll software providers and related parties</w:t>
            </w:r>
          </w:p>
        </w:tc>
        <w:tc>
          <w:tcPr>
            <w:tcW w:w="3969" w:type="dxa"/>
            <w:shd w:val="clear" w:color="auto" w:fill="auto"/>
          </w:tcPr>
          <w:p w14:paraId="6478565B" w14:textId="04A96382" w:rsidR="000E5AE8" w:rsidRPr="0049467D" w:rsidRDefault="000E5AE8" w:rsidP="00C31CD3">
            <w:pPr>
              <w:pStyle w:val="TableText"/>
              <w:spacing w:before="0" w:after="0" w:line="276" w:lineRule="auto"/>
              <w:rPr>
                <w:rFonts w:eastAsia="Calibri" w:cs="Arial"/>
                <w:sz w:val="22"/>
              </w:rPr>
            </w:pPr>
            <w:r>
              <w:rPr>
                <w:rFonts w:eastAsia="Calibri" w:cs="Arial"/>
                <w:sz w:val="22"/>
              </w:rPr>
              <w:t>N/A</w:t>
            </w:r>
          </w:p>
        </w:tc>
        <w:tc>
          <w:tcPr>
            <w:tcW w:w="1737" w:type="dxa"/>
            <w:shd w:val="clear" w:color="auto" w:fill="auto"/>
          </w:tcPr>
          <w:p w14:paraId="7795C72F" w14:textId="77777777" w:rsidR="000E5AE8" w:rsidRPr="0049467D" w:rsidRDefault="000E5AE8" w:rsidP="00C31CD3">
            <w:pPr>
              <w:pStyle w:val="TableText"/>
              <w:spacing w:before="0" w:after="0" w:line="276" w:lineRule="auto"/>
              <w:rPr>
                <w:rFonts w:eastAsia="Calibri" w:cs="Arial"/>
                <w:sz w:val="22"/>
              </w:rPr>
            </w:pPr>
          </w:p>
        </w:tc>
        <w:tc>
          <w:tcPr>
            <w:tcW w:w="1395" w:type="dxa"/>
            <w:shd w:val="clear" w:color="auto" w:fill="auto"/>
          </w:tcPr>
          <w:p w14:paraId="48074604" w14:textId="77777777" w:rsidR="000E5AE8" w:rsidRPr="0049467D" w:rsidRDefault="000E5AE8" w:rsidP="00C31CD3">
            <w:pPr>
              <w:pStyle w:val="TableText"/>
              <w:spacing w:before="0" w:after="0" w:line="276" w:lineRule="auto"/>
              <w:rPr>
                <w:rFonts w:eastAsia="Calibri" w:cs="Arial"/>
                <w:sz w:val="22"/>
              </w:rPr>
            </w:pPr>
          </w:p>
        </w:tc>
      </w:tr>
      <w:tr w:rsidR="0049467D" w:rsidRPr="0049467D" w14:paraId="4DBCC979" w14:textId="77777777" w:rsidTr="003275DF">
        <w:trPr>
          <w:trHeight w:val="253"/>
        </w:trPr>
        <w:tc>
          <w:tcPr>
            <w:tcW w:w="1980" w:type="dxa"/>
            <w:shd w:val="clear" w:color="auto" w:fill="auto"/>
          </w:tcPr>
          <w:p w14:paraId="1698B317" w14:textId="1D7FC572" w:rsidR="0062657E" w:rsidRPr="003247E1" w:rsidRDefault="0062657E" w:rsidP="00C31CD3">
            <w:pPr>
              <w:pStyle w:val="TableText"/>
              <w:spacing w:before="0" w:after="0" w:line="276" w:lineRule="auto"/>
              <w:rPr>
                <w:rFonts w:eastAsia="Calibri" w:cs="Arial"/>
                <w:b/>
                <w:sz w:val="22"/>
              </w:rPr>
            </w:pPr>
            <w:r w:rsidRPr="003247E1">
              <w:rPr>
                <w:rFonts w:eastAsia="Calibri" w:cs="Arial"/>
                <w:b/>
                <w:sz w:val="22"/>
              </w:rPr>
              <w:t xml:space="preserve">Total </w:t>
            </w:r>
            <w:r w:rsidR="00E50E7C">
              <w:rPr>
                <w:rFonts w:eastAsia="Calibri" w:cs="Arial"/>
                <w:b/>
                <w:sz w:val="22"/>
              </w:rPr>
              <w:t>m</w:t>
            </w:r>
            <w:r w:rsidRPr="003247E1">
              <w:rPr>
                <w:rFonts w:eastAsia="Calibri" w:cs="Arial"/>
                <w:b/>
                <w:sz w:val="22"/>
              </w:rPr>
              <w:t xml:space="preserve">onetised </w:t>
            </w:r>
            <w:r w:rsidR="00E50E7C">
              <w:rPr>
                <w:rFonts w:eastAsia="Calibri" w:cs="Arial"/>
                <w:b/>
                <w:sz w:val="22"/>
              </w:rPr>
              <w:t>b</w:t>
            </w:r>
            <w:r w:rsidRPr="003247E1">
              <w:rPr>
                <w:rFonts w:eastAsia="Calibri" w:cs="Arial"/>
                <w:b/>
                <w:sz w:val="22"/>
              </w:rPr>
              <w:t>enefit</w:t>
            </w:r>
          </w:p>
        </w:tc>
        <w:tc>
          <w:tcPr>
            <w:tcW w:w="3969" w:type="dxa"/>
            <w:shd w:val="clear" w:color="auto" w:fill="auto"/>
          </w:tcPr>
          <w:p w14:paraId="7B1B3AC4" w14:textId="77777777" w:rsidR="0062657E" w:rsidRPr="003247E1" w:rsidRDefault="0062657E" w:rsidP="00C31CD3">
            <w:pPr>
              <w:pStyle w:val="TableText"/>
              <w:spacing w:before="0" w:after="0" w:line="276" w:lineRule="auto"/>
              <w:rPr>
                <w:rFonts w:eastAsia="Calibri" w:cs="Arial"/>
                <w:b/>
                <w:sz w:val="22"/>
              </w:rPr>
            </w:pPr>
          </w:p>
        </w:tc>
        <w:tc>
          <w:tcPr>
            <w:tcW w:w="1737" w:type="dxa"/>
            <w:shd w:val="clear" w:color="auto" w:fill="auto"/>
          </w:tcPr>
          <w:p w14:paraId="5EAA60FF" w14:textId="7AD7F031" w:rsidR="0062657E" w:rsidRPr="00FB6BBA" w:rsidRDefault="00097309" w:rsidP="00C31CD3">
            <w:pPr>
              <w:pStyle w:val="TableText"/>
              <w:spacing w:before="0" w:after="0" w:line="276" w:lineRule="auto"/>
              <w:rPr>
                <w:rFonts w:eastAsia="Calibri" w:cs="Arial"/>
                <w:b/>
                <w:sz w:val="22"/>
              </w:rPr>
            </w:pPr>
            <w:r w:rsidRPr="00FB6BBA">
              <w:rPr>
                <w:rFonts w:eastAsia="Calibri" w:cs="Arial"/>
                <w:b/>
                <w:sz w:val="22"/>
              </w:rPr>
              <w:t>$</w:t>
            </w:r>
            <w:r w:rsidR="00FB6BBA" w:rsidRPr="00FB6BBA">
              <w:rPr>
                <w:rFonts w:eastAsia="Calibri" w:cs="Arial"/>
                <w:b/>
                <w:sz w:val="22"/>
              </w:rPr>
              <w:t>3.</w:t>
            </w:r>
            <w:r w:rsidR="00AC1D99">
              <w:rPr>
                <w:rFonts w:eastAsia="Calibri" w:cs="Arial"/>
                <w:b/>
                <w:sz w:val="22"/>
              </w:rPr>
              <w:t>7</w:t>
            </w:r>
            <w:r w:rsidRPr="00FB6BBA">
              <w:rPr>
                <w:rFonts w:eastAsia="Calibri" w:cs="Arial"/>
                <w:b/>
                <w:sz w:val="22"/>
              </w:rPr>
              <w:t xml:space="preserve"> billion</w:t>
            </w:r>
            <w:r w:rsidR="00045BF2">
              <w:rPr>
                <w:rFonts w:eastAsia="Calibri" w:cs="Arial"/>
                <w:b/>
                <w:sz w:val="22"/>
              </w:rPr>
              <w:t xml:space="preserve"> over the forecast period</w:t>
            </w:r>
          </w:p>
        </w:tc>
        <w:tc>
          <w:tcPr>
            <w:tcW w:w="1395" w:type="dxa"/>
            <w:shd w:val="clear" w:color="auto" w:fill="auto"/>
          </w:tcPr>
          <w:p w14:paraId="4957F0C6" w14:textId="42EEF469" w:rsidR="0062657E" w:rsidRPr="003247E1" w:rsidRDefault="00C53AC8" w:rsidP="00C31CD3">
            <w:pPr>
              <w:pStyle w:val="TableText"/>
              <w:spacing w:before="0" w:after="0" w:line="276" w:lineRule="auto"/>
              <w:rPr>
                <w:rFonts w:eastAsia="Calibri" w:cs="Arial"/>
                <w:b/>
                <w:sz w:val="22"/>
              </w:rPr>
            </w:pPr>
            <w:r>
              <w:rPr>
                <w:rFonts w:eastAsia="Calibri" w:cs="Arial"/>
                <w:b/>
                <w:sz w:val="22"/>
              </w:rPr>
              <w:t>Low</w:t>
            </w:r>
          </w:p>
        </w:tc>
      </w:tr>
      <w:tr w:rsidR="0049467D" w:rsidRPr="0049467D" w14:paraId="5C8484A6" w14:textId="77777777" w:rsidTr="003275DF">
        <w:trPr>
          <w:trHeight w:val="253"/>
        </w:trPr>
        <w:tc>
          <w:tcPr>
            <w:tcW w:w="1980" w:type="dxa"/>
            <w:shd w:val="clear" w:color="auto" w:fill="auto"/>
          </w:tcPr>
          <w:p w14:paraId="5E8A1639" w14:textId="4F17F0B6" w:rsidR="0062657E" w:rsidRPr="003247E1" w:rsidRDefault="00E50E7C" w:rsidP="00C31CD3">
            <w:pPr>
              <w:pStyle w:val="TableText"/>
              <w:spacing w:before="0" w:after="0" w:line="276" w:lineRule="auto"/>
              <w:rPr>
                <w:rFonts w:eastAsia="Calibri" w:cs="Arial"/>
                <w:b/>
                <w:sz w:val="22"/>
              </w:rPr>
            </w:pPr>
            <w:r>
              <w:rPr>
                <w:rFonts w:eastAsia="Calibri" w:cs="Arial"/>
                <w:b/>
                <w:sz w:val="22"/>
              </w:rPr>
              <w:t>Total n</w:t>
            </w:r>
            <w:r w:rsidR="0062657E" w:rsidRPr="003247E1">
              <w:rPr>
                <w:rFonts w:eastAsia="Calibri" w:cs="Arial"/>
                <w:b/>
                <w:sz w:val="22"/>
              </w:rPr>
              <w:t>on-monetised benefit</w:t>
            </w:r>
          </w:p>
        </w:tc>
        <w:tc>
          <w:tcPr>
            <w:tcW w:w="3969" w:type="dxa"/>
            <w:shd w:val="clear" w:color="auto" w:fill="auto"/>
          </w:tcPr>
          <w:p w14:paraId="72837ECB" w14:textId="77777777" w:rsidR="0062657E" w:rsidRPr="003247E1" w:rsidRDefault="0062657E" w:rsidP="00C31CD3">
            <w:pPr>
              <w:pStyle w:val="TableText"/>
              <w:spacing w:before="0" w:after="0" w:line="276" w:lineRule="auto"/>
              <w:rPr>
                <w:rFonts w:eastAsia="Calibri" w:cs="Arial"/>
                <w:b/>
                <w:sz w:val="22"/>
              </w:rPr>
            </w:pPr>
          </w:p>
        </w:tc>
        <w:tc>
          <w:tcPr>
            <w:tcW w:w="1737" w:type="dxa"/>
            <w:shd w:val="clear" w:color="auto" w:fill="auto"/>
          </w:tcPr>
          <w:p w14:paraId="39A415C7" w14:textId="739F0DE7" w:rsidR="0062657E" w:rsidRPr="003247E1" w:rsidRDefault="003247E1" w:rsidP="00C31CD3">
            <w:pPr>
              <w:pStyle w:val="TableText"/>
              <w:spacing w:before="0" w:after="0" w:line="276" w:lineRule="auto"/>
              <w:rPr>
                <w:rFonts w:eastAsia="Calibri" w:cs="Arial"/>
                <w:b/>
                <w:sz w:val="22"/>
              </w:rPr>
            </w:pPr>
            <w:r w:rsidRPr="003247E1">
              <w:rPr>
                <w:rFonts w:eastAsia="Calibri" w:cs="Arial"/>
                <w:b/>
                <w:sz w:val="22"/>
              </w:rPr>
              <w:t>Medium</w:t>
            </w:r>
          </w:p>
        </w:tc>
        <w:tc>
          <w:tcPr>
            <w:tcW w:w="1395" w:type="dxa"/>
            <w:shd w:val="clear" w:color="auto" w:fill="auto"/>
          </w:tcPr>
          <w:p w14:paraId="66E439A6" w14:textId="67170411" w:rsidR="0062657E" w:rsidRPr="003247E1" w:rsidRDefault="003247E1" w:rsidP="00C31CD3">
            <w:pPr>
              <w:pStyle w:val="TableText"/>
              <w:spacing w:before="0" w:after="0" w:line="276" w:lineRule="auto"/>
              <w:rPr>
                <w:rFonts w:eastAsia="Calibri" w:cs="Arial"/>
                <w:b/>
                <w:sz w:val="22"/>
              </w:rPr>
            </w:pPr>
            <w:r w:rsidRPr="003247E1">
              <w:rPr>
                <w:rFonts w:eastAsia="Calibri" w:cs="Arial"/>
                <w:b/>
                <w:sz w:val="22"/>
              </w:rPr>
              <w:t>Medium</w:t>
            </w:r>
          </w:p>
        </w:tc>
      </w:tr>
    </w:tbl>
    <w:p w14:paraId="346DFAA8" w14:textId="77777777" w:rsidR="007306AE" w:rsidRPr="00093CBE" w:rsidRDefault="007306AE" w:rsidP="00093CBE">
      <w:pPr>
        <w:pStyle w:val="spacer"/>
        <w:rPr>
          <w:sz w:val="22"/>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49467D" w:rsidRPr="0049467D" w14:paraId="25A53985" w14:textId="77777777" w:rsidTr="00346B30">
        <w:trPr>
          <w:trHeight w:val="193"/>
        </w:trPr>
        <w:tc>
          <w:tcPr>
            <w:tcW w:w="5000" w:type="pct"/>
            <w:shd w:val="clear" w:color="auto" w:fill="99CDDD"/>
            <w:hideMark/>
          </w:tcPr>
          <w:p w14:paraId="0669D88C" w14:textId="7C3BF832" w:rsidR="0062657E" w:rsidRPr="00D16CBD" w:rsidRDefault="00F05AD9" w:rsidP="00D16CBD">
            <w:pPr>
              <w:spacing w:before="60" w:after="60" w:line="240" w:lineRule="auto"/>
              <w:rPr>
                <w:rFonts w:cs="Arial"/>
                <w:b/>
                <w:szCs w:val="22"/>
                <w:lang w:eastAsia="en-AU"/>
              </w:rPr>
            </w:pPr>
            <w:r w:rsidRPr="00D16CBD">
              <w:rPr>
                <w:rFonts w:cs="Arial"/>
                <w:b/>
                <w:szCs w:val="22"/>
                <w:lang w:eastAsia="en-AU"/>
              </w:rPr>
              <w:t xml:space="preserve">5.3   </w:t>
            </w:r>
            <w:r w:rsidR="0062657E" w:rsidRPr="00D16CBD">
              <w:rPr>
                <w:rFonts w:cs="Arial"/>
                <w:b/>
                <w:szCs w:val="22"/>
                <w:lang w:eastAsia="en-AU"/>
              </w:rPr>
              <w:t>What other impacts is this approach likely to have?</w:t>
            </w:r>
          </w:p>
        </w:tc>
      </w:tr>
      <w:tr w:rsidR="0049467D" w:rsidRPr="0049467D" w14:paraId="0F87CE57" w14:textId="77777777" w:rsidTr="00ED526F">
        <w:trPr>
          <w:trHeight w:val="651"/>
        </w:trPr>
        <w:tc>
          <w:tcPr>
            <w:tcW w:w="5000" w:type="pct"/>
            <w:shd w:val="clear" w:color="auto" w:fill="FFFFFF"/>
          </w:tcPr>
          <w:p w14:paraId="18EBE98A" w14:textId="77777777" w:rsidR="004D660D" w:rsidRDefault="004D660D" w:rsidP="004D660D">
            <w:pPr>
              <w:spacing w:after="0"/>
              <w:rPr>
                <w:lang w:eastAsia="en-AU"/>
              </w:rPr>
            </w:pPr>
          </w:p>
          <w:p w14:paraId="7E6B16AF" w14:textId="1A370639" w:rsidR="00A14F92" w:rsidRPr="00D16CBD" w:rsidRDefault="004169D3" w:rsidP="00D16CBD">
            <w:pPr>
              <w:spacing w:after="0"/>
              <w:rPr>
                <w:lang w:eastAsia="en-AU"/>
              </w:rPr>
            </w:pPr>
            <w:r w:rsidRPr="00D16CBD">
              <w:rPr>
                <w:lang w:eastAsia="en-AU"/>
              </w:rPr>
              <w:t xml:space="preserve">This section </w:t>
            </w:r>
            <w:r w:rsidR="00BF3082">
              <w:rPr>
                <w:rFonts w:cs="Arial"/>
                <w:szCs w:val="22"/>
              </w:rPr>
              <w:t>provides more detail</w:t>
            </w:r>
            <w:r w:rsidRPr="00D16CBD">
              <w:rPr>
                <w:lang w:eastAsia="en-AU"/>
              </w:rPr>
              <w:t xml:space="preserve"> on the unintended impacts of the proposal, which </w:t>
            </w:r>
            <w:r w:rsidR="00A14F92" w:rsidRPr="00D16CBD">
              <w:rPr>
                <w:lang w:eastAsia="en-AU"/>
              </w:rPr>
              <w:t xml:space="preserve">can generally be categorised as </w:t>
            </w:r>
            <w:r w:rsidR="00A14F92" w:rsidRPr="005E6833">
              <w:rPr>
                <w:b/>
                <w:lang w:eastAsia="en-AU"/>
              </w:rPr>
              <w:t>economic impacts</w:t>
            </w:r>
            <w:r w:rsidR="00A14F92" w:rsidRPr="00D16CBD">
              <w:rPr>
                <w:lang w:eastAsia="en-AU"/>
              </w:rPr>
              <w:t xml:space="preserve"> or </w:t>
            </w:r>
            <w:r w:rsidR="00A14F92" w:rsidRPr="005E6833">
              <w:rPr>
                <w:b/>
                <w:lang w:eastAsia="en-AU"/>
              </w:rPr>
              <w:t>integrity impacts</w:t>
            </w:r>
            <w:r w:rsidR="00A14F92" w:rsidRPr="00D16CBD">
              <w:rPr>
                <w:lang w:eastAsia="en-AU"/>
              </w:rPr>
              <w:t xml:space="preserve">. The main risk of the proposal is that the tax revenue collected from the proposal may be less than expected due to avoidance arrangements. This might be the case because of </w:t>
            </w:r>
            <w:r w:rsidR="003638B7">
              <w:rPr>
                <w:lang w:eastAsia="en-AU"/>
              </w:rPr>
              <w:t>a greater-than-expected</w:t>
            </w:r>
            <w:r w:rsidR="00A14F92" w:rsidRPr="00D16CBD">
              <w:rPr>
                <w:lang w:eastAsia="en-AU"/>
              </w:rPr>
              <w:t xml:space="preserve"> behavioural response to a new tax rate</w:t>
            </w:r>
            <w:r w:rsidR="00362F56">
              <w:rPr>
                <w:lang w:eastAsia="en-AU"/>
              </w:rPr>
              <w:t xml:space="preserve"> (noting that the behavioural response is highly uncertain)</w:t>
            </w:r>
            <w:r w:rsidR="00A14F92" w:rsidRPr="00D16CBD">
              <w:rPr>
                <w:lang w:eastAsia="en-AU"/>
              </w:rPr>
              <w:t>. These economic and integrity impacts are considered in turn.</w:t>
            </w:r>
          </w:p>
          <w:p w14:paraId="6D524004" w14:textId="77777777" w:rsidR="00A14F92" w:rsidRPr="00D16CBD" w:rsidRDefault="00A14F92" w:rsidP="00A14F92">
            <w:pPr>
              <w:spacing w:after="0"/>
              <w:rPr>
                <w:lang w:eastAsia="en-AU"/>
              </w:rPr>
            </w:pPr>
          </w:p>
          <w:p w14:paraId="076ED0D1" w14:textId="6FF12FB1" w:rsidR="00A14F92" w:rsidRPr="00D16CBD" w:rsidRDefault="00A14F92" w:rsidP="00A14F92">
            <w:pPr>
              <w:spacing w:after="0"/>
              <w:rPr>
                <w:lang w:eastAsia="en-AU"/>
              </w:rPr>
            </w:pPr>
            <w:r w:rsidRPr="00D16CBD">
              <w:rPr>
                <w:lang w:eastAsia="en-AU"/>
              </w:rPr>
              <w:t xml:space="preserve">Unintended </w:t>
            </w:r>
            <w:r w:rsidRPr="005E6833">
              <w:rPr>
                <w:b/>
                <w:lang w:eastAsia="en-AU"/>
              </w:rPr>
              <w:t>economic impacts</w:t>
            </w:r>
            <w:r w:rsidRPr="00D16CBD">
              <w:rPr>
                <w:lang w:eastAsia="en-AU"/>
              </w:rPr>
              <w:t xml:space="preserve"> include the efficiency costs from higher taxes on individual investment and savings, business investment, and human capital and labour markets. These are inevitable (but unintended) downsides of a new higher top marginal tax rate. The costs are likely to be higher per dollar of revenue raised the easier it is for high-income earners to sidestep the new higher tax rate. </w:t>
            </w:r>
          </w:p>
          <w:p w14:paraId="414DA30A" w14:textId="77777777" w:rsidR="00A14F92" w:rsidRPr="00D16CBD" w:rsidRDefault="00A14F92" w:rsidP="00A14F92">
            <w:pPr>
              <w:spacing w:after="0"/>
              <w:rPr>
                <w:lang w:eastAsia="en-AU"/>
              </w:rPr>
            </w:pPr>
          </w:p>
          <w:p w14:paraId="5A748A8D" w14:textId="77777777" w:rsidR="00A14F92" w:rsidRPr="005E6833" w:rsidRDefault="00A14F92" w:rsidP="00A14F92">
            <w:pPr>
              <w:spacing w:after="0"/>
              <w:rPr>
                <w:i/>
                <w:lang w:eastAsia="en-AU"/>
              </w:rPr>
            </w:pPr>
            <w:r w:rsidRPr="005E6833">
              <w:rPr>
                <w:i/>
                <w:lang w:eastAsia="en-AU"/>
              </w:rPr>
              <w:t>Individual investment and savings impact</w:t>
            </w:r>
          </w:p>
          <w:p w14:paraId="43F42DD8" w14:textId="77777777" w:rsidR="00A14F92" w:rsidRPr="00D16CBD" w:rsidRDefault="00A14F92" w:rsidP="00A14F92">
            <w:pPr>
              <w:spacing w:after="0"/>
              <w:rPr>
                <w:lang w:eastAsia="en-AU"/>
              </w:rPr>
            </w:pPr>
          </w:p>
          <w:p w14:paraId="098FA385" w14:textId="0EA71DF4" w:rsidR="00A14F92" w:rsidRDefault="00A14F92" w:rsidP="00D16CBD">
            <w:pPr>
              <w:pStyle w:val="NumberedParagraph"/>
              <w:numPr>
                <w:ilvl w:val="0"/>
                <w:numId w:val="0"/>
              </w:numPr>
              <w:spacing w:after="0" w:line="280" w:lineRule="atLeast"/>
              <w:jc w:val="left"/>
              <w:rPr>
                <w:rFonts w:ascii="Arial" w:eastAsia="Times New Roman" w:hAnsi="Arial" w:cs="Times New Roman"/>
                <w:sz w:val="22"/>
                <w:szCs w:val="20"/>
                <w:lang w:val="en-GB" w:eastAsia="en-AU"/>
              </w:rPr>
            </w:pPr>
            <w:r w:rsidRPr="00D16CBD">
              <w:rPr>
                <w:rFonts w:ascii="Arial" w:eastAsia="Times New Roman" w:hAnsi="Arial" w:cs="Times New Roman"/>
                <w:sz w:val="22"/>
                <w:szCs w:val="20"/>
                <w:lang w:val="en-GB" w:eastAsia="en-AU"/>
              </w:rPr>
              <w:t xml:space="preserve">Taxation has economic costs when it distorts the allocation of investment due to different investments being taxed at different rates. An increase in the top personal rate would thereby impose economic costs by increasing the existing distortions in the allocation of individuals’ savings under the current tax system, which favour investment into certain under-taxed assets (such as land) over </w:t>
            </w:r>
            <w:proofErr w:type="gramStart"/>
            <w:r w:rsidRPr="00D16CBD">
              <w:rPr>
                <w:rFonts w:ascii="Arial" w:eastAsia="Times New Roman" w:hAnsi="Arial" w:cs="Times New Roman"/>
                <w:sz w:val="22"/>
                <w:szCs w:val="20"/>
                <w:lang w:val="en-GB" w:eastAsia="en-AU"/>
              </w:rPr>
              <w:t>fully-taxed</w:t>
            </w:r>
            <w:proofErr w:type="gramEnd"/>
            <w:r w:rsidRPr="00D16CBD">
              <w:rPr>
                <w:rFonts w:ascii="Arial" w:eastAsia="Times New Roman" w:hAnsi="Arial" w:cs="Times New Roman"/>
                <w:sz w:val="22"/>
                <w:szCs w:val="20"/>
                <w:lang w:val="en-GB" w:eastAsia="en-AU"/>
              </w:rPr>
              <w:t xml:space="preserve"> investments (such as interest-earning assets). Furthermore, having different entities taxed at different rates may also impose economic costs if it affects the allocation of savings, for example</w:t>
            </w:r>
            <w:r w:rsidR="000A7816">
              <w:rPr>
                <w:rFonts w:ascii="Arial" w:eastAsia="Times New Roman" w:hAnsi="Arial" w:cs="Times New Roman"/>
                <w:sz w:val="22"/>
                <w:szCs w:val="20"/>
                <w:lang w:val="en-GB" w:eastAsia="en-AU"/>
              </w:rPr>
              <w:t>,</w:t>
            </w:r>
            <w:r w:rsidRPr="00D16CBD">
              <w:rPr>
                <w:rFonts w:ascii="Arial" w:eastAsia="Times New Roman" w:hAnsi="Arial" w:cs="Times New Roman"/>
                <w:sz w:val="22"/>
                <w:szCs w:val="20"/>
                <w:lang w:val="en-GB" w:eastAsia="en-AU"/>
              </w:rPr>
              <w:t xml:space="preserve"> due to </w:t>
            </w:r>
            <w:r w:rsidR="004911B2">
              <w:rPr>
                <w:rFonts w:ascii="Arial" w:eastAsia="Times New Roman" w:hAnsi="Arial" w:cs="Times New Roman"/>
                <w:sz w:val="22"/>
                <w:szCs w:val="20"/>
                <w:lang w:val="en-GB" w:eastAsia="en-GB"/>
              </w:rPr>
              <w:t>restrictions on which investments are allowed for particular entities (</w:t>
            </w:r>
            <w:proofErr w:type="gramStart"/>
            <w:r w:rsidR="004911B2">
              <w:rPr>
                <w:rFonts w:ascii="Arial" w:eastAsia="Times New Roman" w:hAnsi="Arial" w:cs="Times New Roman"/>
                <w:sz w:val="22"/>
                <w:szCs w:val="20"/>
                <w:lang w:val="en-GB" w:eastAsia="en-GB"/>
              </w:rPr>
              <w:t>e.g.</w:t>
            </w:r>
            <w:proofErr w:type="gramEnd"/>
            <w:r w:rsidR="004911B2">
              <w:rPr>
                <w:rFonts w:ascii="Arial" w:eastAsia="Times New Roman" w:hAnsi="Arial" w:cs="Times New Roman"/>
                <w:sz w:val="22"/>
                <w:szCs w:val="20"/>
                <w:lang w:val="en-GB" w:eastAsia="en-GB"/>
              </w:rPr>
              <w:t xml:space="preserve"> PIEs cannot control a business)</w:t>
            </w:r>
            <w:r w:rsidRPr="00305FDF">
              <w:rPr>
                <w:rFonts w:ascii="Arial" w:eastAsia="Times New Roman" w:hAnsi="Arial" w:cs="Times New Roman"/>
                <w:sz w:val="22"/>
                <w:szCs w:val="20"/>
                <w:lang w:val="en-GB" w:eastAsia="en-GB"/>
              </w:rPr>
              <w:t>,</w:t>
            </w:r>
            <w:r w:rsidRPr="00D16CBD">
              <w:rPr>
                <w:rFonts w:ascii="Arial" w:eastAsia="Times New Roman" w:hAnsi="Arial" w:cs="Times New Roman"/>
                <w:sz w:val="22"/>
                <w:szCs w:val="20"/>
                <w:lang w:val="en-GB" w:eastAsia="en-AU"/>
              </w:rPr>
              <w:t xml:space="preserve"> or imposes additional compliance costs. </w:t>
            </w:r>
          </w:p>
          <w:p w14:paraId="4472437B" w14:textId="77777777" w:rsidR="009001B7" w:rsidRPr="00D16CBD" w:rsidRDefault="009001B7" w:rsidP="00D16CBD">
            <w:pPr>
              <w:pStyle w:val="NumberedParagraph"/>
              <w:numPr>
                <w:ilvl w:val="0"/>
                <w:numId w:val="0"/>
              </w:numPr>
              <w:spacing w:after="0" w:line="280" w:lineRule="atLeast"/>
              <w:jc w:val="left"/>
              <w:rPr>
                <w:rFonts w:ascii="Arial" w:eastAsia="Times New Roman" w:hAnsi="Arial" w:cs="Times New Roman"/>
                <w:sz w:val="22"/>
                <w:szCs w:val="20"/>
                <w:lang w:val="en-GB" w:eastAsia="en-AU"/>
              </w:rPr>
            </w:pPr>
          </w:p>
          <w:p w14:paraId="6680D5F1" w14:textId="040E4693" w:rsidR="00A14F92" w:rsidRDefault="00A14F92" w:rsidP="00A14F92">
            <w:pPr>
              <w:spacing w:after="0"/>
              <w:rPr>
                <w:lang w:eastAsia="en-AU"/>
              </w:rPr>
            </w:pPr>
            <w:r w:rsidRPr="00D16CBD">
              <w:rPr>
                <w:lang w:eastAsia="en-AU"/>
              </w:rPr>
              <w:t>In terms of the housing market, a higher top tax rate would be expected to place some upward pressure on the ratio of property prices to rents, although the effects are uncertain.</w:t>
            </w:r>
            <w:r w:rsidRPr="00613B4B">
              <w:rPr>
                <w:rStyle w:val="FootnoteReference"/>
                <w:rFonts w:eastAsia="Calibri" w:cs="Arial"/>
                <w:szCs w:val="22"/>
              </w:rPr>
              <w:footnoteReference w:id="20"/>
            </w:r>
            <w:r w:rsidRPr="00613B4B">
              <w:rPr>
                <w:rStyle w:val="FootnoteReference"/>
                <w:rFonts w:eastAsia="Calibri" w:cs="Arial"/>
                <w:szCs w:val="22"/>
              </w:rPr>
              <w:t xml:space="preserve"> </w:t>
            </w:r>
            <w:r w:rsidRPr="00D16CBD">
              <w:rPr>
                <w:lang w:eastAsia="en-AU"/>
              </w:rPr>
              <w:t>The effect will partly depend on whether the “marginal investor” in the housing market is subject to the higher top tax rate. The effect may be small owing to the small proportion of taxpayers that will be subject to the proposed new tax rate</w:t>
            </w:r>
            <w:r w:rsidR="00C4044D">
              <w:rPr>
                <w:lang w:eastAsia="en-AU"/>
              </w:rPr>
              <w:t>.</w:t>
            </w:r>
          </w:p>
          <w:p w14:paraId="581E0491" w14:textId="77777777" w:rsidR="00C4044D" w:rsidRPr="00D16CBD" w:rsidRDefault="00C4044D" w:rsidP="004D660D">
            <w:pPr>
              <w:spacing w:after="0"/>
              <w:rPr>
                <w:lang w:eastAsia="en-AU"/>
              </w:rPr>
            </w:pPr>
          </w:p>
          <w:p w14:paraId="779C7A54" w14:textId="77777777" w:rsidR="00A14F92" w:rsidRPr="00D16CBD" w:rsidRDefault="00A14F92" w:rsidP="00A14F92">
            <w:pPr>
              <w:spacing w:after="0"/>
              <w:rPr>
                <w:lang w:eastAsia="en-AU"/>
              </w:rPr>
            </w:pPr>
            <w:r w:rsidRPr="00D16CBD">
              <w:rPr>
                <w:lang w:eastAsia="en-AU"/>
              </w:rPr>
              <w:t xml:space="preserve">The impact of a higher top tax rate on the level of household saving is uncertain as there are competing effects. Affected individuals with a savings goal in mind may save more so as to save the same amount after tax, while a higher tax rate on savings income may discourage savings. Most evidence suggests that there would be a small negative impact on aggregate household saving. </w:t>
            </w:r>
          </w:p>
          <w:p w14:paraId="490DEB6A" w14:textId="77777777" w:rsidR="00A14F92" w:rsidRPr="00D16CBD" w:rsidRDefault="00A14F92" w:rsidP="00A14F92">
            <w:pPr>
              <w:spacing w:after="0"/>
              <w:rPr>
                <w:lang w:eastAsia="en-AU"/>
              </w:rPr>
            </w:pPr>
          </w:p>
          <w:p w14:paraId="360D27F0" w14:textId="77777777" w:rsidR="00A14F92" w:rsidRPr="007F4D09" w:rsidRDefault="00A14F92" w:rsidP="00A14F92">
            <w:pPr>
              <w:spacing w:after="0"/>
              <w:rPr>
                <w:i/>
                <w:iCs/>
              </w:rPr>
            </w:pPr>
            <w:r w:rsidRPr="007F4D09">
              <w:rPr>
                <w:i/>
                <w:iCs/>
              </w:rPr>
              <w:t>Business investment</w:t>
            </w:r>
          </w:p>
          <w:p w14:paraId="31C1E147" w14:textId="77777777" w:rsidR="00A14F92" w:rsidRPr="00D16CBD" w:rsidRDefault="00A14F92" w:rsidP="00A14F92">
            <w:pPr>
              <w:spacing w:after="0"/>
              <w:rPr>
                <w:lang w:eastAsia="en-AU"/>
              </w:rPr>
            </w:pPr>
          </w:p>
          <w:p w14:paraId="75EC3862" w14:textId="77777777" w:rsidR="00A14F92" w:rsidRPr="00D16CBD" w:rsidRDefault="00A14F92" w:rsidP="00A14F92">
            <w:pPr>
              <w:spacing w:after="0"/>
              <w:rPr>
                <w:lang w:eastAsia="en-AU"/>
              </w:rPr>
            </w:pPr>
            <w:r w:rsidRPr="00D16CBD">
              <w:rPr>
                <w:lang w:eastAsia="en-AU"/>
              </w:rPr>
              <w:t>A higher top personal rate is likely to only have a relatively small impact on the level of business investment. This is because New Zealand can access capital from foreign investors and, for foreign investors, the company tax rate is the rate that determines the amount of tax paid on investment income. However, there may be a small impact on business investment to the extent that domestic saving influences domestic investment. A higher top rate would likely matter more in sectors where the ability of New Zealand firms to access foreign capital is limited (particularly small businesses, unlisted businesses, and rental property investments).</w:t>
            </w:r>
          </w:p>
          <w:p w14:paraId="023BEE68" w14:textId="77777777" w:rsidR="00A14F92" w:rsidRPr="00D16CBD" w:rsidRDefault="00A14F92" w:rsidP="00A14F92">
            <w:pPr>
              <w:spacing w:after="0"/>
              <w:rPr>
                <w:lang w:eastAsia="en-AU"/>
              </w:rPr>
            </w:pPr>
          </w:p>
          <w:p w14:paraId="4CEA1FB9" w14:textId="77777777" w:rsidR="005D4E9E" w:rsidRDefault="005D4E9E" w:rsidP="005D4E9E">
            <w:pPr>
              <w:keepNext/>
              <w:spacing w:after="0"/>
              <w:rPr>
                <w:i/>
                <w:iCs/>
              </w:rPr>
            </w:pPr>
          </w:p>
          <w:p w14:paraId="5035C759" w14:textId="2889E385" w:rsidR="00A14F92" w:rsidRPr="00E12533" w:rsidRDefault="00A14F92" w:rsidP="005D4E9E">
            <w:pPr>
              <w:keepNext/>
              <w:spacing w:after="0"/>
              <w:rPr>
                <w:i/>
                <w:iCs/>
              </w:rPr>
            </w:pPr>
            <w:r w:rsidRPr="00E12533">
              <w:rPr>
                <w:i/>
                <w:iCs/>
              </w:rPr>
              <w:t>Human capital and labour market impacts</w:t>
            </w:r>
          </w:p>
          <w:p w14:paraId="3A2D8AAF" w14:textId="77777777" w:rsidR="00A14F92" w:rsidRPr="00D16CBD" w:rsidRDefault="00A14F92" w:rsidP="00A14F92">
            <w:pPr>
              <w:spacing w:after="0"/>
              <w:rPr>
                <w:lang w:eastAsia="en-AU"/>
              </w:rPr>
            </w:pPr>
          </w:p>
          <w:p w14:paraId="002E34E5" w14:textId="77777777" w:rsidR="00A14F92" w:rsidRPr="00D16CBD" w:rsidRDefault="00A14F92" w:rsidP="00A14F92">
            <w:pPr>
              <w:spacing w:after="0"/>
              <w:rPr>
                <w:lang w:eastAsia="en-AU"/>
              </w:rPr>
            </w:pPr>
            <w:r w:rsidRPr="00D16CBD">
              <w:rPr>
                <w:lang w:eastAsia="en-AU"/>
              </w:rPr>
              <w:t>The introduction of a new top personal tax rate would likely have a small negative effect on labour supply overall through its effects on hours worked and job choice. There is also a risk that an increase in the top personal rate would reduce the number of highly skilled workers in New Zealand and reduce the efficiency of the allocation of labour. These impacts would arise through the following channels:</w:t>
            </w:r>
          </w:p>
          <w:p w14:paraId="07AFD617" w14:textId="77777777" w:rsidR="00A14F92" w:rsidRPr="00D16CBD" w:rsidRDefault="00A14F92" w:rsidP="00A14F92">
            <w:pPr>
              <w:spacing w:after="0"/>
              <w:rPr>
                <w:lang w:eastAsia="en-AU"/>
              </w:rPr>
            </w:pPr>
          </w:p>
          <w:p w14:paraId="7FB4D9DD" w14:textId="3C34E086" w:rsidR="00A14F92" w:rsidRPr="00D16CBD" w:rsidRDefault="00A14F92" w:rsidP="00A14F92">
            <w:pPr>
              <w:pStyle w:val="ListParagraph"/>
              <w:numPr>
                <w:ilvl w:val="0"/>
                <w:numId w:val="33"/>
              </w:numPr>
              <w:spacing w:after="0"/>
              <w:rPr>
                <w:lang w:eastAsia="en-AU"/>
              </w:rPr>
            </w:pPr>
            <w:r w:rsidRPr="00D16CBD">
              <w:rPr>
                <w:lang w:eastAsia="en-AU"/>
              </w:rPr>
              <w:t>Migration. Personal taxes affect after-tax incomes, and international evidence indicates this affects migration decisions</w:t>
            </w:r>
            <w:r w:rsidR="001D4D7A">
              <w:rPr>
                <w:lang w:eastAsia="en-AU"/>
              </w:rPr>
              <w:t>.</w:t>
            </w:r>
            <w:r w:rsidR="00563AA3">
              <w:rPr>
                <w:rStyle w:val="FootnoteReference"/>
              </w:rPr>
              <w:footnoteReference w:id="21"/>
            </w:r>
            <w:r w:rsidRPr="00D16CBD">
              <w:rPr>
                <w:lang w:eastAsia="en-AU"/>
              </w:rPr>
              <w:t xml:space="preserve"> The impact is greater for mobile, high-income, and highly skilled workers. </w:t>
            </w:r>
          </w:p>
          <w:p w14:paraId="5816F3A0" w14:textId="77777777" w:rsidR="00A14F92" w:rsidRPr="00D16CBD" w:rsidRDefault="00A14F92" w:rsidP="00A14F92">
            <w:pPr>
              <w:spacing w:after="0"/>
              <w:rPr>
                <w:lang w:eastAsia="en-AU"/>
              </w:rPr>
            </w:pPr>
          </w:p>
          <w:p w14:paraId="038D37E4" w14:textId="77777777" w:rsidR="00A14F92" w:rsidRPr="00D16CBD" w:rsidRDefault="00A14F92" w:rsidP="00A14F92">
            <w:pPr>
              <w:pStyle w:val="ListParagraph"/>
              <w:numPr>
                <w:ilvl w:val="0"/>
                <w:numId w:val="33"/>
              </w:numPr>
              <w:spacing w:after="0"/>
              <w:rPr>
                <w:lang w:eastAsia="en-AU"/>
              </w:rPr>
            </w:pPr>
            <w:r w:rsidRPr="00D16CBD">
              <w:rPr>
                <w:lang w:eastAsia="en-AU"/>
              </w:rPr>
              <w:t xml:space="preserve">Human capital accumulation. A higher top personal tax rate would reduce the financial returns from education and </w:t>
            </w:r>
            <w:proofErr w:type="gramStart"/>
            <w:r w:rsidRPr="00D16CBD">
              <w:rPr>
                <w:lang w:eastAsia="en-AU"/>
              </w:rPr>
              <w:t>upskilling, and</w:t>
            </w:r>
            <w:proofErr w:type="gramEnd"/>
            <w:r w:rsidRPr="00D16CBD">
              <w:rPr>
                <w:lang w:eastAsia="en-AU"/>
              </w:rPr>
              <w:t xml:space="preserve"> may discourage human capital accumulation. The international evidence regarding the impact of taxation on human capital accumulation is mixed, and Inland Revenue expects the impact of this channel to be relatively small overall.</w:t>
            </w:r>
          </w:p>
          <w:p w14:paraId="5BA5D57B" w14:textId="77777777" w:rsidR="00A14F92" w:rsidRPr="00D16CBD" w:rsidRDefault="00A14F92" w:rsidP="00A14F92">
            <w:pPr>
              <w:spacing w:after="0"/>
              <w:rPr>
                <w:lang w:eastAsia="en-AU"/>
              </w:rPr>
            </w:pPr>
          </w:p>
          <w:p w14:paraId="03FBBD9B" w14:textId="77777777" w:rsidR="00A14F92" w:rsidRPr="00D16CBD" w:rsidRDefault="00A14F92" w:rsidP="00A14F92">
            <w:pPr>
              <w:pStyle w:val="ListParagraph"/>
              <w:numPr>
                <w:ilvl w:val="0"/>
                <w:numId w:val="33"/>
              </w:numPr>
              <w:spacing w:after="0"/>
              <w:rPr>
                <w:lang w:eastAsia="en-AU"/>
              </w:rPr>
            </w:pPr>
            <w:r w:rsidRPr="00D16CBD">
              <w:rPr>
                <w:lang w:eastAsia="en-AU"/>
              </w:rPr>
              <w:t xml:space="preserve">Allocation of labour. A potential mismatch between the top personal rate and the tax rate for trusts and companies will lead to many self-employed workers being able to access a lower tax rate than employees. This will favour self-employment over standard employment arrangements which may reduce the efficiency of the allocation of labour. </w:t>
            </w:r>
          </w:p>
          <w:p w14:paraId="6BA5A8B1" w14:textId="77777777" w:rsidR="00A14F92" w:rsidRPr="00D16CBD" w:rsidRDefault="00A14F92" w:rsidP="00A14F92">
            <w:pPr>
              <w:spacing w:after="0"/>
              <w:rPr>
                <w:lang w:eastAsia="en-AU"/>
              </w:rPr>
            </w:pPr>
          </w:p>
          <w:p w14:paraId="4D456FC8" w14:textId="4CC9AD3F" w:rsidR="00A14F92" w:rsidRPr="00D16CBD" w:rsidRDefault="00A14F92" w:rsidP="00A14F92">
            <w:pPr>
              <w:spacing w:after="0"/>
              <w:rPr>
                <w:lang w:eastAsia="en-AU"/>
              </w:rPr>
            </w:pPr>
            <w:r w:rsidRPr="00D16CBD">
              <w:rPr>
                <w:lang w:eastAsia="en-AU"/>
              </w:rPr>
              <w:t xml:space="preserve">Introducing a new top marginal tax rate will inevitably have some efficiency costs. However, a top marginal tax rate of 39 percent is not high compared with other OECD countries, and other countries have been willing to accept the efficiency costs of their top marginal tax rates when they have traded off </w:t>
            </w:r>
            <w:r w:rsidR="00EA65CF">
              <w:rPr>
                <w:lang w:eastAsia="en-AU"/>
              </w:rPr>
              <w:t xml:space="preserve">those </w:t>
            </w:r>
            <w:r w:rsidRPr="00D16CBD">
              <w:rPr>
                <w:lang w:eastAsia="en-AU"/>
              </w:rPr>
              <w:t>efficiency costs against their distributional objectives.</w:t>
            </w:r>
          </w:p>
          <w:p w14:paraId="7BDE31A1" w14:textId="77777777" w:rsidR="00A14F92" w:rsidRPr="00D16CBD" w:rsidRDefault="00A14F92" w:rsidP="00A14F92">
            <w:pPr>
              <w:spacing w:after="0"/>
              <w:rPr>
                <w:lang w:eastAsia="en-AU"/>
              </w:rPr>
            </w:pPr>
          </w:p>
          <w:p w14:paraId="1622F5DC" w14:textId="53964813" w:rsidR="00A14F92" w:rsidRPr="00D16CBD" w:rsidRDefault="00A14F92" w:rsidP="00A14F92">
            <w:pPr>
              <w:spacing w:after="0"/>
              <w:rPr>
                <w:lang w:eastAsia="en-AU"/>
              </w:rPr>
            </w:pPr>
            <w:r w:rsidRPr="00D16CBD">
              <w:rPr>
                <w:lang w:eastAsia="en-AU"/>
              </w:rPr>
              <w:t xml:space="preserve">There are other possible reforms that would have a lower efficiency cost per dollar raised relative to the current proposal, such as having a smaller increase </w:t>
            </w:r>
            <w:r w:rsidR="0073710E">
              <w:rPr>
                <w:lang w:eastAsia="en-AU"/>
              </w:rPr>
              <w:t>in</w:t>
            </w:r>
            <w:r w:rsidRPr="00D16CBD">
              <w:rPr>
                <w:lang w:eastAsia="en-AU"/>
              </w:rPr>
              <w:t xml:space="preserve"> all income tax rates or raising GST. However, these options may not meet the Government’s distributional objectives. The efficiency costs of the current proposal would be mitigated somewhat by the possible integrity measures discussed in this Impact Statement.</w:t>
            </w:r>
          </w:p>
          <w:p w14:paraId="563EC2E0" w14:textId="77777777" w:rsidR="00A14F92" w:rsidRPr="00D16CBD" w:rsidRDefault="00A14F92" w:rsidP="00A14F92">
            <w:pPr>
              <w:spacing w:after="0"/>
              <w:rPr>
                <w:lang w:eastAsia="en-AU"/>
              </w:rPr>
            </w:pPr>
          </w:p>
          <w:p w14:paraId="40C6EFEE" w14:textId="4757E11C" w:rsidR="00A14F92" w:rsidRPr="00D16CBD" w:rsidRDefault="00A14F92" w:rsidP="00A14F92">
            <w:pPr>
              <w:spacing w:after="0"/>
              <w:rPr>
                <w:lang w:eastAsia="en-AU"/>
              </w:rPr>
            </w:pPr>
            <w:r w:rsidRPr="00D16CBD">
              <w:rPr>
                <w:lang w:eastAsia="en-AU"/>
              </w:rPr>
              <w:t xml:space="preserve">Unintended </w:t>
            </w:r>
            <w:r w:rsidRPr="002A3196">
              <w:rPr>
                <w:b/>
                <w:bCs/>
              </w:rPr>
              <w:t>integrity impacts</w:t>
            </w:r>
            <w:r w:rsidRPr="00D16CBD">
              <w:rPr>
                <w:lang w:eastAsia="en-AU"/>
              </w:rPr>
              <w:t xml:space="preserve"> include impacts resulting from structuring to avoid the 39 percent rate. </w:t>
            </w:r>
            <w:r w:rsidR="004572C6">
              <w:t xml:space="preserve">These include reduced revenue, but also a negative impact on voluntary compliance if taxpayers have a view that avoidance is widespread. </w:t>
            </w:r>
            <w:r w:rsidRPr="00D16CBD">
              <w:rPr>
                <w:lang w:eastAsia="en-AU"/>
              </w:rPr>
              <w:t>Inland Revenue considers the risk of these impacts to be significant and the preferred approach for mitigating these risks is to increase the trustee rate</w:t>
            </w:r>
            <w:r w:rsidR="000C29D0">
              <w:rPr>
                <w:lang w:eastAsia="en-AU"/>
              </w:rPr>
              <w:t xml:space="preserve"> and to</w:t>
            </w:r>
            <w:r w:rsidRPr="00D16CBD">
              <w:rPr>
                <w:lang w:eastAsia="en-AU"/>
              </w:rPr>
              <w:t xml:space="preserve"> </w:t>
            </w:r>
            <w:r w:rsidR="000C29D0">
              <w:t>investigate</w:t>
            </w:r>
            <w:r w:rsidRPr="00D16CBD">
              <w:rPr>
                <w:lang w:eastAsia="en-AU"/>
              </w:rPr>
              <w:t xml:space="preserve"> supporting integrity measures. </w:t>
            </w:r>
          </w:p>
          <w:p w14:paraId="2AEF4E29" w14:textId="77777777" w:rsidR="00A14F92" w:rsidRPr="00D16CBD" w:rsidRDefault="00A14F92" w:rsidP="00A14F92">
            <w:pPr>
              <w:spacing w:after="0"/>
              <w:rPr>
                <w:lang w:eastAsia="en-AU"/>
              </w:rPr>
            </w:pPr>
          </w:p>
          <w:p w14:paraId="3996466C" w14:textId="77777777" w:rsidR="00A14F92" w:rsidRPr="00D16CBD" w:rsidRDefault="00A14F92" w:rsidP="00A14F92">
            <w:pPr>
              <w:spacing w:after="0"/>
              <w:rPr>
                <w:lang w:eastAsia="en-AU"/>
              </w:rPr>
            </w:pPr>
            <w:r w:rsidRPr="00D16CBD">
              <w:rPr>
                <w:lang w:eastAsia="en-AU"/>
              </w:rPr>
              <w:t>Some of the integrity impacts arise from a misalignment between the top personal tax rate and the company tax rate. Even with a top marginal tax rate of 39 percent, the gap between the company tax rate and the top personal rate of 11 percentage points would be smaller than the gap in most OECD countries. However, New Zealand is particularly vulnerable to a gap between the company tax rate and the top personal marginal tax rate because of the absence of a general tax on capital gains.</w:t>
            </w:r>
          </w:p>
          <w:p w14:paraId="55187AAB" w14:textId="77777777" w:rsidR="00A14F92" w:rsidRPr="00D16CBD" w:rsidRDefault="00A14F92" w:rsidP="00A14F92">
            <w:pPr>
              <w:spacing w:after="0"/>
              <w:rPr>
                <w:lang w:eastAsia="en-AU"/>
              </w:rPr>
            </w:pPr>
          </w:p>
          <w:p w14:paraId="2726DF5E" w14:textId="77777777" w:rsidR="00A14F92" w:rsidRPr="00D16CBD" w:rsidRDefault="00A14F92" w:rsidP="00A14F92">
            <w:pPr>
              <w:spacing w:after="0"/>
              <w:rPr>
                <w:lang w:eastAsia="en-AU"/>
              </w:rPr>
            </w:pPr>
            <w:r w:rsidRPr="00D16CBD">
              <w:rPr>
                <w:lang w:eastAsia="en-AU"/>
              </w:rPr>
              <w:t xml:space="preserve">There are already existing concerns arising from the differences between entity and personal rates in the current system. The bunching of self-employed people at the current tax thresholds in </w:t>
            </w:r>
            <w:r w:rsidRPr="00F93712">
              <w:rPr>
                <w:b/>
                <w:bCs/>
              </w:rPr>
              <w:t>Figure 2</w:t>
            </w:r>
            <w:r w:rsidRPr="00D16CBD">
              <w:rPr>
                <w:lang w:eastAsia="en-AU"/>
              </w:rPr>
              <w:t xml:space="preserve"> suggests that structures are being used by taxpayers to avoid the current top personal rate: </w:t>
            </w:r>
          </w:p>
          <w:p w14:paraId="1953EC8C" w14:textId="77777777" w:rsidR="00A14F92" w:rsidRPr="00D16CBD" w:rsidRDefault="00A14F92" w:rsidP="00A14F92">
            <w:pPr>
              <w:spacing w:after="0"/>
              <w:rPr>
                <w:lang w:eastAsia="en-AU"/>
              </w:rPr>
            </w:pPr>
          </w:p>
          <w:p w14:paraId="43A670B4" w14:textId="77777777" w:rsidR="00A14F92" w:rsidRPr="00A86FB1" w:rsidRDefault="00A14F92" w:rsidP="00A14F92">
            <w:pPr>
              <w:spacing w:after="0"/>
              <w:rPr>
                <w:b/>
                <w:bCs/>
              </w:rPr>
            </w:pPr>
            <w:r w:rsidRPr="00A86FB1">
              <w:rPr>
                <w:b/>
                <w:bCs/>
              </w:rPr>
              <w:t>Figure 2: Taxable income distribution: PAYE and non-PAYE income (2018)</w:t>
            </w:r>
          </w:p>
          <w:p w14:paraId="633E8BEB" w14:textId="07001540" w:rsidR="00A14F92" w:rsidRPr="00D16CBD" w:rsidRDefault="005F0D13" w:rsidP="00A14F92">
            <w:pPr>
              <w:spacing w:after="0"/>
              <w:rPr>
                <w:lang w:eastAsia="en-AU"/>
              </w:rPr>
            </w:pPr>
            <w:r>
              <w:rPr>
                <w:noProof/>
                <w:lang w:eastAsia="en-AU"/>
              </w:rPr>
              <w:drawing>
                <wp:inline distT="0" distB="0" distL="0" distR="0" wp14:anchorId="4BB3D2B8" wp14:editId="3C89A15C">
                  <wp:extent cx="5248910" cy="31946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3194685"/>
                          </a:xfrm>
                          <a:prstGeom prst="rect">
                            <a:avLst/>
                          </a:prstGeom>
                          <a:noFill/>
                        </pic:spPr>
                      </pic:pic>
                    </a:graphicData>
                  </a:graphic>
                </wp:inline>
              </w:drawing>
            </w:r>
          </w:p>
          <w:p w14:paraId="70B92083" w14:textId="07EDEF3C" w:rsidR="00A14F92" w:rsidRPr="00D16CBD" w:rsidRDefault="00A14F92" w:rsidP="00A14F92">
            <w:pPr>
              <w:spacing w:after="0"/>
              <w:rPr>
                <w:lang w:eastAsia="en-AU"/>
              </w:rPr>
            </w:pPr>
            <w:r w:rsidRPr="00D16CBD">
              <w:rPr>
                <w:lang w:eastAsia="en-AU"/>
              </w:rPr>
              <w:t xml:space="preserve"> </w:t>
            </w:r>
            <w:r w:rsidRPr="00305FDF">
              <w:rPr>
                <w:sz w:val="18"/>
                <w:szCs w:val="16"/>
              </w:rPr>
              <w:t xml:space="preserve">Source: The Treasury’s analysis of Inland Revenue administrative data. </w:t>
            </w:r>
          </w:p>
          <w:p w14:paraId="09213B5A" w14:textId="77777777" w:rsidR="00A14F92" w:rsidRPr="00D16CBD" w:rsidRDefault="00A14F92" w:rsidP="00A14F92">
            <w:pPr>
              <w:spacing w:after="0"/>
              <w:rPr>
                <w:lang w:eastAsia="en-AU"/>
              </w:rPr>
            </w:pPr>
          </w:p>
          <w:p w14:paraId="5AEEA59D" w14:textId="41EF25AA" w:rsidR="00A14F92" w:rsidRPr="00D16CBD" w:rsidRDefault="00A14F92" w:rsidP="00A14F92">
            <w:pPr>
              <w:spacing w:after="0"/>
              <w:rPr>
                <w:lang w:eastAsia="en-AU"/>
              </w:rPr>
            </w:pPr>
            <w:r w:rsidRPr="00D16CBD">
              <w:rPr>
                <w:lang w:eastAsia="en-AU"/>
              </w:rPr>
              <w:t>Inland Revenue considers that a higher top personal rate will increase integrity pressures. Evidence to support that expectation comes from the increased avoidance of the top personal tax rate that occurred in response to the increase in the top personal rate in 2000:</w:t>
            </w:r>
          </w:p>
          <w:p w14:paraId="5CD6262F" w14:textId="77777777" w:rsidR="005D4E9E" w:rsidRDefault="005D4E9E" w:rsidP="00A14F92">
            <w:pPr>
              <w:spacing w:after="0"/>
              <w:rPr>
                <w:b/>
                <w:bCs/>
              </w:rPr>
            </w:pPr>
          </w:p>
          <w:p w14:paraId="3E8D4002" w14:textId="77777777" w:rsidR="005D4E9E" w:rsidRDefault="005D4E9E" w:rsidP="00A14F92">
            <w:pPr>
              <w:spacing w:after="0"/>
              <w:rPr>
                <w:b/>
                <w:bCs/>
              </w:rPr>
            </w:pPr>
          </w:p>
          <w:p w14:paraId="049B3E0C" w14:textId="77777777" w:rsidR="005D4E9E" w:rsidRDefault="005D4E9E" w:rsidP="00A14F92">
            <w:pPr>
              <w:spacing w:after="0"/>
              <w:rPr>
                <w:b/>
                <w:bCs/>
              </w:rPr>
            </w:pPr>
          </w:p>
          <w:p w14:paraId="10DE0C79" w14:textId="77777777" w:rsidR="005D4E9E" w:rsidRDefault="005D4E9E" w:rsidP="00A14F92">
            <w:pPr>
              <w:spacing w:after="0"/>
              <w:rPr>
                <w:b/>
                <w:bCs/>
              </w:rPr>
            </w:pPr>
          </w:p>
          <w:p w14:paraId="29F44311" w14:textId="77777777" w:rsidR="005D4E9E" w:rsidRDefault="005D4E9E" w:rsidP="00A14F92">
            <w:pPr>
              <w:spacing w:after="0"/>
              <w:rPr>
                <w:b/>
                <w:bCs/>
              </w:rPr>
            </w:pPr>
          </w:p>
          <w:p w14:paraId="7A59E785" w14:textId="77777777" w:rsidR="005D4E9E" w:rsidRDefault="005D4E9E" w:rsidP="00A14F92">
            <w:pPr>
              <w:spacing w:after="0"/>
              <w:rPr>
                <w:b/>
                <w:bCs/>
              </w:rPr>
            </w:pPr>
          </w:p>
          <w:p w14:paraId="23220E57" w14:textId="77777777" w:rsidR="005D4E9E" w:rsidRDefault="005D4E9E" w:rsidP="00A14F92">
            <w:pPr>
              <w:spacing w:after="0"/>
              <w:rPr>
                <w:b/>
                <w:bCs/>
              </w:rPr>
            </w:pPr>
          </w:p>
          <w:p w14:paraId="74E617A1" w14:textId="77777777" w:rsidR="005D4E9E" w:rsidRDefault="005D4E9E" w:rsidP="00A14F92">
            <w:pPr>
              <w:spacing w:after="0"/>
              <w:rPr>
                <w:b/>
                <w:bCs/>
              </w:rPr>
            </w:pPr>
          </w:p>
          <w:p w14:paraId="4A494F95" w14:textId="77777777" w:rsidR="005D4E9E" w:rsidRDefault="005D4E9E" w:rsidP="00A14F92">
            <w:pPr>
              <w:spacing w:after="0"/>
              <w:rPr>
                <w:b/>
                <w:bCs/>
              </w:rPr>
            </w:pPr>
          </w:p>
          <w:p w14:paraId="1507AA91" w14:textId="77777777" w:rsidR="005D4E9E" w:rsidRDefault="005D4E9E" w:rsidP="00A14F92">
            <w:pPr>
              <w:spacing w:after="0"/>
              <w:rPr>
                <w:b/>
                <w:bCs/>
              </w:rPr>
            </w:pPr>
          </w:p>
          <w:p w14:paraId="1879EB49" w14:textId="77777777" w:rsidR="005D4E9E" w:rsidRDefault="005D4E9E" w:rsidP="00A14F92">
            <w:pPr>
              <w:spacing w:after="0"/>
              <w:rPr>
                <w:b/>
                <w:bCs/>
              </w:rPr>
            </w:pPr>
          </w:p>
          <w:p w14:paraId="06056D5D" w14:textId="77777777" w:rsidR="005D4E9E" w:rsidRDefault="005D4E9E" w:rsidP="00A14F92">
            <w:pPr>
              <w:spacing w:after="0"/>
              <w:rPr>
                <w:b/>
                <w:bCs/>
              </w:rPr>
            </w:pPr>
          </w:p>
          <w:p w14:paraId="7450436D" w14:textId="77777777" w:rsidR="005D4E9E" w:rsidRDefault="005D4E9E" w:rsidP="00A14F92">
            <w:pPr>
              <w:spacing w:after="0"/>
              <w:rPr>
                <w:b/>
                <w:bCs/>
              </w:rPr>
            </w:pPr>
          </w:p>
          <w:p w14:paraId="5F8E55FF" w14:textId="77777777" w:rsidR="005D4E9E" w:rsidRDefault="005D4E9E" w:rsidP="00A14F92">
            <w:pPr>
              <w:spacing w:after="0"/>
              <w:rPr>
                <w:b/>
                <w:bCs/>
              </w:rPr>
            </w:pPr>
          </w:p>
          <w:p w14:paraId="1922F4C3" w14:textId="77777777" w:rsidR="005D4E9E" w:rsidRDefault="005D4E9E" w:rsidP="00A14F92">
            <w:pPr>
              <w:spacing w:after="0"/>
              <w:rPr>
                <w:b/>
                <w:bCs/>
              </w:rPr>
            </w:pPr>
          </w:p>
          <w:p w14:paraId="5236CEAB" w14:textId="77777777" w:rsidR="002B31FC" w:rsidRDefault="002B31FC" w:rsidP="00A14F92">
            <w:pPr>
              <w:spacing w:after="0"/>
              <w:rPr>
                <w:b/>
                <w:bCs/>
              </w:rPr>
            </w:pPr>
          </w:p>
          <w:p w14:paraId="480B4F72" w14:textId="77777777" w:rsidR="005D4E9E" w:rsidRDefault="005D4E9E" w:rsidP="00A14F92">
            <w:pPr>
              <w:spacing w:after="0"/>
              <w:rPr>
                <w:b/>
                <w:bCs/>
              </w:rPr>
            </w:pPr>
          </w:p>
          <w:p w14:paraId="3F4304B4" w14:textId="77777777" w:rsidR="005D4E9E" w:rsidRDefault="005D4E9E" w:rsidP="00A14F92">
            <w:pPr>
              <w:spacing w:after="0"/>
              <w:rPr>
                <w:b/>
                <w:bCs/>
              </w:rPr>
            </w:pPr>
          </w:p>
          <w:p w14:paraId="021883A1" w14:textId="77777777" w:rsidR="005D4E9E" w:rsidRDefault="005D4E9E" w:rsidP="00A14F92">
            <w:pPr>
              <w:spacing w:after="0"/>
              <w:rPr>
                <w:b/>
                <w:bCs/>
              </w:rPr>
            </w:pPr>
          </w:p>
          <w:p w14:paraId="15C21CAF" w14:textId="77777777" w:rsidR="005D4E9E" w:rsidRDefault="005D4E9E" w:rsidP="00A14F92">
            <w:pPr>
              <w:spacing w:after="0"/>
              <w:rPr>
                <w:b/>
                <w:bCs/>
              </w:rPr>
            </w:pPr>
          </w:p>
          <w:p w14:paraId="102E9505" w14:textId="434A5595" w:rsidR="00A14F92" w:rsidRDefault="00A14F92" w:rsidP="00A14F92">
            <w:pPr>
              <w:spacing w:after="0"/>
              <w:rPr>
                <w:b/>
                <w:bCs/>
              </w:rPr>
            </w:pPr>
            <w:r w:rsidRPr="00C12D56">
              <w:rPr>
                <w:b/>
                <w:bCs/>
              </w:rPr>
              <w:t>Figure 3</w:t>
            </w:r>
            <w:r>
              <w:rPr>
                <w:b/>
                <w:bCs/>
              </w:rPr>
              <w:t>:</w:t>
            </w:r>
            <w:r w:rsidRPr="00C12D56">
              <w:rPr>
                <w:b/>
                <w:bCs/>
              </w:rPr>
              <w:t xml:space="preserve"> Taxable income distribution: self-employed (2000 vs. 2001-2008)</w:t>
            </w:r>
          </w:p>
          <w:p w14:paraId="6617A8E5" w14:textId="77777777" w:rsidR="00A14F92" w:rsidRPr="00C12D56" w:rsidRDefault="00A14F92" w:rsidP="00A14F92">
            <w:pPr>
              <w:spacing w:after="0"/>
              <w:rPr>
                <w:b/>
                <w:bCs/>
              </w:rPr>
            </w:pPr>
          </w:p>
          <w:p w14:paraId="34B74F5B" w14:textId="4372156A" w:rsidR="00A14F92" w:rsidRPr="00D16CBD" w:rsidRDefault="00A14F92" w:rsidP="00A14F92">
            <w:pPr>
              <w:spacing w:after="0"/>
              <w:rPr>
                <w:lang w:eastAsia="en-AU"/>
              </w:rPr>
            </w:pPr>
            <w:r w:rsidRPr="00D16CBD">
              <w:rPr>
                <w:noProof/>
                <w:lang w:eastAsia="en-AU"/>
              </w:rPr>
              <w:drawing>
                <wp:inline distT="0" distB="0" distL="0" distR="0" wp14:anchorId="560BEBE7" wp14:editId="2265D230">
                  <wp:extent cx="4626610" cy="31076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6610" cy="3107690"/>
                          </a:xfrm>
                          <a:prstGeom prst="rect">
                            <a:avLst/>
                          </a:prstGeom>
                          <a:noFill/>
                          <a:ln>
                            <a:noFill/>
                          </a:ln>
                        </pic:spPr>
                      </pic:pic>
                    </a:graphicData>
                  </a:graphic>
                </wp:inline>
              </w:drawing>
            </w:r>
          </w:p>
          <w:p w14:paraId="776C1AB1" w14:textId="77777777" w:rsidR="00A14F92" w:rsidRPr="00613B4B" w:rsidRDefault="00A14F92" w:rsidP="00A14F92">
            <w:pPr>
              <w:spacing w:after="0"/>
              <w:rPr>
                <w:rStyle w:val="FootnoteReference"/>
                <w:rFonts w:eastAsia="Calibri" w:cs="Arial"/>
                <w:szCs w:val="22"/>
              </w:rPr>
            </w:pPr>
            <w:r w:rsidRPr="00305FDF">
              <w:rPr>
                <w:sz w:val="18"/>
                <w:szCs w:val="16"/>
              </w:rPr>
              <w:t xml:space="preserve">Source: </w:t>
            </w:r>
            <w:proofErr w:type="spellStart"/>
            <w:r w:rsidRPr="00305FDF">
              <w:rPr>
                <w:sz w:val="18"/>
                <w:szCs w:val="16"/>
              </w:rPr>
              <w:t>Alinaghi</w:t>
            </w:r>
            <w:proofErr w:type="spellEnd"/>
            <w:r w:rsidRPr="00305FDF">
              <w:rPr>
                <w:sz w:val="18"/>
                <w:szCs w:val="16"/>
              </w:rPr>
              <w:t>, Creedy, &amp; Gemmell.</w:t>
            </w:r>
            <w:r w:rsidRPr="00613B4B">
              <w:rPr>
                <w:rStyle w:val="FootnoteReference"/>
                <w:rFonts w:eastAsia="Calibri" w:cs="Arial"/>
                <w:szCs w:val="22"/>
              </w:rPr>
              <w:footnoteReference w:id="22"/>
            </w:r>
          </w:p>
          <w:p w14:paraId="0948E0D4" w14:textId="77777777" w:rsidR="00A14F92" w:rsidRPr="00D16CBD" w:rsidRDefault="00A14F92" w:rsidP="00A14F92">
            <w:pPr>
              <w:spacing w:after="0"/>
              <w:rPr>
                <w:lang w:eastAsia="en-AU"/>
              </w:rPr>
            </w:pPr>
          </w:p>
          <w:p w14:paraId="4BE5E77A" w14:textId="77777777" w:rsidR="00A14F92" w:rsidRPr="00D16CBD" w:rsidRDefault="00A14F92" w:rsidP="00A14F92">
            <w:pPr>
              <w:spacing w:after="0"/>
              <w:rPr>
                <w:lang w:eastAsia="en-AU"/>
              </w:rPr>
            </w:pPr>
            <w:r w:rsidRPr="00F93712">
              <w:rPr>
                <w:b/>
                <w:bCs/>
              </w:rPr>
              <w:t>Figure 3</w:t>
            </w:r>
            <w:r w:rsidRPr="00D16CBD">
              <w:rPr>
                <w:lang w:eastAsia="en-AU"/>
              </w:rPr>
              <w:t xml:space="preserve"> shows the distributions of income from self-employment before and after the increase in the top personal rate. The bunching of self-employed people at the new threshold after 2000 shows that there was substantial movement by the self-employed to avoid the higher top personal rate. Measures were taken to mitigate the avoidance of the top rate, including court cases</w:t>
            </w:r>
            <w:r w:rsidRPr="00613B4B">
              <w:rPr>
                <w:rStyle w:val="FootnoteReference"/>
                <w:rFonts w:eastAsia="Calibri" w:cs="Arial"/>
                <w:szCs w:val="22"/>
              </w:rPr>
              <w:footnoteReference w:id="23"/>
            </w:r>
            <w:r w:rsidRPr="00613B4B">
              <w:rPr>
                <w:rStyle w:val="FootnoteReference"/>
                <w:rFonts w:eastAsia="Calibri" w:cs="Arial"/>
                <w:szCs w:val="22"/>
              </w:rPr>
              <w:t xml:space="preserve"> </w:t>
            </w:r>
            <w:r w:rsidRPr="00D16CBD">
              <w:rPr>
                <w:lang w:eastAsia="en-AU"/>
              </w:rPr>
              <w:t>and new income tax rules.</w:t>
            </w:r>
            <w:r w:rsidRPr="00613B4B">
              <w:rPr>
                <w:rStyle w:val="FootnoteReference"/>
                <w:rFonts w:eastAsia="Calibri" w:cs="Arial"/>
                <w:szCs w:val="22"/>
              </w:rPr>
              <w:footnoteReference w:id="24"/>
            </w:r>
            <w:r w:rsidRPr="00613B4B">
              <w:rPr>
                <w:rStyle w:val="FootnoteReference"/>
                <w:rFonts w:eastAsia="Calibri" w:cs="Arial"/>
                <w:szCs w:val="22"/>
              </w:rPr>
              <w:t xml:space="preserve"> </w:t>
            </w:r>
            <w:r w:rsidRPr="00D16CBD">
              <w:rPr>
                <w:lang w:eastAsia="en-AU"/>
              </w:rPr>
              <w:t xml:space="preserve">The measures reduced the use of the relevant structures to some extent. </w:t>
            </w:r>
          </w:p>
          <w:p w14:paraId="4DEE1194" w14:textId="77777777" w:rsidR="00A14F92" w:rsidRPr="00D16CBD" w:rsidRDefault="00A14F92" w:rsidP="00A14F92">
            <w:pPr>
              <w:spacing w:after="0"/>
              <w:rPr>
                <w:lang w:eastAsia="en-AU"/>
              </w:rPr>
            </w:pPr>
          </w:p>
          <w:p w14:paraId="412547F0" w14:textId="77777777" w:rsidR="00A14F92" w:rsidRPr="00D16CBD" w:rsidRDefault="00A14F92" w:rsidP="00A14F92">
            <w:pPr>
              <w:spacing w:after="0"/>
              <w:rPr>
                <w:lang w:eastAsia="en-AU"/>
              </w:rPr>
            </w:pPr>
            <w:r w:rsidRPr="00D16CBD">
              <w:rPr>
                <w:lang w:eastAsia="en-AU"/>
              </w:rPr>
              <w:t>Officials are concerned that increased structuring could have unintended integrity impacts on:</w:t>
            </w:r>
          </w:p>
          <w:p w14:paraId="4E458E9D" w14:textId="77777777" w:rsidR="00A14F92" w:rsidRPr="00D16CBD" w:rsidRDefault="00A14F92" w:rsidP="00A14F92">
            <w:pPr>
              <w:spacing w:after="0"/>
              <w:rPr>
                <w:lang w:eastAsia="en-AU"/>
              </w:rPr>
            </w:pPr>
          </w:p>
          <w:p w14:paraId="5D7D015D" w14:textId="18F43A4C" w:rsidR="00A14F92" w:rsidRPr="00D16CBD" w:rsidRDefault="00A14F92" w:rsidP="00A14F92">
            <w:pPr>
              <w:pStyle w:val="ListParagraph"/>
              <w:numPr>
                <w:ilvl w:val="0"/>
                <w:numId w:val="34"/>
              </w:numPr>
              <w:spacing w:after="0"/>
              <w:rPr>
                <w:lang w:eastAsia="en-AU"/>
              </w:rPr>
            </w:pPr>
            <w:r w:rsidRPr="00D16CBD">
              <w:rPr>
                <w:lang w:eastAsia="en-AU"/>
              </w:rPr>
              <w:t>Revenue. Tax collected from a higher top personal rate will be reduced due to structuring activity. This is due to the direct impact of taxpayers being able to earn their income through lower-taxed entities, such as trusts and companies. It is also because an inconsistent rate structure makes it harder for courts to find tax avoidance when the different rates mean it is difficult to determine whether a structure undermines what Parliament contemplated.</w:t>
            </w:r>
          </w:p>
          <w:p w14:paraId="1FAA2EF2" w14:textId="77777777" w:rsidR="00A14F92" w:rsidRPr="00D16CBD" w:rsidRDefault="00A14F92" w:rsidP="00A14F92">
            <w:pPr>
              <w:spacing w:after="0"/>
              <w:rPr>
                <w:lang w:eastAsia="en-AU"/>
              </w:rPr>
            </w:pPr>
          </w:p>
          <w:p w14:paraId="5ED7AB71" w14:textId="77777777" w:rsidR="00A14F92" w:rsidRPr="00D16CBD" w:rsidRDefault="00A14F92" w:rsidP="00A14F92">
            <w:pPr>
              <w:pStyle w:val="ListParagraph"/>
              <w:numPr>
                <w:ilvl w:val="0"/>
                <w:numId w:val="34"/>
              </w:numPr>
              <w:spacing w:after="0"/>
              <w:rPr>
                <w:lang w:eastAsia="en-AU"/>
              </w:rPr>
            </w:pPr>
            <w:r w:rsidRPr="00D16CBD">
              <w:rPr>
                <w:lang w:eastAsia="en-AU"/>
              </w:rPr>
              <w:t xml:space="preserve">Social capital: Perceptions of arbitrary outcomes, such as when some taxpayers can structure to avoid the 39 percent rate, will erode public confidence in the integrity of the tax systems and the feeling that all taxpayers are treated fairly. </w:t>
            </w:r>
          </w:p>
          <w:p w14:paraId="12D8EA5E" w14:textId="77777777" w:rsidR="00A14F92" w:rsidRPr="00D16CBD" w:rsidRDefault="00A14F92" w:rsidP="00A14F92">
            <w:pPr>
              <w:spacing w:after="0"/>
              <w:rPr>
                <w:lang w:eastAsia="en-AU"/>
              </w:rPr>
            </w:pPr>
          </w:p>
          <w:p w14:paraId="26A3C33C" w14:textId="77777777" w:rsidR="00A14F92" w:rsidRPr="00D16CBD" w:rsidRDefault="00A14F92" w:rsidP="00A14F92">
            <w:pPr>
              <w:pStyle w:val="ListParagraph"/>
              <w:numPr>
                <w:ilvl w:val="0"/>
                <w:numId w:val="34"/>
              </w:numPr>
              <w:spacing w:after="0"/>
              <w:rPr>
                <w:lang w:eastAsia="en-AU"/>
              </w:rPr>
            </w:pPr>
            <w:r w:rsidRPr="00D16CBD">
              <w:rPr>
                <w:lang w:eastAsia="en-AU"/>
              </w:rPr>
              <w:t>Horizontal and vertical equity: In the absence of integrity measures, more income of high-wealth individuals and others with substantial capital income is likely to flow to lighter-taxed entities. This suggests that a new top personal tax rate in itself will have little effect on taxing the income of the very wealthiest but will instead fall on less wealthy salary and wage earners.</w:t>
            </w:r>
          </w:p>
          <w:p w14:paraId="73859947" w14:textId="77777777" w:rsidR="00A14F92" w:rsidRPr="00D16CBD" w:rsidRDefault="00A14F92" w:rsidP="00D16CBD">
            <w:pPr>
              <w:pStyle w:val="ListParagraph"/>
              <w:spacing w:after="0"/>
              <w:rPr>
                <w:lang w:eastAsia="en-AU"/>
              </w:rPr>
            </w:pPr>
          </w:p>
          <w:p w14:paraId="675639BE" w14:textId="77777777" w:rsidR="00A14F92" w:rsidRPr="00D16CBD" w:rsidRDefault="00A14F92" w:rsidP="00A14F92">
            <w:pPr>
              <w:pStyle w:val="ListParagraph"/>
              <w:numPr>
                <w:ilvl w:val="0"/>
                <w:numId w:val="34"/>
              </w:numPr>
              <w:spacing w:after="0"/>
              <w:rPr>
                <w:lang w:eastAsia="en-AU"/>
              </w:rPr>
            </w:pPr>
            <w:r w:rsidRPr="00D16CBD">
              <w:rPr>
                <w:lang w:eastAsia="en-AU"/>
              </w:rPr>
              <w:t>The tax system. Substantial misalignment between the top personal rate and the rates for companies, trusts, and PIEs will raise broader questions about the coherence of New Zealand’s tax policy settings. There is likely to be considerable pressure on the integrity of the tax system over the long term in the absence of more substantive reform, as taxpayers take advantage of the opportunities to pay tax at lower rates on their income.</w:t>
            </w:r>
          </w:p>
          <w:p w14:paraId="376C3401" w14:textId="77777777" w:rsidR="00A14F92" w:rsidRPr="00D16CBD" w:rsidRDefault="00A14F92" w:rsidP="00A14F92">
            <w:pPr>
              <w:spacing w:after="0"/>
              <w:rPr>
                <w:lang w:eastAsia="en-AU"/>
              </w:rPr>
            </w:pPr>
          </w:p>
          <w:p w14:paraId="30FE5162" w14:textId="77777777" w:rsidR="00A14F92" w:rsidRPr="00D16CBD" w:rsidRDefault="00A14F92" w:rsidP="00A14F92">
            <w:pPr>
              <w:spacing w:after="0"/>
              <w:rPr>
                <w:lang w:eastAsia="en-AU"/>
              </w:rPr>
            </w:pPr>
            <w:r w:rsidRPr="00D16CBD">
              <w:rPr>
                <w:lang w:eastAsia="en-AU"/>
              </w:rPr>
              <w:t>The integrity risks can be mitigated in two ways:</w:t>
            </w:r>
          </w:p>
          <w:p w14:paraId="2784F7A4" w14:textId="77777777" w:rsidR="00A14F92" w:rsidRPr="00D16CBD" w:rsidRDefault="00A14F92" w:rsidP="00A14F92">
            <w:pPr>
              <w:spacing w:after="0"/>
              <w:rPr>
                <w:lang w:eastAsia="en-AU"/>
              </w:rPr>
            </w:pPr>
          </w:p>
          <w:p w14:paraId="331D1CA8" w14:textId="00085CC7" w:rsidR="00A14F92" w:rsidRPr="00D16CBD" w:rsidRDefault="00A14F92" w:rsidP="00A14F92">
            <w:pPr>
              <w:pStyle w:val="ListParagraph"/>
              <w:numPr>
                <w:ilvl w:val="0"/>
                <w:numId w:val="36"/>
              </w:numPr>
              <w:spacing w:after="0"/>
              <w:rPr>
                <w:lang w:eastAsia="en-AU"/>
              </w:rPr>
            </w:pPr>
            <w:r>
              <w:t xml:space="preserve">By imposing a 39 percent rate on </w:t>
            </w:r>
            <w:r w:rsidR="00277546">
              <w:t>trustee income</w:t>
            </w:r>
            <w:r w:rsidR="00A24BB1">
              <w:t xml:space="preserve">, </w:t>
            </w:r>
            <w:r w:rsidR="001D0C17">
              <w:t>since trusts are</w:t>
            </w:r>
            <w:r w:rsidR="00563AA3">
              <w:t xml:space="preserve"> the</w:t>
            </w:r>
            <w:r w:rsidR="001D0C17">
              <w:t xml:space="preserve"> primary</w:t>
            </w:r>
            <w:r w:rsidR="00563AA3">
              <w:t xml:space="preserve"> vehicle </w:t>
            </w:r>
            <w:r w:rsidR="0062615D">
              <w:t xml:space="preserve">that </w:t>
            </w:r>
            <w:r w:rsidR="001D0C17">
              <w:t xml:space="preserve">high-income </w:t>
            </w:r>
            <w:r>
              <w:t xml:space="preserve">taxpayers are most likely to </w:t>
            </w:r>
            <w:r w:rsidR="00277546">
              <w:t xml:space="preserve">use to </w:t>
            </w:r>
            <w:r>
              <w:t>divert income that would otherwise be taxed at their 39 percent personal rate</w:t>
            </w:r>
            <w:r w:rsidR="00277546">
              <w:rPr>
                <w:lang w:eastAsia="en-AU"/>
              </w:rPr>
              <w:t>.</w:t>
            </w:r>
            <w:r w:rsidRPr="00B552E1">
              <w:rPr>
                <w:rStyle w:val="FootnoteReference"/>
                <w:rFonts w:eastAsia="Calibri" w:cs="Arial"/>
                <w:szCs w:val="22"/>
              </w:rPr>
              <w:footnoteReference w:id="25"/>
            </w:r>
            <w:r w:rsidRPr="00D16CBD">
              <w:rPr>
                <w:lang w:eastAsia="en-AU"/>
              </w:rPr>
              <w:t xml:space="preserve"> </w:t>
            </w:r>
          </w:p>
          <w:p w14:paraId="130D78B7" w14:textId="68C44B4E" w:rsidR="00277546" w:rsidRPr="00D16CBD" w:rsidRDefault="00277546" w:rsidP="00863988">
            <w:pPr>
              <w:pStyle w:val="ListParagraph"/>
              <w:numPr>
                <w:ilvl w:val="0"/>
                <w:numId w:val="36"/>
              </w:numPr>
              <w:spacing w:after="0" w:line="240" w:lineRule="auto"/>
              <w:ind w:left="714" w:hanging="357"/>
              <w:rPr>
                <w:lang w:eastAsia="en-AU"/>
              </w:rPr>
            </w:pPr>
            <w:r w:rsidRPr="00D16CBD">
              <w:rPr>
                <w:lang w:eastAsia="en-AU"/>
              </w:rPr>
              <w:t xml:space="preserve">By </w:t>
            </w:r>
            <w:r w:rsidR="00E6607E">
              <w:rPr>
                <w:lang w:eastAsia="en-AU"/>
              </w:rPr>
              <w:t>investigating</w:t>
            </w:r>
            <w:r w:rsidR="00E6607E" w:rsidRPr="00D16CBD">
              <w:rPr>
                <w:lang w:eastAsia="en-AU"/>
              </w:rPr>
              <w:t xml:space="preserve"> </w:t>
            </w:r>
            <w:r w:rsidRPr="00D16CBD">
              <w:rPr>
                <w:lang w:eastAsia="en-AU"/>
              </w:rPr>
              <w:t xml:space="preserve">specific integrity measures </w:t>
            </w:r>
            <w:r w:rsidR="0027045A" w:rsidRPr="00863988">
              <w:rPr>
                <w:shd w:val="clear" w:color="auto" w:fill="BFBFBF" w:themeFill="background1" w:themeFillShade="BF"/>
                <w:lang w:eastAsia="en-AU"/>
              </w:rPr>
              <w:t>s 9(2)(f)(iv)</w:t>
            </w:r>
            <w:r w:rsidR="000D66BC" w:rsidRPr="00863988">
              <w:rPr>
                <w:color w:val="BFBFBF" w:themeColor="background1" w:themeShade="BF"/>
                <w:shd w:val="clear" w:color="auto" w:fill="BFBFBF" w:themeFill="background1" w:themeFillShade="BF"/>
                <w:lang w:eastAsia="en-AU"/>
              </w:rPr>
              <w:t>…………………………</w:t>
            </w:r>
            <w:proofErr w:type="gramStart"/>
            <w:r w:rsidR="000D66BC" w:rsidRPr="00863988">
              <w:rPr>
                <w:color w:val="BFBFBF" w:themeColor="background1" w:themeShade="BF"/>
                <w:shd w:val="clear" w:color="auto" w:fill="BFBFBF" w:themeFill="background1" w:themeFillShade="BF"/>
                <w:lang w:eastAsia="en-AU"/>
              </w:rPr>
              <w:t>…..</w:t>
            </w:r>
            <w:proofErr w:type="gramEnd"/>
            <w:r w:rsidR="0027045A" w:rsidRPr="00863988">
              <w:rPr>
                <w:color w:val="BFBFBF" w:themeColor="background1" w:themeShade="BF"/>
                <w:shd w:val="clear" w:color="auto" w:fill="BFBFBF" w:themeFill="background1" w:themeFillShade="BF"/>
                <w:lang w:eastAsia="en-AU"/>
              </w:rPr>
              <w:br/>
            </w:r>
            <w:r w:rsidR="000D66BC" w:rsidRPr="00863988">
              <w:rPr>
                <w:color w:val="BFBFBF" w:themeColor="background1" w:themeShade="BF"/>
                <w:shd w:val="clear" w:color="auto" w:fill="BFBFBF" w:themeFill="background1" w:themeFillShade="BF"/>
                <w:lang w:eastAsia="en-AU"/>
              </w:rPr>
              <w:t>………………………………………………………………………………………………</w:t>
            </w:r>
            <w:r w:rsidR="0027045A" w:rsidRPr="00863988">
              <w:rPr>
                <w:color w:val="BFBFBF" w:themeColor="background1" w:themeShade="BF"/>
                <w:shd w:val="clear" w:color="auto" w:fill="BFBFBF" w:themeFill="background1" w:themeFillShade="BF"/>
                <w:lang w:eastAsia="en-AU"/>
              </w:rPr>
              <w:br/>
            </w:r>
            <w:r w:rsidR="000D66BC" w:rsidRPr="00863988">
              <w:rPr>
                <w:color w:val="BFBFBF" w:themeColor="background1" w:themeShade="BF"/>
                <w:shd w:val="clear" w:color="auto" w:fill="BFBFBF" w:themeFill="background1" w:themeFillShade="BF"/>
                <w:lang w:eastAsia="en-AU"/>
              </w:rPr>
              <w:t>…………</w:t>
            </w:r>
            <w:r w:rsidRPr="00D16CBD">
              <w:rPr>
                <w:lang w:eastAsia="en-AU"/>
              </w:rPr>
              <w:t>These would necessarily be less effective than taxing the entities themselves at 39 percent.</w:t>
            </w:r>
          </w:p>
          <w:p w14:paraId="6D671744" w14:textId="7025E17A" w:rsidR="00CD4FE9" w:rsidRPr="00D16CBD" w:rsidRDefault="00CD4FE9" w:rsidP="00D16CBD">
            <w:pPr>
              <w:spacing w:after="0"/>
              <w:rPr>
                <w:lang w:eastAsia="en-AU"/>
              </w:rPr>
            </w:pPr>
          </w:p>
          <w:p w14:paraId="6F6BA186" w14:textId="77777777" w:rsidR="006B3B8D" w:rsidRPr="00D16CBD" w:rsidRDefault="006B3B8D" w:rsidP="006B3B8D">
            <w:pPr>
              <w:spacing w:after="0"/>
              <w:rPr>
                <w:lang w:eastAsia="en-AU"/>
              </w:rPr>
            </w:pPr>
            <w:r w:rsidRPr="00D16CBD">
              <w:rPr>
                <w:lang w:eastAsia="en-AU"/>
              </w:rPr>
              <w:t xml:space="preserve">All of these unintended </w:t>
            </w:r>
            <w:r w:rsidRPr="00B66B1C">
              <w:rPr>
                <w:b/>
                <w:bCs/>
              </w:rPr>
              <w:t>economic</w:t>
            </w:r>
            <w:r w:rsidRPr="00D16CBD">
              <w:rPr>
                <w:lang w:eastAsia="en-AU"/>
              </w:rPr>
              <w:t xml:space="preserve"> and </w:t>
            </w:r>
            <w:r w:rsidRPr="00B66B1C">
              <w:rPr>
                <w:b/>
                <w:bCs/>
              </w:rPr>
              <w:t>integrity</w:t>
            </w:r>
            <w:r w:rsidRPr="00D16CBD">
              <w:rPr>
                <w:lang w:eastAsia="en-AU"/>
              </w:rPr>
              <w:t xml:space="preserve"> impacts are heavily influenced by taxpayers’ reactions to the introduction of a new top personal income tax rate. The uncertainty in trying to predict this response means there is an overarching risk that the tax revenue collected from this proposal may be less than expected.</w:t>
            </w:r>
          </w:p>
          <w:p w14:paraId="4A1E82AC" w14:textId="602EB629" w:rsidR="00952E47" w:rsidRPr="00D16CBD" w:rsidRDefault="00952E47" w:rsidP="00D16CBD">
            <w:pPr>
              <w:spacing w:after="0"/>
              <w:rPr>
                <w:lang w:eastAsia="en-AU"/>
              </w:rPr>
            </w:pPr>
          </w:p>
        </w:tc>
      </w:tr>
    </w:tbl>
    <w:p w14:paraId="25C8FEE6" w14:textId="13300F38" w:rsidR="0062657E" w:rsidRPr="0005691A" w:rsidRDefault="0062657E" w:rsidP="002428A4">
      <w:pPr>
        <w:pStyle w:val="spacer"/>
        <w:spacing w:after="120"/>
        <w:rPr>
          <w:rFonts w:cs="Arial"/>
          <w:b/>
          <w:color w:val="0082AB"/>
          <w:spacing w:val="20"/>
          <w:w w:val="90"/>
          <w:sz w:val="32"/>
          <w:szCs w:val="24"/>
        </w:rPr>
      </w:pPr>
      <w:r w:rsidRPr="0049467D">
        <w:br w:type="page"/>
      </w:r>
      <w:r w:rsidRPr="0005691A">
        <w:rPr>
          <w:rFonts w:cs="Arial"/>
          <w:b/>
          <w:color w:val="0082AB"/>
          <w:spacing w:val="20"/>
          <w:w w:val="90"/>
          <w:sz w:val="32"/>
          <w:szCs w:val="24"/>
        </w:rPr>
        <w:t>Section 6: Implementation and operation</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0F494AA8" w14:textId="77777777" w:rsidTr="00346B30">
        <w:trPr>
          <w:trHeight w:val="77"/>
        </w:trPr>
        <w:tc>
          <w:tcPr>
            <w:tcW w:w="9072" w:type="dxa"/>
            <w:shd w:val="clear" w:color="auto" w:fill="99CDDD"/>
          </w:tcPr>
          <w:p w14:paraId="2AE78796" w14:textId="1888F39E" w:rsidR="0062657E" w:rsidRPr="000A2B04" w:rsidRDefault="0062657E" w:rsidP="00F05AD9">
            <w:pPr>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6.1   </w:t>
            </w:r>
            <w:r w:rsidRPr="006172F1">
              <w:rPr>
                <w:rFonts w:cs="Arial"/>
                <w:b/>
                <w:lang w:eastAsia="en-AU"/>
              </w:rPr>
              <w:t>How will the new arrangements work in practice?</w:t>
            </w:r>
          </w:p>
        </w:tc>
      </w:tr>
      <w:tr w:rsidR="0062657E" w:rsidRPr="0049467D" w14:paraId="4E05A9E8" w14:textId="77777777" w:rsidTr="00182208">
        <w:trPr>
          <w:trHeight w:val="777"/>
        </w:trPr>
        <w:tc>
          <w:tcPr>
            <w:tcW w:w="9072" w:type="dxa"/>
            <w:shd w:val="clear" w:color="auto" w:fill="auto"/>
          </w:tcPr>
          <w:p w14:paraId="4F8E7507" w14:textId="77777777" w:rsidR="0062657E" w:rsidRDefault="0062657E" w:rsidP="007B090A">
            <w:pPr>
              <w:spacing w:after="0" w:line="276" w:lineRule="auto"/>
              <w:rPr>
                <w:rFonts w:cs="Arial"/>
                <w:szCs w:val="22"/>
              </w:rPr>
            </w:pPr>
          </w:p>
          <w:p w14:paraId="4177B178" w14:textId="5539DCD2" w:rsidR="00330AD4" w:rsidRDefault="00F8659A" w:rsidP="007B090A">
            <w:pPr>
              <w:spacing w:after="0" w:line="276" w:lineRule="auto"/>
              <w:rPr>
                <w:rFonts w:cs="Arial"/>
                <w:szCs w:val="22"/>
              </w:rPr>
            </w:pPr>
            <w:r>
              <w:rPr>
                <w:rFonts w:cs="Arial"/>
                <w:szCs w:val="22"/>
              </w:rPr>
              <w:t xml:space="preserve">The proposal to introduce a new top personal income tax rate </w:t>
            </w:r>
            <w:r w:rsidR="002F4950">
              <w:rPr>
                <w:rFonts w:cs="Arial"/>
                <w:szCs w:val="22"/>
              </w:rPr>
              <w:t>is to be</w:t>
            </w:r>
            <w:r w:rsidR="00E44831">
              <w:rPr>
                <w:rFonts w:cs="Arial"/>
                <w:szCs w:val="22"/>
              </w:rPr>
              <w:t xml:space="preserve"> </w:t>
            </w:r>
            <w:r w:rsidR="005978AE">
              <w:rPr>
                <w:rFonts w:cs="Arial"/>
                <w:szCs w:val="22"/>
              </w:rPr>
              <w:t>legislated</w:t>
            </w:r>
            <w:r w:rsidR="002F4950">
              <w:rPr>
                <w:rFonts w:cs="Arial"/>
                <w:szCs w:val="22"/>
              </w:rPr>
              <w:t xml:space="preserve"> via a taxation bill </w:t>
            </w:r>
            <w:r w:rsidR="00E44831">
              <w:rPr>
                <w:rFonts w:cs="Arial"/>
                <w:szCs w:val="22"/>
              </w:rPr>
              <w:t xml:space="preserve">that is likely </w:t>
            </w:r>
            <w:r w:rsidR="002F4950">
              <w:rPr>
                <w:rFonts w:cs="Arial"/>
                <w:szCs w:val="22"/>
              </w:rPr>
              <w:t>to be introduced in December 2020. The new</w:t>
            </w:r>
            <w:r w:rsidR="00A65C0E">
              <w:rPr>
                <w:rFonts w:cs="Arial"/>
                <w:szCs w:val="22"/>
              </w:rPr>
              <w:t xml:space="preserve"> personal tax</w:t>
            </w:r>
            <w:r w:rsidR="002F4950">
              <w:rPr>
                <w:rFonts w:cs="Arial"/>
                <w:szCs w:val="22"/>
              </w:rPr>
              <w:t xml:space="preserve"> </w:t>
            </w:r>
            <w:r w:rsidR="005F27D4">
              <w:rPr>
                <w:rFonts w:cs="Arial"/>
                <w:szCs w:val="22"/>
              </w:rPr>
              <w:t>scale</w:t>
            </w:r>
            <w:r w:rsidR="002F4950">
              <w:rPr>
                <w:rFonts w:cs="Arial"/>
                <w:szCs w:val="22"/>
              </w:rPr>
              <w:t xml:space="preserve"> would appl</w:t>
            </w:r>
            <w:r w:rsidR="00E87266">
              <w:rPr>
                <w:rFonts w:cs="Arial"/>
                <w:szCs w:val="22"/>
              </w:rPr>
              <w:t xml:space="preserve">y from 1 April 2021. </w:t>
            </w:r>
            <w:r w:rsidR="00330AD4" w:rsidRPr="00CD2C42">
              <w:rPr>
                <w:rFonts w:cs="Arial"/>
                <w:szCs w:val="22"/>
              </w:rPr>
              <w:t xml:space="preserve">A separate taxation bill would likely be required to implement </w:t>
            </w:r>
            <w:r w:rsidR="004572C6">
              <w:rPr>
                <w:rFonts w:cs="Arial"/>
                <w:szCs w:val="22"/>
              </w:rPr>
              <w:t>any</w:t>
            </w:r>
            <w:r w:rsidR="004572C6" w:rsidRPr="00CD2C42">
              <w:rPr>
                <w:rFonts w:cs="Arial"/>
                <w:szCs w:val="22"/>
              </w:rPr>
              <w:t xml:space="preserve"> </w:t>
            </w:r>
            <w:r w:rsidR="00330AD4" w:rsidRPr="00CD2C42">
              <w:rPr>
                <w:rFonts w:cs="Arial"/>
                <w:szCs w:val="22"/>
              </w:rPr>
              <w:t xml:space="preserve">integrity measures recommended </w:t>
            </w:r>
            <w:r w:rsidR="004572C6">
              <w:rPr>
                <w:rFonts w:cs="Arial"/>
                <w:szCs w:val="22"/>
              </w:rPr>
              <w:t xml:space="preserve">for development </w:t>
            </w:r>
            <w:r w:rsidR="00330AD4" w:rsidRPr="00CD2C42">
              <w:rPr>
                <w:rFonts w:cs="Arial"/>
                <w:szCs w:val="22"/>
              </w:rPr>
              <w:t xml:space="preserve">under </w:t>
            </w:r>
            <w:r w:rsidR="00330AD4" w:rsidRPr="00CD2C42">
              <w:rPr>
                <w:rFonts w:cs="Arial"/>
                <w:b/>
                <w:bCs/>
                <w:szCs w:val="22"/>
              </w:rPr>
              <w:t>Option 5</w:t>
            </w:r>
            <w:r w:rsidR="00330AD4" w:rsidRPr="00CD2C42">
              <w:rPr>
                <w:rFonts w:cs="Arial"/>
                <w:szCs w:val="22"/>
              </w:rPr>
              <w:t xml:space="preserve">. </w:t>
            </w:r>
            <w:r w:rsidR="00835BB1" w:rsidRPr="00CD2C42">
              <w:rPr>
                <w:rFonts w:cs="Arial"/>
                <w:szCs w:val="22"/>
              </w:rPr>
              <w:t>Inland Revenue recommends that these measures come into effect from 1 April 2022.</w:t>
            </w:r>
            <w:r w:rsidR="00835BB1">
              <w:rPr>
                <w:rFonts w:cs="Arial"/>
                <w:szCs w:val="22"/>
              </w:rPr>
              <w:t xml:space="preserve"> </w:t>
            </w:r>
          </w:p>
          <w:p w14:paraId="053C598C" w14:textId="281B08E8" w:rsidR="005F27D4" w:rsidRDefault="005F27D4" w:rsidP="007B090A">
            <w:pPr>
              <w:spacing w:after="0" w:line="276" w:lineRule="auto"/>
              <w:rPr>
                <w:rFonts w:cs="Arial"/>
                <w:szCs w:val="22"/>
              </w:rPr>
            </w:pPr>
          </w:p>
          <w:p w14:paraId="303161DB" w14:textId="048D8D70" w:rsidR="00861BB5" w:rsidRDefault="00DF1799" w:rsidP="007B090A">
            <w:pPr>
              <w:spacing w:after="0" w:line="276" w:lineRule="auto"/>
              <w:rPr>
                <w:rFonts w:cs="Arial"/>
                <w:szCs w:val="22"/>
              </w:rPr>
            </w:pPr>
            <w:r>
              <w:rPr>
                <w:rFonts w:cs="Arial"/>
                <w:szCs w:val="22"/>
              </w:rPr>
              <w:t xml:space="preserve">The proposal is high profile </w:t>
            </w:r>
            <w:r w:rsidR="00481FB4">
              <w:rPr>
                <w:rFonts w:cs="Arial"/>
                <w:szCs w:val="22"/>
              </w:rPr>
              <w:t>and Inland Revenue does not anticipate any confusion about the introduc</w:t>
            </w:r>
            <w:r w:rsidR="009A2A60">
              <w:rPr>
                <w:rFonts w:cs="Arial"/>
                <w:szCs w:val="22"/>
              </w:rPr>
              <w:t>tion of</w:t>
            </w:r>
            <w:r w:rsidR="00481FB4">
              <w:rPr>
                <w:rFonts w:cs="Arial"/>
                <w:szCs w:val="22"/>
              </w:rPr>
              <w:t xml:space="preserve"> a new top personal tax rate or the alignment of rates under </w:t>
            </w:r>
            <w:r w:rsidR="00481FB4" w:rsidRPr="00AF6B01">
              <w:rPr>
                <w:rFonts w:cs="Arial"/>
                <w:b/>
                <w:bCs/>
                <w:szCs w:val="22"/>
              </w:rPr>
              <w:t>Option 5</w:t>
            </w:r>
            <w:r w:rsidR="00481FB4">
              <w:rPr>
                <w:rFonts w:cs="Arial"/>
                <w:szCs w:val="22"/>
              </w:rPr>
              <w:t xml:space="preserve">. </w:t>
            </w:r>
            <w:r w:rsidR="00481FB4" w:rsidRPr="00CD2C42">
              <w:rPr>
                <w:rFonts w:cs="Arial"/>
                <w:szCs w:val="22"/>
              </w:rPr>
              <w:t xml:space="preserve">The complexity of potential integrity measures </w:t>
            </w:r>
            <w:r w:rsidR="00FF5B9C" w:rsidRPr="00CD2C42">
              <w:rPr>
                <w:rFonts w:cs="Arial"/>
                <w:szCs w:val="22"/>
              </w:rPr>
              <w:t>is</w:t>
            </w:r>
            <w:r w:rsidR="00481FB4" w:rsidRPr="00CD2C42">
              <w:rPr>
                <w:rFonts w:cs="Arial"/>
                <w:szCs w:val="22"/>
              </w:rPr>
              <w:t xml:space="preserve"> likely to be the most confusing aspect of the </w:t>
            </w:r>
            <w:r w:rsidR="00A53BDD" w:rsidRPr="00CD2C42">
              <w:rPr>
                <w:rFonts w:cs="Arial"/>
                <w:szCs w:val="22"/>
              </w:rPr>
              <w:t>recommended</w:t>
            </w:r>
            <w:r w:rsidR="00481FB4" w:rsidRPr="00CD2C42">
              <w:rPr>
                <w:rFonts w:cs="Arial"/>
                <w:szCs w:val="22"/>
              </w:rPr>
              <w:t xml:space="preserve"> option.</w:t>
            </w:r>
            <w:r w:rsidR="00891DEE">
              <w:rPr>
                <w:rFonts w:cs="Arial"/>
                <w:szCs w:val="22"/>
              </w:rPr>
              <w:t xml:space="preserve"> There is likely to be uncertainty about whether some arrangements are permitted under these measures.</w:t>
            </w:r>
            <w:r w:rsidR="00481FB4">
              <w:rPr>
                <w:rFonts w:cs="Arial"/>
                <w:szCs w:val="22"/>
              </w:rPr>
              <w:t xml:space="preserve"> </w:t>
            </w:r>
            <w:r w:rsidR="00FF5B9C" w:rsidRPr="00CD2C42">
              <w:rPr>
                <w:rFonts w:cs="Arial"/>
                <w:szCs w:val="22"/>
              </w:rPr>
              <w:t>For</w:t>
            </w:r>
            <w:r w:rsidR="00FF5B9C">
              <w:rPr>
                <w:rFonts w:cs="Arial"/>
                <w:szCs w:val="22"/>
              </w:rPr>
              <w:t xml:space="preserve"> all aspects of the proposal, guidance</w:t>
            </w:r>
            <w:r w:rsidR="00A53BDD">
              <w:rPr>
                <w:rFonts w:cs="Arial"/>
                <w:szCs w:val="22"/>
              </w:rPr>
              <w:t xml:space="preserve"> will be communicated through normal channels, such as through the</w:t>
            </w:r>
            <w:r w:rsidR="00AF6B01">
              <w:rPr>
                <w:rFonts w:cs="Arial"/>
                <w:szCs w:val="22"/>
              </w:rPr>
              <w:t xml:space="preserve"> Inland Revenue website and the</w:t>
            </w:r>
            <w:r w:rsidR="00A53BDD">
              <w:rPr>
                <w:rFonts w:cs="Arial"/>
                <w:szCs w:val="22"/>
              </w:rPr>
              <w:t xml:space="preserve"> Tax Information Bulletin. </w:t>
            </w:r>
          </w:p>
          <w:p w14:paraId="6BBC8B21" w14:textId="77777777" w:rsidR="00861BB5" w:rsidRDefault="00861BB5" w:rsidP="007B090A">
            <w:pPr>
              <w:spacing w:after="0" w:line="276" w:lineRule="auto"/>
              <w:rPr>
                <w:rFonts w:cs="Arial"/>
                <w:szCs w:val="22"/>
              </w:rPr>
            </w:pPr>
          </w:p>
          <w:p w14:paraId="57E41847" w14:textId="046DF71B" w:rsidR="005F27D4" w:rsidRDefault="005F27D4" w:rsidP="007B090A">
            <w:pPr>
              <w:spacing w:after="0" w:line="276" w:lineRule="auto"/>
              <w:rPr>
                <w:rFonts w:cs="Arial"/>
                <w:szCs w:val="22"/>
              </w:rPr>
            </w:pPr>
            <w:r>
              <w:rPr>
                <w:rFonts w:cs="Arial"/>
                <w:szCs w:val="22"/>
              </w:rPr>
              <w:t>Inland Revenue is responsible for the administration and enforcement of the tax system</w:t>
            </w:r>
            <w:r w:rsidR="000F7AB2">
              <w:rPr>
                <w:rFonts w:cs="Arial"/>
                <w:szCs w:val="22"/>
              </w:rPr>
              <w:t>, including the implementation and operation of this proposal</w:t>
            </w:r>
            <w:r w:rsidR="00F707D8">
              <w:rPr>
                <w:rFonts w:cs="Arial"/>
                <w:szCs w:val="22"/>
              </w:rPr>
              <w:t xml:space="preserve">. </w:t>
            </w:r>
            <w:r w:rsidR="00F7611A">
              <w:rPr>
                <w:rFonts w:cs="Arial"/>
                <w:szCs w:val="22"/>
              </w:rPr>
              <w:t>Inl</w:t>
            </w:r>
            <w:r w:rsidR="00173BEC">
              <w:rPr>
                <w:rFonts w:cs="Arial"/>
                <w:szCs w:val="22"/>
              </w:rPr>
              <w:t xml:space="preserve">and Revenue has not identified any </w:t>
            </w:r>
            <w:r w:rsidR="006A068A">
              <w:rPr>
                <w:rFonts w:cs="Arial"/>
                <w:szCs w:val="22"/>
              </w:rPr>
              <w:t>concerns with its ability to implement the proposal with respect to the Government’s “Expectations for regulatory stewardship by government agencies</w:t>
            </w:r>
            <w:r w:rsidR="000F7AB2">
              <w:rPr>
                <w:rFonts w:cs="Arial"/>
                <w:szCs w:val="22"/>
              </w:rPr>
              <w:t>” aside from a short timeframe in which to undertake the initial work</w:t>
            </w:r>
            <w:r w:rsidR="00FF7F8A">
              <w:rPr>
                <w:rFonts w:cs="Arial"/>
                <w:szCs w:val="22"/>
              </w:rPr>
              <w:t xml:space="preserve"> required</w:t>
            </w:r>
            <w:r w:rsidR="000F7AB2">
              <w:rPr>
                <w:rFonts w:cs="Arial"/>
                <w:szCs w:val="22"/>
              </w:rPr>
              <w:t xml:space="preserve">. </w:t>
            </w:r>
            <w:r w:rsidR="00646C87" w:rsidRPr="00CD2C42">
              <w:rPr>
                <w:rFonts w:cs="Arial"/>
                <w:szCs w:val="22"/>
              </w:rPr>
              <w:t xml:space="preserve">This short timeframe justifies why Inland Revenue does not recommend integrity measures being implemented on 1 April 2021 given the significant work </w:t>
            </w:r>
            <w:r w:rsidR="00A65C0E" w:rsidRPr="00CD2C42">
              <w:rPr>
                <w:rFonts w:cs="Arial"/>
                <w:szCs w:val="22"/>
              </w:rPr>
              <w:t xml:space="preserve">and consultation </w:t>
            </w:r>
            <w:r w:rsidR="00646C87" w:rsidRPr="00CD2C42">
              <w:rPr>
                <w:rFonts w:cs="Arial"/>
                <w:szCs w:val="22"/>
              </w:rPr>
              <w:t>still required to develop these measures.</w:t>
            </w:r>
            <w:r w:rsidR="00646C87">
              <w:rPr>
                <w:rFonts w:cs="Arial"/>
                <w:szCs w:val="22"/>
              </w:rPr>
              <w:t xml:space="preserve"> </w:t>
            </w:r>
          </w:p>
          <w:p w14:paraId="1481AE3A" w14:textId="0E39BBBE" w:rsidR="000626ED" w:rsidRPr="0049467D" w:rsidRDefault="000626ED" w:rsidP="007B090A">
            <w:pPr>
              <w:spacing w:after="0" w:line="276" w:lineRule="auto"/>
              <w:rPr>
                <w:rFonts w:cs="Arial"/>
                <w:szCs w:val="22"/>
              </w:rPr>
            </w:pPr>
          </w:p>
        </w:tc>
      </w:tr>
    </w:tbl>
    <w:p w14:paraId="547D2641" w14:textId="77777777" w:rsidR="00182208" w:rsidRPr="00093CBE" w:rsidRDefault="00182208" w:rsidP="00093CBE">
      <w:pPr>
        <w:pStyle w:val="spacer"/>
        <w:rPr>
          <w:sz w:val="22"/>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5286D9E7" w14:textId="77777777" w:rsidTr="00346B30">
        <w:trPr>
          <w:trHeight w:val="132"/>
        </w:trPr>
        <w:tc>
          <w:tcPr>
            <w:tcW w:w="9072" w:type="dxa"/>
            <w:shd w:val="clear" w:color="auto" w:fill="99CDDD"/>
          </w:tcPr>
          <w:p w14:paraId="142B0C62" w14:textId="3469C876" w:rsidR="0062657E" w:rsidRPr="000A2B04" w:rsidRDefault="0062657E" w:rsidP="002428A4">
            <w:pPr>
              <w:keepNext/>
              <w:keepLines/>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6.2   </w:t>
            </w:r>
            <w:r w:rsidRPr="006172F1">
              <w:rPr>
                <w:rFonts w:cs="Arial"/>
                <w:b/>
                <w:lang w:eastAsia="en-AU"/>
              </w:rPr>
              <w:t>What are the implementation risks?</w:t>
            </w:r>
          </w:p>
        </w:tc>
      </w:tr>
      <w:tr w:rsidR="0062657E" w:rsidRPr="0049467D" w14:paraId="69E0D897" w14:textId="77777777" w:rsidTr="00182208">
        <w:trPr>
          <w:trHeight w:val="739"/>
        </w:trPr>
        <w:tc>
          <w:tcPr>
            <w:tcW w:w="9072" w:type="dxa"/>
            <w:shd w:val="clear" w:color="auto" w:fill="FFFFFF"/>
          </w:tcPr>
          <w:p w14:paraId="6B97499E" w14:textId="77777777" w:rsidR="00064389" w:rsidRDefault="00064389" w:rsidP="0049467D">
            <w:pPr>
              <w:spacing w:after="0" w:line="276" w:lineRule="auto"/>
              <w:rPr>
                <w:rFonts w:cs="Arial"/>
                <w:szCs w:val="22"/>
              </w:rPr>
            </w:pPr>
          </w:p>
          <w:p w14:paraId="7CC30A85" w14:textId="09AD8228" w:rsidR="003B4D22" w:rsidRDefault="00835BB1" w:rsidP="0049467D">
            <w:pPr>
              <w:spacing w:after="0" w:line="276" w:lineRule="auto"/>
              <w:rPr>
                <w:rFonts w:cs="Arial"/>
                <w:szCs w:val="22"/>
              </w:rPr>
            </w:pPr>
            <w:r>
              <w:rPr>
                <w:rFonts w:cs="Arial"/>
                <w:szCs w:val="22"/>
              </w:rPr>
              <w:t xml:space="preserve">Because of the </w:t>
            </w:r>
            <w:r w:rsidR="00064389" w:rsidRPr="00D04DC0">
              <w:rPr>
                <w:rFonts w:cs="Arial"/>
                <w:szCs w:val="22"/>
              </w:rPr>
              <w:t>one-year difference</w:t>
            </w:r>
            <w:r>
              <w:rPr>
                <w:rFonts w:cs="Arial"/>
                <w:szCs w:val="22"/>
              </w:rPr>
              <w:t xml:space="preserve"> in recommended </w:t>
            </w:r>
            <w:r w:rsidR="00064389">
              <w:rPr>
                <w:rFonts w:cs="Arial"/>
                <w:szCs w:val="22"/>
              </w:rPr>
              <w:t>implementation dates between the introduction of a new top personal income tax rate and the</w:t>
            </w:r>
            <w:r w:rsidR="00007727">
              <w:rPr>
                <w:rFonts w:cs="Arial"/>
                <w:szCs w:val="22"/>
              </w:rPr>
              <w:t xml:space="preserve"> </w:t>
            </w:r>
            <w:r w:rsidR="00891DEE">
              <w:rPr>
                <w:rFonts w:cs="Arial"/>
                <w:szCs w:val="22"/>
              </w:rPr>
              <w:t>recommended</w:t>
            </w:r>
            <w:r w:rsidR="00007727">
              <w:rPr>
                <w:rFonts w:cs="Arial"/>
                <w:szCs w:val="22"/>
              </w:rPr>
              <w:t xml:space="preserve"> implementation of integrity measures, the risk for structuring activity will be greatest in the 2021–22 income tax year under </w:t>
            </w:r>
            <w:r w:rsidR="00007727" w:rsidRPr="00913FB7">
              <w:rPr>
                <w:rFonts w:cs="Arial"/>
                <w:b/>
                <w:bCs/>
                <w:szCs w:val="22"/>
              </w:rPr>
              <w:t>Option 5</w:t>
            </w:r>
            <w:r w:rsidR="00007727">
              <w:rPr>
                <w:rFonts w:cs="Arial"/>
                <w:szCs w:val="22"/>
              </w:rPr>
              <w:t xml:space="preserve">. </w:t>
            </w:r>
            <w:r w:rsidR="002E3105">
              <w:rPr>
                <w:rFonts w:cs="Arial"/>
                <w:szCs w:val="22"/>
              </w:rPr>
              <w:t xml:space="preserve">Inland Revenue recommends differing implementation dates because it believes there are worse consequences associated with </w:t>
            </w:r>
            <w:r w:rsidR="00A65C0E">
              <w:rPr>
                <w:rFonts w:cs="Arial"/>
                <w:szCs w:val="22"/>
              </w:rPr>
              <w:t xml:space="preserve">accelerating </w:t>
            </w:r>
            <w:r w:rsidR="002E3105">
              <w:rPr>
                <w:rFonts w:cs="Arial"/>
                <w:szCs w:val="22"/>
              </w:rPr>
              <w:t xml:space="preserve">the implementation measures for effect on 1 April 2021. </w:t>
            </w:r>
          </w:p>
          <w:p w14:paraId="42495790" w14:textId="77777777" w:rsidR="003B4D22" w:rsidRDefault="003B4D22" w:rsidP="0049467D">
            <w:pPr>
              <w:spacing w:after="0" w:line="276" w:lineRule="auto"/>
              <w:rPr>
                <w:rFonts w:cs="Arial"/>
                <w:szCs w:val="22"/>
              </w:rPr>
            </w:pPr>
          </w:p>
          <w:p w14:paraId="07A49438" w14:textId="1E589571" w:rsidR="0062657E" w:rsidRDefault="00007727" w:rsidP="0049467D">
            <w:pPr>
              <w:spacing w:after="0" w:line="276" w:lineRule="auto"/>
              <w:rPr>
                <w:rFonts w:cs="Arial"/>
                <w:szCs w:val="22"/>
              </w:rPr>
            </w:pPr>
            <w:r>
              <w:rPr>
                <w:rFonts w:cs="Arial"/>
                <w:szCs w:val="22"/>
              </w:rPr>
              <w:t xml:space="preserve">Aside from this specific risk, </w:t>
            </w:r>
            <w:r w:rsidR="00A97707">
              <w:rPr>
                <w:rFonts w:cs="Arial"/>
                <w:szCs w:val="22"/>
              </w:rPr>
              <w:t xml:space="preserve">an increase in tax rates will generally lead to more </w:t>
            </w:r>
            <w:r w:rsidR="00A65C0E">
              <w:rPr>
                <w:rFonts w:cs="Arial"/>
                <w:szCs w:val="22"/>
              </w:rPr>
              <w:t xml:space="preserve">tax-induced structuring </w:t>
            </w:r>
            <w:r w:rsidR="00A97707">
              <w:rPr>
                <w:rFonts w:cs="Arial"/>
                <w:szCs w:val="22"/>
              </w:rPr>
              <w:t xml:space="preserve">activity as it becomes relatively more </w:t>
            </w:r>
            <w:r w:rsidR="00A65C0E">
              <w:rPr>
                <w:rFonts w:cs="Arial"/>
                <w:szCs w:val="22"/>
              </w:rPr>
              <w:t>appealing</w:t>
            </w:r>
            <w:r w:rsidR="00A97707">
              <w:rPr>
                <w:rFonts w:cs="Arial"/>
                <w:szCs w:val="22"/>
              </w:rPr>
              <w:t xml:space="preserve"> </w:t>
            </w:r>
            <w:r w:rsidR="00A65C0E">
              <w:rPr>
                <w:rFonts w:cs="Arial"/>
                <w:szCs w:val="22"/>
              </w:rPr>
              <w:t xml:space="preserve">to </w:t>
            </w:r>
            <w:r w:rsidR="00A97707">
              <w:rPr>
                <w:rFonts w:cs="Arial"/>
                <w:szCs w:val="22"/>
              </w:rPr>
              <w:t xml:space="preserve">taxpayers to </w:t>
            </w:r>
            <w:r w:rsidR="00A65C0E">
              <w:rPr>
                <w:rFonts w:cs="Arial"/>
                <w:szCs w:val="22"/>
              </w:rPr>
              <w:t xml:space="preserve">try to </w:t>
            </w:r>
            <w:r w:rsidR="00E906FD">
              <w:rPr>
                <w:rFonts w:cs="Arial"/>
                <w:szCs w:val="22"/>
              </w:rPr>
              <w:t>circumvent</w:t>
            </w:r>
            <w:r w:rsidR="00313E83">
              <w:rPr>
                <w:rFonts w:cs="Arial"/>
                <w:szCs w:val="22"/>
              </w:rPr>
              <w:t xml:space="preserve"> </w:t>
            </w:r>
            <w:r w:rsidR="00A65C0E">
              <w:rPr>
                <w:rFonts w:cs="Arial"/>
                <w:szCs w:val="22"/>
              </w:rPr>
              <w:t>the 39</w:t>
            </w:r>
            <w:r w:rsidR="005B3D31">
              <w:rPr>
                <w:rFonts w:cs="Arial"/>
                <w:szCs w:val="22"/>
              </w:rPr>
              <w:t xml:space="preserve"> percent</w:t>
            </w:r>
            <w:r w:rsidR="00A65C0E">
              <w:rPr>
                <w:rFonts w:cs="Arial"/>
                <w:szCs w:val="22"/>
              </w:rPr>
              <w:t xml:space="preserve"> rate</w:t>
            </w:r>
            <w:r w:rsidR="00A97707">
              <w:rPr>
                <w:rFonts w:cs="Arial"/>
                <w:szCs w:val="22"/>
              </w:rPr>
              <w:t>.</w:t>
            </w:r>
            <w:r w:rsidR="00CE22CD">
              <w:rPr>
                <w:rFonts w:cs="Arial"/>
                <w:szCs w:val="22"/>
              </w:rPr>
              <w:t xml:space="preserve"> This</w:t>
            </w:r>
            <w:r w:rsidR="000A0CD9">
              <w:rPr>
                <w:rFonts w:cs="Arial"/>
                <w:szCs w:val="22"/>
              </w:rPr>
              <w:t xml:space="preserve"> will</w:t>
            </w:r>
            <w:r w:rsidR="00CE22CD">
              <w:rPr>
                <w:rFonts w:cs="Arial"/>
                <w:szCs w:val="22"/>
              </w:rPr>
              <w:t xml:space="preserve"> </w:t>
            </w:r>
            <w:r w:rsidR="005573AB">
              <w:rPr>
                <w:rFonts w:cs="Arial"/>
                <w:szCs w:val="22"/>
              </w:rPr>
              <w:t>likely</w:t>
            </w:r>
            <w:r w:rsidR="00CE22CD">
              <w:rPr>
                <w:rFonts w:cs="Arial"/>
                <w:szCs w:val="22"/>
              </w:rPr>
              <w:t xml:space="preserve"> result in disputes with taxpayers</w:t>
            </w:r>
            <w:r w:rsidR="005573AB">
              <w:rPr>
                <w:rFonts w:cs="Arial"/>
                <w:szCs w:val="22"/>
              </w:rPr>
              <w:t xml:space="preserve"> seeking to avoid the new rate</w:t>
            </w:r>
            <w:r w:rsidR="00CE22CD">
              <w:rPr>
                <w:rFonts w:cs="Arial"/>
                <w:szCs w:val="22"/>
              </w:rPr>
              <w:t xml:space="preserve"> and possibly court cases. </w:t>
            </w:r>
            <w:r w:rsidR="004A7396">
              <w:rPr>
                <w:rFonts w:cs="Arial"/>
                <w:szCs w:val="22"/>
              </w:rPr>
              <w:t>Inland Revenue already undertakes significan</w:t>
            </w:r>
            <w:r w:rsidR="0031768C">
              <w:rPr>
                <w:rFonts w:cs="Arial"/>
                <w:szCs w:val="22"/>
              </w:rPr>
              <w:t>t</w:t>
            </w:r>
            <w:r w:rsidR="004A7396">
              <w:rPr>
                <w:rFonts w:cs="Arial"/>
                <w:szCs w:val="22"/>
              </w:rPr>
              <w:t xml:space="preserve"> c</w:t>
            </w:r>
            <w:r w:rsidR="00875B97">
              <w:rPr>
                <w:rFonts w:cs="Arial"/>
                <w:szCs w:val="22"/>
              </w:rPr>
              <w:t xml:space="preserve">ompliance activity to minimise avoidance and </w:t>
            </w:r>
            <w:r w:rsidR="000461A0">
              <w:rPr>
                <w:rFonts w:cs="Arial"/>
                <w:szCs w:val="22"/>
              </w:rPr>
              <w:t>will be expecting that incentives created by higher taxes create more pressure</w:t>
            </w:r>
            <w:r w:rsidR="00EE7758">
              <w:rPr>
                <w:rFonts w:cs="Arial"/>
                <w:szCs w:val="22"/>
              </w:rPr>
              <w:t xml:space="preserve">s in this area. </w:t>
            </w:r>
          </w:p>
          <w:p w14:paraId="4CBECCFA" w14:textId="77777777" w:rsidR="004C5482" w:rsidRDefault="004C5482" w:rsidP="004C5482">
            <w:pPr>
              <w:spacing w:after="0" w:line="276" w:lineRule="auto"/>
              <w:rPr>
                <w:rFonts w:cs="Arial"/>
                <w:szCs w:val="22"/>
              </w:rPr>
            </w:pPr>
          </w:p>
          <w:p w14:paraId="02F7DF3B" w14:textId="3CBAD135" w:rsidR="00064389" w:rsidRDefault="004C5482" w:rsidP="004C5482">
            <w:pPr>
              <w:spacing w:after="0" w:line="276" w:lineRule="auto"/>
              <w:rPr>
                <w:rFonts w:cs="Arial"/>
                <w:szCs w:val="22"/>
              </w:rPr>
            </w:pPr>
            <w:r>
              <w:rPr>
                <w:rFonts w:cs="Arial"/>
                <w:szCs w:val="22"/>
              </w:rPr>
              <w:t xml:space="preserve">Inland Revenue expects that implementation risks are </w:t>
            </w:r>
            <w:r w:rsidR="00EE7758">
              <w:rPr>
                <w:rFonts w:cs="Arial"/>
                <w:szCs w:val="22"/>
              </w:rPr>
              <w:t>mitigated</w:t>
            </w:r>
            <w:r>
              <w:rPr>
                <w:rFonts w:cs="Arial"/>
                <w:szCs w:val="22"/>
              </w:rPr>
              <w:t xml:space="preserve"> by ensuring taxpayers have the least recourse for </w:t>
            </w:r>
            <w:r w:rsidR="0031768C">
              <w:rPr>
                <w:rFonts w:cs="Arial"/>
                <w:szCs w:val="22"/>
              </w:rPr>
              <w:t>structuring around</w:t>
            </w:r>
            <w:r>
              <w:rPr>
                <w:rFonts w:cs="Arial"/>
                <w:szCs w:val="22"/>
              </w:rPr>
              <w:t xml:space="preserve"> the new top personal rate. This is best achieved by </w:t>
            </w:r>
            <w:r w:rsidRPr="008C722A">
              <w:rPr>
                <w:rFonts w:cs="Arial"/>
                <w:b/>
                <w:bCs/>
                <w:szCs w:val="22"/>
              </w:rPr>
              <w:t>Option 5</w:t>
            </w:r>
            <w:r>
              <w:rPr>
                <w:rFonts w:cs="Arial"/>
                <w:szCs w:val="22"/>
              </w:rPr>
              <w:t>. If the Government chooses to implement another package to buttress the introduction of a new top personal rate, then there are likely to be greater implementation risks with respect to avoidance and compliance activity.</w:t>
            </w:r>
          </w:p>
          <w:p w14:paraId="78AD151B" w14:textId="77777777" w:rsidR="004C5482" w:rsidRDefault="004C5482" w:rsidP="004C5482">
            <w:pPr>
              <w:spacing w:after="0" w:line="276" w:lineRule="auto"/>
              <w:rPr>
                <w:rFonts w:cs="Arial"/>
                <w:szCs w:val="22"/>
              </w:rPr>
            </w:pPr>
          </w:p>
          <w:p w14:paraId="1F801A76" w14:textId="2D514B93" w:rsidR="00064389" w:rsidRDefault="00C97AED" w:rsidP="0049467D">
            <w:pPr>
              <w:spacing w:after="0" w:line="276" w:lineRule="auto"/>
              <w:rPr>
                <w:rFonts w:cs="Arial"/>
                <w:szCs w:val="22"/>
              </w:rPr>
            </w:pPr>
            <w:r>
              <w:rPr>
                <w:rFonts w:cs="Arial"/>
                <w:szCs w:val="22"/>
              </w:rPr>
              <w:t>For stakeholders that need to make technical/software changes</w:t>
            </w:r>
            <w:r w:rsidR="00D3682E">
              <w:rPr>
                <w:rFonts w:cs="Arial"/>
                <w:szCs w:val="22"/>
              </w:rPr>
              <w:t>, there is a risk that the legislation c</w:t>
            </w:r>
            <w:r w:rsidR="004D61E8">
              <w:rPr>
                <w:rFonts w:cs="Arial"/>
                <w:szCs w:val="22"/>
              </w:rPr>
              <w:t xml:space="preserve">omes into effect too </w:t>
            </w:r>
            <w:r w:rsidR="00D3682E">
              <w:rPr>
                <w:rFonts w:cs="Arial"/>
                <w:szCs w:val="22"/>
              </w:rPr>
              <w:t xml:space="preserve">quickly for all of these stakeholders to have made the requisite changes to their systems. </w:t>
            </w:r>
            <w:r w:rsidR="00BB12A0">
              <w:rPr>
                <w:rFonts w:cs="Arial"/>
                <w:szCs w:val="22"/>
              </w:rPr>
              <w:t xml:space="preserve">Businesses will generally require an amount of time to </w:t>
            </w:r>
            <w:r w:rsidR="004D61E8">
              <w:rPr>
                <w:rFonts w:cs="Arial"/>
                <w:szCs w:val="22"/>
              </w:rPr>
              <w:t xml:space="preserve">adequately </w:t>
            </w:r>
            <w:r w:rsidR="00BB12A0">
              <w:rPr>
                <w:rFonts w:cs="Arial"/>
                <w:szCs w:val="22"/>
              </w:rPr>
              <w:t xml:space="preserve">prepare </w:t>
            </w:r>
            <w:r w:rsidR="000C4D78">
              <w:rPr>
                <w:rFonts w:cs="Arial"/>
                <w:szCs w:val="22"/>
              </w:rPr>
              <w:t xml:space="preserve">for significant tax changes such as adjustments to the </w:t>
            </w:r>
            <w:r w:rsidR="00CC2F3C">
              <w:rPr>
                <w:rFonts w:cs="Arial"/>
                <w:szCs w:val="22"/>
              </w:rPr>
              <w:t xml:space="preserve">personal </w:t>
            </w:r>
            <w:r w:rsidR="000C4D78">
              <w:rPr>
                <w:rFonts w:cs="Arial"/>
                <w:szCs w:val="22"/>
              </w:rPr>
              <w:t>income tax scale.</w:t>
            </w:r>
            <w:r w:rsidR="002C5B23">
              <w:rPr>
                <w:rFonts w:cs="Arial"/>
                <w:szCs w:val="22"/>
              </w:rPr>
              <w:t xml:space="preserve"> </w:t>
            </w:r>
            <w:r w:rsidR="00431124">
              <w:rPr>
                <w:rFonts w:cs="Arial"/>
                <w:szCs w:val="22"/>
              </w:rPr>
              <w:t xml:space="preserve">The intention to introduce a new top personal income tax rate was announced in </w:t>
            </w:r>
            <w:r w:rsidR="00A65C0E">
              <w:rPr>
                <w:rFonts w:cs="Arial"/>
                <w:szCs w:val="22"/>
              </w:rPr>
              <w:t xml:space="preserve">the </w:t>
            </w:r>
            <w:r w:rsidR="00431124">
              <w:rPr>
                <w:rFonts w:cs="Arial"/>
                <w:szCs w:val="22"/>
              </w:rPr>
              <w:t>Labour</w:t>
            </w:r>
            <w:r w:rsidR="00A65C0E">
              <w:rPr>
                <w:rFonts w:cs="Arial"/>
                <w:szCs w:val="22"/>
              </w:rPr>
              <w:t xml:space="preserve"> party</w:t>
            </w:r>
            <w:r w:rsidR="00431124">
              <w:rPr>
                <w:rFonts w:cs="Arial"/>
                <w:szCs w:val="22"/>
              </w:rPr>
              <w:t>’s 2020 Election Manifesto, so it is</w:t>
            </w:r>
            <w:r w:rsidR="00B519FA">
              <w:rPr>
                <w:rFonts w:cs="Arial"/>
                <w:szCs w:val="22"/>
              </w:rPr>
              <w:t xml:space="preserve"> not</w:t>
            </w:r>
            <w:r w:rsidR="00431124">
              <w:rPr>
                <w:rFonts w:cs="Arial"/>
                <w:szCs w:val="22"/>
              </w:rPr>
              <w:t xml:space="preserve"> expected that </w:t>
            </w:r>
            <w:r w:rsidR="005161EE">
              <w:rPr>
                <w:rFonts w:cs="Arial"/>
                <w:szCs w:val="22"/>
              </w:rPr>
              <w:t xml:space="preserve">affected parties </w:t>
            </w:r>
            <w:r w:rsidR="00B519FA">
              <w:rPr>
                <w:rFonts w:cs="Arial"/>
                <w:szCs w:val="22"/>
              </w:rPr>
              <w:t>need to wait for detailed</w:t>
            </w:r>
            <w:r w:rsidR="005161EE">
              <w:rPr>
                <w:rFonts w:cs="Arial"/>
                <w:szCs w:val="22"/>
              </w:rPr>
              <w:t xml:space="preserve"> legislation to begin preparatory work to accommodate the reforms. </w:t>
            </w:r>
          </w:p>
          <w:p w14:paraId="0AA4A87F" w14:textId="2D4BB72C" w:rsidR="00D55875" w:rsidRPr="0049467D" w:rsidRDefault="00D55875" w:rsidP="0049467D">
            <w:pPr>
              <w:spacing w:after="0" w:line="276" w:lineRule="auto"/>
              <w:rPr>
                <w:rFonts w:cs="Arial"/>
                <w:szCs w:val="22"/>
              </w:rPr>
            </w:pPr>
          </w:p>
        </w:tc>
      </w:tr>
    </w:tbl>
    <w:p w14:paraId="71E20B7E" w14:textId="7D2A6BB5" w:rsidR="0062657E" w:rsidRPr="0005691A" w:rsidRDefault="0062657E" w:rsidP="002428A4">
      <w:pPr>
        <w:spacing w:after="120" w:line="276" w:lineRule="auto"/>
        <w:rPr>
          <w:rFonts w:cs="Arial"/>
          <w:b/>
          <w:color w:val="0082AB"/>
          <w:spacing w:val="20"/>
          <w:w w:val="90"/>
          <w:sz w:val="32"/>
          <w:szCs w:val="24"/>
        </w:rPr>
      </w:pPr>
      <w:r>
        <w:rPr>
          <w:rFonts w:cs="Arial"/>
          <w:sz w:val="20"/>
          <w:lang w:eastAsia="en-AU"/>
        </w:rPr>
        <w:br w:type="page"/>
      </w:r>
      <w:r w:rsidRPr="0005691A">
        <w:rPr>
          <w:rFonts w:cs="Arial"/>
          <w:b/>
          <w:color w:val="0082AB"/>
          <w:spacing w:val="20"/>
          <w:w w:val="90"/>
          <w:sz w:val="32"/>
          <w:szCs w:val="24"/>
        </w:rPr>
        <w:t>Section 7:</w:t>
      </w:r>
      <w:r w:rsidR="002E487F">
        <w:rPr>
          <w:rFonts w:cs="Arial"/>
          <w:b/>
          <w:color w:val="0082AB"/>
          <w:spacing w:val="20"/>
          <w:w w:val="90"/>
          <w:sz w:val="32"/>
          <w:szCs w:val="24"/>
        </w:rPr>
        <w:t xml:space="preserve"> </w:t>
      </w:r>
      <w:r w:rsidRPr="0005691A">
        <w:rPr>
          <w:rFonts w:cs="Arial"/>
          <w:b/>
          <w:color w:val="0082AB"/>
          <w:spacing w:val="20"/>
          <w:w w:val="90"/>
          <w:sz w:val="32"/>
          <w:szCs w:val="24"/>
        </w:rPr>
        <w:t>Monitoring, evaluation</w:t>
      </w:r>
      <w:r w:rsidR="00AF077F">
        <w:rPr>
          <w:rFonts w:cs="Arial"/>
          <w:b/>
          <w:color w:val="0082AB"/>
          <w:spacing w:val="20"/>
          <w:w w:val="90"/>
          <w:sz w:val="32"/>
          <w:szCs w:val="24"/>
        </w:rPr>
        <w:t>,</w:t>
      </w:r>
      <w:r w:rsidRPr="0005691A">
        <w:rPr>
          <w:rFonts w:cs="Arial"/>
          <w:b/>
          <w:color w:val="0082AB"/>
          <w:spacing w:val="20"/>
          <w:w w:val="90"/>
          <w:sz w:val="32"/>
          <w:szCs w:val="24"/>
        </w:rPr>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635F5" w14:paraId="32426E84" w14:textId="77777777" w:rsidTr="00346B30">
        <w:trPr>
          <w:trHeight w:val="206"/>
        </w:trPr>
        <w:tc>
          <w:tcPr>
            <w:tcW w:w="9072" w:type="dxa"/>
            <w:shd w:val="clear" w:color="auto" w:fill="99CDDD"/>
          </w:tcPr>
          <w:p w14:paraId="07DFDD88" w14:textId="7F5570B6" w:rsidR="0062657E" w:rsidRPr="004635F5" w:rsidRDefault="00F05AD9" w:rsidP="006356D0">
            <w:pPr>
              <w:keepNext/>
              <w:spacing w:before="60" w:after="60" w:line="240" w:lineRule="auto"/>
              <w:jc w:val="both"/>
              <w:rPr>
                <w:rFonts w:cs="Arial"/>
                <w:b/>
                <w:szCs w:val="22"/>
                <w:lang w:eastAsia="en-AU"/>
              </w:rPr>
            </w:pPr>
            <w:r w:rsidRPr="004635F5">
              <w:rPr>
                <w:rFonts w:cs="Arial"/>
                <w:b/>
                <w:szCs w:val="22"/>
                <w:lang w:eastAsia="en-AU"/>
              </w:rPr>
              <w:br w:type="page"/>
              <w:t xml:space="preserve">7.1   </w:t>
            </w:r>
            <w:r w:rsidR="0062657E" w:rsidRPr="004635F5">
              <w:rPr>
                <w:rFonts w:cs="Arial"/>
                <w:b/>
                <w:szCs w:val="22"/>
                <w:lang w:eastAsia="en-AU"/>
              </w:rPr>
              <w:t>How will the impact of the new arrangements be monitored?</w:t>
            </w:r>
          </w:p>
        </w:tc>
      </w:tr>
      <w:tr w:rsidR="0049467D" w:rsidRPr="004635F5" w14:paraId="32263D90" w14:textId="77777777" w:rsidTr="004635F5">
        <w:trPr>
          <w:trHeight w:val="285"/>
        </w:trPr>
        <w:tc>
          <w:tcPr>
            <w:tcW w:w="9072" w:type="dxa"/>
            <w:shd w:val="clear" w:color="auto" w:fill="FFFFFF"/>
          </w:tcPr>
          <w:p w14:paraId="129845BF" w14:textId="77777777" w:rsidR="0062657E" w:rsidRPr="002116D0" w:rsidRDefault="0062657E" w:rsidP="0049234F">
            <w:pPr>
              <w:pStyle w:val="spacer"/>
              <w:rPr>
                <w:rFonts w:cs="Arial"/>
                <w:sz w:val="22"/>
                <w:lang w:eastAsia="en-GB"/>
              </w:rPr>
            </w:pPr>
          </w:p>
          <w:p w14:paraId="3458EEBD" w14:textId="10F37FD7" w:rsidR="004635F5" w:rsidRDefault="00A05D11" w:rsidP="00120110">
            <w:pPr>
              <w:spacing w:after="0" w:line="276" w:lineRule="auto"/>
              <w:rPr>
                <w:rFonts w:cs="Arial"/>
                <w:szCs w:val="22"/>
              </w:rPr>
            </w:pPr>
            <w:r w:rsidRPr="00120110">
              <w:rPr>
                <w:rFonts w:cs="Arial"/>
                <w:szCs w:val="22"/>
              </w:rPr>
              <w:t xml:space="preserve">The revenue impact of this proposal will be </w:t>
            </w:r>
            <w:r w:rsidR="00AF077F">
              <w:rPr>
                <w:rFonts w:cs="Arial"/>
                <w:szCs w:val="22"/>
              </w:rPr>
              <w:t>estimated</w:t>
            </w:r>
            <w:r w:rsidRPr="00120110">
              <w:rPr>
                <w:rFonts w:cs="Arial"/>
                <w:szCs w:val="22"/>
              </w:rPr>
              <w:t xml:space="preserve"> through tax collected by Inland Revenue. </w:t>
            </w:r>
            <w:r w:rsidR="002116D0" w:rsidRPr="00120110">
              <w:rPr>
                <w:rFonts w:cs="Arial"/>
                <w:szCs w:val="22"/>
              </w:rPr>
              <w:t>There are concerns as to the extent of any</w:t>
            </w:r>
            <w:r w:rsidR="006851B9" w:rsidRPr="00120110">
              <w:rPr>
                <w:rFonts w:cs="Arial"/>
                <w:szCs w:val="22"/>
              </w:rPr>
              <w:t xml:space="preserve"> implications for</w:t>
            </w:r>
            <w:r w:rsidR="002116D0" w:rsidRPr="00120110">
              <w:rPr>
                <w:rFonts w:cs="Arial"/>
                <w:szCs w:val="22"/>
              </w:rPr>
              <w:t xml:space="preserve"> structuring activit</w:t>
            </w:r>
            <w:r w:rsidR="006851B9" w:rsidRPr="00120110">
              <w:rPr>
                <w:rFonts w:cs="Arial"/>
                <w:szCs w:val="22"/>
              </w:rPr>
              <w:t>ies</w:t>
            </w:r>
            <w:r w:rsidR="002116D0" w:rsidRPr="00120110">
              <w:rPr>
                <w:rFonts w:cs="Arial"/>
                <w:szCs w:val="22"/>
              </w:rPr>
              <w:t xml:space="preserve"> and how effective the package is at pre</w:t>
            </w:r>
            <w:r w:rsidR="006851B9" w:rsidRPr="00120110">
              <w:rPr>
                <w:rFonts w:cs="Arial"/>
                <w:szCs w:val="22"/>
              </w:rPr>
              <w:t>v</w:t>
            </w:r>
            <w:r w:rsidR="002116D0" w:rsidRPr="00120110">
              <w:rPr>
                <w:rFonts w:cs="Arial"/>
                <w:szCs w:val="22"/>
              </w:rPr>
              <w:t>enting those.</w:t>
            </w:r>
            <w:r w:rsidR="00C36AEE" w:rsidRPr="00120110">
              <w:rPr>
                <w:rFonts w:cs="Arial"/>
                <w:szCs w:val="22"/>
              </w:rPr>
              <w:t xml:space="preserve"> In practice</w:t>
            </w:r>
            <w:r w:rsidR="006851B9" w:rsidRPr="00120110">
              <w:rPr>
                <w:rFonts w:cs="Arial"/>
                <w:szCs w:val="22"/>
              </w:rPr>
              <w:t>,</w:t>
            </w:r>
            <w:r w:rsidR="00C36AEE" w:rsidRPr="00120110">
              <w:rPr>
                <w:rFonts w:cs="Arial"/>
                <w:szCs w:val="22"/>
              </w:rPr>
              <w:t xml:space="preserve"> it will be difficult to </w:t>
            </w:r>
            <w:r w:rsidR="00753FE4" w:rsidRPr="00120110">
              <w:rPr>
                <w:rFonts w:cs="Arial"/>
                <w:szCs w:val="22"/>
              </w:rPr>
              <w:t xml:space="preserve">evaluate the effect that a given package has on minimising top-rate avoidance compared to the effect that another package might have had. </w:t>
            </w:r>
            <w:r w:rsidR="001F3EB0" w:rsidRPr="00120110">
              <w:rPr>
                <w:rFonts w:cs="Arial"/>
                <w:szCs w:val="22"/>
              </w:rPr>
              <w:t>However, investigations that rely on the proposed integrity measure</w:t>
            </w:r>
            <w:r w:rsidR="006851B9" w:rsidRPr="00120110">
              <w:rPr>
                <w:rFonts w:cs="Arial"/>
                <w:szCs w:val="22"/>
              </w:rPr>
              <w:t>s</w:t>
            </w:r>
            <w:r w:rsidR="001F3EB0" w:rsidRPr="00120110">
              <w:rPr>
                <w:rFonts w:cs="Arial"/>
                <w:szCs w:val="22"/>
              </w:rPr>
              <w:t xml:space="preserve"> will indicate </w:t>
            </w:r>
            <w:r w:rsidR="00282590" w:rsidRPr="00120110">
              <w:rPr>
                <w:rFonts w:cs="Arial"/>
                <w:szCs w:val="22"/>
              </w:rPr>
              <w:t>how effective those measures are</w:t>
            </w:r>
            <w:r w:rsidR="008365F8">
              <w:rPr>
                <w:rFonts w:cs="Arial"/>
                <w:szCs w:val="22"/>
              </w:rPr>
              <w:t xml:space="preserve"> from a legal perspective</w:t>
            </w:r>
            <w:r w:rsidR="00FD7987" w:rsidRPr="00120110">
              <w:rPr>
                <w:rFonts w:cs="Arial"/>
                <w:szCs w:val="22"/>
              </w:rPr>
              <w:t xml:space="preserve">. </w:t>
            </w:r>
          </w:p>
          <w:p w14:paraId="687C0969" w14:textId="77777777" w:rsidR="00825511" w:rsidRPr="00120110" w:rsidRDefault="00825511" w:rsidP="00120110">
            <w:pPr>
              <w:spacing w:after="0" w:line="276" w:lineRule="auto"/>
              <w:rPr>
                <w:rFonts w:cs="Arial"/>
                <w:szCs w:val="22"/>
              </w:rPr>
            </w:pPr>
          </w:p>
          <w:p w14:paraId="5FD4A60D" w14:textId="51DF2A43" w:rsidR="00057413" w:rsidRPr="00120110" w:rsidRDefault="00390713" w:rsidP="00120110">
            <w:pPr>
              <w:spacing w:after="0" w:line="276" w:lineRule="auto"/>
              <w:rPr>
                <w:rFonts w:cs="Arial"/>
                <w:szCs w:val="22"/>
              </w:rPr>
            </w:pPr>
            <w:r w:rsidRPr="00120110">
              <w:rPr>
                <w:rFonts w:cs="Arial"/>
                <w:szCs w:val="22"/>
              </w:rPr>
              <w:t xml:space="preserve">Inland Revenue routinely collects significant amounts of data </w:t>
            </w:r>
            <w:r w:rsidR="00274155" w:rsidRPr="00120110">
              <w:rPr>
                <w:rFonts w:cs="Arial"/>
                <w:szCs w:val="22"/>
              </w:rPr>
              <w:t xml:space="preserve">through </w:t>
            </w:r>
            <w:r w:rsidR="002F7C81" w:rsidRPr="00120110">
              <w:rPr>
                <w:rFonts w:cs="Arial"/>
                <w:szCs w:val="22"/>
              </w:rPr>
              <w:t>taxpayers filing their returns</w:t>
            </w:r>
            <w:r w:rsidR="00274155" w:rsidRPr="00120110">
              <w:rPr>
                <w:rFonts w:cs="Arial"/>
                <w:szCs w:val="22"/>
              </w:rPr>
              <w:t>,</w:t>
            </w:r>
            <w:r w:rsidR="002F7C81" w:rsidRPr="00120110">
              <w:rPr>
                <w:rFonts w:cs="Arial"/>
                <w:szCs w:val="22"/>
              </w:rPr>
              <w:t xml:space="preserve"> through income payers withholding tax and providing </w:t>
            </w:r>
            <w:r w:rsidR="00476083" w:rsidRPr="00120110">
              <w:rPr>
                <w:rFonts w:cs="Arial"/>
                <w:szCs w:val="22"/>
              </w:rPr>
              <w:t>information to Inland Revenue</w:t>
            </w:r>
            <w:r w:rsidR="00274155" w:rsidRPr="00120110">
              <w:rPr>
                <w:rFonts w:cs="Arial"/>
                <w:szCs w:val="22"/>
              </w:rPr>
              <w:t>, and through other means</w:t>
            </w:r>
            <w:r w:rsidR="002F7C81" w:rsidRPr="00120110">
              <w:rPr>
                <w:rFonts w:cs="Arial"/>
                <w:szCs w:val="22"/>
              </w:rPr>
              <w:t xml:space="preserve">. </w:t>
            </w:r>
            <w:r w:rsidR="006203DF" w:rsidRPr="00120110">
              <w:rPr>
                <w:rFonts w:cs="Arial"/>
                <w:szCs w:val="22"/>
              </w:rPr>
              <w:t xml:space="preserve">This information will be used to monitor and evaluate the impact of the changes to the personal income tax scale. </w:t>
            </w:r>
            <w:r w:rsidR="00B01489" w:rsidRPr="00120110">
              <w:rPr>
                <w:rFonts w:cs="Arial"/>
                <w:szCs w:val="22"/>
              </w:rPr>
              <w:t xml:space="preserve">Inland Revenue also records data on its </w:t>
            </w:r>
            <w:r w:rsidR="005E4128" w:rsidRPr="00120110">
              <w:rPr>
                <w:rFonts w:cs="Arial"/>
                <w:szCs w:val="22"/>
              </w:rPr>
              <w:t xml:space="preserve">customer compliance and customer support activities, </w:t>
            </w:r>
            <w:r w:rsidR="00DB4662" w:rsidRPr="00120110">
              <w:rPr>
                <w:rFonts w:cs="Arial"/>
                <w:szCs w:val="22"/>
              </w:rPr>
              <w:t xml:space="preserve">so existing systems are already in place to record new </w:t>
            </w:r>
            <w:r w:rsidR="00A8226C" w:rsidRPr="00120110">
              <w:rPr>
                <w:rFonts w:cs="Arial"/>
                <w:szCs w:val="22"/>
              </w:rPr>
              <w:t xml:space="preserve">administrative </w:t>
            </w:r>
            <w:r w:rsidR="00DB4662" w:rsidRPr="00120110">
              <w:rPr>
                <w:rFonts w:cs="Arial"/>
                <w:szCs w:val="22"/>
              </w:rPr>
              <w:t xml:space="preserve">impacts arising from this proposal. </w:t>
            </w:r>
          </w:p>
          <w:p w14:paraId="6DB4322C" w14:textId="34F5ADCF" w:rsidR="00E31EC8" w:rsidRDefault="00E31EC8" w:rsidP="00120110">
            <w:pPr>
              <w:spacing w:after="0" w:line="276" w:lineRule="auto"/>
              <w:rPr>
                <w:rFonts w:cs="Arial"/>
                <w:szCs w:val="22"/>
              </w:rPr>
            </w:pPr>
          </w:p>
          <w:p w14:paraId="3BA647C4" w14:textId="431F59F1" w:rsidR="00AA12CB" w:rsidRDefault="00E31EC8" w:rsidP="00120110">
            <w:pPr>
              <w:spacing w:after="0" w:line="276" w:lineRule="auto"/>
            </w:pPr>
            <w:r>
              <w:t>Inland Revenue will collect more information on trust assets</w:t>
            </w:r>
            <w:r w:rsidR="0074139C">
              <w:t>,</w:t>
            </w:r>
            <w:r>
              <w:t xml:space="preserve"> liabilities</w:t>
            </w:r>
            <w:r w:rsidR="0074139C">
              <w:t>,</w:t>
            </w:r>
            <w:r>
              <w:t xml:space="preserve"> and distributions. This will increase compliance costs for trustees, but it will be an important part of monitoring any systemic issues.</w:t>
            </w:r>
            <w:r w:rsidR="002463F2">
              <w:t xml:space="preserve"> Due to the lack of consultation on the new information requirements</w:t>
            </w:r>
            <w:r w:rsidR="001F104A">
              <w:t xml:space="preserve">, Inland Revenue will likely have limited understanding of the compliance costs that trusts will face with the new information requirements and how large these </w:t>
            </w:r>
            <w:r w:rsidR="00661D30">
              <w:t xml:space="preserve">costs </w:t>
            </w:r>
            <w:r w:rsidR="001F104A">
              <w:t>are.</w:t>
            </w:r>
          </w:p>
          <w:p w14:paraId="7A01F152" w14:textId="77777777" w:rsidR="00661D30" w:rsidRPr="00120110" w:rsidRDefault="00661D30" w:rsidP="00120110">
            <w:pPr>
              <w:spacing w:after="0" w:line="276" w:lineRule="auto"/>
              <w:rPr>
                <w:rFonts w:cs="Arial"/>
                <w:szCs w:val="22"/>
              </w:rPr>
            </w:pPr>
          </w:p>
          <w:p w14:paraId="4F7D8409" w14:textId="6BADD545" w:rsidR="00AA12CB" w:rsidRPr="00120110" w:rsidRDefault="00AA12CB" w:rsidP="00120110">
            <w:pPr>
              <w:spacing w:after="0" w:line="276" w:lineRule="auto"/>
              <w:rPr>
                <w:rFonts w:cs="Arial"/>
                <w:szCs w:val="22"/>
              </w:rPr>
            </w:pPr>
            <w:r w:rsidRPr="00120110">
              <w:rPr>
                <w:rFonts w:cs="Arial"/>
                <w:szCs w:val="22"/>
              </w:rPr>
              <w:t xml:space="preserve">Inland Revenue’s policy function also </w:t>
            </w:r>
            <w:r w:rsidR="00A8226C" w:rsidRPr="00120110">
              <w:rPr>
                <w:rFonts w:cs="Arial"/>
                <w:szCs w:val="22"/>
              </w:rPr>
              <w:t>has</w:t>
            </w:r>
            <w:r w:rsidRPr="00120110">
              <w:rPr>
                <w:rFonts w:cs="Arial"/>
                <w:szCs w:val="22"/>
              </w:rPr>
              <w:t xml:space="preserve"> processes in place to </w:t>
            </w:r>
            <w:r w:rsidR="00A42902" w:rsidRPr="00120110">
              <w:rPr>
                <w:rFonts w:cs="Arial"/>
                <w:szCs w:val="22"/>
              </w:rPr>
              <w:t>review the impacts of the proposal based on data already collected</w:t>
            </w:r>
            <w:r w:rsidR="0015670F" w:rsidRPr="00120110">
              <w:rPr>
                <w:rFonts w:cs="Arial"/>
                <w:szCs w:val="22"/>
              </w:rPr>
              <w:t>. Inland Revenue</w:t>
            </w:r>
            <w:r w:rsidR="00A42902" w:rsidRPr="00120110">
              <w:rPr>
                <w:rFonts w:cs="Arial"/>
                <w:szCs w:val="22"/>
              </w:rPr>
              <w:t xml:space="preserve"> will</w:t>
            </w:r>
            <w:r w:rsidR="0015670F" w:rsidRPr="00120110">
              <w:rPr>
                <w:rFonts w:cs="Arial"/>
                <w:szCs w:val="22"/>
              </w:rPr>
              <w:t xml:space="preserve"> therefore</w:t>
            </w:r>
            <w:r w:rsidR="00A42902" w:rsidRPr="00120110">
              <w:rPr>
                <w:rFonts w:cs="Arial"/>
                <w:szCs w:val="22"/>
              </w:rPr>
              <w:t xml:space="preserve"> be in a position to both provide </w:t>
            </w:r>
            <w:r w:rsidR="00A165E1" w:rsidRPr="00120110">
              <w:rPr>
                <w:rFonts w:cs="Arial"/>
                <w:szCs w:val="22"/>
              </w:rPr>
              <w:t xml:space="preserve">follow-up </w:t>
            </w:r>
            <w:r w:rsidR="00A42902" w:rsidRPr="00120110">
              <w:rPr>
                <w:rFonts w:cs="Arial"/>
                <w:szCs w:val="22"/>
              </w:rPr>
              <w:t>advice to the Government as necessary and/or respond to any further directions from the Government</w:t>
            </w:r>
            <w:r w:rsidR="00B26148" w:rsidRPr="00120110">
              <w:rPr>
                <w:rFonts w:cs="Arial"/>
                <w:szCs w:val="22"/>
              </w:rPr>
              <w:t xml:space="preserve"> on consequential tax reforms following the implementation o</w:t>
            </w:r>
            <w:r w:rsidR="007C6817" w:rsidRPr="00120110">
              <w:rPr>
                <w:rFonts w:cs="Arial"/>
                <w:szCs w:val="22"/>
              </w:rPr>
              <w:t>f</w:t>
            </w:r>
            <w:r w:rsidR="00B26148" w:rsidRPr="00120110">
              <w:rPr>
                <w:rFonts w:cs="Arial"/>
                <w:szCs w:val="22"/>
              </w:rPr>
              <w:t xml:space="preserve"> this proposal</w:t>
            </w:r>
            <w:r w:rsidR="00A42902" w:rsidRPr="00120110">
              <w:rPr>
                <w:rFonts w:cs="Arial"/>
                <w:szCs w:val="22"/>
              </w:rPr>
              <w:t xml:space="preserve">. </w:t>
            </w:r>
          </w:p>
          <w:p w14:paraId="2B1C9BDE" w14:textId="039452D1" w:rsidR="00AC096B" w:rsidRPr="00120110" w:rsidRDefault="00AC096B" w:rsidP="00120110">
            <w:pPr>
              <w:spacing w:after="0" w:line="276" w:lineRule="auto"/>
              <w:rPr>
                <w:rFonts w:cs="Arial"/>
                <w:szCs w:val="22"/>
              </w:rPr>
            </w:pPr>
          </w:p>
          <w:p w14:paraId="31450DA7" w14:textId="77777777" w:rsidR="00695856" w:rsidRDefault="003D3F6D" w:rsidP="00AF077F">
            <w:pPr>
              <w:spacing w:after="0" w:line="276" w:lineRule="auto"/>
              <w:rPr>
                <w:rFonts w:cs="Arial"/>
                <w:szCs w:val="22"/>
              </w:rPr>
            </w:pPr>
            <w:r w:rsidRPr="00120110">
              <w:rPr>
                <w:rFonts w:cs="Arial"/>
                <w:szCs w:val="22"/>
              </w:rPr>
              <w:t xml:space="preserve">Inland Revenue will report to the Government </w:t>
            </w:r>
            <w:r w:rsidR="007252F3" w:rsidRPr="00120110">
              <w:rPr>
                <w:rFonts w:cs="Arial"/>
                <w:szCs w:val="22"/>
              </w:rPr>
              <w:t xml:space="preserve">on the impacts of the proposal and the integrity of the system once data becomes available. </w:t>
            </w:r>
          </w:p>
          <w:p w14:paraId="3C5208BE" w14:textId="62F6CDE1" w:rsidR="00AF077F" w:rsidRPr="00AF077F" w:rsidRDefault="00AF077F" w:rsidP="00AF077F">
            <w:pPr>
              <w:spacing w:after="0" w:line="276" w:lineRule="auto"/>
              <w:rPr>
                <w:rFonts w:cs="Arial"/>
                <w:szCs w:val="22"/>
              </w:rPr>
            </w:pPr>
          </w:p>
        </w:tc>
      </w:tr>
    </w:tbl>
    <w:p w14:paraId="3C0CCFC9" w14:textId="77777777" w:rsidR="00182208" w:rsidRPr="00093CBE" w:rsidRDefault="00182208" w:rsidP="00093CBE">
      <w:pPr>
        <w:pStyle w:val="spacer"/>
        <w:rPr>
          <w:sz w:val="22"/>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05CB5139" w14:textId="77777777" w:rsidTr="00346B30">
        <w:trPr>
          <w:trHeight w:val="296"/>
        </w:trPr>
        <w:tc>
          <w:tcPr>
            <w:tcW w:w="9072" w:type="dxa"/>
            <w:shd w:val="clear" w:color="auto" w:fill="99CDDD"/>
          </w:tcPr>
          <w:p w14:paraId="2D17D175" w14:textId="7212FFDE" w:rsidR="0062657E" w:rsidRPr="0049467D" w:rsidRDefault="00F05AD9" w:rsidP="006356D0">
            <w:pPr>
              <w:keepNext/>
              <w:spacing w:before="60" w:after="60" w:line="240" w:lineRule="auto"/>
              <w:jc w:val="both"/>
              <w:rPr>
                <w:rFonts w:cs="Arial"/>
                <w:b/>
                <w:szCs w:val="22"/>
                <w:lang w:eastAsia="en-AU"/>
              </w:rPr>
            </w:pPr>
            <w:r>
              <w:rPr>
                <w:rFonts w:cs="Arial"/>
                <w:b/>
                <w:szCs w:val="22"/>
                <w:lang w:eastAsia="en-AU"/>
              </w:rPr>
              <w:br w:type="page"/>
              <w:t xml:space="preserve">7.2   </w:t>
            </w:r>
            <w:r w:rsidR="0062657E" w:rsidRPr="0049467D">
              <w:rPr>
                <w:rFonts w:cs="Arial"/>
                <w:b/>
                <w:szCs w:val="22"/>
                <w:lang w:eastAsia="en-AU"/>
              </w:rPr>
              <w:t xml:space="preserve">When and how will the new arrangements be reviewed? </w:t>
            </w:r>
          </w:p>
        </w:tc>
      </w:tr>
      <w:tr w:rsidR="0049467D" w:rsidRPr="0049467D" w14:paraId="2A6536B0" w14:textId="77777777" w:rsidTr="00AF077F">
        <w:trPr>
          <w:trHeight w:val="90"/>
        </w:trPr>
        <w:tc>
          <w:tcPr>
            <w:tcW w:w="9072" w:type="dxa"/>
            <w:shd w:val="clear" w:color="auto" w:fill="FFFFFF"/>
          </w:tcPr>
          <w:p w14:paraId="395EFC7F" w14:textId="77777777" w:rsidR="0062657E" w:rsidRDefault="0062657E" w:rsidP="0049467D">
            <w:pPr>
              <w:spacing w:after="0" w:line="276" w:lineRule="auto"/>
              <w:rPr>
                <w:rFonts w:cs="Arial"/>
                <w:szCs w:val="22"/>
              </w:rPr>
            </w:pPr>
          </w:p>
          <w:p w14:paraId="61093EC6" w14:textId="73566748" w:rsidR="004635F5" w:rsidRDefault="00F07C5E" w:rsidP="0049467D">
            <w:pPr>
              <w:spacing w:after="0" w:line="276" w:lineRule="auto"/>
              <w:rPr>
                <w:rFonts w:cs="Arial"/>
                <w:szCs w:val="22"/>
              </w:rPr>
            </w:pPr>
            <w:r>
              <w:rPr>
                <w:rFonts w:cs="Arial"/>
                <w:szCs w:val="22"/>
              </w:rPr>
              <w:t>Inland Revenue regularly reviews tax settings on an ongoing basis and provides advice</w:t>
            </w:r>
            <w:r w:rsidR="005E7D62">
              <w:rPr>
                <w:rFonts w:cs="Arial"/>
                <w:szCs w:val="22"/>
              </w:rPr>
              <w:t>/</w:t>
            </w:r>
            <w:r>
              <w:rPr>
                <w:rFonts w:cs="Arial"/>
                <w:szCs w:val="22"/>
              </w:rPr>
              <w:t>updates to the Government</w:t>
            </w:r>
            <w:r w:rsidR="005E7D62">
              <w:rPr>
                <w:rFonts w:cs="Arial"/>
                <w:szCs w:val="22"/>
              </w:rPr>
              <w:t xml:space="preserve"> accordingly</w:t>
            </w:r>
            <w:r>
              <w:rPr>
                <w:rFonts w:cs="Arial"/>
                <w:szCs w:val="22"/>
              </w:rPr>
              <w:t xml:space="preserve">. </w:t>
            </w:r>
            <w:r w:rsidR="00D445EC">
              <w:rPr>
                <w:rFonts w:cs="Arial"/>
                <w:szCs w:val="22"/>
              </w:rPr>
              <w:t>As a result, there</w:t>
            </w:r>
            <w:r w:rsidR="00960A24">
              <w:rPr>
                <w:rFonts w:cs="Arial"/>
                <w:szCs w:val="22"/>
              </w:rPr>
              <w:t xml:space="preserve"> are currently no plans for a specific review of the 39 percent rate at some future point in time</w:t>
            </w:r>
            <w:r w:rsidR="00D445EC">
              <w:rPr>
                <w:rFonts w:cs="Arial"/>
                <w:szCs w:val="22"/>
              </w:rPr>
              <w:t xml:space="preserve">. </w:t>
            </w:r>
          </w:p>
          <w:p w14:paraId="431E650E" w14:textId="00179E89" w:rsidR="00B6025E" w:rsidRDefault="00B6025E" w:rsidP="0049467D">
            <w:pPr>
              <w:spacing w:after="0" w:line="276" w:lineRule="auto"/>
              <w:rPr>
                <w:rFonts w:cs="Arial"/>
                <w:szCs w:val="22"/>
              </w:rPr>
            </w:pPr>
          </w:p>
          <w:p w14:paraId="25299615" w14:textId="24463D42" w:rsidR="00B6025E" w:rsidRDefault="00792DDF" w:rsidP="0049467D">
            <w:pPr>
              <w:spacing w:after="0" w:line="276" w:lineRule="auto"/>
              <w:rPr>
                <w:rFonts w:cs="Arial"/>
                <w:szCs w:val="22"/>
              </w:rPr>
            </w:pPr>
            <w:r>
              <w:rPr>
                <w:rFonts w:cs="Arial"/>
                <w:szCs w:val="22"/>
              </w:rPr>
              <w:t>The most concerning</w:t>
            </w:r>
            <w:r w:rsidR="007B30C6">
              <w:rPr>
                <w:rFonts w:cs="Arial"/>
                <w:szCs w:val="22"/>
              </w:rPr>
              <w:t xml:space="preserve"> potential</w:t>
            </w:r>
            <w:r>
              <w:rPr>
                <w:rFonts w:cs="Arial"/>
                <w:szCs w:val="22"/>
              </w:rPr>
              <w:t xml:space="preserve"> result following the implementation of the proposal would be if tax revenue</w:t>
            </w:r>
            <w:r w:rsidR="007B30C6">
              <w:rPr>
                <w:rFonts w:cs="Arial"/>
                <w:szCs w:val="22"/>
              </w:rPr>
              <w:t xml:space="preserve"> collected</w:t>
            </w:r>
            <w:r>
              <w:rPr>
                <w:rFonts w:cs="Arial"/>
                <w:szCs w:val="22"/>
              </w:rPr>
              <w:t xml:space="preserve"> on incomes above $180,000 is significantly less than expected. </w:t>
            </w:r>
            <w:r w:rsidRPr="00D04DC0">
              <w:rPr>
                <w:rFonts w:cs="Arial"/>
                <w:szCs w:val="22"/>
              </w:rPr>
              <w:t>That may suggest</w:t>
            </w:r>
            <w:r w:rsidR="007B30C6" w:rsidRPr="00D04DC0">
              <w:rPr>
                <w:rFonts w:cs="Arial"/>
                <w:szCs w:val="22"/>
              </w:rPr>
              <w:t xml:space="preserve"> that</w:t>
            </w:r>
            <w:r w:rsidRPr="00D04DC0">
              <w:rPr>
                <w:rFonts w:cs="Arial"/>
                <w:szCs w:val="22"/>
              </w:rPr>
              <w:t xml:space="preserve"> </w:t>
            </w:r>
            <w:r w:rsidR="00BE2C7D" w:rsidRPr="00D04DC0">
              <w:rPr>
                <w:rFonts w:cs="Arial"/>
                <w:szCs w:val="22"/>
              </w:rPr>
              <w:t xml:space="preserve">taxpayers are entering into </w:t>
            </w:r>
            <w:r w:rsidR="00DA3609" w:rsidRPr="00D04DC0">
              <w:rPr>
                <w:rFonts w:cs="Arial"/>
                <w:szCs w:val="22"/>
              </w:rPr>
              <w:t>arrangements that structure around</w:t>
            </w:r>
            <w:r w:rsidR="00BE2C7D" w:rsidRPr="00D04DC0">
              <w:rPr>
                <w:rFonts w:cs="Arial"/>
                <w:szCs w:val="22"/>
              </w:rPr>
              <w:t xml:space="preserve"> the new top personal income tax rate.</w:t>
            </w:r>
            <w:r w:rsidR="00BE2C7D">
              <w:rPr>
                <w:rFonts w:cs="Arial"/>
                <w:szCs w:val="22"/>
              </w:rPr>
              <w:t xml:space="preserve"> </w:t>
            </w:r>
            <w:r w:rsidR="007B30C6">
              <w:rPr>
                <w:rFonts w:cs="Arial"/>
                <w:szCs w:val="22"/>
              </w:rPr>
              <w:t>The risk of this being the case will be highest</w:t>
            </w:r>
            <w:r w:rsidR="003A5CA7">
              <w:rPr>
                <w:rFonts w:cs="Arial"/>
                <w:szCs w:val="22"/>
              </w:rPr>
              <w:t xml:space="preserve"> in the year prior to the recommended implementation of</w:t>
            </w:r>
            <w:r w:rsidR="006405D8">
              <w:rPr>
                <w:rFonts w:cs="Arial"/>
                <w:szCs w:val="22"/>
              </w:rPr>
              <w:t xml:space="preserve"> integrity measures</w:t>
            </w:r>
            <w:r w:rsidR="00BE0B5C">
              <w:rPr>
                <w:rFonts w:cs="Arial"/>
                <w:szCs w:val="22"/>
              </w:rPr>
              <w:t xml:space="preserve"> to buttress the new top personal rate. </w:t>
            </w:r>
          </w:p>
          <w:p w14:paraId="26727E34" w14:textId="1160486A" w:rsidR="00BE0B5C" w:rsidRDefault="00BE0B5C" w:rsidP="0049467D">
            <w:pPr>
              <w:spacing w:after="0" w:line="276" w:lineRule="auto"/>
              <w:rPr>
                <w:rFonts w:cs="Arial"/>
                <w:szCs w:val="22"/>
              </w:rPr>
            </w:pPr>
          </w:p>
          <w:p w14:paraId="10FE5C27" w14:textId="5E4C7CA4" w:rsidR="004635F5" w:rsidRDefault="00BE0B5C" w:rsidP="0049467D">
            <w:pPr>
              <w:spacing w:after="0" w:line="276" w:lineRule="auto"/>
              <w:rPr>
                <w:rFonts w:cs="Arial"/>
                <w:szCs w:val="22"/>
              </w:rPr>
            </w:pPr>
            <w:r>
              <w:rPr>
                <w:rFonts w:cs="Arial"/>
                <w:szCs w:val="22"/>
              </w:rPr>
              <w:t xml:space="preserve">Inland Revenue </w:t>
            </w:r>
            <w:r w:rsidR="00C801D8">
              <w:rPr>
                <w:rFonts w:cs="Arial"/>
                <w:szCs w:val="22"/>
              </w:rPr>
              <w:t>wishes</w:t>
            </w:r>
            <w:r>
              <w:rPr>
                <w:rFonts w:cs="Arial"/>
                <w:szCs w:val="22"/>
              </w:rPr>
              <w:t xml:space="preserve"> to consult with </w:t>
            </w:r>
            <w:r w:rsidR="00C801D8">
              <w:rPr>
                <w:rFonts w:cs="Arial"/>
                <w:szCs w:val="22"/>
              </w:rPr>
              <w:t xml:space="preserve">stakeholders on the detailed design of those integrity measures in the first half of 2021 subject to the Government’s agreement to those measures. </w:t>
            </w:r>
            <w:r w:rsidR="00AD4473">
              <w:rPr>
                <w:rFonts w:cs="Arial"/>
                <w:szCs w:val="22"/>
              </w:rPr>
              <w:t xml:space="preserve">This will </w:t>
            </w:r>
            <w:r w:rsidR="00643BF8">
              <w:rPr>
                <w:rFonts w:cs="Arial"/>
                <w:szCs w:val="22"/>
              </w:rPr>
              <w:t xml:space="preserve">help to </w:t>
            </w:r>
            <w:r w:rsidR="00AD4473">
              <w:rPr>
                <w:rFonts w:cs="Arial"/>
                <w:szCs w:val="22"/>
              </w:rPr>
              <w:t>ensure that those measures are fit for purpose. Inland Revenue expects that any wider concerns</w:t>
            </w:r>
            <w:r w:rsidR="00643BF8">
              <w:rPr>
                <w:rFonts w:cs="Arial"/>
                <w:szCs w:val="22"/>
              </w:rPr>
              <w:t xml:space="preserve"> or feedback</w:t>
            </w:r>
            <w:r w:rsidR="00AD4473">
              <w:rPr>
                <w:rFonts w:cs="Arial"/>
                <w:szCs w:val="22"/>
              </w:rPr>
              <w:t xml:space="preserve"> about the </w:t>
            </w:r>
            <w:r w:rsidR="00643BF8">
              <w:rPr>
                <w:rFonts w:cs="Arial"/>
                <w:szCs w:val="22"/>
              </w:rPr>
              <w:t xml:space="preserve">general </w:t>
            </w:r>
            <w:r w:rsidR="009E44CD">
              <w:rPr>
                <w:rFonts w:cs="Arial"/>
                <w:szCs w:val="22"/>
              </w:rPr>
              <w:t>proposal</w:t>
            </w:r>
            <w:r w:rsidR="00643BF8">
              <w:rPr>
                <w:rFonts w:cs="Arial"/>
                <w:szCs w:val="22"/>
              </w:rPr>
              <w:t>s</w:t>
            </w:r>
            <w:r w:rsidR="009E44CD">
              <w:rPr>
                <w:rFonts w:cs="Arial"/>
                <w:szCs w:val="22"/>
              </w:rPr>
              <w:t xml:space="preserve"> </w:t>
            </w:r>
            <w:r w:rsidR="00643BF8">
              <w:rPr>
                <w:rFonts w:cs="Arial"/>
                <w:szCs w:val="22"/>
              </w:rPr>
              <w:t>in</w:t>
            </w:r>
            <w:r w:rsidR="009E44CD">
              <w:rPr>
                <w:rFonts w:cs="Arial"/>
                <w:szCs w:val="22"/>
              </w:rPr>
              <w:t xml:space="preserve"> this Impact Statement will be raised in that consultation. </w:t>
            </w:r>
          </w:p>
          <w:p w14:paraId="37569B2C" w14:textId="3391C9F6" w:rsidR="00381179" w:rsidRDefault="00381179" w:rsidP="0049467D">
            <w:pPr>
              <w:spacing w:after="0" w:line="276" w:lineRule="auto"/>
              <w:rPr>
                <w:rFonts w:cs="Arial"/>
                <w:szCs w:val="22"/>
              </w:rPr>
            </w:pPr>
          </w:p>
          <w:p w14:paraId="7AFDA799" w14:textId="2BBCE362" w:rsidR="00381179" w:rsidRDefault="00381179" w:rsidP="0049467D">
            <w:pPr>
              <w:spacing w:after="0" w:line="276" w:lineRule="auto"/>
              <w:rPr>
                <w:rFonts w:cs="Arial"/>
                <w:szCs w:val="22"/>
              </w:rPr>
            </w:pPr>
            <w:r>
              <w:rPr>
                <w:rFonts w:cs="Arial"/>
                <w:szCs w:val="22"/>
              </w:rPr>
              <w:t xml:space="preserve">As part of this consultation, </w:t>
            </w:r>
            <w:r w:rsidR="00E26FF0">
              <w:rPr>
                <w:rFonts w:cs="Arial"/>
                <w:szCs w:val="22"/>
              </w:rPr>
              <w:t xml:space="preserve">Inland Revenue will be seeking feedback on the implementation </w:t>
            </w:r>
            <w:r w:rsidR="000F457E">
              <w:rPr>
                <w:rFonts w:cs="Arial"/>
                <w:szCs w:val="22"/>
              </w:rPr>
              <w:t>of the in</w:t>
            </w:r>
            <w:r w:rsidR="009F73A0">
              <w:rPr>
                <w:rFonts w:cs="Arial"/>
                <w:szCs w:val="22"/>
              </w:rPr>
              <w:t>formation reporting requirements for trust</w:t>
            </w:r>
            <w:r w:rsidR="00831A4A">
              <w:rPr>
                <w:rFonts w:cs="Arial"/>
                <w:szCs w:val="22"/>
              </w:rPr>
              <w:t>ee</w:t>
            </w:r>
            <w:r w:rsidR="009F73A0">
              <w:rPr>
                <w:rFonts w:cs="Arial"/>
                <w:szCs w:val="22"/>
              </w:rPr>
              <w:t>s.</w:t>
            </w:r>
            <w:r w:rsidR="005C3437">
              <w:rPr>
                <w:rFonts w:cs="Arial"/>
                <w:szCs w:val="22"/>
              </w:rPr>
              <w:t xml:space="preserve"> This will occur in lieu of formal consultation before the new requirements come into effect.</w:t>
            </w:r>
            <w:r w:rsidR="009F73A0">
              <w:rPr>
                <w:rFonts w:cs="Arial"/>
                <w:szCs w:val="22"/>
              </w:rPr>
              <w:t xml:space="preserve"> </w:t>
            </w:r>
            <w:r w:rsidR="000234C3">
              <w:rPr>
                <w:rFonts w:cs="Arial"/>
                <w:szCs w:val="22"/>
              </w:rPr>
              <w:t>Th</w:t>
            </w:r>
            <w:r w:rsidR="005C3437">
              <w:rPr>
                <w:rFonts w:cs="Arial"/>
                <w:szCs w:val="22"/>
              </w:rPr>
              <w:t>e</w:t>
            </w:r>
            <w:r w:rsidR="000234C3">
              <w:rPr>
                <w:rFonts w:cs="Arial"/>
                <w:szCs w:val="22"/>
              </w:rPr>
              <w:t xml:space="preserve"> post-implementation review of the proposed requirements will </w:t>
            </w:r>
            <w:r w:rsidR="0015013B">
              <w:rPr>
                <w:rFonts w:cs="Arial"/>
                <w:szCs w:val="22"/>
              </w:rPr>
              <w:t xml:space="preserve">be used to evaluate whether the expected benefits of collecting more information on trust assets, liabilities, and distributions </w:t>
            </w:r>
            <w:r w:rsidR="00AD0598">
              <w:rPr>
                <w:rFonts w:cs="Arial"/>
                <w:szCs w:val="22"/>
              </w:rPr>
              <w:t xml:space="preserve">justify the compliance costs that these requirements will impose on trustees. </w:t>
            </w:r>
            <w:r w:rsidR="00761C65">
              <w:rPr>
                <w:rFonts w:cs="Arial"/>
                <w:szCs w:val="22"/>
              </w:rPr>
              <w:t xml:space="preserve">It will also be used to determine whether and how compliance costs </w:t>
            </w:r>
            <w:r w:rsidR="00E33679">
              <w:rPr>
                <w:rFonts w:cs="Arial"/>
                <w:szCs w:val="22"/>
              </w:rPr>
              <w:t xml:space="preserve">imposed by the requirements </w:t>
            </w:r>
            <w:r w:rsidR="00761C65">
              <w:rPr>
                <w:rFonts w:cs="Arial"/>
                <w:szCs w:val="22"/>
              </w:rPr>
              <w:t xml:space="preserve">could be reduced. </w:t>
            </w:r>
          </w:p>
          <w:p w14:paraId="43979CBF" w14:textId="373540A9" w:rsidR="00093CBE" w:rsidRPr="0049467D" w:rsidRDefault="00093CBE" w:rsidP="0049467D">
            <w:pPr>
              <w:spacing w:after="0" w:line="276" w:lineRule="auto"/>
              <w:rPr>
                <w:rFonts w:cs="Arial"/>
                <w:szCs w:val="22"/>
              </w:rPr>
            </w:pPr>
          </w:p>
        </w:tc>
      </w:tr>
    </w:tbl>
    <w:p w14:paraId="07EFB59D" w14:textId="77777777" w:rsidR="00397C8D" w:rsidRPr="0049467D" w:rsidRDefault="00397C8D" w:rsidP="0049234F">
      <w:pPr>
        <w:pStyle w:val="spacer"/>
      </w:pPr>
    </w:p>
    <w:sectPr w:rsidR="00397C8D" w:rsidRPr="0049467D" w:rsidSect="0005691A">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0261" w14:textId="77777777" w:rsidR="00A0561E" w:rsidRDefault="00A0561E">
      <w:pPr>
        <w:spacing w:after="0" w:line="240" w:lineRule="auto"/>
      </w:pPr>
      <w:r>
        <w:separator/>
      </w:r>
    </w:p>
  </w:endnote>
  <w:endnote w:type="continuationSeparator" w:id="0">
    <w:p w14:paraId="1CCFF56A" w14:textId="77777777" w:rsidR="00A0561E" w:rsidRDefault="00A0561E">
      <w:pPr>
        <w:spacing w:after="0" w:line="240" w:lineRule="auto"/>
      </w:pPr>
      <w:r>
        <w:continuationSeparator/>
      </w:r>
    </w:p>
  </w:endnote>
  <w:endnote w:type="continuationNotice" w:id="1">
    <w:p w14:paraId="262B6417" w14:textId="77777777" w:rsidR="00A0561E" w:rsidRDefault="00A05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D3C9" w14:textId="47579498" w:rsidR="001230AD" w:rsidRPr="009435C4" w:rsidRDefault="001230AD" w:rsidP="00743278">
    <w:pPr>
      <w:pStyle w:val="Footer"/>
    </w:pP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8</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82A0" w14:textId="26DC00FA" w:rsidR="001230AD" w:rsidRPr="009435C4" w:rsidRDefault="001230AD" w:rsidP="00743278">
    <w:pPr>
      <w:pStyle w:val="Footer"/>
    </w:pPr>
    <w:r>
      <w:rPr>
        <w:sz w:val="14"/>
      </w:rPr>
      <w:tab/>
    </w: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9</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1230AD" w:rsidRDefault="001230AD" w:rsidP="007432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0B721718" w:rsidR="001230AD" w:rsidRPr="00743278" w:rsidRDefault="001230AD" w:rsidP="00743278">
    <w:pPr>
      <w:pStyle w:val="Footer"/>
    </w:pP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15</w:t>
    </w:r>
    <w:r w:rsidRPr="009435C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9C02" w14:textId="77777777" w:rsidR="001230AD" w:rsidRDefault="001230AD" w:rsidP="0074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7877" w14:textId="77777777" w:rsidR="00A0561E" w:rsidRDefault="00A0561E">
      <w:pPr>
        <w:spacing w:after="0" w:line="240" w:lineRule="auto"/>
      </w:pPr>
      <w:r>
        <w:separator/>
      </w:r>
    </w:p>
  </w:footnote>
  <w:footnote w:type="continuationSeparator" w:id="0">
    <w:p w14:paraId="50A3DF31" w14:textId="77777777" w:rsidR="00A0561E" w:rsidRDefault="00A0561E">
      <w:pPr>
        <w:spacing w:after="0" w:line="240" w:lineRule="auto"/>
      </w:pPr>
      <w:r>
        <w:continuationSeparator/>
      </w:r>
    </w:p>
  </w:footnote>
  <w:footnote w:type="continuationNotice" w:id="1">
    <w:p w14:paraId="1D2573BA" w14:textId="77777777" w:rsidR="00A0561E" w:rsidRDefault="00A0561E">
      <w:pPr>
        <w:spacing w:after="0" w:line="240" w:lineRule="auto"/>
      </w:pPr>
    </w:p>
  </w:footnote>
  <w:footnote w:id="2">
    <w:p w14:paraId="25B3A0ED" w14:textId="075295FB" w:rsidR="001230AD" w:rsidRPr="005A6521" w:rsidRDefault="001230AD" w:rsidP="005D4E9E">
      <w:pPr>
        <w:pStyle w:val="FootnoteText"/>
        <w:tabs>
          <w:tab w:val="clear" w:pos="425"/>
          <w:tab w:val="left" w:pos="0"/>
        </w:tabs>
        <w:ind w:left="0" w:firstLine="0"/>
        <w:rPr>
          <w:lang w:val="en-NZ"/>
        </w:rPr>
      </w:pPr>
      <w:r>
        <w:rPr>
          <w:rStyle w:val="FootnoteReference"/>
        </w:rPr>
        <w:footnoteRef/>
      </w:r>
      <w:r>
        <w:t xml:space="preserve"> </w:t>
      </w:r>
      <w:r>
        <w:rPr>
          <w:rFonts w:cs="Arial"/>
          <w:szCs w:val="22"/>
          <w:lang w:eastAsia="en-AU"/>
        </w:rPr>
        <w:t>Progressivity of income tax refers to the degree to which the tax system taxes a larger share of an individual’s income as it increases.</w:t>
      </w:r>
    </w:p>
  </w:footnote>
  <w:footnote w:id="3">
    <w:p w14:paraId="27FE714C" w14:textId="38254DFC" w:rsidR="001230AD" w:rsidRPr="00145070" w:rsidRDefault="001230AD" w:rsidP="001B3F24">
      <w:pPr>
        <w:pStyle w:val="FootnoteText"/>
        <w:tabs>
          <w:tab w:val="clear" w:pos="425"/>
          <w:tab w:val="left" w:pos="0"/>
        </w:tabs>
        <w:ind w:left="0" w:firstLine="0"/>
        <w:rPr>
          <w:lang w:val="en-NZ"/>
        </w:rPr>
      </w:pPr>
      <w:r>
        <w:rPr>
          <w:rStyle w:val="FootnoteReference"/>
        </w:rPr>
        <w:footnoteRef/>
      </w:r>
      <w:r>
        <w:t xml:space="preserve"> The figures in </w:t>
      </w:r>
      <w:r w:rsidRPr="00EB1E31">
        <w:rPr>
          <w:b/>
          <w:bCs/>
        </w:rPr>
        <w:t>Table 1</w:t>
      </w:r>
      <w:r>
        <w:t xml:space="preserve"> and </w:t>
      </w:r>
      <w:r w:rsidRPr="00EB1E31">
        <w:rPr>
          <w:b/>
          <w:bCs/>
        </w:rPr>
        <w:t>Table 2</w:t>
      </w:r>
      <w:r>
        <w:t xml:space="preserve"> are affected by the timing of provisional and final tax payments. The revenue has a lumpy profile due to the timing of provisional and terminal tax of non-wage earners. Initially, non-wage earners are forecast to pay the higher top personal rate through terminal tax, which is measured with a lag as returns for 2021/22 are filed during the 2022/23 fiscal year. Subsequently, they pay the higher top personal rate through provisional tax payments also impacting the 2022/23 fiscal year. This results in a spike measured within the 2022/23 fiscal year. </w:t>
      </w:r>
    </w:p>
  </w:footnote>
  <w:footnote w:id="4">
    <w:p w14:paraId="1F6484AF" w14:textId="78BBC68D" w:rsidR="001230AD" w:rsidRPr="00EB1E31" w:rsidRDefault="001230AD" w:rsidP="001B3F24">
      <w:pPr>
        <w:pStyle w:val="FootnoteText"/>
        <w:tabs>
          <w:tab w:val="clear" w:pos="425"/>
          <w:tab w:val="left" w:pos="0"/>
        </w:tabs>
        <w:ind w:left="0" w:firstLine="0"/>
        <w:rPr>
          <w:lang w:val="en-NZ"/>
        </w:rPr>
      </w:pPr>
      <w:r>
        <w:rPr>
          <w:rStyle w:val="FootnoteReference"/>
        </w:rPr>
        <w:footnoteRef/>
      </w:r>
      <w:r>
        <w:t xml:space="preserve"> </w:t>
      </w:r>
      <w:r>
        <w:rPr>
          <w:lang w:val="en-NZ"/>
        </w:rPr>
        <w:t xml:space="preserve">The Gini coefficient is one measure of income inequality ranging from zero (perfect equality; a uniform income distribution) to one (maximal inequality; one person derives all income). </w:t>
      </w:r>
    </w:p>
  </w:footnote>
  <w:footnote w:id="5">
    <w:p w14:paraId="01B9E4D0" w14:textId="656545C5" w:rsidR="001230AD" w:rsidRDefault="001230AD" w:rsidP="001B3F24">
      <w:pPr>
        <w:pStyle w:val="FootnoteText"/>
        <w:tabs>
          <w:tab w:val="clear" w:pos="425"/>
          <w:tab w:val="left" w:pos="0"/>
        </w:tabs>
        <w:ind w:left="0" w:firstLine="0"/>
        <w:rPr>
          <w:rFonts w:ascii="Verdana" w:hAnsi="Verdana" w:cstheme="minorBidi"/>
          <w:sz w:val="16"/>
          <w:lang w:eastAsia="en-US"/>
        </w:rPr>
      </w:pPr>
      <w:r>
        <w:rPr>
          <w:rStyle w:val="FootnoteReference"/>
        </w:rPr>
        <w:footnoteRef/>
      </w:r>
      <w:r>
        <w:t xml:space="preserve"> Unless effective integrity measures are adopted, it could be regressive at the highest income levels where people earning amounts just over $180,000 pay a marginal tax rate of 39 percent and people earning very high incomes from businesses and investments pay a marginal tax rate of 33 percent.</w:t>
      </w:r>
    </w:p>
  </w:footnote>
  <w:footnote w:id="6">
    <w:p w14:paraId="0FF0E4A6" w14:textId="7762B48B" w:rsidR="001230AD" w:rsidRPr="00A3614D"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This would still allow taxpayers to divert income to a company, which would be taxed on that income at 28 percent. That income would then be subject to a further 11 percent of tax when distributed to the shareholder. This reduces the attractiveness of companies to avoid the 39 percent rate compared to trusts. However, it does not eliminate it, as the company could still be sold by the taxpayer without any further tax impost.</w:t>
      </w:r>
    </w:p>
  </w:footnote>
  <w:footnote w:id="7">
    <w:p w14:paraId="29DBA2C8" w14:textId="6F72AB1E" w:rsidR="001230AD" w:rsidRPr="00B84FDA"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Whether income is treated as trustee income or beneficiary income depends on when it is distributed. Income is beneficiary income if it is distributed by the trust to the beneficiary within six months from the end of the income year in which the income is derived. Any income accumulated by a trustee for longer than this is taxed as trustee income.</w:t>
      </w:r>
    </w:p>
  </w:footnote>
  <w:footnote w:id="8">
    <w:p w14:paraId="5E3AB181" w14:textId="66275ACB" w:rsidR="001230AD" w:rsidRPr="00855241"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 xml:space="preserve">No sample size provided, though </w:t>
      </w:r>
      <w:proofErr w:type="spellStart"/>
      <w:r>
        <w:rPr>
          <w:lang w:val="en-NZ"/>
        </w:rPr>
        <w:t>Newshub</w:t>
      </w:r>
      <w:proofErr w:type="spellEnd"/>
      <w:r>
        <w:rPr>
          <w:lang w:val="en-NZ"/>
        </w:rPr>
        <w:t xml:space="preserve">-Reid Research polls tend to have a sample size of 1,000. </w:t>
      </w:r>
    </w:p>
  </w:footnote>
  <w:footnote w:id="9">
    <w:p w14:paraId="25589B9A" w14:textId="568EEC47" w:rsidR="001230AD" w:rsidRPr="00855241" w:rsidRDefault="001230AD" w:rsidP="005D4E9E">
      <w:pPr>
        <w:pStyle w:val="FootnoteText"/>
        <w:tabs>
          <w:tab w:val="clear" w:pos="425"/>
          <w:tab w:val="left" w:pos="0"/>
        </w:tabs>
        <w:ind w:left="0" w:firstLine="0"/>
        <w:rPr>
          <w:lang w:val="en-NZ"/>
        </w:rPr>
      </w:pPr>
      <w:r>
        <w:rPr>
          <w:rStyle w:val="FootnoteReference"/>
        </w:rPr>
        <w:footnoteRef/>
      </w:r>
      <w:r>
        <w:t xml:space="preserve"> See </w:t>
      </w:r>
      <w:hyperlink r:id="rId1" w:history="1">
        <w:r w:rsidRPr="00455BAF">
          <w:rPr>
            <w:rStyle w:val="Hyperlink"/>
          </w:rPr>
          <w:t>https://www.newshub.co.nz/home/politics/2020/08/newshub-reid-research-poll-half-of-kiwis-support-taxing-biggest-earners-at-higher-rate.html</w:t>
        </w:r>
      </w:hyperlink>
    </w:p>
  </w:footnote>
  <w:footnote w:id="10">
    <w:p w14:paraId="2890B5FF" w14:textId="2F705E21" w:rsidR="001230AD" w:rsidRPr="00726A0E"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 xml:space="preserve">See page 8 of </w:t>
      </w:r>
      <w:hyperlink r:id="rId2" w:history="1">
        <w:r w:rsidRPr="00A247EE">
          <w:rPr>
            <w:rStyle w:val="Hyperlink"/>
            <w:lang w:val="en-NZ"/>
          </w:rPr>
          <w:t>https://www2.deloitte.com/content/dam/Deloitte/nz/Documents/public-sector/businessnz-2020-election-survey.pdf</w:t>
        </w:r>
      </w:hyperlink>
    </w:p>
  </w:footnote>
  <w:footnote w:id="11">
    <w:p w14:paraId="21708063" w14:textId="3E4BE39C" w:rsidR="001230AD" w:rsidRDefault="001230AD" w:rsidP="005D4E9E">
      <w:pPr>
        <w:pStyle w:val="FootnoteText"/>
        <w:tabs>
          <w:tab w:val="clear" w:pos="425"/>
          <w:tab w:val="left" w:pos="0"/>
        </w:tabs>
        <w:ind w:left="0" w:firstLine="0"/>
      </w:pPr>
      <w:r>
        <w:rPr>
          <w:rStyle w:val="FootnoteReference"/>
        </w:rPr>
        <w:footnoteRef/>
      </w:r>
      <w:r>
        <w:t xml:space="preserve"> See, e.g., </w:t>
      </w:r>
      <w:hyperlink r:id="rId3" w:history="1">
        <w:r w:rsidRPr="00F44A83">
          <w:rPr>
            <w:rStyle w:val="Hyperlink"/>
          </w:rPr>
          <w:t>https://www.stuff.co.nz/business/122708323/labours-ultracautious-tax-policy-will-be-a-relief-to-the-wealthy</w:t>
        </w:r>
      </w:hyperlink>
      <w:r>
        <w:t xml:space="preserve">; </w:t>
      </w:r>
      <w:hyperlink r:id="rId4" w:history="1">
        <w:r w:rsidRPr="00A247EE">
          <w:rPr>
            <w:rStyle w:val="Hyperlink"/>
          </w:rPr>
          <w:t>https://www.stuff.co.nz/business/123131106/labours-promised-tax-hike-may-create-rush-to-tax-lawyers</w:t>
        </w:r>
      </w:hyperlink>
    </w:p>
  </w:footnote>
  <w:footnote w:id="12">
    <w:p w14:paraId="25556DA9" w14:textId="30BF672D" w:rsidR="001230AD" w:rsidRPr="007B68DE"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 xml:space="preserve">See, e.g., </w:t>
      </w:r>
      <w:hyperlink r:id="rId5" w:history="1">
        <w:r w:rsidRPr="00A247EE">
          <w:rPr>
            <w:rStyle w:val="Hyperlink"/>
            <w:lang w:val="en-NZ"/>
          </w:rPr>
          <w:t>https://thespinoff.co.nz/business/16-09-2020/labours-dead-end-tax-policy-is-straight-out-of-last-century/</w:t>
        </w:r>
      </w:hyperlink>
    </w:p>
  </w:footnote>
  <w:footnote w:id="13">
    <w:p w14:paraId="632B3956" w14:textId="2DAA0CB4" w:rsidR="001230AD" w:rsidRPr="00B60747"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 xml:space="preserve">See, e.g., </w:t>
      </w:r>
      <w:hyperlink r:id="rId6" w:history="1">
        <w:r w:rsidRPr="00A247EE">
          <w:rPr>
            <w:rStyle w:val="Hyperlink"/>
            <w:lang w:val="en-NZ"/>
          </w:rPr>
          <w:t>https://www.stuff.co.nz/business/122712011/wealthy-could-mostly-get-around-the-39-top-tax-rate-experts-say</w:t>
        </w:r>
      </w:hyperlink>
    </w:p>
  </w:footnote>
  <w:footnote w:id="14">
    <w:p w14:paraId="5D2FBD0B" w14:textId="10D19780" w:rsidR="001230AD" w:rsidRPr="005D4E9E" w:rsidRDefault="001230AD" w:rsidP="005D4E9E">
      <w:pPr>
        <w:pStyle w:val="FootnoteText"/>
        <w:tabs>
          <w:tab w:val="clear" w:pos="425"/>
          <w:tab w:val="left" w:pos="0"/>
        </w:tabs>
        <w:ind w:left="0" w:firstLine="0"/>
      </w:pPr>
      <w:r>
        <w:rPr>
          <w:rStyle w:val="FootnoteReference"/>
        </w:rPr>
        <w:footnoteRef/>
      </w:r>
      <w:r>
        <w:t xml:space="preserve"> See, e.g., </w:t>
      </w:r>
      <w:hyperlink r:id="rId7" w:history="1">
        <w:r w:rsidRPr="00A247EE">
          <w:rPr>
            <w:rStyle w:val="Hyperlink"/>
          </w:rPr>
          <w:t>https://www.nzherald.co.nz/nz/election-2020-labours-balanced-tax-plan-draws-flak-from-political-allies-and-rich-lister/GL4F6L7GPA456TUXLNKZPPVCDY/</w:t>
        </w:r>
      </w:hyperlink>
    </w:p>
  </w:footnote>
  <w:footnote w:id="15">
    <w:p w14:paraId="44E43A88" w14:textId="6E6C883B" w:rsidR="001B3F24" w:rsidRPr="00D04EDE" w:rsidRDefault="001230AD" w:rsidP="005D4E9E">
      <w:pPr>
        <w:pStyle w:val="FootnoteText"/>
        <w:tabs>
          <w:tab w:val="clear" w:pos="425"/>
          <w:tab w:val="left" w:pos="0"/>
        </w:tabs>
        <w:ind w:left="0" w:firstLine="0"/>
        <w:rPr>
          <w:lang w:val="en-NZ"/>
        </w:rPr>
      </w:pPr>
      <w:r>
        <w:rPr>
          <w:rStyle w:val="FootnoteReference"/>
        </w:rPr>
        <w:footnoteRef/>
      </w:r>
      <w:r>
        <w:t xml:space="preserve"> See, e.g., </w:t>
      </w:r>
      <w:hyperlink r:id="rId8" w:history="1">
        <w:r w:rsidR="001B3F24" w:rsidRPr="007F5784">
          <w:rPr>
            <w:rStyle w:val="Hyperlink"/>
          </w:rPr>
          <w:t>https://thespinoff.co.nz/politics/13-09-2020/labour-and-national-promise-to-lock-in-existing-unfairness-in-nzs-tax-system/</w:t>
        </w:r>
      </w:hyperlink>
    </w:p>
  </w:footnote>
  <w:footnote w:id="16">
    <w:p w14:paraId="78756660" w14:textId="5BA6BC66" w:rsidR="001B3F24" w:rsidRPr="00D44425" w:rsidRDefault="001230AD" w:rsidP="005D4E9E">
      <w:pPr>
        <w:pStyle w:val="FootnoteText"/>
        <w:tabs>
          <w:tab w:val="clear" w:pos="425"/>
          <w:tab w:val="left" w:pos="0"/>
        </w:tabs>
        <w:ind w:left="0" w:firstLine="0"/>
        <w:rPr>
          <w:lang w:val="en-NZ"/>
        </w:rPr>
      </w:pPr>
      <w:r>
        <w:rPr>
          <w:rStyle w:val="FootnoteReference"/>
        </w:rPr>
        <w:footnoteRef/>
      </w:r>
      <w:r>
        <w:t xml:space="preserve"> See, e.g., </w:t>
      </w:r>
      <w:hyperlink r:id="rId9" w:history="1">
        <w:r w:rsidR="001B3F24" w:rsidRPr="007F5784">
          <w:rPr>
            <w:rStyle w:val="Hyperlink"/>
          </w:rPr>
          <w:t>https://www2.deloitte.com/content/dam/Deloitte/nz/Documents/tax/Tax-alert/2020/nz-en-tax-alert-november-2020.pdf</w:t>
        </w:r>
      </w:hyperlink>
    </w:p>
  </w:footnote>
  <w:footnote w:id="17">
    <w:p w14:paraId="05BD16C4" w14:textId="4E4995FA" w:rsidR="001230AD" w:rsidRPr="00161DFF" w:rsidRDefault="001230AD" w:rsidP="001B3F24">
      <w:pPr>
        <w:pStyle w:val="FootnoteText"/>
        <w:tabs>
          <w:tab w:val="clear" w:pos="425"/>
          <w:tab w:val="left" w:pos="0"/>
        </w:tabs>
        <w:ind w:left="0" w:firstLine="0"/>
        <w:rPr>
          <w:lang w:val="en-NZ"/>
        </w:rPr>
      </w:pPr>
      <w:r>
        <w:rPr>
          <w:rStyle w:val="FootnoteReference"/>
        </w:rPr>
        <w:footnoteRef/>
      </w:r>
      <w:r>
        <w:t xml:space="preserve"> Alignment of rates in tax contexts can also include the company rate. No change to the company rate is contemplated as part of this Impact Statement because a change to this rate is considered to be out of scope of the Government’s proposal. The company tax rate has impacts beyond its role taxing New Zealanders, including impacts on foreign investment. </w:t>
      </w:r>
    </w:p>
  </w:footnote>
  <w:footnote w:id="18">
    <w:p w14:paraId="2128A9D3" w14:textId="59758D47" w:rsidR="001230AD" w:rsidRPr="00FC4921" w:rsidRDefault="001230AD" w:rsidP="00B36F90">
      <w:pPr>
        <w:pStyle w:val="FootnoteText"/>
        <w:tabs>
          <w:tab w:val="clear" w:pos="425"/>
          <w:tab w:val="left" w:pos="0"/>
        </w:tabs>
        <w:ind w:left="0" w:firstLine="0"/>
        <w:rPr>
          <w:lang w:val="en-NZ"/>
        </w:rPr>
      </w:pPr>
      <w:r>
        <w:rPr>
          <w:rStyle w:val="FootnoteReference"/>
        </w:rPr>
        <w:footnoteRef/>
      </w:r>
      <w:r>
        <w:t xml:space="preserve"> </w:t>
      </w:r>
      <w:r w:rsidRPr="0095560C">
        <w:t xml:space="preserve">It is possible that </w:t>
      </w:r>
      <w:r w:rsidRPr="005E2930">
        <w:rPr>
          <w:b/>
          <w:bCs/>
        </w:rPr>
        <w:t>Option 3</w:t>
      </w:r>
      <w:r w:rsidRPr="0095560C">
        <w:t xml:space="preserve"> could have higher </w:t>
      </w:r>
      <w:r w:rsidR="00F845BD">
        <w:t>aggregate</w:t>
      </w:r>
      <w:r w:rsidRPr="0095560C">
        <w:t xml:space="preserve"> efficiency costs compared to </w:t>
      </w:r>
      <w:r w:rsidRPr="005E2930">
        <w:rPr>
          <w:b/>
          <w:bCs/>
        </w:rPr>
        <w:t>Option 2</w:t>
      </w:r>
      <w:r w:rsidRPr="0095560C">
        <w:t xml:space="preserve"> (since the 39</w:t>
      </w:r>
      <w:r>
        <w:t xml:space="preserve"> percent</w:t>
      </w:r>
      <w:r w:rsidRPr="0095560C">
        <w:t xml:space="preserve"> rate would apply to more structures used for earning labour and capital income)</w:t>
      </w:r>
      <w:r>
        <w:t>.</w:t>
      </w:r>
      <w:r w:rsidRPr="0095560C">
        <w:t xml:space="preserve"> </w:t>
      </w:r>
      <w:r>
        <w:t>I</w:t>
      </w:r>
      <w:r w:rsidRPr="0095560C">
        <w:t xml:space="preserve">t will also raise more revenue than </w:t>
      </w:r>
      <w:r w:rsidRPr="005E2930">
        <w:rPr>
          <w:b/>
          <w:bCs/>
        </w:rPr>
        <w:t>Option 2</w:t>
      </w:r>
      <w:r w:rsidRPr="0095560C">
        <w:t xml:space="preserve"> so that the efficiency cost per dollar raised is lower. This means, for example, if </w:t>
      </w:r>
      <w:r w:rsidRPr="005E2930">
        <w:rPr>
          <w:b/>
          <w:bCs/>
        </w:rPr>
        <w:t>Option 2</w:t>
      </w:r>
      <w:r w:rsidRPr="0095560C">
        <w:t xml:space="preserve"> and</w:t>
      </w:r>
      <w:r>
        <w:t xml:space="preserve"> </w:t>
      </w:r>
      <w:r w:rsidRPr="005E2930">
        <w:rPr>
          <w:b/>
          <w:bCs/>
        </w:rPr>
        <w:t>Option 3</w:t>
      </w:r>
      <w:r w:rsidRPr="0095560C">
        <w:t xml:space="preserve"> were compared, and the rates for each chosen so that they raised the same amount of revenue, </w:t>
      </w:r>
      <w:r w:rsidRPr="005E2930">
        <w:rPr>
          <w:b/>
          <w:bCs/>
        </w:rPr>
        <w:t>Option 3</w:t>
      </w:r>
      <w:r w:rsidRPr="0095560C">
        <w:t xml:space="preserve"> would have a lower efficiency cost. This means </w:t>
      </w:r>
      <w:r w:rsidRPr="005E2930">
        <w:rPr>
          <w:b/>
          <w:bCs/>
        </w:rPr>
        <w:t>Option 3</w:t>
      </w:r>
      <w:r w:rsidRPr="0095560C">
        <w:t xml:space="preserve"> is the better policy choice</w:t>
      </w:r>
      <w:r>
        <w:t xml:space="preserve"> from an efficiency perspective</w:t>
      </w:r>
      <w:r w:rsidRPr="0095560C">
        <w:t>.</w:t>
      </w:r>
    </w:p>
  </w:footnote>
  <w:footnote w:id="19">
    <w:p w14:paraId="03C690F2" w14:textId="77777777" w:rsidR="001230AD" w:rsidRPr="00203F58" w:rsidRDefault="001230AD" w:rsidP="005D4E9E">
      <w:pPr>
        <w:pStyle w:val="FootnoteText"/>
        <w:tabs>
          <w:tab w:val="clear" w:pos="425"/>
          <w:tab w:val="left" w:pos="0"/>
        </w:tabs>
        <w:ind w:left="0" w:firstLine="0"/>
        <w:rPr>
          <w:lang w:val="en-NZ"/>
        </w:rPr>
      </w:pPr>
      <w:r>
        <w:rPr>
          <w:rStyle w:val="FootnoteReference"/>
        </w:rPr>
        <w:footnoteRef/>
      </w:r>
      <w:r>
        <w:t xml:space="preserve"> This only includes revenue attributable to the introduction of the 39 percent rate. It does not reflect any additional revenue from any integrity measures (still to be developed). Note that this will flow through as an omission to the total monetised cost at the end of the table as well. </w:t>
      </w:r>
    </w:p>
  </w:footnote>
  <w:footnote w:id="20">
    <w:p w14:paraId="0FF94184" w14:textId="460BA236" w:rsidR="001230AD" w:rsidRDefault="001230AD" w:rsidP="00A14F92">
      <w:pPr>
        <w:pStyle w:val="FootnoteText"/>
        <w:tabs>
          <w:tab w:val="clear" w:pos="425"/>
          <w:tab w:val="left" w:pos="142"/>
        </w:tabs>
        <w:ind w:left="0" w:firstLine="0"/>
      </w:pPr>
      <w:r>
        <w:rPr>
          <w:rStyle w:val="FootnoteReference"/>
        </w:rPr>
        <w:footnoteRef/>
      </w:r>
      <w:r>
        <w:t xml:space="preserve"> Because housing is favourably taxed (for capital gains), the value of housing as an investment should increase relative to other investments where tax has increased. This means investors are willing to accept a lower rate of return</w:t>
      </w:r>
      <w:r w:rsidR="00CD65B5">
        <w:t>;</w:t>
      </w:r>
      <w:r>
        <w:t xml:space="preserve"> the rent-to-price ratio should fall by either the price rising or rents falling or some combination of those effects.</w:t>
      </w:r>
    </w:p>
  </w:footnote>
  <w:footnote w:id="21">
    <w:p w14:paraId="6960D508" w14:textId="1B181EC3" w:rsidR="001230AD" w:rsidRDefault="001230AD">
      <w:pPr>
        <w:pStyle w:val="FootnoteText"/>
      </w:pPr>
      <w:r>
        <w:rPr>
          <w:rStyle w:val="FootnoteReference"/>
        </w:rPr>
        <w:footnoteRef/>
      </w:r>
      <w:r>
        <w:t xml:space="preserve"> This assumes that borders are open during the forecast period and migration is possible.</w:t>
      </w:r>
    </w:p>
  </w:footnote>
  <w:footnote w:id="22">
    <w:p w14:paraId="6853204B" w14:textId="77777777" w:rsidR="001230AD" w:rsidRPr="00C12D56" w:rsidRDefault="001230AD" w:rsidP="005D4E9E">
      <w:pPr>
        <w:pStyle w:val="FootnoteText"/>
        <w:tabs>
          <w:tab w:val="clear" w:pos="425"/>
          <w:tab w:val="left" w:pos="0"/>
        </w:tabs>
        <w:ind w:left="0" w:firstLine="0"/>
        <w:rPr>
          <w:lang w:val="en-NZ"/>
        </w:rPr>
      </w:pPr>
      <w:r>
        <w:rPr>
          <w:rStyle w:val="FootnoteReference"/>
        </w:rPr>
        <w:footnoteRef/>
      </w:r>
      <w:r>
        <w:t xml:space="preserve"> This figure is drawn from Nazila </w:t>
      </w:r>
      <w:proofErr w:type="spellStart"/>
      <w:r>
        <w:t>Alinaghi</w:t>
      </w:r>
      <w:proofErr w:type="spellEnd"/>
      <w:r>
        <w:t xml:space="preserve">, John Creedy and Norman Gemmell, </w:t>
      </w:r>
      <w:r w:rsidRPr="00D770A7">
        <w:rPr>
          <w:i/>
        </w:rPr>
        <w:t>Estimating Elasticities of Taxable Income and Adjustment Costs from Tax Kink Bunching: Evidence from Register Data for New Zealand</w:t>
      </w:r>
      <w:r>
        <w:rPr>
          <w:i/>
        </w:rPr>
        <w:t xml:space="preserve"> </w:t>
      </w:r>
      <w:r>
        <w:rPr>
          <w:iCs/>
        </w:rPr>
        <w:t>(2019)</w:t>
      </w:r>
      <w:r w:rsidRPr="00D770A7">
        <w:rPr>
          <w:i/>
        </w:rPr>
        <w:t>.</w:t>
      </w:r>
    </w:p>
  </w:footnote>
  <w:footnote w:id="23">
    <w:p w14:paraId="580AD80D" w14:textId="77777777" w:rsidR="001230AD" w:rsidRPr="005925B8" w:rsidRDefault="001230AD" w:rsidP="005D4E9E">
      <w:pPr>
        <w:pStyle w:val="FootnoteText"/>
        <w:tabs>
          <w:tab w:val="clear" w:pos="425"/>
          <w:tab w:val="left" w:pos="0"/>
        </w:tabs>
        <w:ind w:left="0" w:firstLine="0"/>
        <w:rPr>
          <w:lang w:val="en-NZ"/>
        </w:rPr>
      </w:pPr>
      <w:r>
        <w:rPr>
          <w:rStyle w:val="FootnoteReference"/>
        </w:rPr>
        <w:footnoteRef/>
      </w:r>
      <w:r>
        <w:t xml:space="preserve"> For example, the decision in </w:t>
      </w:r>
      <w:r>
        <w:rPr>
          <w:i/>
          <w:iCs/>
        </w:rPr>
        <w:t>Penny and Hooper v CIR</w:t>
      </w:r>
      <w:r>
        <w:t xml:space="preserve"> [2011] NZSC 95 limited the ability of taxpayers to use trusts to avoid paying themselves a market salary and therefore avoid the top personal rate in certain circumstances.</w:t>
      </w:r>
    </w:p>
  </w:footnote>
  <w:footnote w:id="24">
    <w:p w14:paraId="330F5FC3" w14:textId="77777777" w:rsidR="001230AD" w:rsidRPr="005925B8" w:rsidRDefault="001230AD" w:rsidP="005D4E9E">
      <w:pPr>
        <w:pStyle w:val="FootnoteText"/>
        <w:tabs>
          <w:tab w:val="clear" w:pos="425"/>
          <w:tab w:val="left" w:pos="0"/>
        </w:tabs>
        <w:ind w:left="0" w:firstLine="0"/>
        <w:rPr>
          <w:lang w:val="en-NZ"/>
        </w:rPr>
      </w:pPr>
      <w:r>
        <w:rPr>
          <w:rStyle w:val="FootnoteReference"/>
        </w:rPr>
        <w:footnoteRef/>
      </w:r>
      <w:r>
        <w:t xml:space="preserve"> An example is the tightening of the personal services attribution rules.</w:t>
      </w:r>
    </w:p>
  </w:footnote>
  <w:footnote w:id="25">
    <w:p w14:paraId="61C5A37C" w14:textId="612A88F2" w:rsidR="001230AD" w:rsidRPr="00A3614D" w:rsidRDefault="001230AD" w:rsidP="005D4E9E">
      <w:pPr>
        <w:pStyle w:val="FootnoteText"/>
        <w:tabs>
          <w:tab w:val="clear" w:pos="425"/>
          <w:tab w:val="left" w:pos="0"/>
        </w:tabs>
        <w:ind w:left="0" w:firstLine="0"/>
        <w:rPr>
          <w:lang w:val="en-NZ"/>
        </w:rPr>
      </w:pPr>
      <w:r>
        <w:rPr>
          <w:rStyle w:val="FootnoteReference"/>
        </w:rPr>
        <w:footnoteRef/>
      </w:r>
      <w:r>
        <w:t xml:space="preserve"> </w:t>
      </w:r>
      <w:r>
        <w:rPr>
          <w:lang w:val="en-NZ"/>
        </w:rPr>
        <w:t>This would still allow taxpayers to divert income to a company, which would be taxed on that income at 28 percent. That income would then be subject to a further 11 percent of tax when distributed to the shareholder. This reduces the attractiveness of companies to avoid the 39 percent rate compared to trusts. However, it does not eliminate it, as the company could still be sold by the taxpayer without any further tax impost.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AF31" w14:textId="4B13ECF5" w:rsidR="001230AD" w:rsidRPr="00EB1B21" w:rsidRDefault="001230AD" w:rsidP="004B6F7D">
    <w:pPr>
      <w:tabs>
        <w:tab w:val="center" w:pos="4253"/>
      </w:tabs>
      <w:rPr>
        <w:b/>
      </w:rPr>
    </w:pPr>
    <w:r>
      <w:rPr>
        <w:noProof/>
      </w:rPr>
      <mc:AlternateContent>
        <mc:Choice Requires="wps">
          <w:drawing>
            <wp:anchor distT="0" distB="0" distL="114300" distR="114300" simplePos="0" relativeHeight="252226561" behindDoc="0" locked="0" layoutInCell="0" allowOverlap="1" wp14:anchorId="4C577F8C" wp14:editId="2E1F1496">
              <wp:simplePos x="0" y="0"/>
              <wp:positionH relativeFrom="page">
                <wp:align>center</wp:align>
              </wp:positionH>
              <wp:positionV relativeFrom="page">
                <wp:align>top</wp:align>
              </wp:positionV>
              <wp:extent cx="7772400" cy="462280"/>
              <wp:effectExtent l="0" t="0" r="0" b="13970"/>
              <wp:wrapNone/>
              <wp:docPr id="1" name="MSIPCM37fb469e90a8d16ff35d6571" descr="{&quot;HashCode&quot;:-202428130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F84D9" w14:textId="675B3C8E" w:rsidR="001230AD" w:rsidRPr="00544E08" w:rsidRDefault="00544E08" w:rsidP="00544E08">
                          <w:pPr>
                            <w:spacing w:after="0"/>
                            <w:jc w:val="center"/>
                            <w:rPr>
                              <w:rFonts w:ascii="Verdana" w:hAnsi="Verdana"/>
                              <w:color w:val="000000"/>
                              <w:sz w:val="20"/>
                            </w:rPr>
                          </w:pPr>
                          <w:r w:rsidRPr="00544E08">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577F8C" id="_x0000_t202" coordsize="21600,21600" o:spt="202" path="m,l,21600r21600,l21600,xe">
              <v:stroke joinstyle="miter"/>
              <v:path gradientshapeok="t" o:connecttype="rect"/>
            </v:shapetype>
            <v:shape id="MSIPCM37fb469e90a8d16ff35d6571" o:spid="_x0000_s1026" type="#_x0000_t202" alt="{&quot;HashCode&quot;:-2024281307,&quot;Height&quot;:9999999.0,&quot;Width&quot;:9999999.0,&quot;Placement&quot;:&quot;Header&quot;,&quot;Index&quot;:&quot;Primary&quot;,&quot;Section&quot;:1,&quot;Top&quot;:0.0,&quot;Left&quot;:0.0}" style="position:absolute;margin-left:0;margin-top:0;width:612pt;height:36.4pt;z-index:25222656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" o:allowincell="f" filled="f" stroked="f" strokeweight=".5pt">
              <v:textbox inset=",0,,0">
                <w:txbxContent>
                  <w:p w14:paraId="15DF84D9" w14:textId="675B3C8E" w:rsidR="001230AD" w:rsidRPr="00544E08" w:rsidRDefault="00544E08" w:rsidP="00544E08">
                    <w:pPr>
                      <w:spacing w:after="0"/>
                      <w:jc w:val="center"/>
                      <w:rPr>
                        <w:rFonts w:ascii="Verdana" w:hAnsi="Verdana"/>
                        <w:color w:val="000000"/>
                        <w:sz w:val="20"/>
                      </w:rPr>
                    </w:pPr>
                    <w:r w:rsidRPr="00544E08">
                      <w:rPr>
                        <w:rFonts w:ascii="Verdana" w:hAnsi="Verdana"/>
                        <w:color w:val="000000"/>
                        <w:sz w:val="20"/>
                      </w:rPr>
                      <w:t>[SENSITIVE]</w:t>
                    </w:r>
                  </w:p>
                </w:txbxContent>
              </v:textbox>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1230AD" w:rsidRDefault="00123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16EB7FEA" w:rsidR="001230AD" w:rsidRPr="00EB1B21" w:rsidRDefault="001230AD" w:rsidP="004B6F7D">
    <w:pPr>
      <w:tabs>
        <w:tab w:val="center" w:pos="4253"/>
      </w:tabs>
      <w:rPr>
        <w:b/>
      </w:rPr>
    </w:pPr>
    <w:r>
      <w:rPr>
        <w:noProof/>
      </w:rPr>
      <mc:AlternateContent>
        <mc:Choice Requires="wps">
          <w:drawing>
            <wp:anchor distT="0" distB="0" distL="114300" distR="114300" simplePos="0" relativeHeight="252227585" behindDoc="0" locked="0" layoutInCell="0" allowOverlap="1" wp14:anchorId="7B89A633" wp14:editId="69A4A1CA">
              <wp:simplePos x="0" y="0"/>
              <wp:positionH relativeFrom="page">
                <wp:align>center</wp:align>
              </wp:positionH>
              <wp:positionV relativeFrom="page">
                <wp:align>top</wp:align>
              </wp:positionV>
              <wp:extent cx="7772400" cy="462280"/>
              <wp:effectExtent l="0" t="0" r="0" b="13970"/>
              <wp:wrapNone/>
              <wp:docPr id="2" name="MSIPCMf891476ba874334bcda31b36" descr="{&quot;HashCode&quot;:-202428130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82ECA" w14:textId="477EDDE0" w:rsidR="001230AD" w:rsidRPr="00544E08" w:rsidRDefault="00544E08" w:rsidP="00544E08">
                          <w:pPr>
                            <w:spacing w:after="0"/>
                            <w:jc w:val="center"/>
                            <w:rPr>
                              <w:rFonts w:ascii="Verdana" w:hAnsi="Verdana"/>
                              <w:color w:val="000000"/>
                              <w:sz w:val="20"/>
                            </w:rPr>
                          </w:pPr>
                          <w:r w:rsidRPr="00544E08">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89A633" id="_x0000_t202" coordsize="21600,21600" o:spt="202" path="m,l,21600r21600,l21600,xe">
              <v:stroke joinstyle="miter"/>
              <v:path gradientshapeok="t" o:connecttype="rect"/>
            </v:shapetype>
            <v:shape id="MSIPCMf891476ba874334bcda31b36" o:spid="_x0000_s1027" type="#_x0000_t202" alt="{&quot;HashCode&quot;:-2024281307,&quot;Height&quot;:9999999.0,&quot;Width&quot;:9999999.0,&quot;Placement&quot;:&quot;Header&quot;,&quot;Index&quot;:&quot;Primary&quot;,&quot;Section&quot;:3,&quot;Top&quot;:0.0,&quot;Left&quot;:0.0}" style="position:absolute;margin-left:0;margin-top:0;width:612pt;height:36.4pt;z-index:25222758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" o:allowincell="f" filled="f" stroked="f" strokeweight=".5pt">
              <v:textbox inset=",0,,0">
                <w:txbxContent>
                  <w:p w14:paraId="71382ECA" w14:textId="477EDDE0" w:rsidR="001230AD" w:rsidRPr="00544E08" w:rsidRDefault="00544E08" w:rsidP="00544E08">
                    <w:pPr>
                      <w:spacing w:after="0"/>
                      <w:jc w:val="center"/>
                      <w:rPr>
                        <w:rFonts w:ascii="Verdana" w:hAnsi="Verdana"/>
                        <w:color w:val="000000"/>
                        <w:sz w:val="20"/>
                      </w:rPr>
                    </w:pPr>
                    <w:r w:rsidRPr="00544E08">
                      <w:rPr>
                        <w:rFonts w:ascii="Verdana" w:hAnsi="Verdana"/>
                        <w:color w:val="000000"/>
                        <w:sz w:val="20"/>
                      </w:rPr>
                      <w:t>[SENSITIVE]</w:t>
                    </w:r>
                  </w:p>
                </w:txbxContent>
              </v:textbox>
              <w10:wrap anchorx="page" anchory="page"/>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A8AE" w14:textId="7B095FFB" w:rsidR="001230AD" w:rsidRDefault="0012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DA7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619D6"/>
    <w:multiLevelType w:val="hybridMultilevel"/>
    <w:tmpl w:val="DCC403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E837FC"/>
    <w:multiLevelType w:val="hybridMultilevel"/>
    <w:tmpl w:val="4DB48514"/>
    <w:lvl w:ilvl="0" w:tplc="641C1B3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64674B"/>
    <w:multiLevelType w:val="hybridMultilevel"/>
    <w:tmpl w:val="F9642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C80522"/>
    <w:multiLevelType w:val="multilevel"/>
    <w:tmpl w:val="3B98C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17CF1"/>
    <w:multiLevelType w:val="hybridMultilevel"/>
    <w:tmpl w:val="E026A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C86DA2"/>
    <w:multiLevelType w:val="hybridMultilevel"/>
    <w:tmpl w:val="75ACE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5539E1"/>
    <w:multiLevelType w:val="hybridMultilevel"/>
    <w:tmpl w:val="3DE01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F20841"/>
    <w:multiLevelType w:val="hybridMultilevel"/>
    <w:tmpl w:val="A7223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B301B1"/>
    <w:multiLevelType w:val="hybridMultilevel"/>
    <w:tmpl w:val="27CAF03E"/>
    <w:lvl w:ilvl="0" w:tplc="E2C8BEB8">
      <w:start w:val="1"/>
      <w:numFmt w:val="bullet"/>
      <w:lvlText w:val=""/>
      <w:lvlJc w:val="left"/>
      <w:pPr>
        <w:ind w:left="720" w:hanging="360"/>
      </w:pPr>
      <w:rPr>
        <w:rFonts w:ascii="Symbol" w:hAnsi="Symbol" w:hint="default"/>
      </w:rPr>
    </w:lvl>
    <w:lvl w:ilvl="1" w:tplc="5B8A1590">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367281"/>
    <w:multiLevelType w:val="hybridMultilevel"/>
    <w:tmpl w:val="4226F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7961A0"/>
    <w:multiLevelType w:val="hybridMultilevel"/>
    <w:tmpl w:val="26ACE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F31CAF"/>
    <w:multiLevelType w:val="multilevel"/>
    <w:tmpl w:val="CD40B6CA"/>
    <w:lvl w:ilvl="0">
      <w:start w:val="1"/>
      <w:numFmt w:val="lowerLetter"/>
      <w:lvlText w:val="%1."/>
      <w:lvlJc w:val="left"/>
      <w:pPr>
        <w:tabs>
          <w:tab w:val="num" w:pos="1418"/>
        </w:tabs>
        <w:ind w:left="1418" w:hanging="709"/>
      </w:pPr>
      <w:rPr>
        <w:sz w:val="20"/>
      </w:rPr>
    </w:lvl>
    <w:lvl w:ilvl="1">
      <w:start w:val="1"/>
      <w:numFmt w:val="decimal"/>
      <w:lvlText w:val="%1.%2"/>
      <w:lvlJc w:val="left"/>
      <w:pPr>
        <w:tabs>
          <w:tab w:val="num" w:pos="2127"/>
        </w:tabs>
        <w:ind w:left="2127" w:hanging="709"/>
      </w:pPr>
      <w:rPr>
        <w:rFonts w:ascii="Verdana" w:hAnsi="Verdana" w:hint="default"/>
        <w:sz w:val="20"/>
      </w:rPr>
    </w:lvl>
    <w:lvl w:ilvl="2">
      <w:start w:val="1"/>
      <w:numFmt w:val="decimal"/>
      <w:lvlText w:val="%1.%2.%3"/>
      <w:lvlJc w:val="left"/>
      <w:pPr>
        <w:tabs>
          <w:tab w:val="num" w:pos="2836"/>
        </w:tabs>
        <w:ind w:left="2836" w:hanging="709"/>
      </w:pPr>
      <w:rPr>
        <w:rFonts w:ascii="Verdana" w:hAnsi="Verdana" w:hint="default"/>
        <w:sz w:val="20"/>
      </w:rPr>
    </w:lvl>
    <w:lvl w:ilvl="3">
      <w:start w:val="1"/>
      <w:numFmt w:val="decimal"/>
      <w:lvlText w:val="(%4)"/>
      <w:lvlJc w:val="left"/>
      <w:pPr>
        <w:tabs>
          <w:tab w:val="num" w:pos="3545"/>
        </w:tabs>
        <w:ind w:left="3545" w:hanging="709"/>
      </w:pPr>
      <w:rPr>
        <w:sz w:val="24"/>
      </w:rPr>
    </w:lvl>
    <w:lvl w:ilvl="4">
      <w:start w:val="1"/>
      <w:numFmt w:val="lowerLetter"/>
      <w:lvlText w:val="(%5)"/>
      <w:lvlJc w:val="left"/>
      <w:pPr>
        <w:tabs>
          <w:tab w:val="num" w:pos="4254"/>
        </w:tabs>
        <w:ind w:left="4254" w:hanging="709"/>
      </w:pPr>
    </w:lvl>
    <w:lvl w:ilvl="5">
      <w:start w:val="1"/>
      <w:numFmt w:val="lowerRoman"/>
      <w:lvlText w:val="(%6)"/>
      <w:lvlJc w:val="left"/>
      <w:pPr>
        <w:tabs>
          <w:tab w:val="num" w:pos="4963"/>
        </w:tabs>
        <w:ind w:left="4963" w:hanging="709"/>
      </w:pPr>
    </w:lvl>
    <w:lvl w:ilvl="6">
      <w:start w:val="1"/>
      <w:numFmt w:val="decimal"/>
      <w:lvlText w:val="%7."/>
      <w:lvlJc w:val="left"/>
      <w:pPr>
        <w:tabs>
          <w:tab w:val="num" w:pos="5672"/>
        </w:tabs>
        <w:ind w:left="5672" w:hanging="709"/>
      </w:pPr>
    </w:lvl>
    <w:lvl w:ilvl="7">
      <w:start w:val="1"/>
      <w:numFmt w:val="lowerLetter"/>
      <w:lvlText w:val="%8."/>
      <w:lvlJc w:val="left"/>
      <w:pPr>
        <w:tabs>
          <w:tab w:val="num" w:pos="6381"/>
        </w:tabs>
        <w:ind w:left="6381" w:hanging="709"/>
      </w:pPr>
    </w:lvl>
    <w:lvl w:ilvl="8">
      <w:start w:val="1"/>
      <w:numFmt w:val="lowerRoman"/>
      <w:lvlText w:val="%9."/>
      <w:lvlJc w:val="left"/>
      <w:pPr>
        <w:tabs>
          <w:tab w:val="num" w:pos="7090"/>
        </w:tabs>
        <w:ind w:left="7090" w:hanging="709"/>
      </w:pPr>
    </w:lvl>
  </w:abstractNum>
  <w:abstractNum w:abstractNumId="1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7BA19B6"/>
    <w:multiLevelType w:val="hybridMultilevel"/>
    <w:tmpl w:val="15141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875180"/>
    <w:multiLevelType w:val="hybridMultilevel"/>
    <w:tmpl w:val="3738B908"/>
    <w:lvl w:ilvl="0" w:tplc="6E0C2C0C">
      <w:numFmt w:val="bullet"/>
      <w:lvlText w:val="-"/>
      <w:lvlJc w:val="left"/>
      <w:pPr>
        <w:ind w:left="720" w:hanging="360"/>
      </w:pPr>
      <w:rPr>
        <w:rFonts w:ascii="Arial" w:eastAsia="Times New Roman" w:hAnsi="Arial" w:cs="Aria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2751F6"/>
    <w:multiLevelType w:val="hybridMultilevel"/>
    <w:tmpl w:val="391A0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C12FC4"/>
    <w:multiLevelType w:val="hybridMultilevel"/>
    <w:tmpl w:val="73366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F5338E"/>
    <w:multiLevelType w:val="hybridMultilevel"/>
    <w:tmpl w:val="73DA0646"/>
    <w:lvl w:ilvl="0" w:tplc="7B3E55C8">
      <w:start w:val="2"/>
      <w:numFmt w:val="bullet"/>
      <w:lvlText w:val="-"/>
      <w:lvlJc w:val="left"/>
      <w:pPr>
        <w:ind w:left="720" w:hanging="360"/>
      </w:pPr>
      <w:rPr>
        <w:rFonts w:ascii="Arial" w:eastAsia="Times New Roman" w:hAnsi="Arial" w:cs="Aria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A202BD"/>
    <w:multiLevelType w:val="hybridMultilevel"/>
    <w:tmpl w:val="3F88C23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B6F1BF5"/>
    <w:multiLevelType w:val="hybridMultilevel"/>
    <w:tmpl w:val="0CBCFC4A"/>
    <w:lvl w:ilvl="0" w:tplc="0F4426A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BC4169"/>
    <w:multiLevelType w:val="hybridMultilevel"/>
    <w:tmpl w:val="118A256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3"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54C5493B"/>
    <w:multiLevelType w:val="hybridMultilevel"/>
    <w:tmpl w:val="26D4F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74E4D"/>
    <w:multiLevelType w:val="hybridMultilevel"/>
    <w:tmpl w:val="42CC0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993153"/>
    <w:multiLevelType w:val="multilevel"/>
    <w:tmpl w:val="48403D50"/>
    <w:lvl w:ilvl="0">
      <w:start w:val="1"/>
      <w:numFmt w:val="decimal"/>
      <w:pStyle w:val="NumberedParagraph"/>
      <w:lvlText w:val="%1."/>
      <w:lvlJc w:val="left"/>
      <w:pPr>
        <w:tabs>
          <w:tab w:val="num" w:pos="851"/>
        </w:tabs>
        <w:ind w:left="851" w:hanging="709"/>
      </w:pPr>
      <w:rPr>
        <w:rFonts w:ascii="Verdana" w:hAnsi="Verdana" w:hint="default"/>
        <w:b w:val="0"/>
        <w:i w:val="0"/>
        <w:strike w:val="0"/>
        <w:dstrike w:val="0"/>
        <w:sz w:val="20"/>
        <w:u w:val="none"/>
        <w:effect w:val="none"/>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9" w15:restartNumberingAfterBreak="0">
    <w:nsid w:val="65095ACB"/>
    <w:multiLevelType w:val="hybridMultilevel"/>
    <w:tmpl w:val="E73447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65F239EA"/>
    <w:multiLevelType w:val="hybridMultilevel"/>
    <w:tmpl w:val="2B444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6E3935"/>
    <w:multiLevelType w:val="hybridMultilevel"/>
    <w:tmpl w:val="C8142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205E60"/>
    <w:multiLevelType w:val="hybridMultilevel"/>
    <w:tmpl w:val="DCAEB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143778"/>
    <w:multiLevelType w:val="multilevel"/>
    <w:tmpl w:val="82C67B70"/>
    <w:lvl w:ilvl="0">
      <w:start w:val="1"/>
      <w:numFmt w:val="bullet"/>
      <w:lvlText w:val=""/>
      <w:lvlJc w:val="left"/>
      <w:pPr>
        <w:tabs>
          <w:tab w:val="num" w:pos="1429"/>
        </w:tabs>
        <w:ind w:left="1429" w:hanging="709"/>
      </w:pPr>
      <w:rPr>
        <w:rFonts w:ascii="Symbol" w:hAnsi="Symbol" w:hint="default"/>
        <w:sz w:val="20"/>
      </w:rPr>
    </w:lvl>
    <w:lvl w:ilvl="1">
      <w:start w:val="1"/>
      <w:numFmt w:val="decimal"/>
      <w:lvlText w:val="%1.%2"/>
      <w:lvlJc w:val="left"/>
      <w:pPr>
        <w:tabs>
          <w:tab w:val="num" w:pos="2138"/>
        </w:tabs>
        <w:ind w:left="2138" w:hanging="709"/>
      </w:pPr>
      <w:rPr>
        <w:rFonts w:ascii="Verdana" w:hAnsi="Verdana" w:hint="default"/>
        <w:sz w:val="20"/>
      </w:rPr>
    </w:lvl>
    <w:lvl w:ilvl="2">
      <w:start w:val="1"/>
      <w:numFmt w:val="decimal"/>
      <w:lvlText w:val="%1.%2.%3"/>
      <w:lvlJc w:val="left"/>
      <w:pPr>
        <w:tabs>
          <w:tab w:val="num" w:pos="2847"/>
        </w:tabs>
        <w:ind w:left="2847" w:hanging="709"/>
      </w:pPr>
      <w:rPr>
        <w:rFonts w:ascii="Verdana" w:hAnsi="Verdana" w:hint="default"/>
        <w:sz w:val="20"/>
      </w:rPr>
    </w:lvl>
    <w:lvl w:ilvl="3">
      <w:start w:val="1"/>
      <w:numFmt w:val="decimal"/>
      <w:lvlText w:val="(%4)"/>
      <w:lvlJc w:val="left"/>
      <w:pPr>
        <w:tabs>
          <w:tab w:val="num" w:pos="3556"/>
        </w:tabs>
        <w:ind w:left="3556" w:hanging="709"/>
      </w:pPr>
      <w:rPr>
        <w:sz w:val="24"/>
      </w:rPr>
    </w:lvl>
    <w:lvl w:ilvl="4">
      <w:start w:val="1"/>
      <w:numFmt w:val="lowerLetter"/>
      <w:lvlText w:val="(%5)"/>
      <w:lvlJc w:val="left"/>
      <w:pPr>
        <w:tabs>
          <w:tab w:val="num" w:pos="4265"/>
        </w:tabs>
        <w:ind w:left="4265" w:hanging="709"/>
      </w:pPr>
    </w:lvl>
    <w:lvl w:ilvl="5">
      <w:start w:val="1"/>
      <w:numFmt w:val="lowerRoman"/>
      <w:lvlText w:val="(%6)"/>
      <w:lvlJc w:val="left"/>
      <w:pPr>
        <w:tabs>
          <w:tab w:val="num" w:pos="4974"/>
        </w:tabs>
        <w:ind w:left="4974" w:hanging="709"/>
      </w:pPr>
    </w:lvl>
    <w:lvl w:ilvl="6">
      <w:start w:val="1"/>
      <w:numFmt w:val="decimal"/>
      <w:lvlText w:val="%7."/>
      <w:lvlJc w:val="left"/>
      <w:pPr>
        <w:tabs>
          <w:tab w:val="num" w:pos="5683"/>
        </w:tabs>
        <w:ind w:left="5683" w:hanging="709"/>
      </w:pPr>
    </w:lvl>
    <w:lvl w:ilvl="7">
      <w:start w:val="1"/>
      <w:numFmt w:val="lowerLetter"/>
      <w:lvlText w:val="%8."/>
      <w:lvlJc w:val="left"/>
      <w:pPr>
        <w:tabs>
          <w:tab w:val="num" w:pos="6392"/>
        </w:tabs>
        <w:ind w:left="6392" w:hanging="709"/>
      </w:pPr>
    </w:lvl>
    <w:lvl w:ilvl="8">
      <w:start w:val="1"/>
      <w:numFmt w:val="lowerRoman"/>
      <w:lvlText w:val="%9."/>
      <w:lvlJc w:val="left"/>
      <w:pPr>
        <w:tabs>
          <w:tab w:val="num" w:pos="7101"/>
        </w:tabs>
        <w:ind w:left="7101" w:hanging="709"/>
      </w:pPr>
    </w:lvl>
  </w:abstractNum>
  <w:abstractNum w:abstractNumId="35" w15:restartNumberingAfterBreak="0">
    <w:nsid w:val="78466C14"/>
    <w:multiLevelType w:val="hybridMultilevel"/>
    <w:tmpl w:val="F028B7C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16cid:durableId="17853659">
    <w:abstractNumId w:val="32"/>
  </w:num>
  <w:num w:numId="2" w16cid:durableId="48499546">
    <w:abstractNumId w:val="23"/>
  </w:num>
  <w:num w:numId="3" w16cid:durableId="531919010">
    <w:abstractNumId w:val="25"/>
  </w:num>
  <w:num w:numId="4" w16cid:durableId="810950039">
    <w:abstractNumId w:val="16"/>
  </w:num>
  <w:num w:numId="5" w16cid:durableId="652953819">
    <w:abstractNumId w:val="27"/>
  </w:num>
  <w:num w:numId="6" w16cid:durableId="306856584">
    <w:abstractNumId w:val="13"/>
  </w:num>
  <w:num w:numId="7" w16cid:durableId="2010404612">
    <w:abstractNumId w:val="4"/>
  </w:num>
  <w:num w:numId="8" w16cid:durableId="959844706">
    <w:abstractNumId w:val="9"/>
  </w:num>
  <w:num w:numId="9" w16cid:durableId="446504242">
    <w:abstractNumId w:val="20"/>
  </w:num>
  <w:num w:numId="10" w16cid:durableId="1591739096">
    <w:abstractNumId w:val="8"/>
  </w:num>
  <w:num w:numId="11" w16cid:durableId="1171215495">
    <w:abstractNumId w:val="7"/>
  </w:num>
  <w:num w:numId="12" w16cid:durableId="461388102">
    <w:abstractNumId w:val="10"/>
  </w:num>
  <w:num w:numId="13" w16cid:durableId="644941052">
    <w:abstractNumId w:val="31"/>
  </w:num>
  <w:num w:numId="14" w16cid:durableId="703676878">
    <w:abstractNumId w:val="18"/>
  </w:num>
  <w:num w:numId="15" w16cid:durableId="1545947318">
    <w:abstractNumId w:val="26"/>
  </w:num>
  <w:num w:numId="16" w16cid:durableId="1473013082">
    <w:abstractNumId w:val="6"/>
  </w:num>
  <w:num w:numId="17" w16cid:durableId="1559316758">
    <w:abstractNumId w:val="3"/>
  </w:num>
  <w:num w:numId="18" w16cid:durableId="440997213">
    <w:abstractNumId w:val="17"/>
  </w:num>
  <w:num w:numId="19" w16cid:durableId="1860654770">
    <w:abstractNumId w:val="35"/>
  </w:num>
  <w:num w:numId="20" w16cid:durableId="527832669">
    <w:abstractNumId w:val="22"/>
  </w:num>
  <w:num w:numId="21" w16cid:durableId="239678668">
    <w:abstractNumId w:val="21"/>
  </w:num>
  <w:num w:numId="22" w16cid:durableId="388654788">
    <w:abstractNumId w:val="0"/>
  </w:num>
  <w:num w:numId="23" w16cid:durableId="18507542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01147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40398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2971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180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030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352709">
    <w:abstractNumId w:val="5"/>
  </w:num>
  <w:num w:numId="30" w16cid:durableId="380132891">
    <w:abstractNumId w:val="11"/>
  </w:num>
  <w:num w:numId="31" w16cid:durableId="523792671">
    <w:abstractNumId w:val="30"/>
  </w:num>
  <w:num w:numId="32" w16cid:durableId="258291315">
    <w:abstractNumId w:val="1"/>
  </w:num>
  <w:num w:numId="33" w16cid:durableId="362167741">
    <w:abstractNumId w:val="33"/>
  </w:num>
  <w:num w:numId="34" w16cid:durableId="2106345328">
    <w:abstractNumId w:val="14"/>
  </w:num>
  <w:num w:numId="35" w16cid:durableId="719670834">
    <w:abstractNumId w:val="28"/>
  </w:num>
  <w:num w:numId="36" w16cid:durableId="598761754">
    <w:abstractNumId w:val="24"/>
  </w:num>
  <w:num w:numId="37" w16cid:durableId="384529911">
    <w:abstractNumId w:val="29"/>
  </w:num>
  <w:num w:numId="38" w16cid:durableId="753165519">
    <w:abstractNumId w:val="2"/>
  </w:num>
  <w:num w:numId="39" w16cid:durableId="197816523">
    <w:abstractNumId w:val="15"/>
  </w:num>
  <w:num w:numId="40" w16cid:durableId="137823706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36E"/>
    <w:rsid w:val="000003DE"/>
    <w:rsid w:val="00000E3F"/>
    <w:rsid w:val="00000F63"/>
    <w:rsid w:val="000018F8"/>
    <w:rsid w:val="00001DB1"/>
    <w:rsid w:val="000035B1"/>
    <w:rsid w:val="00004098"/>
    <w:rsid w:val="00004380"/>
    <w:rsid w:val="000053BD"/>
    <w:rsid w:val="00006108"/>
    <w:rsid w:val="000064F5"/>
    <w:rsid w:val="000066F8"/>
    <w:rsid w:val="00006D60"/>
    <w:rsid w:val="00006ECA"/>
    <w:rsid w:val="000076E4"/>
    <w:rsid w:val="00007727"/>
    <w:rsid w:val="000109C5"/>
    <w:rsid w:val="00011317"/>
    <w:rsid w:val="000113BA"/>
    <w:rsid w:val="00012465"/>
    <w:rsid w:val="00012794"/>
    <w:rsid w:val="00012998"/>
    <w:rsid w:val="00012AF2"/>
    <w:rsid w:val="000132F8"/>
    <w:rsid w:val="00014978"/>
    <w:rsid w:val="00015CBF"/>
    <w:rsid w:val="00015E30"/>
    <w:rsid w:val="000160E3"/>
    <w:rsid w:val="000172C1"/>
    <w:rsid w:val="000204B8"/>
    <w:rsid w:val="00020F75"/>
    <w:rsid w:val="000234C3"/>
    <w:rsid w:val="00023707"/>
    <w:rsid w:val="00024BEA"/>
    <w:rsid w:val="000251EC"/>
    <w:rsid w:val="000253A3"/>
    <w:rsid w:val="00025BAD"/>
    <w:rsid w:val="00025FDE"/>
    <w:rsid w:val="000261DA"/>
    <w:rsid w:val="00026DE0"/>
    <w:rsid w:val="00026FF3"/>
    <w:rsid w:val="00030049"/>
    <w:rsid w:val="00030190"/>
    <w:rsid w:val="000312CF"/>
    <w:rsid w:val="00031391"/>
    <w:rsid w:val="000327B0"/>
    <w:rsid w:val="00033E05"/>
    <w:rsid w:val="00034757"/>
    <w:rsid w:val="000362B1"/>
    <w:rsid w:val="00036420"/>
    <w:rsid w:val="0003665F"/>
    <w:rsid w:val="00037290"/>
    <w:rsid w:val="000378A4"/>
    <w:rsid w:val="00040370"/>
    <w:rsid w:val="000414A3"/>
    <w:rsid w:val="000423A2"/>
    <w:rsid w:val="00042584"/>
    <w:rsid w:val="000430DE"/>
    <w:rsid w:val="00044A41"/>
    <w:rsid w:val="00045BF2"/>
    <w:rsid w:val="00045DFD"/>
    <w:rsid w:val="000461A0"/>
    <w:rsid w:val="00046A04"/>
    <w:rsid w:val="000477D0"/>
    <w:rsid w:val="0005026E"/>
    <w:rsid w:val="00050B44"/>
    <w:rsid w:val="00051193"/>
    <w:rsid w:val="00051830"/>
    <w:rsid w:val="00051AC0"/>
    <w:rsid w:val="000524B9"/>
    <w:rsid w:val="00053ACB"/>
    <w:rsid w:val="0005469E"/>
    <w:rsid w:val="000548CE"/>
    <w:rsid w:val="00054AAD"/>
    <w:rsid w:val="000558DD"/>
    <w:rsid w:val="00055FD4"/>
    <w:rsid w:val="0005691A"/>
    <w:rsid w:val="00056CE9"/>
    <w:rsid w:val="00057413"/>
    <w:rsid w:val="00057BA5"/>
    <w:rsid w:val="000603D1"/>
    <w:rsid w:val="00060748"/>
    <w:rsid w:val="000608BC"/>
    <w:rsid w:val="00061CB5"/>
    <w:rsid w:val="000626D7"/>
    <w:rsid w:val="000626ED"/>
    <w:rsid w:val="00063550"/>
    <w:rsid w:val="0006388B"/>
    <w:rsid w:val="0006404E"/>
    <w:rsid w:val="00064389"/>
    <w:rsid w:val="00064674"/>
    <w:rsid w:val="000651E4"/>
    <w:rsid w:val="000652B1"/>
    <w:rsid w:val="00065560"/>
    <w:rsid w:val="00065859"/>
    <w:rsid w:val="00065991"/>
    <w:rsid w:val="00065ECC"/>
    <w:rsid w:val="00065F73"/>
    <w:rsid w:val="000674AA"/>
    <w:rsid w:val="000674E0"/>
    <w:rsid w:val="0006779B"/>
    <w:rsid w:val="000706D0"/>
    <w:rsid w:val="00071130"/>
    <w:rsid w:val="000721BC"/>
    <w:rsid w:val="00072840"/>
    <w:rsid w:val="00072C3E"/>
    <w:rsid w:val="00072F6D"/>
    <w:rsid w:val="000735C2"/>
    <w:rsid w:val="00073DF5"/>
    <w:rsid w:val="00074019"/>
    <w:rsid w:val="00074451"/>
    <w:rsid w:val="000747D8"/>
    <w:rsid w:val="00075BDA"/>
    <w:rsid w:val="00076A3C"/>
    <w:rsid w:val="000775F1"/>
    <w:rsid w:val="00077836"/>
    <w:rsid w:val="00080FED"/>
    <w:rsid w:val="000816AE"/>
    <w:rsid w:val="00082C52"/>
    <w:rsid w:val="000832E3"/>
    <w:rsid w:val="000833C8"/>
    <w:rsid w:val="00084437"/>
    <w:rsid w:val="00084668"/>
    <w:rsid w:val="000846C1"/>
    <w:rsid w:val="00085EA3"/>
    <w:rsid w:val="00086D64"/>
    <w:rsid w:val="0008711B"/>
    <w:rsid w:val="000877DB"/>
    <w:rsid w:val="00090291"/>
    <w:rsid w:val="0009080A"/>
    <w:rsid w:val="000908DA"/>
    <w:rsid w:val="00090A01"/>
    <w:rsid w:val="000917A7"/>
    <w:rsid w:val="00092A86"/>
    <w:rsid w:val="00093059"/>
    <w:rsid w:val="000934E9"/>
    <w:rsid w:val="00093CBE"/>
    <w:rsid w:val="000954A5"/>
    <w:rsid w:val="00095821"/>
    <w:rsid w:val="00097309"/>
    <w:rsid w:val="000A0757"/>
    <w:rsid w:val="000A0CD9"/>
    <w:rsid w:val="000A13B3"/>
    <w:rsid w:val="000A1FD5"/>
    <w:rsid w:val="000A204B"/>
    <w:rsid w:val="000A2B04"/>
    <w:rsid w:val="000A3592"/>
    <w:rsid w:val="000A3BEE"/>
    <w:rsid w:val="000A3DFC"/>
    <w:rsid w:val="000A536D"/>
    <w:rsid w:val="000A6459"/>
    <w:rsid w:val="000A7816"/>
    <w:rsid w:val="000B0EC8"/>
    <w:rsid w:val="000B1777"/>
    <w:rsid w:val="000B1B83"/>
    <w:rsid w:val="000B2320"/>
    <w:rsid w:val="000B4DDB"/>
    <w:rsid w:val="000B4EFA"/>
    <w:rsid w:val="000B5497"/>
    <w:rsid w:val="000B6AE4"/>
    <w:rsid w:val="000B7AB6"/>
    <w:rsid w:val="000B7AD9"/>
    <w:rsid w:val="000C046F"/>
    <w:rsid w:val="000C0514"/>
    <w:rsid w:val="000C0D56"/>
    <w:rsid w:val="000C0D5E"/>
    <w:rsid w:val="000C12D0"/>
    <w:rsid w:val="000C2565"/>
    <w:rsid w:val="000C299F"/>
    <w:rsid w:val="000C29D0"/>
    <w:rsid w:val="000C2C59"/>
    <w:rsid w:val="000C3F1E"/>
    <w:rsid w:val="000C4659"/>
    <w:rsid w:val="000C4D78"/>
    <w:rsid w:val="000C51CF"/>
    <w:rsid w:val="000C59B0"/>
    <w:rsid w:val="000C5BC2"/>
    <w:rsid w:val="000C679D"/>
    <w:rsid w:val="000C6968"/>
    <w:rsid w:val="000C7BDE"/>
    <w:rsid w:val="000D107C"/>
    <w:rsid w:val="000D1208"/>
    <w:rsid w:val="000D1F05"/>
    <w:rsid w:val="000D2A66"/>
    <w:rsid w:val="000D2B6B"/>
    <w:rsid w:val="000D2F51"/>
    <w:rsid w:val="000D3526"/>
    <w:rsid w:val="000D479D"/>
    <w:rsid w:val="000D4BBA"/>
    <w:rsid w:val="000D5D1F"/>
    <w:rsid w:val="000D5ECD"/>
    <w:rsid w:val="000D66BC"/>
    <w:rsid w:val="000D6E98"/>
    <w:rsid w:val="000E00AF"/>
    <w:rsid w:val="000E06D8"/>
    <w:rsid w:val="000E09B6"/>
    <w:rsid w:val="000E142F"/>
    <w:rsid w:val="000E1641"/>
    <w:rsid w:val="000E339E"/>
    <w:rsid w:val="000E3C61"/>
    <w:rsid w:val="000E5A87"/>
    <w:rsid w:val="000E5AE8"/>
    <w:rsid w:val="000E5C05"/>
    <w:rsid w:val="000E6EA0"/>
    <w:rsid w:val="000E71E1"/>
    <w:rsid w:val="000E7212"/>
    <w:rsid w:val="000E735E"/>
    <w:rsid w:val="000E7FB7"/>
    <w:rsid w:val="000F09B4"/>
    <w:rsid w:val="000F0AA5"/>
    <w:rsid w:val="000F0E21"/>
    <w:rsid w:val="000F1490"/>
    <w:rsid w:val="000F16CC"/>
    <w:rsid w:val="000F2498"/>
    <w:rsid w:val="000F25C9"/>
    <w:rsid w:val="000F2ACA"/>
    <w:rsid w:val="000F2F49"/>
    <w:rsid w:val="000F35B1"/>
    <w:rsid w:val="000F36EF"/>
    <w:rsid w:val="000F457E"/>
    <w:rsid w:val="000F4E4C"/>
    <w:rsid w:val="000F62E0"/>
    <w:rsid w:val="000F692C"/>
    <w:rsid w:val="000F70D4"/>
    <w:rsid w:val="000F720E"/>
    <w:rsid w:val="000F76AE"/>
    <w:rsid w:val="000F7AB2"/>
    <w:rsid w:val="00100C96"/>
    <w:rsid w:val="00101BB6"/>
    <w:rsid w:val="001049D4"/>
    <w:rsid w:val="00105430"/>
    <w:rsid w:val="00105567"/>
    <w:rsid w:val="0010559B"/>
    <w:rsid w:val="00105D66"/>
    <w:rsid w:val="00105F92"/>
    <w:rsid w:val="00106B98"/>
    <w:rsid w:val="00106CE0"/>
    <w:rsid w:val="0011039D"/>
    <w:rsid w:val="001124E2"/>
    <w:rsid w:val="0011314D"/>
    <w:rsid w:val="00113786"/>
    <w:rsid w:val="001141EA"/>
    <w:rsid w:val="00115028"/>
    <w:rsid w:val="001152BF"/>
    <w:rsid w:val="00115BCE"/>
    <w:rsid w:val="001162D0"/>
    <w:rsid w:val="00117051"/>
    <w:rsid w:val="001170A9"/>
    <w:rsid w:val="00117A54"/>
    <w:rsid w:val="00120110"/>
    <w:rsid w:val="001207EA"/>
    <w:rsid w:val="001220BD"/>
    <w:rsid w:val="00122869"/>
    <w:rsid w:val="001230AD"/>
    <w:rsid w:val="0012402E"/>
    <w:rsid w:val="00124EF7"/>
    <w:rsid w:val="00124FA4"/>
    <w:rsid w:val="0012540A"/>
    <w:rsid w:val="00126262"/>
    <w:rsid w:val="00130298"/>
    <w:rsid w:val="00130321"/>
    <w:rsid w:val="0013053B"/>
    <w:rsid w:val="001314A4"/>
    <w:rsid w:val="00132393"/>
    <w:rsid w:val="0013264B"/>
    <w:rsid w:val="00133476"/>
    <w:rsid w:val="001337F9"/>
    <w:rsid w:val="00135487"/>
    <w:rsid w:val="00135B24"/>
    <w:rsid w:val="00135F3E"/>
    <w:rsid w:val="00136946"/>
    <w:rsid w:val="001369A2"/>
    <w:rsid w:val="00136FD5"/>
    <w:rsid w:val="00137900"/>
    <w:rsid w:val="00137A20"/>
    <w:rsid w:val="00140BD7"/>
    <w:rsid w:val="00141416"/>
    <w:rsid w:val="001422D8"/>
    <w:rsid w:val="00143420"/>
    <w:rsid w:val="00143738"/>
    <w:rsid w:val="00143BF4"/>
    <w:rsid w:val="0014451A"/>
    <w:rsid w:val="00145070"/>
    <w:rsid w:val="00145651"/>
    <w:rsid w:val="001459DE"/>
    <w:rsid w:val="00145CDA"/>
    <w:rsid w:val="00145DAB"/>
    <w:rsid w:val="00146665"/>
    <w:rsid w:val="00146FDB"/>
    <w:rsid w:val="0014704C"/>
    <w:rsid w:val="0015013B"/>
    <w:rsid w:val="00152579"/>
    <w:rsid w:val="0015394B"/>
    <w:rsid w:val="00153AAE"/>
    <w:rsid w:val="00153D79"/>
    <w:rsid w:val="00154D17"/>
    <w:rsid w:val="0015670F"/>
    <w:rsid w:val="00156922"/>
    <w:rsid w:val="00157181"/>
    <w:rsid w:val="001601FA"/>
    <w:rsid w:val="001609AE"/>
    <w:rsid w:val="00160BFA"/>
    <w:rsid w:val="00161713"/>
    <w:rsid w:val="00161DFF"/>
    <w:rsid w:val="00162B14"/>
    <w:rsid w:val="0016319C"/>
    <w:rsid w:val="001638A9"/>
    <w:rsid w:val="00164445"/>
    <w:rsid w:val="00165E58"/>
    <w:rsid w:val="00167308"/>
    <w:rsid w:val="00167871"/>
    <w:rsid w:val="00171895"/>
    <w:rsid w:val="001722B6"/>
    <w:rsid w:val="00172FD6"/>
    <w:rsid w:val="00173BEC"/>
    <w:rsid w:val="001753A2"/>
    <w:rsid w:val="001759EE"/>
    <w:rsid w:val="001760C3"/>
    <w:rsid w:val="001761D2"/>
    <w:rsid w:val="001767DF"/>
    <w:rsid w:val="00176EB0"/>
    <w:rsid w:val="0017733D"/>
    <w:rsid w:val="00180011"/>
    <w:rsid w:val="001802E8"/>
    <w:rsid w:val="0018063A"/>
    <w:rsid w:val="00180A67"/>
    <w:rsid w:val="00180EA8"/>
    <w:rsid w:val="00182208"/>
    <w:rsid w:val="00182920"/>
    <w:rsid w:val="00182C35"/>
    <w:rsid w:val="00182FAD"/>
    <w:rsid w:val="001837C1"/>
    <w:rsid w:val="00184329"/>
    <w:rsid w:val="0018455E"/>
    <w:rsid w:val="001845F7"/>
    <w:rsid w:val="0018474F"/>
    <w:rsid w:val="00184E4D"/>
    <w:rsid w:val="0018577C"/>
    <w:rsid w:val="00185886"/>
    <w:rsid w:val="00186F8A"/>
    <w:rsid w:val="00187198"/>
    <w:rsid w:val="00187B42"/>
    <w:rsid w:val="001902F7"/>
    <w:rsid w:val="001912CA"/>
    <w:rsid w:val="00191795"/>
    <w:rsid w:val="0019244B"/>
    <w:rsid w:val="00192692"/>
    <w:rsid w:val="001927EA"/>
    <w:rsid w:val="00193738"/>
    <w:rsid w:val="00193917"/>
    <w:rsid w:val="001964DD"/>
    <w:rsid w:val="001967D5"/>
    <w:rsid w:val="001972DB"/>
    <w:rsid w:val="00197548"/>
    <w:rsid w:val="00197752"/>
    <w:rsid w:val="001A1C72"/>
    <w:rsid w:val="001A1C9D"/>
    <w:rsid w:val="001A1D37"/>
    <w:rsid w:val="001A243F"/>
    <w:rsid w:val="001A29AD"/>
    <w:rsid w:val="001A3933"/>
    <w:rsid w:val="001A42F5"/>
    <w:rsid w:val="001A4FFB"/>
    <w:rsid w:val="001A5706"/>
    <w:rsid w:val="001A5CD2"/>
    <w:rsid w:val="001A6552"/>
    <w:rsid w:val="001A697C"/>
    <w:rsid w:val="001A6EA0"/>
    <w:rsid w:val="001A73A7"/>
    <w:rsid w:val="001A7C3F"/>
    <w:rsid w:val="001A7C95"/>
    <w:rsid w:val="001B17EE"/>
    <w:rsid w:val="001B207B"/>
    <w:rsid w:val="001B2876"/>
    <w:rsid w:val="001B28E2"/>
    <w:rsid w:val="001B299F"/>
    <w:rsid w:val="001B2E42"/>
    <w:rsid w:val="001B2FF8"/>
    <w:rsid w:val="001B3CD8"/>
    <w:rsid w:val="001B3F24"/>
    <w:rsid w:val="001B4953"/>
    <w:rsid w:val="001B49C2"/>
    <w:rsid w:val="001B4ECA"/>
    <w:rsid w:val="001B5D61"/>
    <w:rsid w:val="001B7A96"/>
    <w:rsid w:val="001B7C6A"/>
    <w:rsid w:val="001B7F5D"/>
    <w:rsid w:val="001C0692"/>
    <w:rsid w:val="001C09C7"/>
    <w:rsid w:val="001C200E"/>
    <w:rsid w:val="001C282A"/>
    <w:rsid w:val="001C308B"/>
    <w:rsid w:val="001C32DC"/>
    <w:rsid w:val="001C386F"/>
    <w:rsid w:val="001C495C"/>
    <w:rsid w:val="001C5184"/>
    <w:rsid w:val="001C579B"/>
    <w:rsid w:val="001C5A45"/>
    <w:rsid w:val="001C5D2A"/>
    <w:rsid w:val="001C6883"/>
    <w:rsid w:val="001C69C5"/>
    <w:rsid w:val="001C6CD9"/>
    <w:rsid w:val="001C6E0D"/>
    <w:rsid w:val="001C7476"/>
    <w:rsid w:val="001C7B55"/>
    <w:rsid w:val="001C7DE5"/>
    <w:rsid w:val="001D0176"/>
    <w:rsid w:val="001D0C17"/>
    <w:rsid w:val="001D12C9"/>
    <w:rsid w:val="001D1314"/>
    <w:rsid w:val="001D13E4"/>
    <w:rsid w:val="001D2172"/>
    <w:rsid w:val="001D2BA5"/>
    <w:rsid w:val="001D38D9"/>
    <w:rsid w:val="001D4D7A"/>
    <w:rsid w:val="001D4DEC"/>
    <w:rsid w:val="001D558E"/>
    <w:rsid w:val="001D6130"/>
    <w:rsid w:val="001D620F"/>
    <w:rsid w:val="001D73A5"/>
    <w:rsid w:val="001E00DB"/>
    <w:rsid w:val="001E0206"/>
    <w:rsid w:val="001E166B"/>
    <w:rsid w:val="001E1816"/>
    <w:rsid w:val="001E1E10"/>
    <w:rsid w:val="001E2BFE"/>
    <w:rsid w:val="001E2D66"/>
    <w:rsid w:val="001E4550"/>
    <w:rsid w:val="001E7652"/>
    <w:rsid w:val="001E7E43"/>
    <w:rsid w:val="001F06D7"/>
    <w:rsid w:val="001F080E"/>
    <w:rsid w:val="001F104A"/>
    <w:rsid w:val="001F1510"/>
    <w:rsid w:val="001F166C"/>
    <w:rsid w:val="001F1868"/>
    <w:rsid w:val="001F2CCE"/>
    <w:rsid w:val="001F353B"/>
    <w:rsid w:val="001F3AF8"/>
    <w:rsid w:val="001F3EB0"/>
    <w:rsid w:val="001F4762"/>
    <w:rsid w:val="001F5E77"/>
    <w:rsid w:val="001F76FA"/>
    <w:rsid w:val="001F7FF6"/>
    <w:rsid w:val="00200447"/>
    <w:rsid w:val="00200DA1"/>
    <w:rsid w:val="002029D3"/>
    <w:rsid w:val="0020319B"/>
    <w:rsid w:val="00203F58"/>
    <w:rsid w:val="00204018"/>
    <w:rsid w:val="00204F92"/>
    <w:rsid w:val="00205A91"/>
    <w:rsid w:val="002060EC"/>
    <w:rsid w:val="00207F3F"/>
    <w:rsid w:val="00210C3D"/>
    <w:rsid w:val="00210CB9"/>
    <w:rsid w:val="002116D0"/>
    <w:rsid w:val="00212258"/>
    <w:rsid w:val="002122D7"/>
    <w:rsid w:val="00212395"/>
    <w:rsid w:val="0021390F"/>
    <w:rsid w:val="00213AAB"/>
    <w:rsid w:val="00214571"/>
    <w:rsid w:val="00215355"/>
    <w:rsid w:val="002153A9"/>
    <w:rsid w:val="00215C9E"/>
    <w:rsid w:val="00216981"/>
    <w:rsid w:val="00217592"/>
    <w:rsid w:val="002219AD"/>
    <w:rsid w:val="00222738"/>
    <w:rsid w:val="00223357"/>
    <w:rsid w:val="00223D2B"/>
    <w:rsid w:val="00223D30"/>
    <w:rsid w:val="002241AB"/>
    <w:rsid w:val="0022557C"/>
    <w:rsid w:val="00227230"/>
    <w:rsid w:val="002304AC"/>
    <w:rsid w:val="002318A3"/>
    <w:rsid w:val="0023241A"/>
    <w:rsid w:val="00233869"/>
    <w:rsid w:val="00234168"/>
    <w:rsid w:val="00234429"/>
    <w:rsid w:val="002346EA"/>
    <w:rsid w:val="0023591C"/>
    <w:rsid w:val="0023627C"/>
    <w:rsid w:val="002364E2"/>
    <w:rsid w:val="00236BEB"/>
    <w:rsid w:val="00237367"/>
    <w:rsid w:val="002376FB"/>
    <w:rsid w:val="00237D1B"/>
    <w:rsid w:val="00240044"/>
    <w:rsid w:val="00240A69"/>
    <w:rsid w:val="0024192E"/>
    <w:rsid w:val="0024196B"/>
    <w:rsid w:val="002428A4"/>
    <w:rsid w:val="00244448"/>
    <w:rsid w:val="00244D4C"/>
    <w:rsid w:val="00244F31"/>
    <w:rsid w:val="002455C0"/>
    <w:rsid w:val="0024574B"/>
    <w:rsid w:val="00246211"/>
    <w:rsid w:val="002463F2"/>
    <w:rsid w:val="002474AB"/>
    <w:rsid w:val="00250935"/>
    <w:rsid w:val="002513C2"/>
    <w:rsid w:val="0025182D"/>
    <w:rsid w:val="00251A9A"/>
    <w:rsid w:val="00251B54"/>
    <w:rsid w:val="00252942"/>
    <w:rsid w:val="0025489D"/>
    <w:rsid w:val="00254D13"/>
    <w:rsid w:val="00255565"/>
    <w:rsid w:val="00255E9C"/>
    <w:rsid w:val="00255F78"/>
    <w:rsid w:val="00257A2F"/>
    <w:rsid w:val="00257A80"/>
    <w:rsid w:val="0026114D"/>
    <w:rsid w:val="00261E95"/>
    <w:rsid w:val="002629A4"/>
    <w:rsid w:val="00262A06"/>
    <w:rsid w:val="00262F76"/>
    <w:rsid w:val="002631A8"/>
    <w:rsid w:val="0026383D"/>
    <w:rsid w:val="00264DF4"/>
    <w:rsid w:val="002669E1"/>
    <w:rsid w:val="00267319"/>
    <w:rsid w:val="00267A48"/>
    <w:rsid w:val="00267C30"/>
    <w:rsid w:val="002700AD"/>
    <w:rsid w:val="00270158"/>
    <w:rsid w:val="0027045A"/>
    <w:rsid w:val="00270730"/>
    <w:rsid w:val="002708B8"/>
    <w:rsid w:val="0027095D"/>
    <w:rsid w:val="00270AA2"/>
    <w:rsid w:val="002724F0"/>
    <w:rsid w:val="002734AA"/>
    <w:rsid w:val="00274155"/>
    <w:rsid w:val="00274CD0"/>
    <w:rsid w:val="00274E60"/>
    <w:rsid w:val="002753AC"/>
    <w:rsid w:val="00276F15"/>
    <w:rsid w:val="00277546"/>
    <w:rsid w:val="0027768D"/>
    <w:rsid w:val="0028004C"/>
    <w:rsid w:val="0028007C"/>
    <w:rsid w:val="00280409"/>
    <w:rsid w:val="002809D8"/>
    <w:rsid w:val="00280CBD"/>
    <w:rsid w:val="00280E66"/>
    <w:rsid w:val="00280F99"/>
    <w:rsid w:val="00281B72"/>
    <w:rsid w:val="00282417"/>
    <w:rsid w:val="00282590"/>
    <w:rsid w:val="00282817"/>
    <w:rsid w:val="0028286A"/>
    <w:rsid w:val="00283D5B"/>
    <w:rsid w:val="00285E1E"/>
    <w:rsid w:val="002860CB"/>
    <w:rsid w:val="002868AE"/>
    <w:rsid w:val="00286F9E"/>
    <w:rsid w:val="00287732"/>
    <w:rsid w:val="00287A1C"/>
    <w:rsid w:val="00290183"/>
    <w:rsid w:val="00290514"/>
    <w:rsid w:val="00290B89"/>
    <w:rsid w:val="00292AE7"/>
    <w:rsid w:val="002937CC"/>
    <w:rsid w:val="0029383E"/>
    <w:rsid w:val="00293AC8"/>
    <w:rsid w:val="0029419C"/>
    <w:rsid w:val="002945AD"/>
    <w:rsid w:val="00294761"/>
    <w:rsid w:val="002949D7"/>
    <w:rsid w:val="00295D84"/>
    <w:rsid w:val="00296049"/>
    <w:rsid w:val="002967E2"/>
    <w:rsid w:val="00297A63"/>
    <w:rsid w:val="002A032C"/>
    <w:rsid w:val="002A072C"/>
    <w:rsid w:val="002A0F13"/>
    <w:rsid w:val="002A10DF"/>
    <w:rsid w:val="002A218F"/>
    <w:rsid w:val="002A3196"/>
    <w:rsid w:val="002A4135"/>
    <w:rsid w:val="002A4EAE"/>
    <w:rsid w:val="002A5DEB"/>
    <w:rsid w:val="002A5F8D"/>
    <w:rsid w:val="002A6160"/>
    <w:rsid w:val="002A6265"/>
    <w:rsid w:val="002A64F4"/>
    <w:rsid w:val="002A6E23"/>
    <w:rsid w:val="002A7151"/>
    <w:rsid w:val="002A7543"/>
    <w:rsid w:val="002A75EC"/>
    <w:rsid w:val="002B013B"/>
    <w:rsid w:val="002B0277"/>
    <w:rsid w:val="002B131D"/>
    <w:rsid w:val="002B2312"/>
    <w:rsid w:val="002B27D8"/>
    <w:rsid w:val="002B31FC"/>
    <w:rsid w:val="002B50E5"/>
    <w:rsid w:val="002B6473"/>
    <w:rsid w:val="002B6FB9"/>
    <w:rsid w:val="002B7C20"/>
    <w:rsid w:val="002B7D4A"/>
    <w:rsid w:val="002C155D"/>
    <w:rsid w:val="002C27CC"/>
    <w:rsid w:val="002C2CD4"/>
    <w:rsid w:val="002C2F9F"/>
    <w:rsid w:val="002C3169"/>
    <w:rsid w:val="002C3439"/>
    <w:rsid w:val="002C3451"/>
    <w:rsid w:val="002C3926"/>
    <w:rsid w:val="002C41B9"/>
    <w:rsid w:val="002C438F"/>
    <w:rsid w:val="002C467B"/>
    <w:rsid w:val="002C48E9"/>
    <w:rsid w:val="002C5A5A"/>
    <w:rsid w:val="002C5B23"/>
    <w:rsid w:val="002C5E7E"/>
    <w:rsid w:val="002C6023"/>
    <w:rsid w:val="002C629B"/>
    <w:rsid w:val="002C6C21"/>
    <w:rsid w:val="002C6C69"/>
    <w:rsid w:val="002C7DFF"/>
    <w:rsid w:val="002D055F"/>
    <w:rsid w:val="002D05DC"/>
    <w:rsid w:val="002D251C"/>
    <w:rsid w:val="002D2932"/>
    <w:rsid w:val="002D3FFA"/>
    <w:rsid w:val="002D5018"/>
    <w:rsid w:val="002D5225"/>
    <w:rsid w:val="002D52C3"/>
    <w:rsid w:val="002D5CFA"/>
    <w:rsid w:val="002D5FBE"/>
    <w:rsid w:val="002D6611"/>
    <w:rsid w:val="002D6BA5"/>
    <w:rsid w:val="002D6CE0"/>
    <w:rsid w:val="002D715D"/>
    <w:rsid w:val="002D75C1"/>
    <w:rsid w:val="002E0197"/>
    <w:rsid w:val="002E09AC"/>
    <w:rsid w:val="002E111B"/>
    <w:rsid w:val="002E140F"/>
    <w:rsid w:val="002E172A"/>
    <w:rsid w:val="002E17CC"/>
    <w:rsid w:val="002E1950"/>
    <w:rsid w:val="002E29E8"/>
    <w:rsid w:val="002E2E3C"/>
    <w:rsid w:val="002E3105"/>
    <w:rsid w:val="002E3467"/>
    <w:rsid w:val="002E3773"/>
    <w:rsid w:val="002E3CBE"/>
    <w:rsid w:val="002E412B"/>
    <w:rsid w:val="002E487F"/>
    <w:rsid w:val="002E4A35"/>
    <w:rsid w:val="002E5DA1"/>
    <w:rsid w:val="002E6309"/>
    <w:rsid w:val="002E70EE"/>
    <w:rsid w:val="002E7E48"/>
    <w:rsid w:val="002F0A14"/>
    <w:rsid w:val="002F2230"/>
    <w:rsid w:val="002F26E8"/>
    <w:rsid w:val="002F3D9D"/>
    <w:rsid w:val="002F4368"/>
    <w:rsid w:val="002F4950"/>
    <w:rsid w:val="002F55DC"/>
    <w:rsid w:val="002F7B32"/>
    <w:rsid w:val="002F7C81"/>
    <w:rsid w:val="002F7DB4"/>
    <w:rsid w:val="003003CB"/>
    <w:rsid w:val="003008C6"/>
    <w:rsid w:val="0030167A"/>
    <w:rsid w:val="00302350"/>
    <w:rsid w:val="00303CAF"/>
    <w:rsid w:val="00304ED0"/>
    <w:rsid w:val="0030521A"/>
    <w:rsid w:val="00305F6F"/>
    <w:rsid w:val="00305FDF"/>
    <w:rsid w:val="0030615C"/>
    <w:rsid w:val="0030630E"/>
    <w:rsid w:val="003067A3"/>
    <w:rsid w:val="00306FAC"/>
    <w:rsid w:val="00307F30"/>
    <w:rsid w:val="0031067B"/>
    <w:rsid w:val="00310839"/>
    <w:rsid w:val="0031214D"/>
    <w:rsid w:val="00313CCA"/>
    <w:rsid w:val="00313E41"/>
    <w:rsid w:val="00313E83"/>
    <w:rsid w:val="00313F09"/>
    <w:rsid w:val="00314AA7"/>
    <w:rsid w:val="0031562B"/>
    <w:rsid w:val="003157FF"/>
    <w:rsid w:val="0031768C"/>
    <w:rsid w:val="0032145B"/>
    <w:rsid w:val="003218E4"/>
    <w:rsid w:val="00323853"/>
    <w:rsid w:val="003247E1"/>
    <w:rsid w:val="00324E1E"/>
    <w:rsid w:val="0032570E"/>
    <w:rsid w:val="00325E44"/>
    <w:rsid w:val="00325E6C"/>
    <w:rsid w:val="00326DDE"/>
    <w:rsid w:val="003275DF"/>
    <w:rsid w:val="00327796"/>
    <w:rsid w:val="00330AD4"/>
    <w:rsid w:val="003319D7"/>
    <w:rsid w:val="00331FA6"/>
    <w:rsid w:val="0033231A"/>
    <w:rsid w:val="0033394E"/>
    <w:rsid w:val="00333C8F"/>
    <w:rsid w:val="00334194"/>
    <w:rsid w:val="00334585"/>
    <w:rsid w:val="00335B25"/>
    <w:rsid w:val="003362A5"/>
    <w:rsid w:val="00336C8A"/>
    <w:rsid w:val="00336E95"/>
    <w:rsid w:val="0033793B"/>
    <w:rsid w:val="00337D6B"/>
    <w:rsid w:val="00341230"/>
    <w:rsid w:val="00341F7B"/>
    <w:rsid w:val="00342978"/>
    <w:rsid w:val="00342A85"/>
    <w:rsid w:val="00342ED4"/>
    <w:rsid w:val="00343533"/>
    <w:rsid w:val="00344067"/>
    <w:rsid w:val="00344188"/>
    <w:rsid w:val="003451C9"/>
    <w:rsid w:val="00345DA9"/>
    <w:rsid w:val="00346116"/>
    <w:rsid w:val="00346821"/>
    <w:rsid w:val="00346B30"/>
    <w:rsid w:val="00346FCD"/>
    <w:rsid w:val="00347B82"/>
    <w:rsid w:val="00347BA1"/>
    <w:rsid w:val="0035023A"/>
    <w:rsid w:val="003513C7"/>
    <w:rsid w:val="003515BA"/>
    <w:rsid w:val="00352408"/>
    <w:rsid w:val="00352595"/>
    <w:rsid w:val="00353C8F"/>
    <w:rsid w:val="00354F55"/>
    <w:rsid w:val="00355736"/>
    <w:rsid w:val="003579D9"/>
    <w:rsid w:val="00360635"/>
    <w:rsid w:val="00360872"/>
    <w:rsid w:val="00362B30"/>
    <w:rsid w:val="00362F56"/>
    <w:rsid w:val="00363352"/>
    <w:rsid w:val="003638B7"/>
    <w:rsid w:val="003638E1"/>
    <w:rsid w:val="00363B97"/>
    <w:rsid w:val="00364C4C"/>
    <w:rsid w:val="00364FE1"/>
    <w:rsid w:val="00365012"/>
    <w:rsid w:val="00365469"/>
    <w:rsid w:val="00365D73"/>
    <w:rsid w:val="0036646F"/>
    <w:rsid w:val="00366A07"/>
    <w:rsid w:val="00366E43"/>
    <w:rsid w:val="0036703B"/>
    <w:rsid w:val="00367324"/>
    <w:rsid w:val="00367543"/>
    <w:rsid w:val="00367DCB"/>
    <w:rsid w:val="003717E8"/>
    <w:rsid w:val="0037204C"/>
    <w:rsid w:val="00372D2B"/>
    <w:rsid w:val="0037360C"/>
    <w:rsid w:val="003738CE"/>
    <w:rsid w:val="003739B1"/>
    <w:rsid w:val="00373CD5"/>
    <w:rsid w:val="00374270"/>
    <w:rsid w:val="003749D9"/>
    <w:rsid w:val="00374A56"/>
    <w:rsid w:val="003751F1"/>
    <w:rsid w:val="003754FE"/>
    <w:rsid w:val="00376A3E"/>
    <w:rsid w:val="00377108"/>
    <w:rsid w:val="0037736C"/>
    <w:rsid w:val="00380C6C"/>
    <w:rsid w:val="00380D66"/>
    <w:rsid w:val="00380E14"/>
    <w:rsid w:val="00380F3A"/>
    <w:rsid w:val="00381179"/>
    <w:rsid w:val="0038154E"/>
    <w:rsid w:val="00381C93"/>
    <w:rsid w:val="0038213E"/>
    <w:rsid w:val="00382D2A"/>
    <w:rsid w:val="00383253"/>
    <w:rsid w:val="00384613"/>
    <w:rsid w:val="00384E9B"/>
    <w:rsid w:val="00386046"/>
    <w:rsid w:val="003862AF"/>
    <w:rsid w:val="0038714C"/>
    <w:rsid w:val="003873DC"/>
    <w:rsid w:val="00390713"/>
    <w:rsid w:val="00390DC2"/>
    <w:rsid w:val="003913EB"/>
    <w:rsid w:val="00391FB3"/>
    <w:rsid w:val="003920E9"/>
    <w:rsid w:val="00392223"/>
    <w:rsid w:val="00392D5A"/>
    <w:rsid w:val="00392DEA"/>
    <w:rsid w:val="00393640"/>
    <w:rsid w:val="00395C29"/>
    <w:rsid w:val="003977AE"/>
    <w:rsid w:val="00397C8D"/>
    <w:rsid w:val="00397FE7"/>
    <w:rsid w:val="003A017E"/>
    <w:rsid w:val="003A048C"/>
    <w:rsid w:val="003A0EE0"/>
    <w:rsid w:val="003A1260"/>
    <w:rsid w:val="003A1F52"/>
    <w:rsid w:val="003A2818"/>
    <w:rsid w:val="003A381C"/>
    <w:rsid w:val="003A4ACA"/>
    <w:rsid w:val="003A4AE8"/>
    <w:rsid w:val="003A4B23"/>
    <w:rsid w:val="003A5576"/>
    <w:rsid w:val="003A5B4C"/>
    <w:rsid w:val="003A5CA7"/>
    <w:rsid w:val="003A6860"/>
    <w:rsid w:val="003A686E"/>
    <w:rsid w:val="003A6E25"/>
    <w:rsid w:val="003A7054"/>
    <w:rsid w:val="003A744D"/>
    <w:rsid w:val="003A7FD5"/>
    <w:rsid w:val="003B042D"/>
    <w:rsid w:val="003B0871"/>
    <w:rsid w:val="003B0DCB"/>
    <w:rsid w:val="003B2285"/>
    <w:rsid w:val="003B2E7A"/>
    <w:rsid w:val="003B317D"/>
    <w:rsid w:val="003B367F"/>
    <w:rsid w:val="003B422E"/>
    <w:rsid w:val="003B4D22"/>
    <w:rsid w:val="003B5D01"/>
    <w:rsid w:val="003B6CA0"/>
    <w:rsid w:val="003B6FA8"/>
    <w:rsid w:val="003C3307"/>
    <w:rsid w:val="003C3942"/>
    <w:rsid w:val="003C3FB0"/>
    <w:rsid w:val="003C4410"/>
    <w:rsid w:val="003C4663"/>
    <w:rsid w:val="003C49CC"/>
    <w:rsid w:val="003C61B5"/>
    <w:rsid w:val="003C72C1"/>
    <w:rsid w:val="003D00FA"/>
    <w:rsid w:val="003D12A4"/>
    <w:rsid w:val="003D150A"/>
    <w:rsid w:val="003D18A0"/>
    <w:rsid w:val="003D26E2"/>
    <w:rsid w:val="003D30BD"/>
    <w:rsid w:val="003D3F6D"/>
    <w:rsid w:val="003D4B6A"/>
    <w:rsid w:val="003D5677"/>
    <w:rsid w:val="003D666B"/>
    <w:rsid w:val="003D66F3"/>
    <w:rsid w:val="003D7BFD"/>
    <w:rsid w:val="003E0B8F"/>
    <w:rsid w:val="003E12A9"/>
    <w:rsid w:val="003E142A"/>
    <w:rsid w:val="003E1EB6"/>
    <w:rsid w:val="003E22E1"/>
    <w:rsid w:val="003E42F6"/>
    <w:rsid w:val="003E4324"/>
    <w:rsid w:val="003E43C9"/>
    <w:rsid w:val="003E4C1F"/>
    <w:rsid w:val="003E54AC"/>
    <w:rsid w:val="003E554A"/>
    <w:rsid w:val="003E55FA"/>
    <w:rsid w:val="003E657E"/>
    <w:rsid w:val="003E662B"/>
    <w:rsid w:val="003E7556"/>
    <w:rsid w:val="003F0F4A"/>
    <w:rsid w:val="003F1FE8"/>
    <w:rsid w:val="003F2D3B"/>
    <w:rsid w:val="003F2DFF"/>
    <w:rsid w:val="003F2F6F"/>
    <w:rsid w:val="003F3618"/>
    <w:rsid w:val="003F39B7"/>
    <w:rsid w:val="003F3D5D"/>
    <w:rsid w:val="003F4E11"/>
    <w:rsid w:val="003F4EE0"/>
    <w:rsid w:val="003F5027"/>
    <w:rsid w:val="003F5588"/>
    <w:rsid w:val="003F7FF3"/>
    <w:rsid w:val="004001C5"/>
    <w:rsid w:val="00401E3C"/>
    <w:rsid w:val="0040240C"/>
    <w:rsid w:val="0040366B"/>
    <w:rsid w:val="004047B3"/>
    <w:rsid w:val="00405090"/>
    <w:rsid w:val="00405362"/>
    <w:rsid w:val="00405673"/>
    <w:rsid w:val="00405BB5"/>
    <w:rsid w:val="00405E5B"/>
    <w:rsid w:val="00407F39"/>
    <w:rsid w:val="0041056D"/>
    <w:rsid w:val="00410C72"/>
    <w:rsid w:val="00411403"/>
    <w:rsid w:val="00411612"/>
    <w:rsid w:val="004119EF"/>
    <w:rsid w:val="00411AC4"/>
    <w:rsid w:val="0041278D"/>
    <w:rsid w:val="004129CD"/>
    <w:rsid w:val="00412B9F"/>
    <w:rsid w:val="00412D36"/>
    <w:rsid w:val="004138D1"/>
    <w:rsid w:val="00414475"/>
    <w:rsid w:val="00415901"/>
    <w:rsid w:val="00416078"/>
    <w:rsid w:val="004161E1"/>
    <w:rsid w:val="004169D3"/>
    <w:rsid w:val="0041785C"/>
    <w:rsid w:val="00420BF0"/>
    <w:rsid w:val="0042116E"/>
    <w:rsid w:val="00421D82"/>
    <w:rsid w:val="004225D6"/>
    <w:rsid w:val="00422D54"/>
    <w:rsid w:val="00422FEC"/>
    <w:rsid w:val="0042308A"/>
    <w:rsid w:val="004241D0"/>
    <w:rsid w:val="00424A41"/>
    <w:rsid w:val="00424AC8"/>
    <w:rsid w:val="0042777C"/>
    <w:rsid w:val="00427FDE"/>
    <w:rsid w:val="00430835"/>
    <w:rsid w:val="00430889"/>
    <w:rsid w:val="00430C58"/>
    <w:rsid w:val="00431124"/>
    <w:rsid w:val="0043134C"/>
    <w:rsid w:val="004317FB"/>
    <w:rsid w:val="00431A23"/>
    <w:rsid w:val="00431ADF"/>
    <w:rsid w:val="00431CA7"/>
    <w:rsid w:val="004320B3"/>
    <w:rsid w:val="00432570"/>
    <w:rsid w:val="00432813"/>
    <w:rsid w:val="00432E36"/>
    <w:rsid w:val="00433887"/>
    <w:rsid w:val="00434048"/>
    <w:rsid w:val="00434211"/>
    <w:rsid w:val="00434823"/>
    <w:rsid w:val="00435ADF"/>
    <w:rsid w:val="00435FBD"/>
    <w:rsid w:val="004362DB"/>
    <w:rsid w:val="00436B09"/>
    <w:rsid w:val="00441CD6"/>
    <w:rsid w:val="00442CBE"/>
    <w:rsid w:val="00443654"/>
    <w:rsid w:val="0044376B"/>
    <w:rsid w:val="004437C2"/>
    <w:rsid w:val="00443E09"/>
    <w:rsid w:val="00444406"/>
    <w:rsid w:val="00446115"/>
    <w:rsid w:val="00447111"/>
    <w:rsid w:val="0044720B"/>
    <w:rsid w:val="0045051B"/>
    <w:rsid w:val="004506EF"/>
    <w:rsid w:val="00450CBD"/>
    <w:rsid w:val="004539AF"/>
    <w:rsid w:val="00454879"/>
    <w:rsid w:val="0045498D"/>
    <w:rsid w:val="00454AB9"/>
    <w:rsid w:val="00454F12"/>
    <w:rsid w:val="00455547"/>
    <w:rsid w:val="004559BA"/>
    <w:rsid w:val="00455FCB"/>
    <w:rsid w:val="00456E48"/>
    <w:rsid w:val="004572C6"/>
    <w:rsid w:val="00460B25"/>
    <w:rsid w:val="004614C9"/>
    <w:rsid w:val="00461506"/>
    <w:rsid w:val="0046172D"/>
    <w:rsid w:val="0046246A"/>
    <w:rsid w:val="004628DF"/>
    <w:rsid w:val="004628FF"/>
    <w:rsid w:val="00463430"/>
    <w:rsid w:val="004635F5"/>
    <w:rsid w:val="00463769"/>
    <w:rsid w:val="00463BF7"/>
    <w:rsid w:val="00463C52"/>
    <w:rsid w:val="004640DB"/>
    <w:rsid w:val="004656A9"/>
    <w:rsid w:val="00465A1D"/>
    <w:rsid w:val="00465BC1"/>
    <w:rsid w:val="00466F74"/>
    <w:rsid w:val="00467884"/>
    <w:rsid w:val="00467DAB"/>
    <w:rsid w:val="00470849"/>
    <w:rsid w:val="00471DF4"/>
    <w:rsid w:val="00473923"/>
    <w:rsid w:val="004740FE"/>
    <w:rsid w:val="00474AAC"/>
    <w:rsid w:val="00475885"/>
    <w:rsid w:val="0047605A"/>
    <w:rsid w:val="00476083"/>
    <w:rsid w:val="00476EDC"/>
    <w:rsid w:val="00477D3F"/>
    <w:rsid w:val="00481FB4"/>
    <w:rsid w:val="0048294E"/>
    <w:rsid w:val="00482F7F"/>
    <w:rsid w:val="00484149"/>
    <w:rsid w:val="00485023"/>
    <w:rsid w:val="004855E5"/>
    <w:rsid w:val="00485B79"/>
    <w:rsid w:val="00486024"/>
    <w:rsid w:val="0048606B"/>
    <w:rsid w:val="004867CE"/>
    <w:rsid w:val="00486A89"/>
    <w:rsid w:val="00486CDB"/>
    <w:rsid w:val="00487A1E"/>
    <w:rsid w:val="00487FAD"/>
    <w:rsid w:val="0049075B"/>
    <w:rsid w:val="004911B2"/>
    <w:rsid w:val="0049221D"/>
    <w:rsid w:val="0049234F"/>
    <w:rsid w:val="00492D4D"/>
    <w:rsid w:val="0049301A"/>
    <w:rsid w:val="00493403"/>
    <w:rsid w:val="004938FB"/>
    <w:rsid w:val="00493CBD"/>
    <w:rsid w:val="0049467D"/>
    <w:rsid w:val="00494B84"/>
    <w:rsid w:val="00494E02"/>
    <w:rsid w:val="004A11FC"/>
    <w:rsid w:val="004A1AE3"/>
    <w:rsid w:val="004A3000"/>
    <w:rsid w:val="004A3190"/>
    <w:rsid w:val="004A36A0"/>
    <w:rsid w:val="004A3F09"/>
    <w:rsid w:val="004A4084"/>
    <w:rsid w:val="004A5200"/>
    <w:rsid w:val="004A5275"/>
    <w:rsid w:val="004A578D"/>
    <w:rsid w:val="004A738A"/>
    <w:rsid w:val="004A7396"/>
    <w:rsid w:val="004A7B00"/>
    <w:rsid w:val="004B07FD"/>
    <w:rsid w:val="004B0BFD"/>
    <w:rsid w:val="004B2358"/>
    <w:rsid w:val="004B47E0"/>
    <w:rsid w:val="004B4C75"/>
    <w:rsid w:val="004B4D3E"/>
    <w:rsid w:val="004B5931"/>
    <w:rsid w:val="004B5ACC"/>
    <w:rsid w:val="004B5EF0"/>
    <w:rsid w:val="004B64CF"/>
    <w:rsid w:val="004B6743"/>
    <w:rsid w:val="004B6F7D"/>
    <w:rsid w:val="004B75CC"/>
    <w:rsid w:val="004B7BD3"/>
    <w:rsid w:val="004C07BE"/>
    <w:rsid w:val="004C087C"/>
    <w:rsid w:val="004C0D14"/>
    <w:rsid w:val="004C49B7"/>
    <w:rsid w:val="004C4EC5"/>
    <w:rsid w:val="004C5076"/>
    <w:rsid w:val="004C5482"/>
    <w:rsid w:val="004C6060"/>
    <w:rsid w:val="004C6357"/>
    <w:rsid w:val="004C64E0"/>
    <w:rsid w:val="004C7123"/>
    <w:rsid w:val="004C7E39"/>
    <w:rsid w:val="004D0670"/>
    <w:rsid w:val="004D1A9E"/>
    <w:rsid w:val="004D1AD3"/>
    <w:rsid w:val="004D45C5"/>
    <w:rsid w:val="004D5AF6"/>
    <w:rsid w:val="004D5B51"/>
    <w:rsid w:val="004D61E8"/>
    <w:rsid w:val="004D644C"/>
    <w:rsid w:val="004D660D"/>
    <w:rsid w:val="004D6624"/>
    <w:rsid w:val="004D699D"/>
    <w:rsid w:val="004D6ACC"/>
    <w:rsid w:val="004D6E54"/>
    <w:rsid w:val="004D7ABF"/>
    <w:rsid w:val="004E004B"/>
    <w:rsid w:val="004E11C2"/>
    <w:rsid w:val="004E1FAD"/>
    <w:rsid w:val="004E40FD"/>
    <w:rsid w:val="004E4ABA"/>
    <w:rsid w:val="004E4DC3"/>
    <w:rsid w:val="004E5668"/>
    <w:rsid w:val="004E5D53"/>
    <w:rsid w:val="004E6102"/>
    <w:rsid w:val="004E6D4D"/>
    <w:rsid w:val="004E78E9"/>
    <w:rsid w:val="004E79D2"/>
    <w:rsid w:val="004F0044"/>
    <w:rsid w:val="004F0823"/>
    <w:rsid w:val="004F1015"/>
    <w:rsid w:val="004F2CB1"/>
    <w:rsid w:val="004F3A9A"/>
    <w:rsid w:val="004F3F24"/>
    <w:rsid w:val="004F435D"/>
    <w:rsid w:val="004F4AEB"/>
    <w:rsid w:val="004F5A45"/>
    <w:rsid w:val="004F5B65"/>
    <w:rsid w:val="004F65AC"/>
    <w:rsid w:val="004F681D"/>
    <w:rsid w:val="004F6EA7"/>
    <w:rsid w:val="004F7487"/>
    <w:rsid w:val="004F7C96"/>
    <w:rsid w:val="005008ED"/>
    <w:rsid w:val="00501053"/>
    <w:rsid w:val="005013F8"/>
    <w:rsid w:val="005027A6"/>
    <w:rsid w:val="00503339"/>
    <w:rsid w:val="00503693"/>
    <w:rsid w:val="00504365"/>
    <w:rsid w:val="00505146"/>
    <w:rsid w:val="00505198"/>
    <w:rsid w:val="005051EE"/>
    <w:rsid w:val="0050562A"/>
    <w:rsid w:val="00505B2B"/>
    <w:rsid w:val="005078AF"/>
    <w:rsid w:val="00511772"/>
    <w:rsid w:val="005122BF"/>
    <w:rsid w:val="00514770"/>
    <w:rsid w:val="00514F87"/>
    <w:rsid w:val="005156CF"/>
    <w:rsid w:val="00515995"/>
    <w:rsid w:val="005161EE"/>
    <w:rsid w:val="00517315"/>
    <w:rsid w:val="005204B7"/>
    <w:rsid w:val="00520CEC"/>
    <w:rsid w:val="0052212B"/>
    <w:rsid w:val="005224DE"/>
    <w:rsid w:val="00523147"/>
    <w:rsid w:val="00523D6A"/>
    <w:rsid w:val="005250C0"/>
    <w:rsid w:val="00525237"/>
    <w:rsid w:val="005258E4"/>
    <w:rsid w:val="005300A8"/>
    <w:rsid w:val="005304D5"/>
    <w:rsid w:val="0053140A"/>
    <w:rsid w:val="005327CF"/>
    <w:rsid w:val="00532D61"/>
    <w:rsid w:val="00533A6B"/>
    <w:rsid w:val="00533CC8"/>
    <w:rsid w:val="00533E9A"/>
    <w:rsid w:val="00534268"/>
    <w:rsid w:val="00535B86"/>
    <w:rsid w:val="0053641B"/>
    <w:rsid w:val="005364D2"/>
    <w:rsid w:val="00536731"/>
    <w:rsid w:val="00536958"/>
    <w:rsid w:val="00537ECC"/>
    <w:rsid w:val="00537EFE"/>
    <w:rsid w:val="0054051A"/>
    <w:rsid w:val="0054122A"/>
    <w:rsid w:val="00542E9B"/>
    <w:rsid w:val="00543259"/>
    <w:rsid w:val="00543648"/>
    <w:rsid w:val="00544E08"/>
    <w:rsid w:val="00546F41"/>
    <w:rsid w:val="00547CBE"/>
    <w:rsid w:val="005506A7"/>
    <w:rsid w:val="00551913"/>
    <w:rsid w:val="005531F2"/>
    <w:rsid w:val="00553562"/>
    <w:rsid w:val="00554046"/>
    <w:rsid w:val="005540A1"/>
    <w:rsid w:val="005544C0"/>
    <w:rsid w:val="005548D9"/>
    <w:rsid w:val="005549ED"/>
    <w:rsid w:val="00556653"/>
    <w:rsid w:val="005568CF"/>
    <w:rsid w:val="005573AB"/>
    <w:rsid w:val="0055740A"/>
    <w:rsid w:val="00560B8C"/>
    <w:rsid w:val="00560FFE"/>
    <w:rsid w:val="005616E8"/>
    <w:rsid w:val="00561CC4"/>
    <w:rsid w:val="00562749"/>
    <w:rsid w:val="00562F59"/>
    <w:rsid w:val="00563AA3"/>
    <w:rsid w:val="00563EFC"/>
    <w:rsid w:val="00563F3B"/>
    <w:rsid w:val="00564B1A"/>
    <w:rsid w:val="00564C3B"/>
    <w:rsid w:val="00566D08"/>
    <w:rsid w:val="00566E0C"/>
    <w:rsid w:val="00567752"/>
    <w:rsid w:val="00567BEE"/>
    <w:rsid w:val="005700EC"/>
    <w:rsid w:val="005705C6"/>
    <w:rsid w:val="00570CC8"/>
    <w:rsid w:val="0057150A"/>
    <w:rsid w:val="00571C5C"/>
    <w:rsid w:val="00572382"/>
    <w:rsid w:val="00572A59"/>
    <w:rsid w:val="0057335F"/>
    <w:rsid w:val="005756BB"/>
    <w:rsid w:val="00576241"/>
    <w:rsid w:val="00581DBE"/>
    <w:rsid w:val="005829AE"/>
    <w:rsid w:val="005839DD"/>
    <w:rsid w:val="005843AC"/>
    <w:rsid w:val="00585668"/>
    <w:rsid w:val="005857EC"/>
    <w:rsid w:val="0058642C"/>
    <w:rsid w:val="00586AE8"/>
    <w:rsid w:val="00590253"/>
    <w:rsid w:val="005925B8"/>
    <w:rsid w:val="00594DC2"/>
    <w:rsid w:val="00595FB9"/>
    <w:rsid w:val="00596A6D"/>
    <w:rsid w:val="00596C3C"/>
    <w:rsid w:val="005978AE"/>
    <w:rsid w:val="00597C00"/>
    <w:rsid w:val="005A04B4"/>
    <w:rsid w:val="005A05B3"/>
    <w:rsid w:val="005A0B65"/>
    <w:rsid w:val="005A1C6B"/>
    <w:rsid w:val="005A288C"/>
    <w:rsid w:val="005A3D1F"/>
    <w:rsid w:val="005A452B"/>
    <w:rsid w:val="005A6521"/>
    <w:rsid w:val="005A78B2"/>
    <w:rsid w:val="005B03A7"/>
    <w:rsid w:val="005B0D98"/>
    <w:rsid w:val="005B171E"/>
    <w:rsid w:val="005B1FBB"/>
    <w:rsid w:val="005B2402"/>
    <w:rsid w:val="005B27FB"/>
    <w:rsid w:val="005B354E"/>
    <w:rsid w:val="005B3D31"/>
    <w:rsid w:val="005B407C"/>
    <w:rsid w:val="005B5553"/>
    <w:rsid w:val="005B59AF"/>
    <w:rsid w:val="005B7A93"/>
    <w:rsid w:val="005C2C6D"/>
    <w:rsid w:val="005C2DA6"/>
    <w:rsid w:val="005C322A"/>
    <w:rsid w:val="005C3437"/>
    <w:rsid w:val="005C6078"/>
    <w:rsid w:val="005C6125"/>
    <w:rsid w:val="005C683D"/>
    <w:rsid w:val="005C7209"/>
    <w:rsid w:val="005C7385"/>
    <w:rsid w:val="005C77FF"/>
    <w:rsid w:val="005D11AB"/>
    <w:rsid w:val="005D12C2"/>
    <w:rsid w:val="005D146C"/>
    <w:rsid w:val="005D191C"/>
    <w:rsid w:val="005D2507"/>
    <w:rsid w:val="005D3535"/>
    <w:rsid w:val="005D369E"/>
    <w:rsid w:val="005D3C9F"/>
    <w:rsid w:val="005D3EEB"/>
    <w:rsid w:val="005D4971"/>
    <w:rsid w:val="005D4E9E"/>
    <w:rsid w:val="005D51BE"/>
    <w:rsid w:val="005D5644"/>
    <w:rsid w:val="005D5841"/>
    <w:rsid w:val="005D7555"/>
    <w:rsid w:val="005E0495"/>
    <w:rsid w:val="005E1EBF"/>
    <w:rsid w:val="005E2005"/>
    <w:rsid w:val="005E2930"/>
    <w:rsid w:val="005E3078"/>
    <w:rsid w:val="005E3EE0"/>
    <w:rsid w:val="005E40E4"/>
    <w:rsid w:val="005E40E7"/>
    <w:rsid w:val="005E4128"/>
    <w:rsid w:val="005E425E"/>
    <w:rsid w:val="005E4777"/>
    <w:rsid w:val="005E4913"/>
    <w:rsid w:val="005E5694"/>
    <w:rsid w:val="005E6833"/>
    <w:rsid w:val="005E6CA0"/>
    <w:rsid w:val="005E7A5E"/>
    <w:rsid w:val="005E7D62"/>
    <w:rsid w:val="005F0D13"/>
    <w:rsid w:val="005F173B"/>
    <w:rsid w:val="005F27D4"/>
    <w:rsid w:val="005F314F"/>
    <w:rsid w:val="005F4AB0"/>
    <w:rsid w:val="005F522B"/>
    <w:rsid w:val="005F5E33"/>
    <w:rsid w:val="0060143E"/>
    <w:rsid w:val="00601882"/>
    <w:rsid w:val="00601F76"/>
    <w:rsid w:val="006025CE"/>
    <w:rsid w:val="00602A71"/>
    <w:rsid w:val="0060391D"/>
    <w:rsid w:val="00603B7C"/>
    <w:rsid w:val="00603E0D"/>
    <w:rsid w:val="0060480A"/>
    <w:rsid w:val="0060480D"/>
    <w:rsid w:val="0060490B"/>
    <w:rsid w:val="00604D9C"/>
    <w:rsid w:val="0060540F"/>
    <w:rsid w:val="006059D2"/>
    <w:rsid w:val="00605BF9"/>
    <w:rsid w:val="00606CEF"/>
    <w:rsid w:val="00607502"/>
    <w:rsid w:val="0061117B"/>
    <w:rsid w:val="00612F4A"/>
    <w:rsid w:val="00613B4B"/>
    <w:rsid w:val="00613DB0"/>
    <w:rsid w:val="00614C08"/>
    <w:rsid w:val="00615686"/>
    <w:rsid w:val="00615D19"/>
    <w:rsid w:val="0061697B"/>
    <w:rsid w:val="00617019"/>
    <w:rsid w:val="006172F1"/>
    <w:rsid w:val="00617C34"/>
    <w:rsid w:val="00617F6E"/>
    <w:rsid w:val="0062004F"/>
    <w:rsid w:val="006201DE"/>
    <w:rsid w:val="0062036C"/>
    <w:rsid w:val="006203DF"/>
    <w:rsid w:val="00621C3B"/>
    <w:rsid w:val="00622A2E"/>
    <w:rsid w:val="00623348"/>
    <w:rsid w:val="0062348C"/>
    <w:rsid w:val="006235D0"/>
    <w:rsid w:val="00623660"/>
    <w:rsid w:val="00623BCA"/>
    <w:rsid w:val="00623E34"/>
    <w:rsid w:val="006243F5"/>
    <w:rsid w:val="0062612C"/>
    <w:rsid w:val="0062615D"/>
    <w:rsid w:val="0062657E"/>
    <w:rsid w:val="0062679C"/>
    <w:rsid w:val="006274BD"/>
    <w:rsid w:val="00627EF2"/>
    <w:rsid w:val="00630057"/>
    <w:rsid w:val="00630F90"/>
    <w:rsid w:val="006326B4"/>
    <w:rsid w:val="006326FE"/>
    <w:rsid w:val="00633809"/>
    <w:rsid w:val="0063480A"/>
    <w:rsid w:val="006356D0"/>
    <w:rsid w:val="00635CB3"/>
    <w:rsid w:val="00635F6F"/>
    <w:rsid w:val="0063619C"/>
    <w:rsid w:val="006363C2"/>
    <w:rsid w:val="006363DB"/>
    <w:rsid w:val="00636A6A"/>
    <w:rsid w:val="00637EE5"/>
    <w:rsid w:val="006400E9"/>
    <w:rsid w:val="006405D8"/>
    <w:rsid w:val="00640B54"/>
    <w:rsid w:val="00640FF1"/>
    <w:rsid w:val="0064127B"/>
    <w:rsid w:val="00641370"/>
    <w:rsid w:val="00642209"/>
    <w:rsid w:val="00642464"/>
    <w:rsid w:val="00642CDD"/>
    <w:rsid w:val="00643BF8"/>
    <w:rsid w:val="0064407C"/>
    <w:rsid w:val="0064489C"/>
    <w:rsid w:val="00644DAB"/>
    <w:rsid w:val="00645EA3"/>
    <w:rsid w:val="006461F3"/>
    <w:rsid w:val="00646C87"/>
    <w:rsid w:val="00646F30"/>
    <w:rsid w:val="006474B8"/>
    <w:rsid w:val="006479CB"/>
    <w:rsid w:val="00650426"/>
    <w:rsid w:val="0065091A"/>
    <w:rsid w:val="0065170E"/>
    <w:rsid w:val="00651908"/>
    <w:rsid w:val="00652633"/>
    <w:rsid w:val="00654921"/>
    <w:rsid w:val="006551C6"/>
    <w:rsid w:val="00655F10"/>
    <w:rsid w:val="00656644"/>
    <w:rsid w:val="00656791"/>
    <w:rsid w:val="006567F5"/>
    <w:rsid w:val="0065688F"/>
    <w:rsid w:val="0065766C"/>
    <w:rsid w:val="00657FA3"/>
    <w:rsid w:val="00660190"/>
    <w:rsid w:val="00660908"/>
    <w:rsid w:val="00660A6D"/>
    <w:rsid w:val="00660F93"/>
    <w:rsid w:val="0066114E"/>
    <w:rsid w:val="006614EE"/>
    <w:rsid w:val="006616A0"/>
    <w:rsid w:val="00661D30"/>
    <w:rsid w:val="00663BAA"/>
    <w:rsid w:val="006641E5"/>
    <w:rsid w:val="006705F3"/>
    <w:rsid w:val="006709AB"/>
    <w:rsid w:val="00672497"/>
    <w:rsid w:val="0067279C"/>
    <w:rsid w:val="0067351E"/>
    <w:rsid w:val="00673BA1"/>
    <w:rsid w:val="0067489A"/>
    <w:rsid w:val="006749E3"/>
    <w:rsid w:val="006755F2"/>
    <w:rsid w:val="00675FEC"/>
    <w:rsid w:val="006767B7"/>
    <w:rsid w:val="00676D98"/>
    <w:rsid w:val="006775A4"/>
    <w:rsid w:val="0068163F"/>
    <w:rsid w:val="00681C79"/>
    <w:rsid w:val="00681E16"/>
    <w:rsid w:val="006820CB"/>
    <w:rsid w:val="006825F4"/>
    <w:rsid w:val="00683A98"/>
    <w:rsid w:val="00684B28"/>
    <w:rsid w:val="00684BB2"/>
    <w:rsid w:val="006851B9"/>
    <w:rsid w:val="00685D18"/>
    <w:rsid w:val="00685D7D"/>
    <w:rsid w:val="0068606F"/>
    <w:rsid w:val="006866A2"/>
    <w:rsid w:val="00686A2B"/>
    <w:rsid w:val="00687118"/>
    <w:rsid w:val="0068735F"/>
    <w:rsid w:val="0069117B"/>
    <w:rsid w:val="006912A6"/>
    <w:rsid w:val="00691601"/>
    <w:rsid w:val="006928B2"/>
    <w:rsid w:val="00693569"/>
    <w:rsid w:val="006945DF"/>
    <w:rsid w:val="0069487D"/>
    <w:rsid w:val="00694EB3"/>
    <w:rsid w:val="00695065"/>
    <w:rsid w:val="006953E7"/>
    <w:rsid w:val="00695856"/>
    <w:rsid w:val="00695E5B"/>
    <w:rsid w:val="00696402"/>
    <w:rsid w:val="00696D4D"/>
    <w:rsid w:val="006A0073"/>
    <w:rsid w:val="006A068A"/>
    <w:rsid w:val="006A176B"/>
    <w:rsid w:val="006A210F"/>
    <w:rsid w:val="006A2769"/>
    <w:rsid w:val="006A2B33"/>
    <w:rsid w:val="006A3E13"/>
    <w:rsid w:val="006A4287"/>
    <w:rsid w:val="006A55EB"/>
    <w:rsid w:val="006A567A"/>
    <w:rsid w:val="006A6AAB"/>
    <w:rsid w:val="006A6BE2"/>
    <w:rsid w:val="006A6E06"/>
    <w:rsid w:val="006A76B1"/>
    <w:rsid w:val="006B0177"/>
    <w:rsid w:val="006B0344"/>
    <w:rsid w:val="006B03F7"/>
    <w:rsid w:val="006B04C2"/>
    <w:rsid w:val="006B0583"/>
    <w:rsid w:val="006B09D8"/>
    <w:rsid w:val="006B1170"/>
    <w:rsid w:val="006B1730"/>
    <w:rsid w:val="006B1C18"/>
    <w:rsid w:val="006B27D4"/>
    <w:rsid w:val="006B3A08"/>
    <w:rsid w:val="006B3B8D"/>
    <w:rsid w:val="006B5158"/>
    <w:rsid w:val="006B5544"/>
    <w:rsid w:val="006B5DCE"/>
    <w:rsid w:val="006B606F"/>
    <w:rsid w:val="006B613B"/>
    <w:rsid w:val="006B7AC6"/>
    <w:rsid w:val="006C04EC"/>
    <w:rsid w:val="006C0D39"/>
    <w:rsid w:val="006C1023"/>
    <w:rsid w:val="006C112C"/>
    <w:rsid w:val="006C1313"/>
    <w:rsid w:val="006C151F"/>
    <w:rsid w:val="006C1AD3"/>
    <w:rsid w:val="006C3846"/>
    <w:rsid w:val="006C3EB9"/>
    <w:rsid w:val="006C3EE0"/>
    <w:rsid w:val="006C4B9E"/>
    <w:rsid w:val="006C4CDA"/>
    <w:rsid w:val="006C5BB8"/>
    <w:rsid w:val="006C5E2B"/>
    <w:rsid w:val="006C5E3D"/>
    <w:rsid w:val="006C5EDD"/>
    <w:rsid w:val="006C684F"/>
    <w:rsid w:val="006C6934"/>
    <w:rsid w:val="006C6FF2"/>
    <w:rsid w:val="006C7F66"/>
    <w:rsid w:val="006D0260"/>
    <w:rsid w:val="006D049B"/>
    <w:rsid w:val="006D05F6"/>
    <w:rsid w:val="006D07FE"/>
    <w:rsid w:val="006D17FD"/>
    <w:rsid w:val="006D2EDD"/>
    <w:rsid w:val="006D3600"/>
    <w:rsid w:val="006D445C"/>
    <w:rsid w:val="006D4AEC"/>
    <w:rsid w:val="006D4CB8"/>
    <w:rsid w:val="006D54A6"/>
    <w:rsid w:val="006D6121"/>
    <w:rsid w:val="006D7227"/>
    <w:rsid w:val="006D76C7"/>
    <w:rsid w:val="006E09FE"/>
    <w:rsid w:val="006E1194"/>
    <w:rsid w:val="006E1366"/>
    <w:rsid w:val="006E18E8"/>
    <w:rsid w:val="006E1B5A"/>
    <w:rsid w:val="006E3200"/>
    <w:rsid w:val="006E3294"/>
    <w:rsid w:val="006E33AC"/>
    <w:rsid w:val="006E3527"/>
    <w:rsid w:val="006E36BB"/>
    <w:rsid w:val="006E4246"/>
    <w:rsid w:val="006E510B"/>
    <w:rsid w:val="006E5FDF"/>
    <w:rsid w:val="006E6591"/>
    <w:rsid w:val="006E696C"/>
    <w:rsid w:val="006E704A"/>
    <w:rsid w:val="006E7158"/>
    <w:rsid w:val="006F071E"/>
    <w:rsid w:val="006F33AD"/>
    <w:rsid w:val="006F3E62"/>
    <w:rsid w:val="006F4B47"/>
    <w:rsid w:val="006F4DCC"/>
    <w:rsid w:val="006F5330"/>
    <w:rsid w:val="006F5E6A"/>
    <w:rsid w:val="006F5ED8"/>
    <w:rsid w:val="006F656C"/>
    <w:rsid w:val="006F6CE7"/>
    <w:rsid w:val="006F703D"/>
    <w:rsid w:val="00702895"/>
    <w:rsid w:val="00702B23"/>
    <w:rsid w:val="00704C05"/>
    <w:rsid w:val="007058AC"/>
    <w:rsid w:val="00706B16"/>
    <w:rsid w:val="00706FCF"/>
    <w:rsid w:val="00707455"/>
    <w:rsid w:val="007075AB"/>
    <w:rsid w:val="0070784A"/>
    <w:rsid w:val="007078D0"/>
    <w:rsid w:val="00707938"/>
    <w:rsid w:val="00710DCE"/>
    <w:rsid w:val="00710EBD"/>
    <w:rsid w:val="00711124"/>
    <w:rsid w:val="00712AEC"/>
    <w:rsid w:val="00713D83"/>
    <w:rsid w:val="00713F17"/>
    <w:rsid w:val="007144D4"/>
    <w:rsid w:val="00715684"/>
    <w:rsid w:val="00716386"/>
    <w:rsid w:val="00716CC8"/>
    <w:rsid w:val="007172A4"/>
    <w:rsid w:val="007217B4"/>
    <w:rsid w:val="00721965"/>
    <w:rsid w:val="00721A31"/>
    <w:rsid w:val="00721CE1"/>
    <w:rsid w:val="00721E7A"/>
    <w:rsid w:val="007221B2"/>
    <w:rsid w:val="0072246B"/>
    <w:rsid w:val="00722502"/>
    <w:rsid w:val="007245C5"/>
    <w:rsid w:val="00724731"/>
    <w:rsid w:val="0072496B"/>
    <w:rsid w:val="007252CD"/>
    <w:rsid w:val="007252F3"/>
    <w:rsid w:val="00725B48"/>
    <w:rsid w:val="00725E30"/>
    <w:rsid w:val="00726A0E"/>
    <w:rsid w:val="00726A2C"/>
    <w:rsid w:val="007271F7"/>
    <w:rsid w:val="00727B94"/>
    <w:rsid w:val="00730355"/>
    <w:rsid w:val="0073051D"/>
    <w:rsid w:val="007306AE"/>
    <w:rsid w:val="00731394"/>
    <w:rsid w:val="00731FAE"/>
    <w:rsid w:val="0073206D"/>
    <w:rsid w:val="007330DD"/>
    <w:rsid w:val="00733D96"/>
    <w:rsid w:val="007341AD"/>
    <w:rsid w:val="0073498F"/>
    <w:rsid w:val="00735313"/>
    <w:rsid w:val="007360FA"/>
    <w:rsid w:val="007361FF"/>
    <w:rsid w:val="0073710E"/>
    <w:rsid w:val="007378F3"/>
    <w:rsid w:val="00737950"/>
    <w:rsid w:val="00737DDE"/>
    <w:rsid w:val="0074139C"/>
    <w:rsid w:val="007422B3"/>
    <w:rsid w:val="00742E77"/>
    <w:rsid w:val="00743278"/>
    <w:rsid w:val="007432B1"/>
    <w:rsid w:val="007433F0"/>
    <w:rsid w:val="007447E6"/>
    <w:rsid w:val="007449BA"/>
    <w:rsid w:val="007454E6"/>
    <w:rsid w:val="007456B0"/>
    <w:rsid w:val="00745806"/>
    <w:rsid w:val="007459AF"/>
    <w:rsid w:val="0074688B"/>
    <w:rsid w:val="00746E83"/>
    <w:rsid w:val="00747D26"/>
    <w:rsid w:val="0075084C"/>
    <w:rsid w:val="0075107D"/>
    <w:rsid w:val="0075253E"/>
    <w:rsid w:val="007534ED"/>
    <w:rsid w:val="0075360F"/>
    <w:rsid w:val="00753FE4"/>
    <w:rsid w:val="00754423"/>
    <w:rsid w:val="00754CB1"/>
    <w:rsid w:val="0075523F"/>
    <w:rsid w:val="007559D9"/>
    <w:rsid w:val="00756630"/>
    <w:rsid w:val="00757270"/>
    <w:rsid w:val="00761295"/>
    <w:rsid w:val="0076135C"/>
    <w:rsid w:val="00761A1D"/>
    <w:rsid w:val="00761C65"/>
    <w:rsid w:val="00761F30"/>
    <w:rsid w:val="00762514"/>
    <w:rsid w:val="007626E4"/>
    <w:rsid w:val="007628D7"/>
    <w:rsid w:val="0076334A"/>
    <w:rsid w:val="007640EC"/>
    <w:rsid w:val="00764C34"/>
    <w:rsid w:val="00765280"/>
    <w:rsid w:val="00765591"/>
    <w:rsid w:val="007657A3"/>
    <w:rsid w:val="007658B8"/>
    <w:rsid w:val="007705FF"/>
    <w:rsid w:val="00770836"/>
    <w:rsid w:val="0077121F"/>
    <w:rsid w:val="007715FC"/>
    <w:rsid w:val="007716C0"/>
    <w:rsid w:val="00771941"/>
    <w:rsid w:val="00773166"/>
    <w:rsid w:val="007737DB"/>
    <w:rsid w:val="00773ECE"/>
    <w:rsid w:val="00774648"/>
    <w:rsid w:val="007769B7"/>
    <w:rsid w:val="00776FAB"/>
    <w:rsid w:val="00777D3A"/>
    <w:rsid w:val="00780E21"/>
    <w:rsid w:val="0078143F"/>
    <w:rsid w:val="007814F9"/>
    <w:rsid w:val="00781C98"/>
    <w:rsid w:val="00781D58"/>
    <w:rsid w:val="00781EDC"/>
    <w:rsid w:val="0078237B"/>
    <w:rsid w:val="007826D5"/>
    <w:rsid w:val="00782CDE"/>
    <w:rsid w:val="0078398E"/>
    <w:rsid w:val="00783CC5"/>
    <w:rsid w:val="007841C1"/>
    <w:rsid w:val="00785BE5"/>
    <w:rsid w:val="007863B6"/>
    <w:rsid w:val="0078659C"/>
    <w:rsid w:val="00786A15"/>
    <w:rsid w:val="00786DA3"/>
    <w:rsid w:val="00787251"/>
    <w:rsid w:val="007904A6"/>
    <w:rsid w:val="00790BFB"/>
    <w:rsid w:val="00790E78"/>
    <w:rsid w:val="00792CF4"/>
    <w:rsid w:val="00792D63"/>
    <w:rsid w:val="00792DDF"/>
    <w:rsid w:val="007937FF"/>
    <w:rsid w:val="00794875"/>
    <w:rsid w:val="007955CF"/>
    <w:rsid w:val="007958EF"/>
    <w:rsid w:val="00795A06"/>
    <w:rsid w:val="007964E7"/>
    <w:rsid w:val="007972C5"/>
    <w:rsid w:val="0079751C"/>
    <w:rsid w:val="00797B58"/>
    <w:rsid w:val="007A07AE"/>
    <w:rsid w:val="007A2AB1"/>
    <w:rsid w:val="007A3A90"/>
    <w:rsid w:val="007A5A1A"/>
    <w:rsid w:val="007B024A"/>
    <w:rsid w:val="007B0612"/>
    <w:rsid w:val="007B090A"/>
    <w:rsid w:val="007B1E67"/>
    <w:rsid w:val="007B24D3"/>
    <w:rsid w:val="007B30C6"/>
    <w:rsid w:val="007B472A"/>
    <w:rsid w:val="007B4CEA"/>
    <w:rsid w:val="007B5780"/>
    <w:rsid w:val="007B68DE"/>
    <w:rsid w:val="007B6A1C"/>
    <w:rsid w:val="007B6C6F"/>
    <w:rsid w:val="007C02EB"/>
    <w:rsid w:val="007C09BF"/>
    <w:rsid w:val="007C0CEF"/>
    <w:rsid w:val="007C45DA"/>
    <w:rsid w:val="007C5836"/>
    <w:rsid w:val="007C6277"/>
    <w:rsid w:val="007C6348"/>
    <w:rsid w:val="007C6817"/>
    <w:rsid w:val="007C6CCA"/>
    <w:rsid w:val="007C6E09"/>
    <w:rsid w:val="007C723B"/>
    <w:rsid w:val="007C72C4"/>
    <w:rsid w:val="007D0FB3"/>
    <w:rsid w:val="007D1392"/>
    <w:rsid w:val="007D18A5"/>
    <w:rsid w:val="007D1A31"/>
    <w:rsid w:val="007D1CB2"/>
    <w:rsid w:val="007D1CDD"/>
    <w:rsid w:val="007D2129"/>
    <w:rsid w:val="007D3749"/>
    <w:rsid w:val="007D4169"/>
    <w:rsid w:val="007D44DD"/>
    <w:rsid w:val="007D75F0"/>
    <w:rsid w:val="007E1DE8"/>
    <w:rsid w:val="007E29E1"/>
    <w:rsid w:val="007E2DD5"/>
    <w:rsid w:val="007E3014"/>
    <w:rsid w:val="007E5226"/>
    <w:rsid w:val="007E5694"/>
    <w:rsid w:val="007E6148"/>
    <w:rsid w:val="007E64FB"/>
    <w:rsid w:val="007E6B83"/>
    <w:rsid w:val="007F0AF4"/>
    <w:rsid w:val="007F161F"/>
    <w:rsid w:val="007F1814"/>
    <w:rsid w:val="007F2332"/>
    <w:rsid w:val="007F3528"/>
    <w:rsid w:val="007F393A"/>
    <w:rsid w:val="007F3B09"/>
    <w:rsid w:val="007F3DED"/>
    <w:rsid w:val="007F4550"/>
    <w:rsid w:val="007F4AA6"/>
    <w:rsid w:val="007F4D09"/>
    <w:rsid w:val="007F4EF9"/>
    <w:rsid w:val="007F6004"/>
    <w:rsid w:val="007F63A6"/>
    <w:rsid w:val="007F641A"/>
    <w:rsid w:val="007F6633"/>
    <w:rsid w:val="007F712A"/>
    <w:rsid w:val="00800111"/>
    <w:rsid w:val="00800BEB"/>
    <w:rsid w:val="00801CDE"/>
    <w:rsid w:val="00802B07"/>
    <w:rsid w:val="00802E7A"/>
    <w:rsid w:val="00803897"/>
    <w:rsid w:val="0080545A"/>
    <w:rsid w:val="008066CA"/>
    <w:rsid w:val="00806770"/>
    <w:rsid w:val="0080688C"/>
    <w:rsid w:val="00807224"/>
    <w:rsid w:val="008076BD"/>
    <w:rsid w:val="00807908"/>
    <w:rsid w:val="0080799C"/>
    <w:rsid w:val="00813139"/>
    <w:rsid w:val="008131FE"/>
    <w:rsid w:val="008133B9"/>
    <w:rsid w:val="00813D4E"/>
    <w:rsid w:val="00814684"/>
    <w:rsid w:val="0081513C"/>
    <w:rsid w:val="008156EE"/>
    <w:rsid w:val="008157A4"/>
    <w:rsid w:val="00815F69"/>
    <w:rsid w:val="00816215"/>
    <w:rsid w:val="008172E6"/>
    <w:rsid w:val="00817D48"/>
    <w:rsid w:val="008203F8"/>
    <w:rsid w:val="0082152D"/>
    <w:rsid w:val="00821749"/>
    <w:rsid w:val="00822AD3"/>
    <w:rsid w:val="008232F2"/>
    <w:rsid w:val="00824064"/>
    <w:rsid w:val="0082413D"/>
    <w:rsid w:val="008246BA"/>
    <w:rsid w:val="00824ADA"/>
    <w:rsid w:val="00825511"/>
    <w:rsid w:val="00825F17"/>
    <w:rsid w:val="00826E7A"/>
    <w:rsid w:val="00827DD3"/>
    <w:rsid w:val="0083158D"/>
    <w:rsid w:val="00831A4A"/>
    <w:rsid w:val="00832321"/>
    <w:rsid w:val="00832767"/>
    <w:rsid w:val="00832BE1"/>
    <w:rsid w:val="00833151"/>
    <w:rsid w:val="00833E31"/>
    <w:rsid w:val="0083450E"/>
    <w:rsid w:val="008346BE"/>
    <w:rsid w:val="008359F8"/>
    <w:rsid w:val="00835BB1"/>
    <w:rsid w:val="008364DE"/>
    <w:rsid w:val="008365F8"/>
    <w:rsid w:val="00836754"/>
    <w:rsid w:val="00836A43"/>
    <w:rsid w:val="008401B7"/>
    <w:rsid w:val="008424A0"/>
    <w:rsid w:val="00842A06"/>
    <w:rsid w:val="00842CAD"/>
    <w:rsid w:val="00843EED"/>
    <w:rsid w:val="008452AC"/>
    <w:rsid w:val="008455C4"/>
    <w:rsid w:val="00845B31"/>
    <w:rsid w:val="0084640F"/>
    <w:rsid w:val="00850186"/>
    <w:rsid w:val="008517B2"/>
    <w:rsid w:val="00851C29"/>
    <w:rsid w:val="00851F92"/>
    <w:rsid w:val="0085212E"/>
    <w:rsid w:val="00852144"/>
    <w:rsid w:val="0085251E"/>
    <w:rsid w:val="008548A6"/>
    <w:rsid w:val="00854F70"/>
    <w:rsid w:val="00855241"/>
    <w:rsid w:val="00855FDC"/>
    <w:rsid w:val="0085636F"/>
    <w:rsid w:val="00856C81"/>
    <w:rsid w:val="00856D92"/>
    <w:rsid w:val="008603C7"/>
    <w:rsid w:val="00860A1E"/>
    <w:rsid w:val="00860DC2"/>
    <w:rsid w:val="0086113B"/>
    <w:rsid w:val="00861BB5"/>
    <w:rsid w:val="00863988"/>
    <w:rsid w:val="00863E6C"/>
    <w:rsid w:val="0086449C"/>
    <w:rsid w:val="0086502C"/>
    <w:rsid w:val="00865B7E"/>
    <w:rsid w:val="00865BA2"/>
    <w:rsid w:val="00865F75"/>
    <w:rsid w:val="00866204"/>
    <w:rsid w:val="00866746"/>
    <w:rsid w:val="00866A29"/>
    <w:rsid w:val="008672F8"/>
    <w:rsid w:val="00867D87"/>
    <w:rsid w:val="00870122"/>
    <w:rsid w:val="0087174A"/>
    <w:rsid w:val="0087176A"/>
    <w:rsid w:val="00871DA7"/>
    <w:rsid w:val="00872918"/>
    <w:rsid w:val="00872961"/>
    <w:rsid w:val="008734C5"/>
    <w:rsid w:val="008736EF"/>
    <w:rsid w:val="008758D8"/>
    <w:rsid w:val="008759B0"/>
    <w:rsid w:val="00875B97"/>
    <w:rsid w:val="00875FB3"/>
    <w:rsid w:val="0087646D"/>
    <w:rsid w:val="00876D20"/>
    <w:rsid w:val="00876D69"/>
    <w:rsid w:val="00877D1E"/>
    <w:rsid w:val="00877DCC"/>
    <w:rsid w:val="00880079"/>
    <w:rsid w:val="00880C7A"/>
    <w:rsid w:val="008810DD"/>
    <w:rsid w:val="00882187"/>
    <w:rsid w:val="00882849"/>
    <w:rsid w:val="00882D2A"/>
    <w:rsid w:val="008832A4"/>
    <w:rsid w:val="0088339C"/>
    <w:rsid w:val="00883A80"/>
    <w:rsid w:val="008843E4"/>
    <w:rsid w:val="00885350"/>
    <w:rsid w:val="00885917"/>
    <w:rsid w:val="0088757F"/>
    <w:rsid w:val="00887BF4"/>
    <w:rsid w:val="00890436"/>
    <w:rsid w:val="00891DEE"/>
    <w:rsid w:val="00891E50"/>
    <w:rsid w:val="00892672"/>
    <w:rsid w:val="00893695"/>
    <w:rsid w:val="008940A2"/>
    <w:rsid w:val="00895A83"/>
    <w:rsid w:val="008966E6"/>
    <w:rsid w:val="0089735D"/>
    <w:rsid w:val="008973B3"/>
    <w:rsid w:val="0089742D"/>
    <w:rsid w:val="008A06BD"/>
    <w:rsid w:val="008A1CCA"/>
    <w:rsid w:val="008A241E"/>
    <w:rsid w:val="008A333D"/>
    <w:rsid w:val="008A4BBB"/>
    <w:rsid w:val="008A58DC"/>
    <w:rsid w:val="008A5DC1"/>
    <w:rsid w:val="008A6257"/>
    <w:rsid w:val="008A66FC"/>
    <w:rsid w:val="008A6B89"/>
    <w:rsid w:val="008A7948"/>
    <w:rsid w:val="008A7C88"/>
    <w:rsid w:val="008A7CD1"/>
    <w:rsid w:val="008A7D05"/>
    <w:rsid w:val="008B00AC"/>
    <w:rsid w:val="008B0733"/>
    <w:rsid w:val="008B0757"/>
    <w:rsid w:val="008B101B"/>
    <w:rsid w:val="008B263F"/>
    <w:rsid w:val="008B2CD6"/>
    <w:rsid w:val="008B3CA1"/>
    <w:rsid w:val="008B3E21"/>
    <w:rsid w:val="008B5C72"/>
    <w:rsid w:val="008B5F1B"/>
    <w:rsid w:val="008B67AD"/>
    <w:rsid w:val="008B6ADA"/>
    <w:rsid w:val="008C01E5"/>
    <w:rsid w:val="008C0522"/>
    <w:rsid w:val="008C0A6F"/>
    <w:rsid w:val="008C16C8"/>
    <w:rsid w:val="008C1E64"/>
    <w:rsid w:val="008C2144"/>
    <w:rsid w:val="008C2156"/>
    <w:rsid w:val="008C4F98"/>
    <w:rsid w:val="008C5260"/>
    <w:rsid w:val="008C66C6"/>
    <w:rsid w:val="008C69EC"/>
    <w:rsid w:val="008C722A"/>
    <w:rsid w:val="008C74E1"/>
    <w:rsid w:val="008D013B"/>
    <w:rsid w:val="008D0DB3"/>
    <w:rsid w:val="008D0F90"/>
    <w:rsid w:val="008D2629"/>
    <w:rsid w:val="008D265C"/>
    <w:rsid w:val="008D2673"/>
    <w:rsid w:val="008D2C3C"/>
    <w:rsid w:val="008D35A3"/>
    <w:rsid w:val="008D55E2"/>
    <w:rsid w:val="008D5EE0"/>
    <w:rsid w:val="008D6787"/>
    <w:rsid w:val="008D690E"/>
    <w:rsid w:val="008D6D13"/>
    <w:rsid w:val="008D6F96"/>
    <w:rsid w:val="008D7A65"/>
    <w:rsid w:val="008E1A2D"/>
    <w:rsid w:val="008E2336"/>
    <w:rsid w:val="008E26AE"/>
    <w:rsid w:val="008E329A"/>
    <w:rsid w:val="008E438B"/>
    <w:rsid w:val="008E4FFF"/>
    <w:rsid w:val="008E508A"/>
    <w:rsid w:val="008E5635"/>
    <w:rsid w:val="008E7CEF"/>
    <w:rsid w:val="008E7ECB"/>
    <w:rsid w:val="008F0226"/>
    <w:rsid w:val="008F02B0"/>
    <w:rsid w:val="008F0FD5"/>
    <w:rsid w:val="008F11D4"/>
    <w:rsid w:val="008F154F"/>
    <w:rsid w:val="008F3488"/>
    <w:rsid w:val="008F3F49"/>
    <w:rsid w:val="008F4FB4"/>
    <w:rsid w:val="008F5A89"/>
    <w:rsid w:val="008F5AAF"/>
    <w:rsid w:val="008F60AC"/>
    <w:rsid w:val="008F6158"/>
    <w:rsid w:val="008F646E"/>
    <w:rsid w:val="008F6C11"/>
    <w:rsid w:val="008F7DAE"/>
    <w:rsid w:val="008F7EB4"/>
    <w:rsid w:val="009001B7"/>
    <w:rsid w:val="009009F2"/>
    <w:rsid w:val="009015ED"/>
    <w:rsid w:val="00901CB3"/>
    <w:rsid w:val="00902C0C"/>
    <w:rsid w:val="00902FA7"/>
    <w:rsid w:val="009033A9"/>
    <w:rsid w:val="009036D7"/>
    <w:rsid w:val="00904019"/>
    <w:rsid w:val="0090455C"/>
    <w:rsid w:val="00904851"/>
    <w:rsid w:val="0090497D"/>
    <w:rsid w:val="00904D29"/>
    <w:rsid w:val="00904E39"/>
    <w:rsid w:val="0090645C"/>
    <w:rsid w:val="00906762"/>
    <w:rsid w:val="00907A82"/>
    <w:rsid w:val="0091127B"/>
    <w:rsid w:val="00911934"/>
    <w:rsid w:val="00911B47"/>
    <w:rsid w:val="00911CCB"/>
    <w:rsid w:val="009125FB"/>
    <w:rsid w:val="00913FB7"/>
    <w:rsid w:val="009140EC"/>
    <w:rsid w:val="00914CEC"/>
    <w:rsid w:val="00914E7A"/>
    <w:rsid w:val="00917C60"/>
    <w:rsid w:val="00917D46"/>
    <w:rsid w:val="009205F1"/>
    <w:rsid w:val="00920D55"/>
    <w:rsid w:val="0092176D"/>
    <w:rsid w:val="0092234B"/>
    <w:rsid w:val="00922A61"/>
    <w:rsid w:val="00922B83"/>
    <w:rsid w:val="00923665"/>
    <w:rsid w:val="00924353"/>
    <w:rsid w:val="0092453B"/>
    <w:rsid w:val="009245F1"/>
    <w:rsid w:val="0092512E"/>
    <w:rsid w:val="00926F72"/>
    <w:rsid w:val="00926FB3"/>
    <w:rsid w:val="00927A8E"/>
    <w:rsid w:val="00930069"/>
    <w:rsid w:val="009310A9"/>
    <w:rsid w:val="00931501"/>
    <w:rsid w:val="00932207"/>
    <w:rsid w:val="00932544"/>
    <w:rsid w:val="00932CE5"/>
    <w:rsid w:val="00933A4E"/>
    <w:rsid w:val="00934CFD"/>
    <w:rsid w:val="00935056"/>
    <w:rsid w:val="00935100"/>
    <w:rsid w:val="00935B98"/>
    <w:rsid w:val="00936545"/>
    <w:rsid w:val="009366EF"/>
    <w:rsid w:val="00936975"/>
    <w:rsid w:val="00937E2D"/>
    <w:rsid w:val="00940975"/>
    <w:rsid w:val="0094149B"/>
    <w:rsid w:val="0094197C"/>
    <w:rsid w:val="00942205"/>
    <w:rsid w:val="00942595"/>
    <w:rsid w:val="00942676"/>
    <w:rsid w:val="00942C7E"/>
    <w:rsid w:val="00943598"/>
    <w:rsid w:val="009435C4"/>
    <w:rsid w:val="00943BD7"/>
    <w:rsid w:val="0094535B"/>
    <w:rsid w:val="0094584C"/>
    <w:rsid w:val="0094667F"/>
    <w:rsid w:val="00946888"/>
    <w:rsid w:val="00947006"/>
    <w:rsid w:val="009474A5"/>
    <w:rsid w:val="009474BD"/>
    <w:rsid w:val="009476AF"/>
    <w:rsid w:val="00947886"/>
    <w:rsid w:val="00947E1F"/>
    <w:rsid w:val="00950080"/>
    <w:rsid w:val="0095098B"/>
    <w:rsid w:val="00951D0D"/>
    <w:rsid w:val="00952E47"/>
    <w:rsid w:val="00953E3A"/>
    <w:rsid w:val="0095418C"/>
    <w:rsid w:val="009542FD"/>
    <w:rsid w:val="0095504B"/>
    <w:rsid w:val="00955248"/>
    <w:rsid w:val="009560CC"/>
    <w:rsid w:val="009562AA"/>
    <w:rsid w:val="00956BF9"/>
    <w:rsid w:val="00956D1A"/>
    <w:rsid w:val="00957416"/>
    <w:rsid w:val="00957D1D"/>
    <w:rsid w:val="009600C8"/>
    <w:rsid w:val="00960143"/>
    <w:rsid w:val="00960A24"/>
    <w:rsid w:val="00960E78"/>
    <w:rsid w:val="009613AA"/>
    <w:rsid w:val="00963FB0"/>
    <w:rsid w:val="00964480"/>
    <w:rsid w:val="00964772"/>
    <w:rsid w:val="009649F3"/>
    <w:rsid w:val="00965CF1"/>
    <w:rsid w:val="0096616A"/>
    <w:rsid w:val="0096662A"/>
    <w:rsid w:val="0096684A"/>
    <w:rsid w:val="009700CB"/>
    <w:rsid w:val="00970321"/>
    <w:rsid w:val="009709A9"/>
    <w:rsid w:val="009709B2"/>
    <w:rsid w:val="00970B59"/>
    <w:rsid w:val="009714D1"/>
    <w:rsid w:val="00971672"/>
    <w:rsid w:val="00971A61"/>
    <w:rsid w:val="00971FA7"/>
    <w:rsid w:val="0097236D"/>
    <w:rsid w:val="009726D8"/>
    <w:rsid w:val="00974092"/>
    <w:rsid w:val="009743F7"/>
    <w:rsid w:val="009767C8"/>
    <w:rsid w:val="009771FA"/>
    <w:rsid w:val="009774AD"/>
    <w:rsid w:val="0097764E"/>
    <w:rsid w:val="00977BD4"/>
    <w:rsid w:val="009800AC"/>
    <w:rsid w:val="0098024F"/>
    <w:rsid w:val="0098147C"/>
    <w:rsid w:val="0098156B"/>
    <w:rsid w:val="00981984"/>
    <w:rsid w:val="00981A5E"/>
    <w:rsid w:val="00982D9C"/>
    <w:rsid w:val="00984A4A"/>
    <w:rsid w:val="00984BE0"/>
    <w:rsid w:val="0098516E"/>
    <w:rsid w:val="00985DF5"/>
    <w:rsid w:val="00986CD6"/>
    <w:rsid w:val="009876E8"/>
    <w:rsid w:val="00987D8C"/>
    <w:rsid w:val="00990EE5"/>
    <w:rsid w:val="009916AE"/>
    <w:rsid w:val="00991E5D"/>
    <w:rsid w:val="00992176"/>
    <w:rsid w:val="009927C0"/>
    <w:rsid w:val="00992836"/>
    <w:rsid w:val="00993DD9"/>
    <w:rsid w:val="0099469A"/>
    <w:rsid w:val="00995AC1"/>
    <w:rsid w:val="009963F6"/>
    <w:rsid w:val="00996A1C"/>
    <w:rsid w:val="00996CC0"/>
    <w:rsid w:val="00997ACD"/>
    <w:rsid w:val="009A01D5"/>
    <w:rsid w:val="009A09D1"/>
    <w:rsid w:val="009A0CA1"/>
    <w:rsid w:val="009A0EC5"/>
    <w:rsid w:val="009A1323"/>
    <w:rsid w:val="009A1FC1"/>
    <w:rsid w:val="009A2A60"/>
    <w:rsid w:val="009A331F"/>
    <w:rsid w:val="009A4831"/>
    <w:rsid w:val="009A5A39"/>
    <w:rsid w:val="009A5E45"/>
    <w:rsid w:val="009A6240"/>
    <w:rsid w:val="009A6BFF"/>
    <w:rsid w:val="009A7650"/>
    <w:rsid w:val="009A76E2"/>
    <w:rsid w:val="009B05EA"/>
    <w:rsid w:val="009B0796"/>
    <w:rsid w:val="009B093A"/>
    <w:rsid w:val="009B0F04"/>
    <w:rsid w:val="009B1435"/>
    <w:rsid w:val="009B1BBC"/>
    <w:rsid w:val="009B20FE"/>
    <w:rsid w:val="009B3F13"/>
    <w:rsid w:val="009B74D6"/>
    <w:rsid w:val="009B7B9A"/>
    <w:rsid w:val="009C15D8"/>
    <w:rsid w:val="009C1628"/>
    <w:rsid w:val="009C1C58"/>
    <w:rsid w:val="009C2397"/>
    <w:rsid w:val="009C2628"/>
    <w:rsid w:val="009C294E"/>
    <w:rsid w:val="009C4129"/>
    <w:rsid w:val="009C5579"/>
    <w:rsid w:val="009C579D"/>
    <w:rsid w:val="009C6134"/>
    <w:rsid w:val="009C647D"/>
    <w:rsid w:val="009C6559"/>
    <w:rsid w:val="009D018C"/>
    <w:rsid w:val="009D0D43"/>
    <w:rsid w:val="009D2336"/>
    <w:rsid w:val="009D2CE1"/>
    <w:rsid w:val="009D2E9A"/>
    <w:rsid w:val="009D5A00"/>
    <w:rsid w:val="009D6687"/>
    <w:rsid w:val="009D6E2F"/>
    <w:rsid w:val="009D705D"/>
    <w:rsid w:val="009D7C9B"/>
    <w:rsid w:val="009E0634"/>
    <w:rsid w:val="009E0A52"/>
    <w:rsid w:val="009E0DE7"/>
    <w:rsid w:val="009E1F0D"/>
    <w:rsid w:val="009E259B"/>
    <w:rsid w:val="009E4185"/>
    <w:rsid w:val="009E44CD"/>
    <w:rsid w:val="009E4A0A"/>
    <w:rsid w:val="009E61D0"/>
    <w:rsid w:val="009E6DF1"/>
    <w:rsid w:val="009E7334"/>
    <w:rsid w:val="009E734E"/>
    <w:rsid w:val="009E7E58"/>
    <w:rsid w:val="009F0132"/>
    <w:rsid w:val="009F0184"/>
    <w:rsid w:val="009F0E4F"/>
    <w:rsid w:val="009F3AAF"/>
    <w:rsid w:val="009F3DFA"/>
    <w:rsid w:val="009F3F44"/>
    <w:rsid w:val="009F4772"/>
    <w:rsid w:val="009F486B"/>
    <w:rsid w:val="009F58DC"/>
    <w:rsid w:val="009F655F"/>
    <w:rsid w:val="009F7358"/>
    <w:rsid w:val="009F73A0"/>
    <w:rsid w:val="009F7F40"/>
    <w:rsid w:val="00A0180A"/>
    <w:rsid w:val="00A02483"/>
    <w:rsid w:val="00A024B7"/>
    <w:rsid w:val="00A03147"/>
    <w:rsid w:val="00A03408"/>
    <w:rsid w:val="00A03E72"/>
    <w:rsid w:val="00A04FDE"/>
    <w:rsid w:val="00A0561E"/>
    <w:rsid w:val="00A05D11"/>
    <w:rsid w:val="00A05EF5"/>
    <w:rsid w:val="00A06E94"/>
    <w:rsid w:val="00A06F69"/>
    <w:rsid w:val="00A07539"/>
    <w:rsid w:val="00A077F1"/>
    <w:rsid w:val="00A11CCD"/>
    <w:rsid w:val="00A14F92"/>
    <w:rsid w:val="00A165E1"/>
    <w:rsid w:val="00A175EE"/>
    <w:rsid w:val="00A207E8"/>
    <w:rsid w:val="00A20BA4"/>
    <w:rsid w:val="00A20F34"/>
    <w:rsid w:val="00A21B2D"/>
    <w:rsid w:val="00A2247E"/>
    <w:rsid w:val="00A22722"/>
    <w:rsid w:val="00A23E68"/>
    <w:rsid w:val="00A24315"/>
    <w:rsid w:val="00A245C4"/>
    <w:rsid w:val="00A248C8"/>
    <w:rsid w:val="00A24B03"/>
    <w:rsid w:val="00A24BB1"/>
    <w:rsid w:val="00A25041"/>
    <w:rsid w:val="00A2612C"/>
    <w:rsid w:val="00A26605"/>
    <w:rsid w:val="00A2728A"/>
    <w:rsid w:val="00A27611"/>
    <w:rsid w:val="00A27656"/>
    <w:rsid w:val="00A276CB"/>
    <w:rsid w:val="00A27887"/>
    <w:rsid w:val="00A3063C"/>
    <w:rsid w:val="00A310C2"/>
    <w:rsid w:val="00A338A3"/>
    <w:rsid w:val="00A339FE"/>
    <w:rsid w:val="00A34A9A"/>
    <w:rsid w:val="00A35126"/>
    <w:rsid w:val="00A35147"/>
    <w:rsid w:val="00A3520F"/>
    <w:rsid w:val="00A35309"/>
    <w:rsid w:val="00A354D3"/>
    <w:rsid w:val="00A3554E"/>
    <w:rsid w:val="00A355C6"/>
    <w:rsid w:val="00A35642"/>
    <w:rsid w:val="00A3614D"/>
    <w:rsid w:val="00A362C1"/>
    <w:rsid w:val="00A36A4B"/>
    <w:rsid w:val="00A37D57"/>
    <w:rsid w:val="00A41D2B"/>
    <w:rsid w:val="00A42663"/>
    <w:rsid w:val="00A428E6"/>
    <w:rsid w:val="00A42902"/>
    <w:rsid w:val="00A42BC0"/>
    <w:rsid w:val="00A433AA"/>
    <w:rsid w:val="00A4397C"/>
    <w:rsid w:val="00A43E87"/>
    <w:rsid w:val="00A444F3"/>
    <w:rsid w:val="00A44F10"/>
    <w:rsid w:val="00A46E85"/>
    <w:rsid w:val="00A50350"/>
    <w:rsid w:val="00A50C2B"/>
    <w:rsid w:val="00A5224A"/>
    <w:rsid w:val="00A529F8"/>
    <w:rsid w:val="00A52A44"/>
    <w:rsid w:val="00A52E25"/>
    <w:rsid w:val="00A53551"/>
    <w:rsid w:val="00A53BDD"/>
    <w:rsid w:val="00A53DA6"/>
    <w:rsid w:val="00A5508F"/>
    <w:rsid w:val="00A56BF2"/>
    <w:rsid w:val="00A57894"/>
    <w:rsid w:val="00A57E08"/>
    <w:rsid w:val="00A60903"/>
    <w:rsid w:val="00A60B24"/>
    <w:rsid w:val="00A60BDD"/>
    <w:rsid w:val="00A620DD"/>
    <w:rsid w:val="00A624B6"/>
    <w:rsid w:val="00A62748"/>
    <w:rsid w:val="00A63EB8"/>
    <w:rsid w:val="00A63ECF"/>
    <w:rsid w:val="00A6422F"/>
    <w:rsid w:val="00A64FBB"/>
    <w:rsid w:val="00A65C0E"/>
    <w:rsid w:val="00A65CBF"/>
    <w:rsid w:val="00A668BD"/>
    <w:rsid w:val="00A71364"/>
    <w:rsid w:val="00A72952"/>
    <w:rsid w:val="00A74AB0"/>
    <w:rsid w:val="00A7578C"/>
    <w:rsid w:val="00A764A6"/>
    <w:rsid w:val="00A76F36"/>
    <w:rsid w:val="00A7727E"/>
    <w:rsid w:val="00A77B0A"/>
    <w:rsid w:val="00A81F4E"/>
    <w:rsid w:val="00A81FA6"/>
    <w:rsid w:val="00A8226C"/>
    <w:rsid w:val="00A822B7"/>
    <w:rsid w:val="00A82B32"/>
    <w:rsid w:val="00A82C0C"/>
    <w:rsid w:val="00A833DD"/>
    <w:rsid w:val="00A85B29"/>
    <w:rsid w:val="00A86483"/>
    <w:rsid w:val="00A868BB"/>
    <w:rsid w:val="00A86B45"/>
    <w:rsid w:val="00A86BBC"/>
    <w:rsid w:val="00A86FB1"/>
    <w:rsid w:val="00A902C7"/>
    <w:rsid w:val="00A90B2E"/>
    <w:rsid w:val="00A91104"/>
    <w:rsid w:val="00A922C7"/>
    <w:rsid w:val="00A930B5"/>
    <w:rsid w:val="00A937C2"/>
    <w:rsid w:val="00A93C14"/>
    <w:rsid w:val="00A93D46"/>
    <w:rsid w:val="00A95AEC"/>
    <w:rsid w:val="00A967EA"/>
    <w:rsid w:val="00A97707"/>
    <w:rsid w:val="00A97CD2"/>
    <w:rsid w:val="00A97EA6"/>
    <w:rsid w:val="00A97EE1"/>
    <w:rsid w:val="00AA0168"/>
    <w:rsid w:val="00AA0F7D"/>
    <w:rsid w:val="00AA0FA4"/>
    <w:rsid w:val="00AA12CB"/>
    <w:rsid w:val="00AA15BD"/>
    <w:rsid w:val="00AA22A8"/>
    <w:rsid w:val="00AA277A"/>
    <w:rsid w:val="00AA3194"/>
    <w:rsid w:val="00AA57DF"/>
    <w:rsid w:val="00AA6A54"/>
    <w:rsid w:val="00AA7429"/>
    <w:rsid w:val="00AA7444"/>
    <w:rsid w:val="00AA7692"/>
    <w:rsid w:val="00AA7715"/>
    <w:rsid w:val="00AA7EAF"/>
    <w:rsid w:val="00AB088B"/>
    <w:rsid w:val="00AB120F"/>
    <w:rsid w:val="00AB15B1"/>
    <w:rsid w:val="00AB243D"/>
    <w:rsid w:val="00AB2A76"/>
    <w:rsid w:val="00AB3689"/>
    <w:rsid w:val="00AB37A1"/>
    <w:rsid w:val="00AB3CC7"/>
    <w:rsid w:val="00AB4A39"/>
    <w:rsid w:val="00AB675D"/>
    <w:rsid w:val="00AB680D"/>
    <w:rsid w:val="00AB6EEE"/>
    <w:rsid w:val="00AB7CEF"/>
    <w:rsid w:val="00AC096B"/>
    <w:rsid w:val="00AC0EA0"/>
    <w:rsid w:val="00AC1D99"/>
    <w:rsid w:val="00AC28F8"/>
    <w:rsid w:val="00AC29EF"/>
    <w:rsid w:val="00AC2BBE"/>
    <w:rsid w:val="00AC3874"/>
    <w:rsid w:val="00AC3B2B"/>
    <w:rsid w:val="00AC4008"/>
    <w:rsid w:val="00AC50F6"/>
    <w:rsid w:val="00AC6E2D"/>
    <w:rsid w:val="00AD0598"/>
    <w:rsid w:val="00AD0BE9"/>
    <w:rsid w:val="00AD1481"/>
    <w:rsid w:val="00AD23D5"/>
    <w:rsid w:val="00AD267D"/>
    <w:rsid w:val="00AD2919"/>
    <w:rsid w:val="00AD4473"/>
    <w:rsid w:val="00AD4781"/>
    <w:rsid w:val="00AD4D84"/>
    <w:rsid w:val="00AD559E"/>
    <w:rsid w:val="00AD6356"/>
    <w:rsid w:val="00AE0051"/>
    <w:rsid w:val="00AE0929"/>
    <w:rsid w:val="00AE144C"/>
    <w:rsid w:val="00AE237B"/>
    <w:rsid w:val="00AE2E6E"/>
    <w:rsid w:val="00AE3FCA"/>
    <w:rsid w:val="00AE4721"/>
    <w:rsid w:val="00AE4962"/>
    <w:rsid w:val="00AE575D"/>
    <w:rsid w:val="00AE6D52"/>
    <w:rsid w:val="00AE7400"/>
    <w:rsid w:val="00AF01B5"/>
    <w:rsid w:val="00AF077F"/>
    <w:rsid w:val="00AF09DF"/>
    <w:rsid w:val="00AF0CC8"/>
    <w:rsid w:val="00AF1567"/>
    <w:rsid w:val="00AF1A94"/>
    <w:rsid w:val="00AF2098"/>
    <w:rsid w:val="00AF496B"/>
    <w:rsid w:val="00AF56D3"/>
    <w:rsid w:val="00AF6B01"/>
    <w:rsid w:val="00AF6E0D"/>
    <w:rsid w:val="00AF771C"/>
    <w:rsid w:val="00AF7EAD"/>
    <w:rsid w:val="00B00944"/>
    <w:rsid w:val="00B00F10"/>
    <w:rsid w:val="00B01095"/>
    <w:rsid w:val="00B01489"/>
    <w:rsid w:val="00B01C63"/>
    <w:rsid w:val="00B022D8"/>
    <w:rsid w:val="00B03085"/>
    <w:rsid w:val="00B031CC"/>
    <w:rsid w:val="00B03518"/>
    <w:rsid w:val="00B03FA2"/>
    <w:rsid w:val="00B04E9E"/>
    <w:rsid w:val="00B052A0"/>
    <w:rsid w:val="00B05C89"/>
    <w:rsid w:val="00B05FDA"/>
    <w:rsid w:val="00B062BB"/>
    <w:rsid w:val="00B065C3"/>
    <w:rsid w:val="00B06CAB"/>
    <w:rsid w:val="00B06F94"/>
    <w:rsid w:val="00B07F6A"/>
    <w:rsid w:val="00B10581"/>
    <w:rsid w:val="00B105E2"/>
    <w:rsid w:val="00B108BF"/>
    <w:rsid w:val="00B11845"/>
    <w:rsid w:val="00B123D7"/>
    <w:rsid w:val="00B12AE2"/>
    <w:rsid w:val="00B1361B"/>
    <w:rsid w:val="00B1369D"/>
    <w:rsid w:val="00B1420B"/>
    <w:rsid w:val="00B1433D"/>
    <w:rsid w:val="00B1490F"/>
    <w:rsid w:val="00B15830"/>
    <w:rsid w:val="00B15B53"/>
    <w:rsid w:val="00B16868"/>
    <w:rsid w:val="00B17981"/>
    <w:rsid w:val="00B17B83"/>
    <w:rsid w:val="00B21FEB"/>
    <w:rsid w:val="00B2239E"/>
    <w:rsid w:val="00B24F72"/>
    <w:rsid w:val="00B25C79"/>
    <w:rsid w:val="00B25D9C"/>
    <w:rsid w:val="00B26148"/>
    <w:rsid w:val="00B26701"/>
    <w:rsid w:val="00B26B67"/>
    <w:rsid w:val="00B26E8B"/>
    <w:rsid w:val="00B2777C"/>
    <w:rsid w:val="00B27A6C"/>
    <w:rsid w:val="00B27C94"/>
    <w:rsid w:val="00B30B85"/>
    <w:rsid w:val="00B32007"/>
    <w:rsid w:val="00B327FB"/>
    <w:rsid w:val="00B32D27"/>
    <w:rsid w:val="00B33438"/>
    <w:rsid w:val="00B3425C"/>
    <w:rsid w:val="00B3497C"/>
    <w:rsid w:val="00B35D58"/>
    <w:rsid w:val="00B36F90"/>
    <w:rsid w:val="00B4049C"/>
    <w:rsid w:val="00B419DF"/>
    <w:rsid w:val="00B424CC"/>
    <w:rsid w:val="00B428DE"/>
    <w:rsid w:val="00B42C8B"/>
    <w:rsid w:val="00B43276"/>
    <w:rsid w:val="00B44D1B"/>
    <w:rsid w:val="00B44E14"/>
    <w:rsid w:val="00B4575C"/>
    <w:rsid w:val="00B46F6F"/>
    <w:rsid w:val="00B474F7"/>
    <w:rsid w:val="00B47C2D"/>
    <w:rsid w:val="00B505ED"/>
    <w:rsid w:val="00B50954"/>
    <w:rsid w:val="00B50B55"/>
    <w:rsid w:val="00B516FC"/>
    <w:rsid w:val="00B519FA"/>
    <w:rsid w:val="00B51B16"/>
    <w:rsid w:val="00B51EBB"/>
    <w:rsid w:val="00B53114"/>
    <w:rsid w:val="00B53A26"/>
    <w:rsid w:val="00B53D0C"/>
    <w:rsid w:val="00B53EAE"/>
    <w:rsid w:val="00B541BA"/>
    <w:rsid w:val="00B549DE"/>
    <w:rsid w:val="00B54F4D"/>
    <w:rsid w:val="00B552E1"/>
    <w:rsid w:val="00B556D2"/>
    <w:rsid w:val="00B56273"/>
    <w:rsid w:val="00B57ACC"/>
    <w:rsid w:val="00B60072"/>
    <w:rsid w:val="00B6025E"/>
    <w:rsid w:val="00B60302"/>
    <w:rsid w:val="00B6066D"/>
    <w:rsid w:val="00B60747"/>
    <w:rsid w:val="00B60F7C"/>
    <w:rsid w:val="00B61122"/>
    <w:rsid w:val="00B614DA"/>
    <w:rsid w:val="00B6180B"/>
    <w:rsid w:val="00B619E0"/>
    <w:rsid w:val="00B61F23"/>
    <w:rsid w:val="00B621D5"/>
    <w:rsid w:val="00B62B9E"/>
    <w:rsid w:val="00B62BE8"/>
    <w:rsid w:val="00B63D37"/>
    <w:rsid w:val="00B64404"/>
    <w:rsid w:val="00B6540A"/>
    <w:rsid w:val="00B6569F"/>
    <w:rsid w:val="00B65741"/>
    <w:rsid w:val="00B658A5"/>
    <w:rsid w:val="00B65A89"/>
    <w:rsid w:val="00B6693F"/>
    <w:rsid w:val="00B66B1C"/>
    <w:rsid w:val="00B66BAB"/>
    <w:rsid w:val="00B7067B"/>
    <w:rsid w:val="00B722E4"/>
    <w:rsid w:val="00B72AD4"/>
    <w:rsid w:val="00B72FB2"/>
    <w:rsid w:val="00B73053"/>
    <w:rsid w:val="00B74175"/>
    <w:rsid w:val="00B741BA"/>
    <w:rsid w:val="00B75156"/>
    <w:rsid w:val="00B75B77"/>
    <w:rsid w:val="00B765FE"/>
    <w:rsid w:val="00B76806"/>
    <w:rsid w:val="00B7768E"/>
    <w:rsid w:val="00B77764"/>
    <w:rsid w:val="00B77E0C"/>
    <w:rsid w:val="00B80458"/>
    <w:rsid w:val="00B8070B"/>
    <w:rsid w:val="00B812AD"/>
    <w:rsid w:val="00B8194F"/>
    <w:rsid w:val="00B81C8A"/>
    <w:rsid w:val="00B81D4A"/>
    <w:rsid w:val="00B83DC6"/>
    <w:rsid w:val="00B8492F"/>
    <w:rsid w:val="00B8717B"/>
    <w:rsid w:val="00B876E7"/>
    <w:rsid w:val="00B8796E"/>
    <w:rsid w:val="00B87AED"/>
    <w:rsid w:val="00B87DD5"/>
    <w:rsid w:val="00B9021C"/>
    <w:rsid w:val="00B90230"/>
    <w:rsid w:val="00B91ACE"/>
    <w:rsid w:val="00B92EEB"/>
    <w:rsid w:val="00B950C8"/>
    <w:rsid w:val="00B95B10"/>
    <w:rsid w:val="00B963EA"/>
    <w:rsid w:val="00B96523"/>
    <w:rsid w:val="00B97156"/>
    <w:rsid w:val="00B9756E"/>
    <w:rsid w:val="00BA145F"/>
    <w:rsid w:val="00BA18D7"/>
    <w:rsid w:val="00BA20DB"/>
    <w:rsid w:val="00BA262A"/>
    <w:rsid w:val="00BA26DA"/>
    <w:rsid w:val="00BA26F6"/>
    <w:rsid w:val="00BA363D"/>
    <w:rsid w:val="00BA4157"/>
    <w:rsid w:val="00BA43F6"/>
    <w:rsid w:val="00BA45C7"/>
    <w:rsid w:val="00BA646F"/>
    <w:rsid w:val="00BA679F"/>
    <w:rsid w:val="00BA7788"/>
    <w:rsid w:val="00BB04B4"/>
    <w:rsid w:val="00BB12A0"/>
    <w:rsid w:val="00BB1599"/>
    <w:rsid w:val="00BB1969"/>
    <w:rsid w:val="00BB1D06"/>
    <w:rsid w:val="00BB1D4E"/>
    <w:rsid w:val="00BB2084"/>
    <w:rsid w:val="00BB22F9"/>
    <w:rsid w:val="00BB24EA"/>
    <w:rsid w:val="00BB32DF"/>
    <w:rsid w:val="00BB3B56"/>
    <w:rsid w:val="00BB5357"/>
    <w:rsid w:val="00BB53FD"/>
    <w:rsid w:val="00BB577F"/>
    <w:rsid w:val="00BB74D8"/>
    <w:rsid w:val="00BB75BC"/>
    <w:rsid w:val="00BB7E96"/>
    <w:rsid w:val="00BB7FD7"/>
    <w:rsid w:val="00BC0E78"/>
    <w:rsid w:val="00BC0FF9"/>
    <w:rsid w:val="00BC203F"/>
    <w:rsid w:val="00BC3299"/>
    <w:rsid w:val="00BC3642"/>
    <w:rsid w:val="00BC3DC2"/>
    <w:rsid w:val="00BC3DC4"/>
    <w:rsid w:val="00BC3EA0"/>
    <w:rsid w:val="00BC3EF3"/>
    <w:rsid w:val="00BC445B"/>
    <w:rsid w:val="00BC4749"/>
    <w:rsid w:val="00BC47EE"/>
    <w:rsid w:val="00BC4C5F"/>
    <w:rsid w:val="00BC508C"/>
    <w:rsid w:val="00BC6026"/>
    <w:rsid w:val="00BC7FBE"/>
    <w:rsid w:val="00BD0767"/>
    <w:rsid w:val="00BD095A"/>
    <w:rsid w:val="00BD160B"/>
    <w:rsid w:val="00BD2BD1"/>
    <w:rsid w:val="00BD2F51"/>
    <w:rsid w:val="00BD32DB"/>
    <w:rsid w:val="00BD33D1"/>
    <w:rsid w:val="00BD551C"/>
    <w:rsid w:val="00BD58E5"/>
    <w:rsid w:val="00BD6F30"/>
    <w:rsid w:val="00BD71EB"/>
    <w:rsid w:val="00BD79DA"/>
    <w:rsid w:val="00BE02E3"/>
    <w:rsid w:val="00BE0B5C"/>
    <w:rsid w:val="00BE126E"/>
    <w:rsid w:val="00BE2235"/>
    <w:rsid w:val="00BE22A4"/>
    <w:rsid w:val="00BE2C47"/>
    <w:rsid w:val="00BE2C7D"/>
    <w:rsid w:val="00BE36E3"/>
    <w:rsid w:val="00BE3D54"/>
    <w:rsid w:val="00BE3DA4"/>
    <w:rsid w:val="00BE4A85"/>
    <w:rsid w:val="00BE54AD"/>
    <w:rsid w:val="00BF018C"/>
    <w:rsid w:val="00BF063A"/>
    <w:rsid w:val="00BF1D3C"/>
    <w:rsid w:val="00BF3082"/>
    <w:rsid w:val="00BF4BE3"/>
    <w:rsid w:val="00BF52D5"/>
    <w:rsid w:val="00BF5438"/>
    <w:rsid w:val="00BF7672"/>
    <w:rsid w:val="00BF7BB5"/>
    <w:rsid w:val="00BF7D74"/>
    <w:rsid w:val="00C00505"/>
    <w:rsid w:val="00C00915"/>
    <w:rsid w:val="00C0093A"/>
    <w:rsid w:val="00C0103F"/>
    <w:rsid w:val="00C01055"/>
    <w:rsid w:val="00C010DA"/>
    <w:rsid w:val="00C01A76"/>
    <w:rsid w:val="00C01D5C"/>
    <w:rsid w:val="00C03786"/>
    <w:rsid w:val="00C03904"/>
    <w:rsid w:val="00C03F14"/>
    <w:rsid w:val="00C04465"/>
    <w:rsid w:val="00C0601D"/>
    <w:rsid w:val="00C0688F"/>
    <w:rsid w:val="00C06B79"/>
    <w:rsid w:val="00C0794C"/>
    <w:rsid w:val="00C07F76"/>
    <w:rsid w:val="00C10A96"/>
    <w:rsid w:val="00C119E6"/>
    <w:rsid w:val="00C11F82"/>
    <w:rsid w:val="00C1202E"/>
    <w:rsid w:val="00C12A4A"/>
    <w:rsid w:val="00C12D56"/>
    <w:rsid w:val="00C12E8E"/>
    <w:rsid w:val="00C130E1"/>
    <w:rsid w:val="00C13D15"/>
    <w:rsid w:val="00C1442A"/>
    <w:rsid w:val="00C159C0"/>
    <w:rsid w:val="00C15BA7"/>
    <w:rsid w:val="00C16052"/>
    <w:rsid w:val="00C162FB"/>
    <w:rsid w:val="00C164FA"/>
    <w:rsid w:val="00C17661"/>
    <w:rsid w:val="00C17672"/>
    <w:rsid w:val="00C1777B"/>
    <w:rsid w:val="00C17F08"/>
    <w:rsid w:val="00C2009A"/>
    <w:rsid w:val="00C21048"/>
    <w:rsid w:val="00C221BA"/>
    <w:rsid w:val="00C22DB4"/>
    <w:rsid w:val="00C22DD1"/>
    <w:rsid w:val="00C2326F"/>
    <w:rsid w:val="00C232A0"/>
    <w:rsid w:val="00C248F2"/>
    <w:rsid w:val="00C25883"/>
    <w:rsid w:val="00C266FD"/>
    <w:rsid w:val="00C267C2"/>
    <w:rsid w:val="00C26B88"/>
    <w:rsid w:val="00C26BF5"/>
    <w:rsid w:val="00C27492"/>
    <w:rsid w:val="00C275D0"/>
    <w:rsid w:val="00C279F5"/>
    <w:rsid w:val="00C27F98"/>
    <w:rsid w:val="00C30908"/>
    <w:rsid w:val="00C314A1"/>
    <w:rsid w:val="00C319F3"/>
    <w:rsid w:val="00C31CD3"/>
    <w:rsid w:val="00C31FA0"/>
    <w:rsid w:val="00C32356"/>
    <w:rsid w:val="00C3263C"/>
    <w:rsid w:val="00C32C5D"/>
    <w:rsid w:val="00C33E5A"/>
    <w:rsid w:val="00C344B3"/>
    <w:rsid w:val="00C346A4"/>
    <w:rsid w:val="00C353EE"/>
    <w:rsid w:val="00C359C7"/>
    <w:rsid w:val="00C3648A"/>
    <w:rsid w:val="00C36AEE"/>
    <w:rsid w:val="00C40301"/>
    <w:rsid w:val="00C4044D"/>
    <w:rsid w:val="00C4076C"/>
    <w:rsid w:val="00C4139D"/>
    <w:rsid w:val="00C41937"/>
    <w:rsid w:val="00C4500A"/>
    <w:rsid w:val="00C4552E"/>
    <w:rsid w:val="00C4574F"/>
    <w:rsid w:val="00C45C06"/>
    <w:rsid w:val="00C45C2C"/>
    <w:rsid w:val="00C45E66"/>
    <w:rsid w:val="00C45EDF"/>
    <w:rsid w:val="00C46269"/>
    <w:rsid w:val="00C471E2"/>
    <w:rsid w:val="00C47487"/>
    <w:rsid w:val="00C5010E"/>
    <w:rsid w:val="00C517A6"/>
    <w:rsid w:val="00C51F38"/>
    <w:rsid w:val="00C52225"/>
    <w:rsid w:val="00C52F43"/>
    <w:rsid w:val="00C533F1"/>
    <w:rsid w:val="00C53AC8"/>
    <w:rsid w:val="00C53DDD"/>
    <w:rsid w:val="00C54E79"/>
    <w:rsid w:val="00C55874"/>
    <w:rsid w:val="00C5617A"/>
    <w:rsid w:val="00C56430"/>
    <w:rsid w:val="00C5659C"/>
    <w:rsid w:val="00C57DC7"/>
    <w:rsid w:val="00C57E21"/>
    <w:rsid w:val="00C603A5"/>
    <w:rsid w:val="00C60B7B"/>
    <w:rsid w:val="00C60FBD"/>
    <w:rsid w:val="00C61759"/>
    <w:rsid w:val="00C61802"/>
    <w:rsid w:val="00C61BAC"/>
    <w:rsid w:val="00C62076"/>
    <w:rsid w:val="00C622B4"/>
    <w:rsid w:val="00C6236D"/>
    <w:rsid w:val="00C62454"/>
    <w:rsid w:val="00C627A0"/>
    <w:rsid w:val="00C63C96"/>
    <w:rsid w:val="00C64597"/>
    <w:rsid w:val="00C6479D"/>
    <w:rsid w:val="00C65149"/>
    <w:rsid w:val="00C65907"/>
    <w:rsid w:val="00C66414"/>
    <w:rsid w:val="00C67D9F"/>
    <w:rsid w:val="00C71783"/>
    <w:rsid w:val="00C721F1"/>
    <w:rsid w:val="00C726CF"/>
    <w:rsid w:val="00C73608"/>
    <w:rsid w:val="00C74254"/>
    <w:rsid w:val="00C7477F"/>
    <w:rsid w:val="00C748BE"/>
    <w:rsid w:val="00C75331"/>
    <w:rsid w:val="00C75C07"/>
    <w:rsid w:val="00C75EF6"/>
    <w:rsid w:val="00C763BC"/>
    <w:rsid w:val="00C801D8"/>
    <w:rsid w:val="00C81209"/>
    <w:rsid w:val="00C81329"/>
    <w:rsid w:val="00C81C86"/>
    <w:rsid w:val="00C82069"/>
    <w:rsid w:val="00C82DC0"/>
    <w:rsid w:val="00C838A5"/>
    <w:rsid w:val="00C83C54"/>
    <w:rsid w:val="00C84CB2"/>
    <w:rsid w:val="00C861BE"/>
    <w:rsid w:val="00C86533"/>
    <w:rsid w:val="00C868A1"/>
    <w:rsid w:val="00C874E6"/>
    <w:rsid w:val="00C90909"/>
    <w:rsid w:val="00C919D4"/>
    <w:rsid w:val="00C91BDC"/>
    <w:rsid w:val="00C9204C"/>
    <w:rsid w:val="00C92621"/>
    <w:rsid w:val="00C92CFE"/>
    <w:rsid w:val="00C93397"/>
    <w:rsid w:val="00C93D3C"/>
    <w:rsid w:val="00C948B5"/>
    <w:rsid w:val="00C94C12"/>
    <w:rsid w:val="00C9541B"/>
    <w:rsid w:val="00C95DCE"/>
    <w:rsid w:val="00C96448"/>
    <w:rsid w:val="00C966BA"/>
    <w:rsid w:val="00C97649"/>
    <w:rsid w:val="00C97AED"/>
    <w:rsid w:val="00CA0272"/>
    <w:rsid w:val="00CA06BC"/>
    <w:rsid w:val="00CA0BB2"/>
    <w:rsid w:val="00CA1978"/>
    <w:rsid w:val="00CA1B96"/>
    <w:rsid w:val="00CA2518"/>
    <w:rsid w:val="00CA2F1B"/>
    <w:rsid w:val="00CA3446"/>
    <w:rsid w:val="00CA472A"/>
    <w:rsid w:val="00CA4C9D"/>
    <w:rsid w:val="00CA4CB8"/>
    <w:rsid w:val="00CA4E90"/>
    <w:rsid w:val="00CA77C5"/>
    <w:rsid w:val="00CA7FC9"/>
    <w:rsid w:val="00CB0EB7"/>
    <w:rsid w:val="00CB2211"/>
    <w:rsid w:val="00CB2FED"/>
    <w:rsid w:val="00CB42E3"/>
    <w:rsid w:val="00CB49C7"/>
    <w:rsid w:val="00CB5133"/>
    <w:rsid w:val="00CB5217"/>
    <w:rsid w:val="00CB5349"/>
    <w:rsid w:val="00CB5445"/>
    <w:rsid w:val="00CB605A"/>
    <w:rsid w:val="00CB6957"/>
    <w:rsid w:val="00CB7385"/>
    <w:rsid w:val="00CB7847"/>
    <w:rsid w:val="00CB7BD2"/>
    <w:rsid w:val="00CC0D7E"/>
    <w:rsid w:val="00CC1BD8"/>
    <w:rsid w:val="00CC1D37"/>
    <w:rsid w:val="00CC2108"/>
    <w:rsid w:val="00CC220C"/>
    <w:rsid w:val="00CC2AB2"/>
    <w:rsid w:val="00CC2F3C"/>
    <w:rsid w:val="00CC312A"/>
    <w:rsid w:val="00CC3412"/>
    <w:rsid w:val="00CC3B02"/>
    <w:rsid w:val="00CC50CF"/>
    <w:rsid w:val="00CC540D"/>
    <w:rsid w:val="00CC56B9"/>
    <w:rsid w:val="00CC58A3"/>
    <w:rsid w:val="00CC5E59"/>
    <w:rsid w:val="00CD184F"/>
    <w:rsid w:val="00CD1854"/>
    <w:rsid w:val="00CD1ACD"/>
    <w:rsid w:val="00CD2068"/>
    <w:rsid w:val="00CD2C42"/>
    <w:rsid w:val="00CD381E"/>
    <w:rsid w:val="00CD3920"/>
    <w:rsid w:val="00CD4824"/>
    <w:rsid w:val="00CD4FE9"/>
    <w:rsid w:val="00CD5A65"/>
    <w:rsid w:val="00CD65B5"/>
    <w:rsid w:val="00CD7288"/>
    <w:rsid w:val="00CD7B9D"/>
    <w:rsid w:val="00CE0105"/>
    <w:rsid w:val="00CE018C"/>
    <w:rsid w:val="00CE024E"/>
    <w:rsid w:val="00CE06F7"/>
    <w:rsid w:val="00CE11E3"/>
    <w:rsid w:val="00CE1365"/>
    <w:rsid w:val="00CE1396"/>
    <w:rsid w:val="00CE1675"/>
    <w:rsid w:val="00CE1DBA"/>
    <w:rsid w:val="00CE22CD"/>
    <w:rsid w:val="00CE2918"/>
    <w:rsid w:val="00CE3BA3"/>
    <w:rsid w:val="00CE3E0E"/>
    <w:rsid w:val="00CE4CC7"/>
    <w:rsid w:val="00CE5474"/>
    <w:rsid w:val="00CE5486"/>
    <w:rsid w:val="00CE6AF9"/>
    <w:rsid w:val="00CE7FA2"/>
    <w:rsid w:val="00CF085D"/>
    <w:rsid w:val="00CF08F7"/>
    <w:rsid w:val="00CF0E9A"/>
    <w:rsid w:val="00CF1080"/>
    <w:rsid w:val="00CF1C91"/>
    <w:rsid w:val="00CF37C2"/>
    <w:rsid w:val="00CF3F7B"/>
    <w:rsid w:val="00CF4066"/>
    <w:rsid w:val="00CF6F09"/>
    <w:rsid w:val="00CF7BEE"/>
    <w:rsid w:val="00D005C2"/>
    <w:rsid w:val="00D0122A"/>
    <w:rsid w:val="00D01415"/>
    <w:rsid w:val="00D03084"/>
    <w:rsid w:val="00D031AC"/>
    <w:rsid w:val="00D04DC0"/>
    <w:rsid w:val="00D04EDE"/>
    <w:rsid w:val="00D04FE1"/>
    <w:rsid w:val="00D055AC"/>
    <w:rsid w:val="00D0603E"/>
    <w:rsid w:val="00D066E5"/>
    <w:rsid w:val="00D0750C"/>
    <w:rsid w:val="00D07F38"/>
    <w:rsid w:val="00D07FFD"/>
    <w:rsid w:val="00D106D4"/>
    <w:rsid w:val="00D115FB"/>
    <w:rsid w:val="00D12783"/>
    <w:rsid w:val="00D13BAA"/>
    <w:rsid w:val="00D16CBD"/>
    <w:rsid w:val="00D204BE"/>
    <w:rsid w:val="00D220DA"/>
    <w:rsid w:val="00D228B9"/>
    <w:rsid w:val="00D23175"/>
    <w:rsid w:val="00D236AF"/>
    <w:rsid w:val="00D23855"/>
    <w:rsid w:val="00D24FDB"/>
    <w:rsid w:val="00D25720"/>
    <w:rsid w:val="00D25E6B"/>
    <w:rsid w:val="00D26562"/>
    <w:rsid w:val="00D278AA"/>
    <w:rsid w:val="00D278C7"/>
    <w:rsid w:val="00D27FB3"/>
    <w:rsid w:val="00D305FD"/>
    <w:rsid w:val="00D3099D"/>
    <w:rsid w:val="00D3167F"/>
    <w:rsid w:val="00D33377"/>
    <w:rsid w:val="00D33532"/>
    <w:rsid w:val="00D3360B"/>
    <w:rsid w:val="00D33EA6"/>
    <w:rsid w:val="00D35D1C"/>
    <w:rsid w:val="00D36551"/>
    <w:rsid w:val="00D3682E"/>
    <w:rsid w:val="00D36FA4"/>
    <w:rsid w:val="00D3768D"/>
    <w:rsid w:val="00D424AB"/>
    <w:rsid w:val="00D4258C"/>
    <w:rsid w:val="00D42A22"/>
    <w:rsid w:val="00D4323C"/>
    <w:rsid w:val="00D43C47"/>
    <w:rsid w:val="00D43E8C"/>
    <w:rsid w:val="00D43FCF"/>
    <w:rsid w:val="00D442E9"/>
    <w:rsid w:val="00D44425"/>
    <w:rsid w:val="00D445EC"/>
    <w:rsid w:val="00D44EBE"/>
    <w:rsid w:val="00D44F8D"/>
    <w:rsid w:val="00D468A5"/>
    <w:rsid w:val="00D4697C"/>
    <w:rsid w:val="00D479EF"/>
    <w:rsid w:val="00D47CF9"/>
    <w:rsid w:val="00D47E19"/>
    <w:rsid w:val="00D509DE"/>
    <w:rsid w:val="00D50F9D"/>
    <w:rsid w:val="00D5201C"/>
    <w:rsid w:val="00D53324"/>
    <w:rsid w:val="00D533B6"/>
    <w:rsid w:val="00D542AA"/>
    <w:rsid w:val="00D54644"/>
    <w:rsid w:val="00D55875"/>
    <w:rsid w:val="00D56BE8"/>
    <w:rsid w:val="00D5738C"/>
    <w:rsid w:val="00D575E0"/>
    <w:rsid w:val="00D5785F"/>
    <w:rsid w:val="00D603B8"/>
    <w:rsid w:val="00D60711"/>
    <w:rsid w:val="00D62C54"/>
    <w:rsid w:val="00D62F66"/>
    <w:rsid w:val="00D6330D"/>
    <w:rsid w:val="00D63396"/>
    <w:rsid w:val="00D63477"/>
    <w:rsid w:val="00D63D5D"/>
    <w:rsid w:val="00D640B1"/>
    <w:rsid w:val="00D6473A"/>
    <w:rsid w:val="00D648F1"/>
    <w:rsid w:val="00D64DEF"/>
    <w:rsid w:val="00D6533D"/>
    <w:rsid w:val="00D65DBA"/>
    <w:rsid w:val="00D67166"/>
    <w:rsid w:val="00D67F4A"/>
    <w:rsid w:val="00D70582"/>
    <w:rsid w:val="00D70C2D"/>
    <w:rsid w:val="00D72505"/>
    <w:rsid w:val="00D72A78"/>
    <w:rsid w:val="00D72AB1"/>
    <w:rsid w:val="00D730F4"/>
    <w:rsid w:val="00D7331F"/>
    <w:rsid w:val="00D734B2"/>
    <w:rsid w:val="00D73EB0"/>
    <w:rsid w:val="00D74138"/>
    <w:rsid w:val="00D7486F"/>
    <w:rsid w:val="00D74C89"/>
    <w:rsid w:val="00D751B5"/>
    <w:rsid w:val="00D75251"/>
    <w:rsid w:val="00D75F18"/>
    <w:rsid w:val="00D75F5B"/>
    <w:rsid w:val="00D76DD6"/>
    <w:rsid w:val="00D77132"/>
    <w:rsid w:val="00D77B53"/>
    <w:rsid w:val="00D808DF"/>
    <w:rsid w:val="00D80913"/>
    <w:rsid w:val="00D818BD"/>
    <w:rsid w:val="00D81CFC"/>
    <w:rsid w:val="00D81ECE"/>
    <w:rsid w:val="00D821E3"/>
    <w:rsid w:val="00D82538"/>
    <w:rsid w:val="00D83977"/>
    <w:rsid w:val="00D83F7B"/>
    <w:rsid w:val="00D8425E"/>
    <w:rsid w:val="00D85003"/>
    <w:rsid w:val="00D85CB2"/>
    <w:rsid w:val="00D86EEF"/>
    <w:rsid w:val="00D90178"/>
    <w:rsid w:val="00D91723"/>
    <w:rsid w:val="00D919BF"/>
    <w:rsid w:val="00D91E76"/>
    <w:rsid w:val="00D923B2"/>
    <w:rsid w:val="00D92770"/>
    <w:rsid w:val="00D931BD"/>
    <w:rsid w:val="00D93F65"/>
    <w:rsid w:val="00D94CB4"/>
    <w:rsid w:val="00D95E29"/>
    <w:rsid w:val="00D967AB"/>
    <w:rsid w:val="00D968E5"/>
    <w:rsid w:val="00D96A0A"/>
    <w:rsid w:val="00D96A17"/>
    <w:rsid w:val="00D96EB2"/>
    <w:rsid w:val="00D977A4"/>
    <w:rsid w:val="00D97E88"/>
    <w:rsid w:val="00D97EEB"/>
    <w:rsid w:val="00DA06EF"/>
    <w:rsid w:val="00DA088D"/>
    <w:rsid w:val="00DA2297"/>
    <w:rsid w:val="00DA2304"/>
    <w:rsid w:val="00DA2762"/>
    <w:rsid w:val="00DA34C5"/>
    <w:rsid w:val="00DA3609"/>
    <w:rsid w:val="00DA3EAD"/>
    <w:rsid w:val="00DA406D"/>
    <w:rsid w:val="00DA414F"/>
    <w:rsid w:val="00DA4387"/>
    <w:rsid w:val="00DA4400"/>
    <w:rsid w:val="00DA5107"/>
    <w:rsid w:val="00DA548A"/>
    <w:rsid w:val="00DA5568"/>
    <w:rsid w:val="00DA5580"/>
    <w:rsid w:val="00DA5EAA"/>
    <w:rsid w:val="00DA6097"/>
    <w:rsid w:val="00DA6396"/>
    <w:rsid w:val="00DA670E"/>
    <w:rsid w:val="00DB27A6"/>
    <w:rsid w:val="00DB2A8F"/>
    <w:rsid w:val="00DB2B5E"/>
    <w:rsid w:val="00DB2BD3"/>
    <w:rsid w:val="00DB3010"/>
    <w:rsid w:val="00DB3030"/>
    <w:rsid w:val="00DB4172"/>
    <w:rsid w:val="00DB4662"/>
    <w:rsid w:val="00DB5A44"/>
    <w:rsid w:val="00DB6E2A"/>
    <w:rsid w:val="00DB6FC5"/>
    <w:rsid w:val="00DB7C41"/>
    <w:rsid w:val="00DB7CBA"/>
    <w:rsid w:val="00DC018D"/>
    <w:rsid w:val="00DC0DCD"/>
    <w:rsid w:val="00DC149D"/>
    <w:rsid w:val="00DC1A6A"/>
    <w:rsid w:val="00DC1C79"/>
    <w:rsid w:val="00DC341E"/>
    <w:rsid w:val="00DC36E5"/>
    <w:rsid w:val="00DC37EE"/>
    <w:rsid w:val="00DC5C5D"/>
    <w:rsid w:val="00DC6ED9"/>
    <w:rsid w:val="00DC7117"/>
    <w:rsid w:val="00DC76AD"/>
    <w:rsid w:val="00DD02D2"/>
    <w:rsid w:val="00DD05BD"/>
    <w:rsid w:val="00DD0694"/>
    <w:rsid w:val="00DD0E4A"/>
    <w:rsid w:val="00DD1810"/>
    <w:rsid w:val="00DD1DA6"/>
    <w:rsid w:val="00DD31CB"/>
    <w:rsid w:val="00DD32D1"/>
    <w:rsid w:val="00DD3386"/>
    <w:rsid w:val="00DD35C4"/>
    <w:rsid w:val="00DD38B3"/>
    <w:rsid w:val="00DD506B"/>
    <w:rsid w:val="00DD5520"/>
    <w:rsid w:val="00DD7964"/>
    <w:rsid w:val="00DE0A47"/>
    <w:rsid w:val="00DE0DDD"/>
    <w:rsid w:val="00DE11F2"/>
    <w:rsid w:val="00DE2157"/>
    <w:rsid w:val="00DE2315"/>
    <w:rsid w:val="00DE2345"/>
    <w:rsid w:val="00DE2BAD"/>
    <w:rsid w:val="00DE35B9"/>
    <w:rsid w:val="00DE4504"/>
    <w:rsid w:val="00DE5C32"/>
    <w:rsid w:val="00DE63BF"/>
    <w:rsid w:val="00DE7363"/>
    <w:rsid w:val="00DF0840"/>
    <w:rsid w:val="00DF09FF"/>
    <w:rsid w:val="00DF0D00"/>
    <w:rsid w:val="00DF0F57"/>
    <w:rsid w:val="00DF12A3"/>
    <w:rsid w:val="00DF1799"/>
    <w:rsid w:val="00DF1F03"/>
    <w:rsid w:val="00DF2876"/>
    <w:rsid w:val="00DF2C8D"/>
    <w:rsid w:val="00DF2E7B"/>
    <w:rsid w:val="00DF30B4"/>
    <w:rsid w:val="00DF31C8"/>
    <w:rsid w:val="00DF3CBF"/>
    <w:rsid w:val="00DF4431"/>
    <w:rsid w:val="00DF4D89"/>
    <w:rsid w:val="00DF52AA"/>
    <w:rsid w:val="00DF5D7A"/>
    <w:rsid w:val="00DF6482"/>
    <w:rsid w:val="00DF6AA3"/>
    <w:rsid w:val="00DF7ABE"/>
    <w:rsid w:val="00E009C5"/>
    <w:rsid w:val="00E00F45"/>
    <w:rsid w:val="00E01289"/>
    <w:rsid w:val="00E023E3"/>
    <w:rsid w:val="00E02FD8"/>
    <w:rsid w:val="00E032D8"/>
    <w:rsid w:val="00E040AB"/>
    <w:rsid w:val="00E05163"/>
    <w:rsid w:val="00E05386"/>
    <w:rsid w:val="00E058AB"/>
    <w:rsid w:val="00E0594A"/>
    <w:rsid w:val="00E05D02"/>
    <w:rsid w:val="00E05E93"/>
    <w:rsid w:val="00E05EA0"/>
    <w:rsid w:val="00E06B11"/>
    <w:rsid w:val="00E071FA"/>
    <w:rsid w:val="00E073AB"/>
    <w:rsid w:val="00E07FA9"/>
    <w:rsid w:val="00E108E4"/>
    <w:rsid w:val="00E10DED"/>
    <w:rsid w:val="00E11A49"/>
    <w:rsid w:val="00E11B1E"/>
    <w:rsid w:val="00E12090"/>
    <w:rsid w:val="00E12533"/>
    <w:rsid w:val="00E1320A"/>
    <w:rsid w:val="00E1339B"/>
    <w:rsid w:val="00E13412"/>
    <w:rsid w:val="00E14288"/>
    <w:rsid w:val="00E1433C"/>
    <w:rsid w:val="00E1461A"/>
    <w:rsid w:val="00E17883"/>
    <w:rsid w:val="00E206C2"/>
    <w:rsid w:val="00E2221E"/>
    <w:rsid w:val="00E234FB"/>
    <w:rsid w:val="00E242A2"/>
    <w:rsid w:val="00E2579D"/>
    <w:rsid w:val="00E25C29"/>
    <w:rsid w:val="00E2628A"/>
    <w:rsid w:val="00E2673C"/>
    <w:rsid w:val="00E26FF0"/>
    <w:rsid w:val="00E2705D"/>
    <w:rsid w:val="00E27BED"/>
    <w:rsid w:val="00E27C52"/>
    <w:rsid w:val="00E27E5D"/>
    <w:rsid w:val="00E31891"/>
    <w:rsid w:val="00E31EC8"/>
    <w:rsid w:val="00E3230B"/>
    <w:rsid w:val="00E3234C"/>
    <w:rsid w:val="00E33679"/>
    <w:rsid w:val="00E33762"/>
    <w:rsid w:val="00E338C7"/>
    <w:rsid w:val="00E33E87"/>
    <w:rsid w:val="00E34039"/>
    <w:rsid w:val="00E34138"/>
    <w:rsid w:val="00E34181"/>
    <w:rsid w:val="00E35CE7"/>
    <w:rsid w:val="00E35F38"/>
    <w:rsid w:val="00E36A74"/>
    <w:rsid w:val="00E37971"/>
    <w:rsid w:val="00E4191D"/>
    <w:rsid w:val="00E41A3B"/>
    <w:rsid w:val="00E41E00"/>
    <w:rsid w:val="00E423B4"/>
    <w:rsid w:val="00E427A8"/>
    <w:rsid w:val="00E42A2D"/>
    <w:rsid w:val="00E432B3"/>
    <w:rsid w:val="00E432E7"/>
    <w:rsid w:val="00E43413"/>
    <w:rsid w:val="00E43CC7"/>
    <w:rsid w:val="00E43F10"/>
    <w:rsid w:val="00E44831"/>
    <w:rsid w:val="00E449AF"/>
    <w:rsid w:val="00E44A84"/>
    <w:rsid w:val="00E44B25"/>
    <w:rsid w:val="00E45112"/>
    <w:rsid w:val="00E4592D"/>
    <w:rsid w:val="00E4603C"/>
    <w:rsid w:val="00E4618A"/>
    <w:rsid w:val="00E46ADA"/>
    <w:rsid w:val="00E46DFC"/>
    <w:rsid w:val="00E46E59"/>
    <w:rsid w:val="00E46F9E"/>
    <w:rsid w:val="00E4718F"/>
    <w:rsid w:val="00E47593"/>
    <w:rsid w:val="00E47E61"/>
    <w:rsid w:val="00E50098"/>
    <w:rsid w:val="00E504ED"/>
    <w:rsid w:val="00E5053B"/>
    <w:rsid w:val="00E50931"/>
    <w:rsid w:val="00E50C4B"/>
    <w:rsid w:val="00E50DD0"/>
    <w:rsid w:val="00E50E7C"/>
    <w:rsid w:val="00E51330"/>
    <w:rsid w:val="00E51ACF"/>
    <w:rsid w:val="00E53F8F"/>
    <w:rsid w:val="00E54672"/>
    <w:rsid w:val="00E5528A"/>
    <w:rsid w:val="00E60169"/>
    <w:rsid w:val="00E61850"/>
    <w:rsid w:val="00E61856"/>
    <w:rsid w:val="00E62906"/>
    <w:rsid w:val="00E63B57"/>
    <w:rsid w:val="00E649C0"/>
    <w:rsid w:val="00E652BF"/>
    <w:rsid w:val="00E6607E"/>
    <w:rsid w:val="00E6669E"/>
    <w:rsid w:val="00E679D1"/>
    <w:rsid w:val="00E67A17"/>
    <w:rsid w:val="00E705BE"/>
    <w:rsid w:val="00E70A1B"/>
    <w:rsid w:val="00E712D1"/>
    <w:rsid w:val="00E719E8"/>
    <w:rsid w:val="00E721EE"/>
    <w:rsid w:val="00E7373B"/>
    <w:rsid w:val="00E73A23"/>
    <w:rsid w:val="00E7466C"/>
    <w:rsid w:val="00E75BE5"/>
    <w:rsid w:val="00E75C42"/>
    <w:rsid w:val="00E75DC7"/>
    <w:rsid w:val="00E7709F"/>
    <w:rsid w:val="00E80035"/>
    <w:rsid w:val="00E80778"/>
    <w:rsid w:val="00E80D36"/>
    <w:rsid w:val="00E843F4"/>
    <w:rsid w:val="00E846C2"/>
    <w:rsid w:val="00E84A2A"/>
    <w:rsid w:val="00E84EAE"/>
    <w:rsid w:val="00E85302"/>
    <w:rsid w:val="00E85858"/>
    <w:rsid w:val="00E87266"/>
    <w:rsid w:val="00E877C5"/>
    <w:rsid w:val="00E901F0"/>
    <w:rsid w:val="00E906FD"/>
    <w:rsid w:val="00E907FC"/>
    <w:rsid w:val="00E90D55"/>
    <w:rsid w:val="00E90EC5"/>
    <w:rsid w:val="00E948E1"/>
    <w:rsid w:val="00E95075"/>
    <w:rsid w:val="00E95114"/>
    <w:rsid w:val="00E95DE8"/>
    <w:rsid w:val="00E9629D"/>
    <w:rsid w:val="00E9704A"/>
    <w:rsid w:val="00E9706C"/>
    <w:rsid w:val="00EA01FE"/>
    <w:rsid w:val="00EA077C"/>
    <w:rsid w:val="00EA0A82"/>
    <w:rsid w:val="00EA2E0C"/>
    <w:rsid w:val="00EA3860"/>
    <w:rsid w:val="00EA3C97"/>
    <w:rsid w:val="00EA40B4"/>
    <w:rsid w:val="00EA4309"/>
    <w:rsid w:val="00EA44DC"/>
    <w:rsid w:val="00EA45D4"/>
    <w:rsid w:val="00EA4690"/>
    <w:rsid w:val="00EA4879"/>
    <w:rsid w:val="00EA565D"/>
    <w:rsid w:val="00EA5C5C"/>
    <w:rsid w:val="00EA65CF"/>
    <w:rsid w:val="00EA6831"/>
    <w:rsid w:val="00EA6BAE"/>
    <w:rsid w:val="00EA73F7"/>
    <w:rsid w:val="00EA7EBD"/>
    <w:rsid w:val="00EA7ED8"/>
    <w:rsid w:val="00EB00C7"/>
    <w:rsid w:val="00EB0D91"/>
    <w:rsid w:val="00EB0DB1"/>
    <w:rsid w:val="00EB1E31"/>
    <w:rsid w:val="00EB276B"/>
    <w:rsid w:val="00EB2A1D"/>
    <w:rsid w:val="00EB2D76"/>
    <w:rsid w:val="00EB32A5"/>
    <w:rsid w:val="00EB3E86"/>
    <w:rsid w:val="00EB49AB"/>
    <w:rsid w:val="00EB4FD0"/>
    <w:rsid w:val="00EB6DE0"/>
    <w:rsid w:val="00EB7055"/>
    <w:rsid w:val="00EB7DFA"/>
    <w:rsid w:val="00EB7F74"/>
    <w:rsid w:val="00EC0B0B"/>
    <w:rsid w:val="00EC1487"/>
    <w:rsid w:val="00EC153F"/>
    <w:rsid w:val="00EC1F53"/>
    <w:rsid w:val="00EC214F"/>
    <w:rsid w:val="00EC3060"/>
    <w:rsid w:val="00EC367E"/>
    <w:rsid w:val="00EC4548"/>
    <w:rsid w:val="00EC4BE5"/>
    <w:rsid w:val="00EC4C06"/>
    <w:rsid w:val="00EC6142"/>
    <w:rsid w:val="00EC6507"/>
    <w:rsid w:val="00EC6560"/>
    <w:rsid w:val="00EC6BC8"/>
    <w:rsid w:val="00ED04D4"/>
    <w:rsid w:val="00ED0608"/>
    <w:rsid w:val="00ED12D4"/>
    <w:rsid w:val="00ED16F0"/>
    <w:rsid w:val="00ED1B4C"/>
    <w:rsid w:val="00ED29D7"/>
    <w:rsid w:val="00ED2E63"/>
    <w:rsid w:val="00ED3821"/>
    <w:rsid w:val="00ED4606"/>
    <w:rsid w:val="00ED526F"/>
    <w:rsid w:val="00ED664B"/>
    <w:rsid w:val="00ED6665"/>
    <w:rsid w:val="00ED71BB"/>
    <w:rsid w:val="00EE067E"/>
    <w:rsid w:val="00EE3214"/>
    <w:rsid w:val="00EE339D"/>
    <w:rsid w:val="00EE4FAA"/>
    <w:rsid w:val="00EE51B4"/>
    <w:rsid w:val="00EE55D6"/>
    <w:rsid w:val="00EE6981"/>
    <w:rsid w:val="00EE6A5E"/>
    <w:rsid w:val="00EE729F"/>
    <w:rsid w:val="00EE7758"/>
    <w:rsid w:val="00EF09C9"/>
    <w:rsid w:val="00EF0BDD"/>
    <w:rsid w:val="00EF2396"/>
    <w:rsid w:val="00EF3DD8"/>
    <w:rsid w:val="00EF4DA9"/>
    <w:rsid w:val="00EF549C"/>
    <w:rsid w:val="00EF58BA"/>
    <w:rsid w:val="00EF5C8E"/>
    <w:rsid w:val="00EF5C98"/>
    <w:rsid w:val="00EF5CEE"/>
    <w:rsid w:val="00EF763E"/>
    <w:rsid w:val="00F00640"/>
    <w:rsid w:val="00F00842"/>
    <w:rsid w:val="00F00859"/>
    <w:rsid w:val="00F00A96"/>
    <w:rsid w:val="00F00A9D"/>
    <w:rsid w:val="00F0185E"/>
    <w:rsid w:val="00F02B4A"/>
    <w:rsid w:val="00F034DC"/>
    <w:rsid w:val="00F037C7"/>
    <w:rsid w:val="00F03876"/>
    <w:rsid w:val="00F040F7"/>
    <w:rsid w:val="00F04787"/>
    <w:rsid w:val="00F0486A"/>
    <w:rsid w:val="00F04F51"/>
    <w:rsid w:val="00F058A7"/>
    <w:rsid w:val="00F05A65"/>
    <w:rsid w:val="00F05AD9"/>
    <w:rsid w:val="00F05BCC"/>
    <w:rsid w:val="00F06166"/>
    <w:rsid w:val="00F06A0D"/>
    <w:rsid w:val="00F070B9"/>
    <w:rsid w:val="00F0781C"/>
    <w:rsid w:val="00F07A77"/>
    <w:rsid w:val="00F07C5E"/>
    <w:rsid w:val="00F10233"/>
    <w:rsid w:val="00F10D45"/>
    <w:rsid w:val="00F119AE"/>
    <w:rsid w:val="00F12764"/>
    <w:rsid w:val="00F1280C"/>
    <w:rsid w:val="00F13361"/>
    <w:rsid w:val="00F13921"/>
    <w:rsid w:val="00F13C94"/>
    <w:rsid w:val="00F14D2A"/>
    <w:rsid w:val="00F15EA6"/>
    <w:rsid w:val="00F15F97"/>
    <w:rsid w:val="00F1623B"/>
    <w:rsid w:val="00F17350"/>
    <w:rsid w:val="00F1742A"/>
    <w:rsid w:val="00F1788A"/>
    <w:rsid w:val="00F17C3F"/>
    <w:rsid w:val="00F206DF"/>
    <w:rsid w:val="00F20AA2"/>
    <w:rsid w:val="00F20B9E"/>
    <w:rsid w:val="00F224A5"/>
    <w:rsid w:val="00F2308D"/>
    <w:rsid w:val="00F232DC"/>
    <w:rsid w:val="00F23703"/>
    <w:rsid w:val="00F23CC5"/>
    <w:rsid w:val="00F24A78"/>
    <w:rsid w:val="00F2504B"/>
    <w:rsid w:val="00F25727"/>
    <w:rsid w:val="00F259DE"/>
    <w:rsid w:val="00F25B11"/>
    <w:rsid w:val="00F25CBC"/>
    <w:rsid w:val="00F27B7F"/>
    <w:rsid w:val="00F27FB1"/>
    <w:rsid w:val="00F300BD"/>
    <w:rsid w:val="00F30123"/>
    <w:rsid w:val="00F30923"/>
    <w:rsid w:val="00F30E50"/>
    <w:rsid w:val="00F31943"/>
    <w:rsid w:val="00F31970"/>
    <w:rsid w:val="00F33A1B"/>
    <w:rsid w:val="00F33A8F"/>
    <w:rsid w:val="00F35580"/>
    <w:rsid w:val="00F3598B"/>
    <w:rsid w:val="00F35D4A"/>
    <w:rsid w:val="00F360A0"/>
    <w:rsid w:val="00F360D1"/>
    <w:rsid w:val="00F3622D"/>
    <w:rsid w:val="00F367FE"/>
    <w:rsid w:val="00F36A2D"/>
    <w:rsid w:val="00F37D12"/>
    <w:rsid w:val="00F41943"/>
    <w:rsid w:val="00F42733"/>
    <w:rsid w:val="00F42D05"/>
    <w:rsid w:val="00F44778"/>
    <w:rsid w:val="00F44831"/>
    <w:rsid w:val="00F4598A"/>
    <w:rsid w:val="00F4675F"/>
    <w:rsid w:val="00F46B24"/>
    <w:rsid w:val="00F472D5"/>
    <w:rsid w:val="00F47628"/>
    <w:rsid w:val="00F5072E"/>
    <w:rsid w:val="00F50AC0"/>
    <w:rsid w:val="00F50CD5"/>
    <w:rsid w:val="00F5102F"/>
    <w:rsid w:val="00F51724"/>
    <w:rsid w:val="00F517A2"/>
    <w:rsid w:val="00F5207C"/>
    <w:rsid w:val="00F5278D"/>
    <w:rsid w:val="00F53C7C"/>
    <w:rsid w:val="00F549BE"/>
    <w:rsid w:val="00F54D44"/>
    <w:rsid w:val="00F55211"/>
    <w:rsid w:val="00F56A39"/>
    <w:rsid w:val="00F56FC3"/>
    <w:rsid w:val="00F60B47"/>
    <w:rsid w:val="00F60CAC"/>
    <w:rsid w:val="00F615AA"/>
    <w:rsid w:val="00F61A0F"/>
    <w:rsid w:val="00F61D07"/>
    <w:rsid w:val="00F624C3"/>
    <w:rsid w:val="00F637B2"/>
    <w:rsid w:val="00F638CC"/>
    <w:rsid w:val="00F63AA6"/>
    <w:rsid w:val="00F64072"/>
    <w:rsid w:val="00F64A83"/>
    <w:rsid w:val="00F653A2"/>
    <w:rsid w:val="00F65652"/>
    <w:rsid w:val="00F658A6"/>
    <w:rsid w:val="00F6601F"/>
    <w:rsid w:val="00F66436"/>
    <w:rsid w:val="00F672F6"/>
    <w:rsid w:val="00F67623"/>
    <w:rsid w:val="00F67F6B"/>
    <w:rsid w:val="00F7030B"/>
    <w:rsid w:val="00F707D8"/>
    <w:rsid w:val="00F719CA"/>
    <w:rsid w:val="00F738C1"/>
    <w:rsid w:val="00F756A4"/>
    <w:rsid w:val="00F759EB"/>
    <w:rsid w:val="00F7611A"/>
    <w:rsid w:val="00F769C0"/>
    <w:rsid w:val="00F76E81"/>
    <w:rsid w:val="00F773C2"/>
    <w:rsid w:val="00F77B70"/>
    <w:rsid w:val="00F77D2D"/>
    <w:rsid w:val="00F811EF"/>
    <w:rsid w:val="00F81258"/>
    <w:rsid w:val="00F815E3"/>
    <w:rsid w:val="00F82B7C"/>
    <w:rsid w:val="00F82ECF"/>
    <w:rsid w:val="00F83151"/>
    <w:rsid w:val="00F83501"/>
    <w:rsid w:val="00F8352F"/>
    <w:rsid w:val="00F842A9"/>
    <w:rsid w:val="00F845BD"/>
    <w:rsid w:val="00F84A80"/>
    <w:rsid w:val="00F85302"/>
    <w:rsid w:val="00F86082"/>
    <w:rsid w:val="00F8651D"/>
    <w:rsid w:val="00F8659A"/>
    <w:rsid w:val="00F86CB1"/>
    <w:rsid w:val="00F878F9"/>
    <w:rsid w:val="00F87917"/>
    <w:rsid w:val="00F87998"/>
    <w:rsid w:val="00F87CEE"/>
    <w:rsid w:val="00F9028C"/>
    <w:rsid w:val="00F9077E"/>
    <w:rsid w:val="00F91B9E"/>
    <w:rsid w:val="00F9205D"/>
    <w:rsid w:val="00F9263B"/>
    <w:rsid w:val="00F927C1"/>
    <w:rsid w:val="00F93712"/>
    <w:rsid w:val="00F946D0"/>
    <w:rsid w:val="00F951EA"/>
    <w:rsid w:val="00F96BA8"/>
    <w:rsid w:val="00F96D2B"/>
    <w:rsid w:val="00F97114"/>
    <w:rsid w:val="00F9731D"/>
    <w:rsid w:val="00F97C88"/>
    <w:rsid w:val="00FA0237"/>
    <w:rsid w:val="00FA1A5E"/>
    <w:rsid w:val="00FA1E82"/>
    <w:rsid w:val="00FA237D"/>
    <w:rsid w:val="00FA320C"/>
    <w:rsid w:val="00FA3C10"/>
    <w:rsid w:val="00FA405E"/>
    <w:rsid w:val="00FA548B"/>
    <w:rsid w:val="00FA5BF8"/>
    <w:rsid w:val="00FA60B6"/>
    <w:rsid w:val="00FA69A0"/>
    <w:rsid w:val="00FA6B00"/>
    <w:rsid w:val="00FA6C87"/>
    <w:rsid w:val="00FA781B"/>
    <w:rsid w:val="00FA7EFC"/>
    <w:rsid w:val="00FB0BE8"/>
    <w:rsid w:val="00FB0CD9"/>
    <w:rsid w:val="00FB1871"/>
    <w:rsid w:val="00FB2A68"/>
    <w:rsid w:val="00FB2C93"/>
    <w:rsid w:val="00FB38D0"/>
    <w:rsid w:val="00FB3DF6"/>
    <w:rsid w:val="00FB482C"/>
    <w:rsid w:val="00FB552B"/>
    <w:rsid w:val="00FB6BBA"/>
    <w:rsid w:val="00FB76D6"/>
    <w:rsid w:val="00FB7725"/>
    <w:rsid w:val="00FB7CFC"/>
    <w:rsid w:val="00FC05BC"/>
    <w:rsid w:val="00FC08EF"/>
    <w:rsid w:val="00FC0EF4"/>
    <w:rsid w:val="00FC12F4"/>
    <w:rsid w:val="00FC1C59"/>
    <w:rsid w:val="00FC1D9E"/>
    <w:rsid w:val="00FC2C3D"/>
    <w:rsid w:val="00FC2D88"/>
    <w:rsid w:val="00FC2E75"/>
    <w:rsid w:val="00FC4921"/>
    <w:rsid w:val="00FC51D4"/>
    <w:rsid w:val="00FC6AA7"/>
    <w:rsid w:val="00FC6DBE"/>
    <w:rsid w:val="00FD020E"/>
    <w:rsid w:val="00FD1402"/>
    <w:rsid w:val="00FD1DFC"/>
    <w:rsid w:val="00FD1E79"/>
    <w:rsid w:val="00FD31A8"/>
    <w:rsid w:val="00FD3C3A"/>
    <w:rsid w:val="00FD3DD3"/>
    <w:rsid w:val="00FD487E"/>
    <w:rsid w:val="00FD48C9"/>
    <w:rsid w:val="00FD4DBF"/>
    <w:rsid w:val="00FD74A6"/>
    <w:rsid w:val="00FD7516"/>
    <w:rsid w:val="00FD7987"/>
    <w:rsid w:val="00FD79EC"/>
    <w:rsid w:val="00FE0169"/>
    <w:rsid w:val="00FE1832"/>
    <w:rsid w:val="00FE2558"/>
    <w:rsid w:val="00FE292F"/>
    <w:rsid w:val="00FE2A45"/>
    <w:rsid w:val="00FE42D7"/>
    <w:rsid w:val="00FE4897"/>
    <w:rsid w:val="00FE5377"/>
    <w:rsid w:val="00FE6950"/>
    <w:rsid w:val="00FE6A4F"/>
    <w:rsid w:val="00FE74C5"/>
    <w:rsid w:val="00FE77DB"/>
    <w:rsid w:val="00FE7CEA"/>
    <w:rsid w:val="00FF03AB"/>
    <w:rsid w:val="00FF1038"/>
    <w:rsid w:val="00FF1220"/>
    <w:rsid w:val="00FF1C4D"/>
    <w:rsid w:val="00FF3195"/>
    <w:rsid w:val="00FF39C7"/>
    <w:rsid w:val="00FF3BD5"/>
    <w:rsid w:val="00FF3C1F"/>
    <w:rsid w:val="00FF4985"/>
    <w:rsid w:val="00FF4C5E"/>
    <w:rsid w:val="00FF518F"/>
    <w:rsid w:val="00FF5B9C"/>
    <w:rsid w:val="00FF6B5A"/>
    <w:rsid w:val="00FF79BF"/>
    <w:rsid w:val="00FF7F8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D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725E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2"/>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3"/>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4"/>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semiHidden/>
    <w:rsid w:val="00BC3EA0"/>
    <w:rPr>
      <w:rFonts w:ascii="Arial" w:hAnsi="Arial"/>
      <w:color w:val="auto"/>
      <w:position w:val="8"/>
      <w:sz w:val="16"/>
    </w:rPr>
  </w:style>
  <w:style w:type="paragraph" w:styleId="FootnoteText">
    <w:name w:val="footnote text"/>
    <w:basedOn w:val="Normal"/>
    <w:link w:val="FootnoteTextChar"/>
    <w:uiPriority w:val="99"/>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725E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6"/>
      </w:numPr>
      <w:autoSpaceDE w:val="0"/>
      <w:autoSpaceDN w:val="0"/>
      <w:adjustRightInd w:val="0"/>
      <w:spacing w:before="60" w:after="60"/>
    </w:pPr>
    <w:rPr>
      <w:rFonts w:cs="GillSans"/>
      <w:szCs w:val="22"/>
      <w:lang w:eastAsia="en-AU"/>
    </w:rPr>
  </w:style>
  <w:style w:type="character" w:customStyle="1" w:styleId="ListParagraphChar">
    <w:name w:val="List Paragraph Char"/>
    <w:link w:val="ListParagraph"/>
    <w:uiPriority w:val="34"/>
    <w:locked/>
    <w:rsid w:val="000066F8"/>
    <w:rPr>
      <w:rFonts w:ascii="Arial" w:eastAsia="Times New Roman" w:hAnsi="Arial"/>
      <w:sz w:val="22"/>
      <w:lang w:val="en-GB" w:eastAsia="en-GB"/>
    </w:rPr>
  </w:style>
  <w:style w:type="paragraph" w:styleId="ListBullet">
    <w:name w:val="List Bullet"/>
    <w:basedOn w:val="Normal"/>
    <w:uiPriority w:val="99"/>
    <w:unhideWhenUsed/>
    <w:rsid w:val="00000E3F"/>
    <w:pPr>
      <w:numPr>
        <w:numId w:val="22"/>
      </w:numPr>
      <w:contextualSpacing/>
    </w:pPr>
  </w:style>
  <w:style w:type="paragraph" w:customStyle="1" w:styleId="NumberedParagraph">
    <w:name w:val="Numbered Paragraph"/>
    <w:basedOn w:val="Normal"/>
    <w:qFormat/>
    <w:rsid w:val="0030167A"/>
    <w:pPr>
      <w:numPr>
        <w:numId w:val="23"/>
      </w:numPr>
      <w:spacing w:after="200" w:line="240" w:lineRule="auto"/>
      <w:jc w:val="both"/>
    </w:pPr>
    <w:rPr>
      <w:rFonts w:ascii="Verdana" w:eastAsiaTheme="minorHAnsi" w:hAnsi="Verdana" w:cstheme="minorBidi"/>
      <w:sz w:val="20"/>
      <w:szCs w:val="23"/>
      <w:lang w:val="en-NZ" w:eastAsia="en-NZ"/>
    </w:rPr>
  </w:style>
  <w:style w:type="paragraph" w:styleId="EndnoteText">
    <w:name w:val="endnote text"/>
    <w:basedOn w:val="Normal"/>
    <w:link w:val="EndnoteTextChar"/>
    <w:uiPriority w:val="99"/>
    <w:semiHidden/>
    <w:unhideWhenUsed/>
    <w:rsid w:val="00C12D56"/>
    <w:pPr>
      <w:spacing w:after="0" w:line="240" w:lineRule="auto"/>
    </w:pPr>
    <w:rPr>
      <w:sz w:val="20"/>
    </w:rPr>
  </w:style>
  <w:style w:type="character" w:customStyle="1" w:styleId="EndnoteTextChar">
    <w:name w:val="Endnote Text Char"/>
    <w:basedOn w:val="DefaultParagraphFont"/>
    <w:link w:val="EndnoteText"/>
    <w:uiPriority w:val="99"/>
    <w:semiHidden/>
    <w:rsid w:val="00C12D56"/>
    <w:rPr>
      <w:rFonts w:ascii="Arial" w:eastAsia="Times New Roman" w:hAnsi="Arial"/>
      <w:lang w:val="en-GB" w:eastAsia="en-GB"/>
    </w:rPr>
  </w:style>
  <w:style w:type="character" w:styleId="EndnoteReference">
    <w:name w:val="endnote reference"/>
    <w:basedOn w:val="DefaultParagraphFont"/>
    <w:uiPriority w:val="99"/>
    <w:semiHidden/>
    <w:unhideWhenUsed/>
    <w:rsid w:val="00C12D56"/>
    <w:rPr>
      <w:vertAlign w:val="superscript"/>
    </w:rPr>
  </w:style>
  <w:style w:type="character" w:styleId="UnresolvedMention">
    <w:name w:val="Unresolved Mention"/>
    <w:basedOn w:val="DefaultParagraphFont"/>
    <w:uiPriority w:val="99"/>
    <w:unhideWhenUsed/>
    <w:rsid w:val="00F259DE"/>
    <w:rPr>
      <w:color w:val="605E5C"/>
      <w:shd w:val="clear" w:color="auto" w:fill="E1DFDD"/>
    </w:rPr>
  </w:style>
  <w:style w:type="character" w:styleId="Mention">
    <w:name w:val="Mention"/>
    <w:basedOn w:val="DefaultParagraphFont"/>
    <w:uiPriority w:val="99"/>
    <w:unhideWhenUsed/>
    <w:rsid w:val="00F259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968">
      <w:bodyDiv w:val="1"/>
      <w:marLeft w:val="0"/>
      <w:marRight w:val="0"/>
      <w:marTop w:val="0"/>
      <w:marBottom w:val="0"/>
      <w:divBdr>
        <w:top w:val="none" w:sz="0" w:space="0" w:color="auto"/>
        <w:left w:val="none" w:sz="0" w:space="0" w:color="auto"/>
        <w:bottom w:val="none" w:sz="0" w:space="0" w:color="auto"/>
        <w:right w:val="none" w:sz="0" w:space="0" w:color="auto"/>
      </w:divBdr>
    </w:div>
    <w:div w:id="148177376">
      <w:bodyDiv w:val="1"/>
      <w:marLeft w:val="0"/>
      <w:marRight w:val="0"/>
      <w:marTop w:val="0"/>
      <w:marBottom w:val="0"/>
      <w:divBdr>
        <w:top w:val="none" w:sz="0" w:space="0" w:color="auto"/>
        <w:left w:val="none" w:sz="0" w:space="0" w:color="auto"/>
        <w:bottom w:val="none" w:sz="0" w:space="0" w:color="auto"/>
        <w:right w:val="none" w:sz="0" w:space="0" w:color="auto"/>
      </w:divBdr>
    </w:div>
    <w:div w:id="416488636">
      <w:bodyDiv w:val="1"/>
      <w:marLeft w:val="0"/>
      <w:marRight w:val="0"/>
      <w:marTop w:val="0"/>
      <w:marBottom w:val="0"/>
      <w:divBdr>
        <w:top w:val="none" w:sz="0" w:space="0" w:color="auto"/>
        <w:left w:val="none" w:sz="0" w:space="0" w:color="auto"/>
        <w:bottom w:val="none" w:sz="0" w:space="0" w:color="auto"/>
        <w:right w:val="none" w:sz="0" w:space="0" w:color="auto"/>
      </w:divBdr>
    </w:div>
    <w:div w:id="852765321">
      <w:bodyDiv w:val="1"/>
      <w:marLeft w:val="0"/>
      <w:marRight w:val="0"/>
      <w:marTop w:val="0"/>
      <w:marBottom w:val="0"/>
      <w:divBdr>
        <w:top w:val="none" w:sz="0" w:space="0" w:color="auto"/>
        <w:left w:val="none" w:sz="0" w:space="0" w:color="auto"/>
        <w:bottom w:val="none" w:sz="0" w:space="0" w:color="auto"/>
        <w:right w:val="none" w:sz="0" w:space="0" w:color="auto"/>
      </w:divBdr>
    </w:div>
    <w:div w:id="1248030496">
      <w:bodyDiv w:val="1"/>
      <w:marLeft w:val="0"/>
      <w:marRight w:val="0"/>
      <w:marTop w:val="0"/>
      <w:marBottom w:val="0"/>
      <w:divBdr>
        <w:top w:val="none" w:sz="0" w:space="0" w:color="auto"/>
        <w:left w:val="none" w:sz="0" w:space="0" w:color="auto"/>
        <w:bottom w:val="none" w:sz="0" w:space="0" w:color="auto"/>
        <w:right w:val="none" w:sz="0" w:space="0" w:color="auto"/>
      </w:divBdr>
    </w:div>
    <w:div w:id="1375232470">
      <w:bodyDiv w:val="1"/>
      <w:marLeft w:val="0"/>
      <w:marRight w:val="0"/>
      <w:marTop w:val="0"/>
      <w:marBottom w:val="0"/>
      <w:divBdr>
        <w:top w:val="none" w:sz="0" w:space="0" w:color="auto"/>
        <w:left w:val="none" w:sz="0" w:space="0" w:color="auto"/>
        <w:bottom w:val="none" w:sz="0" w:space="0" w:color="auto"/>
        <w:right w:val="none" w:sz="0" w:space="0" w:color="auto"/>
      </w:divBdr>
    </w:div>
    <w:div w:id="1469322101">
      <w:bodyDiv w:val="1"/>
      <w:marLeft w:val="0"/>
      <w:marRight w:val="0"/>
      <w:marTop w:val="0"/>
      <w:marBottom w:val="0"/>
      <w:divBdr>
        <w:top w:val="none" w:sz="0" w:space="0" w:color="auto"/>
        <w:left w:val="none" w:sz="0" w:space="0" w:color="auto"/>
        <w:bottom w:val="none" w:sz="0" w:space="0" w:color="auto"/>
        <w:right w:val="none" w:sz="0" w:space="0" w:color="auto"/>
      </w:divBdr>
    </w:div>
    <w:div w:id="1489396107">
      <w:bodyDiv w:val="1"/>
      <w:marLeft w:val="0"/>
      <w:marRight w:val="0"/>
      <w:marTop w:val="0"/>
      <w:marBottom w:val="0"/>
      <w:divBdr>
        <w:top w:val="none" w:sz="0" w:space="0" w:color="auto"/>
        <w:left w:val="none" w:sz="0" w:space="0" w:color="auto"/>
        <w:bottom w:val="none" w:sz="0" w:space="0" w:color="auto"/>
        <w:right w:val="none" w:sz="0" w:space="0" w:color="auto"/>
      </w:divBdr>
    </w:div>
    <w:div w:id="1640769220">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833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thespinoff.co.nz/politics/13-09-2020/labour-and-national-promise-to-lock-in-existing-unfairness-in-nzs-tax-system/" TargetMode="External"/><Relationship Id="rId3" Type="http://schemas.openxmlformats.org/officeDocument/2006/relationships/hyperlink" Target="https://www.stuff.co.nz/business/122708323/labours-ultracautious-tax-policy-will-be-a-relief-to-the-wealthy" TargetMode="External"/><Relationship Id="rId7" Type="http://schemas.openxmlformats.org/officeDocument/2006/relationships/hyperlink" Target="https://www.nzherald.co.nz/nz/election-2020-labours-balanced-tax-plan-draws-flak-from-political-allies-and-rich-lister/GL4F6L7GPA456TUXLNKZPPVCDY/" TargetMode="External"/><Relationship Id="rId2" Type="http://schemas.openxmlformats.org/officeDocument/2006/relationships/hyperlink" Target="https://www2.deloitte.com/content/dam/Deloitte/nz/Documents/public-sector/businessnz-2020-election-survey.pdf" TargetMode="External"/><Relationship Id="rId1" Type="http://schemas.openxmlformats.org/officeDocument/2006/relationships/hyperlink" Target="https://www.newshub.co.nz/home/politics/2020/08/newshub-reid-research-poll-half-of-kiwis-support-taxing-biggest-earners-at-higher-rate.html" TargetMode="External"/><Relationship Id="rId6" Type="http://schemas.openxmlformats.org/officeDocument/2006/relationships/hyperlink" Target="https://www.stuff.co.nz/business/122712011/wealthy-could-mostly-get-around-the-39-top-tax-rate-experts-say" TargetMode="External"/><Relationship Id="rId5" Type="http://schemas.openxmlformats.org/officeDocument/2006/relationships/hyperlink" Target="https://thespinoff.co.nz/business/16-09-2020/labours-dead-end-tax-policy-is-straight-out-of-last-century/" TargetMode="External"/><Relationship Id="rId4" Type="http://schemas.openxmlformats.org/officeDocument/2006/relationships/hyperlink" Target="https://www.stuff.co.nz/business/123131106/labours-promised-tax-hike-may-create-rush-to-tax-lawyers" TargetMode="External"/><Relationship Id="rId9" Type="http://schemas.openxmlformats.org/officeDocument/2006/relationships/hyperlink" Target="https://www2.deloitte.com/content/dam/Deloitte/nz/Documents/tax/Tax-alert/2020/nz-en-tax-alert-nove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f2116b-51b8-4a6f-8648-0c472a1911ee">
      <Terms xmlns="http://schemas.microsoft.com/office/infopath/2007/PartnerControls"/>
    </lcf76f155ced4ddcb4097134ff3c332f>
    <TaxCatchAll xmlns="a4a9dc13-bb31-46d7-b689-a0a4d48a0c28">
      <Value>3</Value>
      <Value>2</Value>
      <Value>1</Value>
    </TaxCatchAll>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haredWithUsers xmlns="a4a9dc13-bb31-46d7-b689-a0a4d48a0c28">
      <UserInfo>
        <DisplayName/>
        <AccountId xsi:nil="true"/>
        <AccountType/>
      </UserInfo>
    </SharedWithUsers>
    <wic_System_Copyright xmlns="http://schemas.microsoft.com/sharepoint/v3/fields">Inland Revenue NZ</wic_System_Copyright>
    <_Version xmlns="http://schemas.microsoft.com/sharepoint/v3/fields" xsi:nil="true"/>
  </documentManagement>
</p:properties>
</file>

<file path=customXml/itemProps1.xml><?xml version="1.0" encoding="utf-8"?>
<ds:datastoreItem xmlns:ds="http://schemas.openxmlformats.org/officeDocument/2006/customXml" ds:itemID="{86361C18-9536-4B29-A8E0-1CA8F5F5D5B3}"/>
</file>

<file path=customXml/itemProps2.xml><?xml version="1.0" encoding="utf-8"?>
<ds:datastoreItem xmlns:ds="http://schemas.openxmlformats.org/officeDocument/2006/customXml" ds:itemID="{6959B927-ED65-4578-944A-E48F1C684E0C}"/>
</file>

<file path=customXml/itemProps3.xml><?xml version="1.0" encoding="utf-8"?>
<ds:datastoreItem xmlns:ds="http://schemas.openxmlformats.org/officeDocument/2006/customXml" ds:itemID="{3CB0099D-51E8-418C-8883-AC376CD2210F}"/>
</file>

<file path=docProps/app.xml><?xml version="1.0" encoding="utf-8"?>
<Properties xmlns="http://schemas.openxmlformats.org/officeDocument/2006/extended-properties" xmlns:vt="http://schemas.openxmlformats.org/officeDocument/2006/docPropsVTypes">
  <Template>Normal.dotm</Template>
  <TotalTime>0</TotalTime>
  <Pages>36</Pages>
  <Words>12117</Words>
  <Characters>69073</Characters>
  <Application>Microsoft Office Word</Application>
  <DocSecurity>0</DocSecurity>
  <Lines>575</Lines>
  <Paragraphs>162</Paragraphs>
  <ScaleCrop>false</ScaleCrop>
  <Company/>
  <LinksUpToDate>false</LinksUpToDate>
  <CharactersWithSpaces>81028</CharactersWithSpaces>
  <SharedDoc>false</SharedDoc>
  <HLinks>
    <vt:vector size="6" baseType="variant">
      <vt:variant>
        <vt:i4>4456573</vt:i4>
      </vt:variant>
      <vt:variant>
        <vt:i4>0</vt:i4>
      </vt:variant>
      <vt:variant>
        <vt:i4>0</vt:i4>
      </vt:variant>
      <vt:variant>
        <vt:i4>5</vt:i4>
      </vt:variant>
      <vt:variant>
        <vt:lpwstr>mailto:David.Cuellar@ird.govt.nz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2022-04-13T02:34:00Z</dcterms:created>
  <dcterms:modified xsi:type="dcterms:W3CDTF">2022-04-13T02:35:00Z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MSIP_Label_993bc26a-ca06-4f83-a49a-54da0c892e4f_ContentBits">
    <vt:lpwstr>0</vt:lpwstr>
  </property>
  <property fmtid="{D5CDD505-2E9C-101B-9397-08002B2CF9AE}" pid="4" name="Order">
    <vt:r8>14852800</vt:r8>
  </property>
  <property fmtid="{D5CDD505-2E9C-101B-9397-08002B2CF9AE}" pid="5" name="MSIP_Label_993bc26a-ca06-4f83-a49a-54da0c892e4f_SiteId">
    <vt:lpwstr>fb39e3e9-23a9-404e-93a2-b42a87d94f35</vt:lpwstr>
  </property>
  <property fmtid="{D5CDD505-2E9C-101B-9397-08002B2CF9AE}" pid="6" name="MSIP_Label_993bc26a-ca06-4f83-a49a-54da0c892e4f_Method">
    <vt:lpwstr>Privileged</vt:lpwstr>
  </property>
  <property fmtid="{D5CDD505-2E9C-101B-9397-08002B2CF9AE}" pid="7" name="MSIP_Label_993bc26a-ca06-4f83-a49a-54da0c892e4f_SetDate">
    <vt:lpwstr>2022-04-13T00:30:27Z</vt:lpwstr>
  </property>
  <property fmtid="{D5CDD505-2E9C-101B-9397-08002B2CF9AE}" pid="8" name="MSIP_Label_993bc26a-ca06-4f83-a49a-54da0c892e4f_ActionId">
    <vt:lpwstr>24539e72-63b4-40b5-b579-d9363c76d659</vt:lpwstr>
  </property>
  <property fmtid="{D5CDD505-2E9C-101B-9397-08002B2CF9AE}" pid="9" name="BusinessUnit">
    <vt:lpwstr>2;#Policy ＆ Regulatory Stewardship|5c6da56c-2219-46c1-9c7b-c15fc3fd45a5</vt:lpwstr>
  </property>
  <property fmtid="{D5CDD505-2E9C-101B-9397-08002B2CF9AE}" pid="10" name="MediaServiceImageTags">
    <vt:lpwstr/>
  </property>
  <property fmtid="{D5CDD505-2E9C-101B-9397-08002B2CF9AE}" pid="11" name="ContentTypeId">
    <vt:lpwstr>0x0101000B461733DE48CC4985E239AAFC9C41590100670D0BD9AB7101418FC69E4F42B3A5BC</vt:lpwstr>
  </property>
  <property fmtid="{D5CDD505-2E9C-101B-9397-08002B2CF9AE}" pid="12" name="SecurityClassification">
    <vt:lpwstr>3;#In Confidence|5fccf67f-7cb1-4561-8450-fe0d2ea19178</vt:lpwstr>
  </property>
  <property fmtid="{D5CDD505-2E9C-101B-9397-08002B2CF9AE}" pid="13" name="ComplianceAssetId">
    <vt:lpwstr/>
  </property>
  <property fmtid="{D5CDD505-2E9C-101B-9397-08002B2CF9AE}" pid="14" name="MSIP_Label_993bc26a-ca06-4f83-a49a-54da0c892e4f_Name">
    <vt:lpwstr>993bc26a-ca06-4f83-a49a-54da0c892e4f</vt:lpwstr>
  </property>
  <property fmtid="{D5CDD505-2E9C-101B-9397-08002B2CF9AE}" pid="15" name="_ExtendedDescription">
    <vt:lpwstr/>
  </property>
  <property fmtid="{D5CDD505-2E9C-101B-9397-08002B2CF9AE}" pid="16" name="MSIP_Label_993bc26a-ca06-4f83-a49a-54da0c892e4f_Enabled">
    <vt:lpwstr>true</vt:lpwstr>
  </property>
  <property fmtid="{D5CDD505-2E9C-101B-9397-08002B2CF9AE}" pid="17" name="TriggerFlowInfo">
    <vt:lpwstr/>
  </property>
  <property fmtid="{D5CDD505-2E9C-101B-9397-08002B2CF9AE}" pid="18" name="BusinessActivity">
    <vt:lpwstr>1;#Tax policy work|c05dfd7c-a5ba-47bf-969f-3422104229d3</vt:lpwstr>
  </property>
  <property fmtid="{D5CDD505-2E9C-101B-9397-08002B2CF9AE}" pid="19" name="DocumentStatus">
    <vt:lpwstr/>
  </property>
</Properties>
</file>