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56A2" w14:textId="77777777" w:rsidR="00E92509" w:rsidRPr="0067537D" w:rsidRDefault="00BA08C7" w:rsidP="00293FDC">
      <w:pPr>
        <w:pStyle w:val="Heading1"/>
        <w:spacing w:before="0"/>
      </w:pPr>
      <w:bookmarkStart w:id="0" w:name="_GoBack"/>
      <w:bookmarkEnd w:id="0"/>
      <w:r w:rsidRPr="00B952B7">
        <w:t>Impact Sum</w:t>
      </w:r>
      <w:r w:rsidRPr="006D3130">
        <w:t>m</w:t>
      </w:r>
      <w:r w:rsidRPr="00B952B7">
        <w:t>ary</w:t>
      </w:r>
      <w:r w:rsidR="00783846" w:rsidRPr="00957BC2">
        <w:t>:</w:t>
      </w:r>
      <w:r w:rsidR="007C77B1" w:rsidRPr="00957BC2">
        <w:t xml:space="preserve"> </w:t>
      </w:r>
      <w:r w:rsidR="005773D5">
        <w:t>Lowering the</w:t>
      </w:r>
      <w:r w:rsidR="00CE3989">
        <w:t xml:space="preserve"> student loan</w:t>
      </w:r>
      <w:r w:rsidR="005773D5">
        <w:t xml:space="preserve"> repayment threshold for non-salary and wage income</w:t>
      </w:r>
      <w:r w:rsidR="00B6562B">
        <w:t xml:space="preserve"> and repealing withholding changes for student loan income</w:t>
      </w:r>
    </w:p>
    <w:p w14:paraId="16634DC2" w14:textId="77777777" w:rsidR="00E57521" w:rsidRPr="00E57521" w:rsidRDefault="00E57521" w:rsidP="00EC6FAD">
      <w:pPr>
        <w:pStyle w:val="spacer"/>
        <w:rPr>
          <w:w w:val="90"/>
          <w:sz w:val="22"/>
        </w:rPr>
      </w:pPr>
    </w:p>
    <w:p w14:paraId="7AAADB32" w14:textId="77777777" w:rsidR="00E92509" w:rsidRPr="00B952B7" w:rsidRDefault="00E92509" w:rsidP="00293FDC">
      <w:pPr>
        <w:pStyle w:val="Heading2"/>
      </w:pPr>
      <w:r w:rsidRPr="00B952B7">
        <w:t>Section 1: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14:paraId="569C8F4E" w14:textId="77777777" w:rsidTr="00326BDA">
        <w:tc>
          <w:tcPr>
            <w:tcW w:w="5000" w:type="pct"/>
            <w:shd w:val="clear" w:color="auto" w:fill="99CDDD"/>
            <w:hideMark/>
          </w:tcPr>
          <w:p w14:paraId="07A8178F" w14:textId="77777777" w:rsidR="00DA39FD" w:rsidRPr="00AE4D46" w:rsidRDefault="00217894" w:rsidP="00EC6FAD">
            <w:pPr>
              <w:pStyle w:val="TableHeadings"/>
              <w:rPr>
                <w:color w:val="002060"/>
                <w:szCs w:val="22"/>
              </w:rPr>
            </w:pPr>
            <w:r w:rsidRPr="00886DFF">
              <w:rPr>
                <w:szCs w:val="22"/>
              </w:rPr>
              <w:t>Purpose</w:t>
            </w:r>
          </w:p>
        </w:tc>
      </w:tr>
      <w:tr w:rsidR="00DA39FD" w:rsidRPr="0069218C" w14:paraId="3166C4D4" w14:textId="77777777" w:rsidTr="00326BDA">
        <w:trPr>
          <w:trHeight w:val="680"/>
        </w:trPr>
        <w:tc>
          <w:tcPr>
            <w:tcW w:w="5000" w:type="pct"/>
            <w:shd w:val="clear" w:color="auto" w:fill="auto"/>
          </w:tcPr>
          <w:p w14:paraId="4F3292AE" w14:textId="77777777" w:rsidR="00DA39FD" w:rsidRDefault="005773D5" w:rsidP="007A088C">
            <w:pPr>
              <w:spacing w:after="0" w:line="240" w:lineRule="auto"/>
              <w:rPr>
                <w:szCs w:val="22"/>
              </w:rPr>
            </w:pPr>
            <w:r w:rsidRPr="005773D5">
              <w:rPr>
                <w:rFonts w:cs="Arial"/>
                <w:color w:val="000000"/>
                <w:szCs w:val="22"/>
              </w:rPr>
              <w:t xml:space="preserve">Inland Revenue </w:t>
            </w:r>
            <w:r w:rsidR="00BE6490">
              <w:rPr>
                <w:rFonts w:cs="Arial"/>
                <w:color w:val="000000"/>
                <w:szCs w:val="22"/>
              </w:rPr>
              <w:t xml:space="preserve">is </w:t>
            </w:r>
            <w:r w:rsidR="00DA39FD" w:rsidRPr="00886DFF">
              <w:rPr>
                <w:rFonts w:cs="Arial"/>
                <w:color w:val="000000"/>
                <w:szCs w:val="22"/>
              </w:rPr>
              <w:t xml:space="preserve">responsible for the analysis and advice set out in this Regulatory Impact Statement, except as otherwise explicitly indicated.  This analysis and advice </w:t>
            </w:r>
            <w:r w:rsidR="00560F4F" w:rsidRPr="00886DFF">
              <w:rPr>
                <w:rFonts w:cs="Arial"/>
                <w:color w:val="000000"/>
                <w:szCs w:val="22"/>
              </w:rPr>
              <w:t>have</w:t>
            </w:r>
            <w:r w:rsidR="00DA39FD" w:rsidRPr="00886DFF">
              <w:rPr>
                <w:rFonts w:cs="Arial"/>
                <w:color w:val="000000"/>
                <w:szCs w:val="22"/>
              </w:rPr>
              <w:t xml:space="preserve"> been produced for the purpose of informing</w:t>
            </w:r>
            <w:r>
              <w:rPr>
                <w:rFonts w:cs="Arial"/>
                <w:color w:val="000000"/>
                <w:szCs w:val="22"/>
              </w:rPr>
              <w:t xml:space="preserve"> </w:t>
            </w:r>
            <w:r w:rsidR="00DA39FD" w:rsidRPr="00783846">
              <w:rPr>
                <w:szCs w:val="22"/>
              </w:rPr>
              <w:t>key (or in-principle) policy decisions to be taken by Cabinet</w:t>
            </w:r>
            <w:r w:rsidR="00AD3DAC">
              <w:rPr>
                <w:szCs w:val="22"/>
              </w:rPr>
              <w:t>.</w:t>
            </w:r>
          </w:p>
          <w:p w14:paraId="6231F3E7" w14:textId="77777777" w:rsidR="005B6B8E" w:rsidRPr="0069218C" w:rsidRDefault="005B6B8E" w:rsidP="007A088C">
            <w:pPr>
              <w:spacing w:after="0" w:line="240" w:lineRule="auto"/>
              <w:rPr>
                <w:rFonts w:cs="Arial"/>
                <w:szCs w:val="22"/>
              </w:rPr>
            </w:pPr>
          </w:p>
        </w:tc>
      </w:tr>
      <w:tr w:rsidR="00DA39FD" w:rsidRPr="0069218C" w14:paraId="7B5B0E56" w14:textId="77777777" w:rsidTr="00326BDA">
        <w:tc>
          <w:tcPr>
            <w:tcW w:w="5000" w:type="pct"/>
            <w:shd w:val="clear" w:color="auto" w:fill="99CDDD"/>
            <w:hideMark/>
          </w:tcPr>
          <w:p w14:paraId="4E99BFAC"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59517734" w14:textId="77777777" w:rsidTr="00326BDA">
        <w:trPr>
          <w:trHeight w:val="2332"/>
        </w:trPr>
        <w:tc>
          <w:tcPr>
            <w:tcW w:w="5000" w:type="pct"/>
            <w:shd w:val="clear" w:color="auto" w:fill="auto"/>
          </w:tcPr>
          <w:p w14:paraId="6F41E5D0" w14:textId="77777777" w:rsidR="00B73A97" w:rsidRPr="008F44D7" w:rsidRDefault="00326BDA" w:rsidP="008F44D7">
            <w:pPr>
              <w:pStyle w:val="Bullet-list"/>
              <w:keepNext/>
              <w:numPr>
                <w:ilvl w:val="0"/>
                <w:numId w:val="0"/>
              </w:numPr>
              <w:spacing w:after="0" w:line="240" w:lineRule="auto"/>
              <w:rPr>
                <w:szCs w:val="22"/>
              </w:rPr>
            </w:pPr>
            <w:r>
              <w:rPr>
                <w:szCs w:val="22"/>
              </w:rPr>
              <w:t>The key limitations on the analysis are as follows.</w:t>
            </w:r>
          </w:p>
          <w:p w14:paraId="4E1A3E0B" w14:textId="77777777" w:rsidR="004964A8" w:rsidRDefault="004964A8" w:rsidP="004964A8">
            <w:pPr>
              <w:pStyle w:val="Heading3"/>
            </w:pPr>
            <w:r>
              <w:t>Threshold change</w:t>
            </w:r>
            <w:r w:rsidR="008F44D7">
              <w:t>s</w:t>
            </w:r>
          </w:p>
          <w:p w14:paraId="5FCB11F9" w14:textId="77777777" w:rsidR="00B6562B" w:rsidRPr="004964A8" w:rsidRDefault="00B73A97" w:rsidP="00326BDA">
            <w:pPr>
              <w:pStyle w:val="Bullet-list"/>
              <w:keepNext/>
              <w:numPr>
                <w:ilvl w:val="0"/>
                <w:numId w:val="0"/>
              </w:numPr>
              <w:spacing w:after="0" w:line="240" w:lineRule="auto"/>
            </w:pPr>
            <w:r>
              <w:t>In preparation for the transition of S</w:t>
            </w:r>
            <w:r w:rsidR="00560F4F">
              <w:t xml:space="preserve">tudent </w:t>
            </w:r>
            <w:r>
              <w:t>L</w:t>
            </w:r>
            <w:r w:rsidR="00560F4F">
              <w:t>oans</w:t>
            </w:r>
            <w:r>
              <w:t xml:space="preserve"> repayments to IRD’s new systems and process, an issue has been discovered. If not addressed, the issue would affect the integrity of the system and introduce inequity. The admin</w:t>
            </w:r>
            <w:r w:rsidR="00560F4F">
              <w:t>istration</w:t>
            </w:r>
            <w:r>
              <w:t xml:space="preserve"> of S</w:t>
            </w:r>
            <w:r w:rsidR="00560F4F">
              <w:t xml:space="preserve">tudent </w:t>
            </w:r>
            <w:r>
              <w:t>L</w:t>
            </w:r>
            <w:r w:rsidR="00560F4F">
              <w:t>oans</w:t>
            </w:r>
            <w:r>
              <w:t xml:space="preserve"> is due to go live as of April 2020, so it is necessary to address this issue immediately. This urgency has imposed a limitation on analysis.</w:t>
            </w:r>
          </w:p>
          <w:p w14:paraId="0C7D5F77" w14:textId="77777777" w:rsidR="00F62911" w:rsidRDefault="00F62911" w:rsidP="00326BDA">
            <w:pPr>
              <w:pStyle w:val="Bullet-list"/>
              <w:keepNext/>
              <w:numPr>
                <w:ilvl w:val="0"/>
                <w:numId w:val="0"/>
              </w:numPr>
              <w:spacing w:after="0" w:line="240" w:lineRule="auto"/>
              <w:rPr>
                <w:szCs w:val="22"/>
              </w:rPr>
            </w:pPr>
          </w:p>
          <w:p w14:paraId="40C4222F" w14:textId="77777777" w:rsidR="00326BDA" w:rsidRDefault="00326BDA" w:rsidP="00326BDA">
            <w:pPr>
              <w:pStyle w:val="Bullet-list"/>
              <w:keepNext/>
              <w:numPr>
                <w:ilvl w:val="0"/>
                <w:numId w:val="0"/>
              </w:numPr>
              <w:spacing w:after="0" w:line="240" w:lineRule="auto"/>
              <w:ind w:left="360" w:hanging="360"/>
              <w:rPr>
                <w:b/>
                <w:szCs w:val="22"/>
              </w:rPr>
            </w:pPr>
            <w:r>
              <w:rPr>
                <w:b/>
                <w:szCs w:val="22"/>
              </w:rPr>
              <w:t>No consultation with external stakeholders</w:t>
            </w:r>
          </w:p>
          <w:p w14:paraId="3F6049A1" w14:textId="77777777" w:rsidR="00326BDA" w:rsidRPr="00B63AEE" w:rsidRDefault="00326BDA" w:rsidP="00326BDA">
            <w:pPr>
              <w:pStyle w:val="Bullet-list"/>
              <w:keepNext/>
              <w:numPr>
                <w:ilvl w:val="0"/>
                <w:numId w:val="0"/>
              </w:numPr>
              <w:spacing w:after="0" w:line="240" w:lineRule="auto"/>
              <w:rPr>
                <w:color w:val="FF0000"/>
                <w:szCs w:val="22"/>
              </w:rPr>
            </w:pPr>
            <w:r>
              <w:rPr>
                <w:szCs w:val="22"/>
              </w:rPr>
              <w:t>The timing around the identification of this issue has meant that no consultation has occurred with borrowers or representative groups.</w:t>
            </w:r>
            <w:r w:rsidR="00802426">
              <w:rPr>
                <w:szCs w:val="22"/>
              </w:rPr>
              <w:t xml:space="preserve">  However, only </w:t>
            </w:r>
            <w:r w:rsidR="00CE3989">
              <w:rPr>
                <w:szCs w:val="22"/>
              </w:rPr>
              <w:t>approximately 25</w:t>
            </w:r>
            <w:r w:rsidR="00802426">
              <w:rPr>
                <w:szCs w:val="22"/>
              </w:rPr>
              <w:t xml:space="preserve"> borrowers </w:t>
            </w:r>
            <w:r w:rsidR="00CE3989">
              <w:rPr>
                <w:szCs w:val="22"/>
              </w:rPr>
              <w:t xml:space="preserve">per year </w:t>
            </w:r>
            <w:r w:rsidR="00802426">
              <w:rPr>
                <w:szCs w:val="22"/>
              </w:rPr>
              <w:t>are expected to be affected</w:t>
            </w:r>
            <w:r w:rsidR="00B63AEE" w:rsidRPr="00B63AEE">
              <w:rPr>
                <w:rFonts w:ascii="Verdana" w:hAnsi="Verdana"/>
                <w:sz w:val="20"/>
              </w:rPr>
              <w:t>.</w:t>
            </w:r>
          </w:p>
          <w:p w14:paraId="6BF5762F" w14:textId="77777777" w:rsidR="00326BDA" w:rsidRDefault="00326BDA" w:rsidP="00326BDA">
            <w:pPr>
              <w:pStyle w:val="ListParagraph"/>
              <w:ind w:left="0"/>
              <w:rPr>
                <w:rFonts w:cs="Times New Roman"/>
                <w:szCs w:val="22"/>
                <w:lang w:val="en-AU" w:eastAsia="en-US"/>
              </w:rPr>
            </w:pPr>
          </w:p>
          <w:p w14:paraId="42C3DAF7" w14:textId="77777777" w:rsidR="00326BDA" w:rsidRDefault="00326BDA" w:rsidP="00326BDA">
            <w:pPr>
              <w:pStyle w:val="ListParagraph"/>
              <w:ind w:left="0"/>
              <w:rPr>
                <w:rFonts w:cs="Times New Roman"/>
                <w:b/>
                <w:szCs w:val="22"/>
                <w:lang w:val="en-AU" w:eastAsia="en-US"/>
              </w:rPr>
            </w:pPr>
            <w:r>
              <w:rPr>
                <w:rFonts w:cs="Times New Roman"/>
                <w:b/>
                <w:szCs w:val="22"/>
                <w:lang w:val="en-AU" w:eastAsia="en-US"/>
              </w:rPr>
              <w:t>Scale of the problem and impact on borrowers</w:t>
            </w:r>
          </w:p>
          <w:p w14:paraId="6EB4132A" w14:textId="77777777" w:rsidR="00B63AEE" w:rsidRDefault="00326BDA" w:rsidP="00326BDA">
            <w:pPr>
              <w:pStyle w:val="Bullet-list"/>
              <w:keepNext/>
              <w:numPr>
                <w:ilvl w:val="0"/>
                <w:numId w:val="0"/>
              </w:numPr>
              <w:spacing w:after="0" w:line="240" w:lineRule="auto"/>
              <w:rPr>
                <w:szCs w:val="22"/>
              </w:rPr>
            </w:pPr>
            <w:r>
              <w:rPr>
                <w:szCs w:val="22"/>
              </w:rPr>
              <w:t xml:space="preserve">The scale of the problem </w:t>
            </w:r>
            <w:r w:rsidR="00D171C7">
              <w:rPr>
                <w:szCs w:val="22"/>
              </w:rPr>
              <w:t>is low</w:t>
            </w:r>
            <w:r w:rsidR="00B63AEE">
              <w:rPr>
                <w:szCs w:val="22"/>
              </w:rPr>
              <w:t xml:space="preserve">. The proposal is limited to borrowers whose total income is above the $19,760 repayment threshold and who have between $500 and $1500 of non-salary and wage income.  From </w:t>
            </w:r>
            <w:r w:rsidR="00CE3989">
              <w:rPr>
                <w:szCs w:val="22"/>
              </w:rPr>
              <w:t>i</w:t>
            </w:r>
            <w:r w:rsidR="00B63AEE">
              <w:rPr>
                <w:szCs w:val="22"/>
              </w:rPr>
              <w:t>nformation Inland Revenue holds</w:t>
            </w:r>
            <w:r w:rsidR="00B63AEE" w:rsidRPr="00B63AEE">
              <w:rPr>
                <w:szCs w:val="22"/>
              </w:rPr>
              <w:t>, the total number of borrowers who earned over the loan repayment threshold and had non-salary and wage income between $500 and $1500 was 25 borrowers for the 2018 income year</w:t>
            </w:r>
            <w:r w:rsidR="00B63AEE">
              <w:rPr>
                <w:szCs w:val="22"/>
              </w:rPr>
              <w:t>.</w:t>
            </w:r>
          </w:p>
          <w:p w14:paraId="0D501F82" w14:textId="77777777" w:rsidR="00B63AEE" w:rsidRDefault="00B63AEE" w:rsidP="00326BDA">
            <w:pPr>
              <w:pStyle w:val="Bullet-list"/>
              <w:keepNext/>
              <w:numPr>
                <w:ilvl w:val="0"/>
                <w:numId w:val="0"/>
              </w:numPr>
              <w:spacing w:after="0" w:line="240" w:lineRule="auto"/>
              <w:rPr>
                <w:szCs w:val="22"/>
              </w:rPr>
            </w:pPr>
          </w:p>
          <w:p w14:paraId="55D56B68" w14:textId="77777777" w:rsidR="00326BDA" w:rsidRDefault="008B356F" w:rsidP="00326BDA">
            <w:pPr>
              <w:pStyle w:val="Bullet-list"/>
              <w:keepNext/>
              <w:numPr>
                <w:ilvl w:val="0"/>
                <w:numId w:val="0"/>
              </w:numPr>
              <w:spacing w:after="0" w:line="240" w:lineRule="auto"/>
              <w:rPr>
                <w:szCs w:val="22"/>
              </w:rPr>
            </w:pPr>
            <w:r>
              <w:rPr>
                <w:szCs w:val="22"/>
              </w:rPr>
              <w:t>I</w:t>
            </w:r>
            <w:r w:rsidR="00326BDA">
              <w:rPr>
                <w:szCs w:val="22"/>
              </w:rPr>
              <w:t>n terms of the impact on borrowers, the maximum increase in repayment obligations will be $1</w:t>
            </w:r>
            <w:r w:rsidR="00D171C7">
              <w:rPr>
                <w:szCs w:val="22"/>
              </w:rPr>
              <w:t>79</w:t>
            </w:r>
            <w:r w:rsidR="00326BDA">
              <w:rPr>
                <w:szCs w:val="22"/>
              </w:rPr>
              <w:t xml:space="preserve"> per annum.  If borrowers </w:t>
            </w:r>
            <w:r w:rsidR="00DD3CAE">
              <w:rPr>
                <w:szCs w:val="22"/>
              </w:rPr>
              <w:t xml:space="preserve">pay this </w:t>
            </w:r>
            <w:r w:rsidR="004A79D5">
              <w:rPr>
                <w:szCs w:val="22"/>
              </w:rPr>
              <w:t>amount,</w:t>
            </w:r>
            <w:r w:rsidR="00326BDA">
              <w:rPr>
                <w:szCs w:val="22"/>
              </w:rPr>
              <w:t xml:space="preserve"> then the </w:t>
            </w:r>
            <w:r w:rsidR="00CE3989">
              <w:rPr>
                <w:szCs w:val="22"/>
              </w:rPr>
              <w:t>time it will take them to repay</w:t>
            </w:r>
            <w:r w:rsidR="00326BDA">
              <w:rPr>
                <w:szCs w:val="22"/>
              </w:rPr>
              <w:t xml:space="preserve"> their loan will be reduced</w:t>
            </w:r>
            <w:r w:rsidR="00DD3CAE">
              <w:rPr>
                <w:szCs w:val="22"/>
              </w:rPr>
              <w:t xml:space="preserve"> slightly</w:t>
            </w:r>
            <w:r w:rsidR="00326BDA">
              <w:rPr>
                <w:szCs w:val="22"/>
              </w:rPr>
              <w:t xml:space="preserve">.  If borrowers do not </w:t>
            </w:r>
            <w:r w:rsidR="00915B04">
              <w:rPr>
                <w:szCs w:val="22"/>
              </w:rPr>
              <w:t>pay,</w:t>
            </w:r>
            <w:r w:rsidR="00326BDA">
              <w:rPr>
                <w:szCs w:val="22"/>
              </w:rPr>
              <w:t xml:space="preserve"> then the amount will be capitalised back onto their loan and the loan balance and term of the loan will remain the same.  No penalties will be imposed for non-payment.</w:t>
            </w:r>
          </w:p>
          <w:p w14:paraId="778662EC" w14:textId="77777777" w:rsidR="00326BDA" w:rsidRDefault="00326BDA" w:rsidP="00326BDA">
            <w:pPr>
              <w:pStyle w:val="Bullet-list"/>
              <w:keepNext/>
              <w:numPr>
                <w:ilvl w:val="0"/>
                <w:numId w:val="0"/>
              </w:numPr>
              <w:spacing w:after="0" w:line="240" w:lineRule="auto"/>
              <w:rPr>
                <w:szCs w:val="22"/>
              </w:rPr>
            </w:pPr>
            <w:r>
              <w:rPr>
                <w:szCs w:val="22"/>
              </w:rPr>
              <w:t xml:space="preserve"> </w:t>
            </w:r>
          </w:p>
          <w:p w14:paraId="798DF862" w14:textId="77777777" w:rsidR="00326BDA" w:rsidRDefault="00326BDA" w:rsidP="00326BDA">
            <w:pPr>
              <w:pStyle w:val="Bullet-list"/>
              <w:keepNext/>
              <w:numPr>
                <w:ilvl w:val="0"/>
                <w:numId w:val="0"/>
              </w:numPr>
              <w:spacing w:after="0" w:line="240" w:lineRule="auto"/>
              <w:ind w:left="360" w:hanging="360"/>
              <w:rPr>
                <w:b/>
                <w:szCs w:val="22"/>
              </w:rPr>
            </w:pPr>
            <w:r>
              <w:rPr>
                <w:b/>
                <w:szCs w:val="22"/>
              </w:rPr>
              <w:t>Impact of proposals on the student loan valuation</w:t>
            </w:r>
          </w:p>
          <w:p w14:paraId="567EC328" w14:textId="77777777" w:rsidR="00326BDA" w:rsidRDefault="00326BDA" w:rsidP="00326BDA">
            <w:pPr>
              <w:pStyle w:val="Bullet-list"/>
              <w:keepNext/>
              <w:numPr>
                <w:ilvl w:val="0"/>
                <w:numId w:val="0"/>
              </w:numPr>
              <w:spacing w:after="0" w:line="240" w:lineRule="auto"/>
              <w:rPr>
                <w:szCs w:val="22"/>
              </w:rPr>
            </w:pPr>
            <w:r>
              <w:rPr>
                <w:szCs w:val="22"/>
              </w:rPr>
              <w:t xml:space="preserve">The benefits from the proposal will not have a material impact on the student loan valuation </w:t>
            </w:r>
          </w:p>
          <w:p w14:paraId="5811C39A" w14:textId="77777777" w:rsidR="00326BDA" w:rsidRDefault="00326BDA" w:rsidP="00326BDA">
            <w:pPr>
              <w:pStyle w:val="Bullet-list"/>
              <w:keepNext/>
              <w:numPr>
                <w:ilvl w:val="0"/>
                <w:numId w:val="0"/>
              </w:numPr>
              <w:spacing w:after="0" w:line="240" w:lineRule="auto"/>
              <w:ind w:left="360" w:hanging="360"/>
              <w:rPr>
                <w:szCs w:val="22"/>
              </w:rPr>
            </w:pPr>
          </w:p>
          <w:p w14:paraId="3C89BE44" w14:textId="77777777" w:rsidR="004964A8" w:rsidRPr="004964A8" w:rsidRDefault="00326BDA" w:rsidP="004964A8">
            <w:pPr>
              <w:pStyle w:val="Bullet-list"/>
              <w:keepNext/>
              <w:numPr>
                <w:ilvl w:val="0"/>
                <w:numId w:val="0"/>
              </w:numPr>
              <w:spacing w:after="0" w:line="240" w:lineRule="auto"/>
              <w:ind w:left="360" w:hanging="360"/>
              <w:rPr>
                <w:szCs w:val="22"/>
              </w:rPr>
            </w:pPr>
            <w:r>
              <w:rPr>
                <w:szCs w:val="22"/>
              </w:rPr>
              <w:t>None of the limitations materially affect the analysis.</w:t>
            </w:r>
          </w:p>
          <w:p w14:paraId="0B550FF2" w14:textId="77777777" w:rsidR="005773D5" w:rsidRPr="007A088C" w:rsidRDefault="005773D5" w:rsidP="00D10DA6">
            <w:pPr>
              <w:pStyle w:val="Bullet-list"/>
              <w:keepNext/>
              <w:numPr>
                <w:ilvl w:val="0"/>
                <w:numId w:val="0"/>
              </w:numPr>
              <w:spacing w:after="0" w:line="240" w:lineRule="auto"/>
              <w:rPr>
                <w:rFonts w:cs="Arial"/>
                <w:color w:val="000000"/>
                <w:szCs w:val="22"/>
              </w:rPr>
            </w:pPr>
          </w:p>
        </w:tc>
      </w:tr>
    </w:tbl>
    <w:p w14:paraId="2556D9E3" w14:textId="77777777" w:rsidR="009066D6" w:rsidRDefault="009066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10DA6" w:rsidRPr="0069218C" w14:paraId="26EB4576" w14:textId="77777777" w:rsidTr="00D10DA6">
        <w:tc>
          <w:tcPr>
            <w:tcW w:w="5000" w:type="pct"/>
            <w:tcBorders>
              <w:bottom w:val="single" w:sz="4" w:space="0" w:color="auto"/>
            </w:tcBorders>
            <w:shd w:val="clear" w:color="auto" w:fill="auto"/>
          </w:tcPr>
          <w:p w14:paraId="0FF1A4B2" w14:textId="77777777" w:rsidR="00D10DA6" w:rsidRPr="00D10DA6" w:rsidRDefault="00D10DA6" w:rsidP="00D10DA6">
            <w:pPr>
              <w:keepNext/>
              <w:spacing w:before="200" w:after="180" w:line="240" w:lineRule="auto"/>
              <w:outlineLvl w:val="2"/>
              <w:rPr>
                <w:b/>
                <w:color w:val="0082AB"/>
                <w:spacing w:val="20"/>
                <w:w w:val="90"/>
                <w:sz w:val="24"/>
                <w:szCs w:val="22"/>
              </w:rPr>
            </w:pPr>
            <w:r w:rsidRPr="00D10DA6">
              <w:rPr>
                <w:b/>
                <w:color w:val="0082AB"/>
                <w:spacing w:val="20"/>
                <w:w w:val="90"/>
                <w:sz w:val="24"/>
                <w:szCs w:val="22"/>
              </w:rPr>
              <w:lastRenderedPageBreak/>
              <w:t>Withholding changes</w:t>
            </w:r>
          </w:p>
          <w:p w14:paraId="4448023A" w14:textId="77777777" w:rsidR="00D10DA6" w:rsidRPr="00D10DA6" w:rsidRDefault="00D10DA6" w:rsidP="00D10DA6">
            <w:pPr>
              <w:keepNext/>
              <w:spacing w:after="0" w:line="240" w:lineRule="auto"/>
              <w:rPr>
                <w:szCs w:val="22"/>
                <w:lang w:val="en-AU" w:eastAsia="en-US"/>
              </w:rPr>
            </w:pPr>
            <w:r w:rsidRPr="00D10DA6">
              <w:rPr>
                <w:szCs w:val="22"/>
                <w:lang w:val="en-AU" w:eastAsia="en-US"/>
              </w:rPr>
              <w:t xml:space="preserve">In the process of consultation on the implementation of changes previously passed into law, officials have been made aware that the change to require student loan repayments to be withheld from </w:t>
            </w:r>
            <w:r w:rsidR="00C54F1E">
              <w:rPr>
                <w:szCs w:val="22"/>
                <w:lang w:val="en-AU" w:eastAsia="en-US"/>
              </w:rPr>
              <w:t xml:space="preserve">schedular, casual agricultural, and election day </w:t>
            </w:r>
            <w:r w:rsidRPr="00D10DA6">
              <w:rPr>
                <w:szCs w:val="22"/>
                <w:lang w:val="en-AU" w:eastAsia="en-US"/>
              </w:rPr>
              <w:t xml:space="preserve">income earned </w:t>
            </w:r>
            <w:r w:rsidR="00C54F1E">
              <w:rPr>
                <w:szCs w:val="22"/>
                <w:lang w:val="en-AU" w:eastAsia="en-US"/>
              </w:rPr>
              <w:t>by borrowers</w:t>
            </w:r>
            <w:r w:rsidRPr="00D10DA6">
              <w:rPr>
                <w:szCs w:val="22"/>
                <w:lang w:val="en-AU" w:eastAsia="en-US"/>
              </w:rPr>
              <w:t xml:space="preserve"> would impose significant compliance costs</w:t>
            </w:r>
            <w:r w:rsidR="00C54F1E">
              <w:rPr>
                <w:szCs w:val="22"/>
                <w:lang w:val="en-AU" w:eastAsia="en-US"/>
              </w:rPr>
              <w:t xml:space="preserve"> on employers</w:t>
            </w:r>
            <w:r w:rsidRPr="00D10DA6">
              <w:rPr>
                <w:szCs w:val="22"/>
                <w:lang w:val="en-AU" w:eastAsia="en-US"/>
              </w:rPr>
              <w:t>. These issues were not raised previously in public consultations on the policy proposals or in submissions to select committee.</w:t>
            </w:r>
          </w:p>
          <w:p w14:paraId="198A4270" w14:textId="77777777" w:rsidR="00D10DA6" w:rsidRPr="00D10DA6" w:rsidRDefault="00D10DA6" w:rsidP="00D10DA6">
            <w:pPr>
              <w:keepNext/>
              <w:spacing w:after="0" w:line="240" w:lineRule="auto"/>
              <w:rPr>
                <w:szCs w:val="22"/>
                <w:lang w:val="en-AU" w:eastAsia="en-US"/>
              </w:rPr>
            </w:pPr>
          </w:p>
          <w:p w14:paraId="68239495" w14:textId="77777777" w:rsidR="00D10DA6" w:rsidRPr="00D10DA6" w:rsidRDefault="00D10DA6" w:rsidP="00D10DA6">
            <w:pPr>
              <w:keepNext/>
              <w:spacing w:after="0" w:line="240" w:lineRule="auto"/>
              <w:rPr>
                <w:szCs w:val="22"/>
                <w:lang w:val="en-AU" w:eastAsia="en-US"/>
              </w:rPr>
            </w:pPr>
            <w:r w:rsidRPr="00D10DA6">
              <w:rPr>
                <w:szCs w:val="22"/>
                <w:lang w:val="en-AU" w:eastAsia="en-US"/>
              </w:rPr>
              <w:t>This urgency does not materially affect the analysis.</w:t>
            </w:r>
          </w:p>
          <w:p w14:paraId="3808066D" w14:textId="77777777" w:rsidR="00D10DA6" w:rsidRPr="00886DFF" w:rsidRDefault="00D10DA6" w:rsidP="00EC6FAD">
            <w:pPr>
              <w:pStyle w:val="TableHeadings"/>
              <w:rPr>
                <w:szCs w:val="22"/>
              </w:rPr>
            </w:pPr>
          </w:p>
        </w:tc>
      </w:tr>
      <w:tr w:rsidR="00D10DA6" w:rsidRPr="0069218C" w14:paraId="37283CCD" w14:textId="77777777" w:rsidTr="00D10DA6">
        <w:tc>
          <w:tcPr>
            <w:tcW w:w="5000" w:type="pct"/>
            <w:tcBorders>
              <w:left w:val="nil"/>
              <w:right w:val="nil"/>
            </w:tcBorders>
            <w:shd w:val="clear" w:color="auto" w:fill="auto"/>
          </w:tcPr>
          <w:p w14:paraId="2AD48CBF" w14:textId="77777777" w:rsidR="00D10DA6" w:rsidRPr="00886DFF" w:rsidRDefault="00D10DA6" w:rsidP="00EC6FAD">
            <w:pPr>
              <w:pStyle w:val="TableHeadings"/>
              <w:rPr>
                <w:szCs w:val="22"/>
              </w:rPr>
            </w:pPr>
          </w:p>
        </w:tc>
      </w:tr>
      <w:tr w:rsidR="00DA39FD" w:rsidRPr="0069218C" w14:paraId="3606710F" w14:textId="77777777" w:rsidTr="00326BDA">
        <w:tc>
          <w:tcPr>
            <w:tcW w:w="5000" w:type="pct"/>
            <w:shd w:val="clear" w:color="auto" w:fill="99CDDD"/>
            <w:hideMark/>
          </w:tcPr>
          <w:p w14:paraId="1DB14DE8"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0BE1AE13" w14:textId="77777777" w:rsidTr="00326BDA">
        <w:trPr>
          <w:trHeight w:val="1856"/>
        </w:trPr>
        <w:tc>
          <w:tcPr>
            <w:tcW w:w="5000" w:type="pct"/>
            <w:shd w:val="clear" w:color="auto" w:fill="FFFFFF"/>
          </w:tcPr>
          <w:p w14:paraId="302C13A2" w14:textId="77777777" w:rsidR="000C31D0" w:rsidRDefault="000C31D0" w:rsidP="007A088C">
            <w:pPr>
              <w:spacing w:after="0" w:line="240" w:lineRule="auto"/>
              <w:rPr>
                <w:rFonts w:cs="Arial"/>
                <w:color w:val="000000"/>
                <w:szCs w:val="22"/>
              </w:rPr>
            </w:pPr>
          </w:p>
          <w:p w14:paraId="25F9F6C2" w14:textId="77777777" w:rsidR="000C31D0" w:rsidRDefault="000C31D0" w:rsidP="007A088C">
            <w:pPr>
              <w:spacing w:after="0" w:line="240" w:lineRule="auto"/>
              <w:rPr>
                <w:rFonts w:cs="Arial"/>
                <w:color w:val="000000"/>
                <w:szCs w:val="22"/>
              </w:rPr>
            </w:pPr>
          </w:p>
          <w:p w14:paraId="017C4034" w14:textId="77777777" w:rsidR="000C31D0" w:rsidRDefault="000C31D0" w:rsidP="007A088C">
            <w:pPr>
              <w:spacing w:after="0" w:line="240" w:lineRule="auto"/>
              <w:rPr>
                <w:rFonts w:cs="Arial"/>
                <w:color w:val="000000"/>
                <w:szCs w:val="22"/>
              </w:rPr>
            </w:pPr>
          </w:p>
          <w:p w14:paraId="16B7C88F" w14:textId="77777777" w:rsidR="000C31D0" w:rsidRDefault="000C31D0" w:rsidP="007A088C">
            <w:pPr>
              <w:spacing w:after="0" w:line="240" w:lineRule="auto"/>
              <w:rPr>
                <w:rFonts w:cs="Arial"/>
                <w:color w:val="000000"/>
                <w:szCs w:val="22"/>
              </w:rPr>
            </w:pPr>
          </w:p>
          <w:p w14:paraId="2395DC3C" w14:textId="77777777" w:rsidR="000C31D0" w:rsidRDefault="000C31D0" w:rsidP="007A088C">
            <w:pPr>
              <w:spacing w:after="0" w:line="240" w:lineRule="auto"/>
              <w:rPr>
                <w:rFonts w:cs="Arial"/>
                <w:color w:val="000000"/>
                <w:szCs w:val="22"/>
              </w:rPr>
            </w:pPr>
          </w:p>
          <w:p w14:paraId="472EB74F" w14:textId="77777777" w:rsidR="00380585" w:rsidRDefault="000C31D0" w:rsidP="007A088C">
            <w:pPr>
              <w:spacing w:after="0" w:line="240" w:lineRule="auto"/>
              <w:rPr>
                <w:rFonts w:cs="Arial"/>
                <w:color w:val="000000"/>
                <w:szCs w:val="22"/>
              </w:rPr>
            </w:pPr>
            <w:r>
              <w:rPr>
                <w:rFonts w:cs="Arial"/>
                <w:color w:val="000000"/>
                <w:szCs w:val="22"/>
              </w:rPr>
              <w:t>Martin Neylan</w:t>
            </w:r>
          </w:p>
          <w:p w14:paraId="663B3B29" w14:textId="77777777" w:rsidR="000C31D0" w:rsidRPr="007A088C" w:rsidRDefault="000C31D0" w:rsidP="007A088C">
            <w:pPr>
              <w:spacing w:after="0" w:line="240" w:lineRule="auto"/>
              <w:rPr>
                <w:rFonts w:cs="Arial"/>
                <w:color w:val="000000"/>
                <w:szCs w:val="22"/>
              </w:rPr>
            </w:pPr>
            <w:r>
              <w:rPr>
                <w:rFonts w:cs="Arial"/>
                <w:color w:val="000000"/>
                <w:szCs w:val="22"/>
              </w:rPr>
              <w:t>Principal Policy Advisor</w:t>
            </w:r>
          </w:p>
          <w:p w14:paraId="095973CE" w14:textId="77777777" w:rsidR="00380585" w:rsidRPr="007A088C" w:rsidRDefault="00326BDA" w:rsidP="007A088C">
            <w:pPr>
              <w:spacing w:after="0" w:line="240" w:lineRule="auto"/>
              <w:rPr>
                <w:rFonts w:cs="Arial"/>
                <w:color w:val="000000"/>
                <w:szCs w:val="22"/>
              </w:rPr>
            </w:pPr>
            <w:r>
              <w:rPr>
                <w:rFonts w:cs="Arial"/>
                <w:color w:val="000000"/>
                <w:szCs w:val="22"/>
              </w:rPr>
              <w:t>Policy and Strategy</w:t>
            </w:r>
          </w:p>
          <w:p w14:paraId="47BC6C7E" w14:textId="77777777" w:rsidR="00E92509" w:rsidRDefault="00326BDA" w:rsidP="007A088C">
            <w:pPr>
              <w:spacing w:after="0" w:line="240" w:lineRule="auto"/>
              <w:rPr>
                <w:rFonts w:cs="Arial"/>
                <w:color w:val="000000"/>
                <w:szCs w:val="22"/>
              </w:rPr>
            </w:pPr>
            <w:r>
              <w:rPr>
                <w:rFonts w:cs="Arial"/>
                <w:color w:val="000000"/>
                <w:szCs w:val="22"/>
              </w:rPr>
              <w:t>Inland Revenue</w:t>
            </w:r>
          </w:p>
          <w:p w14:paraId="229B02A1" w14:textId="77777777" w:rsidR="00326BDA" w:rsidRDefault="00326BDA" w:rsidP="007A088C">
            <w:pPr>
              <w:spacing w:after="0" w:line="240" w:lineRule="auto"/>
              <w:rPr>
                <w:rFonts w:cs="Arial"/>
                <w:szCs w:val="22"/>
              </w:rPr>
            </w:pPr>
          </w:p>
          <w:p w14:paraId="2FC0A0B3" w14:textId="77777777" w:rsidR="00326BDA" w:rsidRPr="0069218C" w:rsidRDefault="00957445" w:rsidP="007A088C">
            <w:pPr>
              <w:spacing w:after="0" w:line="240" w:lineRule="auto"/>
              <w:rPr>
                <w:rFonts w:cs="Arial"/>
                <w:szCs w:val="22"/>
              </w:rPr>
            </w:pPr>
            <w:r>
              <w:rPr>
                <w:rFonts w:cs="Arial"/>
                <w:szCs w:val="22"/>
              </w:rPr>
              <w:t>1</w:t>
            </w:r>
            <w:r w:rsidR="000C31D0">
              <w:rPr>
                <w:rFonts w:cs="Arial"/>
                <w:szCs w:val="22"/>
              </w:rPr>
              <w:t>8</w:t>
            </w:r>
            <w:r w:rsidR="00326BDA">
              <w:rPr>
                <w:rFonts w:cs="Arial"/>
                <w:szCs w:val="22"/>
              </w:rPr>
              <w:t xml:space="preserve"> September 2019</w:t>
            </w:r>
          </w:p>
        </w:tc>
      </w:tr>
    </w:tbl>
    <w:p w14:paraId="6BDFC779" w14:textId="77777777" w:rsidR="00E92509" w:rsidRDefault="00F132B2" w:rsidP="00293FDC">
      <w:pPr>
        <w:pStyle w:val="Heading2"/>
      </w:pPr>
      <w:bookmarkStart w:id="1" w:name="_Toc363047038"/>
      <w:bookmarkStart w:id="2" w:name="_Toc362940530"/>
      <w:bookmarkStart w:id="3" w:name="_Toc362618966"/>
      <w:bookmarkStart w:id="4" w:name="_Toc362434720"/>
      <w:bookmarkStart w:id="5" w:name="_Toc362368098"/>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5734" w:rsidRPr="0069218C" w14:paraId="7118E8BF" w14:textId="77777777" w:rsidTr="00800DEC">
        <w:trPr>
          <w:trHeight w:val="77"/>
        </w:trPr>
        <w:tc>
          <w:tcPr>
            <w:tcW w:w="5000" w:type="pct"/>
            <w:shd w:val="clear" w:color="auto" w:fill="99CDDD"/>
            <w:hideMark/>
          </w:tcPr>
          <w:p w14:paraId="02F44C1F"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4CC60DB3" w14:textId="77777777" w:rsidTr="00C7655A">
        <w:trPr>
          <w:trHeight w:val="1913"/>
        </w:trPr>
        <w:tc>
          <w:tcPr>
            <w:tcW w:w="5000" w:type="pct"/>
            <w:shd w:val="clear" w:color="auto" w:fill="auto"/>
          </w:tcPr>
          <w:p w14:paraId="63A5DD06" w14:textId="77777777" w:rsidR="008F44D7" w:rsidRDefault="008F44D7" w:rsidP="008F44D7">
            <w:pPr>
              <w:pStyle w:val="Heading3"/>
            </w:pPr>
            <w:r>
              <w:t>Threshold changes</w:t>
            </w:r>
          </w:p>
          <w:p w14:paraId="6D1D26D6" w14:textId="77777777" w:rsidR="00A928B7" w:rsidRDefault="00A928B7" w:rsidP="007A088C">
            <w:pPr>
              <w:spacing w:after="0" w:line="240" w:lineRule="auto"/>
              <w:rPr>
                <w:rFonts w:cs="Arial"/>
                <w:color w:val="000000"/>
                <w:szCs w:val="22"/>
              </w:rPr>
            </w:pPr>
            <w:r w:rsidRPr="007A088C">
              <w:rPr>
                <w:rFonts w:cs="Arial"/>
                <w:color w:val="000000"/>
                <w:szCs w:val="22"/>
              </w:rPr>
              <w:t xml:space="preserve">The student loan scheme currently has a $1500 </w:t>
            </w:r>
            <w:r w:rsidR="007A088C" w:rsidRPr="007A088C">
              <w:rPr>
                <w:rFonts w:cs="Arial"/>
                <w:color w:val="000000"/>
                <w:szCs w:val="22"/>
              </w:rPr>
              <w:t>threshold</w:t>
            </w:r>
            <w:r w:rsidRPr="007A088C">
              <w:rPr>
                <w:rFonts w:cs="Arial"/>
                <w:color w:val="000000"/>
                <w:szCs w:val="22"/>
              </w:rPr>
              <w:t xml:space="preserve"> for non-salary and wage income for New Zealand-based borrowers, above the annual repayment threshold. Borrowers who earn $1500 or less of non-salary and wage income (including schedular, casual agricultural, and election day income) in a year are not required to notify Inland Revenue of this income for student loan purposes and do not have to make student loan repayments on it. If a borrower earns more than $1500 of non-salary and wage income, they are required to make repayments on the full amount. </w:t>
            </w:r>
          </w:p>
          <w:p w14:paraId="1267E305" w14:textId="77777777" w:rsidR="00D171C7" w:rsidRPr="007A088C" w:rsidRDefault="00D171C7" w:rsidP="007A088C">
            <w:pPr>
              <w:spacing w:after="0" w:line="240" w:lineRule="auto"/>
              <w:rPr>
                <w:rFonts w:cs="Arial"/>
                <w:color w:val="000000"/>
                <w:szCs w:val="22"/>
              </w:rPr>
            </w:pPr>
          </w:p>
          <w:p w14:paraId="367CF349" w14:textId="77777777" w:rsidR="00E72412" w:rsidRPr="007A088C" w:rsidRDefault="00E72412" w:rsidP="007A088C">
            <w:pPr>
              <w:spacing w:after="0" w:line="240" w:lineRule="auto"/>
              <w:rPr>
                <w:rFonts w:cs="Arial"/>
                <w:color w:val="000000"/>
                <w:szCs w:val="22"/>
              </w:rPr>
            </w:pPr>
            <w:r w:rsidRPr="007A088C">
              <w:rPr>
                <w:rFonts w:cs="Arial"/>
                <w:color w:val="000000"/>
                <w:szCs w:val="22"/>
              </w:rPr>
              <w:t>This threshold was introduced when most salary and wage earners were not required to file a tax return and recognised the additional compliance costs associated with borrowers advising Inland Revenue of their income for student loan purposes only</w:t>
            </w:r>
            <w:r w:rsidR="00F62911">
              <w:rPr>
                <w:rFonts w:cs="Arial"/>
                <w:color w:val="000000"/>
                <w:szCs w:val="22"/>
              </w:rPr>
              <w:t>.</w:t>
            </w:r>
          </w:p>
          <w:p w14:paraId="728E0165" w14:textId="77777777" w:rsidR="00E72412" w:rsidRPr="007A088C" w:rsidRDefault="00E72412" w:rsidP="007A088C">
            <w:pPr>
              <w:spacing w:after="0" w:line="240" w:lineRule="auto"/>
              <w:rPr>
                <w:rFonts w:cs="Arial"/>
                <w:color w:val="000000"/>
                <w:szCs w:val="22"/>
              </w:rPr>
            </w:pPr>
          </w:p>
          <w:p w14:paraId="4CD883A4" w14:textId="77777777" w:rsidR="00E72412" w:rsidRPr="007A088C" w:rsidRDefault="00D171C7" w:rsidP="007A088C">
            <w:pPr>
              <w:spacing w:after="0" w:line="240" w:lineRule="auto"/>
              <w:rPr>
                <w:rFonts w:cs="Arial"/>
                <w:color w:val="000000"/>
                <w:szCs w:val="22"/>
              </w:rPr>
            </w:pPr>
            <w:r w:rsidRPr="007A088C">
              <w:rPr>
                <w:rFonts w:cs="Arial"/>
                <w:color w:val="000000"/>
                <w:szCs w:val="22"/>
              </w:rPr>
              <w:t>However,</w:t>
            </w:r>
            <w:r w:rsidR="00A928B7" w:rsidRPr="007A088C">
              <w:rPr>
                <w:rFonts w:cs="Arial"/>
                <w:color w:val="000000"/>
                <w:szCs w:val="22"/>
              </w:rPr>
              <w:t xml:space="preserve"> from 1 April 2019,</w:t>
            </w:r>
            <w:r w:rsidR="00E72412" w:rsidRPr="007A088C">
              <w:rPr>
                <w:rFonts w:cs="Arial"/>
                <w:color w:val="000000"/>
                <w:szCs w:val="22"/>
              </w:rPr>
              <w:t xml:space="preserve"> </w:t>
            </w:r>
            <w:r>
              <w:rPr>
                <w:rFonts w:cs="Arial"/>
                <w:color w:val="000000"/>
                <w:szCs w:val="22"/>
              </w:rPr>
              <w:t>l</w:t>
            </w:r>
            <w:r w:rsidR="00E72412" w:rsidRPr="007A088C">
              <w:rPr>
                <w:rFonts w:cs="Arial"/>
                <w:color w:val="000000"/>
                <w:szCs w:val="22"/>
              </w:rPr>
              <w:t xml:space="preserve">egislative changes were made to the administration of individual’s income tax.  Now all taxpayers either file a return or have their income tax automatically squared up at the end of the tax year based on information </w:t>
            </w:r>
            <w:r w:rsidR="00DD3CAE">
              <w:rPr>
                <w:rFonts w:cs="Arial"/>
                <w:color w:val="000000"/>
                <w:szCs w:val="22"/>
              </w:rPr>
              <w:t xml:space="preserve">from third parties </w:t>
            </w:r>
            <w:r w:rsidR="00E72412" w:rsidRPr="007A088C">
              <w:rPr>
                <w:rFonts w:cs="Arial"/>
                <w:color w:val="000000"/>
                <w:szCs w:val="22"/>
              </w:rPr>
              <w:t>reported during the year</w:t>
            </w:r>
            <w:r w:rsidR="00DD3CAE">
              <w:rPr>
                <w:rFonts w:cs="Arial"/>
                <w:color w:val="000000"/>
                <w:szCs w:val="22"/>
              </w:rPr>
              <w:t xml:space="preserve"> or information provided for tax purposes at the end of the year</w:t>
            </w:r>
            <w:r w:rsidR="00E72412" w:rsidRPr="007A088C">
              <w:rPr>
                <w:rFonts w:cs="Arial"/>
                <w:color w:val="000000"/>
                <w:szCs w:val="22"/>
              </w:rPr>
              <w:t xml:space="preserve">. As a result, there is no longer a significant compliance cost for borrowers in advising Inland Revenue of their non-salary and wage income.  </w:t>
            </w:r>
            <w:r w:rsidRPr="007A088C">
              <w:rPr>
                <w:rFonts w:cs="Arial"/>
                <w:color w:val="000000"/>
                <w:szCs w:val="22"/>
              </w:rPr>
              <w:t>Therefore,</w:t>
            </w:r>
            <w:r w:rsidR="00E72412" w:rsidRPr="007A088C">
              <w:rPr>
                <w:rFonts w:cs="Arial"/>
                <w:color w:val="000000"/>
                <w:szCs w:val="22"/>
              </w:rPr>
              <w:t xml:space="preserve"> the current threshold is set at a level that </w:t>
            </w:r>
            <w:r w:rsidR="00802426">
              <w:rPr>
                <w:rFonts w:cs="Arial"/>
                <w:color w:val="000000"/>
                <w:szCs w:val="22"/>
              </w:rPr>
              <w:t xml:space="preserve">is higher than the </w:t>
            </w:r>
            <w:r w:rsidR="00E72412" w:rsidRPr="007A088C">
              <w:rPr>
                <w:rFonts w:cs="Arial"/>
                <w:color w:val="000000"/>
                <w:szCs w:val="22"/>
              </w:rPr>
              <w:t>compliance costs involved in providing this information to Inland Revenue.</w:t>
            </w:r>
          </w:p>
          <w:p w14:paraId="293EFF79" w14:textId="77777777" w:rsidR="00E72412" w:rsidRPr="007A088C" w:rsidRDefault="00E72412" w:rsidP="007A088C">
            <w:pPr>
              <w:spacing w:after="0" w:line="240" w:lineRule="auto"/>
              <w:rPr>
                <w:rFonts w:cs="Arial"/>
                <w:color w:val="000000"/>
                <w:szCs w:val="22"/>
              </w:rPr>
            </w:pPr>
          </w:p>
          <w:p w14:paraId="70DB9713" w14:textId="77777777" w:rsidR="00A928B7" w:rsidRDefault="00E72412" w:rsidP="007A088C">
            <w:pPr>
              <w:spacing w:after="0" w:line="240" w:lineRule="auto"/>
              <w:rPr>
                <w:rFonts w:cs="Arial"/>
                <w:color w:val="000000"/>
                <w:szCs w:val="22"/>
              </w:rPr>
            </w:pPr>
            <w:r w:rsidRPr="007A088C">
              <w:rPr>
                <w:rFonts w:cs="Arial"/>
                <w:color w:val="000000"/>
                <w:szCs w:val="22"/>
              </w:rPr>
              <w:t xml:space="preserve">Inland Revenue’s Business Transformation programme is now moving </w:t>
            </w:r>
            <w:r w:rsidR="00560F4F">
              <w:rPr>
                <w:rFonts w:cs="Arial"/>
                <w:color w:val="000000"/>
                <w:szCs w:val="22"/>
              </w:rPr>
              <w:t xml:space="preserve">the repayment of </w:t>
            </w:r>
            <w:r w:rsidRPr="007A088C">
              <w:rPr>
                <w:rFonts w:cs="Arial"/>
                <w:color w:val="000000"/>
                <w:szCs w:val="22"/>
              </w:rPr>
              <w:t>student loans into the new computer systems and processes</w:t>
            </w:r>
            <w:r w:rsidR="00DD3CAE">
              <w:rPr>
                <w:rFonts w:cs="Arial"/>
                <w:color w:val="000000"/>
                <w:szCs w:val="22"/>
              </w:rPr>
              <w:t>.  T</w:t>
            </w:r>
            <w:r w:rsidRPr="007A088C">
              <w:rPr>
                <w:rFonts w:cs="Arial"/>
                <w:color w:val="000000"/>
                <w:szCs w:val="22"/>
              </w:rPr>
              <w:t xml:space="preserve">his </w:t>
            </w:r>
            <w:r w:rsidR="00DD3CAE">
              <w:rPr>
                <w:rFonts w:cs="Arial"/>
                <w:color w:val="000000"/>
                <w:szCs w:val="22"/>
              </w:rPr>
              <w:t xml:space="preserve">process </w:t>
            </w:r>
            <w:r w:rsidRPr="007A088C">
              <w:rPr>
                <w:rFonts w:cs="Arial"/>
                <w:color w:val="000000"/>
                <w:szCs w:val="22"/>
              </w:rPr>
              <w:t xml:space="preserve">has highlighted the </w:t>
            </w:r>
            <w:r w:rsidR="00D171C7">
              <w:rPr>
                <w:rFonts w:cs="Arial"/>
                <w:color w:val="000000"/>
                <w:szCs w:val="22"/>
              </w:rPr>
              <w:t xml:space="preserve">issue of </w:t>
            </w:r>
            <w:r w:rsidR="00560F4F">
              <w:rPr>
                <w:rFonts w:cs="Arial"/>
                <w:color w:val="000000"/>
                <w:szCs w:val="22"/>
              </w:rPr>
              <w:t xml:space="preserve">the </w:t>
            </w:r>
            <w:r w:rsidRPr="007A088C">
              <w:rPr>
                <w:rFonts w:cs="Arial"/>
                <w:color w:val="000000"/>
                <w:szCs w:val="22"/>
              </w:rPr>
              <w:t>$1500 threshold</w:t>
            </w:r>
            <w:r w:rsidR="00CC7932">
              <w:rPr>
                <w:rFonts w:cs="Arial"/>
                <w:color w:val="000000"/>
                <w:szCs w:val="22"/>
              </w:rPr>
              <w:t xml:space="preserve"> being set at a level that does not reflect the compliance costs involved in providing information to Inland Revenue</w:t>
            </w:r>
            <w:r w:rsidRPr="007A088C">
              <w:rPr>
                <w:rFonts w:cs="Arial"/>
                <w:color w:val="000000"/>
                <w:szCs w:val="22"/>
              </w:rPr>
              <w:t xml:space="preserve">. </w:t>
            </w:r>
            <w:r w:rsidR="00D171C7">
              <w:rPr>
                <w:rFonts w:cs="Arial"/>
                <w:color w:val="000000"/>
                <w:szCs w:val="22"/>
              </w:rPr>
              <w:t>It is also an opportun</w:t>
            </w:r>
            <w:r w:rsidR="00802426">
              <w:rPr>
                <w:rFonts w:cs="Arial"/>
                <w:color w:val="000000"/>
                <w:szCs w:val="22"/>
              </w:rPr>
              <w:t xml:space="preserve">e </w:t>
            </w:r>
            <w:r w:rsidR="00D171C7">
              <w:rPr>
                <w:rFonts w:cs="Arial"/>
                <w:color w:val="000000"/>
                <w:szCs w:val="22"/>
              </w:rPr>
              <w:t>time to reduce the threshold and a</w:t>
            </w:r>
            <w:r w:rsidRPr="007A088C">
              <w:rPr>
                <w:rFonts w:cs="Arial"/>
                <w:color w:val="000000"/>
                <w:szCs w:val="22"/>
              </w:rPr>
              <w:t xml:space="preserve">ny changes </w:t>
            </w:r>
            <w:r w:rsidR="00D171C7">
              <w:rPr>
                <w:rFonts w:cs="Arial"/>
                <w:color w:val="000000"/>
                <w:szCs w:val="22"/>
              </w:rPr>
              <w:t xml:space="preserve">to the </w:t>
            </w:r>
            <w:r w:rsidRPr="007A088C">
              <w:rPr>
                <w:rFonts w:cs="Arial"/>
                <w:color w:val="000000"/>
                <w:szCs w:val="22"/>
              </w:rPr>
              <w:t>threshold would be included in this transformation process</w:t>
            </w:r>
            <w:r w:rsidR="00CC7932">
              <w:rPr>
                <w:rFonts w:cs="Arial"/>
                <w:color w:val="000000"/>
                <w:szCs w:val="22"/>
              </w:rPr>
              <w:t>.</w:t>
            </w:r>
          </w:p>
          <w:p w14:paraId="333FB71A" w14:textId="77777777" w:rsidR="008F44D7" w:rsidRDefault="008F44D7" w:rsidP="008F44D7">
            <w:pPr>
              <w:pStyle w:val="Heading3"/>
            </w:pPr>
            <w:r>
              <w:t>Withholding changes</w:t>
            </w:r>
          </w:p>
          <w:p w14:paraId="2E603C62" w14:textId="77777777" w:rsidR="00902AF8" w:rsidRDefault="00B6562B" w:rsidP="007A088C">
            <w:pPr>
              <w:spacing w:after="0" w:line="240" w:lineRule="auto"/>
              <w:rPr>
                <w:rFonts w:cs="Arial"/>
                <w:color w:val="000000"/>
                <w:szCs w:val="22"/>
              </w:rPr>
            </w:pPr>
            <w:r>
              <w:rPr>
                <w:rFonts w:cs="Arial"/>
                <w:color w:val="000000"/>
                <w:szCs w:val="22"/>
              </w:rPr>
              <w:t xml:space="preserve">Legislation currently enacted and due to take effect from 1 April 2020 would require Student loan deductions </w:t>
            </w:r>
            <w:r w:rsidR="00F01760">
              <w:rPr>
                <w:rFonts w:cs="Arial"/>
                <w:color w:val="000000"/>
                <w:szCs w:val="22"/>
              </w:rPr>
              <w:t>to be made from</w:t>
            </w:r>
            <w:r>
              <w:rPr>
                <w:rFonts w:cs="Arial"/>
                <w:color w:val="000000"/>
                <w:szCs w:val="22"/>
              </w:rPr>
              <w:t xml:space="preserve"> </w:t>
            </w:r>
            <w:r w:rsidR="00902AF8">
              <w:rPr>
                <w:rFonts w:cs="Arial"/>
                <w:color w:val="000000"/>
                <w:szCs w:val="22"/>
              </w:rPr>
              <w:t>schedular</w:t>
            </w:r>
            <w:r w:rsidR="00C54F1E">
              <w:rPr>
                <w:rFonts w:cs="Arial"/>
                <w:color w:val="000000"/>
                <w:szCs w:val="22"/>
              </w:rPr>
              <w:t>,</w:t>
            </w:r>
            <w:r w:rsidR="00902AF8">
              <w:rPr>
                <w:rFonts w:cs="Arial"/>
                <w:color w:val="000000"/>
                <w:szCs w:val="22"/>
              </w:rPr>
              <w:t xml:space="preserve"> casual agricultural</w:t>
            </w:r>
            <w:r w:rsidR="00C54F1E">
              <w:rPr>
                <w:rFonts w:cs="Arial"/>
                <w:color w:val="000000"/>
                <w:szCs w:val="22"/>
              </w:rPr>
              <w:t xml:space="preserve">, </w:t>
            </w:r>
            <w:r w:rsidR="00902AF8">
              <w:rPr>
                <w:rFonts w:cs="Arial"/>
                <w:color w:val="000000"/>
                <w:szCs w:val="22"/>
              </w:rPr>
              <w:t xml:space="preserve">and election day </w:t>
            </w:r>
            <w:r w:rsidR="00C54F1E">
              <w:rPr>
                <w:rFonts w:cs="Arial"/>
                <w:color w:val="000000"/>
                <w:szCs w:val="22"/>
              </w:rPr>
              <w:t>income</w:t>
            </w:r>
            <w:r w:rsidR="00F01760">
              <w:rPr>
                <w:rFonts w:cs="Arial"/>
                <w:color w:val="000000"/>
                <w:szCs w:val="22"/>
              </w:rPr>
              <w:t xml:space="preserve"> each pay day</w:t>
            </w:r>
            <w:r>
              <w:rPr>
                <w:rFonts w:cs="Arial"/>
                <w:color w:val="000000"/>
                <w:szCs w:val="22"/>
              </w:rPr>
              <w:t>.</w:t>
            </w:r>
            <w:r w:rsidR="00902AF8">
              <w:rPr>
                <w:rFonts w:cs="Arial"/>
                <w:color w:val="000000"/>
                <w:szCs w:val="22"/>
              </w:rPr>
              <w:t xml:space="preserve"> This change would affect approximately 33,000 borrowers and approximately 11,000 employers.</w:t>
            </w:r>
            <w:r>
              <w:rPr>
                <w:rFonts w:cs="Arial"/>
                <w:color w:val="000000"/>
                <w:szCs w:val="22"/>
              </w:rPr>
              <w:t xml:space="preserve"> </w:t>
            </w:r>
          </w:p>
          <w:p w14:paraId="3CF95092" w14:textId="77777777" w:rsidR="00E26E16" w:rsidRDefault="00E26E16" w:rsidP="007A088C">
            <w:pPr>
              <w:spacing w:after="0" w:line="240" w:lineRule="auto"/>
              <w:rPr>
                <w:rFonts w:cs="Arial"/>
                <w:color w:val="000000"/>
                <w:szCs w:val="22"/>
              </w:rPr>
            </w:pPr>
          </w:p>
          <w:p w14:paraId="4394CA21" w14:textId="77777777" w:rsidR="00E26E16" w:rsidRDefault="00E26E16" w:rsidP="007A088C">
            <w:pPr>
              <w:spacing w:after="0" w:line="240" w:lineRule="auto"/>
              <w:rPr>
                <w:rFonts w:cs="Arial"/>
                <w:color w:val="000000"/>
                <w:szCs w:val="22"/>
              </w:rPr>
            </w:pPr>
            <w:r>
              <w:rPr>
                <w:rFonts w:cs="Arial"/>
                <w:color w:val="000000"/>
                <w:szCs w:val="22"/>
              </w:rPr>
              <w:t>These changes were intended to address non-compliance by some borrowers earning this income. They would impose compliance costs on employers and potentially reduce compliance costs on borrowers. The changes do not affect the borrower’s overall student loan repayment obligations but would have changed the way that these are met. Rather than make two interim payments and have an end</w:t>
            </w:r>
            <w:r w:rsidR="00C54F1E">
              <w:rPr>
                <w:rFonts w:cs="Arial"/>
                <w:color w:val="000000"/>
                <w:szCs w:val="22"/>
              </w:rPr>
              <w:t>-</w:t>
            </w:r>
            <w:r>
              <w:rPr>
                <w:rFonts w:cs="Arial"/>
                <w:color w:val="000000"/>
                <w:szCs w:val="22"/>
              </w:rPr>
              <w:t>of</w:t>
            </w:r>
            <w:r w:rsidR="00C54F1E">
              <w:rPr>
                <w:rFonts w:cs="Arial"/>
                <w:color w:val="000000"/>
                <w:szCs w:val="22"/>
              </w:rPr>
              <w:t>-</w:t>
            </w:r>
            <w:r>
              <w:rPr>
                <w:rFonts w:cs="Arial"/>
                <w:color w:val="000000"/>
                <w:szCs w:val="22"/>
              </w:rPr>
              <w:t>year square-up, borrowers would instead have deductions made from their income with an end</w:t>
            </w:r>
            <w:r w:rsidR="00C54F1E">
              <w:rPr>
                <w:rFonts w:cs="Arial"/>
                <w:color w:val="000000"/>
                <w:szCs w:val="22"/>
              </w:rPr>
              <w:t>-</w:t>
            </w:r>
            <w:r>
              <w:rPr>
                <w:rFonts w:cs="Arial"/>
                <w:color w:val="000000"/>
                <w:szCs w:val="22"/>
              </w:rPr>
              <w:t>of</w:t>
            </w:r>
            <w:r w:rsidR="00C54F1E">
              <w:rPr>
                <w:rFonts w:cs="Arial"/>
                <w:color w:val="000000"/>
                <w:szCs w:val="22"/>
              </w:rPr>
              <w:t>-</w:t>
            </w:r>
            <w:r>
              <w:rPr>
                <w:rFonts w:cs="Arial"/>
                <w:color w:val="000000"/>
                <w:szCs w:val="22"/>
              </w:rPr>
              <w:t>year square-up.</w:t>
            </w:r>
          </w:p>
          <w:p w14:paraId="3E1B2CB4" w14:textId="77777777" w:rsidR="00902AF8" w:rsidRDefault="00902AF8" w:rsidP="007A088C">
            <w:pPr>
              <w:spacing w:after="0" w:line="240" w:lineRule="auto"/>
              <w:rPr>
                <w:rFonts w:cs="Arial"/>
                <w:color w:val="000000"/>
                <w:szCs w:val="22"/>
              </w:rPr>
            </w:pPr>
          </w:p>
          <w:p w14:paraId="338ED1A1" w14:textId="77777777" w:rsidR="00902AF8" w:rsidRDefault="00B6562B" w:rsidP="007A088C">
            <w:pPr>
              <w:spacing w:after="0" w:line="240" w:lineRule="auto"/>
              <w:rPr>
                <w:rFonts w:cs="Arial"/>
                <w:color w:val="000000"/>
                <w:szCs w:val="22"/>
              </w:rPr>
            </w:pPr>
            <w:r>
              <w:rPr>
                <w:rFonts w:cs="Arial"/>
                <w:color w:val="000000"/>
                <w:szCs w:val="22"/>
              </w:rPr>
              <w:t>Consultation as part of Inland Revenue’s business transformation programme has indicated that this change would impose significant, unforeseen, compliance costs on employers.</w:t>
            </w:r>
            <w:r w:rsidR="00902AF8">
              <w:rPr>
                <w:rFonts w:cs="Arial"/>
                <w:color w:val="000000"/>
                <w:szCs w:val="22"/>
              </w:rPr>
              <w:t xml:space="preserve"> These costs vary depending on the size of the employer and the complexity of their systems, </w:t>
            </w:r>
            <w:r w:rsidR="00FB6DC8">
              <w:rPr>
                <w:rFonts w:cs="Arial"/>
                <w:color w:val="000000"/>
                <w:szCs w:val="22"/>
              </w:rPr>
              <w:t xml:space="preserve">but consultation has indicated that these costs are typically relatively large, both initially and on an ongoing basis. </w:t>
            </w:r>
          </w:p>
          <w:p w14:paraId="090CD7F8" w14:textId="77777777" w:rsidR="000976C8" w:rsidRPr="0069218C" w:rsidRDefault="000976C8" w:rsidP="007A088C">
            <w:pPr>
              <w:spacing w:after="0" w:line="240" w:lineRule="auto"/>
              <w:rPr>
                <w:rFonts w:cs="Arial"/>
                <w:szCs w:val="22"/>
              </w:rPr>
            </w:pPr>
          </w:p>
        </w:tc>
      </w:tr>
    </w:tbl>
    <w:p w14:paraId="6508663D" w14:textId="77777777" w:rsidR="000717C0" w:rsidRDefault="000717C0" w:rsidP="00567434">
      <w:pPr>
        <w:pStyle w:val="spacer"/>
      </w:pPr>
    </w:p>
    <w:p w14:paraId="0E4726AD" w14:textId="77777777" w:rsidR="000717C0" w:rsidRDefault="000717C0" w:rsidP="000717C0">
      <w:pPr>
        <w:rPr>
          <w:sz w:val="16"/>
          <w:szCs w:val="22"/>
          <w:lang w:eastAsia="en-AU"/>
        </w:rPr>
      </w:pPr>
      <w:r>
        <w:br w:type="page"/>
      </w:r>
    </w:p>
    <w:p w14:paraId="5AA37FA1" w14:textId="77777777" w:rsidR="00F132B2" w:rsidRPr="00567434" w:rsidRDefault="00F132B2"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6F69" w:rsidRPr="0069218C" w14:paraId="190FFFCA" w14:textId="77777777" w:rsidTr="00800DEC">
        <w:trPr>
          <w:trHeight w:val="77"/>
        </w:trPr>
        <w:tc>
          <w:tcPr>
            <w:tcW w:w="5000" w:type="pct"/>
            <w:shd w:val="clear" w:color="auto" w:fill="99CDDD"/>
          </w:tcPr>
          <w:p w14:paraId="4D6439F3"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773B4E88" w14:textId="77777777" w:rsidTr="00AD3DAC">
        <w:trPr>
          <w:trHeight w:val="756"/>
        </w:trPr>
        <w:tc>
          <w:tcPr>
            <w:tcW w:w="5000" w:type="pct"/>
            <w:shd w:val="clear" w:color="auto" w:fill="auto"/>
          </w:tcPr>
          <w:p w14:paraId="15D49A10" w14:textId="77777777" w:rsidR="008F44D7" w:rsidRDefault="008F44D7" w:rsidP="008F44D7">
            <w:pPr>
              <w:pStyle w:val="Heading3"/>
            </w:pPr>
            <w:r>
              <w:t>Threshold changes</w:t>
            </w:r>
          </w:p>
          <w:p w14:paraId="18271BB3" w14:textId="77777777" w:rsidR="00FB1D55" w:rsidRDefault="00E72412" w:rsidP="007A088C">
            <w:pPr>
              <w:spacing w:after="0" w:line="240" w:lineRule="auto"/>
              <w:rPr>
                <w:rFonts w:cs="Arial"/>
                <w:color w:val="000000"/>
                <w:szCs w:val="22"/>
              </w:rPr>
            </w:pPr>
            <w:r w:rsidRPr="007A088C">
              <w:rPr>
                <w:rFonts w:cs="Arial"/>
                <w:color w:val="000000"/>
                <w:szCs w:val="22"/>
              </w:rPr>
              <w:t xml:space="preserve">The proposal is to reduce the </w:t>
            </w:r>
            <w:r w:rsidR="007A088C" w:rsidRPr="007A088C">
              <w:rPr>
                <w:rFonts w:cs="Arial"/>
                <w:color w:val="000000"/>
                <w:szCs w:val="22"/>
              </w:rPr>
              <w:t>threshold</w:t>
            </w:r>
            <w:r w:rsidRPr="007A088C">
              <w:rPr>
                <w:rFonts w:cs="Arial"/>
                <w:color w:val="000000"/>
                <w:szCs w:val="22"/>
              </w:rPr>
              <w:t xml:space="preserve"> </w:t>
            </w:r>
            <w:r w:rsidR="000C769D">
              <w:rPr>
                <w:rFonts w:cs="Arial"/>
                <w:color w:val="000000"/>
                <w:szCs w:val="22"/>
              </w:rPr>
              <w:t>would affect b</w:t>
            </w:r>
            <w:r w:rsidRPr="007A088C">
              <w:rPr>
                <w:rFonts w:cs="Arial"/>
                <w:color w:val="000000"/>
                <w:szCs w:val="22"/>
              </w:rPr>
              <w:t xml:space="preserve">orrowers </w:t>
            </w:r>
            <w:r w:rsidR="00172C8C">
              <w:rPr>
                <w:rFonts w:cs="Arial"/>
                <w:color w:val="000000"/>
                <w:szCs w:val="22"/>
              </w:rPr>
              <w:t xml:space="preserve">with </w:t>
            </w:r>
            <w:r w:rsidR="00BE6490">
              <w:rPr>
                <w:rFonts w:cs="Arial"/>
                <w:color w:val="000000"/>
                <w:szCs w:val="22"/>
              </w:rPr>
              <w:t>non-salary</w:t>
            </w:r>
            <w:r w:rsidR="00172C8C">
              <w:rPr>
                <w:rFonts w:cs="Arial"/>
                <w:color w:val="000000"/>
                <w:szCs w:val="22"/>
              </w:rPr>
              <w:t xml:space="preserve"> and wage income of between $500 and $1500 </w:t>
            </w:r>
            <w:r w:rsidR="00BE6490">
              <w:rPr>
                <w:rFonts w:cs="Arial"/>
                <w:color w:val="000000"/>
                <w:szCs w:val="22"/>
              </w:rPr>
              <w:t xml:space="preserve">above the </w:t>
            </w:r>
            <w:r w:rsidR="00172C8C">
              <w:rPr>
                <w:rFonts w:cs="Arial"/>
                <w:color w:val="000000"/>
                <w:szCs w:val="22"/>
              </w:rPr>
              <w:t>$19,760 repayment threshold</w:t>
            </w:r>
            <w:r w:rsidR="00BE6490">
              <w:rPr>
                <w:rFonts w:cs="Arial"/>
                <w:color w:val="000000"/>
                <w:szCs w:val="22"/>
              </w:rPr>
              <w:t xml:space="preserve">.  </w:t>
            </w:r>
            <w:r w:rsidR="00FB1D55" w:rsidRPr="00B63AEE">
              <w:rPr>
                <w:rFonts w:cs="Arial"/>
                <w:color w:val="000000"/>
                <w:szCs w:val="22"/>
              </w:rPr>
              <w:t xml:space="preserve">The number of borrowers likely to be affected is </w:t>
            </w:r>
            <w:r w:rsidR="00B63AEE" w:rsidRPr="00B63AEE">
              <w:rPr>
                <w:rFonts w:cs="Arial"/>
                <w:color w:val="000000"/>
                <w:szCs w:val="22"/>
              </w:rPr>
              <w:t>25 borrowers</w:t>
            </w:r>
            <w:r w:rsidR="00CE3989">
              <w:rPr>
                <w:rFonts w:cs="Arial"/>
                <w:color w:val="000000"/>
                <w:szCs w:val="22"/>
              </w:rPr>
              <w:t xml:space="preserve"> per year</w:t>
            </w:r>
            <w:r w:rsidR="00B63AEE" w:rsidRPr="00B63AEE">
              <w:rPr>
                <w:rFonts w:cs="Arial"/>
                <w:color w:val="000000"/>
                <w:szCs w:val="22"/>
              </w:rPr>
              <w:t>.</w:t>
            </w:r>
          </w:p>
          <w:p w14:paraId="2F5E6B3C" w14:textId="77777777" w:rsidR="00FB1D55" w:rsidRDefault="00FB1D55" w:rsidP="007A088C">
            <w:pPr>
              <w:spacing w:after="0" w:line="240" w:lineRule="auto"/>
              <w:rPr>
                <w:rFonts w:cs="Arial"/>
                <w:color w:val="000000"/>
                <w:szCs w:val="22"/>
              </w:rPr>
            </w:pPr>
          </w:p>
          <w:p w14:paraId="5444A208" w14:textId="77777777" w:rsidR="000C769D" w:rsidRDefault="00BE6490" w:rsidP="007A088C">
            <w:pPr>
              <w:spacing w:after="0" w:line="240" w:lineRule="auto"/>
              <w:rPr>
                <w:rFonts w:cs="Arial"/>
                <w:color w:val="000000"/>
                <w:szCs w:val="22"/>
              </w:rPr>
            </w:pPr>
            <w:r>
              <w:rPr>
                <w:rFonts w:cs="Arial"/>
                <w:color w:val="000000"/>
                <w:szCs w:val="22"/>
              </w:rPr>
              <w:t>The</w:t>
            </w:r>
            <w:r w:rsidR="00AD3DAC" w:rsidRPr="007A088C">
              <w:rPr>
                <w:rFonts w:cs="Arial"/>
                <w:color w:val="000000"/>
                <w:szCs w:val="22"/>
              </w:rPr>
              <w:t xml:space="preserve"> maximum additional repayment amount </w:t>
            </w:r>
            <w:r>
              <w:rPr>
                <w:rFonts w:cs="Arial"/>
                <w:color w:val="000000"/>
                <w:szCs w:val="22"/>
              </w:rPr>
              <w:t xml:space="preserve">resulting from lowering the threshold would be </w:t>
            </w:r>
            <w:r w:rsidR="00AD3DAC" w:rsidRPr="007A088C">
              <w:rPr>
                <w:rFonts w:cs="Arial"/>
                <w:color w:val="000000"/>
                <w:szCs w:val="22"/>
              </w:rPr>
              <w:t>$1</w:t>
            </w:r>
            <w:r w:rsidR="00D171C7">
              <w:rPr>
                <w:rFonts w:cs="Arial"/>
                <w:color w:val="000000"/>
                <w:szCs w:val="22"/>
              </w:rPr>
              <w:t>79</w:t>
            </w:r>
            <w:r w:rsidR="00AD3DAC" w:rsidRPr="007A088C">
              <w:rPr>
                <w:rFonts w:cs="Arial"/>
                <w:color w:val="000000"/>
                <w:szCs w:val="22"/>
              </w:rPr>
              <w:t xml:space="preserve"> per annum</w:t>
            </w:r>
            <w:r w:rsidR="00083861" w:rsidRPr="007A088C">
              <w:rPr>
                <w:rFonts w:cs="Arial"/>
                <w:color w:val="000000"/>
                <w:szCs w:val="22"/>
              </w:rPr>
              <w:t xml:space="preserve"> per borrower</w:t>
            </w:r>
            <w:r w:rsidR="000C769D">
              <w:rPr>
                <w:rFonts w:cs="Arial"/>
                <w:color w:val="000000"/>
                <w:szCs w:val="22"/>
              </w:rPr>
              <w:t xml:space="preserve"> payable with their end of year tax return</w:t>
            </w:r>
            <w:r w:rsidR="00E72412" w:rsidRPr="007A088C">
              <w:rPr>
                <w:rFonts w:cs="Arial"/>
                <w:color w:val="000000"/>
                <w:szCs w:val="22"/>
              </w:rPr>
              <w:t xml:space="preserve">.  Those borrowers </w:t>
            </w:r>
            <w:r w:rsidR="00CC7932">
              <w:rPr>
                <w:rFonts w:cs="Arial"/>
                <w:color w:val="000000"/>
                <w:szCs w:val="22"/>
              </w:rPr>
              <w:t xml:space="preserve">with </w:t>
            </w:r>
            <w:r>
              <w:rPr>
                <w:rFonts w:cs="Arial"/>
                <w:color w:val="000000"/>
                <w:szCs w:val="22"/>
              </w:rPr>
              <w:t xml:space="preserve">non-salary and wage income </w:t>
            </w:r>
            <w:r w:rsidR="00CC7932">
              <w:rPr>
                <w:rFonts w:cs="Arial"/>
                <w:color w:val="000000"/>
                <w:szCs w:val="22"/>
              </w:rPr>
              <w:t xml:space="preserve">either </w:t>
            </w:r>
            <w:r w:rsidR="00E72412" w:rsidRPr="007A088C">
              <w:rPr>
                <w:rFonts w:cs="Arial"/>
                <w:color w:val="000000"/>
                <w:szCs w:val="22"/>
              </w:rPr>
              <w:t xml:space="preserve">above $1500 or below $500 would not </w:t>
            </w:r>
            <w:r w:rsidR="00AD3DAC" w:rsidRPr="007A088C">
              <w:rPr>
                <w:rFonts w:cs="Arial"/>
                <w:color w:val="000000"/>
                <w:szCs w:val="22"/>
              </w:rPr>
              <w:t xml:space="preserve">experience a change in </w:t>
            </w:r>
            <w:r w:rsidR="00083861" w:rsidRPr="007A088C">
              <w:rPr>
                <w:rFonts w:cs="Arial"/>
                <w:color w:val="000000"/>
                <w:szCs w:val="22"/>
              </w:rPr>
              <w:t xml:space="preserve">their current </w:t>
            </w:r>
            <w:r w:rsidR="00AD3DAC" w:rsidRPr="007A088C">
              <w:rPr>
                <w:rFonts w:cs="Arial"/>
                <w:color w:val="000000"/>
                <w:szCs w:val="22"/>
              </w:rPr>
              <w:t>treatment</w:t>
            </w:r>
            <w:r w:rsidR="00E72412" w:rsidRPr="007A088C">
              <w:rPr>
                <w:rFonts w:cs="Arial"/>
                <w:color w:val="000000"/>
                <w:szCs w:val="22"/>
              </w:rPr>
              <w:t>.</w:t>
            </w:r>
          </w:p>
          <w:p w14:paraId="6808E073" w14:textId="77777777" w:rsidR="00AD3DAC" w:rsidRPr="007A088C" w:rsidRDefault="00AD3DAC" w:rsidP="007A088C">
            <w:pPr>
              <w:spacing w:after="0" w:line="240" w:lineRule="auto"/>
              <w:rPr>
                <w:rFonts w:cs="Arial"/>
                <w:color w:val="000000"/>
                <w:szCs w:val="22"/>
              </w:rPr>
            </w:pPr>
          </w:p>
          <w:p w14:paraId="379789EC" w14:textId="77777777" w:rsidR="00AD3DAC" w:rsidRPr="007A088C" w:rsidRDefault="00083861" w:rsidP="007A088C">
            <w:pPr>
              <w:spacing w:after="0" w:line="240" w:lineRule="auto"/>
              <w:rPr>
                <w:rFonts w:cs="Arial"/>
                <w:color w:val="000000"/>
                <w:szCs w:val="22"/>
              </w:rPr>
            </w:pPr>
            <w:r w:rsidRPr="007A088C">
              <w:rPr>
                <w:rFonts w:cs="Arial"/>
                <w:color w:val="000000"/>
                <w:szCs w:val="22"/>
              </w:rPr>
              <w:t>Retaining t</w:t>
            </w:r>
            <w:r w:rsidR="00AD3DAC" w:rsidRPr="007A088C">
              <w:rPr>
                <w:rFonts w:cs="Arial"/>
                <w:color w:val="000000"/>
                <w:szCs w:val="22"/>
              </w:rPr>
              <w:t>he current threshold level increases inequity between borrowers with salary and wage income (who make repayments on all income above the repayment threshold) and those with non-salary and wage income (who have an additional $1500 above the</w:t>
            </w:r>
            <w:r w:rsidR="00D171C7">
              <w:rPr>
                <w:rFonts w:cs="Arial"/>
                <w:color w:val="000000"/>
                <w:szCs w:val="22"/>
              </w:rPr>
              <w:t xml:space="preserve"> $19,760</w:t>
            </w:r>
            <w:r w:rsidR="00AD3DAC" w:rsidRPr="007A088C">
              <w:rPr>
                <w:rFonts w:cs="Arial"/>
                <w:color w:val="000000"/>
                <w:szCs w:val="22"/>
              </w:rPr>
              <w:t xml:space="preserve"> repayment threshold before repayments apply).</w:t>
            </w:r>
          </w:p>
          <w:p w14:paraId="4B92FD06" w14:textId="77777777" w:rsidR="00AD3DAC" w:rsidRPr="007A088C" w:rsidRDefault="00AD3DAC" w:rsidP="007A088C">
            <w:pPr>
              <w:spacing w:after="0" w:line="240" w:lineRule="auto"/>
              <w:rPr>
                <w:rFonts w:cs="Arial"/>
                <w:color w:val="000000"/>
                <w:szCs w:val="22"/>
              </w:rPr>
            </w:pPr>
          </w:p>
          <w:p w14:paraId="6101A44C" w14:textId="77777777" w:rsidR="00F132B2" w:rsidRPr="007A088C" w:rsidRDefault="00E72412" w:rsidP="007A088C">
            <w:pPr>
              <w:spacing w:after="0" w:line="240" w:lineRule="auto"/>
              <w:rPr>
                <w:rFonts w:cs="Arial"/>
                <w:color w:val="000000"/>
                <w:szCs w:val="22"/>
              </w:rPr>
            </w:pPr>
            <w:r w:rsidRPr="007A088C">
              <w:rPr>
                <w:rFonts w:cs="Arial"/>
                <w:color w:val="000000"/>
                <w:szCs w:val="22"/>
              </w:rPr>
              <w:t xml:space="preserve">This </w:t>
            </w:r>
            <w:r w:rsidR="00AD3DAC" w:rsidRPr="007A088C">
              <w:rPr>
                <w:rFonts w:cs="Arial"/>
                <w:color w:val="000000"/>
                <w:szCs w:val="22"/>
              </w:rPr>
              <w:t xml:space="preserve">change </w:t>
            </w:r>
            <w:r w:rsidRPr="007A088C">
              <w:rPr>
                <w:rFonts w:cs="Arial"/>
                <w:color w:val="000000"/>
                <w:szCs w:val="22"/>
              </w:rPr>
              <w:t>would mean that a</w:t>
            </w:r>
            <w:r w:rsidR="00CE3989">
              <w:rPr>
                <w:rFonts w:cs="Arial"/>
                <w:color w:val="000000"/>
                <w:szCs w:val="22"/>
              </w:rPr>
              <w:t>pproximately 25 affected</w:t>
            </w:r>
            <w:r w:rsidRPr="007A088C">
              <w:rPr>
                <w:rFonts w:cs="Arial"/>
                <w:color w:val="000000"/>
                <w:szCs w:val="22"/>
              </w:rPr>
              <w:t xml:space="preserve"> borrowers </w:t>
            </w:r>
            <w:r w:rsidR="00CE3989">
              <w:rPr>
                <w:rFonts w:cs="Arial"/>
                <w:color w:val="000000"/>
                <w:szCs w:val="22"/>
              </w:rPr>
              <w:t xml:space="preserve">each year </w:t>
            </w:r>
            <w:r w:rsidRPr="007A088C">
              <w:rPr>
                <w:rFonts w:cs="Arial"/>
                <w:color w:val="000000"/>
                <w:szCs w:val="22"/>
              </w:rPr>
              <w:t>would be required to make repayments and if payments are made, these would reduce the term of the</w:t>
            </w:r>
            <w:r w:rsidR="00CE3989">
              <w:rPr>
                <w:rFonts w:cs="Arial"/>
                <w:color w:val="000000"/>
                <w:szCs w:val="22"/>
              </w:rPr>
              <w:t>ir</w:t>
            </w:r>
            <w:r w:rsidRPr="007A088C">
              <w:rPr>
                <w:rFonts w:cs="Arial"/>
                <w:color w:val="000000"/>
                <w:szCs w:val="22"/>
              </w:rPr>
              <w:t xml:space="preserve"> loan</w:t>
            </w:r>
            <w:r w:rsidR="00CE3989">
              <w:rPr>
                <w:rFonts w:cs="Arial"/>
                <w:color w:val="000000"/>
                <w:szCs w:val="22"/>
              </w:rPr>
              <w:t>s</w:t>
            </w:r>
            <w:r w:rsidRPr="007A088C">
              <w:rPr>
                <w:rFonts w:cs="Arial"/>
                <w:color w:val="000000"/>
                <w:szCs w:val="22"/>
              </w:rPr>
              <w:t xml:space="preserve">. </w:t>
            </w:r>
            <w:r w:rsidR="000C769D">
              <w:rPr>
                <w:rFonts w:cs="Arial"/>
                <w:color w:val="000000"/>
                <w:szCs w:val="22"/>
              </w:rPr>
              <w:t>I</w:t>
            </w:r>
            <w:r w:rsidRPr="007A088C">
              <w:rPr>
                <w:rFonts w:cs="Arial"/>
                <w:color w:val="000000"/>
                <w:szCs w:val="22"/>
              </w:rPr>
              <w:t>f</w:t>
            </w:r>
            <w:r w:rsidR="00CE3989">
              <w:rPr>
                <w:rFonts w:cs="Arial"/>
                <w:color w:val="000000"/>
                <w:szCs w:val="22"/>
              </w:rPr>
              <w:t xml:space="preserve"> the affected</w:t>
            </w:r>
            <w:r w:rsidRPr="007A088C">
              <w:rPr>
                <w:rFonts w:cs="Arial"/>
                <w:color w:val="000000"/>
                <w:szCs w:val="22"/>
              </w:rPr>
              <w:t xml:space="preserve"> borrowers do not make payments, provisions in the Student Loan Scheme Act 2011 allow unpaid amounts of less than $334 to be capitalised back onto the loan balance, so no borrowers whose total non-salary and wage income is between $500 and $1,500 will be subject to penalties if they do not make repayments</w:t>
            </w:r>
            <w:r w:rsidR="000C769D">
              <w:rPr>
                <w:rFonts w:cs="Arial"/>
                <w:color w:val="000000"/>
                <w:szCs w:val="22"/>
              </w:rPr>
              <w:t xml:space="preserve"> and the debt to the Government will not increase.</w:t>
            </w:r>
          </w:p>
          <w:p w14:paraId="1708DEA3" w14:textId="77777777" w:rsidR="008F44D7" w:rsidRDefault="008F44D7" w:rsidP="008F44D7">
            <w:pPr>
              <w:pStyle w:val="Heading3"/>
            </w:pPr>
            <w:r>
              <w:t>Withholding changes</w:t>
            </w:r>
          </w:p>
          <w:p w14:paraId="4A51E3B0" w14:textId="77777777" w:rsidR="00DE19C7" w:rsidRDefault="0029199E" w:rsidP="008F44D7">
            <w:pPr>
              <w:spacing w:after="0" w:line="240" w:lineRule="auto"/>
              <w:rPr>
                <w:rFonts w:cs="Arial"/>
                <w:szCs w:val="22"/>
              </w:rPr>
            </w:pPr>
            <w:r w:rsidRPr="008F44D7">
              <w:rPr>
                <w:rFonts w:cs="Arial"/>
                <w:color w:val="000000"/>
                <w:szCs w:val="22"/>
              </w:rPr>
              <w:t xml:space="preserve">The change to student loan deductions on </w:t>
            </w:r>
            <w:r w:rsidR="00F01760">
              <w:rPr>
                <w:rFonts w:cs="Arial"/>
                <w:color w:val="000000"/>
                <w:szCs w:val="22"/>
              </w:rPr>
              <w:t xml:space="preserve">schedular, casual agricultural, and election day income </w:t>
            </w:r>
            <w:r w:rsidRPr="008F44D7">
              <w:rPr>
                <w:rFonts w:cs="Arial"/>
                <w:color w:val="000000"/>
                <w:szCs w:val="22"/>
              </w:rPr>
              <w:t>would impose compliance costs on employers and seeks to reduce non-compliance by recipients of these payments. Repealing these provisions would avoid these compliance costs being imposed.</w:t>
            </w:r>
            <w:r>
              <w:rPr>
                <w:rFonts w:cs="Arial"/>
                <w:szCs w:val="22"/>
              </w:rPr>
              <w:t xml:space="preserve"> </w:t>
            </w:r>
          </w:p>
          <w:p w14:paraId="4298B3EC" w14:textId="77777777" w:rsidR="005B6B8E" w:rsidRPr="0069218C" w:rsidRDefault="005B6B8E" w:rsidP="008F44D7">
            <w:pPr>
              <w:spacing w:after="0" w:line="240" w:lineRule="auto"/>
              <w:rPr>
                <w:rFonts w:cs="Arial"/>
                <w:szCs w:val="22"/>
              </w:rPr>
            </w:pPr>
          </w:p>
        </w:tc>
      </w:tr>
    </w:tbl>
    <w:p w14:paraId="3940A387" w14:textId="77777777" w:rsidR="000C3197" w:rsidRPr="00567434" w:rsidRDefault="000C3197"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4CE4" w:rsidRPr="0069218C" w14:paraId="28E2E788" w14:textId="77777777" w:rsidTr="00800DEC">
        <w:trPr>
          <w:trHeight w:val="77"/>
        </w:trPr>
        <w:tc>
          <w:tcPr>
            <w:tcW w:w="5000" w:type="pct"/>
            <w:shd w:val="clear" w:color="auto" w:fill="99CDDD"/>
          </w:tcPr>
          <w:p w14:paraId="7FCE5013" w14:textId="77777777" w:rsidR="00304CE4" w:rsidRPr="00886DFF" w:rsidRDefault="00F63B99" w:rsidP="00EC6FAD">
            <w:pPr>
              <w:pStyle w:val="TableHeadings"/>
              <w:rPr>
                <w:szCs w:val="22"/>
              </w:rPr>
            </w:pPr>
            <w:r w:rsidRPr="00886DFF">
              <w:rPr>
                <w:szCs w:val="22"/>
              </w:rPr>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69218C" w14:paraId="5C7A921C" w14:textId="77777777" w:rsidTr="00F01760">
        <w:trPr>
          <w:trHeight w:val="1284"/>
        </w:trPr>
        <w:tc>
          <w:tcPr>
            <w:tcW w:w="5000" w:type="pct"/>
            <w:shd w:val="clear" w:color="auto" w:fill="auto"/>
          </w:tcPr>
          <w:p w14:paraId="23D92559" w14:textId="77777777" w:rsidR="00F132B2" w:rsidRPr="0069218C" w:rsidRDefault="00F62911" w:rsidP="000976C8">
            <w:pPr>
              <w:spacing w:after="0" w:line="240" w:lineRule="auto"/>
              <w:rPr>
                <w:rFonts w:cs="Arial"/>
                <w:szCs w:val="22"/>
              </w:rPr>
            </w:pPr>
            <w:r>
              <w:rPr>
                <w:rFonts w:cs="Arial"/>
                <w:color w:val="000000"/>
                <w:szCs w:val="22"/>
              </w:rPr>
              <w:t xml:space="preserve">The need for a quick response to this issue and the integrity issues mean that only three options are available for consideration – </w:t>
            </w:r>
            <w:r w:rsidR="000C769D">
              <w:rPr>
                <w:rFonts w:cs="Arial"/>
                <w:color w:val="000000"/>
                <w:szCs w:val="22"/>
              </w:rPr>
              <w:t>retaining the current $1500 threshold (</w:t>
            </w:r>
            <w:r>
              <w:rPr>
                <w:rFonts w:cs="Arial"/>
                <w:color w:val="000000"/>
                <w:szCs w:val="22"/>
              </w:rPr>
              <w:t>the status quo</w:t>
            </w:r>
            <w:r w:rsidR="000C769D">
              <w:rPr>
                <w:rFonts w:cs="Arial"/>
                <w:color w:val="000000"/>
                <w:szCs w:val="22"/>
              </w:rPr>
              <w:t>)</w:t>
            </w:r>
            <w:r>
              <w:rPr>
                <w:rFonts w:cs="Arial"/>
                <w:color w:val="000000"/>
                <w:szCs w:val="22"/>
              </w:rPr>
              <w:t xml:space="preserve">, lowering the threshold to zero, or lowering the threshold to $500 </w:t>
            </w:r>
            <w:r w:rsidR="000C769D">
              <w:rPr>
                <w:rFonts w:cs="Arial"/>
                <w:color w:val="000000"/>
                <w:szCs w:val="22"/>
              </w:rPr>
              <w:t>(</w:t>
            </w:r>
            <w:r>
              <w:rPr>
                <w:rFonts w:cs="Arial"/>
                <w:color w:val="000000"/>
                <w:szCs w:val="22"/>
              </w:rPr>
              <w:t>which is the option preferred by officials</w:t>
            </w:r>
            <w:r w:rsidR="000C769D">
              <w:rPr>
                <w:rFonts w:cs="Arial"/>
                <w:color w:val="000000"/>
                <w:szCs w:val="22"/>
              </w:rPr>
              <w:t>)</w:t>
            </w:r>
            <w:r>
              <w:rPr>
                <w:rFonts w:cs="Arial"/>
                <w:color w:val="000000"/>
                <w:szCs w:val="22"/>
              </w:rPr>
              <w:t xml:space="preserve">. </w:t>
            </w:r>
          </w:p>
        </w:tc>
      </w:tr>
    </w:tbl>
    <w:p w14:paraId="654420A6" w14:textId="77777777" w:rsidR="000717C0" w:rsidRDefault="000717C0" w:rsidP="00293FDC">
      <w:pPr>
        <w:pStyle w:val="Heading2"/>
      </w:pPr>
    </w:p>
    <w:p w14:paraId="01A57067" w14:textId="77777777" w:rsidR="000717C0" w:rsidRDefault="00BE62EB" w:rsidP="00293FDC">
      <w:pPr>
        <w:pStyle w:val="Heading2"/>
      </w:pPr>
      <w:r w:rsidRPr="002D5734">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717C0" w:rsidRPr="0069218C" w14:paraId="1E817E75" w14:textId="77777777" w:rsidTr="00B86433">
        <w:trPr>
          <w:trHeight w:val="77"/>
        </w:trPr>
        <w:tc>
          <w:tcPr>
            <w:tcW w:w="5000" w:type="pct"/>
            <w:shd w:val="clear" w:color="auto" w:fill="99CDDD"/>
          </w:tcPr>
          <w:p w14:paraId="42D5C8B4" w14:textId="77777777" w:rsidR="000717C0" w:rsidRPr="00886DFF" w:rsidRDefault="000717C0" w:rsidP="00B86433">
            <w:pPr>
              <w:pStyle w:val="TableHeadings"/>
              <w:keepNext/>
              <w:rPr>
                <w:szCs w:val="22"/>
                <w:lang w:val="en-NZ"/>
              </w:rPr>
            </w:pPr>
            <w:r w:rsidRPr="00886DFF">
              <w:rPr>
                <w:szCs w:val="22"/>
                <w:lang w:val="en-NZ"/>
              </w:rPr>
              <w:t>3.1   What options have been considered?</w:t>
            </w:r>
          </w:p>
        </w:tc>
      </w:tr>
    </w:tbl>
    <w:p w14:paraId="68DCFE02" w14:textId="77777777" w:rsidR="00E92509" w:rsidRDefault="00E92509" w:rsidP="00293FDC">
      <w:pPr>
        <w:pStyle w:val="Heading2"/>
      </w:pPr>
    </w:p>
    <w:p w14:paraId="010972B7" w14:textId="77777777" w:rsidR="000717C0" w:rsidRPr="000717C0" w:rsidRDefault="000717C0" w:rsidP="000717C0"/>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132B2" w:rsidRPr="007A088C" w14:paraId="1CAFE5B2" w14:textId="77777777" w:rsidTr="000717C0">
        <w:trPr>
          <w:trHeight w:val="5996"/>
        </w:trPr>
        <w:tc>
          <w:tcPr>
            <w:tcW w:w="5000" w:type="pct"/>
            <w:shd w:val="clear" w:color="auto" w:fill="auto"/>
          </w:tcPr>
          <w:p w14:paraId="62827DBE" w14:textId="77777777" w:rsidR="008F44D7" w:rsidRDefault="008F44D7" w:rsidP="008F44D7">
            <w:pPr>
              <w:pStyle w:val="Heading3"/>
            </w:pPr>
            <w:r>
              <w:lastRenderedPageBreak/>
              <w:t>Threshold changes</w:t>
            </w:r>
          </w:p>
          <w:p w14:paraId="431EC2C2" w14:textId="77777777" w:rsidR="00CC7932" w:rsidRDefault="00E72412" w:rsidP="007A088C">
            <w:pPr>
              <w:spacing w:after="0" w:line="240" w:lineRule="auto"/>
              <w:rPr>
                <w:rFonts w:cs="Arial"/>
                <w:color w:val="000000"/>
                <w:szCs w:val="22"/>
              </w:rPr>
            </w:pPr>
            <w:r w:rsidRPr="007A088C">
              <w:rPr>
                <w:rFonts w:cs="Arial"/>
                <w:color w:val="000000"/>
                <w:szCs w:val="22"/>
              </w:rPr>
              <w:t>There were t</w:t>
            </w:r>
            <w:r w:rsidR="00D171C7">
              <w:rPr>
                <w:rFonts w:cs="Arial"/>
                <w:color w:val="000000"/>
                <w:szCs w:val="22"/>
              </w:rPr>
              <w:t>hree</w:t>
            </w:r>
            <w:r w:rsidRPr="007A088C">
              <w:rPr>
                <w:rFonts w:cs="Arial"/>
                <w:color w:val="000000"/>
                <w:szCs w:val="22"/>
              </w:rPr>
              <w:t xml:space="preserve"> opti</w:t>
            </w:r>
            <w:r w:rsidR="00131F4A" w:rsidRPr="007A088C">
              <w:rPr>
                <w:rFonts w:cs="Arial"/>
                <w:color w:val="000000"/>
                <w:szCs w:val="22"/>
              </w:rPr>
              <w:t>o</w:t>
            </w:r>
            <w:r w:rsidRPr="007A088C">
              <w:rPr>
                <w:rFonts w:cs="Arial"/>
                <w:color w:val="000000"/>
                <w:szCs w:val="22"/>
              </w:rPr>
              <w:t>ns considered</w:t>
            </w:r>
            <w:r w:rsidR="00D171C7">
              <w:rPr>
                <w:rFonts w:cs="Arial"/>
                <w:color w:val="000000"/>
                <w:szCs w:val="22"/>
              </w:rPr>
              <w:t>,</w:t>
            </w:r>
            <w:r w:rsidRPr="007A088C">
              <w:rPr>
                <w:rFonts w:cs="Arial"/>
                <w:color w:val="000000"/>
                <w:szCs w:val="22"/>
              </w:rPr>
              <w:t xml:space="preserve"> namely</w:t>
            </w:r>
            <w:r w:rsidR="00D171C7">
              <w:rPr>
                <w:rFonts w:cs="Arial"/>
                <w:color w:val="000000"/>
                <w:szCs w:val="22"/>
              </w:rPr>
              <w:t>:</w:t>
            </w:r>
            <w:r w:rsidR="00D153DC" w:rsidRPr="007A088C">
              <w:rPr>
                <w:rFonts w:cs="Arial"/>
                <w:color w:val="000000"/>
                <w:szCs w:val="22"/>
              </w:rPr>
              <w:t xml:space="preserve"> to r</w:t>
            </w:r>
            <w:r w:rsidR="00131F4A" w:rsidRPr="007A088C">
              <w:rPr>
                <w:rFonts w:cs="Arial"/>
                <w:color w:val="000000"/>
                <w:szCs w:val="22"/>
              </w:rPr>
              <w:t xml:space="preserve">etain the current threshold; </w:t>
            </w:r>
            <w:r w:rsidR="00D171C7">
              <w:rPr>
                <w:rFonts w:cs="Arial"/>
                <w:color w:val="000000"/>
                <w:szCs w:val="22"/>
              </w:rPr>
              <w:t xml:space="preserve">to reduce the threshold to zero; </w:t>
            </w:r>
            <w:r w:rsidR="00131F4A" w:rsidRPr="007A088C">
              <w:rPr>
                <w:rFonts w:cs="Arial"/>
                <w:color w:val="000000"/>
                <w:szCs w:val="22"/>
              </w:rPr>
              <w:t>or</w:t>
            </w:r>
            <w:r w:rsidR="00D153DC" w:rsidRPr="007A088C">
              <w:rPr>
                <w:rFonts w:cs="Arial"/>
                <w:color w:val="000000"/>
                <w:szCs w:val="22"/>
              </w:rPr>
              <w:t xml:space="preserve"> to r</w:t>
            </w:r>
            <w:r w:rsidR="00131F4A" w:rsidRPr="007A088C">
              <w:rPr>
                <w:rFonts w:cs="Arial"/>
                <w:color w:val="000000"/>
                <w:szCs w:val="22"/>
              </w:rPr>
              <w:t>educe the threshold to a lower amount</w:t>
            </w:r>
            <w:r w:rsidR="00871663" w:rsidRPr="007A088C">
              <w:rPr>
                <w:rFonts w:cs="Arial"/>
                <w:color w:val="000000"/>
                <w:szCs w:val="22"/>
              </w:rPr>
              <w:t xml:space="preserve"> of </w:t>
            </w:r>
            <w:r w:rsidR="00083861" w:rsidRPr="007A088C">
              <w:rPr>
                <w:rFonts w:cs="Arial"/>
                <w:color w:val="000000"/>
                <w:szCs w:val="22"/>
              </w:rPr>
              <w:t>$</w:t>
            </w:r>
            <w:r w:rsidR="00871663" w:rsidRPr="007A088C">
              <w:rPr>
                <w:rFonts w:cs="Arial"/>
                <w:color w:val="000000"/>
                <w:szCs w:val="22"/>
              </w:rPr>
              <w:t>500</w:t>
            </w:r>
            <w:r w:rsidR="00CC7932">
              <w:rPr>
                <w:rFonts w:cs="Arial"/>
                <w:color w:val="000000"/>
                <w:szCs w:val="22"/>
              </w:rPr>
              <w:t>.</w:t>
            </w:r>
          </w:p>
          <w:p w14:paraId="0E225E87" w14:textId="77777777" w:rsidR="007A088C" w:rsidRPr="007A088C" w:rsidRDefault="00CC7932" w:rsidP="007A088C">
            <w:pPr>
              <w:spacing w:after="0" w:line="240" w:lineRule="auto"/>
              <w:rPr>
                <w:rFonts w:cs="Arial"/>
                <w:color w:val="000000"/>
                <w:szCs w:val="22"/>
              </w:rPr>
            </w:pPr>
            <w:r w:rsidRPr="007A088C">
              <w:rPr>
                <w:rFonts w:cs="Arial"/>
                <w:color w:val="000000"/>
                <w:szCs w:val="22"/>
              </w:rPr>
              <w:t xml:space="preserve"> </w:t>
            </w:r>
          </w:p>
          <w:p w14:paraId="5791108C" w14:textId="77777777" w:rsidR="007A088C" w:rsidRPr="007A088C" w:rsidRDefault="007A088C" w:rsidP="007A088C">
            <w:pPr>
              <w:spacing w:after="0" w:line="240" w:lineRule="auto"/>
              <w:rPr>
                <w:rFonts w:cs="Arial"/>
                <w:color w:val="000000"/>
                <w:szCs w:val="22"/>
              </w:rPr>
            </w:pPr>
            <w:r w:rsidRPr="007A088C">
              <w:rPr>
                <w:rFonts w:cs="Arial"/>
                <w:color w:val="000000"/>
                <w:szCs w:val="22"/>
              </w:rPr>
              <w:t>The following criteria have been used to assess the options:</w:t>
            </w:r>
          </w:p>
          <w:p w14:paraId="7334AAD7" w14:textId="77777777" w:rsidR="00D153DC" w:rsidRPr="007A088C" w:rsidRDefault="00D153DC" w:rsidP="00987CB1">
            <w:pPr>
              <w:numPr>
                <w:ilvl w:val="0"/>
                <w:numId w:val="43"/>
              </w:numPr>
              <w:spacing w:after="0" w:line="240" w:lineRule="auto"/>
              <w:rPr>
                <w:rFonts w:cs="Arial"/>
                <w:color w:val="000000"/>
                <w:szCs w:val="22"/>
              </w:rPr>
            </w:pPr>
            <w:r w:rsidRPr="007A088C">
              <w:rPr>
                <w:rFonts w:cs="Arial"/>
                <w:color w:val="000000"/>
                <w:szCs w:val="22"/>
              </w:rPr>
              <w:t>Efficiency</w:t>
            </w:r>
          </w:p>
          <w:p w14:paraId="468AEE18" w14:textId="77777777" w:rsidR="00D153DC" w:rsidRPr="007A088C" w:rsidRDefault="00D153DC" w:rsidP="00987CB1">
            <w:pPr>
              <w:numPr>
                <w:ilvl w:val="0"/>
                <w:numId w:val="43"/>
              </w:numPr>
              <w:spacing w:after="0" w:line="240" w:lineRule="auto"/>
              <w:rPr>
                <w:rFonts w:cs="Arial"/>
                <w:color w:val="000000"/>
                <w:szCs w:val="22"/>
              </w:rPr>
            </w:pPr>
            <w:r w:rsidRPr="007A088C">
              <w:rPr>
                <w:rFonts w:cs="Arial"/>
                <w:color w:val="000000"/>
                <w:szCs w:val="22"/>
              </w:rPr>
              <w:t>Equity</w:t>
            </w:r>
            <w:r w:rsidR="00AD3DAC" w:rsidRPr="007A088C">
              <w:rPr>
                <w:rFonts w:cs="Arial"/>
                <w:color w:val="000000"/>
                <w:szCs w:val="22"/>
              </w:rPr>
              <w:t xml:space="preserve"> between borrowers</w:t>
            </w:r>
          </w:p>
          <w:p w14:paraId="5ADCEF73" w14:textId="77777777" w:rsidR="00083861" w:rsidRPr="007A088C" w:rsidRDefault="00083861" w:rsidP="00987CB1">
            <w:pPr>
              <w:numPr>
                <w:ilvl w:val="0"/>
                <w:numId w:val="43"/>
              </w:numPr>
              <w:spacing w:after="0" w:line="240" w:lineRule="auto"/>
              <w:rPr>
                <w:rFonts w:cs="Arial"/>
                <w:color w:val="000000"/>
                <w:szCs w:val="22"/>
              </w:rPr>
            </w:pPr>
            <w:r w:rsidRPr="007A088C">
              <w:rPr>
                <w:rFonts w:cs="Arial"/>
                <w:color w:val="000000"/>
                <w:szCs w:val="22"/>
              </w:rPr>
              <w:t>Compliance costs</w:t>
            </w:r>
          </w:p>
          <w:p w14:paraId="68DAFBB9" w14:textId="77777777" w:rsidR="007A088C" w:rsidRDefault="007A088C" w:rsidP="00987CB1">
            <w:pPr>
              <w:numPr>
                <w:ilvl w:val="0"/>
                <w:numId w:val="43"/>
              </w:numPr>
              <w:spacing w:after="0" w:line="240" w:lineRule="auto"/>
              <w:rPr>
                <w:rFonts w:cs="Arial"/>
                <w:color w:val="000000"/>
                <w:szCs w:val="22"/>
              </w:rPr>
            </w:pPr>
            <w:r w:rsidRPr="007A088C">
              <w:rPr>
                <w:rFonts w:cs="Arial"/>
                <w:color w:val="000000"/>
                <w:szCs w:val="22"/>
              </w:rPr>
              <w:t>Economic (maintaining the value of the loan asset)</w:t>
            </w:r>
          </w:p>
          <w:p w14:paraId="33F7C618" w14:textId="77777777" w:rsidR="007A088C" w:rsidRPr="007A088C" w:rsidRDefault="007A088C" w:rsidP="007A088C">
            <w:pPr>
              <w:spacing w:after="0" w:line="240" w:lineRule="auto"/>
              <w:ind w:left="720"/>
              <w:rPr>
                <w:rFonts w:cs="Arial"/>
                <w:color w:val="000000"/>
                <w:szCs w:val="22"/>
              </w:rPr>
            </w:pPr>
          </w:p>
          <w:p w14:paraId="4377510C" w14:textId="77777777" w:rsidR="009247AF" w:rsidRDefault="00ED4082" w:rsidP="007A088C">
            <w:pPr>
              <w:spacing w:after="0" w:line="240" w:lineRule="auto"/>
              <w:rPr>
                <w:rFonts w:cs="Arial"/>
                <w:color w:val="000000"/>
                <w:szCs w:val="22"/>
              </w:rPr>
            </w:pPr>
            <w:r w:rsidRPr="009247AF">
              <w:rPr>
                <w:rFonts w:cs="Arial"/>
                <w:b/>
                <w:color w:val="000000"/>
                <w:szCs w:val="22"/>
              </w:rPr>
              <w:t>Retaining the existing threshold</w:t>
            </w:r>
            <w:r w:rsidRPr="009247AF">
              <w:rPr>
                <w:rFonts w:cs="Arial"/>
                <w:color w:val="000000"/>
                <w:szCs w:val="22"/>
              </w:rPr>
              <w:t xml:space="preserve"> </w:t>
            </w:r>
          </w:p>
          <w:p w14:paraId="536D1A64" w14:textId="77777777" w:rsidR="009247AF" w:rsidRDefault="009247AF" w:rsidP="007A088C">
            <w:pPr>
              <w:spacing w:after="0" w:line="240" w:lineRule="auto"/>
              <w:rPr>
                <w:rFonts w:cs="Arial"/>
                <w:color w:val="000000"/>
                <w:szCs w:val="22"/>
              </w:rPr>
            </w:pPr>
          </w:p>
          <w:p w14:paraId="1B9A50C9" w14:textId="77777777" w:rsidR="00ED4082" w:rsidRPr="009247AF" w:rsidRDefault="009247AF" w:rsidP="007A088C">
            <w:pPr>
              <w:spacing w:after="0" w:line="240" w:lineRule="auto"/>
              <w:rPr>
                <w:rFonts w:cs="Arial"/>
                <w:color w:val="000000"/>
                <w:szCs w:val="22"/>
              </w:rPr>
            </w:pPr>
            <w:r>
              <w:rPr>
                <w:rFonts w:cs="Arial"/>
                <w:color w:val="000000"/>
                <w:szCs w:val="22"/>
              </w:rPr>
              <w:t xml:space="preserve">This option </w:t>
            </w:r>
            <w:r w:rsidR="00ED4082" w:rsidRPr="009247AF">
              <w:rPr>
                <w:rFonts w:cs="Arial"/>
                <w:color w:val="000000"/>
                <w:szCs w:val="22"/>
              </w:rPr>
              <w:t>would:</w:t>
            </w:r>
          </w:p>
          <w:p w14:paraId="0A19FC6D" w14:textId="77777777" w:rsidR="002C43AB" w:rsidRDefault="002C43AB" w:rsidP="007A088C">
            <w:pPr>
              <w:spacing w:after="0" w:line="240" w:lineRule="auto"/>
              <w:rPr>
                <w:rFonts w:cs="Arial"/>
                <w:color w:val="000000"/>
                <w:szCs w:val="22"/>
              </w:rPr>
            </w:pPr>
            <w:r w:rsidRPr="009247AF">
              <w:rPr>
                <w:rFonts w:cs="Arial"/>
                <w:color w:val="000000"/>
                <w:szCs w:val="22"/>
              </w:rPr>
              <w:t>Pro</w:t>
            </w:r>
            <w:r>
              <w:rPr>
                <w:rFonts w:cs="Arial"/>
                <w:color w:val="000000"/>
                <w:szCs w:val="22"/>
              </w:rPr>
              <w:t>s</w:t>
            </w:r>
          </w:p>
          <w:p w14:paraId="21F58710" w14:textId="77777777" w:rsidR="002C43AB" w:rsidRPr="002C43AB" w:rsidRDefault="002C43AB" w:rsidP="00987CB1">
            <w:pPr>
              <w:numPr>
                <w:ilvl w:val="0"/>
                <w:numId w:val="43"/>
              </w:numPr>
              <w:spacing w:after="0" w:line="240" w:lineRule="auto"/>
              <w:rPr>
                <w:rFonts w:cs="Arial"/>
                <w:color w:val="000000"/>
                <w:szCs w:val="22"/>
              </w:rPr>
            </w:pPr>
            <w:r>
              <w:rPr>
                <w:rFonts w:cs="Arial"/>
                <w:color w:val="000000"/>
                <w:szCs w:val="22"/>
              </w:rPr>
              <w:t xml:space="preserve">Not result in any change for borrowers or Inland Revenue </w:t>
            </w:r>
            <w:r w:rsidRPr="002C43AB">
              <w:rPr>
                <w:rFonts w:cs="Arial"/>
                <w:color w:val="000000"/>
                <w:szCs w:val="22"/>
              </w:rPr>
              <w:t>or require any legislative change</w:t>
            </w:r>
          </w:p>
          <w:p w14:paraId="634B43C2" w14:textId="77777777" w:rsidR="002C43AB" w:rsidRDefault="002C43AB" w:rsidP="00326BDA">
            <w:pPr>
              <w:spacing w:after="0" w:line="240" w:lineRule="auto"/>
              <w:ind w:left="720"/>
              <w:rPr>
                <w:rFonts w:cs="Arial"/>
                <w:color w:val="000000"/>
                <w:szCs w:val="22"/>
              </w:rPr>
            </w:pPr>
          </w:p>
          <w:p w14:paraId="5973463D" w14:textId="77777777" w:rsidR="002C43AB" w:rsidRDefault="002C43AB" w:rsidP="007A088C">
            <w:pPr>
              <w:spacing w:after="0" w:line="240" w:lineRule="auto"/>
              <w:rPr>
                <w:rFonts w:cs="Arial"/>
                <w:color w:val="000000"/>
                <w:szCs w:val="22"/>
              </w:rPr>
            </w:pPr>
            <w:r>
              <w:rPr>
                <w:rFonts w:cs="Arial"/>
                <w:color w:val="000000"/>
                <w:szCs w:val="22"/>
              </w:rPr>
              <w:t>Cons</w:t>
            </w:r>
          </w:p>
          <w:p w14:paraId="365A670E" w14:textId="77777777" w:rsidR="00D153DC" w:rsidRDefault="00ED4082" w:rsidP="00987CB1">
            <w:pPr>
              <w:numPr>
                <w:ilvl w:val="0"/>
                <w:numId w:val="43"/>
              </w:numPr>
              <w:spacing w:after="0" w:line="240" w:lineRule="auto"/>
              <w:rPr>
                <w:rFonts w:cs="Arial"/>
                <w:color w:val="000000"/>
                <w:szCs w:val="22"/>
              </w:rPr>
            </w:pPr>
            <w:r w:rsidRPr="007A088C">
              <w:rPr>
                <w:rFonts w:cs="Arial"/>
                <w:color w:val="000000"/>
                <w:szCs w:val="22"/>
              </w:rPr>
              <w:t>give</w:t>
            </w:r>
            <w:r w:rsidR="00CC7932">
              <w:rPr>
                <w:rFonts w:cs="Arial"/>
                <w:color w:val="000000"/>
                <w:szCs w:val="22"/>
              </w:rPr>
              <w:t>s</w:t>
            </w:r>
            <w:r w:rsidRPr="007A088C">
              <w:rPr>
                <w:rFonts w:cs="Arial"/>
                <w:color w:val="000000"/>
                <w:szCs w:val="22"/>
              </w:rPr>
              <w:t xml:space="preserve"> an unintended </w:t>
            </w:r>
            <w:r w:rsidR="007A088C" w:rsidRPr="007A088C">
              <w:rPr>
                <w:rFonts w:cs="Arial"/>
                <w:color w:val="000000"/>
                <w:szCs w:val="22"/>
              </w:rPr>
              <w:t xml:space="preserve">financial </w:t>
            </w:r>
            <w:r w:rsidRPr="007A088C">
              <w:rPr>
                <w:rFonts w:cs="Arial"/>
                <w:color w:val="000000"/>
                <w:szCs w:val="22"/>
              </w:rPr>
              <w:t xml:space="preserve">benefit to borrowers </w:t>
            </w:r>
            <w:r w:rsidR="00353D15">
              <w:rPr>
                <w:rFonts w:cs="Arial"/>
                <w:color w:val="000000"/>
                <w:szCs w:val="22"/>
              </w:rPr>
              <w:t xml:space="preserve">with </w:t>
            </w:r>
            <w:r w:rsidR="00CC7932">
              <w:rPr>
                <w:rFonts w:cs="Arial"/>
                <w:color w:val="000000"/>
                <w:szCs w:val="22"/>
              </w:rPr>
              <w:t xml:space="preserve">non-salary and wage </w:t>
            </w:r>
            <w:r w:rsidR="00353D15">
              <w:rPr>
                <w:rFonts w:cs="Arial"/>
                <w:color w:val="000000"/>
                <w:szCs w:val="22"/>
              </w:rPr>
              <w:t xml:space="preserve">income </w:t>
            </w:r>
            <w:r w:rsidRPr="007A088C">
              <w:rPr>
                <w:rFonts w:cs="Arial"/>
                <w:color w:val="000000"/>
                <w:szCs w:val="22"/>
              </w:rPr>
              <w:t xml:space="preserve">under the </w:t>
            </w:r>
            <w:r w:rsidR="00CC7932">
              <w:rPr>
                <w:rFonts w:cs="Arial"/>
                <w:color w:val="000000"/>
                <w:szCs w:val="22"/>
              </w:rPr>
              <w:t xml:space="preserve">$1500 </w:t>
            </w:r>
            <w:r w:rsidRPr="007A088C">
              <w:rPr>
                <w:rFonts w:cs="Arial"/>
                <w:color w:val="000000"/>
                <w:szCs w:val="22"/>
              </w:rPr>
              <w:t>threshold</w:t>
            </w:r>
            <w:r w:rsidR="000C769D">
              <w:rPr>
                <w:rFonts w:cs="Arial"/>
                <w:color w:val="000000"/>
                <w:szCs w:val="22"/>
              </w:rPr>
              <w:t xml:space="preserve"> as they are not required to make loan repayments on this income</w:t>
            </w:r>
          </w:p>
          <w:p w14:paraId="45305635" w14:textId="77777777" w:rsidR="007A088C" w:rsidRDefault="007A088C" w:rsidP="00987CB1">
            <w:pPr>
              <w:numPr>
                <w:ilvl w:val="0"/>
                <w:numId w:val="43"/>
              </w:numPr>
              <w:spacing w:after="0" w:line="240" w:lineRule="auto"/>
              <w:rPr>
                <w:rFonts w:cs="Arial"/>
                <w:color w:val="000000"/>
                <w:szCs w:val="22"/>
              </w:rPr>
            </w:pPr>
            <w:r>
              <w:rPr>
                <w:rFonts w:cs="Arial"/>
                <w:color w:val="000000"/>
                <w:szCs w:val="22"/>
              </w:rPr>
              <w:t xml:space="preserve">treat borrowers under the </w:t>
            </w:r>
            <w:r w:rsidR="00CC7932">
              <w:rPr>
                <w:rFonts w:cs="Arial"/>
                <w:color w:val="000000"/>
                <w:szCs w:val="22"/>
              </w:rPr>
              <w:t xml:space="preserve">$1500 </w:t>
            </w:r>
            <w:r>
              <w:rPr>
                <w:rFonts w:cs="Arial"/>
                <w:color w:val="000000"/>
                <w:szCs w:val="22"/>
              </w:rPr>
              <w:t>threshold differently to other borrowers</w:t>
            </w:r>
          </w:p>
          <w:p w14:paraId="6A680C16" w14:textId="77777777" w:rsidR="002C43AB" w:rsidRDefault="00353D15" w:rsidP="00987CB1">
            <w:pPr>
              <w:numPr>
                <w:ilvl w:val="0"/>
                <w:numId w:val="43"/>
              </w:numPr>
              <w:spacing w:after="0" w:line="240" w:lineRule="auto"/>
              <w:rPr>
                <w:rFonts w:cs="Arial"/>
                <w:color w:val="000000"/>
                <w:szCs w:val="22"/>
              </w:rPr>
            </w:pPr>
            <w:r>
              <w:rPr>
                <w:rFonts w:cs="Arial"/>
                <w:color w:val="000000"/>
                <w:szCs w:val="22"/>
              </w:rPr>
              <w:t xml:space="preserve">the </w:t>
            </w:r>
            <w:r w:rsidR="00326BDA">
              <w:rPr>
                <w:rFonts w:cs="Arial"/>
                <w:color w:val="000000"/>
                <w:szCs w:val="22"/>
              </w:rPr>
              <w:t>student l</w:t>
            </w:r>
            <w:r w:rsidR="002C43AB">
              <w:rPr>
                <w:rFonts w:cs="Arial"/>
                <w:color w:val="000000"/>
                <w:szCs w:val="22"/>
              </w:rPr>
              <w:t>oan scheme becomes inconsistent with how other taxes are administered</w:t>
            </w:r>
          </w:p>
          <w:p w14:paraId="34A4AA38" w14:textId="77777777" w:rsidR="00353D15" w:rsidRDefault="00353D15" w:rsidP="00987CB1">
            <w:pPr>
              <w:numPr>
                <w:ilvl w:val="0"/>
                <w:numId w:val="43"/>
              </w:numPr>
              <w:spacing w:after="0" w:line="240" w:lineRule="auto"/>
              <w:rPr>
                <w:rFonts w:cs="Arial"/>
                <w:color w:val="000000"/>
                <w:szCs w:val="22"/>
              </w:rPr>
            </w:pPr>
            <w:r>
              <w:rPr>
                <w:rFonts w:cs="Arial"/>
                <w:color w:val="000000"/>
                <w:szCs w:val="22"/>
              </w:rPr>
              <w:t>t</w:t>
            </w:r>
            <w:r w:rsidR="002C43AB">
              <w:rPr>
                <w:rFonts w:cs="Arial"/>
                <w:color w:val="000000"/>
                <w:szCs w:val="22"/>
              </w:rPr>
              <w:t>he term of borrowers’ loans would be longer than necessary</w:t>
            </w:r>
          </w:p>
          <w:p w14:paraId="2C22F458" w14:textId="77777777" w:rsidR="007A088C" w:rsidRDefault="00353D15" w:rsidP="00987CB1">
            <w:pPr>
              <w:numPr>
                <w:ilvl w:val="0"/>
                <w:numId w:val="43"/>
              </w:numPr>
              <w:spacing w:after="0" w:line="240" w:lineRule="auto"/>
              <w:rPr>
                <w:rFonts w:cs="Arial"/>
                <w:color w:val="000000"/>
                <w:szCs w:val="22"/>
              </w:rPr>
            </w:pPr>
            <w:r w:rsidRPr="000976C8">
              <w:rPr>
                <w:rFonts w:cs="Arial"/>
                <w:color w:val="000000"/>
                <w:szCs w:val="22"/>
              </w:rPr>
              <w:t xml:space="preserve">the government would carry this </w:t>
            </w:r>
            <w:r w:rsidR="000C769D">
              <w:rPr>
                <w:rFonts w:cs="Arial"/>
                <w:color w:val="000000"/>
                <w:szCs w:val="22"/>
              </w:rPr>
              <w:t xml:space="preserve">student loan </w:t>
            </w:r>
            <w:r w:rsidRPr="000976C8">
              <w:rPr>
                <w:rFonts w:cs="Arial"/>
                <w:color w:val="000000"/>
                <w:szCs w:val="22"/>
              </w:rPr>
              <w:t>debt for longer.</w:t>
            </w:r>
          </w:p>
          <w:p w14:paraId="5404B12E" w14:textId="77777777" w:rsidR="00987CB1" w:rsidRDefault="00987CB1" w:rsidP="00987CB1">
            <w:pPr>
              <w:spacing w:after="0" w:line="240" w:lineRule="auto"/>
              <w:rPr>
                <w:rFonts w:cs="Arial"/>
                <w:color w:val="000000"/>
                <w:szCs w:val="22"/>
              </w:rPr>
            </w:pPr>
          </w:p>
          <w:p w14:paraId="530E0A0D" w14:textId="77777777" w:rsidR="009247AF" w:rsidRDefault="00987CB1" w:rsidP="00987CB1">
            <w:pPr>
              <w:spacing w:after="0" w:line="240" w:lineRule="auto"/>
              <w:rPr>
                <w:rFonts w:cs="Arial"/>
                <w:color w:val="000000"/>
                <w:szCs w:val="22"/>
              </w:rPr>
            </w:pPr>
            <w:r w:rsidRPr="009247AF">
              <w:rPr>
                <w:rFonts w:cs="Arial"/>
                <w:b/>
                <w:color w:val="000000"/>
                <w:szCs w:val="22"/>
              </w:rPr>
              <w:t>Reducing the threshold to zero</w:t>
            </w:r>
            <w:r w:rsidR="009247AF" w:rsidRPr="009247AF">
              <w:rPr>
                <w:rFonts w:cs="Arial"/>
                <w:b/>
                <w:color w:val="000000"/>
                <w:szCs w:val="22"/>
              </w:rPr>
              <w:t>.</w:t>
            </w:r>
            <w:r w:rsidR="009247AF">
              <w:rPr>
                <w:rFonts w:cs="Arial"/>
                <w:color w:val="000000"/>
                <w:szCs w:val="22"/>
              </w:rPr>
              <w:t xml:space="preserve"> </w:t>
            </w:r>
          </w:p>
          <w:p w14:paraId="5CA4747B" w14:textId="77777777" w:rsidR="00987CB1" w:rsidRDefault="009247AF" w:rsidP="00987CB1">
            <w:pPr>
              <w:spacing w:after="0" w:line="240" w:lineRule="auto"/>
              <w:rPr>
                <w:rFonts w:cs="Arial"/>
                <w:color w:val="000000"/>
                <w:szCs w:val="22"/>
              </w:rPr>
            </w:pPr>
            <w:r>
              <w:rPr>
                <w:rFonts w:cs="Arial"/>
                <w:color w:val="000000"/>
                <w:szCs w:val="22"/>
              </w:rPr>
              <w:t>These borrowers would pay the increased obligation as part of their end</w:t>
            </w:r>
            <w:r w:rsidR="00CC7932">
              <w:rPr>
                <w:rFonts w:cs="Arial"/>
                <w:color w:val="000000"/>
                <w:szCs w:val="22"/>
              </w:rPr>
              <w:t>-</w:t>
            </w:r>
            <w:r>
              <w:rPr>
                <w:rFonts w:cs="Arial"/>
                <w:color w:val="000000"/>
                <w:szCs w:val="22"/>
              </w:rPr>
              <w:t>of</w:t>
            </w:r>
            <w:r w:rsidR="00CC7932">
              <w:rPr>
                <w:rFonts w:cs="Arial"/>
                <w:color w:val="000000"/>
                <w:szCs w:val="22"/>
              </w:rPr>
              <w:t>-</w:t>
            </w:r>
            <w:r>
              <w:rPr>
                <w:rFonts w:cs="Arial"/>
                <w:color w:val="000000"/>
                <w:szCs w:val="22"/>
              </w:rPr>
              <w:t xml:space="preserve">year assessment process.  This option </w:t>
            </w:r>
            <w:r w:rsidR="00987CB1">
              <w:rPr>
                <w:rFonts w:cs="Arial"/>
                <w:color w:val="000000"/>
                <w:szCs w:val="22"/>
              </w:rPr>
              <w:t>would:</w:t>
            </w:r>
          </w:p>
          <w:p w14:paraId="2C1571C5" w14:textId="77777777" w:rsidR="009247AF" w:rsidRDefault="009247AF" w:rsidP="00987CB1">
            <w:pPr>
              <w:spacing w:after="0" w:line="240" w:lineRule="auto"/>
              <w:rPr>
                <w:rFonts w:cs="Arial"/>
                <w:color w:val="000000"/>
                <w:szCs w:val="22"/>
              </w:rPr>
            </w:pPr>
          </w:p>
          <w:p w14:paraId="4DBA594C" w14:textId="77777777" w:rsidR="00987CB1" w:rsidRDefault="00CE3989" w:rsidP="00987CB1">
            <w:pPr>
              <w:spacing w:after="0" w:line="240" w:lineRule="auto"/>
              <w:rPr>
                <w:rFonts w:cs="Arial"/>
                <w:color w:val="000000"/>
                <w:szCs w:val="22"/>
              </w:rPr>
            </w:pPr>
            <w:r>
              <w:rPr>
                <w:rFonts w:cs="Arial"/>
                <w:color w:val="000000"/>
                <w:szCs w:val="22"/>
              </w:rPr>
              <w:t>P</w:t>
            </w:r>
            <w:r w:rsidR="00987CB1">
              <w:rPr>
                <w:rFonts w:cs="Arial"/>
                <w:color w:val="000000"/>
                <w:szCs w:val="22"/>
              </w:rPr>
              <w:t>ros</w:t>
            </w:r>
          </w:p>
          <w:p w14:paraId="0100A46F" w14:textId="77777777" w:rsidR="00987CB1" w:rsidRPr="00987CB1" w:rsidRDefault="00987CB1" w:rsidP="00DB46A6">
            <w:pPr>
              <w:numPr>
                <w:ilvl w:val="0"/>
                <w:numId w:val="43"/>
              </w:numPr>
              <w:spacing w:after="0" w:line="240" w:lineRule="auto"/>
              <w:rPr>
                <w:rFonts w:cs="Arial"/>
                <w:color w:val="000000"/>
                <w:szCs w:val="22"/>
              </w:rPr>
            </w:pPr>
            <w:r w:rsidRPr="00987CB1">
              <w:rPr>
                <w:rFonts w:cs="Arial"/>
                <w:color w:val="000000"/>
                <w:szCs w:val="22"/>
              </w:rPr>
              <w:t xml:space="preserve">remove the financial benefit to borrowers with non-salary and wage income </w:t>
            </w:r>
            <w:r>
              <w:rPr>
                <w:rFonts w:cs="Arial"/>
                <w:color w:val="000000"/>
                <w:szCs w:val="22"/>
              </w:rPr>
              <w:t xml:space="preserve">compared to </w:t>
            </w:r>
            <w:r w:rsidRPr="00987CB1">
              <w:rPr>
                <w:rFonts w:cs="Arial"/>
                <w:color w:val="000000"/>
                <w:szCs w:val="22"/>
              </w:rPr>
              <w:t>other borrowers</w:t>
            </w:r>
          </w:p>
          <w:p w14:paraId="10B0F86A" w14:textId="77777777" w:rsidR="00987CB1" w:rsidRDefault="00987CB1" w:rsidP="00987CB1">
            <w:pPr>
              <w:numPr>
                <w:ilvl w:val="0"/>
                <w:numId w:val="43"/>
              </w:numPr>
              <w:spacing w:after="0" w:line="240" w:lineRule="auto"/>
              <w:rPr>
                <w:rFonts w:cs="Arial"/>
                <w:color w:val="000000"/>
                <w:szCs w:val="22"/>
              </w:rPr>
            </w:pPr>
            <w:r w:rsidRPr="007A088C">
              <w:rPr>
                <w:rFonts w:cs="Arial"/>
                <w:color w:val="000000"/>
                <w:szCs w:val="22"/>
              </w:rPr>
              <w:t>improve</w:t>
            </w:r>
            <w:r w:rsidR="000C769D">
              <w:rPr>
                <w:rFonts w:cs="Arial"/>
                <w:color w:val="000000"/>
                <w:szCs w:val="22"/>
              </w:rPr>
              <w:t>s</w:t>
            </w:r>
            <w:r w:rsidRPr="007A088C">
              <w:rPr>
                <w:rFonts w:cs="Arial"/>
                <w:color w:val="000000"/>
                <w:szCs w:val="22"/>
              </w:rPr>
              <w:t xml:space="preserve"> loan repayments/reduce</w:t>
            </w:r>
            <w:r w:rsidR="000C769D">
              <w:rPr>
                <w:rFonts w:cs="Arial"/>
                <w:color w:val="000000"/>
                <w:szCs w:val="22"/>
              </w:rPr>
              <w:t>s</w:t>
            </w:r>
            <w:r w:rsidRPr="007A088C">
              <w:rPr>
                <w:rFonts w:cs="Arial"/>
                <w:color w:val="000000"/>
                <w:szCs w:val="22"/>
              </w:rPr>
              <w:t xml:space="preserve"> the term of the loan</w:t>
            </w:r>
          </w:p>
          <w:p w14:paraId="7036B5ED" w14:textId="77777777" w:rsidR="00987CB1" w:rsidRDefault="00987CB1" w:rsidP="00987CB1">
            <w:pPr>
              <w:numPr>
                <w:ilvl w:val="0"/>
                <w:numId w:val="43"/>
              </w:numPr>
              <w:spacing w:after="0" w:line="240" w:lineRule="auto"/>
              <w:rPr>
                <w:rFonts w:cs="Arial"/>
                <w:color w:val="000000"/>
                <w:szCs w:val="22"/>
              </w:rPr>
            </w:pPr>
            <w:r>
              <w:rPr>
                <w:rFonts w:cs="Arial"/>
                <w:color w:val="000000"/>
                <w:szCs w:val="22"/>
              </w:rPr>
              <w:t>reduce</w:t>
            </w:r>
            <w:r w:rsidR="000C769D">
              <w:rPr>
                <w:rFonts w:cs="Arial"/>
                <w:color w:val="000000"/>
                <w:szCs w:val="22"/>
              </w:rPr>
              <w:t>s</w:t>
            </w:r>
            <w:r>
              <w:rPr>
                <w:rFonts w:cs="Arial"/>
                <w:color w:val="000000"/>
                <w:szCs w:val="22"/>
              </w:rPr>
              <w:t xml:space="preserve"> the period the government carries the debt</w:t>
            </w:r>
          </w:p>
          <w:p w14:paraId="7DEE2C02" w14:textId="77777777" w:rsidR="00987CB1" w:rsidRDefault="00987CB1" w:rsidP="00987CB1">
            <w:pPr>
              <w:spacing w:after="0" w:line="240" w:lineRule="auto"/>
              <w:rPr>
                <w:rFonts w:cs="Arial"/>
                <w:color w:val="000000"/>
                <w:szCs w:val="22"/>
              </w:rPr>
            </w:pPr>
          </w:p>
          <w:p w14:paraId="351B4855" w14:textId="77777777" w:rsidR="00987CB1" w:rsidRPr="007A088C" w:rsidRDefault="00987CB1" w:rsidP="00987CB1">
            <w:pPr>
              <w:spacing w:after="0" w:line="240" w:lineRule="auto"/>
              <w:rPr>
                <w:rFonts w:cs="Arial"/>
                <w:color w:val="000000"/>
                <w:szCs w:val="22"/>
              </w:rPr>
            </w:pPr>
            <w:r>
              <w:rPr>
                <w:rFonts w:cs="Arial"/>
                <w:color w:val="000000"/>
                <w:szCs w:val="22"/>
              </w:rPr>
              <w:t>Cons</w:t>
            </w:r>
          </w:p>
          <w:p w14:paraId="72B2A53D" w14:textId="77777777" w:rsidR="00987CB1" w:rsidRDefault="00F62911" w:rsidP="00987CB1">
            <w:pPr>
              <w:numPr>
                <w:ilvl w:val="0"/>
                <w:numId w:val="43"/>
              </w:numPr>
              <w:spacing w:after="0" w:line="240" w:lineRule="auto"/>
              <w:rPr>
                <w:rFonts w:cs="Arial"/>
                <w:color w:val="000000"/>
                <w:szCs w:val="22"/>
              </w:rPr>
            </w:pPr>
            <w:r>
              <w:rPr>
                <w:rFonts w:cs="Arial"/>
                <w:color w:val="000000"/>
                <w:szCs w:val="22"/>
              </w:rPr>
              <w:t>this option would introduce another inequity as the th</w:t>
            </w:r>
            <w:r w:rsidR="009247AF">
              <w:rPr>
                <w:rFonts w:cs="Arial"/>
                <w:color w:val="000000"/>
                <w:szCs w:val="22"/>
              </w:rPr>
              <w:t>reshold would be s</w:t>
            </w:r>
            <w:r w:rsidR="00987CB1">
              <w:rPr>
                <w:rFonts w:cs="Arial"/>
                <w:color w:val="000000"/>
                <w:szCs w:val="22"/>
              </w:rPr>
              <w:t xml:space="preserve">et </w:t>
            </w:r>
            <w:r w:rsidR="00987CB1" w:rsidRPr="007A088C">
              <w:rPr>
                <w:rFonts w:cs="Arial"/>
                <w:color w:val="000000"/>
                <w:szCs w:val="22"/>
              </w:rPr>
              <w:t xml:space="preserve">at a level that is </w:t>
            </w:r>
            <w:r w:rsidR="00987CB1">
              <w:rPr>
                <w:rFonts w:cs="Arial"/>
                <w:color w:val="000000"/>
                <w:szCs w:val="22"/>
              </w:rPr>
              <w:t xml:space="preserve">lower than </w:t>
            </w:r>
            <w:r w:rsidR="00987CB1" w:rsidRPr="007A088C">
              <w:rPr>
                <w:rFonts w:cs="Arial"/>
                <w:color w:val="000000"/>
                <w:szCs w:val="22"/>
              </w:rPr>
              <w:t xml:space="preserve">similar </w:t>
            </w:r>
            <w:r w:rsidR="00987CB1">
              <w:rPr>
                <w:rFonts w:cs="Arial"/>
                <w:color w:val="000000"/>
                <w:szCs w:val="22"/>
              </w:rPr>
              <w:t xml:space="preserve">compliance cost reduction </w:t>
            </w:r>
            <w:r w:rsidR="00987CB1" w:rsidRPr="007A088C">
              <w:rPr>
                <w:rFonts w:cs="Arial"/>
                <w:color w:val="000000"/>
                <w:szCs w:val="22"/>
              </w:rPr>
              <w:t xml:space="preserve">thresholds </w:t>
            </w:r>
            <w:r w:rsidR="00987CB1">
              <w:rPr>
                <w:rFonts w:cs="Arial"/>
                <w:color w:val="000000"/>
                <w:szCs w:val="22"/>
              </w:rPr>
              <w:t xml:space="preserve">used for the </w:t>
            </w:r>
            <w:r w:rsidR="00987CB1" w:rsidRPr="007A088C">
              <w:rPr>
                <w:rFonts w:cs="Arial"/>
                <w:color w:val="000000"/>
                <w:szCs w:val="22"/>
              </w:rPr>
              <w:t>administ</w:t>
            </w:r>
            <w:r w:rsidR="00987CB1">
              <w:rPr>
                <w:rFonts w:cs="Arial"/>
                <w:color w:val="000000"/>
                <w:szCs w:val="22"/>
              </w:rPr>
              <w:t>ration of</w:t>
            </w:r>
            <w:r w:rsidR="00987CB1" w:rsidRPr="007A088C">
              <w:rPr>
                <w:rFonts w:cs="Arial"/>
                <w:color w:val="000000"/>
                <w:szCs w:val="22"/>
              </w:rPr>
              <w:t xml:space="preserve"> income </w:t>
            </w:r>
            <w:r w:rsidR="00987CB1">
              <w:rPr>
                <w:rFonts w:cs="Arial"/>
                <w:color w:val="000000"/>
                <w:szCs w:val="22"/>
              </w:rPr>
              <w:t xml:space="preserve">tax (where outstanding amounts </w:t>
            </w:r>
            <w:r w:rsidR="009247AF">
              <w:rPr>
                <w:rFonts w:cs="Arial"/>
                <w:color w:val="000000"/>
                <w:szCs w:val="22"/>
              </w:rPr>
              <w:t>of</w:t>
            </w:r>
            <w:r w:rsidR="00987CB1">
              <w:rPr>
                <w:rFonts w:cs="Arial"/>
                <w:color w:val="000000"/>
                <w:szCs w:val="22"/>
              </w:rPr>
              <w:t xml:space="preserve"> less than $50 are not p</w:t>
            </w:r>
            <w:r w:rsidR="00E82637">
              <w:rPr>
                <w:rFonts w:cs="Arial"/>
                <w:color w:val="000000"/>
                <w:szCs w:val="22"/>
              </w:rPr>
              <w:t>u</w:t>
            </w:r>
            <w:r w:rsidR="00987CB1">
              <w:rPr>
                <w:rFonts w:cs="Arial"/>
                <w:color w:val="000000"/>
                <w:szCs w:val="22"/>
              </w:rPr>
              <w:t>rsued).</w:t>
            </w:r>
          </w:p>
          <w:p w14:paraId="4A7A167C" w14:textId="77777777" w:rsidR="00987CB1" w:rsidRDefault="00987CB1" w:rsidP="00987CB1">
            <w:pPr>
              <w:numPr>
                <w:ilvl w:val="0"/>
                <w:numId w:val="43"/>
              </w:numPr>
              <w:spacing w:after="0" w:line="240" w:lineRule="auto"/>
              <w:rPr>
                <w:rFonts w:cs="Arial"/>
                <w:color w:val="000000"/>
                <w:szCs w:val="22"/>
              </w:rPr>
            </w:pPr>
            <w:r>
              <w:rPr>
                <w:rFonts w:cs="Arial"/>
                <w:color w:val="000000"/>
                <w:szCs w:val="22"/>
              </w:rPr>
              <w:t xml:space="preserve">Compliance costs </w:t>
            </w:r>
            <w:r w:rsidR="00E82637">
              <w:rPr>
                <w:rFonts w:cs="Arial"/>
                <w:color w:val="000000"/>
                <w:szCs w:val="22"/>
              </w:rPr>
              <w:t>would be incurred by</w:t>
            </w:r>
            <w:r>
              <w:rPr>
                <w:rFonts w:cs="Arial"/>
                <w:color w:val="000000"/>
                <w:szCs w:val="22"/>
              </w:rPr>
              <w:t xml:space="preserve"> </w:t>
            </w:r>
            <w:r w:rsidR="00E82637">
              <w:rPr>
                <w:rFonts w:cs="Arial"/>
                <w:color w:val="000000"/>
                <w:szCs w:val="22"/>
              </w:rPr>
              <w:t xml:space="preserve">affected </w:t>
            </w:r>
            <w:r>
              <w:rPr>
                <w:rFonts w:cs="Arial"/>
                <w:color w:val="000000"/>
                <w:szCs w:val="22"/>
              </w:rPr>
              <w:t xml:space="preserve">borrowers in understanding the changes and making </w:t>
            </w:r>
            <w:r w:rsidR="00E82637">
              <w:rPr>
                <w:rFonts w:cs="Arial"/>
                <w:color w:val="000000"/>
                <w:szCs w:val="22"/>
              </w:rPr>
              <w:t>repayments,</w:t>
            </w:r>
            <w:r>
              <w:rPr>
                <w:rFonts w:cs="Arial"/>
                <w:color w:val="000000"/>
                <w:szCs w:val="22"/>
              </w:rPr>
              <w:t xml:space="preserve"> but these would be similar to the costs incurred by </w:t>
            </w:r>
            <w:r w:rsidR="009247AF">
              <w:rPr>
                <w:rFonts w:cs="Arial"/>
                <w:color w:val="000000"/>
                <w:szCs w:val="22"/>
              </w:rPr>
              <w:t>other borrowers with repayment obligations</w:t>
            </w:r>
            <w:r>
              <w:rPr>
                <w:rFonts w:cs="Arial"/>
                <w:color w:val="000000"/>
                <w:szCs w:val="22"/>
              </w:rPr>
              <w:t>.</w:t>
            </w:r>
          </w:p>
          <w:p w14:paraId="48BD80AB" w14:textId="77777777" w:rsidR="00987CB1" w:rsidRPr="00987CB1" w:rsidRDefault="00987CB1" w:rsidP="00987CB1">
            <w:pPr>
              <w:numPr>
                <w:ilvl w:val="0"/>
                <w:numId w:val="43"/>
              </w:numPr>
              <w:spacing w:after="0" w:line="240" w:lineRule="auto"/>
              <w:rPr>
                <w:rFonts w:cs="Arial"/>
                <w:color w:val="000000"/>
                <w:szCs w:val="22"/>
              </w:rPr>
            </w:pPr>
            <w:r w:rsidRPr="00987CB1">
              <w:rPr>
                <w:rFonts w:cs="Arial"/>
                <w:color w:val="000000"/>
                <w:szCs w:val="22"/>
              </w:rPr>
              <w:t xml:space="preserve">Consultation has not occurred with </w:t>
            </w:r>
            <w:r w:rsidR="00E82637">
              <w:rPr>
                <w:rFonts w:cs="Arial"/>
                <w:color w:val="000000"/>
                <w:szCs w:val="22"/>
              </w:rPr>
              <w:t xml:space="preserve">affected </w:t>
            </w:r>
            <w:r w:rsidRPr="00987CB1">
              <w:rPr>
                <w:rFonts w:cs="Arial"/>
                <w:color w:val="000000"/>
                <w:szCs w:val="22"/>
              </w:rPr>
              <w:t>borrowers</w:t>
            </w:r>
            <w:r>
              <w:rPr>
                <w:rFonts w:cs="Arial"/>
                <w:color w:val="000000"/>
                <w:szCs w:val="22"/>
              </w:rPr>
              <w:t>.</w:t>
            </w:r>
          </w:p>
          <w:p w14:paraId="28FDEFFF" w14:textId="77777777" w:rsidR="00CE3989" w:rsidRDefault="00CE3989" w:rsidP="00CE3989">
            <w:pPr>
              <w:numPr>
                <w:ilvl w:val="0"/>
                <w:numId w:val="43"/>
              </w:numPr>
              <w:spacing w:after="0" w:line="240" w:lineRule="auto"/>
              <w:rPr>
                <w:rFonts w:cs="Arial"/>
                <w:color w:val="000000"/>
                <w:szCs w:val="22"/>
              </w:rPr>
            </w:pPr>
            <w:r>
              <w:rPr>
                <w:rFonts w:cs="Arial"/>
                <w:color w:val="000000"/>
                <w:szCs w:val="22"/>
              </w:rPr>
              <w:t>Legislative changes are required to give effect to this proposal</w:t>
            </w:r>
          </w:p>
          <w:p w14:paraId="30ECD53E" w14:textId="77777777" w:rsidR="00987CB1" w:rsidRDefault="00987CB1" w:rsidP="00987CB1">
            <w:pPr>
              <w:spacing w:after="0" w:line="240" w:lineRule="auto"/>
              <w:rPr>
                <w:rFonts w:cs="Arial"/>
                <w:color w:val="000000"/>
                <w:szCs w:val="22"/>
              </w:rPr>
            </w:pPr>
          </w:p>
          <w:p w14:paraId="08BD6991" w14:textId="77777777" w:rsidR="009247AF" w:rsidRPr="009247AF" w:rsidRDefault="009247AF" w:rsidP="00987CB1">
            <w:pPr>
              <w:spacing w:after="0" w:line="240" w:lineRule="auto"/>
              <w:rPr>
                <w:rFonts w:cs="Arial"/>
                <w:b/>
                <w:color w:val="000000"/>
                <w:szCs w:val="22"/>
              </w:rPr>
            </w:pPr>
            <w:r w:rsidRPr="009247AF">
              <w:rPr>
                <w:rFonts w:cs="Arial"/>
                <w:b/>
                <w:color w:val="000000"/>
                <w:szCs w:val="22"/>
              </w:rPr>
              <w:t>Reducing the threshold from $1500 to $500 (</w:t>
            </w:r>
            <w:r w:rsidR="00987CB1" w:rsidRPr="009247AF">
              <w:rPr>
                <w:rFonts w:cs="Arial"/>
                <w:b/>
                <w:color w:val="000000"/>
                <w:szCs w:val="22"/>
              </w:rPr>
              <w:t>The preferred option</w:t>
            </w:r>
            <w:r w:rsidRPr="009247AF">
              <w:rPr>
                <w:rFonts w:cs="Arial"/>
                <w:b/>
                <w:color w:val="000000"/>
                <w:szCs w:val="22"/>
              </w:rPr>
              <w:t>)</w:t>
            </w:r>
          </w:p>
          <w:p w14:paraId="6587A26F" w14:textId="77777777" w:rsidR="00CC7932" w:rsidRDefault="00CC7932" w:rsidP="00CC7932">
            <w:pPr>
              <w:spacing w:after="0" w:line="240" w:lineRule="auto"/>
              <w:rPr>
                <w:rFonts w:cs="Arial"/>
                <w:color w:val="000000"/>
                <w:szCs w:val="22"/>
              </w:rPr>
            </w:pPr>
            <w:r>
              <w:rPr>
                <w:rFonts w:cs="Arial"/>
                <w:color w:val="000000"/>
                <w:szCs w:val="22"/>
              </w:rPr>
              <w:t xml:space="preserve">Reducing the threshold to $500 would equate to </w:t>
            </w:r>
            <w:r w:rsidRPr="00CC7932">
              <w:rPr>
                <w:rFonts w:cs="Arial"/>
                <w:szCs w:val="22"/>
              </w:rPr>
              <w:t>$60 of loan repayments. This is very close to the $50 threshold for i</w:t>
            </w:r>
            <w:r w:rsidRPr="00D171C7">
              <w:rPr>
                <w:rFonts w:cs="Arial"/>
                <w:color w:val="000000"/>
                <w:szCs w:val="22"/>
              </w:rPr>
              <w:t>ncome tax owed from an automated assessment, where amounts less than $50 owed are written off</w:t>
            </w:r>
            <w:r w:rsidRPr="007A088C">
              <w:rPr>
                <w:rFonts w:cs="Arial"/>
                <w:color w:val="000000"/>
                <w:szCs w:val="22"/>
              </w:rPr>
              <w:t>.</w:t>
            </w:r>
          </w:p>
          <w:p w14:paraId="1F6F7676" w14:textId="77777777" w:rsidR="00CC7932" w:rsidRDefault="00CC7932" w:rsidP="00987CB1">
            <w:pPr>
              <w:spacing w:after="0" w:line="240" w:lineRule="auto"/>
              <w:rPr>
                <w:rFonts w:cs="Arial"/>
                <w:color w:val="000000"/>
                <w:szCs w:val="22"/>
              </w:rPr>
            </w:pPr>
          </w:p>
          <w:p w14:paraId="12204331" w14:textId="77777777" w:rsidR="00987CB1" w:rsidRDefault="009247AF" w:rsidP="00987CB1">
            <w:pPr>
              <w:spacing w:after="0" w:line="240" w:lineRule="auto"/>
              <w:rPr>
                <w:rFonts w:cs="Arial"/>
                <w:color w:val="000000"/>
                <w:szCs w:val="22"/>
              </w:rPr>
            </w:pPr>
            <w:r>
              <w:rPr>
                <w:rFonts w:cs="Arial"/>
                <w:color w:val="000000"/>
                <w:szCs w:val="22"/>
              </w:rPr>
              <w:lastRenderedPageBreak/>
              <w:t xml:space="preserve">These borrowers would pay the increased obligation as part of their end of year assessment process. This option </w:t>
            </w:r>
            <w:r w:rsidR="00987CB1">
              <w:rPr>
                <w:rFonts w:cs="Arial"/>
                <w:color w:val="000000"/>
                <w:szCs w:val="22"/>
              </w:rPr>
              <w:t>would:</w:t>
            </w:r>
          </w:p>
          <w:p w14:paraId="7ABE7CB9" w14:textId="77777777" w:rsidR="009247AF" w:rsidRDefault="009247AF" w:rsidP="00987CB1">
            <w:pPr>
              <w:spacing w:after="0" w:line="240" w:lineRule="auto"/>
              <w:rPr>
                <w:rFonts w:cs="Arial"/>
                <w:color w:val="000000"/>
                <w:szCs w:val="22"/>
              </w:rPr>
            </w:pPr>
          </w:p>
          <w:p w14:paraId="78C3C1CF" w14:textId="77777777" w:rsidR="00987CB1" w:rsidRDefault="00CE3989" w:rsidP="00987CB1">
            <w:pPr>
              <w:spacing w:after="0" w:line="240" w:lineRule="auto"/>
              <w:rPr>
                <w:rFonts w:cs="Arial"/>
                <w:color w:val="000000"/>
                <w:szCs w:val="22"/>
              </w:rPr>
            </w:pPr>
            <w:r>
              <w:rPr>
                <w:rFonts w:cs="Arial"/>
                <w:color w:val="000000"/>
                <w:szCs w:val="22"/>
              </w:rPr>
              <w:t>P</w:t>
            </w:r>
            <w:r w:rsidR="00987CB1">
              <w:rPr>
                <w:rFonts w:cs="Arial"/>
                <w:color w:val="000000"/>
                <w:szCs w:val="22"/>
              </w:rPr>
              <w:t>ros</w:t>
            </w:r>
          </w:p>
          <w:p w14:paraId="08EF251A" w14:textId="77777777" w:rsidR="00987CB1" w:rsidRDefault="00987CB1" w:rsidP="00987CB1">
            <w:pPr>
              <w:numPr>
                <w:ilvl w:val="0"/>
                <w:numId w:val="43"/>
              </w:numPr>
              <w:spacing w:after="0" w:line="240" w:lineRule="auto"/>
              <w:rPr>
                <w:rFonts w:cs="Arial"/>
                <w:color w:val="000000"/>
                <w:szCs w:val="22"/>
              </w:rPr>
            </w:pPr>
            <w:r>
              <w:rPr>
                <w:rFonts w:cs="Arial"/>
                <w:color w:val="000000"/>
                <w:szCs w:val="22"/>
              </w:rPr>
              <w:t>Set the</w:t>
            </w:r>
            <w:r w:rsidRPr="007A088C">
              <w:rPr>
                <w:rFonts w:cs="Arial"/>
                <w:color w:val="000000"/>
                <w:szCs w:val="22"/>
              </w:rPr>
              <w:t xml:space="preserve"> threshold at a level that is similar to other thresholds </w:t>
            </w:r>
            <w:r>
              <w:rPr>
                <w:rFonts w:cs="Arial"/>
                <w:color w:val="000000"/>
                <w:szCs w:val="22"/>
              </w:rPr>
              <w:t>used to</w:t>
            </w:r>
            <w:r w:rsidRPr="007A088C">
              <w:rPr>
                <w:rFonts w:cs="Arial"/>
                <w:color w:val="000000"/>
                <w:szCs w:val="22"/>
              </w:rPr>
              <w:t xml:space="preserve"> administ</w:t>
            </w:r>
            <w:r>
              <w:rPr>
                <w:rFonts w:cs="Arial"/>
                <w:color w:val="000000"/>
                <w:szCs w:val="22"/>
              </w:rPr>
              <w:t>er</w:t>
            </w:r>
            <w:r w:rsidRPr="007A088C">
              <w:rPr>
                <w:rFonts w:cs="Arial"/>
                <w:color w:val="000000"/>
                <w:szCs w:val="22"/>
              </w:rPr>
              <w:t xml:space="preserve"> income </w:t>
            </w:r>
            <w:r>
              <w:rPr>
                <w:rFonts w:cs="Arial"/>
                <w:color w:val="000000"/>
                <w:szCs w:val="22"/>
              </w:rPr>
              <w:t>tax (where outstanding amounts are not pursued).</w:t>
            </w:r>
          </w:p>
          <w:p w14:paraId="596F1682" w14:textId="77777777" w:rsidR="00987CB1" w:rsidRPr="007A088C" w:rsidRDefault="00987CB1" w:rsidP="00987CB1">
            <w:pPr>
              <w:numPr>
                <w:ilvl w:val="0"/>
                <w:numId w:val="43"/>
              </w:numPr>
              <w:spacing w:after="0" w:line="240" w:lineRule="auto"/>
              <w:rPr>
                <w:rFonts w:cs="Arial"/>
                <w:color w:val="000000"/>
                <w:szCs w:val="22"/>
              </w:rPr>
            </w:pPr>
            <w:r w:rsidRPr="007A088C">
              <w:rPr>
                <w:rFonts w:cs="Arial"/>
                <w:color w:val="000000"/>
                <w:szCs w:val="22"/>
              </w:rPr>
              <w:t>remove the financial benefit</w:t>
            </w:r>
            <w:r>
              <w:rPr>
                <w:rFonts w:cs="Arial"/>
                <w:color w:val="000000"/>
                <w:szCs w:val="22"/>
              </w:rPr>
              <w:t xml:space="preserve"> to borrowers under the threshold compared to other borrowers</w:t>
            </w:r>
          </w:p>
          <w:p w14:paraId="15BF5EAF" w14:textId="77777777" w:rsidR="00987CB1" w:rsidRDefault="00987CB1" w:rsidP="00987CB1">
            <w:pPr>
              <w:numPr>
                <w:ilvl w:val="0"/>
                <w:numId w:val="43"/>
              </w:numPr>
              <w:spacing w:after="0" w:line="240" w:lineRule="auto"/>
              <w:rPr>
                <w:rFonts w:cs="Arial"/>
                <w:color w:val="000000"/>
                <w:szCs w:val="22"/>
              </w:rPr>
            </w:pPr>
            <w:r w:rsidRPr="007A088C">
              <w:rPr>
                <w:rFonts w:cs="Arial"/>
                <w:color w:val="000000"/>
                <w:szCs w:val="22"/>
              </w:rPr>
              <w:t>improve equity among borrowers</w:t>
            </w:r>
            <w:r>
              <w:rPr>
                <w:rFonts w:cs="Arial"/>
                <w:color w:val="000000"/>
                <w:szCs w:val="22"/>
              </w:rPr>
              <w:t xml:space="preserve"> (between those with non-salary and wage income of $1500 or less and other borrowers)</w:t>
            </w:r>
          </w:p>
          <w:p w14:paraId="69A010CD" w14:textId="77777777" w:rsidR="00BC617D" w:rsidRPr="007A088C" w:rsidRDefault="00BC617D" w:rsidP="00987CB1">
            <w:pPr>
              <w:numPr>
                <w:ilvl w:val="0"/>
                <w:numId w:val="43"/>
              </w:numPr>
              <w:spacing w:after="0" w:line="240" w:lineRule="auto"/>
              <w:rPr>
                <w:rFonts w:cs="Arial"/>
                <w:color w:val="000000"/>
                <w:szCs w:val="22"/>
              </w:rPr>
            </w:pPr>
            <w:r>
              <w:rPr>
                <w:rFonts w:cs="Arial"/>
                <w:color w:val="000000"/>
                <w:szCs w:val="22"/>
              </w:rPr>
              <w:t>increased equity increases the integrity of the loan scheme.</w:t>
            </w:r>
          </w:p>
          <w:p w14:paraId="3CB16F46" w14:textId="77777777" w:rsidR="00987CB1" w:rsidRDefault="00987CB1" w:rsidP="00987CB1">
            <w:pPr>
              <w:numPr>
                <w:ilvl w:val="0"/>
                <w:numId w:val="43"/>
              </w:numPr>
              <w:spacing w:after="0" w:line="240" w:lineRule="auto"/>
              <w:rPr>
                <w:rFonts w:cs="Arial"/>
                <w:color w:val="000000"/>
                <w:szCs w:val="22"/>
              </w:rPr>
            </w:pPr>
            <w:r w:rsidRPr="007A088C">
              <w:rPr>
                <w:rFonts w:cs="Arial"/>
                <w:color w:val="000000"/>
                <w:szCs w:val="22"/>
              </w:rPr>
              <w:t>improve loan repayments/reduce the term of the loan</w:t>
            </w:r>
          </w:p>
          <w:p w14:paraId="7E06B25C" w14:textId="77777777" w:rsidR="00987CB1" w:rsidRDefault="00987CB1" w:rsidP="00987CB1">
            <w:pPr>
              <w:numPr>
                <w:ilvl w:val="0"/>
                <w:numId w:val="43"/>
              </w:numPr>
              <w:spacing w:after="0" w:line="240" w:lineRule="auto"/>
              <w:rPr>
                <w:rFonts w:cs="Arial"/>
                <w:color w:val="000000"/>
                <w:szCs w:val="22"/>
              </w:rPr>
            </w:pPr>
            <w:r>
              <w:rPr>
                <w:rFonts w:cs="Arial"/>
                <w:color w:val="000000"/>
                <w:szCs w:val="22"/>
              </w:rPr>
              <w:t>reduce the period the government carries the debt</w:t>
            </w:r>
          </w:p>
          <w:p w14:paraId="61F55CC5" w14:textId="77777777" w:rsidR="00987CB1" w:rsidRDefault="00987CB1" w:rsidP="00987CB1">
            <w:pPr>
              <w:spacing w:after="0" w:line="240" w:lineRule="auto"/>
              <w:rPr>
                <w:rFonts w:cs="Arial"/>
                <w:color w:val="000000"/>
                <w:szCs w:val="22"/>
              </w:rPr>
            </w:pPr>
          </w:p>
          <w:p w14:paraId="1CF4DA65" w14:textId="77777777" w:rsidR="00987CB1" w:rsidRPr="007A088C" w:rsidRDefault="00987CB1" w:rsidP="00987CB1">
            <w:pPr>
              <w:spacing w:after="0" w:line="240" w:lineRule="auto"/>
              <w:rPr>
                <w:rFonts w:cs="Arial"/>
                <w:color w:val="000000"/>
                <w:szCs w:val="22"/>
              </w:rPr>
            </w:pPr>
            <w:r>
              <w:rPr>
                <w:rFonts w:cs="Arial"/>
                <w:color w:val="000000"/>
                <w:szCs w:val="22"/>
              </w:rPr>
              <w:t>Cons</w:t>
            </w:r>
          </w:p>
          <w:p w14:paraId="786B0C96" w14:textId="77777777" w:rsidR="008F44D7" w:rsidRDefault="00987CB1" w:rsidP="00DA0E15">
            <w:pPr>
              <w:numPr>
                <w:ilvl w:val="0"/>
                <w:numId w:val="43"/>
              </w:numPr>
              <w:spacing w:after="0" w:line="240" w:lineRule="auto"/>
              <w:rPr>
                <w:rFonts w:cs="Arial"/>
                <w:color w:val="000000"/>
                <w:szCs w:val="22"/>
              </w:rPr>
            </w:pPr>
            <w:r w:rsidRPr="008F44D7">
              <w:rPr>
                <w:rFonts w:cs="Arial"/>
                <w:color w:val="000000"/>
                <w:szCs w:val="22"/>
              </w:rPr>
              <w:t xml:space="preserve">Compliance costs </w:t>
            </w:r>
            <w:r w:rsidR="00E82637" w:rsidRPr="008F44D7">
              <w:rPr>
                <w:rFonts w:cs="Arial"/>
                <w:color w:val="000000"/>
                <w:szCs w:val="22"/>
              </w:rPr>
              <w:t>would be incurred by</w:t>
            </w:r>
            <w:r w:rsidRPr="008F44D7">
              <w:rPr>
                <w:rFonts w:cs="Arial"/>
                <w:color w:val="000000"/>
                <w:szCs w:val="22"/>
              </w:rPr>
              <w:t xml:space="preserve"> </w:t>
            </w:r>
            <w:r w:rsidR="00E82637" w:rsidRPr="008F44D7">
              <w:rPr>
                <w:rFonts w:cs="Arial"/>
                <w:color w:val="000000"/>
                <w:szCs w:val="22"/>
              </w:rPr>
              <w:t xml:space="preserve">affected </w:t>
            </w:r>
            <w:r w:rsidRPr="008F44D7">
              <w:rPr>
                <w:rFonts w:cs="Arial"/>
                <w:color w:val="000000"/>
                <w:szCs w:val="22"/>
              </w:rPr>
              <w:t xml:space="preserve">borrowers in understanding the changes and making </w:t>
            </w:r>
            <w:r w:rsidR="00E82637" w:rsidRPr="008F44D7">
              <w:rPr>
                <w:rFonts w:cs="Arial"/>
                <w:color w:val="000000"/>
                <w:szCs w:val="22"/>
              </w:rPr>
              <w:t>repayments,</w:t>
            </w:r>
            <w:r w:rsidRPr="008F44D7">
              <w:rPr>
                <w:rFonts w:cs="Arial"/>
                <w:color w:val="000000"/>
                <w:szCs w:val="22"/>
              </w:rPr>
              <w:t xml:space="preserve"> but these would </w:t>
            </w:r>
            <w:r w:rsidR="008F44D7">
              <w:rPr>
                <w:rFonts w:cs="Arial"/>
                <w:color w:val="000000"/>
                <w:szCs w:val="22"/>
              </w:rPr>
              <w:t>not be material as they would be incurred in complying with their income tax obligations.</w:t>
            </w:r>
          </w:p>
          <w:p w14:paraId="3DCEC3AA" w14:textId="77777777" w:rsidR="00987CB1" w:rsidRPr="008F44D7" w:rsidRDefault="00987CB1" w:rsidP="00DA0E15">
            <w:pPr>
              <w:numPr>
                <w:ilvl w:val="0"/>
                <w:numId w:val="43"/>
              </w:numPr>
              <w:spacing w:after="0" w:line="240" w:lineRule="auto"/>
              <w:rPr>
                <w:rFonts w:cs="Arial"/>
                <w:color w:val="000000"/>
                <w:szCs w:val="22"/>
              </w:rPr>
            </w:pPr>
            <w:r w:rsidRPr="008F44D7">
              <w:rPr>
                <w:rFonts w:cs="Arial"/>
                <w:color w:val="000000"/>
                <w:szCs w:val="22"/>
              </w:rPr>
              <w:t xml:space="preserve">Consultation has not occurred with </w:t>
            </w:r>
            <w:r w:rsidR="00E82637" w:rsidRPr="008F44D7">
              <w:rPr>
                <w:rFonts w:cs="Arial"/>
                <w:color w:val="000000"/>
                <w:szCs w:val="22"/>
              </w:rPr>
              <w:t xml:space="preserve">affected </w:t>
            </w:r>
            <w:r w:rsidRPr="008F44D7">
              <w:rPr>
                <w:rFonts w:cs="Arial"/>
                <w:color w:val="000000"/>
                <w:szCs w:val="22"/>
              </w:rPr>
              <w:t>borrowers.</w:t>
            </w:r>
          </w:p>
          <w:p w14:paraId="40351D43" w14:textId="77777777" w:rsidR="00CE3989" w:rsidRDefault="00CE3989" w:rsidP="00CE3989">
            <w:pPr>
              <w:numPr>
                <w:ilvl w:val="0"/>
                <w:numId w:val="43"/>
              </w:numPr>
              <w:spacing w:after="0" w:line="240" w:lineRule="auto"/>
              <w:rPr>
                <w:rFonts w:cs="Arial"/>
                <w:color w:val="000000"/>
                <w:szCs w:val="22"/>
              </w:rPr>
            </w:pPr>
            <w:r>
              <w:rPr>
                <w:rFonts w:cs="Arial"/>
                <w:color w:val="000000"/>
                <w:szCs w:val="22"/>
              </w:rPr>
              <w:t>Legislative change is required</w:t>
            </w:r>
          </w:p>
          <w:p w14:paraId="50B05846" w14:textId="77777777" w:rsidR="007A088C" w:rsidRPr="007A088C" w:rsidRDefault="008F44D7" w:rsidP="008F44D7">
            <w:pPr>
              <w:pStyle w:val="Heading3"/>
            </w:pPr>
            <w:r>
              <w:t>Withholding changes</w:t>
            </w:r>
          </w:p>
          <w:p w14:paraId="18375378" w14:textId="77777777" w:rsidR="00E26E16" w:rsidRDefault="00B6562B" w:rsidP="007A088C">
            <w:pPr>
              <w:spacing w:after="0" w:line="240" w:lineRule="auto"/>
              <w:rPr>
                <w:rFonts w:cs="Arial"/>
                <w:color w:val="000000"/>
                <w:szCs w:val="22"/>
              </w:rPr>
            </w:pPr>
            <w:r>
              <w:rPr>
                <w:rFonts w:cs="Arial"/>
                <w:color w:val="000000"/>
                <w:szCs w:val="22"/>
              </w:rPr>
              <w:t>For the changes to the student loan withholding requirements, the option that has been considered is to repeal the provisions, so that these changes do not come into force and that the current arrangements continue.</w:t>
            </w:r>
          </w:p>
          <w:p w14:paraId="1D89D480" w14:textId="77777777" w:rsidR="00E26E16" w:rsidRDefault="00E26E16" w:rsidP="007A088C">
            <w:pPr>
              <w:spacing w:after="0" w:line="240" w:lineRule="auto"/>
              <w:rPr>
                <w:rFonts w:cs="Arial"/>
                <w:color w:val="000000"/>
                <w:szCs w:val="22"/>
              </w:rPr>
            </w:pPr>
          </w:p>
          <w:p w14:paraId="4BA9E4ED" w14:textId="77777777" w:rsidR="00E26E16" w:rsidRDefault="00E26E16" w:rsidP="007A088C">
            <w:pPr>
              <w:spacing w:after="0" w:line="240" w:lineRule="auto"/>
              <w:rPr>
                <w:rFonts w:cs="Arial"/>
                <w:color w:val="000000"/>
                <w:szCs w:val="22"/>
              </w:rPr>
            </w:pPr>
            <w:r>
              <w:rPr>
                <w:rFonts w:cs="Arial"/>
                <w:color w:val="000000"/>
                <w:szCs w:val="22"/>
              </w:rPr>
              <w:t xml:space="preserve">Options briefly considered and rejected were to defer the application date </w:t>
            </w:r>
            <w:r w:rsidR="003D2D9D">
              <w:rPr>
                <w:rFonts w:cs="Arial"/>
                <w:color w:val="000000"/>
                <w:szCs w:val="22"/>
              </w:rPr>
              <w:t>or to make the changes optional for employers. Making the changes optional would create greater complexity and uncertainty for borrowers</w:t>
            </w:r>
            <w:r w:rsidR="00AD281C">
              <w:rPr>
                <w:rFonts w:cs="Arial"/>
                <w:color w:val="000000"/>
                <w:szCs w:val="22"/>
              </w:rPr>
              <w:t>,</w:t>
            </w:r>
            <w:r w:rsidR="003D2D9D">
              <w:rPr>
                <w:rFonts w:cs="Arial"/>
                <w:color w:val="000000"/>
                <w:szCs w:val="22"/>
              </w:rPr>
              <w:t xml:space="preserve"> employers and </w:t>
            </w:r>
            <w:r w:rsidR="00AD281C">
              <w:rPr>
                <w:rFonts w:cs="Arial"/>
                <w:color w:val="000000"/>
                <w:szCs w:val="22"/>
              </w:rPr>
              <w:t>Inland Revenue. Deferring the application date would give employers more time to implement the changes but is unlikely to reduce the compliance costs.</w:t>
            </w:r>
          </w:p>
          <w:p w14:paraId="4FC03B4D" w14:textId="77777777" w:rsidR="005B6B8E" w:rsidRPr="007A088C" w:rsidRDefault="005B6B8E" w:rsidP="007A088C">
            <w:pPr>
              <w:spacing w:after="0" w:line="240" w:lineRule="auto"/>
              <w:rPr>
                <w:rFonts w:cs="Arial"/>
                <w:color w:val="000000"/>
                <w:szCs w:val="22"/>
              </w:rPr>
            </w:pPr>
          </w:p>
        </w:tc>
      </w:tr>
    </w:tbl>
    <w:p w14:paraId="230BA6A5" w14:textId="77777777" w:rsidR="000976C8" w:rsidRDefault="000976C8" w:rsidP="000717C0">
      <w:pPr>
        <w:rPr>
          <w:rFonts w:cs="Arial"/>
          <w:color w:val="000000"/>
          <w:szCs w:val="22"/>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2D5734" w:rsidRPr="0069218C" w14:paraId="02DDCCC4" w14:textId="77777777" w:rsidTr="00800DEC">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1104DEA3"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7A088C" w14:paraId="50F53A4A" w14:textId="77777777" w:rsidTr="009247AF">
        <w:trPr>
          <w:trHeight w:val="128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2051B80" w14:textId="77777777" w:rsidR="008F44D7" w:rsidRDefault="008F44D7" w:rsidP="008F44D7">
            <w:pPr>
              <w:pStyle w:val="Heading3"/>
            </w:pPr>
            <w:r>
              <w:t>Threshold changes</w:t>
            </w:r>
          </w:p>
          <w:p w14:paraId="68FCBBFE" w14:textId="77777777" w:rsidR="002C43AB" w:rsidRDefault="00D153DC" w:rsidP="009247AF">
            <w:pPr>
              <w:spacing w:after="0" w:line="240" w:lineRule="auto"/>
              <w:rPr>
                <w:rFonts w:cs="Arial"/>
                <w:color w:val="000000"/>
                <w:szCs w:val="22"/>
              </w:rPr>
            </w:pPr>
            <w:r w:rsidRPr="007A088C">
              <w:rPr>
                <w:rFonts w:cs="Arial"/>
                <w:color w:val="000000"/>
                <w:szCs w:val="22"/>
              </w:rPr>
              <w:t xml:space="preserve">The preferred option is to reduce the threshold level to $500. This would increase equity among borrowers </w:t>
            </w:r>
            <w:r w:rsidR="00987CB1" w:rsidRPr="007A088C">
              <w:rPr>
                <w:rFonts w:cs="Arial"/>
                <w:color w:val="000000"/>
                <w:szCs w:val="22"/>
              </w:rPr>
              <w:t>and</w:t>
            </w:r>
            <w:r w:rsidR="00EE6150" w:rsidRPr="007A088C">
              <w:rPr>
                <w:rFonts w:cs="Arial"/>
                <w:color w:val="000000"/>
                <w:szCs w:val="22"/>
              </w:rPr>
              <w:t xml:space="preserve"> </w:t>
            </w:r>
            <w:r w:rsidR="00083861" w:rsidRPr="007A088C">
              <w:rPr>
                <w:rFonts w:cs="Arial"/>
                <w:color w:val="000000"/>
                <w:szCs w:val="22"/>
              </w:rPr>
              <w:t xml:space="preserve">reflect the original intent that borrowers who are not subject to high compliance costs should make </w:t>
            </w:r>
            <w:r w:rsidR="00EE6150" w:rsidRPr="007A088C">
              <w:rPr>
                <w:rFonts w:cs="Arial"/>
                <w:color w:val="000000"/>
                <w:szCs w:val="22"/>
              </w:rPr>
              <w:t xml:space="preserve">loan </w:t>
            </w:r>
            <w:r w:rsidR="00083861" w:rsidRPr="007A088C">
              <w:rPr>
                <w:rFonts w:cs="Arial"/>
                <w:color w:val="000000"/>
                <w:szCs w:val="22"/>
              </w:rPr>
              <w:t>repayments.</w:t>
            </w:r>
          </w:p>
          <w:p w14:paraId="42C4DC7C" w14:textId="77777777" w:rsidR="00B6562B" w:rsidRDefault="008F44D7" w:rsidP="008F44D7">
            <w:pPr>
              <w:pStyle w:val="Heading3"/>
            </w:pPr>
            <w:r>
              <w:t>Withholding changes</w:t>
            </w:r>
          </w:p>
          <w:p w14:paraId="154B5964" w14:textId="77777777" w:rsidR="00B6562B" w:rsidRDefault="00B0035B" w:rsidP="009247AF">
            <w:pPr>
              <w:spacing w:after="0" w:line="240" w:lineRule="auto"/>
              <w:rPr>
                <w:rFonts w:cs="Arial"/>
                <w:color w:val="000000"/>
                <w:szCs w:val="22"/>
              </w:rPr>
            </w:pPr>
            <w:r>
              <w:rPr>
                <w:rFonts w:cs="Arial"/>
                <w:color w:val="000000"/>
                <w:szCs w:val="22"/>
              </w:rPr>
              <w:t>For the changes to the student loan withholding requirements, the preferred option is to repeal the provisions</w:t>
            </w:r>
            <w:r w:rsidR="00FB6DC8">
              <w:rPr>
                <w:rFonts w:cs="Arial"/>
                <w:color w:val="000000"/>
                <w:szCs w:val="22"/>
              </w:rPr>
              <w:t xml:space="preserve"> as this minimises compliance costs.</w:t>
            </w:r>
          </w:p>
          <w:p w14:paraId="06B10ABA" w14:textId="77777777" w:rsidR="005B6B8E" w:rsidRPr="007A088C" w:rsidRDefault="005B6B8E" w:rsidP="009247AF">
            <w:pPr>
              <w:spacing w:after="0" w:line="240" w:lineRule="auto"/>
              <w:rPr>
                <w:rFonts w:cs="Arial"/>
                <w:color w:val="000000"/>
                <w:szCs w:val="22"/>
              </w:rPr>
            </w:pPr>
          </w:p>
        </w:tc>
      </w:tr>
    </w:tbl>
    <w:p w14:paraId="6ACA15FA" w14:textId="77777777" w:rsidR="000717C0" w:rsidRDefault="000717C0" w:rsidP="000976C8">
      <w:pPr>
        <w:pStyle w:val="Heading2"/>
        <w:rPr>
          <w:rFonts w:cs="Arial"/>
          <w:color w:val="000000"/>
          <w:sz w:val="22"/>
          <w:szCs w:val="22"/>
        </w:rPr>
      </w:pPr>
    </w:p>
    <w:p w14:paraId="65BA03A4" w14:textId="77777777" w:rsidR="000717C0" w:rsidRDefault="000717C0" w:rsidP="000717C0">
      <w:pPr>
        <w:rPr>
          <w:spacing w:val="20"/>
          <w:w w:val="90"/>
        </w:rPr>
      </w:pPr>
      <w:r>
        <w:br w:type="page"/>
      </w:r>
    </w:p>
    <w:p w14:paraId="2C2A931B" w14:textId="77777777" w:rsidR="000976C8" w:rsidRDefault="000976C8" w:rsidP="000976C8">
      <w:pPr>
        <w:pStyle w:val="Heading2"/>
        <w:rPr>
          <w:rFonts w:cs="Arial"/>
          <w:color w:val="000000"/>
          <w:sz w:val="22"/>
          <w:szCs w:val="22"/>
        </w:rPr>
      </w:pPr>
    </w:p>
    <w:p w14:paraId="785A3531" w14:textId="77777777" w:rsidR="00BE4A62" w:rsidRPr="007A088C" w:rsidRDefault="00E92509" w:rsidP="000976C8">
      <w:pPr>
        <w:pStyle w:val="Heading2"/>
        <w:rPr>
          <w:rFonts w:cs="Arial"/>
          <w:color w:val="000000"/>
          <w:szCs w:val="22"/>
        </w:rPr>
      </w:pPr>
      <w:r w:rsidRPr="000976C8">
        <w:t xml:space="preserve">Section </w:t>
      </w:r>
      <w:r w:rsidR="00C77099" w:rsidRPr="000976C8">
        <w:t>4</w:t>
      </w:r>
      <w:r w:rsidRPr="000976C8">
        <w:t xml:space="preserve">:  </w:t>
      </w:r>
      <w:r w:rsidR="00A33BA0" w:rsidRPr="000976C8">
        <w:t>Impact Analysis</w:t>
      </w:r>
      <w:r w:rsidR="005D5BF0" w:rsidRPr="000976C8">
        <w:t xml:space="preserve"> (</w:t>
      </w:r>
      <w:r w:rsidR="00C77099" w:rsidRPr="000976C8">
        <w:t>Proposed approach</w:t>
      </w:r>
      <w:r w:rsidR="005D5BF0" w:rsidRPr="000976C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D5BF0" w:rsidRPr="007A088C" w14:paraId="1913D183" w14:textId="77777777" w:rsidTr="006D3130">
        <w:trPr>
          <w:trHeight w:val="77"/>
        </w:trPr>
        <w:tc>
          <w:tcPr>
            <w:tcW w:w="5000" w:type="pct"/>
            <w:tcBorders>
              <w:bottom w:val="single" w:sz="4" w:space="0" w:color="auto"/>
            </w:tcBorders>
            <w:shd w:val="clear" w:color="auto" w:fill="99CDDD"/>
            <w:hideMark/>
          </w:tcPr>
          <w:p w14:paraId="37B79675" w14:textId="77777777" w:rsidR="005D5BF0" w:rsidRPr="007A088C" w:rsidRDefault="00D9793F" w:rsidP="007A088C">
            <w:pPr>
              <w:spacing w:after="0" w:line="240" w:lineRule="auto"/>
              <w:rPr>
                <w:rFonts w:cs="Arial"/>
                <w:color w:val="000000"/>
                <w:szCs w:val="22"/>
              </w:rPr>
            </w:pPr>
            <w:r w:rsidRPr="007A088C">
              <w:rPr>
                <w:rFonts w:cs="Arial"/>
                <w:color w:val="000000"/>
                <w:szCs w:val="22"/>
              </w:rPr>
              <w:t>4</w:t>
            </w:r>
            <w:r w:rsidR="005D5BF0" w:rsidRPr="007A088C">
              <w:rPr>
                <w:rFonts w:cs="Arial"/>
                <w:color w:val="000000"/>
                <w:szCs w:val="22"/>
              </w:rPr>
              <w:t>.</w:t>
            </w:r>
            <w:r w:rsidR="00C77099" w:rsidRPr="007A088C">
              <w:rPr>
                <w:rFonts w:cs="Arial"/>
                <w:color w:val="000000"/>
                <w:szCs w:val="22"/>
              </w:rPr>
              <w:t>1</w:t>
            </w:r>
            <w:r w:rsidR="005D5BF0" w:rsidRPr="007A088C">
              <w:rPr>
                <w:rFonts w:cs="Arial"/>
                <w:color w:val="000000"/>
                <w:szCs w:val="22"/>
              </w:rPr>
              <w:t xml:space="preserve">   Summary table of costs and benefits</w:t>
            </w:r>
          </w:p>
        </w:tc>
      </w:tr>
    </w:tbl>
    <w:p w14:paraId="28593B40" w14:textId="77777777" w:rsidR="00D9793F" w:rsidRPr="0069218C" w:rsidRDefault="00D9793F" w:rsidP="00567434">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380585" w:rsidRPr="0069218C" w14:paraId="44294AA1" w14:textId="77777777" w:rsidTr="00030EC1">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80C0D5"/>
          </w:tcPr>
          <w:p w14:paraId="0242C39F"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252" w:type="dxa"/>
            <w:tcBorders>
              <w:top w:val="single" w:sz="2" w:space="0" w:color="auto"/>
              <w:left w:val="single" w:sz="2" w:space="0" w:color="auto"/>
              <w:bottom w:val="single" w:sz="2" w:space="0" w:color="auto"/>
              <w:right w:val="single" w:sz="2" w:space="0" w:color="auto"/>
            </w:tcBorders>
            <w:shd w:val="clear" w:color="auto" w:fill="80C0D5"/>
          </w:tcPr>
          <w:p w14:paraId="5657552C"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Pr="00886DFF">
              <w:rPr>
                <w:rFonts w:eastAsia="Calibri"/>
                <w:color w:val="000000"/>
                <w:sz w:val="22"/>
              </w:rPr>
              <w:t xml:space="preserve"> compliance rates), risks</w:t>
            </w:r>
          </w:p>
        </w:tc>
        <w:tc>
          <w:tcPr>
            <w:tcW w:w="2835" w:type="dxa"/>
            <w:tcBorders>
              <w:top w:val="single" w:sz="2" w:space="0" w:color="auto"/>
              <w:left w:val="single" w:sz="2" w:space="0" w:color="auto"/>
              <w:bottom w:val="single" w:sz="2" w:space="0" w:color="auto"/>
              <w:right w:val="single" w:sz="2" w:space="0" w:color="auto"/>
            </w:tcBorders>
            <w:shd w:val="clear" w:color="auto" w:fill="80C0D5"/>
          </w:tcPr>
          <w:p w14:paraId="6F6B4B7B" w14:textId="77777777" w:rsidR="00380585" w:rsidRPr="00886DFF" w:rsidRDefault="00380585" w:rsidP="00784C66">
            <w:pPr>
              <w:pStyle w:val="TableText"/>
              <w:keepNext/>
              <w:rPr>
                <w:rFonts w:eastAsia="Calibri"/>
                <w:b/>
                <w:color w:val="000000"/>
                <w:sz w:val="22"/>
              </w:rPr>
            </w:pPr>
            <w:r w:rsidRPr="00886DFF">
              <w:rPr>
                <w:rFonts w:eastAsia="Calibri"/>
                <w:b/>
                <w:color w:val="000000"/>
                <w:sz w:val="22"/>
              </w:rPr>
              <w:t>Impact</w:t>
            </w:r>
          </w:p>
          <w:p w14:paraId="023B9E01" w14:textId="77777777" w:rsidR="00380585" w:rsidRPr="00886DFF" w:rsidRDefault="00380585" w:rsidP="00784C66">
            <w:pPr>
              <w:pStyle w:val="TableText"/>
              <w:keepNext/>
              <w:rPr>
                <w:rFonts w:eastAsia="Calibri"/>
                <w:i/>
                <w:color w:val="000000"/>
                <w:sz w:val="22"/>
              </w:rPr>
            </w:pPr>
            <w:r w:rsidRPr="00886DFF">
              <w:rPr>
                <w:rFonts w:eastAsia="Calibri"/>
                <w:i/>
                <w:color w:val="000000"/>
                <w:sz w:val="22"/>
              </w:rPr>
              <w:t xml:space="preserve">$m present </w:t>
            </w:r>
            <w:r w:rsidR="004A79D5" w:rsidRPr="00886DFF">
              <w:rPr>
                <w:rFonts w:eastAsia="Calibri"/>
                <w:i/>
                <w:color w:val="000000"/>
                <w:sz w:val="22"/>
              </w:rPr>
              <w:t>value, for</w:t>
            </w:r>
            <w:r w:rsidRPr="00886DFF">
              <w:rPr>
                <w:rFonts w:eastAsia="Calibri"/>
                <w:i/>
                <w:color w:val="000000"/>
                <w:sz w:val="22"/>
              </w:rPr>
              <w:t xml:space="preserve"> monetised impacts; high, medium or low for non-monetised impacts  </w:t>
            </w:r>
          </w:p>
        </w:tc>
      </w:tr>
      <w:tr w:rsidR="00380585" w:rsidRPr="0069218C" w14:paraId="2A5E0EF1" w14:textId="77777777" w:rsidTr="00567434">
        <w:trPr>
          <w:trHeight w:val="197"/>
        </w:trPr>
        <w:tc>
          <w:tcPr>
            <w:tcW w:w="9069" w:type="dxa"/>
            <w:gridSpan w:val="3"/>
            <w:tcBorders>
              <w:top w:val="single" w:sz="2" w:space="0" w:color="auto"/>
              <w:bottom w:val="single" w:sz="2" w:space="0" w:color="auto"/>
            </w:tcBorders>
          </w:tcPr>
          <w:p w14:paraId="7F20DA27" w14:textId="77777777" w:rsidR="00380585" w:rsidRPr="00567434" w:rsidRDefault="008F44D7" w:rsidP="008F44D7">
            <w:pPr>
              <w:pStyle w:val="Heading3"/>
              <w:rPr>
                <w:rFonts w:eastAsia="Calibri"/>
              </w:rPr>
            </w:pPr>
            <w:r>
              <w:rPr>
                <w:rFonts w:eastAsia="Calibri"/>
              </w:rPr>
              <w:t>Threshold changes</w:t>
            </w:r>
          </w:p>
        </w:tc>
      </w:tr>
      <w:tr w:rsidR="00380585" w:rsidRPr="0069218C" w14:paraId="65FB0FCB" w14:textId="77777777" w:rsidTr="00030EC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14:paraId="7570084B" w14:textId="77777777" w:rsidR="00380585" w:rsidRPr="0069218C" w:rsidRDefault="00380585" w:rsidP="00784C66">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0A6FE484"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B99C3F9" w14:textId="77777777" w:rsidR="00380585" w:rsidRPr="0069218C" w:rsidRDefault="00380585" w:rsidP="001A03D1">
            <w:pPr>
              <w:pStyle w:val="TableText"/>
              <w:keepNext/>
              <w:spacing w:before="0" w:after="0" w:line="240" w:lineRule="auto"/>
              <w:rPr>
                <w:rFonts w:eastAsia="Calibri"/>
                <w:sz w:val="22"/>
              </w:rPr>
            </w:pPr>
            <w:r w:rsidRPr="0069218C">
              <w:rPr>
                <w:rFonts w:eastAsia="Calibri"/>
                <w:sz w:val="22"/>
              </w:rPr>
              <w:t>Regulated parties</w:t>
            </w:r>
            <w:r w:rsidR="001842B8">
              <w:rPr>
                <w:rFonts w:eastAsia="Calibri"/>
                <w:sz w:val="22"/>
              </w:rPr>
              <w:t xml:space="preserve"> (borrowers with non-salary and wage income between $500 and $1500)</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5001083" w14:textId="77777777" w:rsidR="001A03D1" w:rsidRDefault="001A03D1" w:rsidP="001A03D1">
            <w:pPr>
              <w:pStyle w:val="TableText"/>
              <w:keepNext/>
              <w:spacing w:before="0" w:after="0" w:line="240" w:lineRule="auto"/>
              <w:rPr>
                <w:rFonts w:eastAsia="Calibri"/>
                <w:sz w:val="22"/>
              </w:rPr>
            </w:pPr>
            <w:r w:rsidRPr="001A03D1">
              <w:rPr>
                <w:rFonts w:eastAsia="Calibri"/>
                <w:b/>
                <w:sz w:val="22"/>
              </w:rPr>
              <w:t>Compliance costs</w:t>
            </w:r>
            <w:r>
              <w:rPr>
                <w:rFonts w:eastAsia="Calibri"/>
                <w:sz w:val="22"/>
              </w:rPr>
              <w:t>:</w:t>
            </w:r>
          </w:p>
          <w:p w14:paraId="6E86182D" w14:textId="77777777" w:rsidR="00380585" w:rsidRDefault="001842B8" w:rsidP="001A03D1">
            <w:pPr>
              <w:pStyle w:val="TableText"/>
              <w:keepNext/>
              <w:spacing w:before="0" w:after="0" w:line="240" w:lineRule="auto"/>
              <w:rPr>
                <w:rFonts w:eastAsia="Calibri"/>
                <w:sz w:val="22"/>
              </w:rPr>
            </w:pPr>
            <w:r>
              <w:rPr>
                <w:rFonts w:eastAsia="Calibri"/>
                <w:sz w:val="22"/>
              </w:rPr>
              <w:t>The ongoing compliance costs are not expected to be material as they would be incurred in complying with income tax obligations.</w:t>
            </w:r>
          </w:p>
          <w:p w14:paraId="295A6518" w14:textId="77777777" w:rsidR="001A03D1" w:rsidRDefault="001A03D1" w:rsidP="001A03D1">
            <w:pPr>
              <w:pStyle w:val="TableText"/>
              <w:keepNext/>
              <w:spacing w:before="0" w:after="0" w:line="240" w:lineRule="auto"/>
              <w:rPr>
                <w:rFonts w:eastAsia="Calibri"/>
                <w:sz w:val="22"/>
              </w:rPr>
            </w:pPr>
          </w:p>
          <w:p w14:paraId="0BE50F2E" w14:textId="77777777" w:rsidR="001842B8" w:rsidRDefault="001842B8" w:rsidP="001A03D1">
            <w:pPr>
              <w:pStyle w:val="TableText"/>
              <w:keepNext/>
              <w:spacing w:before="0" w:after="0" w:line="240" w:lineRule="auto"/>
              <w:rPr>
                <w:rFonts w:eastAsia="Calibri"/>
                <w:sz w:val="22"/>
              </w:rPr>
            </w:pPr>
            <w:r>
              <w:rPr>
                <w:rFonts w:eastAsia="Calibri"/>
                <w:sz w:val="22"/>
              </w:rPr>
              <w:t>One-off cost may be incurred in understanding the changes. These would be short lived.</w:t>
            </w:r>
          </w:p>
          <w:p w14:paraId="6D8419CC" w14:textId="77777777" w:rsidR="001A03D1" w:rsidRDefault="001A03D1" w:rsidP="001A03D1">
            <w:pPr>
              <w:pStyle w:val="TableText"/>
              <w:keepNext/>
              <w:spacing w:before="0" w:after="0" w:line="240" w:lineRule="auto"/>
              <w:rPr>
                <w:rFonts w:eastAsia="Calibri"/>
                <w:sz w:val="22"/>
              </w:rPr>
            </w:pPr>
          </w:p>
          <w:p w14:paraId="7FDE88E3" w14:textId="77777777" w:rsidR="001A03D1" w:rsidRPr="001A03D1" w:rsidRDefault="001A03D1" w:rsidP="001A03D1">
            <w:pPr>
              <w:pStyle w:val="TableText"/>
              <w:keepNext/>
              <w:spacing w:before="0" w:after="0" w:line="240" w:lineRule="auto"/>
              <w:rPr>
                <w:rFonts w:eastAsia="Calibri"/>
                <w:b/>
                <w:sz w:val="22"/>
              </w:rPr>
            </w:pPr>
            <w:r w:rsidRPr="001A03D1">
              <w:rPr>
                <w:rFonts w:eastAsia="Calibri"/>
                <w:b/>
                <w:sz w:val="22"/>
              </w:rPr>
              <w:t>Financial Impact:</w:t>
            </w:r>
          </w:p>
          <w:p w14:paraId="17366E52" w14:textId="77777777" w:rsidR="001A03D1" w:rsidRDefault="001A03D1" w:rsidP="001A03D1">
            <w:pPr>
              <w:pStyle w:val="TableText"/>
              <w:keepNext/>
              <w:spacing w:before="0" w:after="0" w:line="240" w:lineRule="auto"/>
              <w:rPr>
                <w:rFonts w:eastAsia="Calibri"/>
                <w:sz w:val="22"/>
              </w:rPr>
            </w:pPr>
            <w:r>
              <w:rPr>
                <w:rFonts w:eastAsia="Calibri"/>
                <w:sz w:val="22"/>
              </w:rPr>
              <w:t xml:space="preserve">The maximum financial impact on </w:t>
            </w:r>
            <w:r w:rsidR="00CE3989">
              <w:rPr>
                <w:rFonts w:eastAsia="Calibri"/>
                <w:sz w:val="22"/>
              </w:rPr>
              <w:t xml:space="preserve">the </w:t>
            </w:r>
            <w:r w:rsidR="00BC617D">
              <w:rPr>
                <w:rFonts w:eastAsia="Calibri"/>
                <w:sz w:val="22"/>
              </w:rPr>
              <w:t xml:space="preserve">affected </w:t>
            </w:r>
            <w:r>
              <w:rPr>
                <w:rFonts w:eastAsia="Calibri"/>
                <w:sz w:val="22"/>
              </w:rPr>
              <w:t>borrowers</w:t>
            </w:r>
            <w:r w:rsidR="00CE3989">
              <w:rPr>
                <w:rFonts w:eastAsia="Calibri"/>
                <w:sz w:val="22"/>
              </w:rPr>
              <w:t xml:space="preserve"> (approximately 25 borrowers per year)</w:t>
            </w:r>
            <w:r>
              <w:rPr>
                <w:rFonts w:eastAsia="Calibri"/>
                <w:sz w:val="22"/>
              </w:rPr>
              <w:t xml:space="preserve"> is increased repayments of $1</w:t>
            </w:r>
            <w:r w:rsidR="00D171C7">
              <w:rPr>
                <w:rFonts w:eastAsia="Calibri"/>
                <w:sz w:val="22"/>
              </w:rPr>
              <w:t>79</w:t>
            </w:r>
            <w:r>
              <w:rPr>
                <w:rFonts w:eastAsia="Calibri"/>
                <w:sz w:val="22"/>
              </w:rPr>
              <w:t xml:space="preserve"> per annum</w:t>
            </w:r>
            <w:r w:rsidR="009247AF">
              <w:rPr>
                <w:rFonts w:eastAsia="Calibri"/>
                <w:sz w:val="22"/>
              </w:rPr>
              <w:t xml:space="preserve"> for borrowers who are over the $19</w:t>
            </w:r>
            <w:r w:rsidR="00DD3CAE">
              <w:rPr>
                <w:rFonts w:eastAsia="Calibri"/>
                <w:sz w:val="22"/>
              </w:rPr>
              <w:t>,</w:t>
            </w:r>
            <w:r w:rsidR="009247AF">
              <w:rPr>
                <w:rFonts w:eastAsia="Calibri"/>
                <w:sz w:val="22"/>
              </w:rPr>
              <w:t>760 repayment threshold</w:t>
            </w:r>
            <w:r w:rsidR="00BC617D">
              <w:rPr>
                <w:rFonts w:eastAsia="Calibri"/>
                <w:sz w:val="22"/>
              </w:rPr>
              <w:t>.</w:t>
            </w:r>
            <w:r w:rsidR="009247AF">
              <w:rPr>
                <w:rFonts w:eastAsia="Calibri"/>
                <w:sz w:val="22"/>
              </w:rPr>
              <w:t xml:space="preserve"> </w:t>
            </w:r>
            <w:r w:rsidR="00BC617D">
              <w:rPr>
                <w:rFonts w:eastAsia="Calibri"/>
                <w:sz w:val="22"/>
              </w:rPr>
              <w:t>I</w:t>
            </w:r>
            <w:r w:rsidR="009247AF">
              <w:rPr>
                <w:rFonts w:eastAsia="Calibri"/>
                <w:sz w:val="22"/>
              </w:rPr>
              <w:t xml:space="preserve">f </w:t>
            </w:r>
            <w:r w:rsidR="00BC617D">
              <w:rPr>
                <w:rFonts w:eastAsia="Calibri"/>
                <w:sz w:val="22"/>
              </w:rPr>
              <w:t xml:space="preserve">a </w:t>
            </w:r>
            <w:r w:rsidR="009247AF">
              <w:rPr>
                <w:rFonts w:eastAsia="Calibri"/>
                <w:sz w:val="22"/>
              </w:rPr>
              <w:t xml:space="preserve">borrower is under the repayment </w:t>
            </w:r>
            <w:r w:rsidR="00BC617D">
              <w:rPr>
                <w:rFonts w:eastAsia="Calibri"/>
                <w:sz w:val="22"/>
              </w:rPr>
              <w:t>threshold,</w:t>
            </w:r>
            <w:r w:rsidR="009247AF">
              <w:rPr>
                <w:rFonts w:eastAsia="Calibri"/>
                <w:sz w:val="22"/>
              </w:rPr>
              <w:t xml:space="preserve"> they would not have to make any repayments.</w:t>
            </w:r>
            <w:r>
              <w:rPr>
                <w:rFonts w:eastAsia="Calibri"/>
                <w:sz w:val="22"/>
              </w:rPr>
              <w:t xml:space="preserve">  </w:t>
            </w:r>
          </w:p>
          <w:p w14:paraId="1E32EB06" w14:textId="77777777" w:rsidR="002E3CEE" w:rsidRDefault="002E3CEE" w:rsidP="001A03D1">
            <w:pPr>
              <w:pStyle w:val="TableText"/>
              <w:keepNext/>
              <w:spacing w:before="0" w:after="0" w:line="240" w:lineRule="auto"/>
              <w:rPr>
                <w:rFonts w:eastAsia="Calibri"/>
                <w:sz w:val="22"/>
              </w:rPr>
            </w:pPr>
          </w:p>
          <w:p w14:paraId="226F179A" w14:textId="77777777" w:rsidR="002E3CEE" w:rsidRDefault="002E3CEE" w:rsidP="001A03D1">
            <w:pPr>
              <w:pStyle w:val="TableText"/>
              <w:keepNext/>
              <w:spacing w:before="0" w:after="0" w:line="240" w:lineRule="auto"/>
              <w:rPr>
                <w:rFonts w:eastAsia="Calibri"/>
                <w:sz w:val="22"/>
              </w:rPr>
            </w:pPr>
            <w:r>
              <w:rPr>
                <w:rFonts w:eastAsia="Calibri"/>
                <w:sz w:val="22"/>
              </w:rPr>
              <w:t>As the repayment obligation is based on the borrower’s income, we expect that most would be able to make the additional repayment.</w:t>
            </w:r>
          </w:p>
          <w:p w14:paraId="1AE9414B" w14:textId="77777777" w:rsidR="00D96D9E" w:rsidRDefault="00D96D9E" w:rsidP="001A03D1">
            <w:pPr>
              <w:pStyle w:val="TableText"/>
              <w:keepNext/>
              <w:spacing w:before="0" w:after="0" w:line="240" w:lineRule="auto"/>
              <w:rPr>
                <w:rFonts w:eastAsia="Calibri"/>
                <w:sz w:val="22"/>
              </w:rPr>
            </w:pPr>
          </w:p>
          <w:p w14:paraId="017AA5A1" w14:textId="77777777" w:rsidR="00D96D9E" w:rsidRPr="0069218C" w:rsidRDefault="00D96D9E" w:rsidP="001A03D1">
            <w:pPr>
              <w:pStyle w:val="TableText"/>
              <w:keepNext/>
              <w:spacing w:before="0" w:after="0" w:line="240" w:lineRule="auto"/>
              <w:rPr>
                <w:rFonts w:eastAsia="Calibri"/>
                <w:sz w:val="22"/>
              </w:rPr>
            </w:pPr>
            <w:r>
              <w:rPr>
                <w:rFonts w:eastAsia="Calibri"/>
                <w:sz w:val="22"/>
              </w:rPr>
              <w:t>If borrowers are unable to make the additional repayments, they would not be subject to any penalties</w:t>
            </w:r>
            <w:r w:rsidR="002E3CEE">
              <w:rPr>
                <w:rFonts w:eastAsia="Calibri"/>
                <w:sz w:val="22"/>
              </w:rPr>
              <w:t xml:space="preserve"> and so would not be made worse off.</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930BA9F" w14:textId="77777777" w:rsidR="00380585" w:rsidRDefault="001842B8" w:rsidP="001A03D1">
            <w:pPr>
              <w:pStyle w:val="TableText"/>
              <w:keepNext/>
              <w:spacing w:before="0" w:after="0" w:line="240" w:lineRule="auto"/>
              <w:rPr>
                <w:rFonts w:eastAsia="Calibri"/>
                <w:sz w:val="22"/>
              </w:rPr>
            </w:pPr>
            <w:r>
              <w:rPr>
                <w:rFonts w:eastAsia="Calibri"/>
                <w:sz w:val="22"/>
              </w:rPr>
              <w:t>Nil</w:t>
            </w:r>
          </w:p>
          <w:p w14:paraId="3D745B40" w14:textId="77777777" w:rsidR="001842B8" w:rsidRDefault="001842B8" w:rsidP="001A03D1">
            <w:pPr>
              <w:pStyle w:val="TableText"/>
              <w:keepNext/>
              <w:spacing w:before="0" w:after="0" w:line="240" w:lineRule="auto"/>
              <w:rPr>
                <w:rFonts w:eastAsia="Calibri"/>
                <w:sz w:val="22"/>
              </w:rPr>
            </w:pPr>
          </w:p>
          <w:p w14:paraId="33DD845C" w14:textId="77777777" w:rsidR="001842B8" w:rsidRDefault="001842B8" w:rsidP="001A03D1">
            <w:pPr>
              <w:pStyle w:val="TableText"/>
              <w:keepNext/>
              <w:spacing w:before="0" w:after="0" w:line="240" w:lineRule="auto"/>
              <w:rPr>
                <w:rFonts w:eastAsia="Calibri"/>
                <w:sz w:val="22"/>
              </w:rPr>
            </w:pPr>
          </w:p>
          <w:p w14:paraId="542B9CA8" w14:textId="77777777" w:rsidR="001A03D1" w:rsidRDefault="001A03D1" w:rsidP="001A03D1">
            <w:pPr>
              <w:pStyle w:val="TableText"/>
              <w:keepNext/>
              <w:spacing w:before="0" w:after="0" w:line="240" w:lineRule="auto"/>
              <w:rPr>
                <w:rFonts w:eastAsia="Calibri"/>
                <w:sz w:val="22"/>
              </w:rPr>
            </w:pPr>
          </w:p>
          <w:p w14:paraId="2825ADB4" w14:textId="77777777" w:rsidR="001842B8" w:rsidRDefault="001842B8" w:rsidP="001A03D1">
            <w:pPr>
              <w:pStyle w:val="TableText"/>
              <w:keepNext/>
              <w:spacing w:before="0" w:after="0" w:line="240" w:lineRule="auto"/>
              <w:rPr>
                <w:rFonts w:eastAsia="Calibri"/>
                <w:sz w:val="22"/>
              </w:rPr>
            </w:pPr>
          </w:p>
          <w:p w14:paraId="48858F9B" w14:textId="77777777" w:rsidR="00BC617D" w:rsidRDefault="00BC617D" w:rsidP="001A03D1">
            <w:pPr>
              <w:pStyle w:val="TableText"/>
              <w:keepNext/>
              <w:spacing w:before="0" w:after="0" w:line="240" w:lineRule="auto"/>
              <w:rPr>
                <w:rFonts w:eastAsia="Calibri"/>
                <w:sz w:val="22"/>
              </w:rPr>
            </w:pPr>
          </w:p>
          <w:p w14:paraId="46E31682" w14:textId="77777777" w:rsidR="001842B8" w:rsidRDefault="001A03D1" w:rsidP="001A03D1">
            <w:pPr>
              <w:pStyle w:val="TableText"/>
              <w:keepNext/>
              <w:spacing w:before="0" w:after="0" w:line="240" w:lineRule="auto"/>
              <w:rPr>
                <w:rFonts w:eastAsia="Calibri"/>
                <w:sz w:val="22"/>
              </w:rPr>
            </w:pPr>
            <w:r>
              <w:rPr>
                <w:rFonts w:eastAsia="Calibri"/>
                <w:sz w:val="22"/>
              </w:rPr>
              <w:t>L</w:t>
            </w:r>
            <w:r w:rsidR="001842B8">
              <w:rPr>
                <w:rFonts w:eastAsia="Calibri"/>
                <w:sz w:val="22"/>
              </w:rPr>
              <w:t>ow</w:t>
            </w:r>
          </w:p>
          <w:p w14:paraId="10E353F8" w14:textId="77777777" w:rsidR="001A03D1" w:rsidRDefault="001A03D1" w:rsidP="001A03D1">
            <w:pPr>
              <w:pStyle w:val="TableText"/>
              <w:keepNext/>
              <w:spacing w:before="0" w:after="0" w:line="240" w:lineRule="auto"/>
              <w:rPr>
                <w:rFonts w:eastAsia="Calibri"/>
                <w:sz w:val="22"/>
              </w:rPr>
            </w:pPr>
          </w:p>
          <w:p w14:paraId="7C19034B" w14:textId="77777777" w:rsidR="001A03D1" w:rsidRDefault="001A03D1" w:rsidP="001A03D1">
            <w:pPr>
              <w:pStyle w:val="TableText"/>
              <w:keepNext/>
              <w:spacing w:before="0" w:after="0" w:line="240" w:lineRule="auto"/>
              <w:rPr>
                <w:rFonts w:eastAsia="Calibri"/>
                <w:sz w:val="22"/>
              </w:rPr>
            </w:pPr>
          </w:p>
          <w:p w14:paraId="66A048E8" w14:textId="77777777" w:rsidR="001A03D1" w:rsidRDefault="001A03D1" w:rsidP="001A03D1">
            <w:pPr>
              <w:pStyle w:val="TableText"/>
              <w:keepNext/>
              <w:spacing w:before="0" w:after="0" w:line="240" w:lineRule="auto"/>
              <w:rPr>
                <w:rFonts w:eastAsia="Calibri"/>
                <w:sz w:val="22"/>
              </w:rPr>
            </w:pPr>
          </w:p>
          <w:p w14:paraId="2E19E571" w14:textId="77777777" w:rsidR="001A03D1" w:rsidRDefault="001A03D1" w:rsidP="001A03D1">
            <w:pPr>
              <w:pStyle w:val="TableText"/>
              <w:keepNext/>
              <w:spacing w:before="0" w:after="0" w:line="240" w:lineRule="auto"/>
              <w:rPr>
                <w:rFonts w:eastAsia="Calibri"/>
                <w:sz w:val="22"/>
              </w:rPr>
            </w:pPr>
          </w:p>
          <w:p w14:paraId="3283EEE0" w14:textId="77777777" w:rsidR="001A03D1" w:rsidRPr="0069218C" w:rsidRDefault="001A03D1" w:rsidP="001A03D1">
            <w:pPr>
              <w:pStyle w:val="TableText"/>
              <w:keepNext/>
              <w:spacing w:before="0" w:after="0" w:line="240" w:lineRule="auto"/>
              <w:rPr>
                <w:rFonts w:eastAsia="Calibri"/>
                <w:sz w:val="22"/>
              </w:rPr>
            </w:pPr>
            <w:r>
              <w:rPr>
                <w:rFonts w:eastAsia="Calibri"/>
                <w:sz w:val="22"/>
              </w:rPr>
              <w:t>Low</w:t>
            </w:r>
          </w:p>
        </w:tc>
      </w:tr>
      <w:tr w:rsidR="00380585" w:rsidRPr="0069218C" w14:paraId="374D5D57"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19E46F7" w14:textId="77777777" w:rsidR="00380585" w:rsidRPr="0069218C" w:rsidRDefault="00380585" w:rsidP="001A03D1">
            <w:pPr>
              <w:pStyle w:val="TableText"/>
              <w:keepNext/>
              <w:spacing w:before="0" w:after="0" w:line="240" w:lineRule="auto"/>
              <w:rPr>
                <w:rFonts w:eastAsia="Calibri" w:cs="Arial"/>
                <w:color w:val="000000"/>
                <w:sz w:val="22"/>
              </w:rPr>
            </w:pPr>
            <w:r w:rsidRPr="0069218C">
              <w:rPr>
                <w:rFonts w:eastAsia="Calibri"/>
                <w:color w:val="000000"/>
                <w:sz w:val="22"/>
              </w:rPr>
              <w:t>Regulators</w:t>
            </w:r>
            <w:r w:rsidR="001842B8">
              <w:rPr>
                <w:rFonts w:eastAsia="Calibri"/>
                <w:color w:val="000000"/>
                <w:sz w:val="22"/>
              </w:rPr>
              <w:t xml:space="preserve"> (Inland Revenue)</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0152F3F" w14:textId="77777777" w:rsidR="00380585" w:rsidRPr="0069218C" w:rsidRDefault="001842B8" w:rsidP="001A03D1">
            <w:pPr>
              <w:pStyle w:val="TableText"/>
              <w:keepNext/>
              <w:spacing w:before="0" w:after="0" w:line="240" w:lineRule="auto"/>
              <w:rPr>
                <w:rFonts w:eastAsia="Calibri"/>
                <w:sz w:val="22"/>
              </w:rPr>
            </w:pPr>
            <w:r>
              <w:rPr>
                <w:rFonts w:eastAsia="Calibri"/>
                <w:sz w:val="22"/>
              </w:rPr>
              <w:t>The costs of implementing this change will form part of Inland Revenue’s Business Transformation programme and additional costs (above those already funded by Business Transformation) will not be incurred.</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7C26299" w14:textId="77777777" w:rsidR="00380585" w:rsidRPr="0069218C" w:rsidRDefault="001842B8" w:rsidP="001A03D1">
            <w:pPr>
              <w:pStyle w:val="TableText"/>
              <w:keepNext/>
              <w:spacing w:before="0" w:after="0" w:line="240" w:lineRule="auto"/>
              <w:rPr>
                <w:rFonts w:eastAsia="Calibri"/>
                <w:sz w:val="22"/>
              </w:rPr>
            </w:pPr>
            <w:r>
              <w:rPr>
                <w:rFonts w:eastAsia="Calibri"/>
                <w:sz w:val="22"/>
              </w:rPr>
              <w:t>Nil</w:t>
            </w:r>
          </w:p>
        </w:tc>
      </w:tr>
      <w:tr w:rsidR="00380585" w:rsidRPr="0069218C" w14:paraId="449B9A5C"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E0294FE" w14:textId="77777777" w:rsidR="00380585" w:rsidRPr="0069218C" w:rsidRDefault="00380585" w:rsidP="001A03D1">
            <w:pPr>
              <w:pStyle w:val="TableText"/>
              <w:keepNext/>
              <w:spacing w:before="0" w:after="0" w:line="240" w:lineRule="auto"/>
              <w:rPr>
                <w:rFonts w:eastAsia="Calibri"/>
                <w:color w:val="000000"/>
                <w:sz w:val="22"/>
              </w:rPr>
            </w:pPr>
            <w:r w:rsidRPr="0069218C">
              <w:rPr>
                <w:rFonts w:eastAsia="Calibri"/>
                <w:color w:val="000000"/>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41AAB91" w14:textId="77777777" w:rsidR="00380585" w:rsidRPr="0069218C" w:rsidRDefault="006453E7" w:rsidP="001A03D1">
            <w:pPr>
              <w:pStyle w:val="TableText"/>
              <w:keepNext/>
              <w:spacing w:before="0" w:after="0" w:line="240" w:lineRule="auto"/>
              <w:rPr>
                <w:rFonts w:eastAsia="Calibri"/>
                <w:sz w:val="22"/>
              </w:rPr>
            </w:pPr>
            <w:r>
              <w:rPr>
                <w:rFonts w:eastAsia="Calibri"/>
                <w:sz w:val="22"/>
              </w:rPr>
              <w:t>N/A</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E34A49A" w14:textId="77777777" w:rsidR="00380585" w:rsidRPr="0069218C" w:rsidRDefault="006453E7" w:rsidP="001A03D1">
            <w:pPr>
              <w:pStyle w:val="TableText"/>
              <w:keepNext/>
              <w:spacing w:before="0" w:after="0" w:line="240" w:lineRule="auto"/>
              <w:rPr>
                <w:rFonts w:eastAsia="Calibri"/>
                <w:sz w:val="22"/>
              </w:rPr>
            </w:pPr>
            <w:r>
              <w:rPr>
                <w:rFonts w:eastAsia="Calibri"/>
                <w:sz w:val="22"/>
              </w:rPr>
              <w:t>Nil</w:t>
            </w:r>
          </w:p>
        </w:tc>
      </w:tr>
      <w:tr w:rsidR="00380585" w:rsidRPr="0069218C" w14:paraId="1DE748C5"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07DA35A" w14:textId="77777777" w:rsidR="00380585" w:rsidRDefault="00380585" w:rsidP="001A03D1">
            <w:pPr>
              <w:pStyle w:val="TableText"/>
              <w:keepNext/>
              <w:spacing w:before="0" w:after="0" w:line="240" w:lineRule="auto"/>
              <w:rPr>
                <w:rFonts w:eastAsia="Calibri"/>
                <w:color w:val="000000"/>
                <w:sz w:val="22"/>
              </w:rPr>
            </w:pPr>
            <w:r w:rsidRPr="0069218C">
              <w:rPr>
                <w:rFonts w:eastAsia="Calibri"/>
                <w:color w:val="000000"/>
                <w:sz w:val="22"/>
              </w:rPr>
              <w:t xml:space="preserve">Other parties </w:t>
            </w:r>
          </w:p>
          <w:p w14:paraId="0EF064B4" w14:textId="77777777" w:rsidR="006453E7" w:rsidRPr="0069218C" w:rsidRDefault="006453E7" w:rsidP="001A03D1">
            <w:pPr>
              <w:pStyle w:val="TableText"/>
              <w:keepNext/>
              <w:spacing w:before="0" w:after="0" w:line="240" w:lineRule="auto"/>
              <w:rPr>
                <w:rFonts w:eastAsia="Calibri" w:cs="Arial"/>
                <w:color w:val="000000"/>
                <w:sz w:val="22"/>
              </w:rPr>
            </w:pPr>
            <w:r>
              <w:rPr>
                <w:rFonts w:eastAsia="Calibri"/>
                <w:color w:val="000000"/>
                <w:sz w:val="22"/>
              </w:rPr>
              <w:t>(Student Unions and other representative bodies)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753F8ED" w14:textId="77777777" w:rsidR="00380585" w:rsidRPr="0069218C" w:rsidRDefault="006453E7" w:rsidP="001A03D1">
            <w:pPr>
              <w:pStyle w:val="TableText"/>
              <w:keepNext/>
              <w:spacing w:before="0" w:after="0" w:line="240" w:lineRule="auto"/>
              <w:rPr>
                <w:rFonts w:eastAsia="Calibri"/>
                <w:sz w:val="22"/>
              </w:rPr>
            </w:pPr>
            <w:r>
              <w:rPr>
                <w:rFonts w:eastAsia="Calibri"/>
                <w:sz w:val="22"/>
              </w:rPr>
              <w:t>One-off cost. There will be costs for representative bodies in updating informational material on this change</w:t>
            </w:r>
            <w:r w:rsidR="001A03D1">
              <w:rPr>
                <w:rFonts w:eastAsia="Calibri"/>
                <w:sz w:val="22"/>
              </w:rPr>
              <w:t xml:space="preserve"> for students</w:t>
            </w:r>
            <w:r>
              <w:rPr>
                <w:rFonts w:eastAsia="Calibri"/>
                <w:sz w:val="22"/>
              </w:rPr>
              <w:t xml:space="preserve">.  However, this change would be included with other student loan </w:t>
            </w:r>
            <w:r>
              <w:rPr>
                <w:rFonts w:eastAsia="Calibri"/>
                <w:sz w:val="22"/>
              </w:rPr>
              <w:lastRenderedPageBreak/>
              <w:t>changes that will be occurring from 1</w:t>
            </w:r>
            <w:r w:rsidR="001A03D1">
              <w:rPr>
                <w:rFonts w:eastAsia="Calibri"/>
                <w:sz w:val="22"/>
              </w:rPr>
              <w:t xml:space="preserve"> April 2020.</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2B816408" w14:textId="77777777" w:rsidR="00380585" w:rsidRPr="0069218C" w:rsidRDefault="001A03D1" w:rsidP="001A03D1">
            <w:pPr>
              <w:pStyle w:val="TableText"/>
              <w:keepNext/>
              <w:spacing w:before="0" w:after="0" w:line="240" w:lineRule="auto"/>
              <w:rPr>
                <w:rFonts w:eastAsia="Calibri"/>
                <w:sz w:val="22"/>
              </w:rPr>
            </w:pPr>
            <w:r>
              <w:rPr>
                <w:rFonts w:eastAsia="Calibri"/>
                <w:sz w:val="22"/>
              </w:rPr>
              <w:lastRenderedPageBreak/>
              <w:t>Low</w:t>
            </w:r>
          </w:p>
        </w:tc>
      </w:tr>
      <w:tr w:rsidR="00380585" w:rsidRPr="0069218C" w14:paraId="3879ED8E"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CDF7A71" w14:textId="77777777" w:rsidR="00380585" w:rsidRPr="0069218C" w:rsidRDefault="00380585" w:rsidP="001A03D1">
            <w:pPr>
              <w:pStyle w:val="TableText"/>
              <w:keepNext/>
              <w:spacing w:before="0" w:after="0" w:line="240" w:lineRule="auto"/>
              <w:rPr>
                <w:rFonts w:eastAsia="Calibri"/>
                <w:b/>
                <w:sz w:val="22"/>
              </w:rPr>
            </w:pPr>
            <w:r w:rsidRPr="0069218C">
              <w:rPr>
                <w:rFonts w:eastAsia="Calibri"/>
                <w:b/>
                <w:sz w:val="22"/>
              </w:rPr>
              <w:t>Total Monetised Cost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46928D4" w14:textId="77777777" w:rsidR="00380585" w:rsidRPr="0069218C" w:rsidRDefault="00380585" w:rsidP="001A03D1">
            <w:pPr>
              <w:pStyle w:val="TableText"/>
              <w:keepNext/>
              <w:spacing w:before="0" w:after="0" w:line="240" w:lineRule="auto"/>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41501672" w14:textId="77777777" w:rsidR="00380585" w:rsidRPr="0069218C" w:rsidRDefault="001A03D1" w:rsidP="001A03D1">
            <w:pPr>
              <w:pStyle w:val="TableText"/>
              <w:keepNext/>
              <w:spacing w:before="0" w:after="0" w:line="240" w:lineRule="auto"/>
              <w:rPr>
                <w:rFonts w:eastAsia="Calibri"/>
                <w:sz w:val="22"/>
              </w:rPr>
            </w:pPr>
            <w:r>
              <w:rPr>
                <w:rFonts w:eastAsia="Calibri"/>
                <w:sz w:val="22"/>
              </w:rPr>
              <w:t>Low</w:t>
            </w:r>
          </w:p>
        </w:tc>
      </w:tr>
      <w:tr w:rsidR="00380585" w:rsidRPr="0069218C" w14:paraId="4577853D"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89B27C5" w14:textId="77777777" w:rsidR="00380585" w:rsidRPr="0069218C" w:rsidRDefault="00380585" w:rsidP="001A03D1">
            <w:pPr>
              <w:pStyle w:val="TableText"/>
              <w:keepNext/>
              <w:spacing w:before="0" w:after="0" w:line="240" w:lineRule="auto"/>
              <w:rPr>
                <w:rFonts w:eastAsia="Calibri"/>
                <w:b/>
                <w:sz w:val="22"/>
              </w:rPr>
            </w:pPr>
            <w:r w:rsidRPr="0069218C">
              <w:rPr>
                <w:rFonts w:eastAsia="Calibri"/>
                <w:b/>
                <w:sz w:val="22"/>
              </w:rPr>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3517979" w14:textId="77777777" w:rsidR="00380585" w:rsidRPr="0069218C" w:rsidRDefault="00380585" w:rsidP="001A03D1">
            <w:pPr>
              <w:pStyle w:val="TableText"/>
              <w:keepNext/>
              <w:spacing w:before="0" w:after="0" w:line="240" w:lineRule="auto"/>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7ADE6AE" w14:textId="77777777" w:rsidR="00380585" w:rsidRPr="001A03D1" w:rsidRDefault="001A03D1" w:rsidP="001A03D1">
            <w:pPr>
              <w:pStyle w:val="TableText"/>
              <w:keepNext/>
              <w:spacing w:before="0" w:after="0" w:line="240" w:lineRule="auto"/>
              <w:rPr>
                <w:rFonts w:eastAsia="Calibri"/>
                <w:sz w:val="22"/>
              </w:rPr>
            </w:pPr>
            <w:r w:rsidRPr="001A03D1">
              <w:rPr>
                <w:rFonts w:eastAsia="Calibri"/>
                <w:sz w:val="22"/>
              </w:rPr>
              <w:t>Low</w:t>
            </w:r>
          </w:p>
        </w:tc>
      </w:tr>
    </w:tbl>
    <w:p w14:paraId="153F61CF" w14:textId="77777777" w:rsidR="00380585" w:rsidRPr="0069218C" w:rsidRDefault="00380585" w:rsidP="001A03D1">
      <w:pPr>
        <w:pStyle w:val="space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380585" w:rsidRPr="0069218C" w14:paraId="51E6666E" w14:textId="77777777" w:rsidTr="00030EC1">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3B980436" w14:textId="77777777" w:rsidR="00380585" w:rsidRPr="000535CE" w:rsidRDefault="00380585" w:rsidP="001A03D1">
            <w:pPr>
              <w:spacing w:after="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04847BE9"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EF4697F" w14:textId="77777777" w:rsidR="00380585" w:rsidRDefault="00380585" w:rsidP="001A03D1">
            <w:pPr>
              <w:pStyle w:val="TableText"/>
              <w:spacing w:before="0" w:after="0" w:line="240" w:lineRule="auto"/>
              <w:rPr>
                <w:rFonts w:eastAsia="Calibri"/>
                <w:sz w:val="22"/>
              </w:rPr>
            </w:pPr>
            <w:r w:rsidRPr="0069218C">
              <w:rPr>
                <w:rFonts w:eastAsia="Calibri"/>
                <w:sz w:val="22"/>
              </w:rPr>
              <w:t>Regulated parties</w:t>
            </w:r>
          </w:p>
          <w:p w14:paraId="517FF751" w14:textId="77777777" w:rsidR="001A03D1" w:rsidRPr="0069218C" w:rsidRDefault="001A03D1" w:rsidP="001A03D1">
            <w:pPr>
              <w:pStyle w:val="TableText"/>
              <w:spacing w:before="0" w:after="0" w:line="240" w:lineRule="auto"/>
              <w:rPr>
                <w:rFonts w:eastAsia="Calibri"/>
                <w:sz w:val="22"/>
              </w:rPr>
            </w:pPr>
            <w:r>
              <w:rPr>
                <w:rFonts w:eastAsia="Calibri"/>
                <w:sz w:val="22"/>
              </w:rPr>
              <w:t>(borrowers with non-salary and wage income between $500 and $1500)</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53FB186" w14:textId="77777777" w:rsidR="001A03D1" w:rsidRDefault="001A03D1" w:rsidP="001A03D1">
            <w:pPr>
              <w:pStyle w:val="TableText"/>
              <w:keepNext/>
              <w:spacing w:before="0" w:after="0" w:line="240" w:lineRule="auto"/>
              <w:rPr>
                <w:rFonts w:eastAsia="Calibri"/>
                <w:sz w:val="22"/>
              </w:rPr>
            </w:pPr>
            <w:r>
              <w:rPr>
                <w:rFonts w:eastAsia="Calibri"/>
                <w:sz w:val="22"/>
              </w:rPr>
              <w:t>Borrowers who pay the increased repayment will</w:t>
            </w:r>
            <w:r w:rsidR="00CE3989">
              <w:rPr>
                <w:rFonts w:eastAsia="Calibri"/>
                <w:sz w:val="22"/>
              </w:rPr>
              <w:t xml:space="preserve"> slightly</w:t>
            </w:r>
            <w:r>
              <w:rPr>
                <w:rFonts w:eastAsia="Calibri"/>
                <w:sz w:val="22"/>
              </w:rPr>
              <w:t xml:space="preserve"> reduce the term of the loan.</w:t>
            </w:r>
          </w:p>
          <w:p w14:paraId="678A2603" w14:textId="77777777" w:rsidR="001A03D1" w:rsidRDefault="001A03D1" w:rsidP="001A03D1">
            <w:pPr>
              <w:pStyle w:val="TableText"/>
              <w:keepNext/>
              <w:spacing w:before="0" w:after="0" w:line="240" w:lineRule="auto"/>
              <w:rPr>
                <w:rFonts w:eastAsia="Calibri"/>
                <w:sz w:val="22"/>
              </w:rPr>
            </w:pPr>
          </w:p>
          <w:p w14:paraId="39E1341B" w14:textId="77777777" w:rsidR="001A03D1" w:rsidRDefault="001A03D1" w:rsidP="001A03D1">
            <w:pPr>
              <w:pStyle w:val="TableText"/>
              <w:keepNext/>
              <w:spacing w:before="0" w:after="0" w:line="240" w:lineRule="auto"/>
              <w:rPr>
                <w:rFonts w:eastAsia="Calibri"/>
                <w:sz w:val="22"/>
              </w:rPr>
            </w:pPr>
            <w:r>
              <w:rPr>
                <w:rFonts w:eastAsia="Calibri"/>
                <w:sz w:val="22"/>
              </w:rPr>
              <w:t xml:space="preserve">Borrowers who do not pay will have the amount added back to their loan.  </w:t>
            </w:r>
            <w:r w:rsidR="00CB1FD2">
              <w:rPr>
                <w:rFonts w:eastAsia="Calibri"/>
                <w:sz w:val="22"/>
              </w:rPr>
              <w:t>They will not incur any penalties for non-p</w:t>
            </w:r>
            <w:r w:rsidR="00D171C7">
              <w:rPr>
                <w:rFonts w:eastAsia="Calibri"/>
                <w:sz w:val="22"/>
              </w:rPr>
              <w:t>ayment and t</w:t>
            </w:r>
            <w:r>
              <w:rPr>
                <w:rFonts w:eastAsia="Calibri"/>
                <w:sz w:val="22"/>
              </w:rPr>
              <w:t>he term of their loan will remain same.</w:t>
            </w:r>
            <w:r w:rsidR="00CB1FD2">
              <w:rPr>
                <w:rFonts w:eastAsia="Calibri"/>
                <w:sz w:val="22"/>
              </w:rPr>
              <w:t xml:space="preserve"> </w:t>
            </w:r>
          </w:p>
          <w:p w14:paraId="0F98C2AF" w14:textId="77777777" w:rsidR="00BC617D" w:rsidRDefault="00BC617D" w:rsidP="001A03D1">
            <w:pPr>
              <w:pStyle w:val="TableText"/>
              <w:keepNext/>
              <w:spacing w:before="0" w:after="0" w:line="240" w:lineRule="auto"/>
              <w:rPr>
                <w:rFonts w:eastAsia="Calibri"/>
                <w:sz w:val="22"/>
              </w:rPr>
            </w:pPr>
          </w:p>
          <w:p w14:paraId="72716300" w14:textId="77777777" w:rsidR="00BC617D" w:rsidRDefault="00BC617D" w:rsidP="001A03D1">
            <w:pPr>
              <w:pStyle w:val="TableText"/>
              <w:keepNext/>
              <w:spacing w:before="0" w:after="0" w:line="240" w:lineRule="auto"/>
              <w:rPr>
                <w:rFonts w:eastAsia="Calibri"/>
                <w:sz w:val="22"/>
              </w:rPr>
            </w:pPr>
            <w:r>
              <w:rPr>
                <w:rFonts w:eastAsia="Calibri"/>
                <w:sz w:val="22"/>
              </w:rPr>
              <w:t>Increased equity between borrowers with non-salary and wage income and other borrowers which increases the integrity of the loan scheme.</w:t>
            </w:r>
          </w:p>
          <w:p w14:paraId="02EFF662" w14:textId="77777777" w:rsidR="00380585" w:rsidRPr="0069218C" w:rsidRDefault="00380585" w:rsidP="001A03D1">
            <w:pPr>
              <w:pStyle w:val="TableText"/>
              <w:spacing w:before="0" w:after="0" w:line="240" w:lineRule="auto"/>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ACBB8FC" w14:textId="77777777" w:rsidR="00380585" w:rsidRPr="0069218C" w:rsidRDefault="001A03D1" w:rsidP="001A03D1">
            <w:pPr>
              <w:pStyle w:val="TableText"/>
              <w:spacing w:before="0" w:after="0" w:line="240" w:lineRule="auto"/>
              <w:rPr>
                <w:rFonts w:eastAsia="Calibri"/>
                <w:sz w:val="22"/>
              </w:rPr>
            </w:pPr>
            <w:r>
              <w:rPr>
                <w:rFonts w:eastAsia="Calibri"/>
                <w:sz w:val="22"/>
              </w:rPr>
              <w:t>Low</w:t>
            </w:r>
          </w:p>
        </w:tc>
      </w:tr>
      <w:tr w:rsidR="00380585" w:rsidRPr="0069218C" w14:paraId="4C1E58CC"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9925463" w14:textId="77777777" w:rsidR="00380585" w:rsidRDefault="00380585" w:rsidP="001A03D1">
            <w:pPr>
              <w:pStyle w:val="TableText"/>
              <w:spacing w:before="0" w:after="0" w:line="240" w:lineRule="auto"/>
              <w:rPr>
                <w:rFonts w:eastAsia="Calibri"/>
                <w:sz w:val="22"/>
              </w:rPr>
            </w:pPr>
            <w:r w:rsidRPr="0069218C">
              <w:rPr>
                <w:rFonts w:eastAsia="Calibri"/>
                <w:sz w:val="22"/>
              </w:rPr>
              <w:t>Regulators</w:t>
            </w:r>
          </w:p>
          <w:p w14:paraId="2DBC4364" w14:textId="77777777" w:rsidR="001A03D1" w:rsidRPr="0069218C" w:rsidRDefault="001A03D1" w:rsidP="001A03D1">
            <w:pPr>
              <w:pStyle w:val="TableText"/>
              <w:spacing w:before="0" w:after="0" w:line="240" w:lineRule="auto"/>
              <w:rPr>
                <w:rFonts w:eastAsia="Calibri"/>
                <w:sz w:val="22"/>
              </w:rPr>
            </w:pPr>
            <w:r>
              <w:rPr>
                <w:rFonts w:eastAsia="Calibri"/>
                <w:sz w:val="22"/>
              </w:rPr>
              <w:t>(Inland Revenue)</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A721C9C" w14:textId="77777777" w:rsidR="00380585" w:rsidRPr="0069218C" w:rsidRDefault="001A03D1" w:rsidP="001A03D1">
            <w:pPr>
              <w:pStyle w:val="TableText"/>
              <w:spacing w:before="0" w:after="0" w:line="240" w:lineRule="auto"/>
              <w:rPr>
                <w:rFonts w:eastAsia="Calibri"/>
                <w:sz w:val="22"/>
              </w:rPr>
            </w:pPr>
            <w:r>
              <w:rPr>
                <w:rFonts w:eastAsia="Calibri"/>
                <w:sz w:val="22"/>
              </w:rPr>
              <w:t xml:space="preserve">Consistency of loan scheme with way income tax is administered. </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76C058DF" w14:textId="77777777" w:rsidR="00380585" w:rsidRPr="0069218C" w:rsidRDefault="001A03D1" w:rsidP="001A03D1">
            <w:pPr>
              <w:pStyle w:val="TableText"/>
              <w:spacing w:before="0" w:after="0" w:line="240" w:lineRule="auto"/>
              <w:rPr>
                <w:rFonts w:eastAsia="Calibri"/>
                <w:sz w:val="22"/>
              </w:rPr>
            </w:pPr>
            <w:r>
              <w:rPr>
                <w:rFonts w:eastAsia="Calibri"/>
                <w:sz w:val="22"/>
              </w:rPr>
              <w:t>Low</w:t>
            </w:r>
          </w:p>
        </w:tc>
      </w:tr>
      <w:tr w:rsidR="00380585" w:rsidRPr="0069218C" w14:paraId="10197F50"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34178A1" w14:textId="77777777" w:rsidR="00380585" w:rsidRPr="0069218C" w:rsidRDefault="00380585" w:rsidP="001A03D1">
            <w:pPr>
              <w:pStyle w:val="TableText"/>
              <w:spacing w:before="0" w:after="0" w:line="240" w:lineRule="auto"/>
              <w:rPr>
                <w:rFonts w:eastAsia="Calibri"/>
                <w:sz w:val="22"/>
              </w:rPr>
            </w:pPr>
            <w:r w:rsidRPr="0069218C">
              <w:rPr>
                <w:rFonts w:eastAsia="Calibri"/>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1BD8F41" w14:textId="77777777" w:rsidR="00380585" w:rsidRPr="0069218C" w:rsidRDefault="001A03D1" w:rsidP="001A03D1">
            <w:pPr>
              <w:pStyle w:val="TableText"/>
              <w:spacing w:before="0" w:after="0" w:line="240" w:lineRule="auto"/>
              <w:rPr>
                <w:rFonts w:eastAsia="Calibri"/>
                <w:sz w:val="22"/>
              </w:rPr>
            </w:pPr>
            <w:r>
              <w:rPr>
                <w:rFonts w:eastAsia="Calibri"/>
                <w:sz w:val="22"/>
              </w:rPr>
              <w:t>N/A</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202D977E" w14:textId="77777777" w:rsidR="00380585" w:rsidRPr="0069218C" w:rsidRDefault="001A03D1" w:rsidP="001A03D1">
            <w:pPr>
              <w:pStyle w:val="TableText"/>
              <w:spacing w:before="0" w:after="0" w:line="240" w:lineRule="auto"/>
              <w:rPr>
                <w:rFonts w:eastAsia="Calibri"/>
                <w:sz w:val="22"/>
              </w:rPr>
            </w:pPr>
            <w:r>
              <w:rPr>
                <w:rFonts w:eastAsia="Calibri"/>
                <w:sz w:val="22"/>
              </w:rPr>
              <w:t>N/A</w:t>
            </w:r>
          </w:p>
        </w:tc>
      </w:tr>
      <w:tr w:rsidR="00380585" w:rsidRPr="0069218C" w14:paraId="5D8BCC1D"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D35DEEE" w14:textId="77777777" w:rsidR="00380585" w:rsidRPr="0069218C" w:rsidRDefault="00380585" w:rsidP="001A03D1">
            <w:pPr>
              <w:pStyle w:val="TableText"/>
              <w:spacing w:before="0" w:after="0" w:line="240" w:lineRule="auto"/>
              <w:rPr>
                <w:rFonts w:eastAsia="Calibri"/>
                <w:sz w:val="22"/>
              </w:rPr>
            </w:pPr>
            <w:r w:rsidRPr="0069218C">
              <w:rPr>
                <w:rFonts w:eastAsia="Calibri"/>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6B61325" w14:textId="77777777" w:rsidR="00380585" w:rsidRPr="0069218C" w:rsidRDefault="001A03D1" w:rsidP="001A03D1">
            <w:pPr>
              <w:pStyle w:val="TableText"/>
              <w:spacing w:before="0" w:after="0" w:line="240" w:lineRule="auto"/>
              <w:rPr>
                <w:rFonts w:eastAsia="Calibri"/>
                <w:sz w:val="22"/>
              </w:rPr>
            </w:pPr>
            <w:r>
              <w:rPr>
                <w:rFonts w:eastAsia="Calibri"/>
                <w:sz w:val="22"/>
              </w:rPr>
              <w:t>N/A</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2209659C" w14:textId="77777777" w:rsidR="00380585" w:rsidRPr="0069218C" w:rsidRDefault="001A03D1" w:rsidP="001A03D1">
            <w:pPr>
              <w:pStyle w:val="TableText"/>
              <w:spacing w:before="0" w:after="0" w:line="240" w:lineRule="auto"/>
              <w:rPr>
                <w:rFonts w:eastAsia="Calibri"/>
                <w:sz w:val="22"/>
              </w:rPr>
            </w:pPr>
            <w:r>
              <w:rPr>
                <w:rFonts w:eastAsia="Calibri"/>
                <w:sz w:val="22"/>
              </w:rPr>
              <w:t>N/A</w:t>
            </w:r>
          </w:p>
        </w:tc>
      </w:tr>
      <w:tr w:rsidR="00380585" w:rsidRPr="0069218C" w14:paraId="6BF0CA09"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7226873" w14:textId="77777777" w:rsidR="00380585" w:rsidRPr="0069218C" w:rsidRDefault="00380585" w:rsidP="001A03D1">
            <w:pPr>
              <w:pStyle w:val="TableText"/>
              <w:spacing w:before="0" w:after="0" w:line="240" w:lineRule="auto"/>
              <w:rPr>
                <w:rFonts w:eastAsia="Calibri"/>
                <w:b/>
                <w:sz w:val="22"/>
              </w:rPr>
            </w:pPr>
            <w:r w:rsidRPr="0069218C">
              <w:rPr>
                <w:rFonts w:eastAsia="Calibri"/>
                <w:b/>
                <w:sz w:val="22"/>
              </w:rPr>
              <w:t xml:space="preserve">Total </w:t>
            </w:r>
            <w:r w:rsidR="000976C8" w:rsidRPr="0069218C">
              <w:rPr>
                <w:rFonts w:eastAsia="Calibri"/>
                <w:b/>
                <w:sz w:val="22"/>
              </w:rPr>
              <w:t>Monetised Benefit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E0DDD8A" w14:textId="77777777" w:rsidR="00380585" w:rsidRPr="0069218C" w:rsidRDefault="00380585" w:rsidP="001A03D1">
            <w:pPr>
              <w:pStyle w:val="TableText"/>
              <w:spacing w:before="0" w:after="0" w:line="240" w:lineRule="auto"/>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54F8E833" w14:textId="77777777" w:rsidR="00380585" w:rsidRPr="0069218C" w:rsidRDefault="00380585" w:rsidP="001A03D1">
            <w:pPr>
              <w:pStyle w:val="TableText"/>
              <w:spacing w:before="0" w:after="0" w:line="240" w:lineRule="auto"/>
              <w:rPr>
                <w:rFonts w:eastAsia="Calibri"/>
                <w:sz w:val="22"/>
              </w:rPr>
            </w:pPr>
          </w:p>
        </w:tc>
      </w:tr>
      <w:tr w:rsidR="00380585" w:rsidRPr="0069218C" w14:paraId="1D85B66A"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F83AF7D" w14:textId="77777777" w:rsidR="00380585" w:rsidRPr="0069218C" w:rsidRDefault="00380585" w:rsidP="001A03D1">
            <w:pPr>
              <w:pStyle w:val="TableText"/>
              <w:spacing w:before="0" w:after="0" w:line="240" w:lineRule="auto"/>
              <w:rPr>
                <w:rFonts w:eastAsia="Calibri"/>
                <w:b/>
                <w:sz w:val="22"/>
              </w:rPr>
            </w:pPr>
            <w:r w:rsidRPr="0069218C">
              <w:rPr>
                <w:rFonts w:eastAsia="Calibri"/>
                <w:b/>
                <w:sz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9EFF765" w14:textId="77777777" w:rsidR="00380585" w:rsidRPr="0069218C" w:rsidRDefault="00380585" w:rsidP="001A03D1">
            <w:pPr>
              <w:pStyle w:val="TableText"/>
              <w:spacing w:before="0" w:after="0" w:line="240" w:lineRule="auto"/>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15F2C53F" w14:textId="77777777" w:rsidR="00380585" w:rsidRPr="001A03D1" w:rsidRDefault="001A03D1" w:rsidP="001A03D1">
            <w:pPr>
              <w:pStyle w:val="TableText"/>
              <w:spacing w:before="0" w:after="0" w:line="240" w:lineRule="auto"/>
              <w:rPr>
                <w:rFonts w:eastAsia="Calibri"/>
                <w:sz w:val="22"/>
              </w:rPr>
            </w:pPr>
            <w:r>
              <w:rPr>
                <w:rFonts w:eastAsia="Calibri"/>
                <w:sz w:val="22"/>
              </w:rPr>
              <w:t>L</w:t>
            </w:r>
            <w:r w:rsidRPr="001A03D1">
              <w:rPr>
                <w:rFonts w:eastAsia="Calibri"/>
                <w:sz w:val="22"/>
              </w:rPr>
              <w:t>ow</w:t>
            </w:r>
          </w:p>
        </w:tc>
      </w:tr>
    </w:tbl>
    <w:p w14:paraId="2DB3C0A6" w14:textId="77777777" w:rsidR="00C77099" w:rsidRDefault="008F44D7" w:rsidP="008F44D7">
      <w:pPr>
        <w:pStyle w:val="Heading3"/>
      </w:pPr>
      <w:r>
        <w:t>Withholding changes</w:t>
      </w: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8F44D7" w:rsidRPr="0069218C" w14:paraId="654DD141" w14:textId="77777777" w:rsidTr="00DA0E15">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14:paraId="63F2665C" w14:textId="77777777" w:rsidR="008F44D7" w:rsidRPr="0069218C" w:rsidRDefault="008F44D7" w:rsidP="00DA0E15">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8F44D7" w:rsidRPr="0069218C" w14:paraId="66082790"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756191C9" w14:textId="77777777" w:rsidR="008F44D7" w:rsidRPr="0069218C" w:rsidRDefault="008F44D7" w:rsidP="00DA0E15">
            <w:pPr>
              <w:pStyle w:val="TableText"/>
              <w:keepNext/>
              <w:spacing w:before="0" w:after="0" w:line="240" w:lineRule="auto"/>
              <w:rPr>
                <w:rFonts w:eastAsia="Calibri"/>
                <w:sz w:val="22"/>
              </w:rPr>
            </w:pPr>
            <w:r w:rsidRPr="0069218C">
              <w:rPr>
                <w:rFonts w:eastAsia="Calibri"/>
                <w:sz w:val="22"/>
              </w:rPr>
              <w:t>Regulated parties</w:t>
            </w:r>
            <w:r>
              <w:rPr>
                <w:rFonts w:eastAsia="Calibri"/>
                <w:sz w:val="22"/>
              </w:rPr>
              <w:t xml:space="preserve"> (borrowers </w:t>
            </w:r>
            <w:r w:rsidR="00E82066">
              <w:rPr>
                <w:rFonts w:eastAsia="Calibri"/>
                <w:sz w:val="22"/>
              </w:rPr>
              <w:t>earning these types of income and their employers</w:t>
            </w:r>
            <w:r>
              <w:rPr>
                <w:rFonts w:eastAsia="Calibri"/>
                <w:sz w:val="22"/>
              </w:rPr>
              <w: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B22D0CB" w14:textId="77777777" w:rsidR="008F44D7" w:rsidRDefault="008F44D7" w:rsidP="00DA0E15">
            <w:pPr>
              <w:pStyle w:val="TableText"/>
              <w:keepNext/>
              <w:spacing w:before="0" w:after="0" w:line="240" w:lineRule="auto"/>
              <w:rPr>
                <w:rFonts w:eastAsia="Calibri"/>
                <w:sz w:val="22"/>
              </w:rPr>
            </w:pPr>
            <w:r w:rsidRPr="001A03D1">
              <w:rPr>
                <w:rFonts w:eastAsia="Calibri"/>
                <w:b/>
                <w:sz w:val="22"/>
              </w:rPr>
              <w:t>Compliance costs</w:t>
            </w:r>
            <w:r>
              <w:rPr>
                <w:rFonts w:eastAsia="Calibri"/>
                <w:sz w:val="22"/>
              </w:rPr>
              <w:t>:</w:t>
            </w:r>
          </w:p>
          <w:p w14:paraId="41B0D07D" w14:textId="77777777" w:rsidR="008F44D7" w:rsidRDefault="00E82066" w:rsidP="00DA0E15">
            <w:pPr>
              <w:pStyle w:val="TableText"/>
              <w:keepNext/>
              <w:spacing w:before="0" w:after="0" w:line="240" w:lineRule="auto"/>
              <w:rPr>
                <w:rFonts w:eastAsia="Calibri"/>
                <w:sz w:val="22"/>
              </w:rPr>
            </w:pPr>
            <w:r>
              <w:rPr>
                <w:rFonts w:eastAsia="Calibri"/>
                <w:sz w:val="22"/>
              </w:rPr>
              <w:t xml:space="preserve">The changes </w:t>
            </w:r>
            <w:r w:rsidR="00FB6DC8">
              <w:rPr>
                <w:rFonts w:eastAsia="Calibri"/>
                <w:sz w:val="22"/>
              </w:rPr>
              <w:t>proposed to be</w:t>
            </w:r>
            <w:r>
              <w:rPr>
                <w:rFonts w:eastAsia="Calibri"/>
                <w:sz w:val="22"/>
              </w:rPr>
              <w:t xml:space="preserve"> repealed would have </w:t>
            </w:r>
            <w:r w:rsidR="00FB6DC8">
              <w:rPr>
                <w:rFonts w:eastAsia="Calibri"/>
                <w:sz w:val="22"/>
              </w:rPr>
              <w:t>imposed compliance costs on employers and potentially reduced compliance costs for borrowers</w:t>
            </w:r>
            <w:r>
              <w:rPr>
                <w:rFonts w:eastAsia="Calibri"/>
                <w:sz w:val="22"/>
              </w:rPr>
              <w:t>.</w:t>
            </w:r>
            <w:r w:rsidR="00FB6DC8">
              <w:rPr>
                <w:rFonts w:eastAsia="Calibri"/>
                <w:sz w:val="22"/>
              </w:rPr>
              <w:t xml:space="preserve"> Repealing these changes would lower compliance costs overall. </w:t>
            </w:r>
          </w:p>
          <w:p w14:paraId="373B35F6" w14:textId="77777777" w:rsidR="008F44D7" w:rsidRDefault="008F44D7" w:rsidP="00DA0E15">
            <w:pPr>
              <w:pStyle w:val="TableText"/>
              <w:keepNext/>
              <w:spacing w:before="0" w:after="0" w:line="240" w:lineRule="auto"/>
              <w:rPr>
                <w:rFonts w:eastAsia="Calibri"/>
                <w:sz w:val="22"/>
              </w:rPr>
            </w:pPr>
          </w:p>
          <w:p w14:paraId="7591DD14" w14:textId="77777777" w:rsidR="008F44D7" w:rsidRPr="001A03D1" w:rsidRDefault="008F44D7" w:rsidP="00DA0E15">
            <w:pPr>
              <w:pStyle w:val="TableText"/>
              <w:keepNext/>
              <w:spacing w:before="0" w:after="0" w:line="240" w:lineRule="auto"/>
              <w:rPr>
                <w:rFonts w:eastAsia="Calibri"/>
                <w:b/>
                <w:sz w:val="22"/>
              </w:rPr>
            </w:pPr>
            <w:r w:rsidRPr="001A03D1">
              <w:rPr>
                <w:rFonts w:eastAsia="Calibri"/>
                <w:b/>
                <w:sz w:val="22"/>
              </w:rPr>
              <w:t>Financial Impact:</w:t>
            </w:r>
          </w:p>
          <w:p w14:paraId="77DB49BD" w14:textId="77777777" w:rsidR="008F44D7" w:rsidRPr="0069218C" w:rsidRDefault="00E82066" w:rsidP="00DA0E15">
            <w:pPr>
              <w:pStyle w:val="TableText"/>
              <w:keepNext/>
              <w:spacing w:before="0" w:after="0" w:line="240" w:lineRule="auto"/>
              <w:rPr>
                <w:rFonts w:eastAsia="Calibri"/>
                <w:sz w:val="22"/>
              </w:rPr>
            </w:pPr>
            <w:r>
              <w:rPr>
                <w:rFonts w:eastAsia="Calibri"/>
                <w:sz w:val="22"/>
              </w:rPr>
              <w:t>As the change preserves current arrangements, there is not expected to be any financial impact</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2A8D311" w14:textId="77777777" w:rsidR="008F44D7" w:rsidRDefault="00E82066" w:rsidP="00DA0E15">
            <w:pPr>
              <w:pStyle w:val="TableText"/>
              <w:keepNext/>
              <w:spacing w:before="0" w:after="0" w:line="240" w:lineRule="auto"/>
              <w:rPr>
                <w:rFonts w:eastAsia="Calibri"/>
                <w:sz w:val="22"/>
              </w:rPr>
            </w:pPr>
            <w:r>
              <w:rPr>
                <w:rFonts w:eastAsia="Calibri"/>
                <w:sz w:val="22"/>
              </w:rPr>
              <w:t>Low</w:t>
            </w:r>
          </w:p>
          <w:p w14:paraId="11B61350" w14:textId="77777777" w:rsidR="008F44D7" w:rsidRDefault="008F44D7" w:rsidP="00DA0E15">
            <w:pPr>
              <w:pStyle w:val="TableText"/>
              <w:keepNext/>
              <w:spacing w:before="0" w:after="0" w:line="240" w:lineRule="auto"/>
              <w:rPr>
                <w:rFonts w:eastAsia="Calibri"/>
                <w:sz w:val="22"/>
              </w:rPr>
            </w:pPr>
          </w:p>
          <w:p w14:paraId="110F9944" w14:textId="77777777" w:rsidR="008F44D7" w:rsidRDefault="008F44D7" w:rsidP="00DA0E15">
            <w:pPr>
              <w:pStyle w:val="TableText"/>
              <w:keepNext/>
              <w:spacing w:before="0" w:after="0" w:line="240" w:lineRule="auto"/>
              <w:rPr>
                <w:rFonts w:eastAsia="Calibri"/>
                <w:sz w:val="22"/>
              </w:rPr>
            </w:pPr>
          </w:p>
          <w:p w14:paraId="1E7777D5" w14:textId="77777777" w:rsidR="008F44D7" w:rsidRDefault="008F44D7" w:rsidP="00DA0E15">
            <w:pPr>
              <w:pStyle w:val="TableText"/>
              <w:keepNext/>
              <w:spacing w:before="0" w:after="0" w:line="240" w:lineRule="auto"/>
              <w:rPr>
                <w:rFonts w:eastAsia="Calibri"/>
                <w:sz w:val="22"/>
              </w:rPr>
            </w:pPr>
          </w:p>
          <w:p w14:paraId="683CEDB5" w14:textId="77777777" w:rsidR="008F44D7" w:rsidRDefault="008F44D7" w:rsidP="00DA0E15">
            <w:pPr>
              <w:pStyle w:val="TableText"/>
              <w:keepNext/>
              <w:spacing w:before="0" w:after="0" w:line="240" w:lineRule="auto"/>
              <w:rPr>
                <w:rFonts w:eastAsia="Calibri"/>
                <w:sz w:val="22"/>
              </w:rPr>
            </w:pPr>
          </w:p>
          <w:p w14:paraId="047835F7" w14:textId="77777777" w:rsidR="00E82066" w:rsidRDefault="00E82066" w:rsidP="00DA0E15">
            <w:pPr>
              <w:pStyle w:val="TableText"/>
              <w:keepNext/>
              <w:spacing w:before="0" w:after="0" w:line="240" w:lineRule="auto"/>
              <w:rPr>
                <w:rFonts w:eastAsia="Calibri"/>
                <w:sz w:val="22"/>
              </w:rPr>
            </w:pPr>
          </w:p>
          <w:p w14:paraId="12BAE5DA" w14:textId="77777777" w:rsidR="00E82066" w:rsidRDefault="00E82066" w:rsidP="00DA0E15">
            <w:pPr>
              <w:pStyle w:val="TableText"/>
              <w:keepNext/>
              <w:spacing w:before="0" w:after="0" w:line="240" w:lineRule="auto"/>
              <w:rPr>
                <w:rFonts w:eastAsia="Calibri"/>
                <w:sz w:val="22"/>
              </w:rPr>
            </w:pPr>
          </w:p>
          <w:p w14:paraId="27109A9D" w14:textId="77777777" w:rsidR="00E82066" w:rsidRDefault="00E82066" w:rsidP="00DA0E15">
            <w:pPr>
              <w:pStyle w:val="TableText"/>
              <w:keepNext/>
              <w:spacing w:before="0" w:after="0" w:line="240" w:lineRule="auto"/>
              <w:rPr>
                <w:rFonts w:eastAsia="Calibri"/>
                <w:sz w:val="22"/>
              </w:rPr>
            </w:pPr>
          </w:p>
          <w:p w14:paraId="43083846" w14:textId="77777777" w:rsidR="00E82066" w:rsidRDefault="00E82066" w:rsidP="00DA0E15">
            <w:pPr>
              <w:pStyle w:val="TableText"/>
              <w:keepNext/>
              <w:spacing w:before="0" w:after="0" w:line="240" w:lineRule="auto"/>
              <w:rPr>
                <w:rFonts w:eastAsia="Calibri"/>
                <w:sz w:val="22"/>
              </w:rPr>
            </w:pPr>
          </w:p>
          <w:p w14:paraId="2D63BAF5" w14:textId="77777777" w:rsidR="008F44D7" w:rsidRPr="0069218C" w:rsidRDefault="00E82066" w:rsidP="00DA0E15">
            <w:pPr>
              <w:pStyle w:val="TableText"/>
              <w:keepNext/>
              <w:spacing w:before="0" w:after="0" w:line="240" w:lineRule="auto"/>
              <w:rPr>
                <w:rFonts w:eastAsia="Calibri"/>
                <w:sz w:val="22"/>
              </w:rPr>
            </w:pPr>
            <w:r>
              <w:rPr>
                <w:rFonts w:eastAsia="Calibri"/>
                <w:sz w:val="22"/>
              </w:rPr>
              <w:t>Nil</w:t>
            </w:r>
          </w:p>
        </w:tc>
      </w:tr>
      <w:tr w:rsidR="008F44D7" w:rsidRPr="0069218C" w14:paraId="5B92A949"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1E2A1FE" w14:textId="77777777" w:rsidR="008F44D7" w:rsidRPr="0069218C" w:rsidRDefault="008F44D7" w:rsidP="00DA0E15">
            <w:pPr>
              <w:pStyle w:val="TableText"/>
              <w:keepNext/>
              <w:spacing w:before="0" w:after="0" w:line="240" w:lineRule="auto"/>
              <w:rPr>
                <w:rFonts w:eastAsia="Calibri" w:cs="Arial"/>
                <w:color w:val="000000"/>
                <w:sz w:val="22"/>
              </w:rPr>
            </w:pPr>
            <w:r w:rsidRPr="0069218C">
              <w:rPr>
                <w:rFonts w:eastAsia="Calibri"/>
                <w:color w:val="000000"/>
                <w:sz w:val="22"/>
              </w:rPr>
              <w:t>Regulators</w:t>
            </w:r>
            <w:r>
              <w:rPr>
                <w:rFonts w:eastAsia="Calibri"/>
                <w:color w:val="000000"/>
                <w:sz w:val="22"/>
              </w:rPr>
              <w:t xml:space="preserve"> (Inland Revenue)</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E6D6F94" w14:textId="77777777" w:rsidR="008F44D7" w:rsidRPr="0069218C" w:rsidRDefault="00E82066" w:rsidP="00DA0E15">
            <w:pPr>
              <w:pStyle w:val="TableText"/>
              <w:keepNext/>
              <w:spacing w:before="0" w:after="0" w:line="240" w:lineRule="auto"/>
              <w:rPr>
                <w:rFonts w:eastAsia="Calibri"/>
                <w:sz w:val="22"/>
              </w:rPr>
            </w:pPr>
            <w:r>
              <w:rPr>
                <w:rFonts w:eastAsia="Calibri"/>
                <w:sz w:val="22"/>
              </w:rPr>
              <w:t>As the change preserves current arrangements there should not be significant additional costs to repealing the change.</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75E6698" w14:textId="77777777" w:rsidR="008F44D7" w:rsidRPr="0069218C" w:rsidRDefault="00E82066" w:rsidP="00DA0E15">
            <w:pPr>
              <w:pStyle w:val="TableText"/>
              <w:keepNext/>
              <w:spacing w:before="0" w:after="0" w:line="240" w:lineRule="auto"/>
              <w:rPr>
                <w:rFonts w:eastAsia="Calibri"/>
                <w:sz w:val="22"/>
              </w:rPr>
            </w:pPr>
            <w:r>
              <w:rPr>
                <w:rFonts w:eastAsia="Calibri"/>
                <w:sz w:val="22"/>
              </w:rPr>
              <w:t>Low</w:t>
            </w:r>
          </w:p>
        </w:tc>
      </w:tr>
      <w:tr w:rsidR="008F44D7" w:rsidRPr="0069218C" w14:paraId="3A837B88"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4754E15" w14:textId="77777777" w:rsidR="008F44D7" w:rsidRPr="0069218C" w:rsidRDefault="008F44D7" w:rsidP="00DA0E15">
            <w:pPr>
              <w:pStyle w:val="TableText"/>
              <w:keepNext/>
              <w:spacing w:before="0" w:after="0" w:line="240" w:lineRule="auto"/>
              <w:rPr>
                <w:rFonts w:eastAsia="Calibri"/>
                <w:color w:val="000000"/>
                <w:sz w:val="22"/>
              </w:rPr>
            </w:pPr>
            <w:r w:rsidRPr="0069218C">
              <w:rPr>
                <w:rFonts w:eastAsia="Calibri"/>
                <w:color w:val="000000"/>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3413912" w14:textId="77777777" w:rsidR="008F44D7" w:rsidRPr="0069218C" w:rsidRDefault="008F44D7" w:rsidP="00DA0E15">
            <w:pPr>
              <w:pStyle w:val="TableText"/>
              <w:keepNext/>
              <w:spacing w:before="0" w:after="0" w:line="240" w:lineRule="auto"/>
              <w:rPr>
                <w:rFonts w:eastAsia="Calibri"/>
                <w:sz w:val="22"/>
              </w:rPr>
            </w:pPr>
            <w:r>
              <w:rPr>
                <w:rFonts w:eastAsia="Calibri"/>
                <w:sz w:val="22"/>
              </w:rPr>
              <w:t>N/A</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8373F48" w14:textId="77777777" w:rsidR="008F44D7" w:rsidRPr="0069218C" w:rsidRDefault="008F44D7" w:rsidP="00DA0E15">
            <w:pPr>
              <w:pStyle w:val="TableText"/>
              <w:keepNext/>
              <w:spacing w:before="0" w:after="0" w:line="240" w:lineRule="auto"/>
              <w:rPr>
                <w:rFonts w:eastAsia="Calibri"/>
                <w:sz w:val="22"/>
              </w:rPr>
            </w:pPr>
            <w:r>
              <w:rPr>
                <w:rFonts w:eastAsia="Calibri"/>
                <w:sz w:val="22"/>
              </w:rPr>
              <w:t>Nil</w:t>
            </w:r>
          </w:p>
        </w:tc>
      </w:tr>
      <w:tr w:rsidR="008F44D7" w:rsidRPr="0069218C" w14:paraId="2245666D"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126EA18" w14:textId="77777777" w:rsidR="008F44D7" w:rsidRPr="00E82066" w:rsidRDefault="008F44D7" w:rsidP="00DA0E15">
            <w:pPr>
              <w:pStyle w:val="TableText"/>
              <w:keepNext/>
              <w:spacing w:before="0" w:after="0" w:line="240" w:lineRule="auto"/>
              <w:rPr>
                <w:rFonts w:eastAsia="Calibri"/>
                <w:color w:val="000000"/>
                <w:sz w:val="22"/>
              </w:rPr>
            </w:pPr>
            <w:r w:rsidRPr="0069218C">
              <w:rPr>
                <w:rFonts w:eastAsia="Calibri"/>
                <w:color w:val="000000"/>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CEF84D2" w14:textId="77777777" w:rsidR="008F44D7" w:rsidRPr="0069218C" w:rsidRDefault="00E82066" w:rsidP="00DA0E15">
            <w:pPr>
              <w:pStyle w:val="TableText"/>
              <w:keepNext/>
              <w:spacing w:before="0" w:after="0" w:line="240" w:lineRule="auto"/>
              <w:rPr>
                <w:rFonts w:eastAsia="Calibri"/>
                <w:sz w:val="22"/>
              </w:rPr>
            </w:pPr>
            <w:r>
              <w:rPr>
                <w:rFonts w:eastAsia="Calibri"/>
                <w:sz w:val="22"/>
              </w:rPr>
              <w:t>N/A</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BC7278E" w14:textId="77777777" w:rsidR="008F44D7" w:rsidRPr="0069218C" w:rsidRDefault="00E82066" w:rsidP="00DA0E15">
            <w:pPr>
              <w:pStyle w:val="TableText"/>
              <w:keepNext/>
              <w:spacing w:before="0" w:after="0" w:line="240" w:lineRule="auto"/>
              <w:rPr>
                <w:rFonts w:eastAsia="Calibri"/>
                <w:sz w:val="22"/>
              </w:rPr>
            </w:pPr>
            <w:r>
              <w:rPr>
                <w:rFonts w:eastAsia="Calibri"/>
                <w:sz w:val="22"/>
              </w:rPr>
              <w:t>Nil</w:t>
            </w:r>
          </w:p>
        </w:tc>
      </w:tr>
      <w:tr w:rsidR="008F44D7" w:rsidRPr="0069218C" w14:paraId="7B641C21"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B77368B" w14:textId="77777777" w:rsidR="008F44D7" w:rsidRPr="0069218C" w:rsidRDefault="008F44D7" w:rsidP="00DA0E15">
            <w:pPr>
              <w:pStyle w:val="TableText"/>
              <w:keepNext/>
              <w:spacing w:before="0" w:after="0" w:line="240" w:lineRule="auto"/>
              <w:rPr>
                <w:rFonts w:eastAsia="Calibri"/>
                <w:b/>
                <w:sz w:val="22"/>
              </w:rPr>
            </w:pPr>
            <w:r w:rsidRPr="0069218C">
              <w:rPr>
                <w:rFonts w:eastAsia="Calibri"/>
                <w:b/>
                <w:sz w:val="22"/>
              </w:rPr>
              <w:t>Total Monetised Cost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7744F43" w14:textId="77777777" w:rsidR="008F44D7" w:rsidRPr="0069218C" w:rsidRDefault="008F44D7" w:rsidP="00DA0E15">
            <w:pPr>
              <w:pStyle w:val="TableText"/>
              <w:keepNext/>
              <w:spacing w:before="0" w:after="0" w:line="240" w:lineRule="auto"/>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14116BE0" w14:textId="77777777" w:rsidR="008F44D7" w:rsidRPr="0069218C" w:rsidRDefault="008F44D7" w:rsidP="00DA0E15">
            <w:pPr>
              <w:pStyle w:val="TableText"/>
              <w:keepNext/>
              <w:spacing w:before="0" w:after="0" w:line="240" w:lineRule="auto"/>
              <w:rPr>
                <w:rFonts w:eastAsia="Calibri"/>
                <w:sz w:val="22"/>
              </w:rPr>
            </w:pPr>
            <w:r>
              <w:rPr>
                <w:rFonts w:eastAsia="Calibri"/>
                <w:sz w:val="22"/>
              </w:rPr>
              <w:t>Low</w:t>
            </w:r>
          </w:p>
        </w:tc>
      </w:tr>
      <w:tr w:rsidR="008F44D7" w:rsidRPr="0069218C" w14:paraId="43520C8F"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A982130" w14:textId="77777777" w:rsidR="008F44D7" w:rsidRPr="0069218C" w:rsidRDefault="008F44D7" w:rsidP="00DA0E15">
            <w:pPr>
              <w:pStyle w:val="TableText"/>
              <w:keepNext/>
              <w:spacing w:before="0" w:after="0" w:line="240" w:lineRule="auto"/>
              <w:rPr>
                <w:rFonts w:eastAsia="Calibri"/>
                <w:b/>
                <w:sz w:val="22"/>
              </w:rPr>
            </w:pPr>
            <w:r w:rsidRPr="0069218C">
              <w:rPr>
                <w:rFonts w:eastAsia="Calibri"/>
                <w:b/>
                <w:sz w:val="22"/>
              </w:rPr>
              <w:lastRenderedPageBreak/>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93E0A60" w14:textId="77777777" w:rsidR="008F44D7" w:rsidRPr="0069218C" w:rsidRDefault="008F44D7" w:rsidP="00DA0E15">
            <w:pPr>
              <w:pStyle w:val="TableText"/>
              <w:keepNext/>
              <w:spacing w:before="0" w:after="0" w:line="240" w:lineRule="auto"/>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6C20D9D7" w14:textId="77777777" w:rsidR="008F44D7" w:rsidRPr="001A03D1" w:rsidRDefault="008F44D7" w:rsidP="00DA0E15">
            <w:pPr>
              <w:pStyle w:val="TableText"/>
              <w:keepNext/>
              <w:spacing w:before="0" w:after="0" w:line="240" w:lineRule="auto"/>
              <w:rPr>
                <w:rFonts w:eastAsia="Calibri"/>
                <w:sz w:val="22"/>
              </w:rPr>
            </w:pPr>
            <w:r w:rsidRPr="001A03D1">
              <w:rPr>
                <w:rFonts w:eastAsia="Calibri"/>
                <w:sz w:val="22"/>
              </w:rPr>
              <w:t>Low</w:t>
            </w:r>
          </w:p>
        </w:tc>
      </w:tr>
    </w:tbl>
    <w:p w14:paraId="3DB8A2BD" w14:textId="77777777" w:rsidR="008F44D7" w:rsidRPr="0069218C" w:rsidRDefault="008F44D7" w:rsidP="008F44D7">
      <w:pPr>
        <w:pStyle w:val="space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8F44D7" w:rsidRPr="0069218C" w14:paraId="3A957E02" w14:textId="77777777" w:rsidTr="00DA0E15">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6F480FDD" w14:textId="77777777" w:rsidR="008F44D7" w:rsidRPr="000535CE" w:rsidRDefault="008F44D7" w:rsidP="00DA0E15">
            <w:pPr>
              <w:spacing w:after="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8F44D7" w:rsidRPr="0069218C" w14:paraId="0F66556D"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40FDBC9" w14:textId="77777777" w:rsidR="008F44D7" w:rsidRPr="0069218C" w:rsidRDefault="00E82066" w:rsidP="00DA0E15">
            <w:pPr>
              <w:pStyle w:val="TableText"/>
              <w:spacing w:before="0" w:after="0" w:line="240" w:lineRule="auto"/>
              <w:rPr>
                <w:rFonts w:eastAsia="Calibri"/>
                <w:sz w:val="22"/>
              </w:rPr>
            </w:pPr>
            <w:r w:rsidRPr="0069218C">
              <w:rPr>
                <w:rFonts w:eastAsia="Calibri"/>
                <w:sz w:val="22"/>
              </w:rPr>
              <w:t>Regulated parties</w:t>
            </w:r>
            <w:r>
              <w:rPr>
                <w:rFonts w:eastAsia="Calibri"/>
                <w:sz w:val="22"/>
              </w:rPr>
              <w:t xml:space="preserve"> (borrowers earning these types of income and their employers)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F6F6551" w14:textId="77777777" w:rsidR="008F44D7" w:rsidRDefault="00E82066" w:rsidP="00DA0E15">
            <w:pPr>
              <w:pStyle w:val="TableText"/>
              <w:keepNext/>
              <w:spacing w:before="0" w:after="0" w:line="240" w:lineRule="auto"/>
              <w:rPr>
                <w:rFonts w:eastAsia="Calibri"/>
                <w:sz w:val="22"/>
              </w:rPr>
            </w:pPr>
            <w:r>
              <w:rPr>
                <w:rFonts w:eastAsia="Calibri"/>
                <w:sz w:val="22"/>
              </w:rPr>
              <w:t xml:space="preserve">Employers have indicated that there are </w:t>
            </w:r>
            <w:r w:rsidR="004A79D5">
              <w:rPr>
                <w:rFonts w:eastAsia="Calibri"/>
                <w:sz w:val="22"/>
              </w:rPr>
              <w:t>significant compliance costs to implement the changes, so repealing these changes will mean that they do not face these costs.</w:t>
            </w:r>
          </w:p>
          <w:p w14:paraId="2F8EB037" w14:textId="77777777" w:rsidR="008F44D7" w:rsidRPr="0069218C" w:rsidRDefault="008F44D7" w:rsidP="00DA0E15">
            <w:pPr>
              <w:pStyle w:val="TableText"/>
              <w:spacing w:before="0" w:after="0" w:line="240" w:lineRule="auto"/>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100AF504" w14:textId="77777777" w:rsidR="008F44D7" w:rsidRPr="0069218C" w:rsidRDefault="004A79D5" w:rsidP="00DA0E15">
            <w:pPr>
              <w:pStyle w:val="TableText"/>
              <w:spacing w:before="0" w:after="0" w:line="240" w:lineRule="auto"/>
              <w:rPr>
                <w:rFonts w:eastAsia="Calibri"/>
                <w:sz w:val="22"/>
              </w:rPr>
            </w:pPr>
            <w:r>
              <w:rPr>
                <w:rFonts w:eastAsia="Calibri"/>
                <w:sz w:val="22"/>
              </w:rPr>
              <w:t>Medium</w:t>
            </w:r>
          </w:p>
        </w:tc>
      </w:tr>
      <w:tr w:rsidR="008F44D7" w:rsidRPr="0069218C" w14:paraId="6E0304FB"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3E7E833" w14:textId="77777777" w:rsidR="008F44D7" w:rsidRDefault="008F44D7" w:rsidP="00DA0E15">
            <w:pPr>
              <w:pStyle w:val="TableText"/>
              <w:spacing w:before="0" w:after="0" w:line="240" w:lineRule="auto"/>
              <w:rPr>
                <w:rFonts w:eastAsia="Calibri"/>
                <w:sz w:val="22"/>
              </w:rPr>
            </w:pPr>
            <w:r w:rsidRPr="0069218C">
              <w:rPr>
                <w:rFonts w:eastAsia="Calibri"/>
                <w:sz w:val="22"/>
              </w:rPr>
              <w:t>Regulators</w:t>
            </w:r>
          </w:p>
          <w:p w14:paraId="52C3CFCE" w14:textId="77777777" w:rsidR="008F44D7" w:rsidRPr="0069218C" w:rsidRDefault="008F44D7" w:rsidP="00DA0E15">
            <w:pPr>
              <w:pStyle w:val="TableText"/>
              <w:spacing w:before="0" w:after="0" w:line="240" w:lineRule="auto"/>
              <w:rPr>
                <w:rFonts w:eastAsia="Calibri"/>
                <w:sz w:val="22"/>
              </w:rPr>
            </w:pPr>
            <w:r>
              <w:rPr>
                <w:rFonts w:eastAsia="Calibri"/>
                <w:sz w:val="22"/>
              </w:rPr>
              <w:t>(Inland Revenue)</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D080587" w14:textId="77777777" w:rsidR="008F44D7" w:rsidRPr="0069218C" w:rsidRDefault="00E82066" w:rsidP="00DA0E15">
            <w:pPr>
              <w:pStyle w:val="TableText"/>
              <w:spacing w:before="0" w:after="0" w:line="240" w:lineRule="auto"/>
              <w:rPr>
                <w:rFonts w:eastAsia="Calibri"/>
                <w:sz w:val="22"/>
              </w:rPr>
            </w:pPr>
            <w:r>
              <w:rPr>
                <w:rFonts w:eastAsia="Calibri"/>
                <w:sz w:val="22"/>
              </w:rPr>
              <w:t>N/A</w:t>
            </w:r>
            <w:r w:rsidR="008F44D7">
              <w:rPr>
                <w:rFonts w:eastAsia="Calibri"/>
                <w:sz w:val="22"/>
              </w:rPr>
              <w:t xml:space="preserve"> </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77C8D0E6" w14:textId="77777777" w:rsidR="008F44D7" w:rsidRPr="0069218C" w:rsidRDefault="00E82066" w:rsidP="00DA0E15">
            <w:pPr>
              <w:pStyle w:val="TableText"/>
              <w:spacing w:before="0" w:after="0" w:line="240" w:lineRule="auto"/>
              <w:rPr>
                <w:rFonts w:eastAsia="Calibri"/>
                <w:sz w:val="22"/>
              </w:rPr>
            </w:pPr>
            <w:r>
              <w:rPr>
                <w:rFonts w:eastAsia="Calibri"/>
                <w:sz w:val="22"/>
              </w:rPr>
              <w:t>N/A</w:t>
            </w:r>
          </w:p>
        </w:tc>
      </w:tr>
      <w:tr w:rsidR="008F44D7" w:rsidRPr="0069218C" w14:paraId="31CC9BBA"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4E31416" w14:textId="77777777" w:rsidR="008F44D7" w:rsidRPr="0069218C" w:rsidRDefault="008F44D7" w:rsidP="00DA0E15">
            <w:pPr>
              <w:pStyle w:val="TableText"/>
              <w:spacing w:before="0" w:after="0" w:line="240" w:lineRule="auto"/>
              <w:rPr>
                <w:rFonts w:eastAsia="Calibri"/>
                <w:sz w:val="22"/>
              </w:rPr>
            </w:pPr>
            <w:r w:rsidRPr="0069218C">
              <w:rPr>
                <w:rFonts w:eastAsia="Calibri"/>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686500F" w14:textId="77777777" w:rsidR="008F44D7" w:rsidRPr="0069218C" w:rsidRDefault="008F44D7" w:rsidP="00DA0E15">
            <w:pPr>
              <w:pStyle w:val="TableText"/>
              <w:spacing w:before="0" w:after="0" w:line="240" w:lineRule="auto"/>
              <w:rPr>
                <w:rFonts w:eastAsia="Calibri"/>
                <w:sz w:val="22"/>
              </w:rPr>
            </w:pPr>
            <w:r>
              <w:rPr>
                <w:rFonts w:eastAsia="Calibri"/>
                <w:sz w:val="22"/>
              </w:rPr>
              <w:t>N/A</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39BA0E8A" w14:textId="77777777" w:rsidR="008F44D7" w:rsidRPr="0069218C" w:rsidRDefault="008F44D7" w:rsidP="00DA0E15">
            <w:pPr>
              <w:pStyle w:val="TableText"/>
              <w:spacing w:before="0" w:after="0" w:line="240" w:lineRule="auto"/>
              <w:rPr>
                <w:rFonts w:eastAsia="Calibri"/>
                <w:sz w:val="22"/>
              </w:rPr>
            </w:pPr>
            <w:r>
              <w:rPr>
                <w:rFonts w:eastAsia="Calibri"/>
                <w:sz w:val="22"/>
              </w:rPr>
              <w:t>N/A</w:t>
            </w:r>
          </w:p>
        </w:tc>
      </w:tr>
      <w:tr w:rsidR="008F44D7" w:rsidRPr="0069218C" w14:paraId="68B738E9"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17EEF03" w14:textId="77777777" w:rsidR="008F44D7" w:rsidRPr="0069218C" w:rsidRDefault="008F44D7" w:rsidP="00DA0E15">
            <w:pPr>
              <w:pStyle w:val="TableText"/>
              <w:spacing w:before="0" w:after="0" w:line="240" w:lineRule="auto"/>
              <w:rPr>
                <w:rFonts w:eastAsia="Calibri"/>
                <w:sz w:val="22"/>
              </w:rPr>
            </w:pPr>
            <w:r w:rsidRPr="0069218C">
              <w:rPr>
                <w:rFonts w:eastAsia="Calibri"/>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DA401A8" w14:textId="77777777" w:rsidR="008F44D7" w:rsidRPr="0069218C" w:rsidRDefault="008F44D7" w:rsidP="00DA0E15">
            <w:pPr>
              <w:pStyle w:val="TableText"/>
              <w:spacing w:before="0" w:after="0" w:line="240" w:lineRule="auto"/>
              <w:rPr>
                <w:rFonts w:eastAsia="Calibri"/>
                <w:sz w:val="22"/>
              </w:rPr>
            </w:pPr>
            <w:r>
              <w:rPr>
                <w:rFonts w:eastAsia="Calibri"/>
                <w:sz w:val="22"/>
              </w:rPr>
              <w:t>N/A</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27E07362" w14:textId="77777777" w:rsidR="008F44D7" w:rsidRPr="0069218C" w:rsidRDefault="008F44D7" w:rsidP="00DA0E15">
            <w:pPr>
              <w:pStyle w:val="TableText"/>
              <w:spacing w:before="0" w:after="0" w:line="240" w:lineRule="auto"/>
              <w:rPr>
                <w:rFonts w:eastAsia="Calibri"/>
                <w:sz w:val="22"/>
              </w:rPr>
            </w:pPr>
            <w:r>
              <w:rPr>
                <w:rFonts w:eastAsia="Calibri"/>
                <w:sz w:val="22"/>
              </w:rPr>
              <w:t>N/A</w:t>
            </w:r>
          </w:p>
        </w:tc>
      </w:tr>
      <w:tr w:rsidR="008F44D7" w:rsidRPr="0069218C" w14:paraId="1CB24817"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80F3954" w14:textId="77777777" w:rsidR="008F44D7" w:rsidRPr="0069218C" w:rsidRDefault="008F44D7" w:rsidP="00DA0E15">
            <w:pPr>
              <w:pStyle w:val="TableText"/>
              <w:spacing w:before="0" w:after="0" w:line="240" w:lineRule="auto"/>
              <w:rPr>
                <w:rFonts w:eastAsia="Calibri"/>
                <w:b/>
                <w:sz w:val="22"/>
              </w:rPr>
            </w:pPr>
            <w:r w:rsidRPr="0069218C">
              <w:rPr>
                <w:rFonts w:eastAsia="Calibri"/>
                <w:b/>
                <w:sz w:val="22"/>
              </w:rPr>
              <w:t>Total Monetised Benefit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B1740ED" w14:textId="77777777" w:rsidR="008F44D7" w:rsidRPr="0069218C" w:rsidRDefault="008F44D7" w:rsidP="00DA0E15">
            <w:pPr>
              <w:pStyle w:val="TableText"/>
              <w:spacing w:before="0" w:after="0" w:line="240" w:lineRule="auto"/>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2622B624" w14:textId="77777777" w:rsidR="008F44D7" w:rsidRPr="0069218C" w:rsidRDefault="004A79D5" w:rsidP="00DA0E15">
            <w:pPr>
              <w:pStyle w:val="TableText"/>
              <w:spacing w:before="0" w:after="0" w:line="240" w:lineRule="auto"/>
              <w:rPr>
                <w:rFonts w:eastAsia="Calibri"/>
                <w:sz w:val="22"/>
              </w:rPr>
            </w:pPr>
            <w:r>
              <w:rPr>
                <w:rFonts w:eastAsia="Calibri"/>
                <w:sz w:val="22"/>
              </w:rPr>
              <w:t>Low</w:t>
            </w:r>
          </w:p>
        </w:tc>
      </w:tr>
      <w:tr w:rsidR="008F44D7" w:rsidRPr="0069218C" w14:paraId="398DB6D8" w14:textId="77777777" w:rsidTr="00DA0E15">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7E8458FE" w14:textId="77777777" w:rsidR="008F44D7" w:rsidRPr="0069218C" w:rsidRDefault="008F44D7" w:rsidP="00DA0E15">
            <w:pPr>
              <w:pStyle w:val="TableText"/>
              <w:spacing w:before="0" w:after="0" w:line="240" w:lineRule="auto"/>
              <w:rPr>
                <w:rFonts w:eastAsia="Calibri"/>
                <w:b/>
                <w:sz w:val="22"/>
              </w:rPr>
            </w:pPr>
            <w:r w:rsidRPr="0069218C">
              <w:rPr>
                <w:rFonts w:eastAsia="Calibri"/>
                <w:b/>
                <w:sz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65702C8" w14:textId="77777777" w:rsidR="008F44D7" w:rsidRPr="0069218C" w:rsidRDefault="008F44D7" w:rsidP="00DA0E15">
            <w:pPr>
              <w:pStyle w:val="TableText"/>
              <w:spacing w:before="0" w:after="0" w:line="240" w:lineRule="auto"/>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3128BE5" w14:textId="77777777" w:rsidR="008F44D7" w:rsidRPr="001A03D1" w:rsidRDefault="004A79D5" w:rsidP="00DA0E15">
            <w:pPr>
              <w:pStyle w:val="TableText"/>
              <w:spacing w:before="0" w:after="0" w:line="240" w:lineRule="auto"/>
              <w:rPr>
                <w:rFonts w:eastAsia="Calibri"/>
                <w:sz w:val="22"/>
              </w:rPr>
            </w:pPr>
            <w:r>
              <w:rPr>
                <w:rFonts w:eastAsia="Calibri"/>
                <w:sz w:val="22"/>
              </w:rPr>
              <w:t>Medium</w:t>
            </w:r>
          </w:p>
        </w:tc>
      </w:tr>
    </w:tbl>
    <w:p w14:paraId="0CAC5078" w14:textId="77777777" w:rsidR="008F44D7" w:rsidRPr="008F44D7" w:rsidRDefault="008F44D7" w:rsidP="008F44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7099" w:rsidRPr="0069218C" w14:paraId="5B59606E" w14:textId="77777777" w:rsidTr="00800DEC">
        <w:trPr>
          <w:trHeight w:val="77"/>
        </w:trPr>
        <w:tc>
          <w:tcPr>
            <w:tcW w:w="5000" w:type="pct"/>
            <w:shd w:val="clear" w:color="auto" w:fill="99CDDD"/>
            <w:hideMark/>
          </w:tcPr>
          <w:p w14:paraId="4997B075"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6B82A6D6" w14:textId="77777777" w:rsidTr="000976C8">
        <w:trPr>
          <w:trHeight w:val="1673"/>
        </w:trPr>
        <w:tc>
          <w:tcPr>
            <w:tcW w:w="5000" w:type="pct"/>
            <w:shd w:val="clear" w:color="auto" w:fill="auto"/>
          </w:tcPr>
          <w:p w14:paraId="0ED53355" w14:textId="77777777" w:rsidR="004A79D5" w:rsidRDefault="004A79D5" w:rsidP="004A79D5">
            <w:pPr>
              <w:pStyle w:val="Heading3"/>
            </w:pPr>
            <w:r>
              <w:t>Threshold changes</w:t>
            </w:r>
          </w:p>
          <w:p w14:paraId="241EEF6A" w14:textId="77777777" w:rsidR="000976C8" w:rsidRDefault="000976C8" w:rsidP="001A03D1">
            <w:pPr>
              <w:spacing w:after="0" w:line="240" w:lineRule="auto"/>
              <w:jc w:val="both"/>
              <w:rPr>
                <w:rFonts w:cs="Arial"/>
                <w:szCs w:val="22"/>
              </w:rPr>
            </w:pPr>
            <w:r>
              <w:rPr>
                <w:rFonts w:cs="Arial"/>
                <w:szCs w:val="22"/>
              </w:rPr>
              <w:t>Officials have not identified other impacts as a result of the proposal.</w:t>
            </w:r>
          </w:p>
          <w:p w14:paraId="51D37D70" w14:textId="77777777" w:rsidR="000976C8" w:rsidRDefault="000976C8" w:rsidP="001A03D1">
            <w:pPr>
              <w:spacing w:after="0" w:line="240" w:lineRule="auto"/>
              <w:jc w:val="both"/>
              <w:rPr>
                <w:rFonts w:cs="Arial"/>
                <w:szCs w:val="22"/>
              </w:rPr>
            </w:pPr>
          </w:p>
          <w:p w14:paraId="398019EA" w14:textId="77777777" w:rsidR="000535CE" w:rsidRDefault="001A03D1" w:rsidP="001A03D1">
            <w:pPr>
              <w:spacing w:after="0" w:line="240" w:lineRule="auto"/>
              <w:jc w:val="both"/>
              <w:rPr>
                <w:rFonts w:cs="Arial"/>
                <w:szCs w:val="22"/>
              </w:rPr>
            </w:pPr>
            <w:r>
              <w:rPr>
                <w:rFonts w:cs="Arial"/>
                <w:szCs w:val="22"/>
              </w:rPr>
              <w:t>There is uncertainty around borrower behaviour towards these loan repayments and the extent to which these amounts will be repaid.  Some borrowers will pay, some will have their loan repayments amalgamated with other tax obligations, and others will not pay.</w:t>
            </w:r>
          </w:p>
          <w:p w14:paraId="026EF2E3" w14:textId="77777777" w:rsidR="00F272D4" w:rsidRDefault="004A79D5" w:rsidP="004A79D5">
            <w:pPr>
              <w:pStyle w:val="Heading3"/>
            </w:pPr>
            <w:r>
              <w:t>Withholding changes</w:t>
            </w:r>
          </w:p>
          <w:p w14:paraId="7568AFE0" w14:textId="77777777" w:rsidR="00F272D4" w:rsidRDefault="00F272D4" w:rsidP="001A03D1">
            <w:pPr>
              <w:spacing w:after="0" w:line="240" w:lineRule="auto"/>
              <w:jc w:val="both"/>
              <w:rPr>
                <w:rFonts w:cs="Arial"/>
                <w:szCs w:val="22"/>
              </w:rPr>
            </w:pPr>
            <w:r>
              <w:rPr>
                <w:rFonts w:cs="Arial"/>
                <w:szCs w:val="22"/>
              </w:rPr>
              <w:t xml:space="preserve">Removing the withholding requirements is likely to mean that compliance </w:t>
            </w:r>
            <w:r w:rsidR="00C668EB">
              <w:rPr>
                <w:rFonts w:cs="Arial"/>
                <w:szCs w:val="22"/>
              </w:rPr>
              <w:t xml:space="preserve">rate </w:t>
            </w:r>
            <w:r>
              <w:rPr>
                <w:rFonts w:cs="Arial"/>
                <w:szCs w:val="22"/>
              </w:rPr>
              <w:t>for the borrowers effected may remain lower than the wider population of student loan borrowers. Inland Revenue are considering ways that this can be addressed operationally.</w:t>
            </w:r>
          </w:p>
          <w:p w14:paraId="4C30142C" w14:textId="77777777" w:rsidR="005B6B8E" w:rsidRPr="0069218C" w:rsidRDefault="005B6B8E" w:rsidP="001A03D1">
            <w:pPr>
              <w:spacing w:after="0" w:line="240" w:lineRule="auto"/>
              <w:jc w:val="both"/>
              <w:rPr>
                <w:rFonts w:cs="Arial"/>
                <w:szCs w:val="22"/>
              </w:rPr>
            </w:pPr>
          </w:p>
        </w:tc>
      </w:tr>
    </w:tbl>
    <w:p w14:paraId="0E474B31" w14:textId="77777777" w:rsidR="00326BDA" w:rsidRDefault="00326BDA" w:rsidP="00B15F56">
      <w:pPr>
        <w:spacing w:after="0"/>
        <w:rPr>
          <w:rFonts w:cs="Arial"/>
          <w:i/>
          <w:color w:val="000000"/>
          <w:szCs w:val="22"/>
          <w:lang w:eastAsia="en-AU"/>
        </w:rPr>
      </w:pPr>
    </w:p>
    <w:p w14:paraId="601C5C8F" w14:textId="77777777" w:rsidR="00B15F56" w:rsidRPr="00886DFF" w:rsidRDefault="00326BDA" w:rsidP="00326BDA">
      <w:pPr>
        <w:rPr>
          <w:lang w:eastAsia="en-AU"/>
        </w:rPr>
      </w:pPr>
      <w:r>
        <w:rPr>
          <w:lang w:eastAsia="en-AU"/>
        </w:rPr>
        <w:br w:type="page"/>
      </w:r>
    </w:p>
    <w:p w14:paraId="3B17B7E9" w14:textId="77777777" w:rsidR="00051A88" w:rsidRDefault="00051A88" w:rsidP="00293FDC">
      <w:pPr>
        <w:pStyle w:val="Heading2"/>
      </w:pPr>
      <w:r w:rsidRPr="002D5734">
        <w:lastRenderedPageBreak/>
        <w:t xml:space="preserve">Section </w:t>
      </w:r>
      <w:r w:rsidR="00C77099">
        <w:t>5</w:t>
      </w:r>
      <w:r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051A88" w:rsidRPr="0069218C" w14:paraId="02039877" w14:textId="77777777"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17F736F2"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7D9F224D" w14:textId="77777777" w:rsidTr="000976C8">
        <w:trPr>
          <w:trHeight w:val="121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FCC9B2" w14:textId="77777777" w:rsidR="004A79D5" w:rsidRDefault="004A79D5" w:rsidP="00FB6DC8">
            <w:pPr>
              <w:pStyle w:val="Heading3"/>
            </w:pPr>
            <w:r>
              <w:t>Threshold changes</w:t>
            </w:r>
          </w:p>
          <w:p w14:paraId="22D2A1E9" w14:textId="77777777" w:rsidR="00B47208" w:rsidRPr="0069218C" w:rsidRDefault="00CB1FD2" w:rsidP="00FB6DC8">
            <w:pPr>
              <w:spacing w:after="0" w:line="276" w:lineRule="auto"/>
              <w:rPr>
                <w:rFonts w:cs="Arial"/>
                <w:szCs w:val="22"/>
              </w:rPr>
            </w:pPr>
            <w:r>
              <w:rPr>
                <w:rFonts w:cs="Arial"/>
                <w:szCs w:val="22"/>
              </w:rPr>
              <w:t>Consultation with representative groups has not occurred to date.  Consultation will occur with representative groups as part of Business Transformation stakeholder engagement activities in implementing the changes</w:t>
            </w:r>
            <w:r w:rsidR="001C6531">
              <w:rPr>
                <w:rFonts w:cs="Arial"/>
                <w:szCs w:val="22"/>
              </w:rPr>
              <w:t>.</w:t>
            </w:r>
          </w:p>
          <w:p w14:paraId="059A35E0" w14:textId="77777777" w:rsidR="00F132B2" w:rsidRDefault="004A79D5" w:rsidP="00FB6DC8">
            <w:pPr>
              <w:pStyle w:val="Heading3"/>
            </w:pPr>
            <w:r>
              <w:t>Withholding changes</w:t>
            </w:r>
          </w:p>
          <w:p w14:paraId="081177C5" w14:textId="77777777" w:rsidR="00F272D4" w:rsidRDefault="00FB6DC8" w:rsidP="00FB6DC8">
            <w:pPr>
              <w:spacing w:after="0" w:line="276" w:lineRule="auto"/>
              <w:rPr>
                <w:rFonts w:cs="Arial"/>
                <w:szCs w:val="22"/>
              </w:rPr>
            </w:pPr>
            <w:r>
              <w:rPr>
                <w:rFonts w:cs="Arial"/>
                <w:szCs w:val="22"/>
              </w:rPr>
              <w:t>The proposal to repeal the earlier withholding changes is a direct response to concerns raised by employers during recent consultation that they would face significant and unforeseen compliance costs unless the previous law changes were repealed before the take effect on 1 April 2020.</w:t>
            </w:r>
          </w:p>
          <w:p w14:paraId="212C662F" w14:textId="77777777" w:rsidR="00FB6DC8" w:rsidRDefault="00FB6DC8" w:rsidP="00FB6DC8">
            <w:pPr>
              <w:spacing w:after="0" w:line="276" w:lineRule="auto"/>
              <w:rPr>
                <w:rFonts w:cs="Arial"/>
                <w:szCs w:val="22"/>
              </w:rPr>
            </w:pPr>
          </w:p>
          <w:p w14:paraId="3F58D398" w14:textId="77777777" w:rsidR="00FB6DC8" w:rsidRDefault="00FB6DC8" w:rsidP="00FB6DC8">
            <w:pPr>
              <w:spacing w:after="0" w:line="276" w:lineRule="auto"/>
              <w:rPr>
                <w:rFonts w:cs="Arial"/>
                <w:szCs w:val="22"/>
              </w:rPr>
            </w:pPr>
            <w:r>
              <w:rPr>
                <w:rFonts w:cs="Arial"/>
                <w:szCs w:val="22"/>
              </w:rPr>
              <w:t>These issues were not previously identified in earlier public consultation on the policy proposals or in submissions to select committee.</w:t>
            </w:r>
          </w:p>
          <w:p w14:paraId="4DBA42BD" w14:textId="77777777" w:rsidR="005B6B8E" w:rsidRPr="0069218C" w:rsidRDefault="005B6B8E" w:rsidP="00FB6DC8">
            <w:pPr>
              <w:spacing w:after="0" w:line="276" w:lineRule="auto"/>
              <w:rPr>
                <w:rFonts w:cs="Arial"/>
                <w:szCs w:val="22"/>
              </w:rPr>
            </w:pPr>
          </w:p>
        </w:tc>
      </w:tr>
    </w:tbl>
    <w:p w14:paraId="5CF3D56A" w14:textId="77777777" w:rsidR="000976C8" w:rsidRDefault="000976C8" w:rsidP="00293FDC">
      <w:pPr>
        <w:pStyle w:val="Heading2"/>
        <w:rPr>
          <w:lang w:val="en-NZ"/>
        </w:rPr>
      </w:pPr>
    </w:p>
    <w:p w14:paraId="114F1DA6" w14:textId="77777777" w:rsidR="00EE4E3B" w:rsidRPr="008A6442" w:rsidRDefault="00EE4E3B" w:rsidP="00293FDC">
      <w:pPr>
        <w:pStyle w:val="Heading2"/>
      </w:pPr>
      <w:r w:rsidRPr="002D5734">
        <w:t xml:space="preserve">Section </w:t>
      </w:r>
      <w:r w:rsidR="0033708B" w:rsidRPr="002D5734">
        <w:t>6</w:t>
      </w:r>
      <w:r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14:paraId="311DF451" w14:textId="77777777" w:rsidTr="00800DEC">
        <w:trPr>
          <w:trHeight w:val="197"/>
        </w:trPr>
        <w:tc>
          <w:tcPr>
            <w:tcW w:w="9072" w:type="dxa"/>
            <w:shd w:val="clear" w:color="auto" w:fill="99CDDD"/>
            <w:hideMark/>
          </w:tcPr>
          <w:p w14:paraId="2331307D"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027727B" w14:textId="77777777" w:rsidTr="00756F2A">
        <w:trPr>
          <w:trHeight w:val="4224"/>
        </w:trPr>
        <w:tc>
          <w:tcPr>
            <w:tcW w:w="9072" w:type="dxa"/>
            <w:shd w:val="clear" w:color="auto" w:fill="auto"/>
          </w:tcPr>
          <w:p w14:paraId="65329726" w14:textId="77777777" w:rsidR="00F132B2" w:rsidRPr="0069218C" w:rsidRDefault="004A79D5" w:rsidP="00FB6DC8">
            <w:pPr>
              <w:pStyle w:val="Heading3"/>
            </w:pPr>
            <w:r>
              <w:t>Threshold changes</w:t>
            </w:r>
          </w:p>
          <w:p w14:paraId="60DD70D5" w14:textId="77777777" w:rsidR="00F132B2" w:rsidRDefault="001C6531" w:rsidP="00FB6DC8">
            <w:pPr>
              <w:spacing w:after="0" w:line="276" w:lineRule="auto"/>
              <w:rPr>
                <w:rFonts w:cs="Arial"/>
                <w:szCs w:val="22"/>
              </w:rPr>
            </w:pPr>
            <w:r>
              <w:rPr>
                <w:rFonts w:cs="Arial"/>
                <w:szCs w:val="22"/>
              </w:rPr>
              <w:t xml:space="preserve">Lowering the threshold requires a legislative change to the Student Loan Scheme Act 2011. </w:t>
            </w:r>
            <w:r w:rsidR="00420A6A">
              <w:rPr>
                <w:rFonts w:cs="Arial"/>
                <w:szCs w:val="22"/>
              </w:rPr>
              <w:t>It is intended that th</w:t>
            </w:r>
            <w:r>
              <w:rPr>
                <w:rFonts w:cs="Arial"/>
                <w:szCs w:val="22"/>
              </w:rPr>
              <w:t>is change be included at the Select Committee stage of the Taxation (KiwiSaver, Student Loans, and Remedial Matters) Bill.</w:t>
            </w:r>
            <w:r w:rsidR="00756F2A">
              <w:rPr>
                <w:rFonts w:cs="Arial"/>
                <w:szCs w:val="22"/>
              </w:rPr>
              <w:t xml:space="preserve"> The change will apply from 1 April 2020, which is the same date that other student loan changes apply from.</w:t>
            </w:r>
          </w:p>
          <w:p w14:paraId="2A3E8807" w14:textId="77777777" w:rsidR="001C6531" w:rsidRDefault="001C6531" w:rsidP="00FB6DC8">
            <w:pPr>
              <w:spacing w:after="0" w:line="276" w:lineRule="auto"/>
              <w:rPr>
                <w:rFonts w:cs="Arial"/>
                <w:szCs w:val="22"/>
              </w:rPr>
            </w:pPr>
          </w:p>
          <w:p w14:paraId="3BF5368E" w14:textId="77777777" w:rsidR="00756F2A" w:rsidRDefault="001C6531" w:rsidP="00FB6DC8">
            <w:pPr>
              <w:spacing w:after="0" w:line="276" w:lineRule="auto"/>
              <w:rPr>
                <w:rFonts w:cs="Arial"/>
                <w:szCs w:val="22"/>
              </w:rPr>
            </w:pPr>
            <w:r>
              <w:rPr>
                <w:rFonts w:cs="Arial"/>
                <w:szCs w:val="22"/>
              </w:rPr>
              <w:t>Inland Revenue will be responsible for the ongoing operation of this threshold</w:t>
            </w:r>
            <w:r w:rsidR="00756F2A">
              <w:rPr>
                <w:rFonts w:cs="Arial"/>
                <w:szCs w:val="22"/>
              </w:rPr>
              <w:t xml:space="preserve">.  The change will be implemented as part of Inland Revenue’s Business Transformation Release 4 changes </w:t>
            </w:r>
            <w:r w:rsidR="00FB1D55">
              <w:rPr>
                <w:rFonts w:cs="Arial"/>
                <w:szCs w:val="22"/>
              </w:rPr>
              <w:t>which incorporate the repayment of S</w:t>
            </w:r>
            <w:r w:rsidR="00756F2A">
              <w:rPr>
                <w:rFonts w:cs="Arial"/>
                <w:szCs w:val="22"/>
              </w:rPr>
              <w:t>tudent Loan</w:t>
            </w:r>
            <w:r w:rsidR="00FB1D55">
              <w:rPr>
                <w:rFonts w:cs="Arial"/>
                <w:szCs w:val="22"/>
              </w:rPr>
              <w:t>s into the new systems and processes</w:t>
            </w:r>
            <w:r w:rsidR="00756F2A">
              <w:rPr>
                <w:rFonts w:cs="Arial"/>
                <w:szCs w:val="22"/>
              </w:rPr>
              <w:t>. The risks associated with this proposal are being managed as part of the wider risks to do with the Transformation programme.</w:t>
            </w:r>
          </w:p>
          <w:p w14:paraId="493AC066" w14:textId="77777777" w:rsidR="00756F2A" w:rsidRDefault="00756F2A" w:rsidP="00FB6DC8">
            <w:pPr>
              <w:spacing w:after="0" w:line="276" w:lineRule="auto"/>
              <w:rPr>
                <w:rFonts w:cs="Arial"/>
                <w:szCs w:val="22"/>
              </w:rPr>
            </w:pPr>
          </w:p>
          <w:p w14:paraId="6DF3E896" w14:textId="77777777" w:rsidR="001C6531" w:rsidRDefault="001C6531" w:rsidP="00FB6DC8">
            <w:pPr>
              <w:spacing w:after="0" w:line="276" w:lineRule="auto"/>
              <w:rPr>
                <w:rFonts w:cs="Arial"/>
                <w:szCs w:val="22"/>
              </w:rPr>
            </w:pPr>
            <w:r>
              <w:rPr>
                <w:rFonts w:cs="Arial"/>
                <w:szCs w:val="22"/>
              </w:rPr>
              <w:t xml:space="preserve">Information on the change will </w:t>
            </w:r>
            <w:r w:rsidR="00802426">
              <w:rPr>
                <w:rFonts w:cs="Arial"/>
                <w:szCs w:val="22"/>
              </w:rPr>
              <w:t xml:space="preserve">be </w:t>
            </w:r>
            <w:r w:rsidR="00756F2A">
              <w:rPr>
                <w:rFonts w:cs="Arial"/>
                <w:szCs w:val="22"/>
              </w:rPr>
              <w:t>incorporated with other communications to affected borrowers</w:t>
            </w:r>
            <w:r w:rsidR="00420A6A">
              <w:rPr>
                <w:rFonts w:cs="Arial"/>
                <w:szCs w:val="22"/>
              </w:rPr>
              <w:t xml:space="preserve"> once the legislation is enacted.</w:t>
            </w:r>
          </w:p>
          <w:p w14:paraId="412EB309" w14:textId="77777777" w:rsidR="00F82043" w:rsidRPr="004A79D5" w:rsidRDefault="004A79D5" w:rsidP="00FB6DC8">
            <w:pPr>
              <w:pStyle w:val="Heading3"/>
            </w:pPr>
            <w:r>
              <w:t>Withholding changes</w:t>
            </w:r>
          </w:p>
          <w:p w14:paraId="37973384" w14:textId="77777777" w:rsidR="00F82043" w:rsidRDefault="00F82043" w:rsidP="00FB6DC8">
            <w:pPr>
              <w:spacing w:after="0" w:line="276" w:lineRule="auto"/>
              <w:rPr>
                <w:rFonts w:cs="Arial"/>
                <w:szCs w:val="22"/>
              </w:rPr>
            </w:pPr>
            <w:r>
              <w:rPr>
                <w:rFonts w:cs="Arial"/>
                <w:szCs w:val="22"/>
              </w:rPr>
              <w:t xml:space="preserve">Repealing the withholding changes will not require any implementation as this maintains current arrangements. </w:t>
            </w:r>
            <w:r w:rsidR="00FB6DC8">
              <w:rPr>
                <w:rFonts w:cs="Arial"/>
                <w:szCs w:val="22"/>
              </w:rPr>
              <w:t>As part of educating employers before release 4, Inland Revenue would ensure that it is clear that these provisions are intended to be repealed so that no employers make changes to their systems to comply with the repealed provisions.</w:t>
            </w:r>
          </w:p>
          <w:p w14:paraId="3EA0213A" w14:textId="77777777" w:rsidR="005B6B8E" w:rsidRPr="0069218C" w:rsidRDefault="005B6B8E" w:rsidP="00FB6DC8">
            <w:pPr>
              <w:spacing w:after="0" w:line="276" w:lineRule="auto"/>
              <w:rPr>
                <w:rFonts w:cs="Arial"/>
                <w:szCs w:val="22"/>
              </w:rPr>
            </w:pPr>
          </w:p>
        </w:tc>
      </w:tr>
    </w:tbl>
    <w:p w14:paraId="245FAC4E" w14:textId="77777777" w:rsidR="000717C0" w:rsidRDefault="000717C0" w:rsidP="00293FDC">
      <w:pPr>
        <w:pStyle w:val="Heading2"/>
      </w:pPr>
    </w:p>
    <w:p w14:paraId="0561FB17" w14:textId="77777777" w:rsidR="000717C0" w:rsidRDefault="000717C0" w:rsidP="000717C0">
      <w:pPr>
        <w:rPr>
          <w:color w:val="0082AB"/>
          <w:spacing w:val="20"/>
          <w:w w:val="90"/>
          <w:sz w:val="32"/>
          <w:szCs w:val="24"/>
        </w:rPr>
      </w:pPr>
      <w:r>
        <w:br w:type="page"/>
      </w:r>
    </w:p>
    <w:p w14:paraId="1AEA512A" w14:textId="77777777" w:rsidR="00466467" w:rsidRDefault="00466467" w:rsidP="00293FDC">
      <w:pPr>
        <w:pStyle w:val="Heading2"/>
      </w:pPr>
    </w:p>
    <w:p w14:paraId="2A386764" w14:textId="77777777" w:rsidR="00F132B2" w:rsidRPr="008A6442" w:rsidRDefault="00F132B2" w:rsidP="00293FDC">
      <w:pPr>
        <w:pStyle w:val="Heading2"/>
      </w:pPr>
      <w:r w:rsidRPr="00B952B7">
        <w:t xml:space="preserve">Section 7:  Monitoring, </w:t>
      </w:r>
      <w:r w:rsidRPr="00030EC1">
        <w:t>evalu</w:t>
      </w:r>
      <w:r w:rsidRPr="00B952B7">
        <w:t>ation and review</w:t>
      </w:r>
    </w:p>
    <w:tbl>
      <w:tblPr>
        <w:tblW w:w="9072" w:type="dxa"/>
        <w:tblInd w:w="-5" w:type="dxa"/>
        <w:tblLook w:val="0480" w:firstRow="0" w:lastRow="0" w:firstColumn="1" w:lastColumn="0" w:noHBand="0" w:noVBand="1"/>
      </w:tblPr>
      <w:tblGrid>
        <w:gridCol w:w="9072"/>
      </w:tblGrid>
      <w:tr w:rsidR="00F132B2" w:rsidRPr="0069218C" w14:paraId="34FAF1D3" w14:textId="77777777"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14:paraId="50E32478"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7152997A" w14:textId="77777777" w:rsidTr="00802426">
        <w:trPr>
          <w:trHeight w:val="1705"/>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A1C0A84" w14:textId="77777777" w:rsidR="00F132B2" w:rsidRPr="0069218C" w:rsidRDefault="00F132B2" w:rsidP="0069218C">
            <w:pPr>
              <w:spacing w:after="0" w:line="276" w:lineRule="auto"/>
              <w:jc w:val="both"/>
              <w:rPr>
                <w:rFonts w:cs="Arial"/>
                <w:szCs w:val="22"/>
              </w:rPr>
            </w:pPr>
          </w:p>
          <w:p w14:paraId="40CC1BC8" w14:textId="77777777" w:rsidR="00F132B2" w:rsidRPr="0069218C" w:rsidRDefault="00420A6A" w:rsidP="00802426">
            <w:pPr>
              <w:spacing w:after="0" w:line="276" w:lineRule="auto"/>
              <w:rPr>
                <w:rFonts w:cs="Arial"/>
                <w:szCs w:val="22"/>
              </w:rPr>
            </w:pPr>
            <w:r>
              <w:t>Inland Revenue w</w:t>
            </w:r>
            <w:r w:rsidR="00FB1D55">
              <w:t>ill</w:t>
            </w:r>
            <w:r>
              <w:t xml:space="preserve"> monitor</w:t>
            </w:r>
            <w:r w:rsidR="00802426">
              <w:t xml:space="preserve"> whether there are any issues arising with the enacted legislation</w:t>
            </w:r>
            <w:r>
              <w:t>. If</w:t>
            </w:r>
            <w:r>
              <w:rPr>
                <w:rFonts w:cs="Arial"/>
                <w:szCs w:val="22"/>
              </w:rPr>
              <w:t xml:space="preserve"> </w:t>
            </w:r>
            <w:r w:rsidR="00FB1D55">
              <w:rPr>
                <w:rFonts w:cs="Arial"/>
                <w:szCs w:val="22"/>
              </w:rPr>
              <w:t>officials</w:t>
            </w:r>
            <w:r>
              <w:rPr>
                <w:rFonts w:cs="Arial"/>
                <w:szCs w:val="22"/>
              </w:rPr>
              <w:t xml:space="preserve"> identify anything that suggests the legislation is not operating as intended, then we will undertake a review</w:t>
            </w:r>
            <w:r w:rsidR="00802426">
              <w:rPr>
                <w:rFonts w:cs="Arial"/>
                <w:szCs w:val="22"/>
              </w:rPr>
              <w:t xml:space="preserve"> and report to Ministers on legislative changes to address the issues.</w:t>
            </w:r>
          </w:p>
        </w:tc>
      </w:tr>
    </w:tbl>
    <w:p w14:paraId="08D6C4A6" w14:textId="77777777" w:rsidR="00F132B2" w:rsidRPr="00567434" w:rsidRDefault="00F132B2" w:rsidP="00567434">
      <w:pPr>
        <w:pStyle w:val="spac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F132B2" w:rsidRPr="0069218C" w14:paraId="49BFF541" w14:textId="77777777" w:rsidTr="00800DEC">
        <w:trPr>
          <w:trHeight w:val="77"/>
        </w:trPr>
        <w:tc>
          <w:tcPr>
            <w:tcW w:w="9072" w:type="dxa"/>
            <w:shd w:val="clear" w:color="auto" w:fill="99CDDD"/>
          </w:tcPr>
          <w:p w14:paraId="3242DA5D"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100B847E" w14:textId="77777777" w:rsidTr="00802426">
        <w:trPr>
          <w:trHeight w:val="1045"/>
        </w:trPr>
        <w:tc>
          <w:tcPr>
            <w:tcW w:w="9072" w:type="dxa"/>
            <w:shd w:val="clear" w:color="auto" w:fill="auto"/>
          </w:tcPr>
          <w:p w14:paraId="6430A5CA" w14:textId="77777777" w:rsidR="00802426" w:rsidRDefault="00802426" w:rsidP="00466467">
            <w:pPr>
              <w:spacing w:after="0" w:line="276" w:lineRule="auto"/>
              <w:rPr>
                <w:rFonts w:cs="Arial"/>
                <w:szCs w:val="22"/>
              </w:rPr>
            </w:pPr>
          </w:p>
          <w:p w14:paraId="395514CB" w14:textId="77777777" w:rsidR="00F132B2" w:rsidRPr="0069218C" w:rsidRDefault="00802426" w:rsidP="00802426">
            <w:pPr>
              <w:spacing w:after="0" w:line="276" w:lineRule="auto"/>
              <w:rPr>
                <w:rFonts w:cs="Arial"/>
                <w:szCs w:val="22"/>
              </w:rPr>
            </w:pPr>
            <w:r>
              <w:rPr>
                <w:rFonts w:cs="Arial"/>
                <w:szCs w:val="22"/>
              </w:rPr>
              <w:t>As described above in 7.1 above</w:t>
            </w:r>
          </w:p>
        </w:tc>
      </w:tr>
    </w:tbl>
    <w:p w14:paraId="24E699F6" w14:textId="77777777" w:rsidR="00C2708A" w:rsidRPr="00B47208" w:rsidRDefault="00C2708A" w:rsidP="00466467">
      <w:pPr>
        <w:pStyle w:val="spacer"/>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4D63" w14:textId="77777777" w:rsidR="00A62443" w:rsidRDefault="00A62443">
      <w:pPr>
        <w:spacing w:after="0" w:line="240" w:lineRule="auto"/>
      </w:pPr>
      <w:r>
        <w:separator/>
      </w:r>
    </w:p>
  </w:endnote>
  <w:endnote w:type="continuationSeparator" w:id="0">
    <w:p w14:paraId="47DBD182" w14:textId="77777777" w:rsidR="00A62443" w:rsidRDefault="00A6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TsyIMFooter"/>
  <w:p w14:paraId="2F5B9243" w14:textId="77777777" w:rsidR="00DA06D7" w:rsidRDefault="00D10DA6" w:rsidP="00957BC2">
    <w:pPr>
      <w:pStyle w:val="Footer"/>
      <w:rPr>
        <w:sz w:val="14"/>
      </w:rPr>
    </w:pPr>
    <w:r>
      <w:rPr>
        <w:sz w:val="14"/>
      </w:rPr>
      <mc:AlternateContent>
        <mc:Choice Requires="wps">
          <w:drawing>
            <wp:anchor distT="0" distB="0" distL="114300" distR="114300" simplePos="0" relativeHeight="251657728" behindDoc="0" locked="0" layoutInCell="0" allowOverlap="1" wp14:anchorId="78F8154D" wp14:editId="6056294D">
              <wp:simplePos x="0" y="0"/>
              <wp:positionH relativeFrom="page">
                <wp:posOffset>0</wp:posOffset>
              </wp:positionH>
              <wp:positionV relativeFrom="page">
                <wp:posOffset>10234930</wp:posOffset>
              </wp:positionV>
              <wp:extent cx="7560310" cy="266700"/>
              <wp:effectExtent l="0" t="0" r="2540" b="4445"/>
              <wp:wrapNone/>
              <wp:docPr id="1" name="MSIPCM8de84ed1971706200191ef72" descr="{&quot;HashCode&quot;:4043168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5267" w14:textId="77777777" w:rsidR="00AD3DAC" w:rsidRPr="00AD3DAC" w:rsidRDefault="00AD3DAC" w:rsidP="00AD3DAC">
                          <w:pPr>
                            <w:spacing w:after="0"/>
                            <w:jc w:val="center"/>
                            <w:rPr>
                              <w:rFonts w:ascii="Verdana" w:hAnsi="Verdana"/>
                              <w:color w:val="000000"/>
                              <w:sz w:val="20"/>
                            </w:rPr>
                          </w:pPr>
                          <w:r w:rsidRPr="00AD3DAC">
                            <w:rPr>
                              <w:rFonts w:ascii="Verdana" w:hAnsi="Verdana"/>
                              <w:color w:val="000000"/>
                              <w:sz w:val="20"/>
                            </w:rPr>
                            <w:t>IN CONFIDENCE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de84ed1971706200191ef72"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" o:allowincell="f" filled="f" stroked="f">
              <v:textbox inset=",0,,0">
                <w:txbxContent>
                  <w:p w14:paraId="5F1E6BF6" w14:textId="77777777" w:rsidR="00AD3DAC" w:rsidRPr="00AD3DAC" w:rsidRDefault="00AD3DAC" w:rsidP="00AD3DAC">
                    <w:pPr>
                      <w:spacing w:after="0"/>
                      <w:jc w:val="center"/>
                      <w:rPr>
                        <w:rFonts w:ascii="Verdana" w:hAnsi="Verdana"/>
                        <w:color w:val="000000"/>
                        <w:sz w:val="20"/>
                      </w:rPr>
                    </w:pPr>
                    <w:r w:rsidRPr="00AD3DAC">
                      <w:rPr>
                        <w:rFonts w:ascii="Verdana" w:hAnsi="Verdana"/>
                        <w:color w:val="000000"/>
                        <w:sz w:val="20"/>
                      </w:rPr>
                      <w:t>IN CONFIDENCE</w:t>
                    </w:r>
                  </w:p>
                </w:txbxContent>
              </v:textbox>
              <w10:wrap anchorx="page" anchory="page"/>
            </v:shape>
          </w:pict>
        </mc:Fallback>
      </mc:AlternateContent>
    </w:r>
    <w:r w:rsidR="00DA06D7" w:rsidRPr="00DA06D7">
      <w:rPr>
        <w:sz w:val="14"/>
      </w:rPr>
      <w:t xml:space="preserve">Treasury:3720848v3 </w:t>
    </w:r>
    <w:bookmarkEnd w:id="6"/>
  </w:p>
  <w:p w14:paraId="6706F1C6" w14:textId="77777777" w:rsidR="00784C66" w:rsidRPr="00957BC2" w:rsidRDefault="00957BC2" w:rsidP="00957BC2">
    <w:pPr>
      <w:pStyle w:val="Footer"/>
    </w:pPr>
    <w:r w:rsidRPr="00957BC2">
      <w:t xml:space="preserve">  Impact Summary</w:t>
    </w:r>
    <w:r>
      <w:t xml:space="preserve"> Template</w:t>
    </w:r>
    <w:r w:rsidRP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293FDC">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3115" w14:textId="77777777" w:rsidR="00A62443" w:rsidRDefault="00A62443">
      <w:pPr>
        <w:spacing w:after="0" w:line="240" w:lineRule="auto"/>
      </w:pPr>
      <w:r>
        <w:separator/>
      </w:r>
    </w:p>
  </w:footnote>
  <w:footnote w:type="continuationSeparator" w:id="0">
    <w:p w14:paraId="2921C712" w14:textId="77777777" w:rsidR="00A62443" w:rsidRDefault="00A6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FF5A" w14:textId="77777777" w:rsidR="00784C66" w:rsidRPr="00EB1B21" w:rsidRDefault="002F57C1"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DF5C54"/>
    <w:multiLevelType w:val="hybridMultilevel"/>
    <w:tmpl w:val="B0C85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960F9D"/>
    <w:multiLevelType w:val="hybridMultilevel"/>
    <w:tmpl w:val="63D20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1CA2708"/>
    <w:multiLevelType w:val="hybridMultilevel"/>
    <w:tmpl w:val="520AA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0"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D263946"/>
    <w:multiLevelType w:val="hybridMultilevel"/>
    <w:tmpl w:val="DF460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844272"/>
    <w:multiLevelType w:val="hybridMultilevel"/>
    <w:tmpl w:val="B928D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17F5FB2"/>
    <w:multiLevelType w:val="hybridMultilevel"/>
    <w:tmpl w:val="0B169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217900"/>
    <w:multiLevelType w:val="hybridMultilevel"/>
    <w:tmpl w:val="7FBE0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6C349A"/>
    <w:multiLevelType w:val="hybridMultilevel"/>
    <w:tmpl w:val="7B3C0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7"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3993153"/>
    <w:multiLevelType w:val="multilevel"/>
    <w:tmpl w:val="C75A4F0A"/>
    <w:lvl w:ilvl="0">
      <w:start w:val="1"/>
      <w:numFmt w:val="decimal"/>
      <w:pStyle w:val="NumberedParagraphCabStandard"/>
      <w:lvlText w:val="%1."/>
      <w:lvlJc w:val="left"/>
      <w:pPr>
        <w:tabs>
          <w:tab w:val="num" w:pos="709"/>
        </w:tabs>
        <w:ind w:left="709" w:hanging="709"/>
      </w:pPr>
      <w:rPr>
        <w:rFonts w:ascii="Arial" w:hAnsi="Arial" w:cs="Times New Roman" w:hint="default"/>
        <w:b w:val="0"/>
        <w:sz w:val="24"/>
      </w:rPr>
    </w:lvl>
    <w:lvl w:ilvl="1">
      <w:start w:val="1"/>
      <w:numFmt w:val="decimal"/>
      <w:lvlText w:val="%1.%2"/>
      <w:lvlJc w:val="left"/>
      <w:pPr>
        <w:tabs>
          <w:tab w:val="num" w:pos="1418"/>
        </w:tabs>
        <w:ind w:left="1418" w:hanging="709"/>
      </w:pPr>
      <w:rPr>
        <w:rFonts w:ascii="Arial" w:hAnsi="Arial" w:cs="Times New Roman" w:hint="default"/>
        <w:sz w:val="24"/>
      </w:rPr>
    </w:lvl>
    <w:lvl w:ilvl="2">
      <w:start w:val="1"/>
      <w:numFmt w:val="decimal"/>
      <w:lvlText w:val="%1.%2.%3"/>
      <w:lvlJc w:val="left"/>
      <w:pPr>
        <w:tabs>
          <w:tab w:val="num" w:pos="2127"/>
        </w:tabs>
        <w:ind w:left="2127" w:hanging="709"/>
      </w:pPr>
      <w:rPr>
        <w:rFonts w:ascii="Arial" w:hAnsi="Arial" w:cs="Times New Roman" w:hint="default"/>
        <w:sz w:val="24"/>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32"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5"/>
  </w:num>
  <w:num w:numId="4">
    <w:abstractNumId w:val="14"/>
  </w:num>
  <w:num w:numId="5">
    <w:abstractNumId w:val="36"/>
  </w:num>
  <w:num w:numId="6">
    <w:abstractNumId w:val="30"/>
  </w:num>
  <w:num w:numId="7">
    <w:abstractNumId w:val="11"/>
  </w:num>
  <w:num w:numId="8">
    <w:abstractNumId w:val="16"/>
  </w:num>
  <w:num w:numId="9">
    <w:abstractNumId w:val="8"/>
  </w:num>
  <w:num w:numId="10">
    <w:abstractNumId w:val="23"/>
  </w:num>
  <w:num w:numId="11">
    <w:abstractNumId w:val="28"/>
  </w:num>
  <w:num w:numId="12">
    <w:abstractNumId w:val="6"/>
  </w:num>
  <w:num w:numId="13">
    <w:abstractNumId w:val="10"/>
  </w:num>
  <w:num w:numId="14">
    <w:abstractNumId w:val="17"/>
  </w:num>
  <w:num w:numId="15">
    <w:abstractNumId w:val="15"/>
  </w:num>
  <w:num w:numId="16">
    <w:abstractNumId w:val="7"/>
  </w:num>
  <w:num w:numId="17">
    <w:abstractNumId w:val="34"/>
  </w:num>
  <w:num w:numId="18">
    <w:abstractNumId w:val="4"/>
  </w:num>
  <w:num w:numId="19">
    <w:abstractNumId w:val="20"/>
  </w:num>
  <w:num w:numId="20">
    <w:abstractNumId w:val="33"/>
  </w:num>
  <w:num w:numId="21">
    <w:abstractNumId w:val="26"/>
  </w:num>
  <w:num w:numId="22">
    <w:abstractNumId w:val="9"/>
  </w:num>
  <w:num w:numId="23">
    <w:abstractNumId w:val="32"/>
  </w:num>
  <w:num w:numId="24">
    <w:abstractNumId w:val="29"/>
  </w:num>
  <w:num w:numId="25">
    <w:abstractNumId w:val="0"/>
  </w:num>
  <w:num w:numId="26">
    <w:abstractNumId w:val="21"/>
  </w:num>
  <w:num w:numId="27">
    <w:abstractNumId w:val="24"/>
  </w:num>
  <w:num w:numId="28">
    <w:abstractNumId w:val="27"/>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5"/>
  </w:num>
  <w:num w:numId="38">
    <w:abstractNumId w:val="18"/>
  </w:num>
  <w:num w:numId="39">
    <w:abstractNumId w:val="19"/>
  </w:num>
  <w:num w:numId="40">
    <w:abstractNumId w:val="13"/>
  </w:num>
  <w:num w:numId="41">
    <w:abstractNumId w:val="12"/>
  </w:num>
  <w:num w:numId="42">
    <w:abstractNumId w:val="5"/>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A5"/>
    <w:rsid w:val="00030EC1"/>
    <w:rsid w:val="0003500F"/>
    <w:rsid w:val="00051A88"/>
    <w:rsid w:val="000535CE"/>
    <w:rsid w:val="00056353"/>
    <w:rsid w:val="000717C0"/>
    <w:rsid w:val="00083861"/>
    <w:rsid w:val="0009009A"/>
    <w:rsid w:val="0009467F"/>
    <w:rsid w:val="000976C8"/>
    <w:rsid w:val="000A3146"/>
    <w:rsid w:val="000C3197"/>
    <w:rsid w:val="000C31D0"/>
    <w:rsid w:val="000C769D"/>
    <w:rsid w:val="000E180F"/>
    <w:rsid w:val="000F750B"/>
    <w:rsid w:val="00100007"/>
    <w:rsid w:val="00107F08"/>
    <w:rsid w:val="00131F4A"/>
    <w:rsid w:val="00144191"/>
    <w:rsid w:val="001624D2"/>
    <w:rsid w:val="00172C8C"/>
    <w:rsid w:val="001842B8"/>
    <w:rsid w:val="00190453"/>
    <w:rsid w:val="001A03D1"/>
    <w:rsid w:val="001A61B0"/>
    <w:rsid w:val="001B3E1F"/>
    <w:rsid w:val="001C6531"/>
    <w:rsid w:val="001D200F"/>
    <w:rsid w:val="001E0D43"/>
    <w:rsid w:val="002046DC"/>
    <w:rsid w:val="00207CEA"/>
    <w:rsid w:val="002106CB"/>
    <w:rsid w:val="00217894"/>
    <w:rsid w:val="00223E66"/>
    <w:rsid w:val="0024289C"/>
    <w:rsid w:val="00273A42"/>
    <w:rsid w:val="00275D0D"/>
    <w:rsid w:val="0029199E"/>
    <w:rsid w:val="00293FDC"/>
    <w:rsid w:val="002A56F0"/>
    <w:rsid w:val="002A6A33"/>
    <w:rsid w:val="002C43AB"/>
    <w:rsid w:val="002D54C0"/>
    <w:rsid w:val="002D5734"/>
    <w:rsid w:val="002D63C9"/>
    <w:rsid w:val="002D76B3"/>
    <w:rsid w:val="002E3CEE"/>
    <w:rsid w:val="002F57C1"/>
    <w:rsid w:val="0030117A"/>
    <w:rsid w:val="00304CE4"/>
    <w:rsid w:val="00316701"/>
    <w:rsid w:val="0032262A"/>
    <w:rsid w:val="00324230"/>
    <w:rsid w:val="00326BDA"/>
    <w:rsid w:val="00336018"/>
    <w:rsid w:val="0033708B"/>
    <w:rsid w:val="00353D15"/>
    <w:rsid w:val="003730F0"/>
    <w:rsid w:val="00380585"/>
    <w:rsid w:val="00382BC2"/>
    <w:rsid w:val="003B29A3"/>
    <w:rsid w:val="003C12FA"/>
    <w:rsid w:val="003D2B86"/>
    <w:rsid w:val="003D2D9D"/>
    <w:rsid w:val="003F0DF3"/>
    <w:rsid w:val="00403FCA"/>
    <w:rsid w:val="00420A6A"/>
    <w:rsid w:val="004347CA"/>
    <w:rsid w:val="00441C7C"/>
    <w:rsid w:val="00456ED6"/>
    <w:rsid w:val="00466467"/>
    <w:rsid w:val="00470D09"/>
    <w:rsid w:val="00472D95"/>
    <w:rsid w:val="004933E0"/>
    <w:rsid w:val="004949B0"/>
    <w:rsid w:val="004964A8"/>
    <w:rsid w:val="004976C6"/>
    <w:rsid w:val="004A192D"/>
    <w:rsid w:val="004A79D5"/>
    <w:rsid w:val="004B26AC"/>
    <w:rsid w:val="00521BDE"/>
    <w:rsid w:val="0053213E"/>
    <w:rsid w:val="005429F8"/>
    <w:rsid w:val="00546F69"/>
    <w:rsid w:val="00560F4F"/>
    <w:rsid w:val="00562BE6"/>
    <w:rsid w:val="00564647"/>
    <w:rsid w:val="00567434"/>
    <w:rsid w:val="005773D5"/>
    <w:rsid w:val="00580BDE"/>
    <w:rsid w:val="00585F37"/>
    <w:rsid w:val="005876C7"/>
    <w:rsid w:val="005876FF"/>
    <w:rsid w:val="005A3981"/>
    <w:rsid w:val="005B6B8E"/>
    <w:rsid w:val="005C35F6"/>
    <w:rsid w:val="005D0F5F"/>
    <w:rsid w:val="005D5BF0"/>
    <w:rsid w:val="006453E7"/>
    <w:rsid w:val="0065541C"/>
    <w:rsid w:val="0067537D"/>
    <w:rsid w:val="00676708"/>
    <w:rsid w:val="00686B28"/>
    <w:rsid w:val="0069218C"/>
    <w:rsid w:val="00695DAC"/>
    <w:rsid w:val="006A70C4"/>
    <w:rsid w:val="006B1547"/>
    <w:rsid w:val="006B4D2D"/>
    <w:rsid w:val="006C40C2"/>
    <w:rsid w:val="006D3130"/>
    <w:rsid w:val="006D5192"/>
    <w:rsid w:val="006F1B00"/>
    <w:rsid w:val="006F4195"/>
    <w:rsid w:val="006F5CEE"/>
    <w:rsid w:val="00704377"/>
    <w:rsid w:val="00705DEE"/>
    <w:rsid w:val="007164F6"/>
    <w:rsid w:val="00722ECC"/>
    <w:rsid w:val="00736E02"/>
    <w:rsid w:val="00756F2A"/>
    <w:rsid w:val="00771958"/>
    <w:rsid w:val="00774575"/>
    <w:rsid w:val="00783846"/>
    <w:rsid w:val="00784C66"/>
    <w:rsid w:val="007A088C"/>
    <w:rsid w:val="007C77B1"/>
    <w:rsid w:val="007E7578"/>
    <w:rsid w:val="007F4BC2"/>
    <w:rsid w:val="00800A3B"/>
    <w:rsid w:val="00800DEC"/>
    <w:rsid w:val="00802426"/>
    <w:rsid w:val="00826BE8"/>
    <w:rsid w:val="00864EBC"/>
    <w:rsid w:val="00865B0F"/>
    <w:rsid w:val="00871663"/>
    <w:rsid w:val="00872D60"/>
    <w:rsid w:val="00886DFF"/>
    <w:rsid w:val="00896B31"/>
    <w:rsid w:val="008A124E"/>
    <w:rsid w:val="008A6442"/>
    <w:rsid w:val="008B356F"/>
    <w:rsid w:val="008E0F12"/>
    <w:rsid w:val="008F44D7"/>
    <w:rsid w:val="00902AF8"/>
    <w:rsid w:val="009066D6"/>
    <w:rsid w:val="00913D7C"/>
    <w:rsid w:val="00913F6D"/>
    <w:rsid w:val="00915B04"/>
    <w:rsid w:val="00917A22"/>
    <w:rsid w:val="009247AF"/>
    <w:rsid w:val="00951ABE"/>
    <w:rsid w:val="00956FB1"/>
    <w:rsid w:val="00957445"/>
    <w:rsid w:val="00957BC2"/>
    <w:rsid w:val="0096111D"/>
    <w:rsid w:val="0096171D"/>
    <w:rsid w:val="00962209"/>
    <w:rsid w:val="00986DCD"/>
    <w:rsid w:val="00987CB1"/>
    <w:rsid w:val="009932EE"/>
    <w:rsid w:val="009A609B"/>
    <w:rsid w:val="009A7A20"/>
    <w:rsid w:val="009B4532"/>
    <w:rsid w:val="009C3DF5"/>
    <w:rsid w:val="00A063B5"/>
    <w:rsid w:val="00A146CA"/>
    <w:rsid w:val="00A33BA0"/>
    <w:rsid w:val="00A358C8"/>
    <w:rsid w:val="00A441F1"/>
    <w:rsid w:val="00A552DC"/>
    <w:rsid w:val="00A62443"/>
    <w:rsid w:val="00A66590"/>
    <w:rsid w:val="00A928B7"/>
    <w:rsid w:val="00AB73B3"/>
    <w:rsid w:val="00AD281C"/>
    <w:rsid w:val="00AD364F"/>
    <w:rsid w:val="00AD3DAC"/>
    <w:rsid w:val="00AE4238"/>
    <w:rsid w:val="00AE4D46"/>
    <w:rsid w:val="00AE74DD"/>
    <w:rsid w:val="00AF3223"/>
    <w:rsid w:val="00AF3A37"/>
    <w:rsid w:val="00B0035B"/>
    <w:rsid w:val="00B037EF"/>
    <w:rsid w:val="00B15F56"/>
    <w:rsid w:val="00B17B3C"/>
    <w:rsid w:val="00B20765"/>
    <w:rsid w:val="00B23E8A"/>
    <w:rsid w:val="00B274E5"/>
    <w:rsid w:val="00B4041D"/>
    <w:rsid w:val="00B41A98"/>
    <w:rsid w:val="00B47208"/>
    <w:rsid w:val="00B478FE"/>
    <w:rsid w:val="00B56E83"/>
    <w:rsid w:val="00B63AEE"/>
    <w:rsid w:val="00B6562B"/>
    <w:rsid w:val="00B73A97"/>
    <w:rsid w:val="00B75874"/>
    <w:rsid w:val="00B84503"/>
    <w:rsid w:val="00B952B7"/>
    <w:rsid w:val="00BA08C7"/>
    <w:rsid w:val="00BA18C4"/>
    <w:rsid w:val="00BC2351"/>
    <w:rsid w:val="00BC51B1"/>
    <w:rsid w:val="00BC617D"/>
    <w:rsid w:val="00BE4A62"/>
    <w:rsid w:val="00BE62EB"/>
    <w:rsid w:val="00BE6490"/>
    <w:rsid w:val="00C05A4B"/>
    <w:rsid w:val="00C16186"/>
    <w:rsid w:val="00C2708A"/>
    <w:rsid w:val="00C33D79"/>
    <w:rsid w:val="00C45246"/>
    <w:rsid w:val="00C52872"/>
    <w:rsid w:val="00C54F1E"/>
    <w:rsid w:val="00C668EB"/>
    <w:rsid w:val="00C75739"/>
    <w:rsid w:val="00C7655A"/>
    <w:rsid w:val="00C77099"/>
    <w:rsid w:val="00C810D9"/>
    <w:rsid w:val="00C93AA5"/>
    <w:rsid w:val="00CB1FD2"/>
    <w:rsid w:val="00CB7FF9"/>
    <w:rsid w:val="00CC203A"/>
    <w:rsid w:val="00CC7932"/>
    <w:rsid w:val="00CE0F5F"/>
    <w:rsid w:val="00CE3989"/>
    <w:rsid w:val="00CF0C99"/>
    <w:rsid w:val="00D019CB"/>
    <w:rsid w:val="00D10DA6"/>
    <w:rsid w:val="00D153DC"/>
    <w:rsid w:val="00D171C7"/>
    <w:rsid w:val="00D236C4"/>
    <w:rsid w:val="00D24298"/>
    <w:rsid w:val="00D26A33"/>
    <w:rsid w:val="00D90032"/>
    <w:rsid w:val="00D96D9E"/>
    <w:rsid w:val="00D9793F"/>
    <w:rsid w:val="00DA06D7"/>
    <w:rsid w:val="00DA0E15"/>
    <w:rsid w:val="00DA39FD"/>
    <w:rsid w:val="00DB46A6"/>
    <w:rsid w:val="00DD3CAE"/>
    <w:rsid w:val="00DE19C7"/>
    <w:rsid w:val="00E01A35"/>
    <w:rsid w:val="00E26E16"/>
    <w:rsid w:val="00E42E9F"/>
    <w:rsid w:val="00E57521"/>
    <w:rsid w:val="00E62373"/>
    <w:rsid w:val="00E666F3"/>
    <w:rsid w:val="00E66CC0"/>
    <w:rsid w:val="00E72412"/>
    <w:rsid w:val="00E82066"/>
    <w:rsid w:val="00E82637"/>
    <w:rsid w:val="00E92509"/>
    <w:rsid w:val="00E95647"/>
    <w:rsid w:val="00E96043"/>
    <w:rsid w:val="00E972A3"/>
    <w:rsid w:val="00E9759E"/>
    <w:rsid w:val="00EA2449"/>
    <w:rsid w:val="00EB0E8C"/>
    <w:rsid w:val="00EB7B64"/>
    <w:rsid w:val="00EC3D8D"/>
    <w:rsid w:val="00EC6FAD"/>
    <w:rsid w:val="00ED1D6B"/>
    <w:rsid w:val="00ED4082"/>
    <w:rsid w:val="00EE4E3B"/>
    <w:rsid w:val="00EE6150"/>
    <w:rsid w:val="00F01760"/>
    <w:rsid w:val="00F132B2"/>
    <w:rsid w:val="00F14105"/>
    <w:rsid w:val="00F272D4"/>
    <w:rsid w:val="00F44166"/>
    <w:rsid w:val="00F62911"/>
    <w:rsid w:val="00F63B99"/>
    <w:rsid w:val="00F72C9B"/>
    <w:rsid w:val="00F81C1E"/>
    <w:rsid w:val="00F82043"/>
    <w:rsid w:val="00FB1D55"/>
    <w:rsid w:val="00FB6DC8"/>
    <w:rsid w:val="00FD0D35"/>
    <w:rsid w:val="00FD5F1F"/>
    <w:rsid w:val="00FE691D"/>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1FBF"/>
  <w15:chartTrackingRefBased/>
  <w15:docId w15:val="{7FC27EF2-833C-454E-A4A3-F63B9F6B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93FDC"/>
    <w:pPr>
      <w:keepNext/>
      <w:spacing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957BC2"/>
    <w:pPr>
      <w:spacing w:after="0" w:line="240" w:lineRule="auto"/>
      <w:ind w:left="-1985"/>
      <w:jc w:val="right"/>
    </w:pPr>
    <w:rPr>
      <w:noProof/>
      <w:color w:val="0082AB"/>
      <w:spacing w:val="6"/>
      <w:sz w:val="16"/>
      <w:szCs w:val="16"/>
    </w:rPr>
  </w:style>
  <w:style w:type="character" w:customStyle="1" w:styleId="FooterChar">
    <w:name w:val="Footer Char"/>
    <w:link w:val="Footer"/>
    <w:rsid w:val="00957BC2"/>
    <w:rPr>
      <w:rFonts w:ascii="Arial" w:eastAsia="Times New Roman" w:hAnsi="Arial" w:cs="Times New Roman"/>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29"/>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293FDC"/>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NumberedParagraphCabStandard">
    <w:name w:val="Numbered Paragraph (CabStandard)"/>
    <w:basedOn w:val="Normal"/>
    <w:qFormat/>
    <w:rsid w:val="00A928B7"/>
    <w:pPr>
      <w:numPr>
        <w:numId w:val="35"/>
      </w:numPr>
      <w:tabs>
        <w:tab w:val="clear" w:pos="709"/>
      </w:tabs>
      <w:spacing w:line="240" w:lineRule="auto"/>
      <w:ind w:left="360" w:hanging="360"/>
      <w:jc w:val="both"/>
    </w:pPr>
    <w:rPr>
      <w:rFonts w:eastAsia="Calibri"/>
      <w:sz w:val="24"/>
      <w:szCs w:val="23"/>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8290">
      <w:bodyDiv w:val="1"/>
      <w:marLeft w:val="0"/>
      <w:marRight w:val="0"/>
      <w:marTop w:val="0"/>
      <w:marBottom w:val="0"/>
      <w:divBdr>
        <w:top w:val="none" w:sz="0" w:space="0" w:color="auto"/>
        <w:left w:val="none" w:sz="0" w:space="0" w:color="auto"/>
        <w:bottom w:val="none" w:sz="0" w:space="0" w:color="auto"/>
        <w:right w:val="none" w:sz="0" w:space="0" w:color="auto"/>
      </w:divBdr>
    </w:div>
    <w:div w:id="395012347">
      <w:bodyDiv w:val="1"/>
      <w:marLeft w:val="0"/>
      <w:marRight w:val="0"/>
      <w:marTop w:val="0"/>
      <w:marBottom w:val="0"/>
      <w:divBdr>
        <w:top w:val="none" w:sz="0" w:space="0" w:color="auto"/>
        <w:left w:val="none" w:sz="0" w:space="0" w:color="auto"/>
        <w:bottom w:val="none" w:sz="0" w:space="0" w:color="auto"/>
        <w:right w:val="none" w:sz="0" w:space="0" w:color="auto"/>
      </w:divBdr>
    </w:div>
    <w:div w:id="630131972">
      <w:bodyDiv w:val="1"/>
      <w:marLeft w:val="0"/>
      <w:marRight w:val="0"/>
      <w:marTop w:val="0"/>
      <w:marBottom w:val="0"/>
      <w:divBdr>
        <w:top w:val="none" w:sz="0" w:space="0" w:color="auto"/>
        <w:left w:val="none" w:sz="0" w:space="0" w:color="auto"/>
        <w:bottom w:val="none" w:sz="0" w:space="0" w:color="auto"/>
        <w:right w:val="none" w:sz="0" w:space="0" w:color="auto"/>
      </w:divBdr>
    </w:div>
    <w:div w:id="688069004">
      <w:bodyDiv w:val="1"/>
      <w:marLeft w:val="0"/>
      <w:marRight w:val="0"/>
      <w:marTop w:val="0"/>
      <w:marBottom w:val="0"/>
      <w:divBdr>
        <w:top w:val="none" w:sz="0" w:space="0" w:color="auto"/>
        <w:left w:val="none" w:sz="0" w:space="0" w:color="auto"/>
        <w:bottom w:val="none" w:sz="0" w:space="0" w:color="auto"/>
        <w:right w:val="none" w:sz="0" w:space="0" w:color="auto"/>
      </w:divBdr>
    </w:div>
    <w:div w:id="803498267">
      <w:bodyDiv w:val="1"/>
      <w:marLeft w:val="0"/>
      <w:marRight w:val="0"/>
      <w:marTop w:val="0"/>
      <w:marBottom w:val="0"/>
      <w:divBdr>
        <w:top w:val="none" w:sz="0" w:space="0" w:color="auto"/>
        <w:left w:val="none" w:sz="0" w:space="0" w:color="auto"/>
        <w:bottom w:val="none" w:sz="0" w:space="0" w:color="auto"/>
        <w:right w:val="none" w:sz="0" w:space="0" w:color="auto"/>
      </w:divBdr>
    </w:div>
    <w:div w:id="1124542532">
      <w:bodyDiv w:val="1"/>
      <w:marLeft w:val="0"/>
      <w:marRight w:val="0"/>
      <w:marTop w:val="0"/>
      <w:marBottom w:val="0"/>
      <w:divBdr>
        <w:top w:val="none" w:sz="0" w:space="0" w:color="auto"/>
        <w:left w:val="none" w:sz="0" w:space="0" w:color="auto"/>
        <w:bottom w:val="none" w:sz="0" w:space="0" w:color="auto"/>
        <w:right w:val="none" w:sz="0" w:space="0" w:color="auto"/>
      </w:divBdr>
    </w:div>
    <w:div w:id="1146430111">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Regulatory impact assessment - Lowering the student loan repayment threshold for non-salary and wage income and repealing withholding changes for student loan income (18 September 2019)</vt:lpstr>
    </vt:vector>
  </TitlesOfParts>
  <Company>Inland Revenue</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Lowering the student loan repayment threshold for non-salary and wage income and repealing withholding changes for student loan income (18 September 2019)</dc:title>
  <dc:subject/>
  <dc:creator>Policy and Strategy</dc:creator>
  <cp:keywords/>
  <dc:description/>
  <cp:revision>2</cp:revision>
  <dcterms:created xsi:type="dcterms:W3CDTF">2020-01-17T23:39:00Z</dcterms:created>
  <dcterms:modified xsi:type="dcterms:W3CDTF">2020-01-17T23:39:00Z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