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0000" w:themeColor="text1"/>
        </w:rPr>
        <w:alias w:val="Security Classification"/>
        <w:tag w:val="Security Classification"/>
        <w:id w:val="1617165177"/>
        <w:placeholder>
          <w:docPart w:val="A6AE3E22CE1D4847849EF3C201C2158D"/>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521E5766" w14:textId="77777777" w:rsidR="00125D95" w:rsidRPr="00914E63" w:rsidRDefault="0033168A" w:rsidP="00125D95">
          <w:pPr>
            <w:rPr>
              <w:color w:val="000000" w:themeColor="text1"/>
            </w:rPr>
          </w:pPr>
          <w:r w:rsidRPr="00914E63">
            <w:rPr>
              <w:color w:val="000000" w:themeColor="text1"/>
            </w:rPr>
            <w:t>Sensitive</w:t>
          </w:r>
        </w:p>
      </w:sdtContent>
    </w:sdt>
    <w:p w14:paraId="710BBB58" w14:textId="77777777" w:rsidR="00125D95" w:rsidRPr="00914E63" w:rsidRDefault="00125D95" w:rsidP="00125D95">
      <w:pPr>
        <w:rPr>
          <w:color w:val="000000" w:themeColor="text1"/>
        </w:rPr>
      </w:pPr>
    </w:p>
    <w:p w14:paraId="6A1F1042" w14:textId="77777777" w:rsidR="00125D95" w:rsidRPr="00914E63" w:rsidRDefault="00125D95" w:rsidP="00125D95">
      <w:pPr>
        <w:rPr>
          <w:color w:val="000000" w:themeColor="text1"/>
        </w:rPr>
      </w:pPr>
      <w:r w:rsidRPr="00914E63">
        <w:rPr>
          <w:color w:val="000000" w:themeColor="text1"/>
        </w:rPr>
        <w:t xml:space="preserve">Office of the Minister </w:t>
      </w:r>
      <w:r w:rsidR="008F554C" w:rsidRPr="00914E63">
        <w:rPr>
          <w:color w:val="000000" w:themeColor="text1"/>
        </w:rPr>
        <w:t>of Revenue</w:t>
      </w:r>
    </w:p>
    <w:p w14:paraId="44BFA664" w14:textId="77777777" w:rsidR="00125D95" w:rsidRPr="00914E63" w:rsidRDefault="00125D95" w:rsidP="00125D95">
      <w:pPr>
        <w:rPr>
          <w:color w:val="000000" w:themeColor="text1"/>
        </w:rPr>
      </w:pPr>
      <w:r w:rsidRPr="00914E63">
        <w:rPr>
          <w:color w:val="000000" w:themeColor="text1"/>
        </w:rPr>
        <w:t>Chair, Cabinet</w:t>
      </w:r>
      <w:r w:rsidR="00FE2267" w:rsidRPr="00914E63">
        <w:rPr>
          <w:color w:val="000000" w:themeColor="text1"/>
        </w:rPr>
        <w:t xml:space="preserve"> </w:t>
      </w:r>
      <w:r w:rsidR="008F554C" w:rsidRPr="00914E63">
        <w:rPr>
          <w:color w:val="000000" w:themeColor="text1"/>
        </w:rPr>
        <w:t>Economic Development Committee</w:t>
      </w:r>
    </w:p>
    <w:p w14:paraId="075F322F" w14:textId="77777777" w:rsidR="008F554C" w:rsidRPr="00914E63" w:rsidRDefault="008F554C" w:rsidP="00125D95">
      <w:pPr>
        <w:rPr>
          <w:color w:val="000000" w:themeColor="text1"/>
        </w:rPr>
      </w:pPr>
    </w:p>
    <w:p w14:paraId="6A14DF1B" w14:textId="77777777" w:rsidR="00125D95" w:rsidRPr="00914E63" w:rsidRDefault="008F554C" w:rsidP="00125D95">
      <w:pPr>
        <w:pStyle w:val="Title"/>
        <w:rPr>
          <w:b w:val="0"/>
          <w:color w:val="000000" w:themeColor="text1"/>
        </w:rPr>
      </w:pPr>
      <w:r w:rsidRPr="00914E63">
        <w:rPr>
          <w:color w:val="000000" w:themeColor="text1"/>
        </w:rPr>
        <w:t>purchase price allocation issues paper</w:t>
      </w:r>
    </w:p>
    <w:p w14:paraId="3DC00B31" w14:textId="77777777" w:rsidR="00125D95" w:rsidRPr="00914E63" w:rsidRDefault="00125D95" w:rsidP="00125D95">
      <w:pPr>
        <w:pStyle w:val="Heading1"/>
        <w:rPr>
          <w:color w:val="000000" w:themeColor="text1"/>
        </w:rPr>
      </w:pPr>
      <w:r w:rsidRPr="00914E63">
        <w:rPr>
          <w:color w:val="000000" w:themeColor="text1"/>
        </w:rPr>
        <w:t>Proposal</w:t>
      </w:r>
    </w:p>
    <w:p w14:paraId="0B7A1E5C" w14:textId="77777777" w:rsidR="008F554C" w:rsidRPr="00914E63" w:rsidRDefault="008F554C" w:rsidP="008F554C">
      <w:pPr>
        <w:pStyle w:val="NumberedParagraphCabStandard"/>
        <w:rPr>
          <w:b/>
          <w:bCs/>
          <w:color w:val="000000" w:themeColor="text1"/>
        </w:rPr>
      </w:pPr>
      <w:r w:rsidRPr="00914E63">
        <w:rPr>
          <w:color w:val="000000" w:themeColor="text1"/>
        </w:rPr>
        <w:t xml:space="preserve">This paper seeks the Cabinet Economic Development Committee’s agreement to the release of an officials’ issues paper, </w:t>
      </w:r>
      <w:r w:rsidRPr="00914E63">
        <w:rPr>
          <w:i/>
          <w:color w:val="000000" w:themeColor="text1"/>
        </w:rPr>
        <w:t>Purchase price allocation</w:t>
      </w:r>
      <w:r w:rsidRPr="00914E63">
        <w:rPr>
          <w:color w:val="000000" w:themeColor="text1"/>
        </w:rPr>
        <w:t>, for public consultation.</w:t>
      </w:r>
    </w:p>
    <w:p w14:paraId="66EB74CE" w14:textId="77777777" w:rsidR="00125D95" w:rsidRPr="00914E63" w:rsidRDefault="00C65945" w:rsidP="00C65945">
      <w:pPr>
        <w:pStyle w:val="Heading1"/>
        <w:rPr>
          <w:color w:val="000000" w:themeColor="text1"/>
        </w:rPr>
      </w:pPr>
      <w:r w:rsidRPr="00914E63">
        <w:rPr>
          <w:color w:val="000000" w:themeColor="text1"/>
        </w:rPr>
        <w:t>Executive Summary</w:t>
      </w:r>
    </w:p>
    <w:p w14:paraId="71ECE451" w14:textId="77777777" w:rsidR="005B05D3" w:rsidRPr="00914E63" w:rsidRDefault="00A246C4" w:rsidP="00C65945">
      <w:pPr>
        <w:pStyle w:val="NumberedParagraphCabStandard"/>
        <w:rPr>
          <w:color w:val="000000" w:themeColor="text1"/>
        </w:rPr>
      </w:pPr>
      <w:r w:rsidRPr="00914E63">
        <w:rPr>
          <w:color w:val="000000" w:themeColor="text1"/>
        </w:rPr>
        <w:t>In September, the Government announced two tax policy initiatives to support the Economic Plan – a law change to provide greater deductibility of feasibility and other currently non-deductible expenditure; and public consultation on options to relax the tax loss continuity rules and review the research and development tax loss cash out scheme introduced in 2016</w:t>
      </w:r>
      <w:r w:rsidR="005B05D3" w:rsidRPr="00914E63">
        <w:rPr>
          <w:color w:val="000000" w:themeColor="text1"/>
        </w:rPr>
        <w:t>.</w:t>
      </w:r>
      <w:r w:rsidRPr="00914E63">
        <w:rPr>
          <w:color w:val="000000" w:themeColor="text1"/>
        </w:rPr>
        <w:t xml:space="preserve"> </w:t>
      </w:r>
    </w:p>
    <w:p w14:paraId="27FFDD54" w14:textId="77777777" w:rsidR="005B05D3" w:rsidRPr="00914E63" w:rsidRDefault="005B05D3" w:rsidP="00C65945">
      <w:pPr>
        <w:pStyle w:val="NumberedParagraphCabStandard"/>
        <w:rPr>
          <w:color w:val="000000" w:themeColor="text1"/>
        </w:rPr>
      </w:pPr>
      <w:r w:rsidRPr="00914E63">
        <w:rPr>
          <w:color w:val="000000" w:themeColor="text1"/>
        </w:rPr>
        <w:t>In approving these measures, Cabinet noted these initiatives were part of a package of proposed business-related tax initiatives in the Government’s Tax Policy Work Programme, including some items that raise revenue (DEV-19-MIN-0255).</w:t>
      </w:r>
    </w:p>
    <w:p w14:paraId="1DDABA8E" w14:textId="732E6168" w:rsidR="007075ED" w:rsidRPr="00914E63" w:rsidRDefault="005B05D3" w:rsidP="00914E63">
      <w:pPr>
        <w:pStyle w:val="NumberedParagraphCabStandard"/>
        <w:rPr>
          <w:color w:val="000000" w:themeColor="text1"/>
        </w:rPr>
      </w:pPr>
      <w:r w:rsidRPr="00914E63">
        <w:rPr>
          <w:color w:val="000000" w:themeColor="text1"/>
        </w:rPr>
        <w:t xml:space="preserve">One of these items is the purchase price allocation initiative. </w:t>
      </w:r>
      <w:r w:rsidR="007075ED" w:rsidRPr="00914E63">
        <w:rPr>
          <w:color w:val="000000" w:themeColor="text1"/>
        </w:rPr>
        <w:t>This is an integrity measure which is aimed at increasing the efficiency of the tax system and ensuring that sales of businesses and commercial property (in particular) do not lead to an inappropriate income tax reduction.</w:t>
      </w:r>
      <w:r w:rsidR="002A7392">
        <w:rPr>
          <w:color w:val="000000" w:themeColor="text1"/>
        </w:rPr>
        <w:t xml:space="preserve">  The integrity of the tax system </w:t>
      </w:r>
      <w:r w:rsidR="00CD4AC6">
        <w:rPr>
          <w:color w:val="000000" w:themeColor="text1"/>
        </w:rPr>
        <w:t xml:space="preserve">was an important theme emphasised by the Tax Working Group and work in this area has been prioritised following </w:t>
      </w:r>
      <w:r w:rsidR="0031392E">
        <w:rPr>
          <w:color w:val="000000" w:themeColor="text1"/>
        </w:rPr>
        <w:t>the Group’s final report.</w:t>
      </w:r>
      <w:r w:rsidR="00CD4AC6">
        <w:rPr>
          <w:color w:val="000000" w:themeColor="text1"/>
        </w:rPr>
        <w:t xml:space="preserve"> </w:t>
      </w:r>
    </w:p>
    <w:p w14:paraId="6B33A7A9" w14:textId="77777777" w:rsidR="00524B32" w:rsidRDefault="00524B32" w:rsidP="00524B32">
      <w:pPr>
        <w:pStyle w:val="NumberedParagraphCabStandard"/>
        <w:rPr>
          <w:color w:val="000000" w:themeColor="text1"/>
        </w:rPr>
      </w:pPr>
      <w:r w:rsidRPr="00914E63">
        <w:rPr>
          <w:color w:val="000000" w:themeColor="text1"/>
        </w:rPr>
        <w:t>A number of sizeable transactions, particularly in relation to commercial property, have been identified by Inland Revenue with differences between the seller’s and the purchaser’s allocations, sometimes in the tens of millions of dollars. This discrepancy is, in effect, an unintended subsidy from the government.</w:t>
      </w:r>
    </w:p>
    <w:p w14:paraId="37B3E293" w14:textId="539CA0C3" w:rsidR="00524B32" w:rsidRPr="00914E63" w:rsidRDefault="00337BFE" w:rsidP="00524B32">
      <w:pPr>
        <w:pStyle w:val="NumberedParagraphCabStandard"/>
        <w:rPr>
          <w:color w:val="000000" w:themeColor="text1"/>
        </w:rPr>
      </w:pPr>
      <w:r w:rsidRPr="00914E63">
        <w:rPr>
          <w:color w:val="000000" w:themeColor="text1"/>
        </w:rPr>
        <w:t xml:space="preserve">The </w:t>
      </w:r>
      <w:r w:rsidR="00ED5E20">
        <w:rPr>
          <w:color w:val="000000" w:themeColor="text1"/>
        </w:rPr>
        <w:t>g</w:t>
      </w:r>
      <w:r w:rsidRPr="00914E63">
        <w:rPr>
          <w:color w:val="000000" w:themeColor="text1"/>
        </w:rPr>
        <w:t xml:space="preserve">overnment is </w:t>
      </w:r>
      <w:r w:rsidR="005B05D3" w:rsidRPr="00914E63">
        <w:rPr>
          <w:color w:val="000000" w:themeColor="text1"/>
        </w:rPr>
        <w:t xml:space="preserve">currently </w:t>
      </w:r>
      <w:r w:rsidRPr="00914E63">
        <w:rPr>
          <w:color w:val="000000" w:themeColor="text1"/>
        </w:rPr>
        <w:t xml:space="preserve">missing out on an estimated </w:t>
      </w:r>
      <w:r w:rsidR="00BD2E0D" w:rsidRPr="00F40841">
        <w:rPr>
          <w:color w:val="000000" w:themeColor="text1"/>
          <w:highlight w:val="lightGray"/>
        </w:rPr>
        <w:t>s 9(2)(f)(iv)</w:t>
      </w:r>
      <w:r w:rsidR="00F40841" w:rsidRPr="00F40841">
        <w:rPr>
          <w:color w:val="000000" w:themeColor="text1"/>
          <w:highlight w:val="lightGray"/>
        </w:rPr>
        <w:t xml:space="preserve"> </w:t>
      </w:r>
      <w:r w:rsidR="00F40841" w:rsidRPr="00F40841">
        <w:rPr>
          <w:color w:val="D9D9D9" w:themeColor="background1" w:themeShade="D9"/>
          <w:highlight w:val="lightGray"/>
        </w:rPr>
        <w:t>….</w:t>
      </w:r>
      <w:r w:rsidRPr="00914E63">
        <w:rPr>
          <w:color w:val="000000" w:themeColor="text1"/>
        </w:rPr>
        <w:t xml:space="preserve"> of tax revenue per annum, </w:t>
      </w:r>
      <w:r w:rsidR="005B05D3" w:rsidRPr="00914E63">
        <w:rPr>
          <w:color w:val="000000" w:themeColor="text1"/>
        </w:rPr>
        <w:t>as a result of a gap in the law</w:t>
      </w:r>
      <w:r w:rsidR="007075ED" w:rsidRPr="00914E63">
        <w:rPr>
          <w:color w:val="000000" w:themeColor="text1"/>
        </w:rPr>
        <w:t xml:space="preserve"> that allows the buyer and the seller to adopt different asset valuations for tax purposes in respect of the same sale transaction. This arbitrage can result in the seller treating the sale proceeds as non-taxable capital gains and the purchaser treating the purchase price as deductible/depreciable</w:t>
      </w:r>
      <w:r w:rsidR="00524B32">
        <w:rPr>
          <w:color w:val="000000" w:themeColor="text1"/>
        </w:rPr>
        <w:t>.</w:t>
      </w:r>
    </w:p>
    <w:p w14:paraId="0B07F5B3" w14:textId="77777777" w:rsidR="001F6D83" w:rsidRPr="00914E63" w:rsidRDefault="008F554C" w:rsidP="00C65945">
      <w:pPr>
        <w:pStyle w:val="NumberedParagraphCabStandard"/>
        <w:rPr>
          <w:color w:val="000000" w:themeColor="text1"/>
        </w:rPr>
      </w:pPr>
      <w:r w:rsidRPr="00914E63">
        <w:rPr>
          <w:color w:val="000000" w:themeColor="text1"/>
        </w:rPr>
        <w:t xml:space="preserve">The issues paper </w:t>
      </w:r>
      <w:r w:rsidR="005B05D3" w:rsidRPr="00914E63">
        <w:rPr>
          <w:color w:val="000000" w:themeColor="text1"/>
        </w:rPr>
        <w:t xml:space="preserve">seeks feedback on possible </w:t>
      </w:r>
      <w:r w:rsidRPr="00914E63">
        <w:rPr>
          <w:color w:val="000000" w:themeColor="text1"/>
        </w:rPr>
        <w:t xml:space="preserve">changes to the tax rules </w:t>
      </w:r>
      <w:r w:rsidR="00E730C7" w:rsidRPr="00914E63">
        <w:rPr>
          <w:color w:val="000000" w:themeColor="text1"/>
        </w:rPr>
        <w:t xml:space="preserve">to correct this anomaly. </w:t>
      </w:r>
    </w:p>
    <w:p w14:paraId="4B6994C4" w14:textId="77777777" w:rsidR="00524B32" w:rsidRDefault="001F6D83" w:rsidP="00524B32">
      <w:pPr>
        <w:pStyle w:val="NumberedParagraphCabStandard"/>
        <w:rPr>
          <w:color w:val="000000" w:themeColor="text1"/>
        </w:rPr>
      </w:pPr>
      <w:r w:rsidRPr="00914E63">
        <w:rPr>
          <w:color w:val="000000" w:themeColor="text1"/>
        </w:rPr>
        <w:t xml:space="preserve">The purpose of these </w:t>
      </w:r>
      <w:r w:rsidR="001D0AC8" w:rsidRPr="00914E63">
        <w:rPr>
          <w:color w:val="000000" w:themeColor="text1"/>
        </w:rPr>
        <w:t xml:space="preserve">proposed </w:t>
      </w:r>
      <w:r w:rsidRPr="00914E63">
        <w:rPr>
          <w:color w:val="000000" w:themeColor="text1"/>
        </w:rPr>
        <w:t xml:space="preserve">changes is to reinforce the integrity of the tax system by </w:t>
      </w:r>
      <w:r w:rsidR="007075ED" w:rsidRPr="00914E63">
        <w:rPr>
          <w:color w:val="000000" w:themeColor="text1"/>
        </w:rPr>
        <w:t>requiring</w:t>
      </w:r>
      <w:r w:rsidRPr="00914E63">
        <w:rPr>
          <w:color w:val="000000" w:themeColor="text1"/>
        </w:rPr>
        <w:t xml:space="preserve"> the buyer and the seller</w:t>
      </w:r>
      <w:r w:rsidR="007075ED" w:rsidRPr="00914E63">
        <w:rPr>
          <w:color w:val="000000" w:themeColor="text1"/>
        </w:rPr>
        <w:t xml:space="preserve"> to ascribe the same value to the assets sold</w:t>
      </w:r>
      <w:r w:rsidRPr="00914E63">
        <w:rPr>
          <w:color w:val="000000" w:themeColor="text1"/>
        </w:rPr>
        <w:t xml:space="preserve">. </w:t>
      </w:r>
    </w:p>
    <w:p w14:paraId="2C7CFAA5" w14:textId="7792BE54" w:rsidR="001F6D83" w:rsidRPr="00524B32" w:rsidRDefault="00524B32" w:rsidP="00524B32">
      <w:pPr>
        <w:pStyle w:val="NumberedParagraphCabStandard"/>
        <w:rPr>
          <w:color w:val="000000" w:themeColor="text1"/>
        </w:rPr>
      </w:pPr>
      <w:r w:rsidRPr="00914E63">
        <w:rPr>
          <w:color w:val="000000" w:themeColor="text1"/>
        </w:rPr>
        <w:lastRenderedPageBreak/>
        <w:t xml:space="preserve">The estimated revenue raised by </w:t>
      </w:r>
      <w:r>
        <w:rPr>
          <w:color w:val="000000" w:themeColor="text1"/>
        </w:rPr>
        <w:t>these changes (if they</w:t>
      </w:r>
      <w:r w:rsidRPr="00914E63">
        <w:rPr>
          <w:color w:val="000000" w:themeColor="text1"/>
        </w:rPr>
        <w:t xml:space="preserve"> were to be adopted)</w:t>
      </w:r>
      <w:r>
        <w:rPr>
          <w:color w:val="000000" w:themeColor="text1"/>
        </w:rPr>
        <w:t xml:space="preserve"> </w:t>
      </w:r>
      <w:r w:rsidRPr="00914E63">
        <w:rPr>
          <w:color w:val="000000" w:themeColor="text1"/>
        </w:rPr>
        <w:t xml:space="preserve">is approximately </w:t>
      </w:r>
      <w:r w:rsidR="00F40841" w:rsidRPr="00F40841">
        <w:rPr>
          <w:color w:val="000000" w:themeColor="text1"/>
          <w:highlight w:val="lightGray"/>
        </w:rPr>
        <w:t xml:space="preserve">s 9(2)(f)(iv) </w:t>
      </w:r>
      <w:r w:rsidRPr="00914E63">
        <w:rPr>
          <w:color w:val="000000" w:themeColor="text1"/>
        </w:rPr>
        <w:t xml:space="preserve"> over the forecast period. </w:t>
      </w:r>
    </w:p>
    <w:p w14:paraId="51A864CE" w14:textId="4AC7DEBC" w:rsidR="001F6D83" w:rsidRPr="00914E63" w:rsidRDefault="00376DE7" w:rsidP="001F6D83">
      <w:pPr>
        <w:pStyle w:val="NumberedParagraphCabStandard"/>
        <w:rPr>
          <w:color w:val="000000" w:themeColor="text1"/>
        </w:rPr>
      </w:pPr>
      <w:r>
        <w:rPr>
          <w:color w:val="000000" w:themeColor="text1"/>
        </w:rPr>
        <w:t>I am also</w:t>
      </w:r>
      <w:r w:rsidRPr="00914E63">
        <w:rPr>
          <w:color w:val="000000" w:themeColor="text1"/>
        </w:rPr>
        <w:t xml:space="preserve"> seeking Cabinet’s approval to delegate final policy decision</w:t>
      </w:r>
      <w:r w:rsidR="00CF0B96">
        <w:rPr>
          <w:color w:val="000000" w:themeColor="text1"/>
        </w:rPr>
        <w:t>-</w:t>
      </w:r>
      <w:r w:rsidRPr="00914E63">
        <w:rPr>
          <w:color w:val="000000" w:themeColor="text1"/>
        </w:rPr>
        <w:t xml:space="preserve">making to the Minister of Finance and the Minister of Revenue. </w:t>
      </w:r>
      <w:r>
        <w:rPr>
          <w:color w:val="000000" w:themeColor="text1"/>
        </w:rPr>
        <w:t xml:space="preserve">This is </w:t>
      </w:r>
      <w:r w:rsidR="00662481" w:rsidRPr="00914E63">
        <w:rPr>
          <w:color w:val="000000" w:themeColor="text1"/>
        </w:rPr>
        <w:t>to ensure the changes can be implemented for t</w:t>
      </w:r>
      <w:r w:rsidR="00375EA8">
        <w:rPr>
          <w:color w:val="000000" w:themeColor="text1"/>
        </w:rPr>
        <w:t xml:space="preserve">ransactions </w:t>
      </w:r>
      <w:r w:rsidR="00F82737">
        <w:rPr>
          <w:color w:val="000000" w:themeColor="text1"/>
        </w:rPr>
        <w:t xml:space="preserve">occurring on or after 1 April </w:t>
      </w:r>
      <w:r w:rsidR="007E6447">
        <w:rPr>
          <w:color w:val="000000" w:themeColor="text1"/>
        </w:rPr>
        <w:t>20</w:t>
      </w:r>
      <w:r w:rsidR="00662481" w:rsidRPr="00914E63">
        <w:rPr>
          <w:color w:val="000000" w:themeColor="text1"/>
        </w:rPr>
        <w:t xml:space="preserve">21 and the revenue raised can be </w:t>
      </w:r>
      <w:r w:rsidR="00524B32">
        <w:rPr>
          <w:color w:val="000000" w:themeColor="text1"/>
        </w:rPr>
        <w:t>used to increase gross spending</w:t>
      </w:r>
      <w:r w:rsidR="00662481" w:rsidRPr="00914E63">
        <w:rPr>
          <w:color w:val="000000" w:themeColor="text1"/>
        </w:rPr>
        <w:t xml:space="preserve"> for Budget 2020,</w:t>
      </w:r>
      <w:r>
        <w:rPr>
          <w:color w:val="000000" w:themeColor="text1"/>
        </w:rPr>
        <w:t xml:space="preserve"> if we decide to proceed with changes to the law following public consultation.</w:t>
      </w:r>
      <w:r w:rsidR="00662481" w:rsidRPr="00914E63">
        <w:rPr>
          <w:color w:val="000000" w:themeColor="text1"/>
        </w:rPr>
        <w:t xml:space="preserve"> </w:t>
      </w:r>
    </w:p>
    <w:p w14:paraId="44301D02" w14:textId="77777777" w:rsidR="00125D95" w:rsidRPr="00914E63" w:rsidRDefault="001F6D83" w:rsidP="00C65945">
      <w:pPr>
        <w:pStyle w:val="Heading1"/>
        <w:rPr>
          <w:color w:val="000000" w:themeColor="text1"/>
        </w:rPr>
      </w:pPr>
      <w:r w:rsidRPr="00914E63">
        <w:rPr>
          <w:color w:val="000000" w:themeColor="text1"/>
        </w:rPr>
        <w:t xml:space="preserve"> Background</w:t>
      </w:r>
    </w:p>
    <w:p w14:paraId="04D5BE55" w14:textId="77777777" w:rsidR="00B04E4C" w:rsidRPr="00914E63" w:rsidRDefault="00B04E4C" w:rsidP="001F6D83">
      <w:pPr>
        <w:pStyle w:val="NumberedParagraphCabStandard"/>
        <w:rPr>
          <w:color w:val="000000" w:themeColor="text1"/>
        </w:rPr>
      </w:pPr>
      <w:r w:rsidRPr="00914E63">
        <w:rPr>
          <w:color w:val="000000" w:themeColor="text1"/>
        </w:rPr>
        <w:t xml:space="preserve">When a bundle of assets with different tax treatments is sold, both the vendor and the purchaser need to allocate the global price between the different assets to determine their tax </w:t>
      </w:r>
      <w:r w:rsidR="00662481" w:rsidRPr="00914E63">
        <w:rPr>
          <w:color w:val="000000" w:themeColor="text1"/>
        </w:rPr>
        <w:t>treatment</w:t>
      </w:r>
      <w:r w:rsidRPr="00914E63">
        <w:rPr>
          <w:color w:val="000000" w:themeColor="text1"/>
        </w:rPr>
        <w:t xml:space="preserve">. Sales of businesses and commercial properties (land, buildings and fit out) tend to be the largest transactions of this kind, </w:t>
      </w:r>
      <w:r w:rsidR="000B3827" w:rsidRPr="00914E63">
        <w:rPr>
          <w:color w:val="000000" w:themeColor="text1"/>
        </w:rPr>
        <w:t>but</w:t>
      </w:r>
      <w:r w:rsidRPr="00914E63">
        <w:rPr>
          <w:color w:val="000000" w:themeColor="text1"/>
        </w:rPr>
        <w:t xml:space="preserve"> sales of </w:t>
      </w:r>
      <w:r w:rsidR="00B82897" w:rsidRPr="00914E63">
        <w:rPr>
          <w:color w:val="000000" w:themeColor="text1"/>
        </w:rPr>
        <w:t xml:space="preserve">residential </w:t>
      </w:r>
      <w:r w:rsidRPr="00914E63">
        <w:rPr>
          <w:color w:val="000000" w:themeColor="text1"/>
        </w:rPr>
        <w:t xml:space="preserve">rental properties are also </w:t>
      </w:r>
      <w:r w:rsidR="00914E63">
        <w:rPr>
          <w:color w:val="000000" w:themeColor="text1"/>
        </w:rPr>
        <w:t>a</w:t>
      </w:r>
      <w:r w:rsidR="00662481" w:rsidRPr="00914E63">
        <w:rPr>
          <w:color w:val="000000" w:themeColor="text1"/>
        </w:rPr>
        <w:t>ffected</w:t>
      </w:r>
      <w:r w:rsidRPr="00914E63">
        <w:rPr>
          <w:color w:val="000000" w:themeColor="text1"/>
        </w:rPr>
        <w:t>. The allocation is important in determining the vendor’s tax liability from the sale, and the purchaser’s cost base for calculating depreciation and any taxable gains when they in turn come to sell the property.</w:t>
      </w:r>
    </w:p>
    <w:p w14:paraId="16F365E0" w14:textId="77777777" w:rsidR="005703A0" w:rsidRPr="00914E63" w:rsidRDefault="00445A0C" w:rsidP="005703A0">
      <w:pPr>
        <w:pStyle w:val="NumberedParagraphCabStandard"/>
        <w:rPr>
          <w:color w:val="000000" w:themeColor="text1"/>
        </w:rPr>
      </w:pPr>
      <w:r w:rsidRPr="00914E63">
        <w:rPr>
          <w:color w:val="000000" w:themeColor="text1"/>
        </w:rPr>
        <w:t>Generally, the allocation must be based on market values, and there is case law that reinforces this</w:t>
      </w:r>
      <w:r w:rsidR="004A709E" w:rsidRPr="00914E63">
        <w:rPr>
          <w:color w:val="000000" w:themeColor="text1"/>
        </w:rPr>
        <w:t>.  However</w:t>
      </w:r>
      <w:r w:rsidRPr="00914E63">
        <w:rPr>
          <w:color w:val="000000" w:themeColor="text1"/>
        </w:rPr>
        <w:t>, there is no explicit requirement in tax law for the vendor and purchaser to use the same market values, except in relation to the trading stock component of a transaction. When trading stock is sold along with other assets, the vendor is required to apportion an amount to the trading stock that reflects its market price, and the purchaser is required to use that same apportionment. Trading stock is widely defined for this purpose, including anything produced, manufactured or acquired for the purpose of disposal, as well as livestock, timber, and land whose disposal would produce income.</w:t>
      </w:r>
      <w:r w:rsidR="00060397" w:rsidRPr="00914E63">
        <w:rPr>
          <w:color w:val="000000" w:themeColor="text1"/>
        </w:rPr>
        <w:t xml:space="preserve">  Anecdotally it appears that this requirement may not be well understood.</w:t>
      </w:r>
    </w:p>
    <w:p w14:paraId="1297EF2F" w14:textId="77777777" w:rsidR="005703A0" w:rsidRPr="00914E63" w:rsidRDefault="005703A0" w:rsidP="003C189E">
      <w:pPr>
        <w:pStyle w:val="Heading1"/>
        <w:rPr>
          <w:color w:val="000000" w:themeColor="text1"/>
        </w:rPr>
      </w:pPr>
      <w:r w:rsidRPr="00914E63">
        <w:rPr>
          <w:color w:val="000000" w:themeColor="text1"/>
        </w:rPr>
        <w:t>The issue</w:t>
      </w:r>
    </w:p>
    <w:p w14:paraId="69BFA960" w14:textId="77777777" w:rsidR="001F6D83" w:rsidRPr="00914E63" w:rsidRDefault="001F6D83" w:rsidP="001F6D83">
      <w:pPr>
        <w:pStyle w:val="NumberedParagraphCabStandard"/>
        <w:rPr>
          <w:color w:val="000000" w:themeColor="text1"/>
        </w:rPr>
      </w:pPr>
      <w:r w:rsidRPr="00914E63">
        <w:rPr>
          <w:color w:val="000000" w:themeColor="text1"/>
        </w:rPr>
        <w:t xml:space="preserve">If the parties adopt different allocations, the result is usually a loss of tax revenue. This issue is on the tax policy work </w:t>
      </w:r>
      <w:proofErr w:type="gramStart"/>
      <w:r w:rsidRPr="00914E63">
        <w:rPr>
          <w:color w:val="000000" w:themeColor="text1"/>
        </w:rPr>
        <w:t>programme, and</w:t>
      </w:r>
      <w:proofErr w:type="gramEnd"/>
      <w:r w:rsidRPr="00914E63">
        <w:rPr>
          <w:color w:val="000000" w:themeColor="text1"/>
        </w:rPr>
        <w:t xml:space="preserve"> </w:t>
      </w:r>
      <w:r w:rsidR="00662481" w:rsidRPr="00914E63">
        <w:rPr>
          <w:color w:val="000000" w:themeColor="text1"/>
        </w:rPr>
        <w:t>was referred to as part of a business tax package when Cabinet made a decision to proceed with the feasibility expenditure and loss continuity initiatives earlier in the year</w:t>
      </w:r>
      <w:r w:rsidRPr="00914E63">
        <w:rPr>
          <w:color w:val="000000" w:themeColor="text1"/>
        </w:rPr>
        <w:t xml:space="preserve">. </w:t>
      </w:r>
    </w:p>
    <w:p w14:paraId="78D1B6C4" w14:textId="77777777" w:rsidR="001F6D83" w:rsidRPr="00914E63" w:rsidRDefault="001F6D83" w:rsidP="001F6D83">
      <w:pPr>
        <w:pStyle w:val="Heading1"/>
        <w:rPr>
          <w:color w:val="000000" w:themeColor="text1"/>
        </w:rPr>
      </w:pPr>
      <w:r w:rsidRPr="00914E63">
        <w:rPr>
          <w:color w:val="000000" w:themeColor="text1"/>
        </w:rPr>
        <w:t>Analysis</w:t>
      </w:r>
    </w:p>
    <w:p w14:paraId="205D76D0" w14:textId="0BFA7018" w:rsidR="001F6D83" w:rsidRDefault="001F6D83" w:rsidP="001F6D83">
      <w:pPr>
        <w:pStyle w:val="NumberedParagraphCabStandard"/>
        <w:rPr>
          <w:color w:val="000000" w:themeColor="text1"/>
        </w:rPr>
      </w:pPr>
      <w:r w:rsidRPr="00914E63">
        <w:rPr>
          <w:color w:val="000000" w:themeColor="text1"/>
        </w:rPr>
        <w:t>For revenue integrity reasons, the parties should be using consistent valuations based on market values. Generally</w:t>
      </w:r>
      <w:r w:rsidR="00914E63">
        <w:rPr>
          <w:color w:val="000000" w:themeColor="text1"/>
        </w:rPr>
        <w:t>,</w:t>
      </w:r>
      <w:r w:rsidRPr="00914E63">
        <w:rPr>
          <w:color w:val="000000" w:themeColor="text1"/>
        </w:rPr>
        <w:t xml:space="preserve"> throughout the Income Tax Act</w:t>
      </w:r>
      <w:r w:rsidR="00352ADC" w:rsidRPr="00914E63">
        <w:rPr>
          <w:color w:val="000000" w:themeColor="text1"/>
        </w:rPr>
        <w:t>,</w:t>
      </w:r>
      <w:r w:rsidRPr="00914E63">
        <w:rPr>
          <w:color w:val="000000" w:themeColor="text1"/>
        </w:rPr>
        <w:t xml:space="preserve"> sales are assumed to be at market value so that there is no transfer of value between the parties which could lead to a reduction in tax revenue.</w:t>
      </w:r>
    </w:p>
    <w:p w14:paraId="21AB1094" w14:textId="3AA7B8A9" w:rsidR="000151C0" w:rsidRDefault="000151C0" w:rsidP="000151C0">
      <w:pPr>
        <w:pStyle w:val="NumberedParagraphCabStandard"/>
        <w:numPr>
          <w:ilvl w:val="0"/>
          <w:numId w:val="0"/>
        </w:numPr>
        <w:ind w:left="709" w:hanging="709"/>
        <w:rPr>
          <w:color w:val="000000" w:themeColor="text1"/>
        </w:rPr>
      </w:pPr>
    </w:p>
    <w:p w14:paraId="4F63FC64" w14:textId="77777777" w:rsidR="000151C0" w:rsidRPr="00914E63" w:rsidRDefault="000151C0" w:rsidP="000151C0">
      <w:pPr>
        <w:pStyle w:val="NumberedParagraphCabStandard"/>
        <w:numPr>
          <w:ilvl w:val="0"/>
          <w:numId w:val="0"/>
        </w:numPr>
        <w:ind w:left="709" w:hanging="709"/>
        <w:rPr>
          <w:color w:val="000000" w:themeColor="text1"/>
        </w:rPr>
      </w:pPr>
    </w:p>
    <w:p w14:paraId="3CA3DBE9" w14:textId="77777777" w:rsidR="00EB2851" w:rsidRPr="00914E63" w:rsidRDefault="001F6D83" w:rsidP="00340D1E">
      <w:pPr>
        <w:pStyle w:val="NumberedParagraphCabStandard"/>
        <w:rPr>
          <w:color w:val="000000" w:themeColor="text1"/>
        </w:rPr>
      </w:pPr>
      <w:r w:rsidRPr="00914E63">
        <w:rPr>
          <w:color w:val="000000" w:themeColor="text1"/>
        </w:rPr>
        <w:t>In practice, consistent valuations are adopted in many cases. However,</w:t>
      </w:r>
      <w:r w:rsidR="00340D1E" w:rsidRPr="00914E63">
        <w:rPr>
          <w:color w:val="000000" w:themeColor="text1"/>
        </w:rPr>
        <w:t xml:space="preserve"> </w:t>
      </w:r>
      <w:r w:rsidR="00BA451B" w:rsidRPr="00914E63">
        <w:rPr>
          <w:color w:val="000000" w:themeColor="text1"/>
        </w:rPr>
        <w:t>s</w:t>
      </w:r>
      <w:r w:rsidR="00EB2851" w:rsidRPr="00914E63">
        <w:rPr>
          <w:color w:val="000000" w:themeColor="text1"/>
        </w:rPr>
        <w:t>ince market value is a range</w:t>
      </w:r>
      <w:r w:rsidR="00662481" w:rsidRPr="00914E63">
        <w:rPr>
          <w:color w:val="000000" w:themeColor="text1"/>
        </w:rPr>
        <w:t xml:space="preserve"> of values</w:t>
      </w:r>
      <w:r w:rsidR="00EB2851" w:rsidRPr="00914E63">
        <w:rPr>
          <w:color w:val="000000" w:themeColor="text1"/>
        </w:rPr>
        <w:t>, parties are able to adopt allocations which are quite different, while both claiming that their allocations are tethered to commercial prices. In many cases, the seller uses depreciated tax book values</w:t>
      </w:r>
      <w:r w:rsidR="00D91E02" w:rsidRPr="00914E63">
        <w:rPr>
          <w:color w:val="000000" w:themeColor="text1"/>
        </w:rPr>
        <w:t xml:space="preserve"> for depreciable assets</w:t>
      </w:r>
      <w:r w:rsidR="00EB2851" w:rsidRPr="00914E63">
        <w:rPr>
          <w:color w:val="000000" w:themeColor="text1"/>
        </w:rPr>
        <w:t xml:space="preserve">, </w:t>
      </w:r>
      <w:r w:rsidR="00EB2851" w:rsidRPr="00914E63">
        <w:rPr>
          <w:color w:val="000000" w:themeColor="text1"/>
        </w:rPr>
        <w:lastRenderedPageBreak/>
        <w:t>arguing that they are reflective of market values, but avoiding any depreciation clawback</w:t>
      </w:r>
      <w:r w:rsidR="00662481" w:rsidRPr="00914E63">
        <w:rPr>
          <w:color w:val="000000" w:themeColor="text1"/>
        </w:rPr>
        <w:t xml:space="preserve"> (that is, the requirement to pay back depreciation deductions claimed in respect of an assets that has not, in fact, depreciated as fast as expected)</w:t>
      </w:r>
      <w:r w:rsidR="00EB2851" w:rsidRPr="00914E63">
        <w:rPr>
          <w:color w:val="000000" w:themeColor="text1"/>
        </w:rPr>
        <w:t>. The purchaser on the other hand often allocates a higher cost</w:t>
      </w:r>
      <w:r w:rsidR="0055652C" w:rsidRPr="00914E63">
        <w:rPr>
          <w:color w:val="000000" w:themeColor="text1"/>
        </w:rPr>
        <w:t xml:space="preserve"> to the s</w:t>
      </w:r>
      <w:r w:rsidR="005703DF" w:rsidRPr="00914E63">
        <w:rPr>
          <w:color w:val="000000" w:themeColor="text1"/>
        </w:rPr>
        <w:t>a</w:t>
      </w:r>
      <w:r w:rsidR="0055652C" w:rsidRPr="00914E63">
        <w:rPr>
          <w:color w:val="000000" w:themeColor="text1"/>
        </w:rPr>
        <w:t>me assets</w:t>
      </w:r>
      <w:r w:rsidR="00EB2851" w:rsidRPr="00914E63">
        <w:rPr>
          <w:color w:val="000000" w:themeColor="text1"/>
        </w:rPr>
        <w:t>, to increase depreciation deductions.</w:t>
      </w:r>
    </w:p>
    <w:p w14:paraId="75384505" w14:textId="77777777" w:rsidR="009606F2" w:rsidRPr="00914E63" w:rsidRDefault="009606F2" w:rsidP="009606F2">
      <w:pPr>
        <w:pStyle w:val="NumberedParagraphCabStandard"/>
        <w:numPr>
          <w:ilvl w:val="0"/>
          <w:numId w:val="0"/>
        </w:numPr>
        <w:pBdr>
          <w:bottom w:val="single" w:sz="6" w:space="1" w:color="auto"/>
        </w:pBdr>
        <w:rPr>
          <w:color w:val="000000" w:themeColor="text1"/>
        </w:rPr>
      </w:pPr>
    </w:p>
    <w:p w14:paraId="0ABCC6AF" w14:textId="77777777" w:rsidR="00A8148C" w:rsidRPr="00914E63" w:rsidRDefault="00A8148C" w:rsidP="00A8148C">
      <w:pPr>
        <w:rPr>
          <w:color w:val="000000" w:themeColor="text1"/>
        </w:rPr>
      </w:pPr>
      <w:r w:rsidRPr="00914E63">
        <w:rPr>
          <w:rFonts w:eastAsia="Times New Roman" w:cs="Arial"/>
          <w:b/>
          <w:bCs/>
          <w:color w:val="000000" w:themeColor="text1"/>
          <w:sz w:val="20"/>
          <w:szCs w:val="20"/>
        </w:rPr>
        <w:t>Example</w:t>
      </w:r>
    </w:p>
    <w:p w14:paraId="071ED06A" w14:textId="2586DA86" w:rsidR="00A8148C" w:rsidRPr="00914E63" w:rsidRDefault="00105191" w:rsidP="00A8148C">
      <w:pPr>
        <w:rPr>
          <w:color w:val="000000" w:themeColor="text1"/>
        </w:rPr>
      </w:pPr>
      <w:r>
        <w:rPr>
          <w:rFonts w:eastAsia="Times New Roman" w:cs="Arial"/>
          <w:color w:val="000000" w:themeColor="text1"/>
          <w:sz w:val="20"/>
          <w:szCs w:val="20"/>
        </w:rPr>
        <w:t>A</w:t>
      </w:r>
      <w:r w:rsidR="00B143A0">
        <w:rPr>
          <w:rFonts w:eastAsia="Times New Roman" w:cs="Arial"/>
          <w:color w:val="000000" w:themeColor="text1"/>
          <w:sz w:val="20"/>
          <w:szCs w:val="20"/>
        </w:rPr>
        <w:t xml:space="preserve"> Co</w:t>
      </w:r>
      <w:r w:rsidR="00745D82">
        <w:rPr>
          <w:rFonts w:eastAsia="Times New Roman" w:cs="Arial"/>
          <w:color w:val="000000" w:themeColor="text1"/>
          <w:sz w:val="20"/>
          <w:szCs w:val="20"/>
        </w:rPr>
        <w:t>.</w:t>
      </w:r>
      <w:r w:rsidR="00B143A0">
        <w:rPr>
          <w:rFonts w:eastAsia="Times New Roman" w:cs="Arial"/>
          <w:color w:val="000000" w:themeColor="text1"/>
          <w:sz w:val="20"/>
          <w:szCs w:val="20"/>
        </w:rPr>
        <w:t xml:space="preserve"> ha</w:t>
      </w:r>
      <w:r w:rsidR="005720C7">
        <w:rPr>
          <w:rFonts w:eastAsia="Times New Roman" w:cs="Arial"/>
          <w:color w:val="000000" w:themeColor="text1"/>
          <w:sz w:val="20"/>
          <w:szCs w:val="20"/>
        </w:rPr>
        <w:t>s</w:t>
      </w:r>
      <w:r w:rsidR="00A8148C" w:rsidRPr="00914E63">
        <w:rPr>
          <w:rFonts w:eastAsia="Times New Roman" w:cs="Arial"/>
          <w:color w:val="000000" w:themeColor="text1"/>
          <w:sz w:val="20"/>
          <w:szCs w:val="20"/>
        </w:rPr>
        <w:t xml:space="preserve"> agreed to sell </w:t>
      </w:r>
      <w:r w:rsidR="005720C7">
        <w:rPr>
          <w:rFonts w:eastAsia="Times New Roman" w:cs="Arial"/>
          <w:color w:val="000000" w:themeColor="text1"/>
          <w:sz w:val="20"/>
          <w:szCs w:val="20"/>
        </w:rPr>
        <w:t>its assets</w:t>
      </w:r>
      <w:r w:rsidR="00A8148C" w:rsidRPr="00914E63">
        <w:rPr>
          <w:rFonts w:eastAsia="Times New Roman" w:cs="Arial"/>
          <w:color w:val="000000" w:themeColor="text1"/>
          <w:sz w:val="20"/>
          <w:szCs w:val="20"/>
        </w:rPr>
        <w:t xml:space="preserve"> to </w:t>
      </w:r>
      <w:r>
        <w:rPr>
          <w:rFonts w:eastAsia="Times New Roman" w:cs="Arial"/>
          <w:color w:val="000000" w:themeColor="text1"/>
          <w:sz w:val="20"/>
          <w:szCs w:val="20"/>
        </w:rPr>
        <w:t>B</w:t>
      </w:r>
      <w:r w:rsidR="00B143A0">
        <w:rPr>
          <w:rFonts w:eastAsia="Times New Roman" w:cs="Arial"/>
          <w:color w:val="000000" w:themeColor="text1"/>
          <w:sz w:val="20"/>
          <w:szCs w:val="20"/>
        </w:rPr>
        <w:t xml:space="preserve"> </w:t>
      </w:r>
      <w:r w:rsidR="00611E9B">
        <w:rPr>
          <w:rFonts w:eastAsia="Times New Roman" w:cs="Arial"/>
          <w:color w:val="000000" w:themeColor="text1"/>
          <w:sz w:val="20"/>
          <w:szCs w:val="20"/>
        </w:rPr>
        <w:t>Co</w:t>
      </w:r>
      <w:r w:rsidR="00A8148C" w:rsidRPr="00914E63">
        <w:rPr>
          <w:rFonts w:eastAsia="Times New Roman" w:cs="Arial"/>
          <w:color w:val="000000" w:themeColor="text1"/>
          <w:sz w:val="20"/>
          <w:szCs w:val="20"/>
        </w:rPr>
        <w:t xml:space="preserve">. The assets include land and buildings (all non-depreciable), and fit-out and other depreciable property. The total purchase price is $90 million. </w:t>
      </w:r>
    </w:p>
    <w:p w14:paraId="442E25C2" w14:textId="45338083" w:rsidR="00A8148C" w:rsidRPr="00914E63" w:rsidRDefault="00105191" w:rsidP="00A8148C">
      <w:pPr>
        <w:rPr>
          <w:color w:val="000000" w:themeColor="text1"/>
        </w:rPr>
      </w:pPr>
      <w:r>
        <w:rPr>
          <w:rFonts w:eastAsia="Times New Roman" w:cs="Arial"/>
          <w:color w:val="000000" w:themeColor="text1"/>
          <w:sz w:val="20"/>
          <w:szCs w:val="20"/>
        </w:rPr>
        <w:t>A</w:t>
      </w:r>
      <w:r w:rsidR="00B143A0">
        <w:rPr>
          <w:rFonts w:eastAsia="Times New Roman" w:cs="Arial"/>
          <w:color w:val="000000" w:themeColor="text1"/>
          <w:sz w:val="20"/>
          <w:szCs w:val="20"/>
        </w:rPr>
        <w:t xml:space="preserve"> Co</w:t>
      </w:r>
      <w:r w:rsidR="00B43013">
        <w:rPr>
          <w:rFonts w:eastAsia="Times New Roman" w:cs="Arial"/>
          <w:color w:val="000000" w:themeColor="text1"/>
          <w:sz w:val="20"/>
          <w:szCs w:val="20"/>
        </w:rPr>
        <w:t>.</w:t>
      </w:r>
      <w:r w:rsidR="00A8148C" w:rsidRPr="00914E63">
        <w:rPr>
          <w:rFonts w:eastAsia="Times New Roman" w:cs="Arial"/>
          <w:color w:val="000000" w:themeColor="text1"/>
          <w:sz w:val="20"/>
          <w:szCs w:val="20"/>
        </w:rPr>
        <w:t xml:space="preserve"> will only be taxable on the portion of the sale price attributable to depreciable property (up to the original cost of the property), and not the portion attributable to the land and buildings. </w:t>
      </w:r>
    </w:p>
    <w:p w14:paraId="396B669B" w14:textId="5D6CF7D0" w:rsidR="00A8148C" w:rsidRPr="00914E63" w:rsidRDefault="00105191" w:rsidP="00A8148C">
      <w:pPr>
        <w:rPr>
          <w:rFonts w:eastAsia="Times New Roman" w:cs="Arial"/>
          <w:color w:val="000000" w:themeColor="text1"/>
          <w:sz w:val="20"/>
          <w:szCs w:val="20"/>
        </w:rPr>
      </w:pPr>
      <w:r>
        <w:rPr>
          <w:rFonts w:eastAsia="Times New Roman" w:cs="Arial"/>
          <w:color w:val="000000" w:themeColor="text1"/>
          <w:sz w:val="20"/>
          <w:szCs w:val="20"/>
        </w:rPr>
        <w:t>A</w:t>
      </w:r>
      <w:r w:rsidR="00604052">
        <w:rPr>
          <w:rFonts w:eastAsia="Times New Roman" w:cs="Arial"/>
          <w:color w:val="000000" w:themeColor="text1"/>
          <w:sz w:val="20"/>
          <w:szCs w:val="20"/>
        </w:rPr>
        <w:t xml:space="preserve"> Co</w:t>
      </w:r>
      <w:r w:rsidR="000747AC">
        <w:rPr>
          <w:rFonts w:eastAsia="Times New Roman" w:cs="Arial"/>
          <w:color w:val="000000" w:themeColor="text1"/>
          <w:sz w:val="20"/>
          <w:szCs w:val="20"/>
        </w:rPr>
        <w:t>.</w:t>
      </w:r>
      <w:r w:rsidR="00A8148C" w:rsidRPr="00914E63">
        <w:rPr>
          <w:rFonts w:eastAsia="Times New Roman" w:cs="Arial"/>
          <w:color w:val="000000" w:themeColor="text1"/>
          <w:sz w:val="20"/>
          <w:szCs w:val="20"/>
        </w:rPr>
        <w:t xml:space="preserve"> believes the appropriate allocation of the price is:</w:t>
      </w:r>
    </w:p>
    <w:p w14:paraId="684C2E0F" w14:textId="7142D3BD" w:rsidR="00A8148C" w:rsidRPr="00914E63" w:rsidRDefault="00A8148C" w:rsidP="00A8148C">
      <w:pPr>
        <w:rPr>
          <w:color w:val="000000" w:themeColor="text1"/>
          <w:u w:val="single"/>
        </w:rPr>
      </w:pPr>
      <w:r w:rsidRPr="00914E63">
        <w:rPr>
          <w:rFonts w:eastAsia="Times New Roman" w:cs="Arial"/>
          <w:color w:val="000000" w:themeColor="text1"/>
          <w:sz w:val="20"/>
          <w:szCs w:val="20"/>
        </w:rPr>
        <w:t xml:space="preserve">                                                </w:t>
      </w:r>
      <w:r w:rsidR="00745D82">
        <w:rPr>
          <w:rFonts w:eastAsia="Times New Roman" w:cs="Arial"/>
          <w:color w:val="000000" w:themeColor="text1"/>
          <w:sz w:val="20"/>
          <w:szCs w:val="20"/>
        </w:rPr>
        <w:t xml:space="preserve">   </w:t>
      </w:r>
      <w:r w:rsidRPr="00914E63">
        <w:rPr>
          <w:rFonts w:eastAsia="Times New Roman" w:cs="Arial"/>
          <w:color w:val="000000" w:themeColor="text1"/>
          <w:sz w:val="20"/>
          <w:szCs w:val="20"/>
          <w:u w:val="single"/>
        </w:rPr>
        <w:t xml:space="preserve">Allocation      </w:t>
      </w:r>
      <w:r w:rsidR="002D315D">
        <w:rPr>
          <w:rFonts w:eastAsia="Times New Roman" w:cs="Arial"/>
          <w:color w:val="000000" w:themeColor="text1"/>
          <w:sz w:val="20"/>
          <w:szCs w:val="20"/>
          <w:u w:val="single"/>
        </w:rPr>
        <w:t xml:space="preserve"> </w:t>
      </w:r>
      <w:r w:rsidR="00105191">
        <w:rPr>
          <w:rFonts w:eastAsia="Times New Roman" w:cs="Arial"/>
          <w:color w:val="000000" w:themeColor="text1"/>
          <w:sz w:val="20"/>
          <w:szCs w:val="20"/>
          <w:u w:val="single"/>
        </w:rPr>
        <w:t xml:space="preserve">  A</w:t>
      </w:r>
      <w:r w:rsidR="002D315D">
        <w:rPr>
          <w:rFonts w:eastAsia="Times New Roman" w:cs="Arial"/>
          <w:color w:val="000000" w:themeColor="text1"/>
          <w:sz w:val="20"/>
          <w:szCs w:val="20"/>
          <w:u w:val="single"/>
        </w:rPr>
        <w:t xml:space="preserve"> </w:t>
      </w:r>
      <w:r w:rsidR="00604052">
        <w:rPr>
          <w:rFonts w:eastAsia="Times New Roman" w:cs="Arial"/>
          <w:color w:val="000000" w:themeColor="text1"/>
          <w:sz w:val="20"/>
          <w:szCs w:val="20"/>
          <w:u w:val="single"/>
        </w:rPr>
        <w:t>Co’s</w:t>
      </w:r>
      <w:r w:rsidRPr="00914E63">
        <w:rPr>
          <w:rFonts w:eastAsia="Times New Roman" w:cs="Arial"/>
          <w:color w:val="000000" w:themeColor="text1"/>
          <w:sz w:val="20"/>
          <w:szCs w:val="20"/>
          <w:u w:val="single"/>
        </w:rPr>
        <w:t xml:space="preserve"> Cost   </w:t>
      </w:r>
      <w:r w:rsidR="002D315D">
        <w:rPr>
          <w:rFonts w:eastAsia="Times New Roman" w:cs="Arial"/>
          <w:color w:val="000000" w:themeColor="text1"/>
          <w:sz w:val="20"/>
          <w:szCs w:val="20"/>
          <w:u w:val="single"/>
        </w:rPr>
        <w:t xml:space="preserve">   </w:t>
      </w:r>
      <w:r w:rsidR="00105191">
        <w:rPr>
          <w:rFonts w:eastAsia="Times New Roman" w:cs="Arial"/>
          <w:color w:val="000000" w:themeColor="text1"/>
          <w:sz w:val="20"/>
          <w:szCs w:val="20"/>
          <w:u w:val="single"/>
        </w:rPr>
        <w:t xml:space="preserve"> </w:t>
      </w:r>
      <w:r w:rsidRPr="00914E63">
        <w:rPr>
          <w:rFonts w:eastAsia="Times New Roman" w:cs="Arial"/>
          <w:color w:val="000000" w:themeColor="text1"/>
          <w:sz w:val="20"/>
          <w:szCs w:val="20"/>
          <w:u w:val="single"/>
        </w:rPr>
        <w:t xml:space="preserve"> </w:t>
      </w:r>
      <w:r w:rsidR="00BD6571">
        <w:rPr>
          <w:rFonts w:eastAsia="Times New Roman" w:cs="Arial"/>
          <w:color w:val="000000" w:themeColor="text1"/>
          <w:sz w:val="20"/>
          <w:szCs w:val="20"/>
          <w:u w:val="single"/>
        </w:rPr>
        <w:t xml:space="preserve"> </w:t>
      </w:r>
      <w:r w:rsidR="00105191">
        <w:rPr>
          <w:rFonts w:eastAsia="Times New Roman" w:cs="Arial"/>
          <w:color w:val="000000" w:themeColor="text1"/>
          <w:sz w:val="20"/>
          <w:szCs w:val="20"/>
          <w:u w:val="single"/>
        </w:rPr>
        <w:t>A</w:t>
      </w:r>
      <w:r w:rsidR="002D315D">
        <w:rPr>
          <w:rFonts w:eastAsia="Times New Roman" w:cs="Arial"/>
          <w:color w:val="000000" w:themeColor="text1"/>
          <w:sz w:val="20"/>
          <w:szCs w:val="20"/>
          <w:u w:val="single"/>
        </w:rPr>
        <w:t xml:space="preserve"> </w:t>
      </w:r>
      <w:r w:rsidR="00604052">
        <w:rPr>
          <w:rFonts w:eastAsia="Times New Roman" w:cs="Arial"/>
          <w:color w:val="000000" w:themeColor="text1"/>
          <w:sz w:val="20"/>
          <w:szCs w:val="20"/>
          <w:u w:val="single"/>
        </w:rPr>
        <w:t>Co</w:t>
      </w:r>
      <w:r w:rsidR="004702E6">
        <w:rPr>
          <w:rFonts w:eastAsia="Times New Roman" w:cs="Arial"/>
          <w:color w:val="000000" w:themeColor="text1"/>
          <w:sz w:val="20"/>
          <w:szCs w:val="20"/>
          <w:u w:val="single"/>
        </w:rPr>
        <w:t>’s</w:t>
      </w:r>
      <w:r w:rsidRPr="00914E63">
        <w:rPr>
          <w:rFonts w:eastAsia="Times New Roman" w:cs="Arial"/>
          <w:color w:val="000000" w:themeColor="text1"/>
          <w:sz w:val="20"/>
          <w:szCs w:val="20"/>
          <w:u w:val="single"/>
        </w:rPr>
        <w:t xml:space="preserve"> Profit    </w:t>
      </w:r>
      <w:r w:rsidR="002D315D">
        <w:rPr>
          <w:rFonts w:eastAsia="Times New Roman" w:cs="Arial"/>
          <w:color w:val="000000" w:themeColor="text1"/>
          <w:sz w:val="20"/>
          <w:szCs w:val="20"/>
          <w:u w:val="single"/>
        </w:rPr>
        <w:t xml:space="preserve">   </w:t>
      </w:r>
      <w:r w:rsidR="00105191">
        <w:rPr>
          <w:rFonts w:eastAsia="Times New Roman" w:cs="Arial"/>
          <w:color w:val="000000" w:themeColor="text1"/>
          <w:sz w:val="20"/>
          <w:szCs w:val="20"/>
          <w:u w:val="single"/>
        </w:rPr>
        <w:t xml:space="preserve"> A</w:t>
      </w:r>
      <w:r w:rsidR="004702E6">
        <w:rPr>
          <w:rFonts w:eastAsia="Times New Roman" w:cs="Arial"/>
          <w:color w:val="000000" w:themeColor="text1"/>
          <w:sz w:val="20"/>
          <w:szCs w:val="20"/>
          <w:u w:val="single"/>
        </w:rPr>
        <w:t xml:space="preserve"> Co’s</w:t>
      </w:r>
      <w:r w:rsidRPr="00914E63">
        <w:rPr>
          <w:rFonts w:eastAsia="Times New Roman" w:cs="Arial"/>
          <w:color w:val="000000" w:themeColor="text1"/>
          <w:sz w:val="20"/>
          <w:szCs w:val="20"/>
          <w:u w:val="single"/>
        </w:rPr>
        <w:t xml:space="preserve"> Tax                                                 </w:t>
      </w:r>
    </w:p>
    <w:p w14:paraId="4D8FE8EA" w14:textId="77777777" w:rsidR="00A8148C" w:rsidRPr="00914E63" w:rsidRDefault="00A8148C" w:rsidP="00A8148C">
      <w:pPr>
        <w:rPr>
          <w:color w:val="000000" w:themeColor="text1"/>
        </w:rPr>
      </w:pPr>
      <w:r w:rsidRPr="00914E63">
        <w:rPr>
          <w:rFonts w:eastAsia="Times New Roman" w:cs="Arial"/>
          <w:color w:val="000000" w:themeColor="text1"/>
          <w:sz w:val="20"/>
          <w:szCs w:val="20"/>
        </w:rPr>
        <w:t>Land and buildings                        $30m                  $20m                  $10m                    0</w:t>
      </w:r>
      <w:r w:rsidR="00D04026">
        <w:rPr>
          <w:rFonts w:eastAsia="Times New Roman" w:cs="Arial"/>
          <w:color w:val="000000" w:themeColor="text1"/>
          <w:sz w:val="20"/>
          <w:szCs w:val="20"/>
        </w:rPr>
        <w:t xml:space="preserve"> (as </w:t>
      </w:r>
      <w:r w:rsidR="00ED6BE5">
        <w:rPr>
          <w:rFonts w:eastAsia="Times New Roman" w:cs="Arial"/>
          <w:color w:val="000000" w:themeColor="text1"/>
          <w:sz w:val="20"/>
          <w:szCs w:val="20"/>
        </w:rPr>
        <w:t xml:space="preserve">a </w:t>
      </w:r>
      <w:r w:rsidR="00D04026">
        <w:rPr>
          <w:rFonts w:eastAsia="Times New Roman" w:cs="Arial"/>
          <w:color w:val="000000" w:themeColor="text1"/>
          <w:sz w:val="20"/>
          <w:szCs w:val="20"/>
        </w:rPr>
        <w:t>capital gain)</w:t>
      </w:r>
    </w:p>
    <w:p w14:paraId="24E72F54" w14:textId="77777777" w:rsidR="00A8148C" w:rsidRPr="00914E63" w:rsidRDefault="00A8148C" w:rsidP="00A8148C">
      <w:pPr>
        <w:rPr>
          <w:color w:val="000000" w:themeColor="text1"/>
        </w:rPr>
      </w:pPr>
      <w:r w:rsidRPr="00914E63">
        <w:rPr>
          <w:rFonts w:eastAsia="Times New Roman" w:cs="Arial"/>
          <w:color w:val="000000" w:themeColor="text1"/>
          <w:sz w:val="20"/>
          <w:szCs w:val="20"/>
        </w:rPr>
        <w:t>Depreciable property                     $60m                  $60m                      0                       0</w:t>
      </w:r>
    </w:p>
    <w:p w14:paraId="540F6695" w14:textId="5FAFF6B7" w:rsidR="00A8148C" w:rsidRPr="00914E63" w:rsidRDefault="00A8148C" w:rsidP="00A8148C">
      <w:pPr>
        <w:rPr>
          <w:color w:val="000000" w:themeColor="text1"/>
        </w:rPr>
      </w:pPr>
      <w:r w:rsidRPr="00914E63">
        <w:rPr>
          <w:rFonts w:eastAsia="Times New Roman" w:cs="Arial"/>
          <w:color w:val="000000" w:themeColor="text1"/>
          <w:sz w:val="20"/>
          <w:szCs w:val="20"/>
        </w:rPr>
        <w:t xml:space="preserve">In contrast, </w:t>
      </w:r>
      <w:r w:rsidR="00105191">
        <w:rPr>
          <w:rFonts w:eastAsia="Times New Roman" w:cs="Arial"/>
          <w:color w:val="000000" w:themeColor="text1"/>
          <w:sz w:val="20"/>
          <w:szCs w:val="20"/>
        </w:rPr>
        <w:t>B</w:t>
      </w:r>
      <w:r w:rsidR="00745D82">
        <w:rPr>
          <w:rFonts w:eastAsia="Times New Roman" w:cs="Arial"/>
          <w:color w:val="000000" w:themeColor="text1"/>
          <w:sz w:val="20"/>
          <w:szCs w:val="20"/>
        </w:rPr>
        <w:t xml:space="preserve"> Co.</w:t>
      </w:r>
      <w:r w:rsidRPr="00914E63">
        <w:rPr>
          <w:rFonts w:eastAsia="Times New Roman" w:cs="Arial"/>
          <w:color w:val="000000" w:themeColor="text1"/>
          <w:sz w:val="20"/>
          <w:szCs w:val="20"/>
        </w:rPr>
        <w:t xml:space="preserve"> believes $20 million more should be allocated to depreciable property, and $20 million less to land and buildings</w:t>
      </w:r>
      <w:r w:rsidR="00D04026">
        <w:rPr>
          <w:rFonts w:eastAsia="Times New Roman" w:cs="Arial"/>
          <w:color w:val="000000" w:themeColor="text1"/>
          <w:sz w:val="20"/>
          <w:szCs w:val="20"/>
        </w:rPr>
        <w:t>, i.e. the land and buildings would be $10 million and the depreciable property $80 million</w:t>
      </w:r>
      <w:r w:rsidRPr="00914E63">
        <w:rPr>
          <w:rFonts w:eastAsia="Times New Roman" w:cs="Arial"/>
          <w:color w:val="000000" w:themeColor="text1"/>
          <w:sz w:val="20"/>
          <w:szCs w:val="20"/>
        </w:rPr>
        <w:t xml:space="preserve">. </w:t>
      </w:r>
      <w:r w:rsidR="00AD4564">
        <w:rPr>
          <w:rFonts w:eastAsia="Times New Roman" w:cs="Arial"/>
          <w:color w:val="000000" w:themeColor="text1"/>
          <w:sz w:val="20"/>
          <w:szCs w:val="20"/>
        </w:rPr>
        <w:t xml:space="preserve">This would </w:t>
      </w:r>
      <w:r w:rsidR="00845F6B">
        <w:rPr>
          <w:rFonts w:eastAsia="Times New Roman" w:cs="Arial"/>
          <w:color w:val="000000" w:themeColor="text1"/>
          <w:sz w:val="20"/>
          <w:szCs w:val="20"/>
        </w:rPr>
        <w:t>increase B</w:t>
      </w:r>
      <w:r w:rsidR="00043F94">
        <w:rPr>
          <w:rFonts w:eastAsia="Times New Roman" w:cs="Arial"/>
          <w:color w:val="000000" w:themeColor="text1"/>
          <w:sz w:val="20"/>
          <w:szCs w:val="20"/>
        </w:rPr>
        <w:t xml:space="preserve"> Co’s </w:t>
      </w:r>
      <w:r w:rsidR="00AD4564">
        <w:rPr>
          <w:rFonts w:eastAsia="Times New Roman" w:cs="Arial"/>
          <w:color w:val="000000" w:themeColor="text1"/>
          <w:sz w:val="20"/>
          <w:szCs w:val="20"/>
        </w:rPr>
        <w:t>tax deductions.</w:t>
      </w:r>
    </w:p>
    <w:p w14:paraId="6DDF3D64" w14:textId="11F933ED" w:rsidR="00A8148C" w:rsidRDefault="00A8148C" w:rsidP="00A8148C">
      <w:pPr>
        <w:pBdr>
          <w:bottom w:val="single" w:sz="6" w:space="1" w:color="auto"/>
        </w:pBdr>
        <w:rPr>
          <w:rFonts w:eastAsia="Times New Roman" w:cs="Arial"/>
          <w:color w:val="000000" w:themeColor="text1"/>
          <w:sz w:val="20"/>
          <w:szCs w:val="20"/>
        </w:rPr>
      </w:pPr>
      <w:r w:rsidRPr="00914E63">
        <w:rPr>
          <w:rFonts w:eastAsia="Times New Roman" w:cs="Arial"/>
          <w:color w:val="000000" w:themeColor="text1"/>
          <w:sz w:val="20"/>
          <w:szCs w:val="20"/>
        </w:rPr>
        <w:t>If they both adopt their separate allocations</w:t>
      </w:r>
      <w:r w:rsidR="009A558D">
        <w:rPr>
          <w:rFonts w:eastAsia="Times New Roman" w:cs="Arial"/>
          <w:color w:val="000000" w:themeColor="text1"/>
          <w:sz w:val="20"/>
          <w:szCs w:val="20"/>
        </w:rPr>
        <w:t xml:space="preserve">, </w:t>
      </w:r>
      <w:r w:rsidR="00845F6B">
        <w:rPr>
          <w:rFonts w:eastAsia="Times New Roman" w:cs="Arial"/>
          <w:color w:val="000000" w:themeColor="text1"/>
          <w:sz w:val="20"/>
          <w:szCs w:val="20"/>
        </w:rPr>
        <w:t xml:space="preserve">A </w:t>
      </w:r>
      <w:r w:rsidR="00043F94">
        <w:rPr>
          <w:rFonts w:eastAsia="Times New Roman" w:cs="Arial"/>
          <w:color w:val="000000" w:themeColor="text1"/>
          <w:sz w:val="20"/>
          <w:szCs w:val="20"/>
        </w:rPr>
        <w:t xml:space="preserve">Co. </w:t>
      </w:r>
      <w:r w:rsidRPr="00914E63">
        <w:rPr>
          <w:rFonts w:eastAsia="Times New Roman" w:cs="Arial"/>
          <w:color w:val="000000" w:themeColor="text1"/>
          <w:sz w:val="20"/>
          <w:szCs w:val="20"/>
        </w:rPr>
        <w:t xml:space="preserve">pays no tax and </w:t>
      </w:r>
      <w:r w:rsidR="00845F6B">
        <w:rPr>
          <w:rFonts w:eastAsia="Times New Roman" w:cs="Arial"/>
          <w:color w:val="000000" w:themeColor="text1"/>
          <w:sz w:val="20"/>
          <w:szCs w:val="20"/>
        </w:rPr>
        <w:t>B</w:t>
      </w:r>
      <w:r w:rsidR="00043F94">
        <w:rPr>
          <w:rFonts w:eastAsia="Times New Roman" w:cs="Arial"/>
          <w:color w:val="000000" w:themeColor="text1"/>
          <w:sz w:val="20"/>
          <w:szCs w:val="20"/>
        </w:rPr>
        <w:t xml:space="preserve"> Co.</w:t>
      </w:r>
      <w:r w:rsidRPr="00914E63">
        <w:rPr>
          <w:rFonts w:eastAsia="Times New Roman" w:cs="Arial"/>
          <w:color w:val="000000" w:themeColor="text1"/>
          <w:sz w:val="20"/>
          <w:szCs w:val="20"/>
        </w:rPr>
        <w:t xml:space="preserve"> gets additional depreciation deductions</w:t>
      </w:r>
      <w:r w:rsidR="002C2E82">
        <w:rPr>
          <w:rFonts w:eastAsia="Times New Roman" w:cs="Arial"/>
          <w:color w:val="000000" w:themeColor="text1"/>
          <w:sz w:val="20"/>
          <w:szCs w:val="20"/>
        </w:rPr>
        <w:t xml:space="preserve"> of up to $20m (a tax benefit of $</w:t>
      </w:r>
      <w:r w:rsidR="00D33F73">
        <w:rPr>
          <w:rFonts w:eastAsia="Times New Roman" w:cs="Arial"/>
          <w:color w:val="000000" w:themeColor="text1"/>
          <w:sz w:val="20"/>
          <w:szCs w:val="20"/>
        </w:rPr>
        <w:t>5</w:t>
      </w:r>
      <w:r w:rsidR="002C2E82">
        <w:rPr>
          <w:rFonts w:eastAsia="Times New Roman" w:cs="Arial"/>
          <w:color w:val="000000" w:themeColor="text1"/>
          <w:sz w:val="20"/>
          <w:szCs w:val="20"/>
        </w:rPr>
        <w:t>.6m</w:t>
      </w:r>
      <w:r w:rsidR="00222A2A">
        <w:rPr>
          <w:rFonts w:eastAsia="Times New Roman" w:cs="Arial"/>
          <w:color w:val="000000" w:themeColor="text1"/>
          <w:sz w:val="20"/>
          <w:szCs w:val="20"/>
        </w:rPr>
        <w:t xml:space="preserve"> given a company tax rate of 28%</w:t>
      </w:r>
      <w:r w:rsidR="002C2E82">
        <w:rPr>
          <w:rFonts w:eastAsia="Times New Roman" w:cs="Arial"/>
          <w:color w:val="000000" w:themeColor="text1"/>
          <w:sz w:val="20"/>
          <w:szCs w:val="20"/>
        </w:rPr>
        <w:t>) over time</w:t>
      </w:r>
      <w:r w:rsidRPr="00914E63">
        <w:rPr>
          <w:rFonts w:eastAsia="Times New Roman" w:cs="Arial"/>
          <w:color w:val="000000" w:themeColor="text1"/>
          <w:sz w:val="20"/>
          <w:szCs w:val="20"/>
        </w:rPr>
        <w:t xml:space="preserve">. </w:t>
      </w:r>
      <w:r w:rsidR="002C2E82">
        <w:rPr>
          <w:rFonts w:eastAsia="Times New Roman" w:cs="Arial"/>
          <w:color w:val="000000" w:themeColor="text1"/>
          <w:sz w:val="20"/>
          <w:szCs w:val="20"/>
        </w:rPr>
        <w:t xml:space="preserve"> </w:t>
      </w:r>
    </w:p>
    <w:p w14:paraId="60363A58" w14:textId="77777777" w:rsidR="00C3646C" w:rsidRDefault="00C3646C" w:rsidP="00A8148C">
      <w:pPr>
        <w:pBdr>
          <w:bottom w:val="single" w:sz="6" w:space="1" w:color="auto"/>
        </w:pBdr>
        <w:rPr>
          <w:rFonts w:eastAsia="Times New Roman" w:cs="Arial"/>
          <w:color w:val="000000" w:themeColor="text1"/>
          <w:sz w:val="20"/>
          <w:szCs w:val="20"/>
        </w:rPr>
      </w:pPr>
    </w:p>
    <w:p w14:paraId="2843084F" w14:textId="77777777" w:rsidR="009724B1" w:rsidRPr="00914E63" w:rsidRDefault="009724B1" w:rsidP="009724B1">
      <w:pPr>
        <w:pStyle w:val="NumberedParagraphCabStandard"/>
        <w:rPr>
          <w:color w:val="000000" w:themeColor="text1"/>
        </w:rPr>
      </w:pPr>
      <w:r w:rsidRPr="00914E63">
        <w:rPr>
          <w:color w:val="000000" w:themeColor="text1"/>
        </w:rPr>
        <w:t>The lack of an explicit requirement for the vendor and purchaser of a business to adopt a consistent allocation incentivises the parties not to agree on an allocation. Inland Revenue incurs significant costs trying to match buyers and sellers, investigate their allocations, and obtain valuations to determine whether the parties’ allocations can be challenged as departing from market values.  Where both parties have a valuation from a registered valuer, challenge is extremely difficult, even if the valuations are significantly different.</w:t>
      </w:r>
    </w:p>
    <w:p w14:paraId="2EA29697" w14:textId="1104FE8E" w:rsidR="009724B1" w:rsidRDefault="009724B1" w:rsidP="00444DBE">
      <w:pPr>
        <w:pStyle w:val="NumberedParagraphCabStandard"/>
        <w:rPr>
          <w:color w:val="000000" w:themeColor="text1"/>
        </w:rPr>
      </w:pPr>
      <w:r w:rsidRPr="00914E63">
        <w:rPr>
          <w:color w:val="000000" w:themeColor="text1"/>
        </w:rPr>
        <w:t xml:space="preserve">Inland Revenue’s compliance work has uncovered a number of sizeable transactions, particularly in relation to commercial property, where there have been differences between the seller’s and purchaser’s </w:t>
      </w:r>
      <w:r w:rsidR="004E5942" w:rsidRPr="00914E63">
        <w:rPr>
          <w:color w:val="000000" w:themeColor="text1"/>
        </w:rPr>
        <w:t>allocations to depreciable property</w:t>
      </w:r>
      <w:r w:rsidRPr="00914E63">
        <w:rPr>
          <w:color w:val="000000" w:themeColor="text1"/>
        </w:rPr>
        <w:t xml:space="preserve"> sometimes in the tens of millions of dollars. Differences were identified in nearly fifty percent of the investigated cases, amounting in total to around $1</w:t>
      </w:r>
      <w:r w:rsidR="009530D0">
        <w:rPr>
          <w:color w:val="000000" w:themeColor="text1"/>
        </w:rPr>
        <w:t>3</w:t>
      </w:r>
      <w:r w:rsidRPr="00914E63">
        <w:rPr>
          <w:color w:val="000000" w:themeColor="text1"/>
        </w:rPr>
        <w:t>0 million.</w:t>
      </w:r>
      <w:r w:rsidR="007C4F72">
        <w:rPr>
          <w:color w:val="000000" w:themeColor="text1"/>
        </w:rPr>
        <w:t xml:space="preserve">  In some of these cases, settlements have been agreed.  The remainder are either in dispute or have not yet been dealt with given resource constraints.  There is </w:t>
      </w:r>
      <w:r w:rsidR="00AD4564">
        <w:rPr>
          <w:color w:val="000000" w:themeColor="text1"/>
        </w:rPr>
        <w:t xml:space="preserve">no </w:t>
      </w:r>
      <w:r w:rsidR="007C4F72">
        <w:rPr>
          <w:color w:val="000000" w:themeColor="text1"/>
        </w:rPr>
        <w:t xml:space="preserve">doubt that under current law, many of these discrepancies will not be able to be resolved. </w:t>
      </w:r>
    </w:p>
    <w:p w14:paraId="2E77FB2B" w14:textId="77777777" w:rsidR="00C94427" w:rsidRPr="00914E63" w:rsidRDefault="006536D8" w:rsidP="00C94427">
      <w:pPr>
        <w:pStyle w:val="Heading1"/>
        <w:rPr>
          <w:color w:val="000000" w:themeColor="text1"/>
        </w:rPr>
      </w:pPr>
      <w:r w:rsidRPr="00914E63">
        <w:rPr>
          <w:color w:val="000000" w:themeColor="text1"/>
        </w:rPr>
        <w:t>Issues paper proposal</w:t>
      </w:r>
    </w:p>
    <w:p w14:paraId="4BEB7211" w14:textId="77777777" w:rsidR="00C94427" w:rsidRPr="00914E63" w:rsidRDefault="00C94427" w:rsidP="00C94427">
      <w:pPr>
        <w:pStyle w:val="NumberedParagraphCabStandard"/>
        <w:rPr>
          <w:color w:val="000000" w:themeColor="text1"/>
        </w:rPr>
      </w:pPr>
      <w:r w:rsidRPr="00914E63">
        <w:rPr>
          <w:color w:val="000000" w:themeColor="text1"/>
        </w:rPr>
        <w:t>T</w:t>
      </w:r>
      <w:r w:rsidR="002116F1" w:rsidRPr="00914E63">
        <w:rPr>
          <w:color w:val="000000" w:themeColor="text1"/>
        </w:rPr>
        <w:t>o resolve these issues t</w:t>
      </w:r>
      <w:r w:rsidRPr="00914E63">
        <w:rPr>
          <w:color w:val="000000" w:themeColor="text1"/>
        </w:rPr>
        <w:t xml:space="preserve">he issues paper </w:t>
      </w:r>
      <w:r w:rsidR="006536D8" w:rsidRPr="00914E63">
        <w:rPr>
          <w:color w:val="000000" w:themeColor="text1"/>
        </w:rPr>
        <w:t>seeks feedback on the following approach</w:t>
      </w:r>
      <w:r w:rsidRPr="00914E63">
        <w:rPr>
          <w:color w:val="000000" w:themeColor="text1"/>
        </w:rPr>
        <w:t>:</w:t>
      </w:r>
    </w:p>
    <w:p w14:paraId="2283E107" w14:textId="77777777" w:rsidR="00C94427" w:rsidRPr="00914E63" w:rsidRDefault="006536D8" w:rsidP="00C94427">
      <w:pPr>
        <w:pStyle w:val="NumberedParagraphCabStandard"/>
        <w:numPr>
          <w:ilvl w:val="0"/>
          <w:numId w:val="15"/>
        </w:numPr>
        <w:rPr>
          <w:color w:val="000000" w:themeColor="text1"/>
        </w:rPr>
      </w:pPr>
      <w:r w:rsidRPr="00914E63">
        <w:rPr>
          <w:color w:val="000000" w:themeColor="text1"/>
        </w:rPr>
        <w:lastRenderedPageBreak/>
        <w:t>I</w:t>
      </w:r>
      <w:r w:rsidR="00C94427" w:rsidRPr="00914E63">
        <w:rPr>
          <w:color w:val="000000" w:themeColor="text1"/>
        </w:rPr>
        <w:t xml:space="preserve">n any transaction involving the sale of assets with different tax treatments, the vendor and purchaser </w:t>
      </w:r>
      <w:r w:rsidRPr="00914E63">
        <w:rPr>
          <w:color w:val="000000" w:themeColor="text1"/>
        </w:rPr>
        <w:t xml:space="preserve">would </w:t>
      </w:r>
      <w:r w:rsidR="00C94427" w:rsidRPr="00914E63">
        <w:rPr>
          <w:color w:val="000000" w:themeColor="text1"/>
        </w:rPr>
        <w:t>be required to use the same allocation of the total purchase price to the different types of assets.</w:t>
      </w:r>
    </w:p>
    <w:p w14:paraId="385C7DC5" w14:textId="62824D48" w:rsidR="00C94427" w:rsidRPr="00914E63" w:rsidRDefault="006536D8" w:rsidP="00C94427">
      <w:pPr>
        <w:pStyle w:val="NumberedParagraphCabStandard"/>
        <w:numPr>
          <w:ilvl w:val="0"/>
          <w:numId w:val="15"/>
        </w:numPr>
        <w:rPr>
          <w:color w:val="000000" w:themeColor="text1"/>
        </w:rPr>
      </w:pPr>
      <w:r w:rsidRPr="00914E63">
        <w:rPr>
          <w:color w:val="000000" w:themeColor="text1"/>
        </w:rPr>
        <w:t>I</w:t>
      </w:r>
      <w:r w:rsidR="00C94427" w:rsidRPr="00914E63">
        <w:rPr>
          <w:color w:val="000000" w:themeColor="text1"/>
        </w:rPr>
        <w:t xml:space="preserve">f the two parties cannot agree an allocation, the purchaser must use the vendor’s allocation. The vendor, before filing </w:t>
      </w:r>
      <w:r w:rsidR="004E5942" w:rsidRPr="00914E63">
        <w:rPr>
          <w:color w:val="000000" w:themeColor="text1"/>
        </w:rPr>
        <w:t xml:space="preserve">its </w:t>
      </w:r>
      <w:r w:rsidR="00C94427" w:rsidRPr="00914E63">
        <w:rPr>
          <w:color w:val="000000" w:themeColor="text1"/>
        </w:rPr>
        <w:t xml:space="preserve">tax return for the relevant income year, must disclose </w:t>
      </w:r>
      <w:r w:rsidR="00F408F9" w:rsidRPr="00914E63">
        <w:rPr>
          <w:color w:val="000000" w:themeColor="text1"/>
        </w:rPr>
        <w:t>its</w:t>
      </w:r>
      <w:r w:rsidR="00C94427" w:rsidRPr="00914E63">
        <w:rPr>
          <w:color w:val="000000" w:themeColor="text1"/>
        </w:rPr>
        <w:t xml:space="preserve"> allocation to the purchaser. If the vendor does not provide </w:t>
      </w:r>
      <w:r w:rsidR="00F408F9" w:rsidRPr="00914E63">
        <w:rPr>
          <w:color w:val="000000" w:themeColor="text1"/>
        </w:rPr>
        <w:t>i</w:t>
      </w:r>
      <w:r w:rsidR="00B83DF0">
        <w:rPr>
          <w:color w:val="000000" w:themeColor="text1"/>
        </w:rPr>
        <w:t>t</w:t>
      </w:r>
      <w:r w:rsidR="00F408F9" w:rsidRPr="00914E63">
        <w:rPr>
          <w:color w:val="000000" w:themeColor="text1"/>
        </w:rPr>
        <w:t>s</w:t>
      </w:r>
      <w:r w:rsidR="00C94427" w:rsidRPr="00914E63">
        <w:rPr>
          <w:color w:val="000000" w:themeColor="text1"/>
        </w:rPr>
        <w:t xml:space="preserve"> allocation to the purchaser in a reasonable amount of time, the purchaser may prepare an allocation, which must then be used by the vendor.  </w:t>
      </w:r>
    </w:p>
    <w:p w14:paraId="4F51B932" w14:textId="77777777" w:rsidR="00C94427" w:rsidRPr="00914E63" w:rsidRDefault="006536D8" w:rsidP="00C94427">
      <w:pPr>
        <w:pStyle w:val="NumberedParagraphCabStandard"/>
        <w:numPr>
          <w:ilvl w:val="0"/>
          <w:numId w:val="15"/>
        </w:numPr>
        <w:rPr>
          <w:color w:val="000000" w:themeColor="text1"/>
        </w:rPr>
      </w:pPr>
      <w:r w:rsidRPr="00914E63">
        <w:rPr>
          <w:color w:val="000000" w:themeColor="text1"/>
        </w:rPr>
        <w:t>T</w:t>
      </w:r>
      <w:r w:rsidR="00C94427" w:rsidRPr="00914E63">
        <w:rPr>
          <w:color w:val="000000" w:themeColor="text1"/>
        </w:rPr>
        <w:t xml:space="preserve">he allocation </w:t>
      </w:r>
      <w:r w:rsidRPr="00914E63">
        <w:rPr>
          <w:color w:val="000000" w:themeColor="text1"/>
        </w:rPr>
        <w:t xml:space="preserve">should </w:t>
      </w:r>
      <w:r w:rsidR="00C94427" w:rsidRPr="00914E63">
        <w:rPr>
          <w:color w:val="000000" w:themeColor="text1"/>
        </w:rPr>
        <w:t>be based on relative market values or, possibly</w:t>
      </w:r>
      <w:r w:rsidR="00E732F5" w:rsidRPr="00914E63">
        <w:rPr>
          <w:color w:val="000000" w:themeColor="text1"/>
        </w:rPr>
        <w:t xml:space="preserve"> in relation to a vendor allocation</w:t>
      </w:r>
      <w:r w:rsidR="00C94427" w:rsidRPr="00914E63">
        <w:rPr>
          <w:color w:val="000000" w:themeColor="text1"/>
        </w:rPr>
        <w:t>, depreciated value or original cost in relation to depreciable property.</w:t>
      </w:r>
    </w:p>
    <w:p w14:paraId="0D3A89B6" w14:textId="77777777" w:rsidR="00C94427" w:rsidRPr="00914E63" w:rsidRDefault="00C94427" w:rsidP="00C94427">
      <w:pPr>
        <w:pStyle w:val="NumberedParagraphCabStandard"/>
        <w:numPr>
          <w:ilvl w:val="0"/>
          <w:numId w:val="15"/>
        </w:numPr>
        <w:rPr>
          <w:color w:val="000000" w:themeColor="text1"/>
        </w:rPr>
      </w:pPr>
      <w:r w:rsidRPr="00914E63">
        <w:rPr>
          <w:color w:val="000000" w:themeColor="text1"/>
        </w:rPr>
        <w:t>Given the breadth of coverage (rental properties would be covered, for example), and to reduce compliance costs, there could be a de minimis – e.g.  sales in which the total amount allocated by the purchaser to deductible or depreciable items is less than $100,000 could be excluded from the consistency requirement.</w:t>
      </w:r>
    </w:p>
    <w:p w14:paraId="19C1B6BA" w14:textId="77777777" w:rsidR="00125D95" w:rsidRPr="00914E63" w:rsidRDefault="00125D95" w:rsidP="001F6D83">
      <w:pPr>
        <w:pStyle w:val="NumberedParagraphCabStandard"/>
        <w:numPr>
          <w:ilvl w:val="0"/>
          <w:numId w:val="0"/>
        </w:numPr>
        <w:rPr>
          <w:b/>
          <w:color w:val="000000" w:themeColor="text1"/>
        </w:rPr>
      </w:pPr>
      <w:r w:rsidRPr="00914E63">
        <w:rPr>
          <w:b/>
          <w:color w:val="000000" w:themeColor="text1"/>
        </w:rPr>
        <w:t>Consultation</w:t>
      </w:r>
    </w:p>
    <w:p w14:paraId="378BCC78" w14:textId="77777777" w:rsidR="00F95BDB" w:rsidRPr="00914E63" w:rsidRDefault="000B3B19" w:rsidP="00C65945">
      <w:pPr>
        <w:pStyle w:val="NumberedParagraphCabStandard"/>
        <w:rPr>
          <w:color w:val="000000" w:themeColor="text1"/>
        </w:rPr>
      </w:pPr>
      <w:r w:rsidRPr="00914E63">
        <w:rPr>
          <w:color w:val="000000" w:themeColor="text1"/>
        </w:rPr>
        <w:t xml:space="preserve">The issue has been identified </w:t>
      </w:r>
      <w:r w:rsidR="00F06596" w:rsidRPr="00914E63">
        <w:rPr>
          <w:color w:val="000000" w:themeColor="text1"/>
        </w:rPr>
        <w:t>in</w:t>
      </w:r>
      <w:r w:rsidRPr="00914E63">
        <w:rPr>
          <w:color w:val="000000" w:themeColor="text1"/>
        </w:rPr>
        <w:t xml:space="preserve"> </w:t>
      </w:r>
      <w:r w:rsidR="0070381C" w:rsidRPr="00914E63">
        <w:rPr>
          <w:color w:val="000000" w:themeColor="text1"/>
        </w:rPr>
        <w:t xml:space="preserve">investigations and disputes over a number of years.  An organised programme of investigation into large commercial property transactions brought it into focus.  </w:t>
      </w:r>
      <w:r w:rsidR="00F95BDB" w:rsidRPr="00914E63">
        <w:rPr>
          <w:color w:val="000000" w:themeColor="text1"/>
        </w:rPr>
        <w:t>The increased profile</w:t>
      </w:r>
      <w:r w:rsidR="00F06596" w:rsidRPr="00914E63">
        <w:rPr>
          <w:color w:val="000000" w:themeColor="text1"/>
        </w:rPr>
        <w:t xml:space="preserve"> of the issue</w:t>
      </w:r>
      <w:r w:rsidR="00F95BDB" w:rsidRPr="00914E63">
        <w:rPr>
          <w:color w:val="000000" w:themeColor="text1"/>
        </w:rPr>
        <w:t xml:space="preserve"> within </w:t>
      </w:r>
      <w:r w:rsidR="006536D8" w:rsidRPr="00914E63">
        <w:rPr>
          <w:color w:val="000000" w:themeColor="text1"/>
        </w:rPr>
        <w:t>Inland Revenue</w:t>
      </w:r>
      <w:r w:rsidR="00F95BDB" w:rsidRPr="00914E63">
        <w:rPr>
          <w:color w:val="000000" w:themeColor="text1"/>
        </w:rPr>
        <w:t xml:space="preserve"> has flushed out further transactions, and it seems clear that there is a need for action of some kind.</w:t>
      </w:r>
    </w:p>
    <w:p w14:paraId="092FFBB4" w14:textId="77777777" w:rsidR="004D1AAE" w:rsidRPr="00914E63" w:rsidRDefault="001F6D83" w:rsidP="00C65945">
      <w:pPr>
        <w:pStyle w:val="NumberedParagraphCabStandard"/>
        <w:rPr>
          <w:color w:val="000000" w:themeColor="text1"/>
        </w:rPr>
      </w:pPr>
      <w:r w:rsidRPr="00914E63">
        <w:rPr>
          <w:color w:val="000000" w:themeColor="text1"/>
        </w:rPr>
        <w:t>To test out the problem and possible solutions, officials engaged with key stakeholders, in particular Chartered Accountants Australia and New Zealand</w:t>
      </w:r>
      <w:r w:rsidR="00610D10" w:rsidRPr="00914E63">
        <w:rPr>
          <w:color w:val="000000" w:themeColor="text1"/>
        </w:rPr>
        <w:t>,</w:t>
      </w:r>
      <w:r w:rsidRPr="00914E63">
        <w:rPr>
          <w:color w:val="000000" w:themeColor="text1"/>
        </w:rPr>
        <w:t xml:space="preserve"> the Corporate Taxpayers Group</w:t>
      </w:r>
      <w:r w:rsidR="00610D10" w:rsidRPr="00914E63">
        <w:rPr>
          <w:color w:val="000000" w:themeColor="text1"/>
        </w:rPr>
        <w:t xml:space="preserve">, Russell McVeagh, </w:t>
      </w:r>
      <w:r w:rsidR="00BA0459" w:rsidRPr="00914E63">
        <w:rPr>
          <w:color w:val="000000" w:themeColor="text1"/>
        </w:rPr>
        <w:t xml:space="preserve">PwC </w:t>
      </w:r>
      <w:r w:rsidR="00610D10" w:rsidRPr="00914E63">
        <w:rPr>
          <w:color w:val="000000" w:themeColor="text1"/>
        </w:rPr>
        <w:t>and KPMG</w:t>
      </w:r>
      <w:r w:rsidRPr="00914E63">
        <w:rPr>
          <w:color w:val="000000" w:themeColor="text1"/>
        </w:rPr>
        <w:t xml:space="preserve">. Their involvement and cooperation will be important to the success of any policy change given their clients and members are those most likely to be affected. </w:t>
      </w:r>
      <w:r w:rsidR="006536D8" w:rsidRPr="00914E63">
        <w:rPr>
          <w:color w:val="000000" w:themeColor="text1"/>
        </w:rPr>
        <w:t xml:space="preserve">While these stakeholders would prefer an operational solution, given the time and cost involved, and the need for consistency, officials have advised that </w:t>
      </w:r>
      <w:r w:rsidRPr="00914E63">
        <w:rPr>
          <w:color w:val="000000" w:themeColor="text1"/>
        </w:rPr>
        <w:t xml:space="preserve">a legislative change </w:t>
      </w:r>
      <w:r w:rsidR="006536D8" w:rsidRPr="00914E63">
        <w:rPr>
          <w:color w:val="000000" w:themeColor="text1"/>
        </w:rPr>
        <w:t>seems to be a better solution to this issue</w:t>
      </w:r>
      <w:r w:rsidR="004D1AAE" w:rsidRPr="00914E63">
        <w:rPr>
          <w:color w:val="000000" w:themeColor="text1"/>
        </w:rPr>
        <w:t>.</w:t>
      </w:r>
    </w:p>
    <w:p w14:paraId="10D7CF48" w14:textId="77777777" w:rsidR="00125D95" w:rsidRPr="00914E63" w:rsidRDefault="00C65945" w:rsidP="004D1AAE">
      <w:pPr>
        <w:pStyle w:val="NumberedParagraphCabStandard"/>
        <w:numPr>
          <w:ilvl w:val="0"/>
          <w:numId w:val="0"/>
        </w:numPr>
        <w:rPr>
          <w:b/>
          <w:color w:val="000000" w:themeColor="text1"/>
        </w:rPr>
      </w:pPr>
      <w:r w:rsidRPr="00914E63">
        <w:rPr>
          <w:b/>
          <w:color w:val="000000" w:themeColor="text1"/>
        </w:rPr>
        <w:t>Financial Implications</w:t>
      </w:r>
    </w:p>
    <w:p w14:paraId="4237BB0C" w14:textId="77777777" w:rsidR="00CC5C91" w:rsidRPr="00914E63" w:rsidRDefault="00CC5C91" w:rsidP="00037C5E">
      <w:pPr>
        <w:pStyle w:val="NumberedParagraphCabStandard"/>
        <w:rPr>
          <w:color w:val="000000" w:themeColor="text1"/>
        </w:rPr>
      </w:pPr>
      <w:r w:rsidRPr="00914E63">
        <w:rPr>
          <w:color w:val="000000" w:themeColor="text1"/>
        </w:rPr>
        <w:t>There are no direct financial implications of this Cabinet paper.</w:t>
      </w:r>
    </w:p>
    <w:p w14:paraId="6F0F968B" w14:textId="3AD0499C" w:rsidR="00CC5C91" w:rsidRPr="00914E63" w:rsidRDefault="00CC5C91" w:rsidP="00037C5E">
      <w:pPr>
        <w:pStyle w:val="NumberedParagraphCabStandard"/>
        <w:rPr>
          <w:color w:val="000000" w:themeColor="text1"/>
        </w:rPr>
      </w:pPr>
      <w:r w:rsidRPr="00914E63">
        <w:rPr>
          <w:color w:val="000000" w:themeColor="text1"/>
        </w:rPr>
        <w:t xml:space="preserve">If the proposals outlined in the issues paper were to be implemented exactly as proposed, this is estimated to increase tax revenue by approximately </w:t>
      </w:r>
      <w:r w:rsidR="00540725" w:rsidRPr="00F40841">
        <w:rPr>
          <w:color w:val="000000" w:themeColor="text1"/>
          <w:highlight w:val="lightGray"/>
        </w:rPr>
        <w:t xml:space="preserve">s 9(2)(f)(iv) </w:t>
      </w:r>
      <w:r w:rsidRPr="00914E63">
        <w:rPr>
          <w:color w:val="000000" w:themeColor="text1"/>
        </w:rPr>
        <w:t xml:space="preserve"> over the forecast period</w:t>
      </w:r>
      <w:r w:rsidR="001B1D2C" w:rsidRPr="00914E63">
        <w:rPr>
          <w:color w:val="000000" w:themeColor="text1"/>
        </w:rPr>
        <w:t>.</w:t>
      </w:r>
      <w:r w:rsidRPr="00914E63">
        <w:rPr>
          <w:color w:val="000000" w:themeColor="text1"/>
        </w:rPr>
        <w:t xml:space="preserve">  </w:t>
      </w:r>
    </w:p>
    <w:p w14:paraId="440F54DF" w14:textId="0F1ACFB6" w:rsidR="00CC5C91" w:rsidRPr="00914E63" w:rsidRDefault="00CC5C91" w:rsidP="00CC5C91">
      <w:pPr>
        <w:pStyle w:val="NumberedParagraphCabStandard"/>
        <w:rPr>
          <w:color w:val="000000" w:themeColor="text1"/>
        </w:rPr>
      </w:pPr>
      <w:r w:rsidRPr="00914E63">
        <w:rPr>
          <w:color w:val="000000" w:themeColor="text1"/>
        </w:rPr>
        <w:t>This estimate is based on</w:t>
      </w:r>
      <w:r w:rsidR="001B1D2C" w:rsidRPr="00914E63">
        <w:rPr>
          <w:color w:val="000000" w:themeColor="text1"/>
        </w:rPr>
        <w:t xml:space="preserve"> </w:t>
      </w:r>
      <w:r w:rsidRPr="00914E63">
        <w:rPr>
          <w:color w:val="000000" w:themeColor="text1"/>
        </w:rPr>
        <w:t>a sample of known cases, extrapolated out to the total estimated base of depreciable property sold with other assets.  As it does not include financial arrangements, or revenue from improved compliance with the trading stock rules, it is potentially conservative. However, it should also be noted that the methodology to reach this number is complex</w:t>
      </w:r>
      <w:r w:rsidR="004011A0">
        <w:rPr>
          <w:color w:val="000000" w:themeColor="text1"/>
        </w:rPr>
        <w:t xml:space="preserve"> </w:t>
      </w:r>
      <w:r w:rsidRPr="00914E63">
        <w:rPr>
          <w:color w:val="000000" w:themeColor="text1"/>
        </w:rPr>
        <w:t>and relies on a number of assumptions.</w:t>
      </w:r>
    </w:p>
    <w:p w14:paraId="1B37CAF4" w14:textId="71F86B41" w:rsidR="001B1D2C" w:rsidRDefault="00CC5C91" w:rsidP="009610AF">
      <w:pPr>
        <w:pStyle w:val="NumberedParagraphCabStandard"/>
        <w:rPr>
          <w:color w:val="000000" w:themeColor="text1"/>
        </w:rPr>
      </w:pPr>
      <w:r w:rsidRPr="00914E63">
        <w:rPr>
          <w:color w:val="000000" w:themeColor="text1"/>
        </w:rPr>
        <w:lastRenderedPageBreak/>
        <w:t xml:space="preserve">Any changes to the design of the measure following consultation is likely to change these estimates. </w:t>
      </w:r>
    </w:p>
    <w:p w14:paraId="4671A13F" w14:textId="77777777" w:rsidR="00607226" w:rsidRPr="00914E63" w:rsidRDefault="00607226" w:rsidP="00607226">
      <w:pPr>
        <w:pStyle w:val="NumberedParagraphCabStandard"/>
        <w:numPr>
          <w:ilvl w:val="0"/>
          <w:numId w:val="0"/>
        </w:numPr>
        <w:rPr>
          <w:b/>
          <w:color w:val="000000" w:themeColor="text1"/>
        </w:rPr>
      </w:pPr>
      <w:r w:rsidRPr="00914E63">
        <w:rPr>
          <w:b/>
          <w:color w:val="000000" w:themeColor="text1"/>
        </w:rPr>
        <w:t xml:space="preserve">Systems and </w:t>
      </w:r>
      <w:r w:rsidR="00EB4D4E" w:rsidRPr="00914E63">
        <w:rPr>
          <w:b/>
          <w:color w:val="000000" w:themeColor="text1"/>
        </w:rPr>
        <w:t xml:space="preserve">Administrative Implications </w:t>
      </w:r>
    </w:p>
    <w:p w14:paraId="1043C6FB" w14:textId="2D603CD7" w:rsidR="001F6D83" w:rsidRPr="00914E63" w:rsidRDefault="001F6D83" w:rsidP="00C423B4">
      <w:pPr>
        <w:pStyle w:val="NumberedParagraphCabStandard"/>
        <w:rPr>
          <w:color w:val="000000" w:themeColor="text1"/>
        </w:rPr>
      </w:pPr>
      <w:r w:rsidRPr="00914E63">
        <w:rPr>
          <w:color w:val="000000" w:themeColor="text1"/>
        </w:rPr>
        <w:t>The proposal does not give rise to significant operational or systems changes</w:t>
      </w:r>
      <w:r w:rsidR="009E1A06">
        <w:rPr>
          <w:color w:val="000000" w:themeColor="text1"/>
        </w:rPr>
        <w:t xml:space="preserve"> </w:t>
      </w:r>
      <w:r w:rsidRPr="00914E63">
        <w:rPr>
          <w:color w:val="000000" w:themeColor="text1"/>
        </w:rPr>
        <w:t>and would have low administrative costs for Inland Revenue.</w:t>
      </w:r>
    </w:p>
    <w:p w14:paraId="13353D8A" w14:textId="77777777" w:rsidR="00125D95" w:rsidRPr="00914E63" w:rsidRDefault="00125D95" w:rsidP="00C65945">
      <w:pPr>
        <w:pStyle w:val="Heading1"/>
        <w:rPr>
          <w:color w:val="000000" w:themeColor="text1"/>
        </w:rPr>
      </w:pPr>
      <w:r w:rsidRPr="00914E63">
        <w:rPr>
          <w:color w:val="000000" w:themeColor="text1"/>
        </w:rPr>
        <w:t>Legislative Implications</w:t>
      </w:r>
    </w:p>
    <w:p w14:paraId="7C868D01" w14:textId="77777777" w:rsidR="00BC3DED" w:rsidRPr="00914E63" w:rsidRDefault="00BC3DED" w:rsidP="00BC3DED">
      <w:pPr>
        <w:pStyle w:val="NumberedParagraphCabStandard"/>
        <w:rPr>
          <w:color w:val="000000" w:themeColor="text1"/>
        </w:rPr>
      </w:pPr>
      <w:r w:rsidRPr="00914E63">
        <w:rPr>
          <w:color w:val="000000" w:themeColor="text1"/>
        </w:rPr>
        <w:t xml:space="preserve">Implementing these proposals </w:t>
      </w:r>
      <w:r w:rsidR="001F6D83" w:rsidRPr="00914E63">
        <w:rPr>
          <w:color w:val="000000" w:themeColor="text1"/>
        </w:rPr>
        <w:t>would require changes to the Income Tax Act 2007.</w:t>
      </w:r>
    </w:p>
    <w:p w14:paraId="50DC5034" w14:textId="3BDBA936" w:rsidR="00BC3DED" w:rsidRPr="00914E63" w:rsidRDefault="001F6D83" w:rsidP="00BC3DED">
      <w:pPr>
        <w:pStyle w:val="NumberedParagraphCabStandard"/>
        <w:rPr>
          <w:color w:val="000000" w:themeColor="text1"/>
        </w:rPr>
      </w:pPr>
      <w:r w:rsidRPr="00914E63">
        <w:rPr>
          <w:color w:val="000000" w:themeColor="text1"/>
        </w:rPr>
        <w:t xml:space="preserve">The issues paper indicates that any legislative changes resulting from the proposals put forward in the paper would be included in a tax bill in </w:t>
      </w:r>
      <w:r w:rsidR="005D2854" w:rsidRPr="00914E63">
        <w:rPr>
          <w:color w:val="000000" w:themeColor="text1"/>
        </w:rPr>
        <w:t>early-mid</w:t>
      </w:r>
      <w:r w:rsidR="00C76E7D" w:rsidRPr="00914E63">
        <w:rPr>
          <w:color w:val="000000" w:themeColor="text1"/>
        </w:rPr>
        <w:t xml:space="preserve"> </w:t>
      </w:r>
      <w:r w:rsidR="00AB7664" w:rsidRPr="00914E63">
        <w:rPr>
          <w:color w:val="000000" w:themeColor="text1"/>
        </w:rPr>
        <w:t>2020</w:t>
      </w:r>
      <w:r w:rsidR="005D2854" w:rsidRPr="00914E63">
        <w:rPr>
          <w:color w:val="000000" w:themeColor="text1"/>
        </w:rPr>
        <w:t>.</w:t>
      </w:r>
      <w:r w:rsidRPr="00914E63">
        <w:rPr>
          <w:color w:val="000000" w:themeColor="text1"/>
        </w:rPr>
        <w:t xml:space="preserve"> </w:t>
      </w:r>
    </w:p>
    <w:p w14:paraId="2EFDCA03" w14:textId="77777777" w:rsidR="00125D95" w:rsidRPr="00914E63" w:rsidRDefault="00125D95" w:rsidP="00C65945">
      <w:pPr>
        <w:pStyle w:val="Heading1"/>
        <w:rPr>
          <w:color w:val="000000" w:themeColor="text1"/>
        </w:rPr>
      </w:pPr>
      <w:r w:rsidRPr="00914E63">
        <w:rPr>
          <w:color w:val="000000" w:themeColor="text1"/>
        </w:rPr>
        <w:t>Impact Analysis</w:t>
      </w:r>
    </w:p>
    <w:p w14:paraId="593B96E0" w14:textId="4B75C726" w:rsidR="003158C0" w:rsidRDefault="003158C0" w:rsidP="003158C0">
      <w:pPr>
        <w:pStyle w:val="NumberedParagraphCabStandard"/>
        <w:rPr>
          <w:lang w:eastAsia="en-US"/>
        </w:rPr>
      </w:pPr>
      <w:r>
        <w:rPr>
          <w:lang w:eastAsia="en-US"/>
        </w:rPr>
        <w:t xml:space="preserve">The issues paper substitutes for a Regulatory Impact Assessment. Inland Revenue’s Quality Assurance panel has reviewed the issues paper and confirms that it is likely to lead to effective consultation and </w:t>
      </w:r>
      <w:r w:rsidR="00B91ECA">
        <w:rPr>
          <w:lang w:eastAsia="en-US"/>
        </w:rPr>
        <w:t xml:space="preserve">to </w:t>
      </w:r>
      <w:r>
        <w:rPr>
          <w:lang w:eastAsia="en-US"/>
        </w:rPr>
        <w:t>support the delivery of Regulatory Impact Analysis t</w:t>
      </w:r>
      <w:r w:rsidR="002C24A6">
        <w:rPr>
          <w:lang w:eastAsia="en-US"/>
        </w:rPr>
        <w:t>hat</w:t>
      </w:r>
      <w:r>
        <w:rPr>
          <w:lang w:eastAsia="en-US"/>
        </w:rPr>
        <w:t xml:space="preserve"> support</w:t>
      </w:r>
      <w:r w:rsidR="002C24A6">
        <w:rPr>
          <w:lang w:eastAsia="en-US"/>
        </w:rPr>
        <w:t>s</w:t>
      </w:r>
      <w:r>
        <w:rPr>
          <w:lang w:eastAsia="en-US"/>
        </w:rPr>
        <w:t xml:space="preserve"> subsequent decisions.</w:t>
      </w:r>
    </w:p>
    <w:p w14:paraId="5E17FBA5" w14:textId="77777777" w:rsidR="001A34A8" w:rsidRPr="00914E63" w:rsidRDefault="001A34A8" w:rsidP="001A34A8">
      <w:pPr>
        <w:pStyle w:val="Heading1"/>
        <w:rPr>
          <w:color w:val="000000" w:themeColor="text1"/>
        </w:rPr>
      </w:pPr>
      <w:r w:rsidRPr="00914E63">
        <w:rPr>
          <w:color w:val="000000" w:themeColor="text1"/>
        </w:rPr>
        <w:t>Human Rights</w:t>
      </w:r>
    </w:p>
    <w:p w14:paraId="591DD4D6" w14:textId="77777777" w:rsidR="001A34A8" w:rsidRPr="00914E63" w:rsidRDefault="001F6D83" w:rsidP="00C05997">
      <w:pPr>
        <w:pStyle w:val="NumberedParagraphCabStandard"/>
        <w:rPr>
          <w:color w:val="000000" w:themeColor="text1"/>
        </w:rPr>
      </w:pPr>
      <w:r w:rsidRPr="00914E63">
        <w:rPr>
          <w:color w:val="000000" w:themeColor="text1"/>
        </w:rPr>
        <w:t>There are no human rights implications.</w:t>
      </w:r>
    </w:p>
    <w:p w14:paraId="687B0529" w14:textId="77777777" w:rsidR="00125D95" w:rsidRPr="00914E63" w:rsidRDefault="00125D95" w:rsidP="00C65945">
      <w:pPr>
        <w:pStyle w:val="Heading1"/>
        <w:rPr>
          <w:color w:val="000000" w:themeColor="text1"/>
        </w:rPr>
      </w:pPr>
      <w:r w:rsidRPr="00914E63">
        <w:rPr>
          <w:color w:val="000000" w:themeColor="text1"/>
        </w:rPr>
        <w:t>Gender Implications</w:t>
      </w:r>
    </w:p>
    <w:p w14:paraId="5281D38E" w14:textId="77777777" w:rsidR="00125D95" w:rsidRPr="00914E63" w:rsidRDefault="001F6D83" w:rsidP="00C05997">
      <w:pPr>
        <w:pStyle w:val="NumberedParagraphCabStandard"/>
        <w:rPr>
          <w:color w:val="000000" w:themeColor="text1"/>
        </w:rPr>
      </w:pPr>
      <w:r w:rsidRPr="00914E63">
        <w:rPr>
          <w:color w:val="000000" w:themeColor="text1"/>
        </w:rPr>
        <w:t>There are no gender implications.</w:t>
      </w:r>
    </w:p>
    <w:p w14:paraId="599DCA5F" w14:textId="77777777" w:rsidR="00125D95" w:rsidRPr="00914E63" w:rsidRDefault="00C65945" w:rsidP="00C65945">
      <w:pPr>
        <w:pStyle w:val="Heading1"/>
        <w:rPr>
          <w:color w:val="000000" w:themeColor="text1"/>
        </w:rPr>
      </w:pPr>
      <w:r w:rsidRPr="00914E63">
        <w:rPr>
          <w:color w:val="000000" w:themeColor="text1"/>
        </w:rPr>
        <w:t>Disability Perspective</w:t>
      </w:r>
    </w:p>
    <w:p w14:paraId="15698BE9" w14:textId="77777777" w:rsidR="00125D95" w:rsidRPr="00914E63" w:rsidRDefault="001F6D83" w:rsidP="003E3830">
      <w:pPr>
        <w:pStyle w:val="NumberedParagraphCabStandard"/>
        <w:rPr>
          <w:color w:val="000000" w:themeColor="text1"/>
        </w:rPr>
      </w:pPr>
      <w:r w:rsidRPr="00914E63">
        <w:rPr>
          <w:color w:val="000000" w:themeColor="text1"/>
        </w:rPr>
        <w:t>There are no disability implications.</w:t>
      </w:r>
    </w:p>
    <w:p w14:paraId="0D29249E" w14:textId="77777777" w:rsidR="00125D95" w:rsidRPr="00914E63" w:rsidRDefault="00125D95" w:rsidP="001030EC">
      <w:pPr>
        <w:pStyle w:val="Heading1"/>
        <w:tabs>
          <w:tab w:val="center" w:pos="4876"/>
        </w:tabs>
        <w:rPr>
          <w:color w:val="000000" w:themeColor="text1"/>
        </w:rPr>
      </w:pPr>
      <w:r w:rsidRPr="00914E63">
        <w:rPr>
          <w:color w:val="000000" w:themeColor="text1"/>
        </w:rPr>
        <w:t>Publicity</w:t>
      </w:r>
    </w:p>
    <w:p w14:paraId="7E6E72FF" w14:textId="77777777" w:rsidR="00125D95" w:rsidRPr="00914E63" w:rsidRDefault="001F6D83" w:rsidP="003E3830">
      <w:pPr>
        <w:pStyle w:val="NumberedParagraphCabStandard"/>
        <w:rPr>
          <w:color w:val="000000" w:themeColor="text1"/>
        </w:rPr>
      </w:pPr>
      <w:r w:rsidRPr="00914E63">
        <w:rPr>
          <w:color w:val="000000" w:themeColor="text1"/>
        </w:rPr>
        <w:t>I will make an announcement on the issues paper at the time it is released. The proposals it contains are likely to be controversial</w:t>
      </w:r>
      <w:r w:rsidR="00D466E7" w:rsidRPr="00914E63">
        <w:rPr>
          <w:color w:val="000000" w:themeColor="text1"/>
        </w:rPr>
        <w:t xml:space="preserve"> in the tax advisory </w:t>
      </w:r>
      <w:r w:rsidR="00D357B1" w:rsidRPr="00914E63">
        <w:rPr>
          <w:color w:val="000000" w:themeColor="text1"/>
        </w:rPr>
        <w:t>community</w:t>
      </w:r>
      <w:r w:rsidRPr="00914E63">
        <w:rPr>
          <w:color w:val="000000" w:themeColor="text1"/>
        </w:rPr>
        <w:t>.</w:t>
      </w:r>
    </w:p>
    <w:p w14:paraId="6E3EAA47" w14:textId="77777777" w:rsidR="005B44E4" w:rsidRPr="00914E63" w:rsidRDefault="005B44E4" w:rsidP="005B44E4">
      <w:pPr>
        <w:pStyle w:val="Heading1"/>
        <w:rPr>
          <w:color w:val="000000" w:themeColor="text1"/>
        </w:rPr>
      </w:pPr>
      <w:r w:rsidRPr="00914E63">
        <w:rPr>
          <w:color w:val="000000" w:themeColor="text1"/>
        </w:rPr>
        <w:t>Proactive Release</w:t>
      </w:r>
    </w:p>
    <w:p w14:paraId="7517598E" w14:textId="4DF45066" w:rsidR="00A40333" w:rsidRPr="00914E63" w:rsidRDefault="0092415D" w:rsidP="00A40333">
      <w:pPr>
        <w:pStyle w:val="NumberedParagraphCabStandard"/>
        <w:rPr>
          <w:color w:val="000000" w:themeColor="text1"/>
        </w:rPr>
      </w:pPr>
      <w:r w:rsidRPr="00914E63">
        <w:rPr>
          <w:color w:val="000000" w:themeColor="text1"/>
        </w:rPr>
        <w:t>I propose to proactively release this Cabinet paper, associated minutes, and key advice papers</w:t>
      </w:r>
      <w:r w:rsidR="00A36DFD">
        <w:rPr>
          <w:color w:val="000000" w:themeColor="text1"/>
        </w:rPr>
        <w:t>,</w:t>
      </w:r>
      <w:r w:rsidRPr="00914E63">
        <w:rPr>
          <w:color w:val="000000" w:themeColor="text1"/>
        </w:rPr>
        <w:t xml:space="preserve"> </w:t>
      </w:r>
      <w:r w:rsidR="005B2F09">
        <w:rPr>
          <w:color w:val="000000" w:themeColor="text1"/>
        </w:rPr>
        <w:t>with appropriate redactions</w:t>
      </w:r>
      <w:r w:rsidRPr="00914E63">
        <w:rPr>
          <w:color w:val="000000" w:themeColor="text1"/>
        </w:rPr>
        <w:t>.</w:t>
      </w:r>
    </w:p>
    <w:p w14:paraId="1BD38EDB" w14:textId="77777777" w:rsidR="00125D95" w:rsidRPr="00914E63" w:rsidRDefault="00125D95" w:rsidP="00C65945">
      <w:pPr>
        <w:pStyle w:val="Heading1"/>
        <w:rPr>
          <w:color w:val="000000" w:themeColor="text1"/>
        </w:rPr>
      </w:pPr>
      <w:r w:rsidRPr="00914E63">
        <w:rPr>
          <w:color w:val="000000" w:themeColor="text1"/>
        </w:rPr>
        <w:t>Recommendations</w:t>
      </w:r>
    </w:p>
    <w:p w14:paraId="1E1C1B30" w14:textId="77777777" w:rsidR="00C71E59" w:rsidRPr="00914E63" w:rsidRDefault="00C71E59" w:rsidP="00C71E59">
      <w:pPr>
        <w:pStyle w:val="NumberedParagraphCabStandard"/>
        <w:numPr>
          <w:ilvl w:val="0"/>
          <w:numId w:val="0"/>
        </w:numPr>
        <w:ind w:left="709" w:hanging="709"/>
        <w:rPr>
          <w:color w:val="000000" w:themeColor="text1"/>
        </w:rPr>
      </w:pPr>
      <w:r w:rsidRPr="00914E63">
        <w:rPr>
          <w:color w:val="000000" w:themeColor="text1"/>
        </w:rPr>
        <w:t>1.</w:t>
      </w:r>
      <w:r w:rsidR="00472231" w:rsidRPr="00914E63">
        <w:rPr>
          <w:color w:val="000000" w:themeColor="text1"/>
        </w:rPr>
        <w:tab/>
      </w:r>
      <w:r w:rsidR="00472231" w:rsidRPr="00914E63">
        <w:rPr>
          <w:b/>
          <w:color w:val="000000" w:themeColor="text1"/>
        </w:rPr>
        <w:t>agree</w:t>
      </w:r>
      <w:r w:rsidR="00472231" w:rsidRPr="00914E63">
        <w:rPr>
          <w:color w:val="000000" w:themeColor="text1"/>
        </w:rPr>
        <w:t xml:space="preserve"> to the release of the attached issues paper on purchase price allocation, </w:t>
      </w:r>
      <w:r w:rsidR="005D2854" w:rsidRPr="00914E63">
        <w:rPr>
          <w:color w:val="000000" w:themeColor="text1"/>
        </w:rPr>
        <w:t>on 10 December 2019</w:t>
      </w:r>
      <w:r w:rsidR="00472231" w:rsidRPr="00914E63">
        <w:rPr>
          <w:color w:val="000000" w:themeColor="text1"/>
        </w:rPr>
        <w:t>;</w:t>
      </w:r>
    </w:p>
    <w:p w14:paraId="374BB9AF" w14:textId="77777777" w:rsidR="00D6607E" w:rsidRPr="00914E63" w:rsidRDefault="00D6607E" w:rsidP="00C71E59">
      <w:pPr>
        <w:pStyle w:val="NumberedParagraphCabStandard"/>
        <w:numPr>
          <w:ilvl w:val="0"/>
          <w:numId w:val="0"/>
        </w:numPr>
        <w:ind w:left="709" w:hanging="709"/>
        <w:rPr>
          <w:color w:val="000000" w:themeColor="text1"/>
        </w:rPr>
      </w:pPr>
      <w:r w:rsidRPr="00914E63">
        <w:rPr>
          <w:color w:val="000000" w:themeColor="text1"/>
        </w:rPr>
        <w:t>2.</w:t>
      </w:r>
      <w:r w:rsidRPr="00914E63">
        <w:rPr>
          <w:color w:val="000000" w:themeColor="text1"/>
        </w:rPr>
        <w:tab/>
      </w:r>
      <w:r w:rsidRPr="00914E63">
        <w:rPr>
          <w:b/>
          <w:color w:val="000000" w:themeColor="text1"/>
        </w:rPr>
        <w:t>authorise</w:t>
      </w:r>
      <w:r w:rsidRPr="00914E63">
        <w:rPr>
          <w:color w:val="000000" w:themeColor="text1"/>
        </w:rPr>
        <w:t xml:space="preserve"> the Minister of Revenue to approve any final technical amendments to the issues paper</w:t>
      </w:r>
      <w:r w:rsidR="00972715" w:rsidRPr="00914E63">
        <w:rPr>
          <w:color w:val="000000" w:themeColor="text1"/>
        </w:rPr>
        <w:t xml:space="preserve"> before its release</w:t>
      </w:r>
      <w:r w:rsidRPr="00914E63">
        <w:rPr>
          <w:color w:val="000000" w:themeColor="text1"/>
        </w:rPr>
        <w:t>;</w:t>
      </w:r>
    </w:p>
    <w:p w14:paraId="6F1F3FB8" w14:textId="63A4A74F" w:rsidR="00D6607E" w:rsidRPr="00914E63" w:rsidRDefault="00D6607E" w:rsidP="00914E63">
      <w:pPr>
        <w:pStyle w:val="NumberedParagraphCabStandard"/>
        <w:numPr>
          <w:ilvl w:val="0"/>
          <w:numId w:val="0"/>
        </w:numPr>
        <w:ind w:left="709" w:hanging="709"/>
        <w:rPr>
          <w:color w:val="000000" w:themeColor="text1"/>
        </w:rPr>
      </w:pPr>
      <w:r w:rsidRPr="00914E63">
        <w:rPr>
          <w:color w:val="000000" w:themeColor="text1"/>
        </w:rPr>
        <w:lastRenderedPageBreak/>
        <w:t>3.</w:t>
      </w:r>
      <w:r w:rsidRPr="00914E63">
        <w:rPr>
          <w:color w:val="000000" w:themeColor="text1"/>
        </w:rPr>
        <w:tab/>
      </w:r>
      <w:r w:rsidR="00047B80" w:rsidRPr="00B904E8">
        <w:rPr>
          <w:b/>
          <w:color w:val="000000" w:themeColor="text1"/>
        </w:rPr>
        <w:t>note</w:t>
      </w:r>
      <w:r w:rsidR="00047B80" w:rsidRPr="00B904E8">
        <w:rPr>
          <w:color w:val="000000" w:themeColor="text1"/>
        </w:rPr>
        <w:t xml:space="preserve"> </w:t>
      </w:r>
      <w:r w:rsidR="00047B80">
        <w:rPr>
          <w:color w:val="000000" w:themeColor="text1"/>
        </w:rPr>
        <w:t>t</w:t>
      </w:r>
      <w:r w:rsidR="00047B80" w:rsidRPr="00B904E8">
        <w:rPr>
          <w:color w:val="000000" w:themeColor="text1"/>
        </w:rPr>
        <w:t>here are no direct financial implications of this Cabinet paper</w:t>
      </w:r>
      <w:r w:rsidR="00047B80">
        <w:rPr>
          <w:color w:val="000000" w:themeColor="text1"/>
        </w:rPr>
        <w:t xml:space="preserve">, however </w:t>
      </w:r>
      <w:r w:rsidRPr="00914E63">
        <w:rPr>
          <w:color w:val="000000" w:themeColor="text1"/>
        </w:rPr>
        <w:t xml:space="preserve">the changes suggested in the issues paper </w:t>
      </w:r>
      <w:r w:rsidR="00047B80">
        <w:rPr>
          <w:color w:val="000000" w:themeColor="text1"/>
        </w:rPr>
        <w:t xml:space="preserve">could </w:t>
      </w:r>
      <w:r w:rsidR="00524B32">
        <w:rPr>
          <w:color w:val="000000" w:themeColor="text1"/>
        </w:rPr>
        <w:t xml:space="preserve">raise </w:t>
      </w:r>
      <w:r w:rsidR="00524B32" w:rsidRPr="00914E63">
        <w:rPr>
          <w:color w:val="000000" w:themeColor="text1"/>
        </w:rPr>
        <w:t xml:space="preserve">approximately </w:t>
      </w:r>
      <w:r w:rsidR="00540725" w:rsidRPr="00F40841">
        <w:rPr>
          <w:color w:val="000000" w:themeColor="text1"/>
          <w:highlight w:val="lightGray"/>
        </w:rPr>
        <w:t xml:space="preserve">s 9(2)(f)(iv) </w:t>
      </w:r>
      <w:r w:rsidR="00524B32" w:rsidRPr="00914E63">
        <w:rPr>
          <w:color w:val="000000" w:themeColor="text1"/>
        </w:rPr>
        <w:t xml:space="preserve"> over the forecast </w:t>
      </w:r>
      <w:proofErr w:type="gramStart"/>
      <w:r w:rsidR="00524B32" w:rsidRPr="00914E63">
        <w:rPr>
          <w:color w:val="000000" w:themeColor="text1"/>
        </w:rPr>
        <w:t>period</w:t>
      </w:r>
      <w:r w:rsidRPr="00914E63">
        <w:rPr>
          <w:color w:val="000000" w:themeColor="text1"/>
        </w:rPr>
        <w:t>;</w:t>
      </w:r>
      <w:proofErr w:type="gramEnd"/>
    </w:p>
    <w:p w14:paraId="1CDC6B2F" w14:textId="14A09447" w:rsidR="005D2854" w:rsidRPr="00914E63" w:rsidRDefault="005D2854" w:rsidP="005D2854">
      <w:pPr>
        <w:pStyle w:val="NumberedParagraphCabStandard"/>
        <w:numPr>
          <w:ilvl w:val="0"/>
          <w:numId w:val="0"/>
        </w:numPr>
        <w:ind w:left="709" w:hanging="709"/>
        <w:rPr>
          <w:color w:val="000000" w:themeColor="text1"/>
        </w:rPr>
      </w:pPr>
      <w:r w:rsidRPr="00914E63">
        <w:rPr>
          <w:color w:val="000000" w:themeColor="text1"/>
        </w:rPr>
        <w:t>4.</w:t>
      </w:r>
      <w:r w:rsidRPr="00914E63">
        <w:rPr>
          <w:b/>
          <w:color w:val="000000" w:themeColor="text1"/>
        </w:rPr>
        <w:t xml:space="preserve"> </w:t>
      </w:r>
      <w:r w:rsidRPr="00914E63">
        <w:rPr>
          <w:b/>
          <w:color w:val="000000" w:themeColor="text1"/>
        </w:rPr>
        <w:tab/>
        <w:t>authorise</w:t>
      </w:r>
      <w:r w:rsidRPr="00914E63">
        <w:rPr>
          <w:color w:val="000000" w:themeColor="text1"/>
        </w:rPr>
        <w:t xml:space="preserve"> the Minister of Finance and </w:t>
      </w:r>
      <w:r w:rsidR="00842218">
        <w:rPr>
          <w:color w:val="000000" w:themeColor="text1"/>
        </w:rPr>
        <w:t xml:space="preserve">the Minister of </w:t>
      </w:r>
      <w:r w:rsidRPr="00914E63">
        <w:rPr>
          <w:color w:val="000000" w:themeColor="text1"/>
        </w:rPr>
        <w:t>Revenue to make final policy decisions following consultation;</w:t>
      </w:r>
    </w:p>
    <w:p w14:paraId="4F08AEEF" w14:textId="27E2798E" w:rsidR="005752D3" w:rsidRPr="00914E63" w:rsidRDefault="005D2854" w:rsidP="00C71E59">
      <w:pPr>
        <w:pStyle w:val="NumberedParagraphCabStandard"/>
        <w:numPr>
          <w:ilvl w:val="0"/>
          <w:numId w:val="0"/>
        </w:numPr>
        <w:ind w:left="709" w:hanging="709"/>
        <w:rPr>
          <w:color w:val="000000" w:themeColor="text1"/>
        </w:rPr>
      </w:pPr>
      <w:r w:rsidRPr="00914E63">
        <w:rPr>
          <w:color w:val="000000" w:themeColor="text1"/>
        </w:rPr>
        <w:t>5</w:t>
      </w:r>
      <w:r w:rsidR="005752D3" w:rsidRPr="00914E63">
        <w:rPr>
          <w:color w:val="000000" w:themeColor="text1"/>
        </w:rPr>
        <w:t>.</w:t>
      </w:r>
      <w:r w:rsidR="005752D3" w:rsidRPr="00914E63">
        <w:rPr>
          <w:color w:val="000000" w:themeColor="text1"/>
        </w:rPr>
        <w:tab/>
      </w:r>
      <w:r w:rsidR="005752D3" w:rsidRPr="00914E63">
        <w:rPr>
          <w:b/>
          <w:color w:val="000000" w:themeColor="text1"/>
        </w:rPr>
        <w:t>note</w:t>
      </w:r>
      <w:r w:rsidR="005752D3" w:rsidRPr="00914E63">
        <w:rPr>
          <w:color w:val="000000" w:themeColor="text1"/>
        </w:rPr>
        <w:t xml:space="preserve"> that this Cabinet paper, the associated Cabinet minute, and key advice papers will be proactively released</w:t>
      </w:r>
      <w:r w:rsidR="001D0064">
        <w:rPr>
          <w:color w:val="000000" w:themeColor="text1"/>
        </w:rPr>
        <w:t>,</w:t>
      </w:r>
      <w:r w:rsidR="00B4581C">
        <w:rPr>
          <w:color w:val="000000" w:themeColor="text1"/>
        </w:rPr>
        <w:t xml:space="preserve"> with appropriate redactions</w:t>
      </w:r>
      <w:r w:rsidR="005752D3" w:rsidRPr="00914E63">
        <w:rPr>
          <w:color w:val="000000" w:themeColor="text1"/>
        </w:rPr>
        <w:t>.</w:t>
      </w:r>
    </w:p>
    <w:p w14:paraId="1B2BDDE5" w14:textId="77777777" w:rsidR="00C71E59" w:rsidRPr="00914E63" w:rsidRDefault="00C71E59" w:rsidP="00C71E59">
      <w:pPr>
        <w:pStyle w:val="NumberedParagraphCabStandard"/>
        <w:numPr>
          <w:ilvl w:val="0"/>
          <w:numId w:val="0"/>
        </w:numPr>
        <w:ind w:left="709" w:hanging="709"/>
        <w:rPr>
          <w:color w:val="000000" w:themeColor="text1"/>
        </w:rPr>
      </w:pPr>
    </w:p>
    <w:p w14:paraId="7CEC5036" w14:textId="77777777" w:rsidR="00125D95" w:rsidRPr="00914E63" w:rsidRDefault="00125D95" w:rsidP="00C65945">
      <w:pPr>
        <w:pStyle w:val="NumberedParagraphCabStandard"/>
        <w:numPr>
          <w:ilvl w:val="0"/>
          <w:numId w:val="0"/>
        </w:numPr>
        <w:ind w:left="720" w:hanging="720"/>
        <w:rPr>
          <w:color w:val="000000" w:themeColor="text1"/>
        </w:rPr>
      </w:pPr>
      <w:r w:rsidRPr="00914E63">
        <w:rPr>
          <w:color w:val="000000" w:themeColor="text1"/>
        </w:rPr>
        <w:t>Authorised for lodgement</w:t>
      </w:r>
    </w:p>
    <w:p w14:paraId="10CE2666" w14:textId="77777777" w:rsidR="00125D95" w:rsidRPr="00914E63" w:rsidRDefault="00125D95" w:rsidP="003C12A0">
      <w:pPr>
        <w:pStyle w:val="NumberedParagraphCabStandard"/>
        <w:numPr>
          <w:ilvl w:val="0"/>
          <w:numId w:val="0"/>
        </w:numPr>
        <w:spacing w:after="0"/>
        <w:ind w:left="720" w:hanging="720"/>
        <w:rPr>
          <w:color w:val="000000" w:themeColor="text1"/>
        </w:rPr>
      </w:pPr>
      <w:r w:rsidRPr="00914E63">
        <w:rPr>
          <w:color w:val="000000" w:themeColor="text1"/>
        </w:rPr>
        <w:t>Hon</w:t>
      </w:r>
      <w:r w:rsidR="0078697A" w:rsidRPr="00914E63">
        <w:rPr>
          <w:color w:val="000000" w:themeColor="text1"/>
        </w:rPr>
        <w:t xml:space="preserve"> Stuart Nash</w:t>
      </w:r>
    </w:p>
    <w:p w14:paraId="4FA3D76B" w14:textId="77777777" w:rsidR="00056241" w:rsidRPr="00914E63" w:rsidRDefault="00125D95" w:rsidP="007F6AC7">
      <w:pPr>
        <w:pStyle w:val="NumberedParagraphCabStandard"/>
        <w:numPr>
          <w:ilvl w:val="0"/>
          <w:numId w:val="0"/>
        </w:numPr>
        <w:ind w:left="720" w:hanging="720"/>
        <w:rPr>
          <w:color w:val="000000" w:themeColor="text1"/>
        </w:rPr>
      </w:pPr>
      <w:r w:rsidRPr="00914E63">
        <w:rPr>
          <w:color w:val="000000" w:themeColor="text1"/>
        </w:rPr>
        <w:t xml:space="preserve">Minister </w:t>
      </w:r>
      <w:r w:rsidR="00056241" w:rsidRPr="00914E63">
        <w:rPr>
          <w:color w:val="000000" w:themeColor="text1"/>
        </w:rPr>
        <w:t>of Revenue</w:t>
      </w:r>
    </w:p>
    <w:sectPr w:rsidR="00056241" w:rsidRPr="00914E63" w:rsidSect="00FF18D4">
      <w:footerReference w:type="default" r:id="rId7"/>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961A5" w14:textId="77777777" w:rsidR="00006601" w:rsidRDefault="00006601" w:rsidP="00F31991">
      <w:pPr>
        <w:spacing w:after="0"/>
      </w:pPr>
      <w:r>
        <w:separator/>
      </w:r>
    </w:p>
  </w:endnote>
  <w:endnote w:type="continuationSeparator" w:id="0">
    <w:p w14:paraId="0E8FB993" w14:textId="77777777" w:rsidR="00006601" w:rsidRDefault="00006601" w:rsidP="00F31991">
      <w:pPr>
        <w:spacing w:after="0"/>
      </w:pPr>
      <w:r>
        <w:continuationSeparator/>
      </w:r>
    </w:p>
  </w:endnote>
  <w:endnote w:type="continuationNotice" w:id="1">
    <w:p w14:paraId="3081D4A7" w14:textId="77777777" w:rsidR="00006601" w:rsidRDefault="0000660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16013" w14:textId="77777777" w:rsidR="006536D8" w:rsidRDefault="006536D8" w:rsidP="006F13D1">
    <w:pPr>
      <w:pStyle w:val="Header"/>
      <w:jc w:val="center"/>
    </w:pPr>
    <w:r>
      <w:rPr>
        <w:noProof/>
      </w:rPr>
      <mc:AlternateContent>
        <mc:Choice Requires="wps">
          <w:drawing>
            <wp:anchor distT="0" distB="0" distL="114300" distR="114300" simplePos="0" relativeHeight="251658240" behindDoc="0" locked="0" layoutInCell="0" allowOverlap="1" wp14:anchorId="505BCD71" wp14:editId="6CE54EED">
              <wp:simplePos x="0" y="0"/>
              <wp:positionH relativeFrom="page">
                <wp:posOffset>0</wp:posOffset>
              </wp:positionH>
              <wp:positionV relativeFrom="page">
                <wp:posOffset>10234930</wp:posOffset>
              </wp:positionV>
              <wp:extent cx="7560310" cy="266700"/>
              <wp:effectExtent l="0" t="0" r="0" b="0"/>
              <wp:wrapNone/>
              <wp:docPr id="1" name="MSIPCMecb8451193a5be240fc99e08" descr="{&quot;HashCode&quot;:-6821140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3D427" w14:textId="77777777" w:rsidR="006536D8" w:rsidRPr="0033168A" w:rsidRDefault="006536D8" w:rsidP="0033168A">
                          <w:pPr>
                            <w:spacing w:after="0"/>
                            <w:jc w:val="center"/>
                            <w:rPr>
                              <w:rFonts w:ascii="Verdana" w:hAnsi="Verdana"/>
                              <w:color w:val="000000"/>
                              <w:sz w:val="20"/>
                            </w:rPr>
                          </w:pPr>
                          <w:r w:rsidRPr="0033168A">
                            <w:rPr>
                              <w:rFonts w:ascii="Verdana" w:hAnsi="Verdana"/>
                              <w:color w:val="000000"/>
                              <w:sz w:val="20"/>
                            </w:rPr>
                            <w:t>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5BCD71" id="_x0000_t202" coordsize="21600,21600" o:spt="202" path="m,l,21600r21600,l21600,xe">
              <v:stroke joinstyle="miter"/>
              <v:path gradientshapeok="t" o:connecttype="rect"/>
            </v:shapetype>
            <v:shape id="MSIPCMecb8451193a5be240fc99e08" o:spid="_x0000_s1026" type="#_x0000_t202" alt="{&quot;HashCode&quot;:-682114031,&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Khwb+2tAgAARgUAAA4AAAAA&#10;AAAAAAAAAAAALgIAAGRycy9lMm9Eb2MueG1sUEsBAi0AFAAGAAgAAAAhAIOyjyvfAAAACwEAAA8A&#10;AAAAAAAAAAAAAAAABwUAAGRycy9kb3ducmV2LnhtbFBLBQYAAAAABAAEAPMAAAATBgAAAAA=&#10;" o:allowincell="f" filled="f" stroked="f" strokeweight=".5pt">
              <v:textbox inset=",0,,0">
                <w:txbxContent>
                  <w:p w14:paraId="3493D427" w14:textId="77777777" w:rsidR="006536D8" w:rsidRPr="0033168A" w:rsidRDefault="006536D8" w:rsidP="0033168A">
                    <w:pPr>
                      <w:spacing w:after="0"/>
                      <w:jc w:val="center"/>
                      <w:rPr>
                        <w:rFonts w:ascii="Verdana" w:hAnsi="Verdana"/>
                        <w:color w:val="000000"/>
                        <w:sz w:val="20"/>
                      </w:rPr>
                    </w:pPr>
                    <w:r w:rsidRPr="0033168A">
                      <w:rPr>
                        <w:rFonts w:ascii="Verdana" w:hAnsi="Verdana"/>
                        <w:color w:val="000000"/>
                        <w:sz w:val="20"/>
                      </w:rPr>
                      <w:t>SENSITIVE</w:t>
                    </w:r>
                  </w:p>
                </w:txbxContent>
              </v:textbox>
              <w10:wrap anchorx="page" anchory="page"/>
            </v:shape>
          </w:pict>
        </mc:Fallback>
      </mc:AlternateContent>
    </w:r>
    <w:sdt>
      <w:sdtPr>
        <w:id w:val="18122110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4B32">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AADE8" w14:textId="77777777" w:rsidR="00006601" w:rsidRDefault="00006601" w:rsidP="00F31991">
      <w:pPr>
        <w:spacing w:after="0"/>
      </w:pPr>
      <w:r>
        <w:separator/>
      </w:r>
    </w:p>
  </w:footnote>
  <w:footnote w:type="continuationSeparator" w:id="0">
    <w:p w14:paraId="41F6F858" w14:textId="77777777" w:rsidR="00006601" w:rsidRDefault="00006601" w:rsidP="00F31991">
      <w:pPr>
        <w:spacing w:after="0"/>
      </w:pPr>
      <w:r>
        <w:continuationSeparator/>
      </w:r>
    </w:p>
  </w:footnote>
  <w:footnote w:type="continuationNotice" w:id="1">
    <w:p w14:paraId="7859BAFB" w14:textId="77777777" w:rsidR="00006601" w:rsidRDefault="0000660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4" w15:restartNumberingAfterBreak="0">
    <w:nsid w:val="4BCB6F9A"/>
    <w:multiLevelType w:val="hybridMultilevel"/>
    <w:tmpl w:val="85AA718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63993153"/>
    <w:multiLevelType w:val="multilevel"/>
    <w:tmpl w:val="191E1CA4"/>
    <w:lvl w:ilvl="0">
      <w:start w:val="1"/>
      <w:numFmt w:val="decimal"/>
      <w:pStyle w:val="NumberedParagraphCabStandard"/>
      <w:lvlText w:val="%1."/>
      <w:lvlJc w:val="left"/>
      <w:pPr>
        <w:tabs>
          <w:tab w:val="num" w:pos="709"/>
        </w:tabs>
        <w:ind w:left="709" w:hanging="709"/>
      </w:pPr>
      <w:rPr>
        <w:rFonts w:ascii="Arial" w:hAnsi="Arial" w:hint="default"/>
        <w:b w:val="0"/>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5"/>
  </w:num>
  <w:num w:numId="6">
    <w:abstractNumId w:val="5"/>
  </w:num>
  <w:num w:numId="7">
    <w:abstractNumId w:val="5"/>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5"/>
  </w:num>
  <w:num w:numId="15">
    <w:abstractNumId w:val="4"/>
  </w:num>
  <w:num w:numId="16">
    <w:abstractNumId w:val="5"/>
  </w:num>
  <w:num w:numId="17">
    <w:abstractNumId w:val="5"/>
  </w:num>
  <w:num w:numId="18">
    <w:abstractNumId w:val="5"/>
  </w:num>
  <w:num w:numId="19">
    <w:abstractNumId w:val="0"/>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4C"/>
    <w:rsid w:val="000038ED"/>
    <w:rsid w:val="00004951"/>
    <w:rsid w:val="00006601"/>
    <w:rsid w:val="000151C0"/>
    <w:rsid w:val="000202EA"/>
    <w:rsid w:val="000208EA"/>
    <w:rsid w:val="00024A79"/>
    <w:rsid w:val="00024B59"/>
    <w:rsid w:val="00027615"/>
    <w:rsid w:val="00030EFA"/>
    <w:rsid w:val="00035501"/>
    <w:rsid w:val="00037CE5"/>
    <w:rsid w:val="0004206B"/>
    <w:rsid w:val="00043F94"/>
    <w:rsid w:val="00047B80"/>
    <w:rsid w:val="00054370"/>
    <w:rsid w:val="00056241"/>
    <w:rsid w:val="00060397"/>
    <w:rsid w:val="000747AC"/>
    <w:rsid w:val="000816EC"/>
    <w:rsid w:val="00090038"/>
    <w:rsid w:val="000936A9"/>
    <w:rsid w:val="000969CD"/>
    <w:rsid w:val="000976FE"/>
    <w:rsid w:val="00097937"/>
    <w:rsid w:val="000A1779"/>
    <w:rsid w:val="000A216B"/>
    <w:rsid w:val="000A7DF7"/>
    <w:rsid w:val="000B0EB2"/>
    <w:rsid w:val="000B175A"/>
    <w:rsid w:val="000B3827"/>
    <w:rsid w:val="000B3B19"/>
    <w:rsid w:val="000C0176"/>
    <w:rsid w:val="000D6953"/>
    <w:rsid w:val="000E0FBF"/>
    <w:rsid w:val="000E6D9C"/>
    <w:rsid w:val="000F16E2"/>
    <w:rsid w:val="000F2CF0"/>
    <w:rsid w:val="000F4CAB"/>
    <w:rsid w:val="001030EC"/>
    <w:rsid w:val="00105191"/>
    <w:rsid w:val="00110ED3"/>
    <w:rsid w:val="001127A3"/>
    <w:rsid w:val="001129E7"/>
    <w:rsid w:val="00114D7B"/>
    <w:rsid w:val="00116D3E"/>
    <w:rsid w:val="00117F12"/>
    <w:rsid w:val="00123540"/>
    <w:rsid w:val="00125D95"/>
    <w:rsid w:val="0013353D"/>
    <w:rsid w:val="00134600"/>
    <w:rsid w:val="0015389D"/>
    <w:rsid w:val="00157B42"/>
    <w:rsid w:val="00171B9B"/>
    <w:rsid w:val="00177FEB"/>
    <w:rsid w:val="001848E1"/>
    <w:rsid w:val="00190511"/>
    <w:rsid w:val="00190ED1"/>
    <w:rsid w:val="0019126D"/>
    <w:rsid w:val="00191A94"/>
    <w:rsid w:val="00192B56"/>
    <w:rsid w:val="001938C6"/>
    <w:rsid w:val="00197773"/>
    <w:rsid w:val="001A1B73"/>
    <w:rsid w:val="001A34A8"/>
    <w:rsid w:val="001A3FF1"/>
    <w:rsid w:val="001A5861"/>
    <w:rsid w:val="001A5E24"/>
    <w:rsid w:val="001A6BD1"/>
    <w:rsid w:val="001B1D2C"/>
    <w:rsid w:val="001B1E88"/>
    <w:rsid w:val="001B47AA"/>
    <w:rsid w:val="001B53DA"/>
    <w:rsid w:val="001B757B"/>
    <w:rsid w:val="001C033A"/>
    <w:rsid w:val="001C4061"/>
    <w:rsid w:val="001C57F1"/>
    <w:rsid w:val="001C5C1D"/>
    <w:rsid w:val="001D0064"/>
    <w:rsid w:val="001D0AC8"/>
    <w:rsid w:val="001D2218"/>
    <w:rsid w:val="001D5F5D"/>
    <w:rsid w:val="001D6CA1"/>
    <w:rsid w:val="001D6E8D"/>
    <w:rsid w:val="001D7600"/>
    <w:rsid w:val="001E0D8A"/>
    <w:rsid w:val="001E1199"/>
    <w:rsid w:val="001E571C"/>
    <w:rsid w:val="001E5DCC"/>
    <w:rsid w:val="001F6D83"/>
    <w:rsid w:val="001F6EAC"/>
    <w:rsid w:val="00201A5B"/>
    <w:rsid w:val="002112EA"/>
    <w:rsid w:val="002115E4"/>
    <w:rsid w:val="002116F1"/>
    <w:rsid w:val="0021388C"/>
    <w:rsid w:val="00215B17"/>
    <w:rsid w:val="00216921"/>
    <w:rsid w:val="00221A04"/>
    <w:rsid w:val="0022250F"/>
    <w:rsid w:val="00222A2A"/>
    <w:rsid w:val="00226216"/>
    <w:rsid w:val="00231486"/>
    <w:rsid w:val="002322AF"/>
    <w:rsid w:val="00242D99"/>
    <w:rsid w:val="002440C4"/>
    <w:rsid w:val="00244635"/>
    <w:rsid w:val="0025281D"/>
    <w:rsid w:val="0025632E"/>
    <w:rsid w:val="00270BD5"/>
    <w:rsid w:val="00274D70"/>
    <w:rsid w:val="00276070"/>
    <w:rsid w:val="002829ED"/>
    <w:rsid w:val="002850AC"/>
    <w:rsid w:val="002860DE"/>
    <w:rsid w:val="00286D78"/>
    <w:rsid w:val="00287178"/>
    <w:rsid w:val="002906B3"/>
    <w:rsid w:val="0029161B"/>
    <w:rsid w:val="002A095E"/>
    <w:rsid w:val="002A2DFA"/>
    <w:rsid w:val="002A34B2"/>
    <w:rsid w:val="002A56F1"/>
    <w:rsid w:val="002A7392"/>
    <w:rsid w:val="002B7A5E"/>
    <w:rsid w:val="002C24A6"/>
    <w:rsid w:val="002C2B1C"/>
    <w:rsid w:val="002C2E82"/>
    <w:rsid w:val="002C2E88"/>
    <w:rsid w:val="002C3131"/>
    <w:rsid w:val="002C33FD"/>
    <w:rsid w:val="002D198F"/>
    <w:rsid w:val="002D315D"/>
    <w:rsid w:val="002D7491"/>
    <w:rsid w:val="002E54FA"/>
    <w:rsid w:val="002F4C3B"/>
    <w:rsid w:val="002F57FA"/>
    <w:rsid w:val="00300AC5"/>
    <w:rsid w:val="00301087"/>
    <w:rsid w:val="00301502"/>
    <w:rsid w:val="00310E5D"/>
    <w:rsid w:val="00311707"/>
    <w:rsid w:val="00311D26"/>
    <w:rsid w:val="00311FBE"/>
    <w:rsid w:val="0031392E"/>
    <w:rsid w:val="003158C0"/>
    <w:rsid w:val="003229B0"/>
    <w:rsid w:val="00324E03"/>
    <w:rsid w:val="0033168A"/>
    <w:rsid w:val="00331CA7"/>
    <w:rsid w:val="0033241E"/>
    <w:rsid w:val="00334814"/>
    <w:rsid w:val="00336633"/>
    <w:rsid w:val="00337BFE"/>
    <w:rsid w:val="00340927"/>
    <w:rsid w:val="00340D1E"/>
    <w:rsid w:val="00343F87"/>
    <w:rsid w:val="00347B6D"/>
    <w:rsid w:val="00352ADC"/>
    <w:rsid w:val="00355445"/>
    <w:rsid w:val="0036147A"/>
    <w:rsid w:val="003748F3"/>
    <w:rsid w:val="00375EA8"/>
    <w:rsid w:val="00376DE7"/>
    <w:rsid w:val="00381692"/>
    <w:rsid w:val="003875EC"/>
    <w:rsid w:val="00390C24"/>
    <w:rsid w:val="003A43EC"/>
    <w:rsid w:val="003B16AF"/>
    <w:rsid w:val="003C12A0"/>
    <w:rsid w:val="003C189E"/>
    <w:rsid w:val="003C3795"/>
    <w:rsid w:val="003C3F84"/>
    <w:rsid w:val="003D1CDB"/>
    <w:rsid w:val="003D4446"/>
    <w:rsid w:val="003E1CA5"/>
    <w:rsid w:val="003E3830"/>
    <w:rsid w:val="003E5219"/>
    <w:rsid w:val="003F16B8"/>
    <w:rsid w:val="003F7FFA"/>
    <w:rsid w:val="004011A0"/>
    <w:rsid w:val="004013D2"/>
    <w:rsid w:val="004017D7"/>
    <w:rsid w:val="004106DE"/>
    <w:rsid w:val="004131F0"/>
    <w:rsid w:val="00413DDE"/>
    <w:rsid w:val="00421B0E"/>
    <w:rsid w:val="004307E7"/>
    <w:rsid w:val="00432526"/>
    <w:rsid w:val="00433223"/>
    <w:rsid w:val="0043327C"/>
    <w:rsid w:val="00433C38"/>
    <w:rsid w:val="0043613B"/>
    <w:rsid w:val="004400F9"/>
    <w:rsid w:val="004416D0"/>
    <w:rsid w:val="00444016"/>
    <w:rsid w:val="00444044"/>
    <w:rsid w:val="00444DBE"/>
    <w:rsid w:val="00445A0C"/>
    <w:rsid w:val="004506C0"/>
    <w:rsid w:val="00455029"/>
    <w:rsid w:val="0046571A"/>
    <w:rsid w:val="00465B67"/>
    <w:rsid w:val="004702E6"/>
    <w:rsid w:val="00472231"/>
    <w:rsid w:val="00480FBB"/>
    <w:rsid w:val="0048684C"/>
    <w:rsid w:val="00495BC6"/>
    <w:rsid w:val="004A1237"/>
    <w:rsid w:val="004A1AD1"/>
    <w:rsid w:val="004A678B"/>
    <w:rsid w:val="004A709E"/>
    <w:rsid w:val="004C347F"/>
    <w:rsid w:val="004C612A"/>
    <w:rsid w:val="004D090B"/>
    <w:rsid w:val="004D1AAE"/>
    <w:rsid w:val="004D6E11"/>
    <w:rsid w:val="004E1BD6"/>
    <w:rsid w:val="004E32F0"/>
    <w:rsid w:val="004E3CAD"/>
    <w:rsid w:val="004E5942"/>
    <w:rsid w:val="004F2C97"/>
    <w:rsid w:val="004F3799"/>
    <w:rsid w:val="004F5320"/>
    <w:rsid w:val="004F708A"/>
    <w:rsid w:val="00505EEB"/>
    <w:rsid w:val="005156F9"/>
    <w:rsid w:val="00515974"/>
    <w:rsid w:val="00520DF8"/>
    <w:rsid w:val="00524B32"/>
    <w:rsid w:val="0053080E"/>
    <w:rsid w:val="005334DC"/>
    <w:rsid w:val="0053679B"/>
    <w:rsid w:val="00540725"/>
    <w:rsid w:val="005412BD"/>
    <w:rsid w:val="00553C77"/>
    <w:rsid w:val="0055652C"/>
    <w:rsid w:val="00557E46"/>
    <w:rsid w:val="005626F1"/>
    <w:rsid w:val="005703A0"/>
    <w:rsid w:val="005703DF"/>
    <w:rsid w:val="005704BA"/>
    <w:rsid w:val="005720C7"/>
    <w:rsid w:val="005724A5"/>
    <w:rsid w:val="005725CF"/>
    <w:rsid w:val="00572C45"/>
    <w:rsid w:val="005752D3"/>
    <w:rsid w:val="005761F3"/>
    <w:rsid w:val="00577AF5"/>
    <w:rsid w:val="00580B72"/>
    <w:rsid w:val="00580F90"/>
    <w:rsid w:val="00594394"/>
    <w:rsid w:val="00595B6F"/>
    <w:rsid w:val="005A4511"/>
    <w:rsid w:val="005A4F5C"/>
    <w:rsid w:val="005B05D3"/>
    <w:rsid w:val="005B2F09"/>
    <w:rsid w:val="005B44E4"/>
    <w:rsid w:val="005B6DEA"/>
    <w:rsid w:val="005C15DB"/>
    <w:rsid w:val="005C334C"/>
    <w:rsid w:val="005C692E"/>
    <w:rsid w:val="005D1D6E"/>
    <w:rsid w:val="005D2854"/>
    <w:rsid w:val="005D4C76"/>
    <w:rsid w:val="005D6137"/>
    <w:rsid w:val="005E01BF"/>
    <w:rsid w:val="005E318A"/>
    <w:rsid w:val="005F20AC"/>
    <w:rsid w:val="006028A9"/>
    <w:rsid w:val="006028F1"/>
    <w:rsid w:val="00604052"/>
    <w:rsid w:val="00607226"/>
    <w:rsid w:val="006101A4"/>
    <w:rsid w:val="00610D10"/>
    <w:rsid w:val="00611E9B"/>
    <w:rsid w:val="00614E2F"/>
    <w:rsid w:val="00615CF7"/>
    <w:rsid w:val="006210EC"/>
    <w:rsid w:val="00623D00"/>
    <w:rsid w:val="00624BC0"/>
    <w:rsid w:val="0062708D"/>
    <w:rsid w:val="00627B94"/>
    <w:rsid w:val="006303D3"/>
    <w:rsid w:val="00631140"/>
    <w:rsid w:val="00633CAD"/>
    <w:rsid w:val="00633E55"/>
    <w:rsid w:val="006362C2"/>
    <w:rsid w:val="00642812"/>
    <w:rsid w:val="006536D8"/>
    <w:rsid w:val="00662481"/>
    <w:rsid w:val="006664C9"/>
    <w:rsid w:val="00666669"/>
    <w:rsid w:val="00671B12"/>
    <w:rsid w:val="006727BC"/>
    <w:rsid w:val="006824D2"/>
    <w:rsid w:val="00686721"/>
    <w:rsid w:val="006901B8"/>
    <w:rsid w:val="00695907"/>
    <w:rsid w:val="00696C34"/>
    <w:rsid w:val="006A2E98"/>
    <w:rsid w:val="006A3AB9"/>
    <w:rsid w:val="006B4FD0"/>
    <w:rsid w:val="006B610A"/>
    <w:rsid w:val="006B6F78"/>
    <w:rsid w:val="006C02D4"/>
    <w:rsid w:val="006C0BF4"/>
    <w:rsid w:val="006C19F8"/>
    <w:rsid w:val="006C46D8"/>
    <w:rsid w:val="006C4EE4"/>
    <w:rsid w:val="006C5380"/>
    <w:rsid w:val="006C66B9"/>
    <w:rsid w:val="006E18D7"/>
    <w:rsid w:val="006F13D1"/>
    <w:rsid w:val="006F2D7F"/>
    <w:rsid w:val="006F3BAC"/>
    <w:rsid w:val="006F6586"/>
    <w:rsid w:val="007026AE"/>
    <w:rsid w:val="0070381C"/>
    <w:rsid w:val="007043C4"/>
    <w:rsid w:val="0070516C"/>
    <w:rsid w:val="007075ED"/>
    <w:rsid w:val="00714F67"/>
    <w:rsid w:val="00733356"/>
    <w:rsid w:val="007336A6"/>
    <w:rsid w:val="00740862"/>
    <w:rsid w:val="00745543"/>
    <w:rsid w:val="00745D82"/>
    <w:rsid w:val="00746930"/>
    <w:rsid w:val="007534A1"/>
    <w:rsid w:val="00756850"/>
    <w:rsid w:val="00772395"/>
    <w:rsid w:val="00772D57"/>
    <w:rsid w:val="00772D83"/>
    <w:rsid w:val="00774DC2"/>
    <w:rsid w:val="0078370C"/>
    <w:rsid w:val="00783777"/>
    <w:rsid w:val="0078697A"/>
    <w:rsid w:val="00795235"/>
    <w:rsid w:val="007A2DAA"/>
    <w:rsid w:val="007A6E66"/>
    <w:rsid w:val="007A79D6"/>
    <w:rsid w:val="007B0550"/>
    <w:rsid w:val="007B72F1"/>
    <w:rsid w:val="007C4F72"/>
    <w:rsid w:val="007C6CBB"/>
    <w:rsid w:val="007C76A5"/>
    <w:rsid w:val="007D2020"/>
    <w:rsid w:val="007D6BB6"/>
    <w:rsid w:val="007E5A2E"/>
    <w:rsid w:val="007E6447"/>
    <w:rsid w:val="007F08EB"/>
    <w:rsid w:val="007F6AC7"/>
    <w:rsid w:val="00802332"/>
    <w:rsid w:val="00807CE0"/>
    <w:rsid w:val="00813127"/>
    <w:rsid w:val="00831AE4"/>
    <w:rsid w:val="00837414"/>
    <w:rsid w:val="008418D5"/>
    <w:rsid w:val="00842218"/>
    <w:rsid w:val="00843475"/>
    <w:rsid w:val="00845D99"/>
    <w:rsid w:val="00845F6B"/>
    <w:rsid w:val="00851E3E"/>
    <w:rsid w:val="00853278"/>
    <w:rsid w:val="00854629"/>
    <w:rsid w:val="00856CDC"/>
    <w:rsid w:val="0087583A"/>
    <w:rsid w:val="008811B7"/>
    <w:rsid w:val="00883461"/>
    <w:rsid w:val="008877EE"/>
    <w:rsid w:val="00892333"/>
    <w:rsid w:val="008A044D"/>
    <w:rsid w:val="008A1D46"/>
    <w:rsid w:val="008A3741"/>
    <w:rsid w:val="008B1346"/>
    <w:rsid w:val="008B3419"/>
    <w:rsid w:val="008B6A0B"/>
    <w:rsid w:val="008C3CE9"/>
    <w:rsid w:val="008C46FA"/>
    <w:rsid w:val="008C625A"/>
    <w:rsid w:val="008C762A"/>
    <w:rsid w:val="008D0052"/>
    <w:rsid w:val="008F15D6"/>
    <w:rsid w:val="008F554C"/>
    <w:rsid w:val="008F6A73"/>
    <w:rsid w:val="008F6DCE"/>
    <w:rsid w:val="0090254E"/>
    <w:rsid w:val="00902884"/>
    <w:rsid w:val="009052D4"/>
    <w:rsid w:val="00906694"/>
    <w:rsid w:val="00906A5C"/>
    <w:rsid w:val="009114AB"/>
    <w:rsid w:val="009149BF"/>
    <w:rsid w:val="00914E63"/>
    <w:rsid w:val="0092415D"/>
    <w:rsid w:val="00932649"/>
    <w:rsid w:val="009332BE"/>
    <w:rsid w:val="00934D10"/>
    <w:rsid w:val="0095235C"/>
    <w:rsid w:val="009530D0"/>
    <w:rsid w:val="00955600"/>
    <w:rsid w:val="00956CB0"/>
    <w:rsid w:val="009606F2"/>
    <w:rsid w:val="00963124"/>
    <w:rsid w:val="009631C0"/>
    <w:rsid w:val="00966425"/>
    <w:rsid w:val="00966ABB"/>
    <w:rsid w:val="00966CE6"/>
    <w:rsid w:val="00970065"/>
    <w:rsid w:val="0097048F"/>
    <w:rsid w:val="009713C5"/>
    <w:rsid w:val="009724B1"/>
    <w:rsid w:val="00972715"/>
    <w:rsid w:val="009801F2"/>
    <w:rsid w:val="0098322C"/>
    <w:rsid w:val="009844A1"/>
    <w:rsid w:val="00984FCB"/>
    <w:rsid w:val="00995B7E"/>
    <w:rsid w:val="009963D7"/>
    <w:rsid w:val="009A0C4B"/>
    <w:rsid w:val="009A558D"/>
    <w:rsid w:val="009B0890"/>
    <w:rsid w:val="009B1E5A"/>
    <w:rsid w:val="009B6CEE"/>
    <w:rsid w:val="009B6E10"/>
    <w:rsid w:val="009C4CB6"/>
    <w:rsid w:val="009D1492"/>
    <w:rsid w:val="009E1A06"/>
    <w:rsid w:val="009E7307"/>
    <w:rsid w:val="009F4647"/>
    <w:rsid w:val="00A00B05"/>
    <w:rsid w:val="00A0148B"/>
    <w:rsid w:val="00A0380D"/>
    <w:rsid w:val="00A07270"/>
    <w:rsid w:val="00A11CE4"/>
    <w:rsid w:val="00A15ED4"/>
    <w:rsid w:val="00A16CED"/>
    <w:rsid w:val="00A209D8"/>
    <w:rsid w:val="00A229F2"/>
    <w:rsid w:val="00A244E1"/>
    <w:rsid w:val="00A246C4"/>
    <w:rsid w:val="00A302D7"/>
    <w:rsid w:val="00A326F4"/>
    <w:rsid w:val="00A345C9"/>
    <w:rsid w:val="00A34D7B"/>
    <w:rsid w:val="00A3593C"/>
    <w:rsid w:val="00A35CAA"/>
    <w:rsid w:val="00A36DFD"/>
    <w:rsid w:val="00A40333"/>
    <w:rsid w:val="00A41E8B"/>
    <w:rsid w:val="00A532D6"/>
    <w:rsid w:val="00A60688"/>
    <w:rsid w:val="00A6546D"/>
    <w:rsid w:val="00A70102"/>
    <w:rsid w:val="00A8148C"/>
    <w:rsid w:val="00A8588E"/>
    <w:rsid w:val="00A91DBF"/>
    <w:rsid w:val="00A96E57"/>
    <w:rsid w:val="00A97DFA"/>
    <w:rsid w:val="00AA2BC9"/>
    <w:rsid w:val="00AB43DA"/>
    <w:rsid w:val="00AB7664"/>
    <w:rsid w:val="00AC359B"/>
    <w:rsid w:val="00AD008D"/>
    <w:rsid w:val="00AD39B0"/>
    <w:rsid w:val="00AD443A"/>
    <w:rsid w:val="00AD4564"/>
    <w:rsid w:val="00AD4D5B"/>
    <w:rsid w:val="00AE1930"/>
    <w:rsid w:val="00AE7147"/>
    <w:rsid w:val="00AE7D13"/>
    <w:rsid w:val="00AF2010"/>
    <w:rsid w:val="00AF7AA6"/>
    <w:rsid w:val="00B000FF"/>
    <w:rsid w:val="00B008BF"/>
    <w:rsid w:val="00B04E4C"/>
    <w:rsid w:val="00B06ECA"/>
    <w:rsid w:val="00B103D6"/>
    <w:rsid w:val="00B11BAB"/>
    <w:rsid w:val="00B12084"/>
    <w:rsid w:val="00B13728"/>
    <w:rsid w:val="00B143A0"/>
    <w:rsid w:val="00B14EC0"/>
    <w:rsid w:val="00B15F5D"/>
    <w:rsid w:val="00B17BEA"/>
    <w:rsid w:val="00B21AF4"/>
    <w:rsid w:val="00B21BE6"/>
    <w:rsid w:val="00B27939"/>
    <w:rsid w:val="00B30618"/>
    <w:rsid w:val="00B326E7"/>
    <w:rsid w:val="00B34835"/>
    <w:rsid w:val="00B3594A"/>
    <w:rsid w:val="00B37D4F"/>
    <w:rsid w:val="00B41463"/>
    <w:rsid w:val="00B43013"/>
    <w:rsid w:val="00B4581C"/>
    <w:rsid w:val="00B47EED"/>
    <w:rsid w:val="00B5074B"/>
    <w:rsid w:val="00B508E7"/>
    <w:rsid w:val="00B516CC"/>
    <w:rsid w:val="00B51E09"/>
    <w:rsid w:val="00B5346C"/>
    <w:rsid w:val="00B542E1"/>
    <w:rsid w:val="00B55787"/>
    <w:rsid w:val="00B57735"/>
    <w:rsid w:val="00B673C3"/>
    <w:rsid w:val="00B67B8A"/>
    <w:rsid w:val="00B7467B"/>
    <w:rsid w:val="00B7541B"/>
    <w:rsid w:val="00B77A12"/>
    <w:rsid w:val="00B823B8"/>
    <w:rsid w:val="00B82897"/>
    <w:rsid w:val="00B83DF0"/>
    <w:rsid w:val="00B83FD1"/>
    <w:rsid w:val="00B91ECA"/>
    <w:rsid w:val="00B96444"/>
    <w:rsid w:val="00BA01FC"/>
    <w:rsid w:val="00BA0459"/>
    <w:rsid w:val="00BA1AEB"/>
    <w:rsid w:val="00BA451B"/>
    <w:rsid w:val="00BA63BC"/>
    <w:rsid w:val="00BA6C1C"/>
    <w:rsid w:val="00BB7F53"/>
    <w:rsid w:val="00BC3DED"/>
    <w:rsid w:val="00BC4FDD"/>
    <w:rsid w:val="00BC7D42"/>
    <w:rsid w:val="00BD2E0D"/>
    <w:rsid w:val="00BD656B"/>
    <w:rsid w:val="00BD6571"/>
    <w:rsid w:val="00BE16AB"/>
    <w:rsid w:val="00BE2739"/>
    <w:rsid w:val="00BE3727"/>
    <w:rsid w:val="00BF016F"/>
    <w:rsid w:val="00BF3785"/>
    <w:rsid w:val="00C00CA6"/>
    <w:rsid w:val="00C01546"/>
    <w:rsid w:val="00C03AF9"/>
    <w:rsid w:val="00C040AB"/>
    <w:rsid w:val="00C05997"/>
    <w:rsid w:val="00C104E4"/>
    <w:rsid w:val="00C116C3"/>
    <w:rsid w:val="00C13D9A"/>
    <w:rsid w:val="00C16699"/>
    <w:rsid w:val="00C242AC"/>
    <w:rsid w:val="00C264CE"/>
    <w:rsid w:val="00C3209C"/>
    <w:rsid w:val="00C32528"/>
    <w:rsid w:val="00C33ABD"/>
    <w:rsid w:val="00C346FD"/>
    <w:rsid w:val="00C3646C"/>
    <w:rsid w:val="00C423B4"/>
    <w:rsid w:val="00C4290B"/>
    <w:rsid w:val="00C47E0C"/>
    <w:rsid w:val="00C502EA"/>
    <w:rsid w:val="00C50F6D"/>
    <w:rsid w:val="00C51BF3"/>
    <w:rsid w:val="00C550F5"/>
    <w:rsid w:val="00C60ADC"/>
    <w:rsid w:val="00C60E1E"/>
    <w:rsid w:val="00C63D3F"/>
    <w:rsid w:val="00C64594"/>
    <w:rsid w:val="00C65945"/>
    <w:rsid w:val="00C71E59"/>
    <w:rsid w:val="00C76E7D"/>
    <w:rsid w:val="00C82D7A"/>
    <w:rsid w:val="00C83B17"/>
    <w:rsid w:val="00C8559D"/>
    <w:rsid w:val="00C94427"/>
    <w:rsid w:val="00C9536C"/>
    <w:rsid w:val="00CA2ACC"/>
    <w:rsid w:val="00CA622F"/>
    <w:rsid w:val="00CB00A4"/>
    <w:rsid w:val="00CB05EF"/>
    <w:rsid w:val="00CB0D9E"/>
    <w:rsid w:val="00CC125F"/>
    <w:rsid w:val="00CC5C91"/>
    <w:rsid w:val="00CD0589"/>
    <w:rsid w:val="00CD4AC6"/>
    <w:rsid w:val="00CD4C2C"/>
    <w:rsid w:val="00CE13E7"/>
    <w:rsid w:val="00CE4CE5"/>
    <w:rsid w:val="00CF0B96"/>
    <w:rsid w:val="00CF1362"/>
    <w:rsid w:val="00CF2F43"/>
    <w:rsid w:val="00CF63D3"/>
    <w:rsid w:val="00CF787A"/>
    <w:rsid w:val="00D04026"/>
    <w:rsid w:val="00D04385"/>
    <w:rsid w:val="00D073CA"/>
    <w:rsid w:val="00D140BA"/>
    <w:rsid w:val="00D15BEE"/>
    <w:rsid w:val="00D20857"/>
    <w:rsid w:val="00D21182"/>
    <w:rsid w:val="00D26C02"/>
    <w:rsid w:val="00D33F73"/>
    <w:rsid w:val="00D357B1"/>
    <w:rsid w:val="00D441BC"/>
    <w:rsid w:val="00D466E7"/>
    <w:rsid w:val="00D53D10"/>
    <w:rsid w:val="00D55E7E"/>
    <w:rsid w:val="00D60E4C"/>
    <w:rsid w:val="00D629BB"/>
    <w:rsid w:val="00D633D8"/>
    <w:rsid w:val="00D6607E"/>
    <w:rsid w:val="00D8013D"/>
    <w:rsid w:val="00D81BB2"/>
    <w:rsid w:val="00D861C9"/>
    <w:rsid w:val="00D862E4"/>
    <w:rsid w:val="00D91E02"/>
    <w:rsid w:val="00D9285A"/>
    <w:rsid w:val="00D92DAA"/>
    <w:rsid w:val="00D93318"/>
    <w:rsid w:val="00DA1548"/>
    <w:rsid w:val="00DA525A"/>
    <w:rsid w:val="00DB2DB1"/>
    <w:rsid w:val="00DC5713"/>
    <w:rsid w:val="00DC73EB"/>
    <w:rsid w:val="00DD2177"/>
    <w:rsid w:val="00DF3942"/>
    <w:rsid w:val="00E02187"/>
    <w:rsid w:val="00E04868"/>
    <w:rsid w:val="00E078AF"/>
    <w:rsid w:val="00E109C2"/>
    <w:rsid w:val="00E14C1C"/>
    <w:rsid w:val="00E15C39"/>
    <w:rsid w:val="00E17787"/>
    <w:rsid w:val="00E26BD5"/>
    <w:rsid w:val="00E277B7"/>
    <w:rsid w:val="00E32678"/>
    <w:rsid w:val="00E405AB"/>
    <w:rsid w:val="00E47B99"/>
    <w:rsid w:val="00E50D09"/>
    <w:rsid w:val="00E55F33"/>
    <w:rsid w:val="00E57124"/>
    <w:rsid w:val="00E6310A"/>
    <w:rsid w:val="00E66DB2"/>
    <w:rsid w:val="00E72CE3"/>
    <w:rsid w:val="00E730C7"/>
    <w:rsid w:val="00E732F5"/>
    <w:rsid w:val="00E82F04"/>
    <w:rsid w:val="00E8323C"/>
    <w:rsid w:val="00E83DC9"/>
    <w:rsid w:val="00E92801"/>
    <w:rsid w:val="00E94E35"/>
    <w:rsid w:val="00E95C07"/>
    <w:rsid w:val="00E96586"/>
    <w:rsid w:val="00EA7477"/>
    <w:rsid w:val="00EB017C"/>
    <w:rsid w:val="00EB1B73"/>
    <w:rsid w:val="00EB2851"/>
    <w:rsid w:val="00EB4D4E"/>
    <w:rsid w:val="00EC0FC4"/>
    <w:rsid w:val="00EC3366"/>
    <w:rsid w:val="00EC5F00"/>
    <w:rsid w:val="00ED2742"/>
    <w:rsid w:val="00ED313A"/>
    <w:rsid w:val="00ED5E20"/>
    <w:rsid w:val="00ED6BE5"/>
    <w:rsid w:val="00EE450E"/>
    <w:rsid w:val="00EF1915"/>
    <w:rsid w:val="00EF3D72"/>
    <w:rsid w:val="00EF4510"/>
    <w:rsid w:val="00F06596"/>
    <w:rsid w:val="00F110BF"/>
    <w:rsid w:val="00F214BD"/>
    <w:rsid w:val="00F279E0"/>
    <w:rsid w:val="00F31991"/>
    <w:rsid w:val="00F3224F"/>
    <w:rsid w:val="00F35553"/>
    <w:rsid w:val="00F40841"/>
    <w:rsid w:val="00F408F9"/>
    <w:rsid w:val="00F41031"/>
    <w:rsid w:val="00F51205"/>
    <w:rsid w:val="00F62EAA"/>
    <w:rsid w:val="00F6614B"/>
    <w:rsid w:val="00F815F2"/>
    <w:rsid w:val="00F82737"/>
    <w:rsid w:val="00F82AD6"/>
    <w:rsid w:val="00F848DE"/>
    <w:rsid w:val="00F86814"/>
    <w:rsid w:val="00F925DE"/>
    <w:rsid w:val="00F95BDB"/>
    <w:rsid w:val="00F96DBC"/>
    <w:rsid w:val="00FA4248"/>
    <w:rsid w:val="00FB2D1C"/>
    <w:rsid w:val="00FB6A04"/>
    <w:rsid w:val="00FC1E51"/>
    <w:rsid w:val="00FC4CE6"/>
    <w:rsid w:val="00FC55C6"/>
    <w:rsid w:val="00FD1503"/>
    <w:rsid w:val="00FD2DBB"/>
    <w:rsid w:val="00FD7FBF"/>
    <w:rsid w:val="00FE2267"/>
    <w:rsid w:val="00FE23A4"/>
    <w:rsid w:val="00FE4F91"/>
    <w:rsid w:val="00FF13A1"/>
    <w:rsid w:val="00FF18D4"/>
    <w:rsid w:val="00FF21CE"/>
    <w:rsid w:val="00FF42CA"/>
    <w:rsid w:val="06C170BB"/>
    <w:rsid w:val="2F21BA38"/>
    <w:rsid w:val="375E7DE9"/>
    <w:rsid w:val="4489FC55"/>
    <w:rsid w:val="50010D24"/>
    <w:rsid w:val="61D11B5F"/>
    <w:rsid w:val="76A9148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4380B"/>
  <w15:docId w15:val="{69F37EF7-806A-44A7-B321-E2FAEFDB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6"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9"/>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7"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25281D"/>
    <w:pPr>
      <w:jc w:val="both"/>
    </w:pPr>
    <w:rPr>
      <w:sz w:val="24"/>
    </w:rPr>
  </w:style>
  <w:style w:type="paragraph" w:styleId="Heading1">
    <w:name w:val="heading 1"/>
    <w:basedOn w:val="NumberedParagraphCabStandard"/>
    <w:next w:val="NumberedParagraphCabStandard"/>
    <w:link w:val="Heading1Char"/>
    <w:uiPriority w:val="2"/>
    <w:qFormat/>
    <w:rsid w:val="002112EA"/>
    <w:pPr>
      <w:keepNext/>
      <w:keepLines/>
      <w:numPr>
        <w:numId w:val="0"/>
      </w:numPr>
      <w:tabs>
        <w:tab w:val="left" w:pos="709"/>
      </w:tabs>
      <w:outlineLvl w:val="0"/>
    </w:pPr>
    <w:rPr>
      <w:rFonts w:eastAsiaTheme="majorEastAsia" w:cstheme="majorBidi"/>
      <w:b/>
      <w:bCs/>
      <w:szCs w:val="28"/>
    </w:rPr>
  </w:style>
  <w:style w:type="paragraph" w:styleId="Heading2">
    <w:name w:val="heading 2"/>
    <w:basedOn w:val="Heading1"/>
    <w:next w:val="NumberedParagraphCabStandard"/>
    <w:link w:val="Heading2Char"/>
    <w:uiPriority w:val="2"/>
    <w:qFormat/>
    <w:rsid w:val="002112EA"/>
    <w:pPr>
      <w:outlineLvl w:val="1"/>
    </w:pPr>
    <w:rPr>
      <w:i/>
    </w:rPr>
  </w:style>
  <w:style w:type="paragraph" w:styleId="Heading3">
    <w:name w:val="heading 3"/>
    <w:basedOn w:val="Heading2"/>
    <w:next w:val="NumberedParagraphCabStandard"/>
    <w:link w:val="Heading3Char"/>
    <w:uiPriority w:val="2"/>
    <w:qFormat/>
    <w:rsid w:val="002112EA"/>
    <w:pPr>
      <w:outlineLvl w:val="2"/>
    </w:pPr>
    <w:rPr>
      <w:b w:val="0"/>
    </w:rPr>
  </w:style>
  <w:style w:type="paragraph" w:styleId="Heading4">
    <w:name w:val="heading 4"/>
    <w:basedOn w:val="Heading3"/>
    <w:next w:val="NumberedParagraphCabStandard"/>
    <w:link w:val="Heading4Char"/>
    <w:uiPriority w:val="2"/>
    <w:rsid w:val="000816EC"/>
    <w:pPr>
      <w:outlineLvl w:val="3"/>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052D4"/>
    <w:rPr>
      <w:rFonts w:eastAsiaTheme="majorEastAsia" w:cstheme="majorBidi"/>
      <w:b/>
      <w:bCs/>
      <w:szCs w:val="28"/>
    </w:rPr>
  </w:style>
  <w:style w:type="paragraph" w:styleId="NoSpacing">
    <w:name w:val="No Spacing"/>
    <w:uiPriority w:val="1"/>
    <w:semiHidden/>
    <w:rsid w:val="00D04385"/>
    <w:pPr>
      <w:spacing w:after="0"/>
    </w:pPr>
    <w:rPr>
      <w:rFonts w:ascii="Verdana" w:hAnsi="Verdana"/>
      <w:sz w:val="20"/>
    </w:rPr>
  </w:style>
  <w:style w:type="paragraph" w:customStyle="1" w:styleId="NumberedParagraphCabStandard">
    <w:name w:val="Numbered Paragraph (CabStandard)"/>
    <w:basedOn w:val="Normal"/>
    <w:uiPriority w:val="99"/>
    <w:qFormat/>
    <w:rsid w:val="001A34A8"/>
    <w:pPr>
      <w:numPr>
        <w:numId w:val="1"/>
      </w:numPr>
    </w:pPr>
  </w:style>
  <w:style w:type="character" w:customStyle="1" w:styleId="Heading2Char">
    <w:name w:val="Heading 2 Char"/>
    <w:basedOn w:val="DefaultParagraphFont"/>
    <w:link w:val="Heading2"/>
    <w:uiPriority w:val="2"/>
    <w:rsid w:val="009052D4"/>
    <w:rPr>
      <w:rFonts w:eastAsiaTheme="majorEastAsia" w:cstheme="majorBidi"/>
      <w:b/>
      <w:bCs/>
      <w:i/>
      <w:szCs w:val="28"/>
    </w:rPr>
  </w:style>
  <w:style w:type="character" w:customStyle="1" w:styleId="Heading3Char">
    <w:name w:val="Heading 3 Char"/>
    <w:basedOn w:val="DefaultParagraphFont"/>
    <w:link w:val="Heading3"/>
    <w:uiPriority w:val="2"/>
    <w:rsid w:val="009052D4"/>
    <w:rPr>
      <w:rFonts w:eastAsiaTheme="majorEastAsia" w:cstheme="majorBidi"/>
      <w:bCs/>
      <w:i/>
      <w:szCs w:val="28"/>
    </w:rPr>
  </w:style>
  <w:style w:type="character" w:customStyle="1" w:styleId="Heading4Char">
    <w:name w:val="Heading 4 Char"/>
    <w:basedOn w:val="DefaultParagraphFont"/>
    <w:link w:val="Heading4"/>
    <w:uiPriority w:val="2"/>
    <w:rsid w:val="009052D4"/>
    <w:rPr>
      <w:rFonts w:eastAsiaTheme="majorEastAsia" w:cstheme="majorBidi"/>
      <w:bCs/>
      <w:szCs w:val="28"/>
    </w:rPr>
  </w:style>
  <w:style w:type="paragraph" w:styleId="Title">
    <w:name w:val="Title"/>
    <w:basedOn w:val="Normal"/>
    <w:next w:val="NumberedParagraphCabStandard"/>
    <w:link w:val="TitleChar"/>
    <w:uiPriority w:val="2"/>
    <w:qFormat/>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semiHidden/>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umberedParagraphCabStandard"/>
    <w:link w:val="QuoteChar"/>
    <w:uiPriority w:val="7"/>
    <w:qFormat/>
    <w:rsid w:val="00AD4D5B"/>
    <w:pPr>
      <w:numPr>
        <w:numId w:val="0"/>
      </w:num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umberedParagraphCabStandard"/>
    <w:uiPriority w:val="36"/>
    <w:qFormat/>
    <w:rsid w:val="008A1D46"/>
    <w:pPr>
      <w:jc w:val="center"/>
    </w:pPr>
  </w:style>
  <w:style w:type="table" w:styleId="TableGrid">
    <w:name w:val="Table Grid"/>
    <w:basedOn w:val="TableNormal"/>
    <w:uiPriority w:val="59"/>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umberedParagraphCabStandard"/>
    <w:uiPriority w:val="10"/>
    <w:qFormat/>
    <w:rsid w:val="003229B0"/>
    <w:pPr>
      <w:numPr>
        <w:numId w:val="0"/>
      </w:numPr>
      <w:tabs>
        <w:tab w:val="left" w:pos="709"/>
      </w:tabs>
      <w:spacing w:before="80" w:after="80"/>
    </w:pPr>
    <w:rPr>
      <w:sz w:val="20"/>
      <w:szCs w:val="20"/>
    </w:rPr>
  </w:style>
  <w:style w:type="paragraph" w:customStyle="1" w:styleId="TableHeading">
    <w:name w:val="Table Heading"/>
    <w:basedOn w:val="NumberedParagraphCabStandard"/>
    <w:uiPriority w:val="10"/>
    <w:qFormat/>
    <w:rsid w:val="003229B0"/>
    <w:pPr>
      <w:numPr>
        <w:numId w:val="0"/>
      </w:num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CommentReference">
    <w:name w:val="annotation reference"/>
    <w:basedOn w:val="DefaultParagraphFont"/>
    <w:uiPriority w:val="99"/>
    <w:semiHidden/>
    <w:unhideWhenUsed/>
    <w:rsid w:val="00FD1503"/>
    <w:rPr>
      <w:sz w:val="16"/>
      <w:szCs w:val="16"/>
    </w:rPr>
  </w:style>
  <w:style w:type="paragraph" w:styleId="CommentText">
    <w:name w:val="annotation text"/>
    <w:basedOn w:val="Normal"/>
    <w:link w:val="CommentTextChar"/>
    <w:uiPriority w:val="99"/>
    <w:semiHidden/>
    <w:unhideWhenUsed/>
    <w:rsid w:val="00FD1503"/>
    <w:rPr>
      <w:sz w:val="20"/>
      <w:szCs w:val="20"/>
    </w:rPr>
  </w:style>
  <w:style w:type="character" w:customStyle="1" w:styleId="CommentTextChar">
    <w:name w:val="Comment Text Char"/>
    <w:basedOn w:val="DefaultParagraphFont"/>
    <w:link w:val="CommentText"/>
    <w:uiPriority w:val="99"/>
    <w:semiHidden/>
    <w:rsid w:val="00FD1503"/>
    <w:rPr>
      <w:sz w:val="20"/>
      <w:szCs w:val="20"/>
    </w:rPr>
  </w:style>
  <w:style w:type="paragraph" w:styleId="CommentSubject">
    <w:name w:val="annotation subject"/>
    <w:basedOn w:val="CommentText"/>
    <w:next w:val="CommentText"/>
    <w:link w:val="CommentSubjectChar"/>
    <w:uiPriority w:val="99"/>
    <w:semiHidden/>
    <w:unhideWhenUsed/>
    <w:rsid w:val="00FD1503"/>
    <w:rPr>
      <w:b/>
      <w:bCs/>
    </w:rPr>
  </w:style>
  <w:style w:type="character" w:customStyle="1" w:styleId="CommentSubjectChar">
    <w:name w:val="Comment Subject Char"/>
    <w:basedOn w:val="CommentTextChar"/>
    <w:link w:val="CommentSubject"/>
    <w:uiPriority w:val="99"/>
    <w:semiHidden/>
    <w:rsid w:val="00FD1503"/>
    <w:rPr>
      <w:b/>
      <w:bCs/>
      <w:sz w:val="20"/>
      <w:szCs w:val="20"/>
    </w:rPr>
  </w:style>
  <w:style w:type="paragraph" w:styleId="Revision">
    <w:name w:val="Revision"/>
    <w:hidden/>
    <w:uiPriority w:val="99"/>
    <w:semiHidden/>
    <w:rsid w:val="00837414"/>
    <w:pPr>
      <w:spacing w:after="0"/>
    </w:pPr>
    <w:rPr>
      <w:sz w:val="24"/>
    </w:rPr>
  </w:style>
  <w:style w:type="paragraph" w:customStyle="1" w:styleId="NumberedParagraph">
    <w:name w:val="Numbered Paragraph"/>
    <w:basedOn w:val="Normal"/>
    <w:qFormat/>
    <w:rsid w:val="007075ED"/>
    <w:pPr>
      <w:tabs>
        <w:tab w:val="num" w:pos="709"/>
      </w:tabs>
      <w:spacing w:after="200"/>
      <w:ind w:left="709" w:hanging="709"/>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15269">
      <w:bodyDiv w:val="1"/>
      <w:marLeft w:val="0"/>
      <w:marRight w:val="0"/>
      <w:marTop w:val="0"/>
      <w:marBottom w:val="0"/>
      <w:divBdr>
        <w:top w:val="none" w:sz="0" w:space="0" w:color="auto"/>
        <w:left w:val="none" w:sz="0" w:space="0" w:color="auto"/>
        <w:bottom w:val="none" w:sz="0" w:space="0" w:color="auto"/>
        <w:right w:val="none" w:sz="0" w:space="0" w:color="auto"/>
      </w:divBdr>
    </w:div>
    <w:div w:id="297614716">
      <w:bodyDiv w:val="1"/>
      <w:marLeft w:val="0"/>
      <w:marRight w:val="0"/>
      <w:marTop w:val="0"/>
      <w:marBottom w:val="0"/>
      <w:divBdr>
        <w:top w:val="none" w:sz="0" w:space="0" w:color="auto"/>
        <w:left w:val="none" w:sz="0" w:space="0" w:color="auto"/>
        <w:bottom w:val="none" w:sz="0" w:space="0" w:color="auto"/>
        <w:right w:val="none" w:sz="0" w:space="0" w:color="auto"/>
      </w:divBdr>
    </w:div>
    <w:div w:id="439373610">
      <w:bodyDiv w:val="1"/>
      <w:marLeft w:val="0"/>
      <w:marRight w:val="0"/>
      <w:marTop w:val="0"/>
      <w:marBottom w:val="0"/>
      <w:divBdr>
        <w:top w:val="none" w:sz="0" w:space="0" w:color="auto"/>
        <w:left w:val="none" w:sz="0" w:space="0" w:color="auto"/>
        <w:bottom w:val="none" w:sz="0" w:space="0" w:color="auto"/>
        <w:right w:val="none" w:sz="0" w:space="0" w:color="auto"/>
      </w:divBdr>
    </w:div>
    <w:div w:id="19015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AE3E22CE1D4847849EF3C201C2158D"/>
        <w:category>
          <w:name w:val="General"/>
          <w:gallery w:val="placeholder"/>
        </w:category>
        <w:types>
          <w:type w:val="bbPlcHdr"/>
        </w:types>
        <w:behaviors>
          <w:behavior w:val="content"/>
        </w:behaviors>
        <w:guid w:val="{ABA86EDD-2FC5-470D-9DE3-F0A9E8B98D4D}"/>
      </w:docPartPr>
      <w:docPartBody>
        <w:p w:rsidR="00C85148" w:rsidRDefault="00C85148">
          <w:pPr>
            <w:pStyle w:val="A6AE3E22CE1D4847849EF3C201C2158D"/>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48"/>
    <w:rsid w:val="001426AB"/>
    <w:rsid w:val="00150874"/>
    <w:rsid w:val="001F3722"/>
    <w:rsid w:val="00201375"/>
    <w:rsid w:val="002A026F"/>
    <w:rsid w:val="002B12FE"/>
    <w:rsid w:val="0037505E"/>
    <w:rsid w:val="003F6663"/>
    <w:rsid w:val="00490FE5"/>
    <w:rsid w:val="005C77A8"/>
    <w:rsid w:val="007161B1"/>
    <w:rsid w:val="00781DA3"/>
    <w:rsid w:val="00843C8F"/>
    <w:rsid w:val="00930451"/>
    <w:rsid w:val="0093559F"/>
    <w:rsid w:val="00C85148"/>
    <w:rsid w:val="00CA4089"/>
    <w:rsid w:val="00D73A89"/>
    <w:rsid w:val="00DA3915"/>
    <w:rsid w:val="00E02566"/>
    <w:rsid w:val="00E07CD1"/>
    <w:rsid w:val="00E6285F"/>
    <w:rsid w:val="00F5781B"/>
    <w:rsid w:val="00FA77B3"/>
    <w:rsid w:val="00FE2F5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AE3E22CE1D4847849EF3C201C2158D">
    <w:name w:val="A6AE3E22CE1D4847849EF3C201C21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DEV-19-SUB-0336 – Cabinet paper: Purchase price allocation issues paper (4 December 2019)</vt:lpstr>
    </vt:vector>
  </TitlesOfParts>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DEV-19-SUB-0336 – Cabinet paper: Purchase price allocation issues paper (4 December 2019)</dc:title>
  <dc:subject/>
  <cp:keywords/>
  <dcterms:created xsi:type="dcterms:W3CDTF">2020-09-07T08:08:00Z</dcterms:created>
  <dcterms:modified xsi:type="dcterms:W3CDTF">2020-09-07T08:09:00Z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