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B1B7F" w14:textId="77777777" w:rsidR="00ED38D3" w:rsidRDefault="005614B0">
      <w:pPr>
        <w:pStyle w:val="BodyText"/>
        <w:ind w:left="307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5620930" wp14:editId="7D075CC9">
            <wp:extent cx="2381249" cy="666750"/>
            <wp:effectExtent l="0" t="0" r="0" b="0"/>
            <wp:docPr id="1" name="image1.png" descr="black_sma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946E" w14:textId="77777777" w:rsidR="00ED38D3" w:rsidRDefault="00ED38D3">
      <w:pPr>
        <w:pStyle w:val="BodyText"/>
        <w:spacing w:before="3"/>
        <w:rPr>
          <w:rFonts w:ascii="Times New Roman"/>
          <w:sz w:val="15"/>
        </w:rPr>
      </w:pPr>
    </w:p>
    <w:p w14:paraId="147D09C5" w14:textId="77777777" w:rsidR="00ED38D3" w:rsidRDefault="005614B0">
      <w:pPr>
        <w:spacing w:before="100"/>
        <w:ind w:left="3363"/>
        <w:rPr>
          <w:b/>
          <w:sz w:val="24"/>
        </w:rPr>
      </w:pPr>
      <w:r>
        <w:rPr>
          <w:b/>
          <w:sz w:val="24"/>
        </w:rPr>
        <w:t>POLICY AND STRATEGY</w:t>
      </w:r>
    </w:p>
    <w:p w14:paraId="1BEC7AD3" w14:textId="77777777" w:rsidR="00ED38D3" w:rsidRDefault="00ED38D3">
      <w:pPr>
        <w:pStyle w:val="BodyText"/>
        <w:rPr>
          <w:b/>
          <w:sz w:val="28"/>
        </w:rPr>
      </w:pPr>
    </w:p>
    <w:p w14:paraId="5A30A33A" w14:textId="41F6A203" w:rsidR="00ED38D3" w:rsidRDefault="005614B0">
      <w:pPr>
        <w:pStyle w:val="Heading1"/>
        <w:spacing w:before="209" w:line="271" w:lineRule="auto"/>
        <w:ind w:left="2969" w:right="185"/>
        <w:jc w:val="both"/>
      </w:pPr>
      <w:r>
        <w:t>Tax policy report:</w:t>
      </w:r>
      <w:r w:rsidR="0056253A">
        <w:tab/>
      </w:r>
      <w:r>
        <w:t xml:space="preserve">Setting the deemed rate of </w:t>
      </w:r>
      <w:proofErr w:type="gramStart"/>
      <w:r>
        <w:t>return  for</w:t>
      </w:r>
      <w:proofErr w:type="gramEnd"/>
      <w:r>
        <w:t xml:space="preserve">  the  2018–19 income year: Order in Council for the Cabinet Legislation</w:t>
      </w:r>
      <w:r>
        <w:rPr>
          <w:spacing w:val="1"/>
        </w:rPr>
        <w:t xml:space="preserve"> </w:t>
      </w:r>
      <w:r>
        <w:t>Committee</w:t>
      </w:r>
    </w:p>
    <w:p w14:paraId="16F2D937" w14:textId="1952AF40" w:rsidR="00ED38D3" w:rsidRDefault="001B28A7">
      <w:pPr>
        <w:pStyle w:val="BodyText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7F8FDF" wp14:editId="07EFE5E1">
                <wp:extent cx="6156960" cy="12700"/>
                <wp:effectExtent l="8255" t="3810" r="6985" b="2540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1205E" id="Group 6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">
                <v:line id="Line 7" o:spid="_x0000_s1027" style="position:absolute;visibility:visible;mso-wrap-style:square" from="0,10" to="96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w10:anchorlock/>
              </v:group>
            </w:pict>
          </mc:Fallback>
        </mc:AlternateContent>
      </w:r>
    </w:p>
    <w:p w14:paraId="7D83D118" w14:textId="77777777" w:rsidR="00ED38D3" w:rsidRDefault="00ED38D3">
      <w:pPr>
        <w:pStyle w:val="BodyText"/>
        <w:rPr>
          <w:b/>
        </w:rPr>
      </w:pPr>
    </w:p>
    <w:p w14:paraId="44F975D0" w14:textId="77777777" w:rsidR="00ED38D3" w:rsidRDefault="00ED38D3">
      <w:pPr>
        <w:pStyle w:val="BodyText"/>
        <w:rPr>
          <w:b/>
        </w:rPr>
      </w:pPr>
    </w:p>
    <w:p w14:paraId="31297C36" w14:textId="77777777" w:rsidR="00ED38D3" w:rsidRDefault="00ED38D3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1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554"/>
        <w:gridCol w:w="1983"/>
        <w:gridCol w:w="2487"/>
      </w:tblGrid>
      <w:tr w:rsidR="00ED38D3" w14:paraId="6A2F7B15" w14:textId="77777777">
        <w:trPr>
          <w:trHeight w:val="397"/>
        </w:trPr>
        <w:tc>
          <w:tcPr>
            <w:tcW w:w="2688" w:type="dxa"/>
          </w:tcPr>
          <w:p w14:paraId="1F8F00AE" w14:textId="77777777" w:rsidR="00ED38D3" w:rsidRDefault="005614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554" w:type="dxa"/>
          </w:tcPr>
          <w:p w14:paraId="4C19DD9D" w14:textId="77777777" w:rsidR="00ED38D3" w:rsidRDefault="005614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July 2019</w:t>
            </w:r>
          </w:p>
        </w:tc>
        <w:tc>
          <w:tcPr>
            <w:tcW w:w="1983" w:type="dxa"/>
          </w:tcPr>
          <w:p w14:paraId="1757B80A" w14:textId="77777777" w:rsidR="00ED38D3" w:rsidRDefault="005614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Priority:</w:t>
            </w:r>
          </w:p>
        </w:tc>
        <w:tc>
          <w:tcPr>
            <w:tcW w:w="2487" w:type="dxa"/>
          </w:tcPr>
          <w:p w14:paraId="1B3C0F9B" w14:textId="77777777" w:rsidR="00ED38D3" w:rsidRDefault="005614B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</w:tr>
      <w:tr w:rsidR="00ED38D3" w14:paraId="0C1FE740" w14:textId="77777777">
        <w:trPr>
          <w:trHeight w:val="397"/>
        </w:trPr>
        <w:tc>
          <w:tcPr>
            <w:tcW w:w="2688" w:type="dxa"/>
          </w:tcPr>
          <w:p w14:paraId="3A91C34C" w14:textId="77777777" w:rsidR="00ED38D3" w:rsidRDefault="005614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Security level:</w:t>
            </w:r>
          </w:p>
        </w:tc>
        <w:tc>
          <w:tcPr>
            <w:tcW w:w="2554" w:type="dxa"/>
          </w:tcPr>
          <w:p w14:paraId="04FE1F51" w14:textId="77777777" w:rsidR="00ED38D3" w:rsidRDefault="005614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Confidence</w:t>
            </w:r>
          </w:p>
        </w:tc>
        <w:tc>
          <w:tcPr>
            <w:tcW w:w="1983" w:type="dxa"/>
          </w:tcPr>
          <w:p w14:paraId="24041EB3" w14:textId="77777777" w:rsidR="00ED38D3" w:rsidRDefault="005614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Report number:</w:t>
            </w:r>
          </w:p>
        </w:tc>
        <w:tc>
          <w:tcPr>
            <w:tcW w:w="2487" w:type="dxa"/>
          </w:tcPr>
          <w:p w14:paraId="4D1A7C50" w14:textId="77777777" w:rsidR="00ED38D3" w:rsidRDefault="005614B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IR2019/350</w:t>
            </w:r>
          </w:p>
        </w:tc>
      </w:tr>
    </w:tbl>
    <w:p w14:paraId="3EF74217" w14:textId="77777777" w:rsidR="00ED38D3" w:rsidRDefault="00ED38D3">
      <w:pPr>
        <w:pStyle w:val="BodyText"/>
        <w:rPr>
          <w:b/>
        </w:rPr>
      </w:pPr>
    </w:p>
    <w:p w14:paraId="2EAF3CE8" w14:textId="77777777" w:rsidR="00ED38D3" w:rsidRDefault="00ED38D3">
      <w:pPr>
        <w:pStyle w:val="BodyText"/>
        <w:rPr>
          <w:b/>
        </w:rPr>
      </w:pPr>
    </w:p>
    <w:p w14:paraId="13C04DE0" w14:textId="77777777" w:rsidR="00ED38D3" w:rsidRDefault="00ED38D3">
      <w:pPr>
        <w:pStyle w:val="BodyText"/>
        <w:spacing w:before="3"/>
        <w:rPr>
          <w:b/>
          <w:sz w:val="19"/>
        </w:rPr>
      </w:pPr>
    </w:p>
    <w:p w14:paraId="537849B0" w14:textId="77777777" w:rsidR="00ED38D3" w:rsidRDefault="005614B0">
      <w:pPr>
        <w:pStyle w:val="Heading2"/>
        <w:ind w:left="132"/>
      </w:pPr>
      <w:r>
        <w:t>Action sought</w:t>
      </w:r>
    </w:p>
    <w:p w14:paraId="48AFD16F" w14:textId="77777777" w:rsidR="00ED38D3" w:rsidRDefault="00ED38D3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4536"/>
        <w:gridCol w:w="2477"/>
      </w:tblGrid>
      <w:tr w:rsidR="00ED38D3" w14:paraId="78904023" w14:textId="77777777">
        <w:trPr>
          <w:trHeight w:val="753"/>
        </w:trPr>
        <w:tc>
          <w:tcPr>
            <w:tcW w:w="2697" w:type="dxa"/>
            <w:tcBorders>
              <w:left w:val="nil"/>
              <w:bottom w:val="single" w:sz="4" w:space="0" w:color="808080"/>
              <w:right w:val="nil"/>
            </w:tcBorders>
          </w:tcPr>
          <w:p w14:paraId="1C0269C4" w14:textId="77777777" w:rsidR="00ED38D3" w:rsidRDefault="00ED3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808080"/>
              <w:right w:val="nil"/>
            </w:tcBorders>
          </w:tcPr>
          <w:p w14:paraId="23A040E6" w14:textId="77777777" w:rsidR="00ED38D3" w:rsidRDefault="00ED38D3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55E66FFA" w14:textId="77777777" w:rsidR="00ED38D3" w:rsidRDefault="005614B0">
            <w:pPr>
              <w:pStyle w:val="TableParagraph"/>
              <w:spacing w:before="0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Action sought</w:t>
            </w:r>
          </w:p>
        </w:tc>
        <w:tc>
          <w:tcPr>
            <w:tcW w:w="2477" w:type="dxa"/>
            <w:tcBorders>
              <w:left w:val="nil"/>
              <w:bottom w:val="single" w:sz="4" w:space="0" w:color="808080"/>
              <w:right w:val="nil"/>
            </w:tcBorders>
          </w:tcPr>
          <w:p w14:paraId="04629B0C" w14:textId="77777777" w:rsidR="00ED38D3" w:rsidRDefault="00ED38D3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14:paraId="55E2CAF0" w14:textId="77777777" w:rsidR="00ED38D3" w:rsidRDefault="005614B0">
            <w:pPr>
              <w:pStyle w:val="TableParagraph"/>
              <w:spacing w:before="0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Deadline</w:t>
            </w:r>
          </w:p>
        </w:tc>
      </w:tr>
      <w:tr w:rsidR="00ED38D3" w14:paraId="5BD3C633" w14:textId="77777777">
        <w:trPr>
          <w:trHeight w:val="1581"/>
        </w:trPr>
        <w:tc>
          <w:tcPr>
            <w:tcW w:w="26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96E95" w14:textId="77777777" w:rsidR="00ED38D3" w:rsidRDefault="005614B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Minister of Revenue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42B50" w14:textId="77777777" w:rsidR="00ED38D3" w:rsidRDefault="005614B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Agree </w:t>
            </w:r>
            <w:r>
              <w:rPr>
                <w:sz w:val="20"/>
              </w:rPr>
              <w:t>to recommendations.</w:t>
            </w:r>
          </w:p>
          <w:p w14:paraId="7CCE6617" w14:textId="77777777" w:rsidR="00ED38D3" w:rsidRDefault="005614B0">
            <w:pPr>
              <w:pStyle w:val="TableParagraph"/>
              <w:spacing w:before="93" w:line="276" w:lineRule="auto"/>
              <w:ind w:right="202"/>
              <w:rPr>
                <w:sz w:val="20"/>
              </w:rPr>
            </w:pPr>
            <w:r>
              <w:rPr>
                <w:b/>
                <w:sz w:val="20"/>
              </w:rPr>
              <w:t xml:space="preserve">Approve </w:t>
            </w:r>
            <w:r>
              <w:rPr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lodge </w:t>
            </w:r>
            <w:r>
              <w:rPr>
                <w:sz w:val="20"/>
              </w:rPr>
              <w:t>the attached Cabinet paper and advice sheet to Cabinet Legislation Committee with the Cabinet Office.</w:t>
            </w:r>
          </w:p>
        </w:tc>
        <w:tc>
          <w:tcPr>
            <w:tcW w:w="2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2F6BE1" w14:textId="77777777" w:rsidR="00ED38D3" w:rsidRDefault="005614B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10am, Thursday, 15</w:t>
            </w:r>
          </w:p>
          <w:p w14:paraId="574A6364" w14:textId="77777777" w:rsidR="00ED38D3" w:rsidRDefault="005614B0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August 2019</w:t>
            </w:r>
          </w:p>
        </w:tc>
      </w:tr>
    </w:tbl>
    <w:p w14:paraId="66676851" w14:textId="77777777" w:rsidR="00ED38D3" w:rsidRDefault="00ED38D3">
      <w:pPr>
        <w:pStyle w:val="BodyText"/>
        <w:rPr>
          <w:b/>
          <w:sz w:val="24"/>
        </w:rPr>
      </w:pPr>
    </w:p>
    <w:p w14:paraId="2819EACE" w14:textId="77777777" w:rsidR="00ED38D3" w:rsidRDefault="00ED38D3">
      <w:pPr>
        <w:pStyle w:val="BodyText"/>
        <w:spacing w:before="1"/>
        <w:rPr>
          <w:b/>
          <w:sz w:val="35"/>
        </w:rPr>
      </w:pPr>
    </w:p>
    <w:p w14:paraId="0551B296" w14:textId="61EA1FE7" w:rsidR="00ED38D3" w:rsidRDefault="001B28A7">
      <w:pPr>
        <w:ind w:left="13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35976B9" wp14:editId="001933F0">
                <wp:simplePos x="0" y="0"/>
                <wp:positionH relativeFrom="page">
                  <wp:posOffset>701040</wp:posOffset>
                </wp:positionH>
                <wp:positionV relativeFrom="paragraph">
                  <wp:posOffset>194945</wp:posOffset>
                </wp:positionV>
                <wp:extent cx="6156960" cy="0"/>
                <wp:effectExtent l="5715" t="8255" r="9525" b="10795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1EB48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35pt" to="540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" strokeweight=".16969mm">
                <w10:wrap type="topAndBottom" anchorx="page"/>
              </v:line>
            </w:pict>
          </mc:Fallback>
        </mc:AlternateContent>
      </w:r>
      <w:r w:rsidR="005614B0">
        <w:rPr>
          <w:b/>
          <w:sz w:val="20"/>
        </w:rPr>
        <w:t>Contact for telephone discussion (if required)</w:t>
      </w:r>
    </w:p>
    <w:p w14:paraId="2A3CDE7D" w14:textId="77777777" w:rsidR="00ED38D3" w:rsidRDefault="00ED38D3">
      <w:pPr>
        <w:pStyle w:val="BodyText"/>
        <w:rPr>
          <w:b/>
        </w:rPr>
      </w:pPr>
    </w:p>
    <w:p w14:paraId="7C302B83" w14:textId="77777777" w:rsidR="00ED38D3" w:rsidRDefault="00ED38D3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259"/>
        <w:gridCol w:w="1830"/>
        <w:gridCol w:w="1928"/>
      </w:tblGrid>
      <w:tr w:rsidR="00ED38D3" w14:paraId="6328ACA4" w14:textId="77777777">
        <w:trPr>
          <w:trHeight w:val="341"/>
        </w:trPr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5F023314" w14:textId="77777777" w:rsidR="00ED38D3" w:rsidRDefault="005614B0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3259" w:type="dxa"/>
            <w:tcBorders>
              <w:top w:val="nil"/>
              <w:left w:val="nil"/>
              <w:right w:val="nil"/>
            </w:tcBorders>
          </w:tcPr>
          <w:p w14:paraId="726E7515" w14:textId="77777777" w:rsidR="00ED38D3" w:rsidRDefault="005614B0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14:paraId="128E9946" w14:textId="77777777" w:rsidR="00ED38D3" w:rsidRDefault="005614B0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039AC29D" w14:textId="77777777" w:rsidR="00ED38D3" w:rsidRDefault="00ED3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D38D3" w14:paraId="50B3D51B" w14:textId="77777777">
        <w:trPr>
          <w:trHeight w:val="738"/>
        </w:trPr>
        <w:tc>
          <w:tcPr>
            <w:tcW w:w="2693" w:type="dxa"/>
          </w:tcPr>
          <w:p w14:paraId="2A7404D8" w14:textId="77777777" w:rsidR="00ED38D3" w:rsidRDefault="005614B0">
            <w:pPr>
              <w:pStyle w:val="TableParagraph"/>
              <w:tabs>
                <w:tab w:val="left" w:pos="1606"/>
              </w:tabs>
              <w:spacing w:before="29"/>
              <w:ind w:left="52"/>
              <w:rPr>
                <w:sz w:val="20"/>
              </w:rPr>
            </w:pPr>
            <w:r>
              <w:rPr>
                <w:sz w:val="20"/>
                <w:shd w:val="clear" w:color="auto" w:fill="BFBFBF"/>
              </w:rPr>
              <w:t>s 9(2)(a)</w:t>
            </w:r>
            <w:r>
              <w:rPr>
                <w:sz w:val="20"/>
                <w:shd w:val="clear" w:color="auto" w:fill="BFBFBF"/>
              </w:rPr>
              <w:tab/>
            </w:r>
          </w:p>
        </w:tc>
        <w:tc>
          <w:tcPr>
            <w:tcW w:w="3259" w:type="dxa"/>
          </w:tcPr>
          <w:p w14:paraId="3FEA9036" w14:textId="77777777" w:rsidR="00ED38D3" w:rsidRDefault="005614B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Team Leader</w:t>
            </w:r>
          </w:p>
        </w:tc>
        <w:tc>
          <w:tcPr>
            <w:tcW w:w="1830" w:type="dxa"/>
            <w:vMerge w:val="restart"/>
            <w:tcBorders>
              <w:right w:val="nil"/>
            </w:tcBorders>
            <w:shd w:val="clear" w:color="auto" w:fill="BFBFBF"/>
          </w:tcPr>
          <w:p w14:paraId="24AB34DF" w14:textId="77777777" w:rsidR="00ED38D3" w:rsidRDefault="005614B0">
            <w:pPr>
              <w:pStyle w:val="TableParagraph"/>
              <w:spacing w:before="0" w:line="212" w:lineRule="exact"/>
              <w:ind w:left="38"/>
              <w:rPr>
                <w:sz w:val="20"/>
              </w:rPr>
            </w:pPr>
            <w:r>
              <w:rPr>
                <w:sz w:val="20"/>
              </w:rPr>
              <w:t>s 9(2)(a)</w:t>
            </w:r>
          </w:p>
        </w:tc>
        <w:tc>
          <w:tcPr>
            <w:tcW w:w="1928" w:type="dxa"/>
            <w:tcBorders>
              <w:left w:val="nil"/>
            </w:tcBorders>
          </w:tcPr>
          <w:p w14:paraId="57180CE7" w14:textId="77777777" w:rsidR="00ED38D3" w:rsidRDefault="00ED3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D38D3" w14:paraId="6A6BEBA9" w14:textId="77777777">
        <w:trPr>
          <w:trHeight w:val="738"/>
        </w:trPr>
        <w:tc>
          <w:tcPr>
            <w:tcW w:w="2693" w:type="dxa"/>
          </w:tcPr>
          <w:p w14:paraId="1E0348D3" w14:textId="77777777" w:rsidR="00ED38D3" w:rsidRDefault="005614B0">
            <w:pPr>
              <w:pStyle w:val="TableParagraph"/>
              <w:tabs>
                <w:tab w:val="left" w:pos="1400"/>
              </w:tabs>
              <w:spacing w:before="29"/>
              <w:ind w:left="52"/>
              <w:rPr>
                <w:sz w:val="20"/>
              </w:rPr>
            </w:pPr>
            <w:r>
              <w:rPr>
                <w:sz w:val="20"/>
                <w:shd w:val="clear" w:color="auto" w:fill="BFBFBF"/>
              </w:rPr>
              <w:t>s 9(2)(a)</w:t>
            </w:r>
            <w:r>
              <w:rPr>
                <w:sz w:val="20"/>
                <w:shd w:val="clear" w:color="auto" w:fill="BFBFBF"/>
              </w:rPr>
              <w:tab/>
            </w:r>
          </w:p>
        </w:tc>
        <w:tc>
          <w:tcPr>
            <w:tcW w:w="3259" w:type="dxa"/>
          </w:tcPr>
          <w:p w14:paraId="7F0D7C39" w14:textId="77777777" w:rsidR="00ED38D3" w:rsidRDefault="005614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Assistant Policy Analyst</w:t>
            </w:r>
          </w:p>
        </w:tc>
        <w:tc>
          <w:tcPr>
            <w:tcW w:w="1830" w:type="dxa"/>
            <w:vMerge/>
            <w:tcBorders>
              <w:top w:val="nil"/>
              <w:right w:val="nil"/>
            </w:tcBorders>
            <w:shd w:val="clear" w:color="auto" w:fill="BFBFBF"/>
          </w:tcPr>
          <w:p w14:paraId="4363920A" w14:textId="77777777" w:rsidR="00ED38D3" w:rsidRDefault="00ED38D3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5DE662DF" w14:textId="77777777" w:rsidR="00ED38D3" w:rsidRDefault="00ED38D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93CACC1" w14:textId="77777777" w:rsidR="00ED38D3" w:rsidRDefault="00ED38D3">
      <w:pPr>
        <w:rPr>
          <w:rFonts w:ascii="Times New Roman"/>
          <w:sz w:val="20"/>
        </w:rPr>
        <w:sectPr w:rsidR="00ED38D3">
          <w:footerReference w:type="default" r:id="rId8"/>
          <w:type w:val="continuous"/>
          <w:pgSz w:w="11910" w:h="16840"/>
          <w:pgMar w:top="1400" w:right="940" w:bottom="580" w:left="1000" w:header="720" w:footer="387" w:gutter="0"/>
          <w:cols w:space="720"/>
        </w:sectPr>
      </w:pPr>
    </w:p>
    <w:p w14:paraId="37BC3358" w14:textId="77777777" w:rsidR="00ED38D3" w:rsidRDefault="005614B0">
      <w:pPr>
        <w:pStyle w:val="BodyText"/>
        <w:spacing w:before="91" w:line="554" w:lineRule="auto"/>
        <w:ind w:left="415" w:right="7542"/>
      </w:pPr>
      <w:bookmarkStart w:id="0" w:name="Setting_the_deemed_rate_of_return_for_th"/>
      <w:bookmarkStart w:id="1" w:name="Background"/>
      <w:bookmarkStart w:id="2" w:name="Calculation"/>
      <w:bookmarkEnd w:id="0"/>
      <w:bookmarkEnd w:id="1"/>
      <w:bookmarkEnd w:id="2"/>
      <w:r>
        <w:lastRenderedPageBreak/>
        <w:t>15 July 2019 Minister of Revenue</w:t>
      </w:r>
    </w:p>
    <w:p w14:paraId="4A0A7888" w14:textId="77777777" w:rsidR="00ED38D3" w:rsidRDefault="005614B0">
      <w:pPr>
        <w:pStyle w:val="Heading1"/>
        <w:spacing w:line="271" w:lineRule="auto"/>
        <w:ind w:hanging="1"/>
      </w:pPr>
      <w:r>
        <w:t>Setting the deemed rate of return for the 2018–19 income year: Order in Council for the Cabinet Legislation Committee</w:t>
      </w:r>
    </w:p>
    <w:p w14:paraId="0EBED0C7" w14:textId="04E3655B" w:rsidR="00ED38D3" w:rsidRDefault="001B28A7">
      <w:pPr>
        <w:pStyle w:val="BodyText"/>
        <w:spacing w:line="20" w:lineRule="exact"/>
        <w:ind w:left="3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2C522D" wp14:editId="6929D529">
                <wp:extent cx="5797550" cy="12700"/>
                <wp:effectExtent l="15240" t="635" r="6985" b="5715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0"/>
                          <a:chOff x="0" y="0"/>
                          <a:chExt cx="9130" cy="2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FD0D3" id="Group 3" o:spid="_x0000_s1026" style="width:456.5pt;height:1pt;mso-position-horizontal-relative:char;mso-position-vertical-relative:line" coordsize="91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">
                <v:line id="Line 4" o:spid="_x0000_s1027" style="position:absolute;visibility:visible;mso-wrap-style:square" from="0,10" to="91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14:paraId="495C0DD3" w14:textId="77777777" w:rsidR="00ED38D3" w:rsidRDefault="00ED38D3">
      <w:pPr>
        <w:pStyle w:val="BodyText"/>
        <w:rPr>
          <w:b/>
        </w:rPr>
      </w:pPr>
    </w:p>
    <w:p w14:paraId="6B8B45F2" w14:textId="77777777" w:rsidR="00ED38D3" w:rsidRDefault="00ED38D3">
      <w:pPr>
        <w:pStyle w:val="BodyText"/>
        <w:spacing w:before="9"/>
        <w:rPr>
          <w:b/>
          <w:sz w:val="29"/>
        </w:rPr>
      </w:pPr>
    </w:p>
    <w:p w14:paraId="59073D23" w14:textId="77777777" w:rsidR="00ED38D3" w:rsidRDefault="005614B0">
      <w:pPr>
        <w:pStyle w:val="Heading2"/>
        <w:spacing w:before="102"/>
      </w:pPr>
      <w:r>
        <w:t>Background</w:t>
      </w:r>
    </w:p>
    <w:p w14:paraId="05C15B09" w14:textId="77777777" w:rsidR="00ED38D3" w:rsidRDefault="00ED38D3">
      <w:pPr>
        <w:pStyle w:val="BodyText"/>
        <w:spacing w:before="6"/>
        <w:rPr>
          <w:b/>
          <w:sz w:val="19"/>
        </w:rPr>
      </w:pPr>
    </w:p>
    <w:p w14:paraId="65CE0A49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ind w:right="475" w:hanging="566"/>
        <w:jc w:val="both"/>
        <w:rPr>
          <w:sz w:val="20"/>
        </w:rPr>
      </w:pPr>
      <w:r>
        <w:rPr>
          <w:sz w:val="20"/>
        </w:rPr>
        <w:t>The Income Tax Act 2007 requires the deemed rate of return under the foreign investment fund (FIF) rules for each income year be set by Order in</w:t>
      </w:r>
      <w:r>
        <w:rPr>
          <w:spacing w:val="-16"/>
          <w:sz w:val="20"/>
        </w:rPr>
        <w:t xml:space="preserve"> </w:t>
      </w:r>
      <w:r>
        <w:rPr>
          <w:sz w:val="20"/>
        </w:rPr>
        <w:t>Council.</w:t>
      </w:r>
    </w:p>
    <w:p w14:paraId="2C6D7E31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200"/>
        <w:ind w:hanging="566"/>
        <w:jc w:val="both"/>
        <w:rPr>
          <w:sz w:val="20"/>
        </w:rPr>
      </w:pPr>
      <w:r>
        <w:rPr>
          <w:sz w:val="20"/>
        </w:rPr>
        <w:t xml:space="preserve">New Zealand’s FIF rules tax New Zealand residents </w:t>
      </w:r>
      <w:r>
        <w:rPr>
          <w:spacing w:val="-4"/>
          <w:sz w:val="20"/>
        </w:rPr>
        <w:t xml:space="preserve">on </w:t>
      </w:r>
      <w:r>
        <w:rPr>
          <w:sz w:val="20"/>
        </w:rPr>
        <w:t>attributed income from non- controlling investments in foreign companies, life insurance policies, and certain superannuation schemes. Since 1 April 2014, most interests in foreign superannuation schemes are taxed on transfer, rather than under the FIF</w:t>
      </w:r>
      <w:r>
        <w:rPr>
          <w:spacing w:val="-22"/>
          <w:sz w:val="20"/>
        </w:rPr>
        <w:t xml:space="preserve"> </w:t>
      </w:r>
      <w:r>
        <w:rPr>
          <w:sz w:val="20"/>
        </w:rPr>
        <w:t>rules.</w:t>
      </w:r>
    </w:p>
    <w:p w14:paraId="7F8EF850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199"/>
        <w:ind w:right="473" w:hanging="566"/>
        <w:jc w:val="both"/>
        <w:rPr>
          <w:sz w:val="20"/>
        </w:rPr>
      </w:pPr>
      <w:r>
        <w:rPr>
          <w:sz w:val="20"/>
        </w:rPr>
        <w:t xml:space="preserve">The Income Tax Act 2007 provides </w:t>
      </w:r>
      <w:proofErr w:type="gramStart"/>
      <w:r>
        <w:rPr>
          <w:sz w:val="20"/>
        </w:rPr>
        <w:t xml:space="preserve">a number </w:t>
      </w:r>
      <w:r>
        <w:rPr>
          <w:spacing w:val="-4"/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different methods to calculate FIF income</w:t>
      </w:r>
      <w:r>
        <w:rPr>
          <w:spacing w:val="-9"/>
          <w:sz w:val="20"/>
        </w:rPr>
        <w:t xml:space="preserve"> </w:t>
      </w:r>
      <w:r>
        <w:rPr>
          <w:sz w:val="20"/>
        </w:rPr>
        <w:t>(or</w:t>
      </w:r>
      <w:r>
        <w:rPr>
          <w:spacing w:val="-8"/>
          <w:sz w:val="20"/>
        </w:rPr>
        <w:t xml:space="preserve"> </w:t>
      </w:r>
      <w:r>
        <w:rPr>
          <w:sz w:val="20"/>
        </w:rPr>
        <w:t>loss)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tax</w:t>
      </w:r>
      <w:r>
        <w:rPr>
          <w:spacing w:val="-8"/>
          <w:sz w:val="20"/>
        </w:rPr>
        <w:t xml:space="preserve"> </w:t>
      </w:r>
      <w:r>
        <w:rPr>
          <w:sz w:val="20"/>
        </w:rPr>
        <w:t>purposes,</w:t>
      </w:r>
      <w:r>
        <w:rPr>
          <w:spacing w:val="-10"/>
          <w:sz w:val="20"/>
        </w:rPr>
        <w:t xml:space="preserve"> </w:t>
      </w:r>
      <w:r>
        <w:rPr>
          <w:sz w:val="20"/>
        </w:rPr>
        <w:t>one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deemed</w:t>
      </w:r>
      <w:r>
        <w:rPr>
          <w:spacing w:val="-9"/>
          <w:sz w:val="20"/>
        </w:rPr>
        <w:t xml:space="preserve"> </w:t>
      </w:r>
      <w:r>
        <w:rPr>
          <w:sz w:val="20"/>
        </w:rPr>
        <w:t>rate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return</w:t>
      </w:r>
      <w:r>
        <w:rPr>
          <w:spacing w:val="-6"/>
          <w:sz w:val="20"/>
        </w:rPr>
        <w:t xml:space="preserve"> </w:t>
      </w:r>
      <w:r>
        <w:rPr>
          <w:sz w:val="20"/>
        </w:rPr>
        <w:t>method. An investor must use the deemed rate of return method</w:t>
      </w:r>
      <w:r>
        <w:rPr>
          <w:spacing w:val="-18"/>
          <w:sz w:val="20"/>
        </w:rPr>
        <w:t xml:space="preserve"> </w:t>
      </w:r>
      <w:r>
        <w:rPr>
          <w:sz w:val="20"/>
        </w:rPr>
        <w:t>where:</w:t>
      </w:r>
    </w:p>
    <w:p w14:paraId="2AD8FF16" w14:textId="77777777" w:rsidR="00ED38D3" w:rsidRDefault="005614B0">
      <w:pPr>
        <w:pStyle w:val="ListParagraph"/>
        <w:numPr>
          <w:ilvl w:val="1"/>
          <w:numId w:val="1"/>
        </w:numPr>
        <w:tabs>
          <w:tab w:val="left" w:pos="1495"/>
          <w:tab w:val="left" w:pos="1496"/>
          <w:tab w:val="left" w:pos="2038"/>
          <w:tab w:val="left" w:pos="3017"/>
          <w:tab w:val="left" w:pos="4030"/>
          <w:tab w:val="left" w:pos="4433"/>
          <w:tab w:val="left" w:pos="5335"/>
          <w:tab w:val="left" w:pos="6852"/>
          <w:tab w:val="left" w:pos="7721"/>
          <w:tab w:val="left" w:pos="8340"/>
          <w:tab w:val="left" w:pos="9041"/>
        </w:tabs>
        <w:spacing w:before="202"/>
        <w:ind w:right="476" w:hanging="359"/>
        <w:jc w:val="left"/>
        <w:rPr>
          <w:sz w:val="20"/>
        </w:rPr>
      </w:pPr>
      <w:r>
        <w:rPr>
          <w:sz w:val="20"/>
        </w:rPr>
        <w:t>the</w:t>
      </w:r>
      <w:r>
        <w:rPr>
          <w:sz w:val="20"/>
        </w:rPr>
        <w:tab/>
        <w:t>interest</w:t>
      </w:r>
      <w:r>
        <w:rPr>
          <w:sz w:val="20"/>
        </w:rPr>
        <w:tab/>
        <w:t>consists</w:t>
      </w:r>
      <w:r>
        <w:rPr>
          <w:sz w:val="20"/>
        </w:rPr>
        <w:tab/>
        <w:t>of</w:t>
      </w:r>
      <w:r>
        <w:rPr>
          <w:sz w:val="20"/>
        </w:rPr>
        <w:tab/>
        <w:t>certain</w:t>
      </w:r>
      <w:r>
        <w:rPr>
          <w:sz w:val="20"/>
        </w:rPr>
        <w:tab/>
        <w:t>non-ordinary</w:t>
      </w:r>
      <w:r>
        <w:rPr>
          <w:sz w:val="20"/>
        </w:rPr>
        <w:tab/>
        <w:t>shares</w:t>
      </w:r>
      <w:r>
        <w:rPr>
          <w:sz w:val="20"/>
        </w:rPr>
        <w:tab/>
        <w:t>that</w:t>
      </w:r>
      <w:r>
        <w:rPr>
          <w:sz w:val="20"/>
        </w:rPr>
        <w:tab/>
        <w:t>have</w:t>
      </w:r>
      <w:r>
        <w:rPr>
          <w:sz w:val="20"/>
        </w:rPr>
        <w:tab/>
      </w:r>
      <w:r>
        <w:rPr>
          <w:spacing w:val="-7"/>
          <w:sz w:val="20"/>
        </w:rPr>
        <w:t xml:space="preserve">debt </w:t>
      </w:r>
      <w:r>
        <w:rPr>
          <w:sz w:val="20"/>
        </w:rPr>
        <w:t>characteristics; and</w:t>
      </w:r>
    </w:p>
    <w:p w14:paraId="61BEC9BB" w14:textId="77777777" w:rsidR="00ED38D3" w:rsidRDefault="005614B0">
      <w:pPr>
        <w:pStyle w:val="ListParagraph"/>
        <w:numPr>
          <w:ilvl w:val="1"/>
          <w:numId w:val="1"/>
        </w:numPr>
        <w:tabs>
          <w:tab w:val="left" w:pos="1495"/>
          <w:tab w:val="left" w:pos="1496"/>
        </w:tabs>
        <w:spacing w:before="198"/>
        <w:ind w:right="471" w:hanging="359"/>
        <w:jc w:val="left"/>
        <w:rPr>
          <w:sz w:val="20"/>
        </w:rPr>
      </w:pPr>
      <w:r>
        <w:rPr>
          <w:sz w:val="20"/>
        </w:rPr>
        <w:t xml:space="preserve">the comparative value method cannot </w:t>
      </w:r>
      <w:r>
        <w:rPr>
          <w:spacing w:val="-3"/>
          <w:sz w:val="20"/>
        </w:rPr>
        <w:t xml:space="preserve">be </w:t>
      </w:r>
      <w:r>
        <w:rPr>
          <w:sz w:val="20"/>
        </w:rPr>
        <w:t>used because the end-of-year</w:t>
      </w:r>
      <w:r>
        <w:rPr>
          <w:spacing w:val="-40"/>
          <w:sz w:val="20"/>
        </w:rPr>
        <w:t xml:space="preserve"> </w:t>
      </w:r>
      <w:r>
        <w:rPr>
          <w:sz w:val="20"/>
        </w:rPr>
        <w:t>market value of the interest cannot be</w:t>
      </w:r>
      <w:r>
        <w:rPr>
          <w:spacing w:val="-5"/>
          <w:sz w:val="20"/>
        </w:rPr>
        <w:t xml:space="preserve"> </w:t>
      </w:r>
      <w:r>
        <w:rPr>
          <w:sz w:val="20"/>
        </w:rPr>
        <w:t>determined.</w:t>
      </w:r>
    </w:p>
    <w:p w14:paraId="6F4DE37F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193"/>
        <w:ind w:right="469"/>
        <w:jc w:val="both"/>
        <w:rPr>
          <w:sz w:val="20"/>
        </w:rPr>
      </w:pPr>
      <w:r>
        <w:rPr>
          <w:sz w:val="20"/>
        </w:rPr>
        <w:t>Under the deemed rate of return method, income from a FIF is calculated each year by multiplying the opening book value of the investment by the rate set annually by Order in</w:t>
      </w:r>
      <w:r>
        <w:rPr>
          <w:spacing w:val="-5"/>
          <w:sz w:val="20"/>
        </w:rPr>
        <w:t xml:space="preserve"> </w:t>
      </w:r>
      <w:r>
        <w:rPr>
          <w:sz w:val="20"/>
        </w:rPr>
        <w:t>Council.</w:t>
      </w:r>
    </w:p>
    <w:p w14:paraId="1A1D73CD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202"/>
        <w:ind w:right="475" w:hanging="566"/>
        <w:jc w:val="both"/>
        <w:rPr>
          <w:sz w:val="20"/>
        </w:rPr>
      </w:pPr>
      <w:r>
        <w:rPr>
          <w:sz w:val="20"/>
        </w:rPr>
        <w:t>An Order in Council is now required to set the deemed rate of return for the 2018– 19 income</w:t>
      </w:r>
      <w:r>
        <w:rPr>
          <w:spacing w:val="-6"/>
          <w:sz w:val="20"/>
        </w:rPr>
        <w:t xml:space="preserve"> </w:t>
      </w:r>
      <w:r>
        <w:rPr>
          <w:sz w:val="20"/>
        </w:rPr>
        <w:t>year.</w:t>
      </w:r>
    </w:p>
    <w:p w14:paraId="76F05244" w14:textId="77777777" w:rsidR="00ED38D3" w:rsidRDefault="00ED38D3">
      <w:pPr>
        <w:pStyle w:val="BodyText"/>
        <w:rPr>
          <w:sz w:val="33"/>
        </w:rPr>
      </w:pPr>
    </w:p>
    <w:p w14:paraId="7C90EFE3" w14:textId="77777777" w:rsidR="00ED38D3" w:rsidRDefault="005614B0">
      <w:pPr>
        <w:pStyle w:val="Heading2"/>
        <w:spacing w:before="1"/>
      </w:pPr>
      <w:r>
        <w:t>Calculation</w:t>
      </w:r>
    </w:p>
    <w:p w14:paraId="5F4FDAF6" w14:textId="77777777" w:rsidR="00ED38D3" w:rsidRDefault="00ED38D3">
      <w:pPr>
        <w:pStyle w:val="BodyText"/>
        <w:spacing w:before="5"/>
        <w:rPr>
          <w:b/>
          <w:sz w:val="19"/>
        </w:rPr>
      </w:pPr>
    </w:p>
    <w:p w14:paraId="1590072E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1"/>
        <w:ind w:right="471" w:hanging="566"/>
        <w:jc w:val="both"/>
        <w:rPr>
          <w:sz w:val="20"/>
        </w:rPr>
      </w:pPr>
      <w:r>
        <w:rPr>
          <w:sz w:val="20"/>
        </w:rPr>
        <w:t>The method for calculating the annual deemed rate of return was established and approved in 1994 (</w:t>
      </w:r>
      <w:r>
        <w:rPr>
          <w:i/>
          <w:sz w:val="20"/>
        </w:rPr>
        <w:t xml:space="preserve">CAB (94) M 35/3 C(vi) </w:t>
      </w:r>
      <w:r>
        <w:rPr>
          <w:sz w:val="20"/>
        </w:rPr>
        <w:t>refers) and published in Inland Revenue’s October</w:t>
      </w:r>
      <w:r>
        <w:rPr>
          <w:spacing w:val="-10"/>
          <w:sz w:val="20"/>
        </w:rPr>
        <w:t xml:space="preserve"> </w:t>
      </w:r>
      <w:r>
        <w:rPr>
          <w:sz w:val="20"/>
        </w:rPr>
        <w:t>1994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Tax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Bulletin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calculation</w:t>
      </w:r>
      <w:r>
        <w:rPr>
          <w:spacing w:val="-8"/>
          <w:sz w:val="20"/>
        </w:rPr>
        <w:t xml:space="preserve"> </w:t>
      </w:r>
      <w:r>
        <w:rPr>
          <w:sz w:val="20"/>
        </w:rPr>
        <w:t>involves</w:t>
      </w:r>
      <w:r>
        <w:rPr>
          <w:spacing w:val="-9"/>
          <w:sz w:val="20"/>
        </w:rPr>
        <w:t xml:space="preserve"> </w:t>
      </w:r>
      <w:r>
        <w:rPr>
          <w:sz w:val="20"/>
        </w:rPr>
        <w:t>taking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average</w:t>
      </w:r>
      <w:r>
        <w:rPr>
          <w:spacing w:val="-9"/>
          <w:sz w:val="20"/>
        </w:rPr>
        <w:t xml:space="preserve"> </w:t>
      </w:r>
      <w:r>
        <w:rPr>
          <w:sz w:val="20"/>
        </w:rPr>
        <w:t>of the five-year “risk-free” Government bond rates at the end of each quarter of the income year and adding a risk premium margin of four percentage points. If the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last day of the quarter falls on a weekend or statutory holiday, the rate on the next business </w:t>
      </w:r>
      <w:r>
        <w:rPr>
          <w:spacing w:val="-3"/>
          <w:sz w:val="20"/>
        </w:rPr>
        <w:t xml:space="preserve">day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used.</w:t>
      </w:r>
    </w:p>
    <w:p w14:paraId="51703432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199"/>
        <w:ind w:left="981" w:right="469" w:hanging="566"/>
        <w:jc w:val="both"/>
        <w:rPr>
          <w:sz w:val="20"/>
        </w:rPr>
      </w:pPr>
      <w:r>
        <w:rPr>
          <w:sz w:val="20"/>
        </w:rPr>
        <w:t xml:space="preserve">Officials recommend that the current method for calculating the deemed rate of return be used again for the 2018–19 income year. It is a simple way of approximating the expected return </w:t>
      </w:r>
      <w:r>
        <w:rPr>
          <w:spacing w:val="-4"/>
          <w:sz w:val="20"/>
        </w:rPr>
        <w:t>on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foreign equities, incorporating a four percentage-point risk premium over the return </w:t>
      </w:r>
      <w:r>
        <w:rPr>
          <w:spacing w:val="-4"/>
          <w:sz w:val="20"/>
        </w:rPr>
        <w:t>on</w:t>
      </w:r>
      <w:r>
        <w:rPr>
          <w:spacing w:val="62"/>
          <w:sz w:val="20"/>
        </w:rPr>
        <w:t xml:space="preserve"> </w:t>
      </w:r>
      <w:r>
        <w:rPr>
          <w:sz w:val="20"/>
        </w:rPr>
        <w:t xml:space="preserve">“risk-free” debt, such as Government stock. The method has been used </w:t>
      </w:r>
      <w:r>
        <w:rPr>
          <w:spacing w:val="-3"/>
          <w:sz w:val="20"/>
        </w:rPr>
        <w:t xml:space="preserve">for </w:t>
      </w:r>
      <w:r>
        <w:rPr>
          <w:sz w:val="20"/>
        </w:rPr>
        <w:t>every income year since</w:t>
      </w:r>
      <w:r>
        <w:rPr>
          <w:spacing w:val="-19"/>
          <w:sz w:val="20"/>
        </w:rPr>
        <w:t xml:space="preserve"> </w:t>
      </w:r>
      <w:r>
        <w:rPr>
          <w:sz w:val="20"/>
        </w:rPr>
        <w:t>1994.</w:t>
      </w:r>
    </w:p>
    <w:p w14:paraId="588F3CC0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2"/>
        </w:tabs>
        <w:spacing w:before="200"/>
        <w:ind w:left="981" w:hanging="566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average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quarterly</w:t>
      </w:r>
      <w:r>
        <w:rPr>
          <w:spacing w:val="-14"/>
          <w:sz w:val="20"/>
        </w:rPr>
        <w:t xml:space="preserve"> </w:t>
      </w:r>
      <w:r>
        <w:rPr>
          <w:sz w:val="20"/>
        </w:rPr>
        <w:t>five-year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z w:val="20"/>
        </w:rPr>
        <w:t>bond</w:t>
      </w:r>
      <w:r>
        <w:rPr>
          <w:spacing w:val="-10"/>
          <w:sz w:val="20"/>
        </w:rPr>
        <w:t xml:space="preserve"> </w:t>
      </w:r>
      <w:r>
        <w:rPr>
          <w:sz w:val="20"/>
        </w:rPr>
        <w:t>interest</w:t>
      </w:r>
      <w:r>
        <w:rPr>
          <w:spacing w:val="-7"/>
          <w:sz w:val="20"/>
        </w:rPr>
        <w:t xml:space="preserve"> </w:t>
      </w:r>
      <w:r>
        <w:rPr>
          <w:sz w:val="20"/>
        </w:rPr>
        <w:t>rates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2018– 19 income year is 1.86%. This means that the deemed rate of return for the 2018– 19</w:t>
      </w:r>
      <w:r>
        <w:rPr>
          <w:spacing w:val="-17"/>
          <w:sz w:val="20"/>
        </w:rPr>
        <w:t xml:space="preserve"> </w:t>
      </w:r>
      <w:r>
        <w:rPr>
          <w:sz w:val="20"/>
        </w:rPr>
        <w:t>income</w:t>
      </w:r>
      <w:r>
        <w:rPr>
          <w:spacing w:val="-18"/>
          <w:sz w:val="20"/>
        </w:rPr>
        <w:t xml:space="preserve"> </w:t>
      </w:r>
      <w:r>
        <w:rPr>
          <w:sz w:val="20"/>
        </w:rPr>
        <w:t>year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z w:val="20"/>
        </w:rPr>
        <w:t>5.86%</w:t>
      </w:r>
      <w:r>
        <w:rPr>
          <w:spacing w:val="-18"/>
          <w:sz w:val="20"/>
        </w:rPr>
        <w:t xml:space="preserve"> </w:t>
      </w:r>
      <w:r>
        <w:rPr>
          <w:sz w:val="20"/>
        </w:rPr>
        <w:t>(1.86%</w:t>
      </w:r>
      <w:r>
        <w:rPr>
          <w:spacing w:val="-14"/>
          <w:sz w:val="20"/>
        </w:rPr>
        <w:t xml:space="preserve"> </w:t>
      </w:r>
      <w:r>
        <w:rPr>
          <w:sz w:val="20"/>
        </w:rPr>
        <w:t>plus</w:t>
      </w:r>
      <w:r>
        <w:rPr>
          <w:spacing w:val="-17"/>
          <w:sz w:val="20"/>
        </w:rPr>
        <w:t xml:space="preserve"> </w:t>
      </w:r>
      <w:r>
        <w:rPr>
          <w:sz w:val="20"/>
        </w:rPr>
        <w:t>four</w:t>
      </w:r>
      <w:r>
        <w:rPr>
          <w:spacing w:val="-13"/>
          <w:sz w:val="20"/>
        </w:rPr>
        <w:t xml:space="preserve"> </w:t>
      </w:r>
      <w:r>
        <w:rPr>
          <w:sz w:val="20"/>
        </w:rPr>
        <w:t>percentage</w:t>
      </w:r>
      <w:r>
        <w:rPr>
          <w:spacing w:val="-18"/>
          <w:sz w:val="20"/>
        </w:rPr>
        <w:t xml:space="preserve"> </w:t>
      </w:r>
      <w:r>
        <w:rPr>
          <w:sz w:val="20"/>
        </w:rPr>
        <w:t>points).</w:t>
      </w:r>
      <w:r>
        <w:rPr>
          <w:spacing w:val="-18"/>
          <w:sz w:val="20"/>
        </w:rPr>
        <w:t xml:space="preserve"> </w:t>
      </w:r>
      <w:r>
        <w:rPr>
          <w:sz w:val="20"/>
        </w:rPr>
        <w:t>This</w:t>
      </w:r>
      <w:r>
        <w:rPr>
          <w:spacing w:val="-17"/>
          <w:sz w:val="20"/>
        </w:rPr>
        <w:t xml:space="preserve"> </w:t>
      </w:r>
      <w:r>
        <w:rPr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decrease from last year’s deemed rate of return, which </w:t>
      </w:r>
      <w:r>
        <w:rPr>
          <w:spacing w:val="-3"/>
          <w:sz w:val="20"/>
        </w:rPr>
        <w:t>was</w:t>
      </w:r>
      <w:r>
        <w:rPr>
          <w:sz w:val="20"/>
        </w:rPr>
        <w:t xml:space="preserve"> 6.44%.</w:t>
      </w:r>
    </w:p>
    <w:p w14:paraId="0A1A82BF" w14:textId="77777777" w:rsidR="00ED38D3" w:rsidRDefault="00ED38D3">
      <w:pPr>
        <w:jc w:val="both"/>
        <w:rPr>
          <w:sz w:val="20"/>
        </w:rPr>
        <w:sectPr w:rsidR="00ED38D3">
          <w:headerReference w:type="default" r:id="rId9"/>
          <w:footerReference w:type="default" r:id="rId10"/>
          <w:pgSz w:w="11910" w:h="16840"/>
          <w:pgMar w:top="1040" w:right="940" w:bottom="1080" w:left="1000" w:header="702" w:footer="895" w:gutter="0"/>
          <w:pgNumType w:start="1"/>
          <w:cols w:space="720"/>
        </w:sectPr>
      </w:pPr>
    </w:p>
    <w:p w14:paraId="36168991" w14:textId="77777777" w:rsidR="00ED38D3" w:rsidRDefault="005614B0">
      <w:pPr>
        <w:pStyle w:val="Heading2"/>
        <w:spacing w:before="96"/>
        <w:ind w:left="416"/>
      </w:pPr>
      <w:bookmarkStart w:id="3" w:name="Regulatory_Impact_Analysis"/>
      <w:bookmarkStart w:id="4" w:name="Timing"/>
      <w:bookmarkStart w:id="5" w:name="Cabinet_paper_and_associated_materials"/>
      <w:bookmarkStart w:id="6" w:name="Proactive_Release"/>
      <w:bookmarkEnd w:id="3"/>
      <w:bookmarkEnd w:id="4"/>
      <w:bookmarkEnd w:id="5"/>
      <w:bookmarkEnd w:id="6"/>
      <w:r>
        <w:lastRenderedPageBreak/>
        <w:t>Regulatory Impact Analysis</w:t>
      </w:r>
    </w:p>
    <w:p w14:paraId="19A851A6" w14:textId="77777777" w:rsidR="00ED38D3" w:rsidRDefault="00ED38D3">
      <w:pPr>
        <w:pStyle w:val="BodyText"/>
        <w:spacing w:before="1"/>
        <w:rPr>
          <w:b/>
          <w:sz w:val="19"/>
        </w:rPr>
      </w:pPr>
    </w:p>
    <w:p w14:paraId="69511C34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ind w:right="472" w:hanging="566"/>
        <w:jc w:val="both"/>
        <w:rPr>
          <w:sz w:val="20"/>
        </w:rPr>
      </w:pPr>
      <w:r>
        <w:rPr>
          <w:sz w:val="20"/>
        </w:rPr>
        <w:t>A Regulatory Impact Analysis is not required because no policy decision is being sought.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deemed</w:t>
      </w:r>
      <w:r>
        <w:rPr>
          <w:spacing w:val="-5"/>
          <w:sz w:val="20"/>
        </w:rPr>
        <w:t xml:space="preserve"> </w:t>
      </w:r>
      <w:r>
        <w:rPr>
          <w:sz w:val="20"/>
        </w:rPr>
        <w:t>rate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calculated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accordance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formula that was approved by Cabinet in 1994 (</w:t>
      </w:r>
      <w:r>
        <w:rPr>
          <w:i/>
          <w:sz w:val="20"/>
        </w:rPr>
        <w:t xml:space="preserve">CAB </w:t>
      </w:r>
      <w:r>
        <w:rPr>
          <w:i/>
          <w:spacing w:val="-3"/>
          <w:sz w:val="20"/>
        </w:rPr>
        <w:t xml:space="preserve">(94) </w:t>
      </w:r>
      <w:r>
        <w:rPr>
          <w:i/>
          <w:sz w:val="20"/>
        </w:rPr>
        <w:t>M 35/3 C(vi)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refers).</w:t>
      </w:r>
    </w:p>
    <w:p w14:paraId="67B3DAFE" w14:textId="77777777" w:rsidR="00ED38D3" w:rsidRDefault="00ED38D3">
      <w:pPr>
        <w:pStyle w:val="BodyText"/>
        <w:spacing w:before="2"/>
        <w:rPr>
          <w:sz w:val="33"/>
        </w:rPr>
      </w:pPr>
    </w:p>
    <w:p w14:paraId="79E535E2" w14:textId="77777777" w:rsidR="00ED38D3" w:rsidRDefault="005614B0">
      <w:pPr>
        <w:pStyle w:val="Heading2"/>
        <w:spacing w:before="1"/>
      </w:pPr>
      <w:r>
        <w:t>Timing</w:t>
      </w:r>
    </w:p>
    <w:p w14:paraId="695129B7" w14:textId="77777777" w:rsidR="00ED38D3" w:rsidRDefault="00ED38D3">
      <w:pPr>
        <w:pStyle w:val="BodyText"/>
        <w:spacing w:before="1"/>
        <w:rPr>
          <w:b/>
          <w:sz w:val="19"/>
        </w:rPr>
      </w:pPr>
    </w:p>
    <w:p w14:paraId="69BA532E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ind w:right="470"/>
        <w:jc w:val="both"/>
        <w:rPr>
          <w:sz w:val="20"/>
        </w:rPr>
      </w:pPr>
      <w:r>
        <w:rPr>
          <w:sz w:val="20"/>
        </w:rPr>
        <w:t>The Order in Council will enable taxpayers using the deemed rate of return method to calculate their FIF income for the 2018–19 income year and will therefore effectively</w:t>
      </w:r>
      <w:r>
        <w:rPr>
          <w:spacing w:val="-9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April</w:t>
      </w:r>
      <w:r>
        <w:rPr>
          <w:spacing w:val="-12"/>
          <w:sz w:val="20"/>
        </w:rPr>
        <w:t xml:space="preserve"> </w:t>
      </w:r>
      <w:r>
        <w:rPr>
          <w:sz w:val="20"/>
        </w:rPr>
        <w:t>2018.</w:t>
      </w:r>
      <w:r>
        <w:rPr>
          <w:spacing w:val="-10"/>
          <w:sz w:val="20"/>
        </w:rPr>
        <w:t xml:space="preserve"> </w:t>
      </w:r>
      <w:r>
        <w:rPr>
          <w:sz w:val="20"/>
        </w:rPr>
        <w:t>However,</w:t>
      </w:r>
      <w:r>
        <w:rPr>
          <w:spacing w:val="-5"/>
          <w:sz w:val="20"/>
        </w:rPr>
        <w:t xml:space="preserve"> </w:t>
      </w:r>
      <w:r>
        <w:rPr>
          <w:sz w:val="20"/>
        </w:rPr>
        <w:t>because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deemed</w:t>
      </w:r>
      <w:r>
        <w:rPr>
          <w:spacing w:val="-10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calculation</w:t>
      </w:r>
      <w:r>
        <w:rPr>
          <w:spacing w:val="-6"/>
          <w:sz w:val="20"/>
        </w:rPr>
        <w:t xml:space="preserve"> </w:t>
      </w:r>
      <w:r>
        <w:rPr>
          <w:sz w:val="20"/>
        </w:rPr>
        <w:t>is based on the 2018–19 five-year Government bond rates, the Order in Council will have retrospective</w:t>
      </w:r>
      <w:r>
        <w:rPr>
          <w:spacing w:val="-4"/>
          <w:sz w:val="20"/>
        </w:rPr>
        <w:t xml:space="preserve"> </w:t>
      </w:r>
      <w:r>
        <w:rPr>
          <w:sz w:val="20"/>
        </w:rPr>
        <w:t>effect.</w:t>
      </w:r>
    </w:p>
    <w:p w14:paraId="2C15F5A9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200"/>
        <w:jc w:val="both"/>
        <w:rPr>
          <w:sz w:val="20"/>
        </w:rPr>
      </w:pPr>
      <w:r>
        <w:rPr>
          <w:sz w:val="20"/>
        </w:rPr>
        <w:t>A waiver of the 28-day rule for this regulation coming into force will not be sought this year. This departs from the approach taken in previous</w:t>
      </w:r>
      <w:r>
        <w:rPr>
          <w:spacing w:val="-21"/>
          <w:sz w:val="20"/>
        </w:rPr>
        <w:t xml:space="preserve"> </w:t>
      </w:r>
      <w:r>
        <w:rPr>
          <w:sz w:val="20"/>
        </w:rPr>
        <w:t>years.</w:t>
      </w:r>
    </w:p>
    <w:p w14:paraId="617E2816" w14:textId="77777777" w:rsidR="00ED38D3" w:rsidRDefault="00ED38D3">
      <w:pPr>
        <w:pStyle w:val="BodyText"/>
        <w:spacing w:before="1"/>
        <w:rPr>
          <w:sz w:val="33"/>
        </w:rPr>
      </w:pPr>
    </w:p>
    <w:p w14:paraId="3FD4D013" w14:textId="77777777" w:rsidR="00ED38D3" w:rsidRDefault="005614B0">
      <w:pPr>
        <w:pStyle w:val="Heading2"/>
        <w:ind w:left="416"/>
      </w:pPr>
      <w:r>
        <w:t>Cabinet paper and associated materials</w:t>
      </w:r>
    </w:p>
    <w:p w14:paraId="623F3AF2" w14:textId="77777777" w:rsidR="00ED38D3" w:rsidRDefault="00ED38D3">
      <w:pPr>
        <w:pStyle w:val="BodyText"/>
        <w:spacing w:before="1"/>
        <w:rPr>
          <w:b/>
          <w:sz w:val="19"/>
        </w:rPr>
      </w:pPr>
    </w:p>
    <w:p w14:paraId="2EC55226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ind w:right="473" w:hanging="566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Cabinet</w:t>
      </w:r>
      <w:r>
        <w:rPr>
          <w:spacing w:val="-2"/>
          <w:sz w:val="20"/>
        </w:rPr>
        <w:t xml:space="preserve"> </w:t>
      </w:r>
      <w:r>
        <w:rPr>
          <w:sz w:val="20"/>
        </w:rPr>
        <w:t>paper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advice</w:t>
      </w:r>
      <w:r>
        <w:rPr>
          <w:spacing w:val="-4"/>
          <w:sz w:val="20"/>
        </w:rPr>
        <w:t xml:space="preserve"> </w:t>
      </w:r>
      <w:r>
        <w:rPr>
          <w:sz w:val="20"/>
        </w:rPr>
        <w:t>sheet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Council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prepared and are attached to this report. These two documents should be signed and</w:t>
      </w:r>
      <w:r>
        <w:rPr>
          <w:spacing w:val="-48"/>
          <w:sz w:val="20"/>
        </w:rPr>
        <w:t xml:space="preserve"> </w:t>
      </w:r>
      <w:r>
        <w:rPr>
          <w:sz w:val="20"/>
        </w:rPr>
        <w:t>referred to the Cabinet Office by 10am, Thursday, 15 August 2019, for consideration at the Cabinet Legislation Committee’s meeting on Tuesday, 20 August</w:t>
      </w:r>
      <w:r>
        <w:rPr>
          <w:spacing w:val="-16"/>
          <w:sz w:val="20"/>
        </w:rPr>
        <w:t xml:space="preserve"> </w:t>
      </w:r>
      <w:r>
        <w:rPr>
          <w:sz w:val="20"/>
        </w:rPr>
        <w:t>2019.</w:t>
      </w:r>
    </w:p>
    <w:p w14:paraId="62ED356C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spacing w:before="203"/>
        <w:ind w:right="476" w:hanging="566"/>
        <w:jc w:val="both"/>
        <w:rPr>
          <w:sz w:val="20"/>
        </w:rPr>
      </w:pPr>
      <w:r>
        <w:rPr>
          <w:sz w:val="20"/>
        </w:rPr>
        <w:t xml:space="preserve">The Parliamentary Counsel Office will provide copies of the </w:t>
      </w:r>
      <w:proofErr w:type="spellStart"/>
      <w:r>
        <w:rPr>
          <w:sz w:val="20"/>
        </w:rPr>
        <w:t>finalised</w:t>
      </w:r>
      <w:proofErr w:type="spellEnd"/>
      <w:r>
        <w:rPr>
          <w:sz w:val="20"/>
        </w:rPr>
        <w:t xml:space="preserve"> Order in</w:t>
      </w:r>
      <w:r>
        <w:rPr>
          <w:spacing w:val="-42"/>
          <w:sz w:val="20"/>
        </w:rPr>
        <w:t xml:space="preserve"> </w:t>
      </w:r>
      <w:r>
        <w:rPr>
          <w:sz w:val="20"/>
        </w:rPr>
        <w:t>Council directly to the Cabinet</w:t>
      </w:r>
      <w:r>
        <w:rPr>
          <w:spacing w:val="-9"/>
          <w:sz w:val="20"/>
        </w:rPr>
        <w:t xml:space="preserve"> </w:t>
      </w:r>
      <w:r>
        <w:rPr>
          <w:sz w:val="20"/>
        </w:rPr>
        <w:t>Office.</w:t>
      </w:r>
    </w:p>
    <w:p w14:paraId="41276439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2"/>
          <w:tab w:val="left" w:pos="983"/>
        </w:tabs>
        <w:spacing w:before="201"/>
        <w:ind w:right="0" w:hanging="566"/>
        <w:rPr>
          <w:sz w:val="20"/>
        </w:rPr>
      </w:pPr>
      <w:r>
        <w:rPr>
          <w:sz w:val="20"/>
        </w:rPr>
        <w:t xml:space="preserve">A media statement will </w:t>
      </w:r>
      <w:r>
        <w:rPr>
          <w:spacing w:val="-3"/>
          <w:sz w:val="20"/>
        </w:rPr>
        <w:t xml:space="preserve">be </w:t>
      </w:r>
      <w:r>
        <w:rPr>
          <w:sz w:val="20"/>
        </w:rPr>
        <w:t>issued once the Order in Council has been</w:t>
      </w:r>
      <w:r>
        <w:rPr>
          <w:spacing w:val="-4"/>
          <w:sz w:val="20"/>
        </w:rPr>
        <w:t xml:space="preserve"> </w:t>
      </w:r>
      <w:r>
        <w:rPr>
          <w:sz w:val="20"/>
        </w:rPr>
        <w:t>made.</w:t>
      </w:r>
    </w:p>
    <w:p w14:paraId="1F3CBF71" w14:textId="77777777" w:rsidR="00ED38D3" w:rsidRDefault="00ED38D3">
      <w:pPr>
        <w:pStyle w:val="BodyText"/>
        <w:spacing w:before="11"/>
        <w:rPr>
          <w:sz w:val="32"/>
        </w:rPr>
      </w:pPr>
    </w:p>
    <w:p w14:paraId="788918A1" w14:textId="77777777" w:rsidR="00ED38D3" w:rsidRDefault="005614B0">
      <w:pPr>
        <w:pStyle w:val="Heading2"/>
      </w:pPr>
      <w:r>
        <w:t>Proactive Release</w:t>
      </w:r>
    </w:p>
    <w:p w14:paraId="3E82DCBD" w14:textId="77777777" w:rsidR="00ED38D3" w:rsidRDefault="00ED38D3">
      <w:pPr>
        <w:pStyle w:val="BodyText"/>
        <w:spacing w:before="1"/>
        <w:rPr>
          <w:b/>
          <w:sz w:val="19"/>
        </w:rPr>
      </w:pPr>
    </w:p>
    <w:p w14:paraId="3D5B0910" w14:textId="77777777" w:rsidR="00ED38D3" w:rsidRDefault="005614B0">
      <w:pPr>
        <w:pStyle w:val="ListParagraph"/>
        <w:numPr>
          <w:ilvl w:val="0"/>
          <w:numId w:val="1"/>
        </w:numPr>
        <w:tabs>
          <w:tab w:val="left" w:pos="983"/>
        </w:tabs>
        <w:jc w:val="both"/>
        <w:rPr>
          <w:sz w:val="20"/>
        </w:rPr>
      </w:pPr>
      <w:r>
        <w:rPr>
          <w:sz w:val="20"/>
        </w:rPr>
        <w:t xml:space="preserve">I propose to proactively release this Cabinet paper, associated minutes, and key advice papers within 30 working days of </w:t>
      </w:r>
      <w:r>
        <w:rPr>
          <w:spacing w:val="-3"/>
          <w:sz w:val="20"/>
        </w:rPr>
        <w:t xml:space="preserve">Cabinet </w:t>
      </w:r>
      <w:r>
        <w:rPr>
          <w:sz w:val="20"/>
        </w:rPr>
        <w:t>making final decisions, subject to minor redactions under the Official Information Act</w:t>
      </w:r>
      <w:r>
        <w:rPr>
          <w:spacing w:val="-13"/>
          <w:sz w:val="20"/>
        </w:rPr>
        <w:t xml:space="preserve"> </w:t>
      </w:r>
      <w:r>
        <w:rPr>
          <w:sz w:val="20"/>
        </w:rPr>
        <w:t>1982.</w:t>
      </w:r>
    </w:p>
    <w:p w14:paraId="687792D0" w14:textId="77777777" w:rsidR="00ED38D3" w:rsidRDefault="00ED38D3">
      <w:pPr>
        <w:jc w:val="both"/>
        <w:rPr>
          <w:sz w:val="20"/>
        </w:rPr>
        <w:sectPr w:rsidR="00ED38D3">
          <w:pgSz w:w="11910" w:h="16840"/>
          <w:pgMar w:top="1040" w:right="940" w:bottom="1080" w:left="1000" w:header="702" w:footer="895" w:gutter="0"/>
          <w:cols w:space="720"/>
        </w:sectPr>
      </w:pPr>
    </w:p>
    <w:p w14:paraId="4E4813E6" w14:textId="73CDFCCD" w:rsidR="00ED38D3" w:rsidRDefault="001B28A7">
      <w:pPr>
        <w:pStyle w:val="Heading2"/>
        <w:spacing w:before="9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6CD0C057" wp14:editId="3B63840F">
                <wp:simplePos x="0" y="0"/>
                <wp:positionH relativeFrom="page">
                  <wp:posOffset>880745</wp:posOffset>
                </wp:positionH>
                <wp:positionV relativeFrom="paragraph">
                  <wp:posOffset>252730</wp:posOffset>
                </wp:positionV>
                <wp:extent cx="5797550" cy="0"/>
                <wp:effectExtent l="13970" t="8255" r="8255" b="1079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F6F5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19.9pt" to="525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" strokeweight=".48pt">
                <w10:wrap type="topAndBottom" anchorx="page"/>
              </v:line>
            </w:pict>
          </mc:Fallback>
        </mc:AlternateContent>
      </w:r>
      <w:bookmarkStart w:id="7" w:name="Recommended_action"/>
      <w:bookmarkEnd w:id="7"/>
      <w:r w:rsidR="005614B0">
        <w:t>Recommended action</w:t>
      </w:r>
    </w:p>
    <w:p w14:paraId="3E302C55" w14:textId="77777777" w:rsidR="00ED38D3" w:rsidRDefault="005614B0">
      <w:pPr>
        <w:pStyle w:val="BodyText"/>
        <w:spacing w:before="168"/>
        <w:ind w:left="415"/>
      </w:pPr>
      <w:r>
        <w:t>We recommend that you:</w:t>
      </w:r>
    </w:p>
    <w:p w14:paraId="5921812F" w14:textId="77777777" w:rsidR="00ED38D3" w:rsidRDefault="00ED38D3">
      <w:pPr>
        <w:pStyle w:val="BodyText"/>
        <w:rPr>
          <w:sz w:val="24"/>
        </w:rPr>
      </w:pPr>
    </w:p>
    <w:p w14:paraId="7565CCC6" w14:textId="77777777" w:rsidR="00ED38D3" w:rsidRDefault="00ED38D3">
      <w:pPr>
        <w:pStyle w:val="BodyText"/>
        <w:spacing w:before="1"/>
        <w:rPr>
          <w:sz w:val="25"/>
        </w:rPr>
      </w:pPr>
    </w:p>
    <w:p w14:paraId="5D6DCCED" w14:textId="77777777" w:rsidR="00ED38D3" w:rsidRDefault="005614B0">
      <w:pPr>
        <w:pStyle w:val="ListParagraph"/>
        <w:numPr>
          <w:ilvl w:val="0"/>
          <w:numId w:val="1"/>
        </w:numPr>
        <w:tabs>
          <w:tab w:val="left" w:pos="1127"/>
        </w:tabs>
        <w:ind w:left="1126" w:right="471" w:hanging="710"/>
        <w:jc w:val="both"/>
        <w:rPr>
          <w:sz w:val="20"/>
        </w:rPr>
      </w:pPr>
      <w:r>
        <w:rPr>
          <w:b/>
          <w:sz w:val="20"/>
        </w:rPr>
        <w:t xml:space="preserve">Agree </w:t>
      </w:r>
      <w:r>
        <w:rPr>
          <w:sz w:val="20"/>
        </w:rPr>
        <w:t>to the release of the attached Cabinet paper and associated minutes,</w:t>
      </w:r>
      <w:r>
        <w:rPr>
          <w:spacing w:val="-46"/>
          <w:sz w:val="20"/>
        </w:rPr>
        <w:t xml:space="preserve"> </w:t>
      </w:r>
      <w:r>
        <w:rPr>
          <w:sz w:val="20"/>
        </w:rPr>
        <w:t>within 30 working days of Cabinet making final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decisions.</w:t>
      </w:r>
    </w:p>
    <w:p w14:paraId="585B89D2" w14:textId="77777777" w:rsidR="00ED38D3" w:rsidRDefault="005614B0">
      <w:pPr>
        <w:pStyle w:val="BodyText"/>
        <w:spacing w:before="200"/>
        <w:ind w:left="1126"/>
      </w:pPr>
      <w:r>
        <w:t>Agreed/Disagreed</w:t>
      </w:r>
    </w:p>
    <w:p w14:paraId="4AC32271" w14:textId="77777777" w:rsidR="00ED38D3" w:rsidRDefault="00ED38D3">
      <w:pPr>
        <w:pStyle w:val="BodyText"/>
        <w:rPr>
          <w:sz w:val="24"/>
        </w:rPr>
      </w:pPr>
    </w:p>
    <w:p w14:paraId="3B0D2B22" w14:textId="77777777" w:rsidR="00ED38D3" w:rsidRDefault="00ED38D3">
      <w:pPr>
        <w:pStyle w:val="BodyText"/>
        <w:spacing w:before="8"/>
        <w:rPr>
          <w:sz w:val="28"/>
        </w:rPr>
      </w:pPr>
    </w:p>
    <w:p w14:paraId="033C8847" w14:textId="77777777" w:rsidR="00ED38D3" w:rsidRDefault="005614B0">
      <w:pPr>
        <w:pStyle w:val="ListParagraph"/>
        <w:numPr>
          <w:ilvl w:val="0"/>
          <w:numId w:val="1"/>
        </w:numPr>
        <w:tabs>
          <w:tab w:val="left" w:pos="1127"/>
        </w:tabs>
        <w:ind w:left="1126" w:right="470" w:hanging="710"/>
        <w:jc w:val="both"/>
        <w:rPr>
          <w:sz w:val="20"/>
        </w:rPr>
      </w:pPr>
      <w:r>
        <w:rPr>
          <w:b/>
          <w:sz w:val="20"/>
        </w:rPr>
        <w:t xml:space="preserve">Approve and lodge </w:t>
      </w:r>
      <w:r>
        <w:rPr>
          <w:sz w:val="20"/>
        </w:rPr>
        <w:t xml:space="preserve">the attached Cabinet paper and advice sheet to the Cabinet Office </w:t>
      </w:r>
      <w:r>
        <w:rPr>
          <w:spacing w:val="-3"/>
          <w:sz w:val="20"/>
        </w:rPr>
        <w:t xml:space="preserve">by </w:t>
      </w:r>
      <w:r>
        <w:rPr>
          <w:sz w:val="20"/>
        </w:rPr>
        <w:t xml:space="preserve">10am, Thursday, 15 </w:t>
      </w:r>
      <w:r>
        <w:rPr>
          <w:spacing w:val="-2"/>
          <w:sz w:val="20"/>
        </w:rPr>
        <w:t xml:space="preserve">August </w:t>
      </w:r>
      <w:r>
        <w:rPr>
          <w:sz w:val="20"/>
        </w:rPr>
        <w:t xml:space="preserve">2019, for consideration at the Cabinet Legislation Committee meeting </w:t>
      </w:r>
      <w:r>
        <w:rPr>
          <w:spacing w:val="-4"/>
          <w:sz w:val="20"/>
        </w:rPr>
        <w:t xml:space="preserve">on </w:t>
      </w:r>
      <w:r>
        <w:rPr>
          <w:sz w:val="20"/>
        </w:rPr>
        <w:t>Tuesday, 20 August</w:t>
      </w:r>
      <w:r>
        <w:rPr>
          <w:spacing w:val="-4"/>
          <w:sz w:val="20"/>
        </w:rPr>
        <w:t xml:space="preserve"> </w:t>
      </w:r>
      <w:r>
        <w:rPr>
          <w:sz w:val="20"/>
        </w:rPr>
        <w:t>2019.</w:t>
      </w:r>
    </w:p>
    <w:p w14:paraId="4444C5DD" w14:textId="77777777" w:rsidR="00ED38D3" w:rsidRDefault="005614B0">
      <w:pPr>
        <w:pStyle w:val="BodyText"/>
        <w:spacing w:before="202"/>
        <w:ind w:left="1126"/>
      </w:pPr>
      <w:r>
        <w:t>Approved and lodged</w:t>
      </w:r>
    </w:p>
    <w:p w14:paraId="1D67805D" w14:textId="77777777" w:rsidR="00ED38D3" w:rsidRDefault="00ED38D3">
      <w:pPr>
        <w:pStyle w:val="BodyText"/>
      </w:pPr>
    </w:p>
    <w:p w14:paraId="26B4286F" w14:textId="77777777" w:rsidR="00ED38D3" w:rsidRDefault="00ED38D3">
      <w:pPr>
        <w:pStyle w:val="BodyText"/>
      </w:pPr>
    </w:p>
    <w:p w14:paraId="687FEA16" w14:textId="77777777" w:rsidR="00ED38D3" w:rsidRDefault="00ED38D3">
      <w:pPr>
        <w:pStyle w:val="BodyText"/>
      </w:pPr>
    </w:p>
    <w:p w14:paraId="0E443DF0" w14:textId="77777777" w:rsidR="00ED38D3" w:rsidRDefault="00ED38D3">
      <w:pPr>
        <w:pStyle w:val="BodyText"/>
        <w:spacing w:before="4"/>
        <w:rPr>
          <w:sz w:val="17"/>
        </w:rPr>
      </w:pPr>
    </w:p>
    <w:p w14:paraId="6B08E1E6" w14:textId="77777777" w:rsidR="00ED38D3" w:rsidRDefault="005614B0">
      <w:pPr>
        <w:pStyle w:val="BodyText"/>
        <w:tabs>
          <w:tab w:val="left" w:pos="2130"/>
        </w:tabs>
        <w:spacing w:before="100"/>
        <w:ind w:left="396"/>
      </w:pPr>
      <w:r>
        <w:rPr>
          <w:shd w:val="clear" w:color="auto" w:fill="BFBFBF"/>
        </w:rPr>
        <w:t>s 9(2)(a)</w:t>
      </w:r>
      <w:r>
        <w:rPr>
          <w:shd w:val="clear" w:color="auto" w:fill="BFBFBF"/>
        </w:rPr>
        <w:tab/>
      </w:r>
    </w:p>
    <w:p w14:paraId="4ECF19DB" w14:textId="77777777" w:rsidR="00ED38D3" w:rsidRDefault="005614B0">
      <w:pPr>
        <w:pStyle w:val="BodyText"/>
        <w:spacing w:before="73" w:line="276" w:lineRule="auto"/>
        <w:ind w:left="416" w:right="7594"/>
      </w:pPr>
      <w:r>
        <w:t xml:space="preserve">Team  </w:t>
      </w:r>
      <w:r>
        <w:rPr>
          <w:spacing w:val="-2"/>
        </w:rPr>
        <w:t xml:space="preserve">Leader </w:t>
      </w:r>
      <w:r>
        <w:t>Policy and</w:t>
      </w:r>
      <w:r>
        <w:rPr>
          <w:spacing w:val="18"/>
        </w:rPr>
        <w:t xml:space="preserve"> </w:t>
      </w:r>
      <w:r>
        <w:rPr>
          <w:spacing w:val="-4"/>
        </w:rPr>
        <w:t>Strategy</w:t>
      </w:r>
    </w:p>
    <w:p w14:paraId="7A1FD693" w14:textId="77777777" w:rsidR="00ED38D3" w:rsidRDefault="00ED38D3">
      <w:pPr>
        <w:pStyle w:val="BodyText"/>
        <w:rPr>
          <w:sz w:val="24"/>
        </w:rPr>
      </w:pPr>
    </w:p>
    <w:p w14:paraId="3277B472" w14:textId="77777777" w:rsidR="00ED38D3" w:rsidRDefault="00ED38D3">
      <w:pPr>
        <w:pStyle w:val="BodyText"/>
        <w:rPr>
          <w:sz w:val="24"/>
        </w:rPr>
      </w:pPr>
    </w:p>
    <w:p w14:paraId="35525ABF" w14:textId="77777777" w:rsidR="00ED38D3" w:rsidRDefault="00ED38D3">
      <w:pPr>
        <w:pStyle w:val="BodyText"/>
        <w:rPr>
          <w:sz w:val="24"/>
        </w:rPr>
      </w:pPr>
    </w:p>
    <w:p w14:paraId="3370295B" w14:textId="77777777" w:rsidR="00ED38D3" w:rsidRDefault="00ED38D3">
      <w:pPr>
        <w:pStyle w:val="BodyText"/>
        <w:rPr>
          <w:sz w:val="24"/>
        </w:rPr>
      </w:pPr>
    </w:p>
    <w:p w14:paraId="70EF44F9" w14:textId="77777777" w:rsidR="00ED38D3" w:rsidRDefault="00ED38D3">
      <w:pPr>
        <w:pStyle w:val="BodyText"/>
        <w:spacing w:before="1"/>
        <w:rPr>
          <w:sz w:val="19"/>
        </w:rPr>
      </w:pPr>
    </w:p>
    <w:p w14:paraId="2635F826" w14:textId="77777777" w:rsidR="00ED38D3" w:rsidRDefault="005614B0">
      <w:pPr>
        <w:pStyle w:val="Heading2"/>
        <w:spacing w:before="1"/>
        <w:ind w:left="416"/>
      </w:pPr>
      <w:r>
        <w:t>Hon Stuart</w:t>
      </w:r>
      <w:r>
        <w:rPr>
          <w:spacing w:val="-2"/>
        </w:rPr>
        <w:t xml:space="preserve"> </w:t>
      </w:r>
      <w:r>
        <w:t>Nash</w:t>
      </w:r>
    </w:p>
    <w:p w14:paraId="7F7D8EA9" w14:textId="77777777" w:rsidR="00ED38D3" w:rsidRDefault="005614B0">
      <w:pPr>
        <w:pStyle w:val="BodyText"/>
        <w:spacing w:before="35"/>
        <w:ind w:left="416"/>
      </w:pPr>
      <w:r>
        <w:t>Minister of Revenue</w:t>
      </w:r>
    </w:p>
    <w:p w14:paraId="0ED6E6D4" w14:textId="77777777" w:rsidR="00ED38D3" w:rsidRDefault="005614B0">
      <w:pPr>
        <w:pStyle w:val="BodyText"/>
        <w:tabs>
          <w:tab w:val="left" w:pos="1495"/>
        </w:tabs>
        <w:spacing w:before="35"/>
        <w:ind w:left="910"/>
      </w:pPr>
      <w:r>
        <w:t>/</w:t>
      </w:r>
      <w:r>
        <w:tab/>
        <w:t>/</w:t>
      </w:r>
      <w:r>
        <w:rPr>
          <w:spacing w:val="-4"/>
        </w:rPr>
        <w:t xml:space="preserve"> </w:t>
      </w:r>
      <w:r>
        <w:rPr>
          <w:spacing w:val="-3"/>
        </w:rPr>
        <w:t>2019</w:t>
      </w:r>
    </w:p>
    <w:sectPr w:rsidR="00ED38D3">
      <w:pgSz w:w="11910" w:h="16840"/>
      <w:pgMar w:top="1040" w:right="940" w:bottom="1080" w:left="1000" w:header="702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DDB11" w14:textId="77777777" w:rsidR="00B310A3" w:rsidRDefault="005614B0">
      <w:r>
        <w:separator/>
      </w:r>
    </w:p>
  </w:endnote>
  <w:endnote w:type="continuationSeparator" w:id="0">
    <w:p w14:paraId="13B793BE" w14:textId="77777777" w:rsidR="00B310A3" w:rsidRDefault="0056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2D943" w14:textId="244D988F" w:rsidR="00ED38D3" w:rsidRDefault="001B28A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32B93228" wp14:editId="77C6E50A">
              <wp:simplePos x="0" y="0"/>
              <wp:positionH relativeFrom="page">
                <wp:posOffset>3242310</wp:posOffset>
              </wp:positionH>
              <wp:positionV relativeFrom="page">
                <wp:posOffset>10307320</wp:posOffset>
              </wp:positionV>
              <wp:extent cx="1072515" cy="181610"/>
              <wp:effectExtent l="3810" t="127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84332" w14:textId="77777777" w:rsidR="00ED38D3" w:rsidRDefault="005614B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IN CONFIDENCE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932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5.3pt;margin-top:811.6pt;width:84.45pt;height:14.3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" filled="f" stroked="f">
              <v:textbox inset="0,0,0,0">
                <w:txbxContent>
                  <w:p w14:paraId="58C84332" w14:textId="77777777" w:rsidR="00ED38D3" w:rsidRDefault="005614B0">
                    <w:pPr>
                      <w:pStyle w:val="BodyText"/>
                      <w:spacing w:before="21"/>
                      <w:ind w:left="20"/>
                    </w:pPr>
                    <w:r>
                      <w:t>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4A4A" w14:textId="36A943CE" w:rsidR="00ED38D3" w:rsidRDefault="001B28A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552" behindDoc="1" locked="0" layoutInCell="1" allowOverlap="1" wp14:anchorId="1439B785" wp14:editId="510B397D">
              <wp:simplePos x="0" y="0"/>
              <wp:positionH relativeFrom="page">
                <wp:posOffset>886460</wp:posOffset>
              </wp:positionH>
              <wp:positionV relativeFrom="page">
                <wp:posOffset>9984105</wp:posOffset>
              </wp:positionV>
              <wp:extent cx="5783580" cy="269875"/>
              <wp:effectExtent l="635" t="1905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8F10" w14:textId="77777777" w:rsidR="00ED38D3" w:rsidRDefault="005614B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IR2019/350: Setting the deemed rate of return for the 2018–19 income year: Order in Council for the Cabinet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9B7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9.8pt;margin-top:786.15pt;width:455.4pt;height:21.25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" filled="f" stroked="f">
              <v:textbox inset="0,0,0,0">
                <w:txbxContent>
                  <w:p w14:paraId="554C8F10" w14:textId="77777777" w:rsidR="00ED38D3" w:rsidRDefault="005614B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IR2019/350: Setting the deemed rate of return for the 2018–19 income year: Order in Council for the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576" behindDoc="1" locked="0" layoutInCell="1" allowOverlap="1" wp14:anchorId="0542287C" wp14:editId="27CE609C">
              <wp:simplePos x="0" y="0"/>
              <wp:positionH relativeFrom="page">
                <wp:posOffset>886460</wp:posOffset>
              </wp:positionH>
              <wp:positionV relativeFrom="page">
                <wp:posOffset>10106025</wp:posOffset>
              </wp:positionV>
              <wp:extent cx="1161415" cy="147955"/>
              <wp:effectExtent l="635" t="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885F6" w14:textId="77777777" w:rsidR="00ED38D3" w:rsidRDefault="005614B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Legislation Committee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42287C" id="Text Box 3" o:spid="_x0000_s1029" type="#_x0000_t202" style="position:absolute;margin-left:69.8pt;margin-top:795.75pt;width:91.45pt;height:11.65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" filled="f" stroked="f">
              <v:textbox inset="0,0,0,0">
                <w:txbxContent>
                  <w:p w14:paraId="626885F6" w14:textId="77777777" w:rsidR="00ED38D3" w:rsidRDefault="005614B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Legislation Committee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00" behindDoc="1" locked="0" layoutInCell="1" allowOverlap="1" wp14:anchorId="5617D53E" wp14:editId="021BBF69">
              <wp:simplePos x="0" y="0"/>
              <wp:positionH relativeFrom="page">
                <wp:posOffset>6022340</wp:posOffset>
              </wp:positionH>
              <wp:positionV relativeFrom="page">
                <wp:posOffset>10106025</wp:posOffset>
              </wp:positionV>
              <wp:extent cx="621665" cy="147955"/>
              <wp:effectExtent l="2540" t="0" r="444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FAAEE" w14:textId="77777777" w:rsidR="00ED38D3" w:rsidRDefault="005614B0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17D53E" id="Text Box 2" o:spid="_x0000_s1030" type="#_x0000_t202" style="position:absolute;margin-left:474.2pt;margin-top:795.75pt;width:48.95pt;height:11.65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" filled="f" stroked="f">
              <v:textbox inset="0,0,0,0">
                <w:txbxContent>
                  <w:p w14:paraId="068FAAEE" w14:textId="77777777" w:rsidR="00ED38D3" w:rsidRDefault="005614B0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24" behindDoc="1" locked="0" layoutInCell="1" allowOverlap="1" wp14:anchorId="6B5C8E34" wp14:editId="4C93EF8E">
              <wp:simplePos x="0" y="0"/>
              <wp:positionH relativeFrom="page">
                <wp:posOffset>3242310</wp:posOffset>
              </wp:positionH>
              <wp:positionV relativeFrom="page">
                <wp:posOffset>10307320</wp:posOffset>
              </wp:positionV>
              <wp:extent cx="1073150" cy="181610"/>
              <wp:effectExtent l="381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DCCA3" w14:textId="77777777" w:rsidR="00ED38D3" w:rsidRDefault="005614B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t>IN CONFIDENCE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5C8E34" id="Text Box 1" o:spid="_x0000_s1031" type="#_x0000_t202" style="position:absolute;margin-left:255.3pt;margin-top:811.6pt;width:84.5pt;height:14.3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" filled="f" stroked="f">
              <v:textbox inset="0,0,0,0">
                <w:txbxContent>
                  <w:p w14:paraId="36CDCCA3" w14:textId="77777777" w:rsidR="00ED38D3" w:rsidRDefault="005614B0">
                    <w:pPr>
                      <w:pStyle w:val="BodyText"/>
                      <w:spacing w:before="21"/>
                      <w:ind w:left="20"/>
                    </w:pPr>
                    <w:r>
                      <w:t>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FBD4C" w14:textId="77777777" w:rsidR="00B310A3" w:rsidRDefault="005614B0">
      <w:r>
        <w:separator/>
      </w:r>
    </w:p>
  </w:footnote>
  <w:footnote w:type="continuationSeparator" w:id="0">
    <w:p w14:paraId="3919BFA9" w14:textId="77777777" w:rsidR="00B310A3" w:rsidRDefault="0056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65516" w14:textId="2FC2384D" w:rsidR="00ED38D3" w:rsidRDefault="001B28A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528" behindDoc="1" locked="0" layoutInCell="1" allowOverlap="1" wp14:anchorId="05C5E6F3" wp14:editId="0B615338">
              <wp:simplePos x="0" y="0"/>
              <wp:positionH relativeFrom="page">
                <wp:posOffset>5854700</wp:posOffset>
              </wp:positionH>
              <wp:positionV relativeFrom="page">
                <wp:posOffset>438150</wp:posOffset>
              </wp:positionV>
              <wp:extent cx="814705" cy="147955"/>
              <wp:effectExtent l="0" t="0" r="0" b="444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07659" w14:textId="77777777" w:rsidR="00ED38D3" w:rsidRDefault="005614B0">
                          <w:pPr>
                            <w:spacing w:before="1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 Confidence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5E6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1pt;margin-top:34.5pt;width:64.15pt;height:11.65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" filled="f" stroked="f">
              <v:textbox inset="0,0,0,0">
                <w:txbxContent>
                  <w:p w14:paraId="04007659" w14:textId="77777777" w:rsidR="00ED38D3" w:rsidRDefault="005614B0">
                    <w:pPr>
                      <w:spacing w:before="1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A53"/>
    <w:multiLevelType w:val="hybridMultilevel"/>
    <w:tmpl w:val="8D266EB8"/>
    <w:lvl w:ilvl="0" w:tplc="23829376">
      <w:start w:val="1"/>
      <w:numFmt w:val="decimal"/>
      <w:lvlText w:val="%1."/>
      <w:lvlJc w:val="left"/>
      <w:pPr>
        <w:ind w:left="982" w:hanging="567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en-US"/>
      </w:rPr>
    </w:lvl>
    <w:lvl w:ilvl="1" w:tplc="8F8A1098">
      <w:numFmt w:val="bullet"/>
      <w:lvlText w:val=""/>
      <w:lvlJc w:val="left"/>
      <w:pPr>
        <w:ind w:left="149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DBD06F90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3" w:tplc="59C699D8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6ACA4124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7054D168">
      <w:numFmt w:val="bullet"/>
      <w:lvlText w:val="•"/>
      <w:lvlJc w:val="left"/>
      <w:pPr>
        <w:ind w:left="5261" w:hanging="360"/>
      </w:pPr>
      <w:rPr>
        <w:rFonts w:hint="default"/>
        <w:lang w:val="en-US" w:eastAsia="en-US" w:bidi="en-US"/>
      </w:rPr>
    </w:lvl>
    <w:lvl w:ilvl="6" w:tplc="03D8C474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en-US"/>
      </w:rPr>
    </w:lvl>
    <w:lvl w:ilvl="7" w:tplc="0F9ACAA8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2DD80662">
      <w:numFmt w:val="bullet"/>
      <w:lvlText w:val="•"/>
      <w:lvlJc w:val="left"/>
      <w:pPr>
        <w:ind w:left="8083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D3"/>
    <w:rsid w:val="001B28A7"/>
    <w:rsid w:val="005614B0"/>
    <w:rsid w:val="0056253A"/>
    <w:rsid w:val="00844A04"/>
    <w:rsid w:val="00B310A3"/>
    <w:rsid w:val="00B32071"/>
    <w:rsid w:val="00DE5E6C"/>
    <w:rsid w:val="00E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0134C1"/>
  <w15:docId w15:val="{E019A502-4E3B-4A98-861B-4B090CB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105"/>
      <w:ind w:left="416" w:hanging="283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41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82" w:right="468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2"/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4B0"/>
    <w:rPr>
      <w:rFonts w:ascii="Segoe UI" w:eastAsia="Verdan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IR2019/350 – Tax policy report: Setting the deemed rate of return for the 2018–19 income year: Order in Council for the Cabinet Legislation Committee (15 July 2019)</vt:lpstr>
    </vt:vector>
  </TitlesOfParts>
  <Company>Inland Revenue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IR2019/350 – Tax policy report: Setting the deemed rate of return for the 2018–19 income year: Order in Council for the Cabinet Legislation Committee (15 July 2019)</dc:title>
  <dc:creator>Policy and Strategy</dc:creator>
  <dcterms:created xsi:type="dcterms:W3CDTF">2020-09-08T08:30:00Z</dcterms:created>
  <dcterms:modified xsi:type="dcterms:W3CDTF">2020-09-08T08:31:00Z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