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06F8DB6227464F3EB81329099A0FFA9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0385E6E" w14:textId="77777777" w:rsidR="00E430E1" w:rsidRDefault="00E430E1" w:rsidP="00E430E1">
          <w:r>
            <w:t>In Confidence</w:t>
          </w:r>
        </w:p>
      </w:sdtContent>
    </w:sdt>
    <w:p w14:paraId="6D8B7E6C" w14:textId="77777777" w:rsidR="00E430E1" w:rsidRDefault="00E430E1" w:rsidP="00E430E1"/>
    <w:p w14:paraId="1B7DD49F" w14:textId="71BDAF59" w:rsidR="00E430E1" w:rsidRDefault="00E430E1" w:rsidP="00E430E1">
      <w:r>
        <w:t>Office of the Minister of Revenue</w:t>
      </w:r>
    </w:p>
    <w:p w14:paraId="45529414" w14:textId="5C647F6D" w:rsidR="00E430E1" w:rsidRDefault="00E430E1" w:rsidP="00E430E1">
      <w:r>
        <w:t>Chair, Cabinet</w:t>
      </w:r>
      <w:r w:rsidR="000A4E14">
        <w:t xml:space="preserve"> </w:t>
      </w:r>
      <w:r w:rsidR="002A65A6">
        <w:t>Legislation</w:t>
      </w:r>
      <w:r w:rsidR="000A4E14">
        <w:t xml:space="preserve"> Committee</w:t>
      </w:r>
    </w:p>
    <w:p w14:paraId="0C07A593" w14:textId="77777777" w:rsidR="00E430E1" w:rsidRDefault="00E430E1" w:rsidP="00E430E1"/>
    <w:p w14:paraId="1C67B7DE" w14:textId="69CBC3DF" w:rsidR="00E430E1" w:rsidRPr="00125D95" w:rsidRDefault="00AA6A7A" w:rsidP="00E430E1">
      <w:pPr>
        <w:pStyle w:val="Title"/>
      </w:pPr>
      <w:r>
        <w:t>taxation (annual Rates for 2019–20, GST OFFSHORE SUPPLIER REGISTRATION, AND REMEDIAL MATTERS) bILL</w:t>
      </w:r>
      <w:r w:rsidR="00246337">
        <w:t>: approval for release of supplementary order paper</w:t>
      </w:r>
    </w:p>
    <w:p w14:paraId="520593B8" w14:textId="77777777" w:rsidR="00E430E1" w:rsidRPr="00125D95" w:rsidRDefault="00E430E1" w:rsidP="00E430E1">
      <w:pPr>
        <w:pStyle w:val="Heading1"/>
      </w:pPr>
      <w:r>
        <w:t>Proposal</w:t>
      </w:r>
    </w:p>
    <w:p w14:paraId="753E6EE3" w14:textId="112109B1" w:rsidR="001D72E1" w:rsidRDefault="00E430E1" w:rsidP="002A65A6">
      <w:pPr>
        <w:pStyle w:val="NumberedParagraphCabStandard"/>
        <w:numPr>
          <w:ilvl w:val="0"/>
          <w:numId w:val="1"/>
        </w:numPr>
      </w:pPr>
      <w:r>
        <w:t xml:space="preserve">This paper seeks </w:t>
      </w:r>
      <w:r w:rsidR="002A65A6">
        <w:t xml:space="preserve">the agreement of the Cabinet </w:t>
      </w:r>
      <w:r w:rsidR="00620A03">
        <w:t>Legislation</w:t>
      </w:r>
      <w:r w:rsidR="002A65A6">
        <w:t xml:space="preserve"> Committee (the Committee) to </w:t>
      </w:r>
      <w:r w:rsidR="00A3050D">
        <w:t xml:space="preserve">release </w:t>
      </w:r>
      <w:r w:rsidR="006436A7">
        <w:t>a</w:t>
      </w:r>
      <w:r w:rsidR="00785B5A" w:rsidRPr="00785B5A">
        <w:t xml:space="preserve"> Supplementary Order Paper</w:t>
      </w:r>
      <w:r w:rsidR="00A3050D">
        <w:t xml:space="preserve"> (SOP)</w:t>
      </w:r>
      <w:r w:rsidR="00785B5A" w:rsidRPr="00785B5A">
        <w:t xml:space="preserve"> to the Taxation (Annual Rates for 2019</w:t>
      </w:r>
      <w:r w:rsidR="00F2075E">
        <w:t>–</w:t>
      </w:r>
      <w:r w:rsidR="00785B5A" w:rsidRPr="00785B5A">
        <w:t>20, GST Offshore Supplier Registration, and Remedial Matters) Bill</w:t>
      </w:r>
      <w:r w:rsidR="00827A52">
        <w:t xml:space="preserve"> (the Bill)</w:t>
      </w:r>
      <w:r w:rsidR="00A3050D">
        <w:t xml:space="preserve"> prior to the Bill’s Committee of the whole House stage. </w:t>
      </w:r>
      <w:r w:rsidR="001D72E1">
        <w:t xml:space="preserve">The SOP primarily gives effect to </w:t>
      </w:r>
      <w:r w:rsidR="002A65A6">
        <w:t>r</w:t>
      </w:r>
      <w:r w:rsidR="001D72E1">
        <w:t xml:space="preserve">emoving an existing exemption </w:t>
      </w:r>
      <w:r w:rsidR="001D72E1" w:rsidRPr="00524497">
        <w:t xml:space="preserve">from </w:t>
      </w:r>
      <w:r w:rsidR="001D72E1">
        <w:t>the</w:t>
      </w:r>
      <w:r w:rsidR="001D72E1" w:rsidRPr="00524497">
        <w:t xml:space="preserve"> requirement to provide a person’s IRD number </w:t>
      </w:r>
      <w:r w:rsidR="00F0504A">
        <w:t>and any</w:t>
      </w:r>
      <w:r w:rsidR="001D72E1" w:rsidRPr="00524497">
        <w:t xml:space="preserve"> </w:t>
      </w:r>
      <w:r w:rsidR="001D72E1">
        <w:t>tax identification number, which currently applies</w:t>
      </w:r>
      <w:r w:rsidR="001D72E1" w:rsidRPr="00524497">
        <w:t xml:space="preserve"> when the transfer of property relates to the person’s main home</w:t>
      </w:r>
      <w:r w:rsidR="001D72E1">
        <w:t>.</w:t>
      </w:r>
      <w:r w:rsidR="001D72E1" w:rsidRPr="00524497">
        <w:t xml:space="preserve"> </w:t>
      </w:r>
    </w:p>
    <w:p w14:paraId="28A07F70" w14:textId="5088E608" w:rsidR="00A3050D" w:rsidRDefault="00A3050D" w:rsidP="001D72E1">
      <w:pPr>
        <w:pStyle w:val="NumberedParagraphCabStandard"/>
        <w:numPr>
          <w:ilvl w:val="0"/>
          <w:numId w:val="1"/>
        </w:numPr>
      </w:pPr>
      <w:r>
        <w:t>The proposed SOP introduce</w:t>
      </w:r>
      <w:r w:rsidR="006436A7">
        <w:t>s</w:t>
      </w:r>
      <w:r>
        <w:t xml:space="preserve"> amendments to </w:t>
      </w:r>
      <w:r w:rsidR="006436A7">
        <w:t xml:space="preserve">the </w:t>
      </w:r>
      <w:r w:rsidR="00704F59">
        <w:t>Land Transfer Act 2017</w:t>
      </w:r>
      <w:r w:rsidR="002A65A6">
        <w:t>, the Income Tax Act 2007 and the Goods and Services Tax Act 1985.</w:t>
      </w:r>
    </w:p>
    <w:p w14:paraId="3045C36E" w14:textId="0C0D0E2C" w:rsidR="003F2559" w:rsidRPr="003F2559" w:rsidRDefault="003F2559" w:rsidP="00785B5A">
      <w:pPr>
        <w:pStyle w:val="NumberedParagraphCabStandard"/>
        <w:rPr>
          <w:rStyle w:val="Emphasis-Bold"/>
          <w:b w:val="0"/>
        </w:rPr>
      </w:pPr>
      <w:r w:rsidRPr="003F2559">
        <w:rPr>
          <w:rStyle w:val="Emphasis-Bold"/>
          <w:b w:val="0"/>
        </w:rPr>
        <w:t xml:space="preserve">The Bill </w:t>
      </w:r>
      <w:r w:rsidR="00A3050D" w:rsidRPr="007B5757">
        <w:rPr>
          <w:rStyle w:val="Emphasis-Bold"/>
          <w:b w:val="0"/>
        </w:rPr>
        <w:t xml:space="preserve">is currently </w:t>
      </w:r>
      <w:r w:rsidR="00D37424">
        <w:rPr>
          <w:rStyle w:val="Emphasis-Bold"/>
          <w:b w:val="0"/>
        </w:rPr>
        <w:t>expected to receive</w:t>
      </w:r>
      <w:r w:rsidR="00A3050D" w:rsidRPr="007B5757">
        <w:rPr>
          <w:rStyle w:val="Emphasis-Bold"/>
          <w:b w:val="0"/>
        </w:rPr>
        <w:t xml:space="preserve"> its second reading</w:t>
      </w:r>
      <w:r w:rsidR="00D37424">
        <w:rPr>
          <w:rStyle w:val="Emphasis-Bold"/>
          <w:b w:val="0"/>
        </w:rPr>
        <w:t xml:space="preserve"> in the week beginning 10 June</w:t>
      </w:r>
      <w:r w:rsidR="00246337">
        <w:rPr>
          <w:rStyle w:val="Emphasis-Bold"/>
          <w:b w:val="0"/>
        </w:rPr>
        <w:t>, and its Committee of the whole House stage in the week beginning 17 June 2019</w:t>
      </w:r>
      <w:r w:rsidR="00A3050D">
        <w:rPr>
          <w:rStyle w:val="Emphasis-Bold"/>
          <w:b w:val="0"/>
        </w:rPr>
        <w:t>.</w:t>
      </w:r>
    </w:p>
    <w:p w14:paraId="7F672155" w14:textId="04F1237C" w:rsidR="003E39F9" w:rsidRPr="003E39F9" w:rsidRDefault="00A83A38" w:rsidP="003E39F9">
      <w:pPr>
        <w:pStyle w:val="Heading1"/>
      </w:pPr>
      <w:r>
        <w:t>Policy</w:t>
      </w:r>
    </w:p>
    <w:p w14:paraId="28C1A835" w14:textId="77777777" w:rsidR="00A83A38" w:rsidRPr="00A83A38" w:rsidRDefault="00A83A38" w:rsidP="00A83A38">
      <w:pPr>
        <w:jc w:val="left"/>
        <w:rPr>
          <w:b/>
          <w:i/>
        </w:rPr>
      </w:pPr>
      <w:r w:rsidRPr="00A83A38">
        <w:rPr>
          <w:b/>
          <w:i/>
        </w:rPr>
        <w:t>Policy item with prior Cabinet approval</w:t>
      </w:r>
    </w:p>
    <w:p w14:paraId="285EC648" w14:textId="2A8E2393" w:rsidR="00A83A38" w:rsidRPr="003F2559" w:rsidRDefault="00A83A38" w:rsidP="00A83A38">
      <w:pPr>
        <w:pStyle w:val="NumberedParagraphCabStandard"/>
        <w:numPr>
          <w:ilvl w:val="0"/>
          <w:numId w:val="0"/>
        </w:numPr>
        <w:rPr>
          <w:i/>
        </w:rPr>
      </w:pPr>
      <w:r>
        <w:rPr>
          <w:i/>
        </w:rPr>
        <w:t>Collection of IRD numbers for the transfer of main homes (</w:t>
      </w:r>
      <w:r w:rsidRPr="003F2559">
        <w:rPr>
          <w:i/>
        </w:rPr>
        <w:t>CAB-19-MIN</w:t>
      </w:r>
      <w:r w:rsidRPr="0039089F">
        <w:rPr>
          <w:i/>
        </w:rPr>
        <w:t>-</w:t>
      </w:r>
      <w:r w:rsidR="0039089F" w:rsidRPr="0039089F">
        <w:rPr>
          <w:i/>
        </w:rPr>
        <w:t>0240</w:t>
      </w:r>
      <w:r w:rsidRPr="0033793E">
        <w:rPr>
          <w:i/>
        </w:rPr>
        <w:t>, 27 May</w:t>
      </w:r>
      <w:r>
        <w:rPr>
          <w:i/>
        </w:rPr>
        <w:t>)</w:t>
      </w:r>
    </w:p>
    <w:p w14:paraId="56E98781" w14:textId="77777777" w:rsidR="00A83A38" w:rsidRDefault="00A83A38" w:rsidP="00A83A38">
      <w:pPr>
        <w:pStyle w:val="NumberedParagraphCabStandard"/>
      </w:pPr>
      <w:r>
        <w:t>The attached SOP includes a proposal to require transferors and transferees to disclose their IRD number and, if applicable, any tax identification numbers (TINs) and jurisdictions of tax residence, for a property transfer involving their main home.</w:t>
      </w:r>
    </w:p>
    <w:p w14:paraId="5800476A" w14:textId="77777777" w:rsidR="00A83A38" w:rsidRDefault="00A83A38" w:rsidP="00A83A38">
      <w:pPr>
        <w:pStyle w:val="NumberedParagraphCabStandard"/>
      </w:pPr>
      <w:r>
        <w:t>Currently, transferors (sellers) and transferees (purchasers) must each complete a Land Transfer Tax Statement when a property is transferred. This Statement generally requires them to provide their IRD number</w:t>
      </w:r>
      <w:r w:rsidRPr="00A62245">
        <w:t xml:space="preserve"> </w:t>
      </w:r>
      <w:r>
        <w:t>and if applicable, any TINs, except in those cases where the transfer is non-notifiable. The most common non-notifiable reason is when the transfer involves a person’s main home.</w:t>
      </w:r>
    </w:p>
    <w:p w14:paraId="1DC08866" w14:textId="383CF2B6" w:rsidR="00A83A38" w:rsidRDefault="00A83A38" w:rsidP="00A83A38">
      <w:pPr>
        <w:pStyle w:val="NumberedParagraphCabStandard"/>
      </w:pPr>
      <w:r>
        <w:t xml:space="preserve">This exception impacts on Inland Revenue’s ability to enforce compliance with </w:t>
      </w:r>
      <w:proofErr w:type="spellStart"/>
      <w:r w:rsidR="00F0504A">
        <w:t>brightline</w:t>
      </w:r>
      <w:proofErr w:type="spellEnd"/>
      <w:r w:rsidR="00F0504A">
        <w:t xml:space="preserve"> and other </w:t>
      </w:r>
      <w:r>
        <w:t>property tax rules, including making it more difficult to identify property speculators. In addition, it impacts on Inland Revenue’s ability to provide TINs to treaty partners for these transfers.</w:t>
      </w:r>
    </w:p>
    <w:p w14:paraId="7E3D7131" w14:textId="77777777" w:rsidR="00A83A38" w:rsidRDefault="00A83A38" w:rsidP="00A83A38">
      <w:pPr>
        <w:pStyle w:val="NumberedParagraphCabStandard"/>
      </w:pPr>
      <w:r>
        <w:lastRenderedPageBreak/>
        <w:t>The Tax Working Group recommended requiring the disclosure of IRD numbers on the Land Transfer Tax Statement when the transfer involves a main home.</w:t>
      </w:r>
    </w:p>
    <w:p w14:paraId="210B3761" w14:textId="77777777" w:rsidR="00F0504A" w:rsidRDefault="00A83A38" w:rsidP="00A83A38">
      <w:pPr>
        <w:pStyle w:val="NumberedParagraphCabStandard"/>
      </w:pPr>
      <w:r>
        <w:t xml:space="preserve">Cabinet has agreed to amend the tax statement provisions in the Land Transfer Act 2017 to require transferors and transferees to provide their IRD number and, if applicable, any TINs and jurisdictions of tax residence, when there is a property transfer involving their main home. </w:t>
      </w:r>
    </w:p>
    <w:p w14:paraId="162C513A" w14:textId="1DD3956F" w:rsidR="00A83A38" w:rsidRDefault="00A83A38" w:rsidP="00A83A38">
      <w:pPr>
        <w:pStyle w:val="NumberedParagraphCabStandard"/>
      </w:pPr>
      <w:r>
        <w:t>The proposed amendments to the Land Transfer Act 2017 include requiring an indicator as to whether the property has or is intended to be the person’s home. This indicator will assist Inland Revenue to appropriately target its compliance activities.</w:t>
      </w:r>
    </w:p>
    <w:p w14:paraId="1B643EB5" w14:textId="77777777" w:rsidR="00F0504A" w:rsidRDefault="00F0504A" w:rsidP="00F0504A">
      <w:pPr>
        <w:pStyle w:val="NumberedParagraphCabStandard"/>
      </w:pPr>
      <w:r>
        <w:t xml:space="preserve">The sale of a person’s main home is not usually taxable due to the main home exemption in the </w:t>
      </w:r>
      <w:proofErr w:type="spellStart"/>
      <w:r>
        <w:t>brightline</w:t>
      </w:r>
      <w:proofErr w:type="spellEnd"/>
      <w:r>
        <w:t xml:space="preserve"> and other property tax rules. Having an indicator will therefore assist Inland Revenue to appropriately target its follow-up compliance actions to taxpayers who are more likely to have tax to pay. Overall, this is likely to reduce administration costs for Inland Revenue and compliance costs for people who have sold their main home.</w:t>
      </w:r>
    </w:p>
    <w:p w14:paraId="59187C45" w14:textId="72542B51" w:rsidR="00F0504A" w:rsidRDefault="00F0504A" w:rsidP="00F0504A">
      <w:pPr>
        <w:pStyle w:val="NumberedParagraphCabStandard"/>
      </w:pPr>
      <w:r>
        <w:t xml:space="preserve">The main home exemption in the property tax rules is available to </w:t>
      </w:r>
      <w:proofErr w:type="gramStart"/>
      <w:r>
        <w:t>individuals, and</w:t>
      </w:r>
      <w:proofErr w:type="gramEnd"/>
      <w:r>
        <w:t xml:space="preserve"> is also available in relation to homes that are held by a trust in certain circumstances.  Accordingly, I consider that the main home indicator should apply to transfers of residential property held in trusts, in addition to transfers of property involving natural person transferors or transferees.</w:t>
      </w:r>
      <w:r w:rsidR="00246337">
        <w:t xml:space="preserve"> I therefore seek Cabinet’s approval to this change in this paper.</w:t>
      </w:r>
    </w:p>
    <w:p w14:paraId="220EA722" w14:textId="0A03A7AB" w:rsidR="00D95390" w:rsidRPr="00D95390" w:rsidRDefault="00D95390" w:rsidP="00D95390">
      <w:pPr>
        <w:pStyle w:val="NumberedParagraphCabStandard"/>
      </w:pPr>
      <w:r w:rsidRPr="00D95390">
        <w:t>The proposed amendments to the Land Transfer Act 2017 have the potential to increase compliance costs for conveyancers and their clients, due to the need to ask additional questions on the relevant forms. The Cabinet paper which sought policy approval for the proposed amendments to the Land Transfer Act 2017 noted the need to mitigate increases in compliance costs as a result of collecting IRD numbers for the transfer of main homes. Inland Revenue will consult with Land Information New Zealand (LINZ) to ensure that the amendments to the Land Transfer Act 2017 extending the main home indicator to cover trust transfers will minimise additional compliance costs.</w:t>
      </w:r>
    </w:p>
    <w:p w14:paraId="3D34CB41" w14:textId="77777777" w:rsidR="00A83A38" w:rsidRDefault="00A83A38" w:rsidP="00A83A38">
      <w:pPr>
        <w:pStyle w:val="NumberedParagraphCabStandard"/>
      </w:pPr>
      <w:r>
        <w:t>These amendments have a proposed commencement date of 1 January 2020. Transitional provisions will allow for transferors and transferees to continue to apply for a non-notifiable transfer of the main home if the contract for sale is entered into prior to 1 January 2020 and the contract is completed by 1 July 2020.</w:t>
      </w:r>
    </w:p>
    <w:p w14:paraId="5129EAE8" w14:textId="5C5BCFEA" w:rsidR="0066377A" w:rsidRPr="00A83A38" w:rsidRDefault="00A83A38" w:rsidP="0066377A">
      <w:pPr>
        <w:pStyle w:val="NumberedParagraphCabStandard"/>
        <w:numPr>
          <w:ilvl w:val="0"/>
          <w:numId w:val="0"/>
        </w:numPr>
        <w:ind w:left="709" w:hanging="709"/>
        <w:rPr>
          <w:b/>
          <w:i/>
        </w:rPr>
      </w:pPr>
      <w:r w:rsidRPr="00A83A38">
        <w:rPr>
          <w:b/>
          <w:i/>
        </w:rPr>
        <w:t>Items not requiring</w:t>
      </w:r>
      <w:r w:rsidR="0066377A" w:rsidRPr="00A83A38">
        <w:rPr>
          <w:b/>
          <w:i/>
        </w:rPr>
        <w:t xml:space="preserve"> Cabinet approval</w:t>
      </w:r>
      <w:r w:rsidRPr="00A83A38">
        <w:rPr>
          <w:b/>
          <w:i/>
        </w:rPr>
        <w:t xml:space="preserve"> (approved by the Minister of Revenue)</w:t>
      </w:r>
    </w:p>
    <w:p w14:paraId="5025A12B" w14:textId="7C5D05BB" w:rsidR="0016601C" w:rsidRDefault="00A83A38" w:rsidP="003E39F9">
      <w:pPr>
        <w:pStyle w:val="NumberedParagraphCabStandard"/>
      </w:pPr>
      <w:r>
        <w:t>I propose</w:t>
      </w:r>
      <w:r w:rsidR="0066377A">
        <w:t xml:space="preserve"> that </w:t>
      </w:r>
      <w:r w:rsidR="000D3671">
        <w:t>t</w:t>
      </w:r>
      <w:r w:rsidR="000614AC">
        <w:t>hree</w:t>
      </w:r>
      <w:r w:rsidR="0066377A">
        <w:t xml:space="preserve"> </w:t>
      </w:r>
      <w:r w:rsidR="009264FE">
        <w:t>technical</w:t>
      </w:r>
      <w:r w:rsidR="0066377A">
        <w:t xml:space="preserve"> changes in relation to the GST on low-value imported goods proposals</w:t>
      </w:r>
      <w:r>
        <w:t xml:space="preserve"> in the Bill</w:t>
      </w:r>
      <w:r w:rsidR="0066377A">
        <w:t xml:space="preserve"> be included in the SOP. These changes</w:t>
      </w:r>
      <w:r w:rsidR="002C2F66">
        <w:t xml:space="preserve"> relate to tax invoicing requirements</w:t>
      </w:r>
      <w:r w:rsidR="009575A8">
        <w:t xml:space="preserve">, </w:t>
      </w:r>
      <w:r w:rsidR="00394F63">
        <w:t>currency conversion</w:t>
      </w:r>
      <w:r w:rsidR="009575A8">
        <w:t xml:space="preserve"> rates</w:t>
      </w:r>
      <w:r w:rsidR="002C2F66">
        <w:t xml:space="preserve"> and safe harbour rules, and</w:t>
      </w:r>
      <w:r w:rsidR="0066377A">
        <w:t xml:space="preserve"> are consistent with the policy intent</w:t>
      </w:r>
      <w:r w:rsidR="002C2F66">
        <w:t xml:space="preserve"> of the </w:t>
      </w:r>
      <w:r w:rsidR="00696491">
        <w:t>wider change</w:t>
      </w:r>
      <w:r w:rsidR="002C2F66">
        <w:t>s</w:t>
      </w:r>
      <w:r w:rsidR="0066377A">
        <w:t>.</w:t>
      </w:r>
      <w:r w:rsidR="0063089D">
        <w:t xml:space="preserve"> I also propose that minor technical change</w:t>
      </w:r>
      <w:r w:rsidR="00505241">
        <w:t>s</w:t>
      </w:r>
      <w:r w:rsidR="0063089D">
        <w:t xml:space="preserve"> in relation to the ring-fencing of residential property deductions proposal</w:t>
      </w:r>
      <w:r w:rsidR="00505241">
        <w:t xml:space="preserve"> and applications for RWT exemption certificates by charitable trusts </w:t>
      </w:r>
      <w:r w:rsidR="0063089D">
        <w:t>be included in the SOP.</w:t>
      </w:r>
    </w:p>
    <w:p w14:paraId="4EA4D51F" w14:textId="71BC423A" w:rsidR="0066377A" w:rsidRPr="00AA6122" w:rsidRDefault="0066377A" w:rsidP="0066377A">
      <w:pPr>
        <w:pStyle w:val="NumberedParagraphCabStandard"/>
      </w:pPr>
      <w:r w:rsidRPr="00AA6122">
        <w:lastRenderedPageBreak/>
        <w:t xml:space="preserve">The changes are not considered significant in nature, and do not have any revenue or other fiscal effect, so reference to Cabinet is not considered necessary to confirm these changes – rather they have been approved </w:t>
      </w:r>
      <w:r w:rsidR="00A83A38">
        <w:t>in my capacity as</w:t>
      </w:r>
      <w:r w:rsidRPr="00AA6122">
        <w:t xml:space="preserve"> the Minister of Revenue.</w:t>
      </w:r>
    </w:p>
    <w:p w14:paraId="2490F2AF" w14:textId="77777777" w:rsidR="004D51A3" w:rsidRPr="00B877BE" w:rsidRDefault="00E430E1" w:rsidP="001E67A1">
      <w:pPr>
        <w:pStyle w:val="Heading1"/>
      </w:pPr>
      <w:r w:rsidRPr="00B877BE">
        <w:t>Impact Analysis</w:t>
      </w:r>
    </w:p>
    <w:p w14:paraId="11982C13" w14:textId="77777777" w:rsidR="00846D70" w:rsidRDefault="006436A7" w:rsidP="00BF2FB7">
      <w:pPr>
        <w:pStyle w:val="NumberedParagraphCabStandard"/>
      </w:pPr>
      <w:r>
        <w:t xml:space="preserve">A </w:t>
      </w:r>
      <w:r w:rsidR="001C356F">
        <w:t>R</w:t>
      </w:r>
      <w:r w:rsidR="00BF2FB7">
        <w:t>egulatory Impact Assessment</w:t>
      </w:r>
      <w:r w:rsidR="003D56F2">
        <w:t xml:space="preserve"> (RIA)</w:t>
      </w:r>
      <w:r w:rsidR="00BF2FB7">
        <w:t xml:space="preserve"> </w:t>
      </w:r>
      <w:r w:rsidR="008551A7">
        <w:t xml:space="preserve">for the </w:t>
      </w:r>
      <w:r w:rsidR="009D70F7">
        <w:rPr>
          <w:i/>
        </w:rPr>
        <w:t xml:space="preserve">Collection of IRD numbers for the transfer of main homes </w:t>
      </w:r>
      <w:r w:rsidR="008551A7">
        <w:t xml:space="preserve">policy item </w:t>
      </w:r>
      <w:r w:rsidR="00BF2FB7">
        <w:t>w</w:t>
      </w:r>
      <w:r>
        <w:t>as</w:t>
      </w:r>
      <w:r w:rsidR="00BF2FB7">
        <w:t xml:space="preserve"> prepared and </w:t>
      </w:r>
      <w:r w:rsidR="00164E33">
        <w:t>was submitted to Cabinet at the time the approval for this policy was sought.</w:t>
      </w:r>
      <w:r w:rsidR="00846D70">
        <w:t xml:space="preserve"> </w:t>
      </w:r>
    </w:p>
    <w:p w14:paraId="5B719E65" w14:textId="7916611C" w:rsidR="00BF2FB7" w:rsidRDefault="00846D70" w:rsidP="00BF2FB7">
      <w:pPr>
        <w:pStyle w:val="NumberedParagraphCabStandard"/>
      </w:pPr>
      <w:r>
        <w:t>The regulatory impact analysis requirements do not apply to the remaining items in the SOP, as the proposed changes result in little or no change to the policy in the Bill. These items involve technical “revisions” to improve legislative clarity and understanding to provide taxpayers with certainty (including the fixing of errors and oversights, the clarification of the existing legislative intent, and the reconciliation of inconsistencies).</w:t>
      </w:r>
    </w:p>
    <w:p w14:paraId="30D65D70" w14:textId="77777777" w:rsidR="00E430E1" w:rsidRDefault="00E430E1" w:rsidP="00E430E1">
      <w:pPr>
        <w:pStyle w:val="Heading1"/>
      </w:pPr>
      <w:r>
        <w:t>Compliance</w:t>
      </w:r>
    </w:p>
    <w:p w14:paraId="2ACB55E0" w14:textId="77777777" w:rsidR="00E430E1" w:rsidRDefault="00E430E1" w:rsidP="00E430E1">
      <w:pPr>
        <w:pStyle w:val="NumberedParagraphCabStandard"/>
      </w:pPr>
      <w:r>
        <w:t xml:space="preserve">The proposed </w:t>
      </w:r>
      <w:r w:rsidR="00E56FA6">
        <w:t>SOP</w:t>
      </w:r>
      <w:r>
        <w:t xml:space="preserve"> compl</w:t>
      </w:r>
      <w:r w:rsidR="003E39F9">
        <w:t>ies</w:t>
      </w:r>
      <w:r>
        <w:t xml:space="preserve"> with:</w:t>
      </w:r>
    </w:p>
    <w:p w14:paraId="55AA3117" w14:textId="77777777" w:rsidR="00E430E1" w:rsidRDefault="00E430E1" w:rsidP="00E430E1">
      <w:pPr>
        <w:pStyle w:val="NumberedParagraphCabStandard"/>
        <w:numPr>
          <w:ilvl w:val="1"/>
          <w:numId w:val="2"/>
        </w:numPr>
      </w:pPr>
      <w:r>
        <w:t>the principles of the Treaty of Waitangi;</w:t>
      </w:r>
    </w:p>
    <w:p w14:paraId="7D2A1A77" w14:textId="77777777" w:rsidR="00E430E1" w:rsidRDefault="00E430E1" w:rsidP="00E430E1">
      <w:pPr>
        <w:pStyle w:val="NumberedParagraphCabStandard"/>
        <w:numPr>
          <w:ilvl w:val="1"/>
          <w:numId w:val="2"/>
        </w:numPr>
      </w:pPr>
      <w:r>
        <w:t xml:space="preserve">the rights and freedoms contained in the New Zealand Bill of Rights Act 1990 and the Human Rights Act 1993; </w:t>
      </w:r>
    </w:p>
    <w:p w14:paraId="534642A3" w14:textId="77777777" w:rsidR="00E430E1" w:rsidRDefault="00E430E1" w:rsidP="00E430E1">
      <w:pPr>
        <w:pStyle w:val="NumberedParagraphCabStandard"/>
        <w:numPr>
          <w:ilvl w:val="1"/>
          <w:numId w:val="2"/>
        </w:numPr>
      </w:pPr>
      <w:r>
        <w:t>disclosure statement requirements (a draft revised disclosure statement for the Taxation (Annual Rates for 2019-20, GST Offshore Supplier Registration, and Remedial Matters) Bill has been prepared and is attached to this paper);</w:t>
      </w:r>
    </w:p>
    <w:p w14:paraId="49774759" w14:textId="77777777" w:rsidR="00E430E1" w:rsidRDefault="00E430E1" w:rsidP="00E430E1">
      <w:pPr>
        <w:pStyle w:val="NumberedParagraphCabStandard"/>
        <w:numPr>
          <w:ilvl w:val="1"/>
          <w:numId w:val="2"/>
        </w:numPr>
      </w:pPr>
      <w:r>
        <w:t xml:space="preserve">principles and guidelines set out in the Privacy Act 1993; </w:t>
      </w:r>
    </w:p>
    <w:p w14:paraId="7FF8FCE4" w14:textId="77777777" w:rsidR="00E430E1" w:rsidRDefault="00E430E1" w:rsidP="00E430E1">
      <w:pPr>
        <w:pStyle w:val="NumberedParagraphCabStandard"/>
        <w:numPr>
          <w:ilvl w:val="1"/>
          <w:numId w:val="2"/>
        </w:numPr>
      </w:pPr>
      <w:r>
        <w:t>relevant international standards and obligations; and</w:t>
      </w:r>
    </w:p>
    <w:p w14:paraId="0E0AB5AF" w14:textId="77777777" w:rsidR="00E430E1" w:rsidRDefault="00E430E1" w:rsidP="00E430E1">
      <w:pPr>
        <w:pStyle w:val="NumberedParagraphCabStandard"/>
        <w:numPr>
          <w:ilvl w:val="1"/>
          <w:numId w:val="2"/>
        </w:numPr>
      </w:pPr>
      <w:r>
        <w:t xml:space="preserve">the </w:t>
      </w:r>
      <w:hyperlink r:id="rId7" w:history="1">
        <w:r w:rsidRPr="009E1584">
          <w:rPr>
            <w:rStyle w:val="Hyperlink"/>
            <w:i/>
          </w:rPr>
          <w:t>Legislation Guidelines</w:t>
        </w:r>
      </w:hyperlink>
      <w:r>
        <w:rPr>
          <w:i/>
        </w:rPr>
        <w:t xml:space="preserve"> </w:t>
      </w:r>
      <w:r>
        <w:t>(2018 edition), which are maintained by the Legislation Design and Advisory Committee.</w:t>
      </w:r>
    </w:p>
    <w:p w14:paraId="3B6697FF" w14:textId="737B4910" w:rsidR="006576CA" w:rsidRDefault="00E430E1" w:rsidP="00F9119A">
      <w:pPr>
        <w:pStyle w:val="Heading1"/>
      </w:pPr>
      <w:r w:rsidRPr="00C65945">
        <w:t>Consultation</w:t>
      </w:r>
    </w:p>
    <w:p w14:paraId="69E1D4FF" w14:textId="77777777" w:rsidR="006576CA" w:rsidRPr="006576CA" w:rsidRDefault="006576CA" w:rsidP="006576CA">
      <w:pPr>
        <w:pStyle w:val="Heading2"/>
      </w:pPr>
      <w:r>
        <w:t>Relevant government departments or other public bodies</w:t>
      </w:r>
    </w:p>
    <w:p w14:paraId="57AE2827" w14:textId="578E37A3" w:rsidR="00CC4E46" w:rsidRDefault="00F9119A" w:rsidP="00846D70">
      <w:pPr>
        <w:pStyle w:val="NumberedParagraphCabStandard"/>
        <w:numPr>
          <w:ilvl w:val="0"/>
          <w:numId w:val="1"/>
        </w:numPr>
      </w:pPr>
      <w:r w:rsidRPr="00D604A3">
        <w:t>The Treasury</w:t>
      </w:r>
      <w:r w:rsidR="00846D70">
        <w:t xml:space="preserve">, </w:t>
      </w:r>
      <w:r w:rsidR="00393E25">
        <w:t>Land Information New Zealand</w:t>
      </w:r>
      <w:r w:rsidR="00A62245">
        <w:t>, Statistics New Zealand</w:t>
      </w:r>
      <w:r w:rsidR="002C5A6B">
        <w:t xml:space="preserve"> </w:t>
      </w:r>
      <w:r w:rsidR="00A62245">
        <w:t xml:space="preserve">and the Office of the Privacy Commissioner </w:t>
      </w:r>
      <w:r w:rsidR="002C5A6B">
        <w:t>w</w:t>
      </w:r>
      <w:r w:rsidR="00A62245">
        <w:t>ere</w:t>
      </w:r>
      <w:r w:rsidR="002C5A6B">
        <w:t xml:space="preserve"> consulted on the proposal to require the disclosure of IRD numbers and TINs when transferring main homes.</w:t>
      </w:r>
      <w:r w:rsidR="00CC4E46" w:rsidRPr="00D604A3">
        <w:t xml:space="preserve"> </w:t>
      </w:r>
    </w:p>
    <w:p w14:paraId="4F47409A" w14:textId="3F98643F" w:rsidR="006576CA" w:rsidRDefault="009D5E02" w:rsidP="006576CA">
      <w:pPr>
        <w:pStyle w:val="NumberedParagraphCabStandard"/>
        <w:numPr>
          <w:ilvl w:val="0"/>
          <w:numId w:val="0"/>
        </w:numPr>
        <w:ind w:left="709" w:hanging="709"/>
        <w:rPr>
          <w:b/>
          <w:i/>
        </w:rPr>
      </w:pPr>
      <w:r>
        <w:rPr>
          <w:b/>
          <w:i/>
        </w:rPr>
        <w:t>Relevant private sector organisation</w:t>
      </w:r>
      <w:r w:rsidR="007C6558">
        <w:rPr>
          <w:b/>
          <w:i/>
        </w:rPr>
        <w:t>s</w:t>
      </w:r>
      <w:r w:rsidR="006576CA">
        <w:rPr>
          <w:b/>
          <w:i/>
        </w:rPr>
        <w:t xml:space="preserve"> and public consultation processes</w:t>
      </w:r>
    </w:p>
    <w:p w14:paraId="73C484A0" w14:textId="6F91E648" w:rsidR="00A62245" w:rsidRPr="006576CA" w:rsidRDefault="00A62245" w:rsidP="00A62245">
      <w:pPr>
        <w:pStyle w:val="NumberedParagraphCabStandard"/>
        <w:numPr>
          <w:ilvl w:val="0"/>
          <w:numId w:val="1"/>
        </w:numPr>
      </w:pPr>
      <w:r>
        <w:t xml:space="preserve">Officials are undertaking consultation with key stakeholders </w:t>
      </w:r>
      <w:r w:rsidR="00846D70">
        <w:t>on</w:t>
      </w:r>
      <w:r>
        <w:t xml:space="preserve"> the proposal to require the disclosure of IRD numbers and any TINs when transferring a main home. These stakeholders include the New Zealand Law Society, Auckland District Law Society and Chartered Accountants Australia and New Zealand (CA ANZ). </w:t>
      </w:r>
    </w:p>
    <w:p w14:paraId="3A5E60AC" w14:textId="77777777" w:rsidR="001D69F7" w:rsidRDefault="00F70610" w:rsidP="00F70610">
      <w:pPr>
        <w:pStyle w:val="Heading2"/>
      </w:pPr>
      <w:r>
        <w:lastRenderedPageBreak/>
        <w:t>The government caucus and other parties represented in Parliament</w:t>
      </w:r>
    </w:p>
    <w:p w14:paraId="51AF8A83" w14:textId="77777777" w:rsidR="00E430E1" w:rsidRDefault="00E430E1" w:rsidP="00E430E1">
      <w:pPr>
        <w:pStyle w:val="NumberedParagraphCabStandard"/>
      </w:pPr>
      <w:r>
        <w:t>Caucus, coalition and support party consultation will be undertaken on th</w:t>
      </w:r>
      <w:r w:rsidR="00B578AB">
        <w:t>e</w:t>
      </w:r>
      <w:r>
        <w:t xml:space="preserve"> </w:t>
      </w:r>
      <w:r w:rsidR="00E56FA6">
        <w:t>SOP</w:t>
      </w:r>
      <w:r>
        <w:t xml:space="preserve"> prior to </w:t>
      </w:r>
      <w:r w:rsidR="00506594">
        <w:t>its</w:t>
      </w:r>
      <w:r>
        <w:t xml:space="preserve"> proposed release. </w:t>
      </w:r>
    </w:p>
    <w:p w14:paraId="5661B03C" w14:textId="77777777" w:rsidR="00E430E1" w:rsidRDefault="00E430E1" w:rsidP="00E430E1">
      <w:pPr>
        <w:pStyle w:val="Heading1"/>
      </w:pPr>
      <w:r>
        <w:t>Binding on the Crown</w:t>
      </w:r>
    </w:p>
    <w:p w14:paraId="7CB2D62B" w14:textId="5D13393A" w:rsidR="00E430E1" w:rsidRDefault="00683FE1" w:rsidP="00E430E1">
      <w:pPr>
        <w:pStyle w:val="NumberedParagraphCabStandard"/>
      </w:pPr>
      <w:r>
        <w:t xml:space="preserve">The </w:t>
      </w:r>
      <w:r w:rsidR="00506594">
        <w:t>Land Transfer Act 2017</w:t>
      </w:r>
      <w:r w:rsidR="00266541">
        <w:t xml:space="preserve">, Income Tax Act 2007 and Goods and Services Tax Act 1985 </w:t>
      </w:r>
      <w:r>
        <w:t>are</w:t>
      </w:r>
      <w:r w:rsidR="00E430E1">
        <w:t xml:space="preserve"> bind</w:t>
      </w:r>
      <w:r>
        <w:t>ing on</w:t>
      </w:r>
      <w:r w:rsidR="00E430E1">
        <w:t xml:space="preserve"> the Crown. Th</w:t>
      </w:r>
      <w:r w:rsidR="00A46C8E">
        <w:t>e</w:t>
      </w:r>
      <w:r w:rsidR="00E430E1">
        <w:t xml:space="preserve"> </w:t>
      </w:r>
      <w:r w:rsidR="00E56FA6">
        <w:t>SOP</w:t>
      </w:r>
      <w:r w:rsidR="00E430E1">
        <w:t xml:space="preserve"> do</w:t>
      </w:r>
      <w:r w:rsidR="00506594">
        <w:t>es</w:t>
      </w:r>
      <w:r w:rsidR="00E430E1">
        <w:t xml:space="preserve"> not alter the status quo in this respect – the amendments will follow the position of the principal Acts.</w:t>
      </w:r>
    </w:p>
    <w:p w14:paraId="73CF30CB" w14:textId="77777777" w:rsidR="00E430E1" w:rsidRDefault="00E430E1" w:rsidP="00E430E1">
      <w:pPr>
        <w:pStyle w:val="Heading1"/>
      </w:pPr>
      <w:r>
        <w:t>Creating new agencies or amending law relating to existing agencies</w:t>
      </w:r>
    </w:p>
    <w:p w14:paraId="6E8FE1A4" w14:textId="77777777" w:rsidR="00E430E1" w:rsidRDefault="00E430E1" w:rsidP="00E430E1">
      <w:pPr>
        <w:pStyle w:val="NumberedParagraphCabStandard"/>
      </w:pPr>
      <w:r>
        <w:t xml:space="preserve">The </w:t>
      </w:r>
      <w:r w:rsidR="00E56FA6">
        <w:t>SOP</w:t>
      </w:r>
      <w:r>
        <w:t xml:space="preserve"> will not create a new agency.</w:t>
      </w:r>
    </w:p>
    <w:p w14:paraId="20D04133" w14:textId="77777777" w:rsidR="00E430E1" w:rsidRDefault="00E430E1" w:rsidP="00E430E1">
      <w:pPr>
        <w:pStyle w:val="NumberedParagraphCabStandard"/>
      </w:pPr>
      <w:r>
        <w:t xml:space="preserve">The </w:t>
      </w:r>
      <w:r w:rsidR="00E56FA6">
        <w:t>SOP</w:t>
      </w:r>
      <w:r>
        <w:t xml:space="preserve"> will not amend the existing coverage of the Ombudsman Act 1975, the Official Information Act 1982, or the Local Government Official Information and Meetings Act 1987.</w:t>
      </w:r>
    </w:p>
    <w:p w14:paraId="7061F54D" w14:textId="77777777" w:rsidR="00E430E1" w:rsidRDefault="00E430E1" w:rsidP="00E430E1">
      <w:pPr>
        <w:pStyle w:val="Heading1"/>
      </w:pPr>
      <w:r>
        <w:t>Allocation of decision-making powers</w:t>
      </w:r>
    </w:p>
    <w:p w14:paraId="790C7884" w14:textId="77777777" w:rsidR="00E430E1" w:rsidRDefault="00E430E1" w:rsidP="00E430E1">
      <w:pPr>
        <w:pStyle w:val="NumberedParagraphCabStandard"/>
      </w:pPr>
      <w:r>
        <w:t xml:space="preserve">The </w:t>
      </w:r>
      <w:r w:rsidR="007F4871">
        <w:t>SOP</w:t>
      </w:r>
      <w:r>
        <w:t xml:space="preserve"> do</w:t>
      </w:r>
      <w:r w:rsidR="00506594">
        <w:t>es</w:t>
      </w:r>
      <w:r>
        <w:t xml:space="preserve"> not involve the allocation of decision-making powers between the executive, the courts, and tribunals.</w:t>
      </w:r>
    </w:p>
    <w:p w14:paraId="6E784F5E" w14:textId="77777777" w:rsidR="00E430E1" w:rsidRDefault="00E430E1" w:rsidP="00E430E1">
      <w:pPr>
        <w:pStyle w:val="Heading1"/>
      </w:pPr>
      <w:r>
        <w:t>Associated regulations</w:t>
      </w:r>
    </w:p>
    <w:p w14:paraId="1889CD40" w14:textId="64C616CA" w:rsidR="00E430E1" w:rsidRDefault="00E430E1" w:rsidP="00E430E1">
      <w:pPr>
        <w:pStyle w:val="NumberedParagraphCabStandard"/>
      </w:pPr>
      <w:r w:rsidRPr="00B877BE">
        <w:t>No regulations are required to bring the proposed legislation into operation</w:t>
      </w:r>
      <w:r w:rsidR="00846D70">
        <w:t>.</w:t>
      </w:r>
    </w:p>
    <w:p w14:paraId="7993CCB7" w14:textId="77777777" w:rsidR="00E430E1" w:rsidRDefault="00E430E1" w:rsidP="00E430E1">
      <w:pPr>
        <w:pStyle w:val="Heading1"/>
      </w:pPr>
      <w:r>
        <w:t>Other instruments</w:t>
      </w:r>
    </w:p>
    <w:p w14:paraId="362178B9" w14:textId="6B65A984" w:rsidR="00E430E1" w:rsidRDefault="00E430E1" w:rsidP="00E430E1">
      <w:pPr>
        <w:pStyle w:val="NumberedParagraphCabStandard"/>
      </w:pPr>
      <w:r>
        <w:t xml:space="preserve">The </w:t>
      </w:r>
      <w:r w:rsidR="007F4871">
        <w:t>SOP</w:t>
      </w:r>
      <w:r>
        <w:t xml:space="preserve"> do</w:t>
      </w:r>
      <w:r w:rsidR="00506594">
        <w:t>es</w:t>
      </w:r>
      <w:r>
        <w:t xml:space="preserve"> not include provisions empowering the making of other instruments</w:t>
      </w:r>
      <w:r w:rsidR="00B877BE">
        <w:t xml:space="preserve"> that are deemed to be legislative instruments</w:t>
      </w:r>
      <w:r>
        <w:t xml:space="preserve"> </w:t>
      </w:r>
      <w:r w:rsidR="00B877BE">
        <w:t>or disallowable instruments (or both).</w:t>
      </w:r>
    </w:p>
    <w:p w14:paraId="3D212EF1" w14:textId="77777777" w:rsidR="00E430E1" w:rsidRDefault="00E430E1" w:rsidP="00E430E1">
      <w:pPr>
        <w:pStyle w:val="Heading1"/>
      </w:pPr>
      <w:r>
        <w:t>Definition of Minister/department</w:t>
      </w:r>
    </w:p>
    <w:p w14:paraId="3D12B64F" w14:textId="77777777" w:rsidR="00E430E1" w:rsidRDefault="00E430E1" w:rsidP="00E430E1">
      <w:pPr>
        <w:pStyle w:val="NumberedParagraphCabStandard"/>
      </w:pPr>
      <w:r>
        <w:t xml:space="preserve">The </w:t>
      </w:r>
      <w:r w:rsidR="007F4871">
        <w:t>SOP</w:t>
      </w:r>
      <w:r>
        <w:t xml:space="preserve"> do</w:t>
      </w:r>
      <w:r w:rsidR="00506594">
        <w:t>es</w:t>
      </w:r>
      <w:r>
        <w:t xml:space="preserve"> not contain a definition of Minister, department, or chief executive.</w:t>
      </w:r>
    </w:p>
    <w:p w14:paraId="11E8B79D" w14:textId="77777777" w:rsidR="00E63594" w:rsidRDefault="00164E33" w:rsidP="00E430E1">
      <w:pPr>
        <w:pStyle w:val="Heading1"/>
      </w:pPr>
      <w:r w:rsidRPr="00164E33">
        <w:t>Commencement of legislation</w:t>
      </w:r>
    </w:p>
    <w:p w14:paraId="27D8BD61" w14:textId="2924799D" w:rsidR="00164E33" w:rsidRDefault="009A4D0A" w:rsidP="00E63594">
      <w:pPr>
        <w:pStyle w:val="NumberedParagraphCabStandard"/>
      </w:pPr>
      <w:r>
        <w:t xml:space="preserve">Each provision of the SOP comes into force on the date specified for the particular provision. </w:t>
      </w:r>
      <w:r w:rsidR="00846D70">
        <w:t>T</w:t>
      </w:r>
      <w:r>
        <w:t>he proposal to require the disclosure of IRD numbers for the transfer of main homes would come into force on 1 January 2020.</w:t>
      </w:r>
    </w:p>
    <w:p w14:paraId="40E606AF" w14:textId="77777777" w:rsidR="00E430E1" w:rsidRPr="00B877BE" w:rsidRDefault="00E430E1" w:rsidP="00E430E1">
      <w:pPr>
        <w:pStyle w:val="Heading1"/>
      </w:pPr>
      <w:r w:rsidRPr="00B877BE">
        <w:t>Parliamentary stages</w:t>
      </w:r>
    </w:p>
    <w:p w14:paraId="539B3640" w14:textId="166FA7E4" w:rsidR="00C31A55" w:rsidRPr="00B877BE" w:rsidRDefault="00846D70" w:rsidP="00D2422E">
      <w:pPr>
        <w:pStyle w:val="NumberedParagraphCabStandard"/>
        <w:tabs>
          <w:tab w:val="num" w:pos="1418"/>
        </w:tabs>
      </w:pPr>
      <w:bookmarkStart w:id="1" w:name="_Hlk536085798"/>
      <w:r>
        <w:t>I</w:t>
      </w:r>
      <w:r w:rsidR="00E430E1" w:rsidRPr="00B877BE">
        <w:t xml:space="preserve"> propose the </w:t>
      </w:r>
      <w:r w:rsidR="007F4871" w:rsidRPr="00B877BE">
        <w:t>SOP</w:t>
      </w:r>
      <w:r w:rsidR="00E430E1" w:rsidRPr="00B877BE">
        <w:t xml:space="preserve"> should be released as soon as possible following Cabinet approval</w:t>
      </w:r>
      <w:r w:rsidR="00B877BE" w:rsidRPr="00B877BE">
        <w:t>, ideally on 18 June.</w:t>
      </w:r>
      <w:r w:rsidR="00E430E1" w:rsidRPr="00B877BE">
        <w:t xml:space="preserve"> </w:t>
      </w:r>
      <w:r w:rsidR="00B877BE" w:rsidRPr="00B877BE">
        <w:t>T</w:t>
      </w:r>
      <w:r w:rsidR="009264FE" w:rsidRPr="00B877BE">
        <w:t xml:space="preserve">he </w:t>
      </w:r>
      <w:r w:rsidR="00737838" w:rsidRPr="00B877BE">
        <w:t xml:space="preserve">Bill </w:t>
      </w:r>
      <w:r w:rsidR="00B877BE" w:rsidRPr="00B877BE">
        <w:t xml:space="preserve">is expected to have </w:t>
      </w:r>
      <w:r w:rsidR="00737838" w:rsidRPr="00B877BE">
        <w:t xml:space="preserve">its Committee of the </w:t>
      </w:r>
      <w:r w:rsidR="007E00C4" w:rsidRPr="00B877BE">
        <w:t>w</w:t>
      </w:r>
      <w:r w:rsidR="00737838" w:rsidRPr="00B877BE">
        <w:t xml:space="preserve">hole House </w:t>
      </w:r>
      <w:r w:rsidR="007E00C4" w:rsidRPr="00B877BE">
        <w:t>s</w:t>
      </w:r>
      <w:r w:rsidR="00737838" w:rsidRPr="00B877BE">
        <w:t>tage</w:t>
      </w:r>
      <w:bookmarkEnd w:id="1"/>
      <w:r w:rsidR="00B877BE" w:rsidRPr="00B877BE">
        <w:t xml:space="preserve"> between 18 and 20 June.</w:t>
      </w:r>
    </w:p>
    <w:p w14:paraId="047D0474" w14:textId="77777777" w:rsidR="001C356F" w:rsidRPr="00250108" w:rsidRDefault="001C356F" w:rsidP="001C356F">
      <w:pPr>
        <w:pStyle w:val="NumberedParagraphCabStandard"/>
        <w:numPr>
          <w:ilvl w:val="0"/>
          <w:numId w:val="0"/>
        </w:numPr>
        <w:tabs>
          <w:tab w:val="num" w:pos="1418"/>
        </w:tabs>
        <w:rPr>
          <w:b/>
        </w:rPr>
      </w:pPr>
      <w:r>
        <w:rPr>
          <w:b/>
        </w:rPr>
        <w:t>Gender and Disability implications</w:t>
      </w:r>
    </w:p>
    <w:p w14:paraId="4B208964" w14:textId="77777777" w:rsidR="001C356F" w:rsidRPr="00D71AC0" w:rsidRDefault="001C356F" w:rsidP="001C356F">
      <w:pPr>
        <w:pStyle w:val="NumberedParagraphCabStandard"/>
      </w:pPr>
      <w:r>
        <w:t>The proposal</w:t>
      </w:r>
      <w:r w:rsidR="00C87EC7">
        <w:t>s</w:t>
      </w:r>
      <w:r>
        <w:t xml:space="preserve"> </w:t>
      </w:r>
      <w:r w:rsidR="00524497">
        <w:t>do</w:t>
      </w:r>
      <w:r>
        <w:t xml:space="preserve"> not have gender or disability implications.</w:t>
      </w:r>
    </w:p>
    <w:p w14:paraId="3A43A475" w14:textId="77777777" w:rsidR="00364B94" w:rsidRDefault="00E430E1" w:rsidP="00E430E1">
      <w:pPr>
        <w:pStyle w:val="Heading1"/>
      </w:pPr>
      <w:bookmarkStart w:id="2" w:name="_Hlk8831273"/>
      <w:r w:rsidRPr="00C65945">
        <w:lastRenderedPageBreak/>
        <w:t>P</w:t>
      </w:r>
      <w:r w:rsidR="00364B94">
        <w:t>ublicity</w:t>
      </w:r>
    </w:p>
    <w:p w14:paraId="2528AF44" w14:textId="775A37AD" w:rsidR="00F11622" w:rsidRPr="00220144" w:rsidRDefault="00F11622" w:rsidP="00F11622">
      <w:pPr>
        <w:pStyle w:val="NumberedParagraphCabStandard"/>
      </w:pPr>
      <w:r w:rsidRPr="00220144">
        <w:t xml:space="preserve">The Minister of Revenue will make an announcement on the contents of the SOP when the SOP is </w:t>
      </w:r>
      <w:r w:rsidR="000D37BB">
        <w:t>releas</w:t>
      </w:r>
      <w:r w:rsidRPr="00220144">
        <w:t xml:space="preserve">ed. Inland Revenue will include details of the new legislation in a </w:t>
      </w:r>
      <w:r w:rsidRPr="00220144">
        <w:rPr>
          <w:i/>
        </w:rPr>
        <w:t>Tax Information Bulletin</w:t>
      </w:r>
      <w:r w:rsidRPr="00220144">
        <w:t xml:space="preserve"> after the Bill is enacted.</w:t>
      </w:r>
    </w:p>
    <w:bookmarkEnd w:id="2"/>
    <w:p w14:paraId="04A86B15" w14:textId="77777777" w:rsidR="00E430E1" w:rsidRPr="00C65945" w:rsidRDefault="00364B94" w:rsidP="00E430E1">
      <w:pPr>
        <w:pStyle w:val="Heading1"/>
      </w:pPr>
      <w:r>
        <w:t>P</w:t>
      </w:r>
      <w:r w:rsidR="00E430E1">
        <w:t>roactive Release</w:t>
      </w:r>
    </w:p>
    <w:p w14:paraId="4C20B495" w14:textId="14B4EAC3" w:rsidR="00E430E1" w:rsidRDefault="00846D70" w:rsidP="00E430E1">
      <w:pPr>
        <w:pStyle w:val="NumberedParagraphCabStandard"/>
      </w:pPr>
      <w:r>
        <w:t>I</w:t>
      </w:r>
      <w:r w:rsidR="00E430E1">
        <w:t xml:space="preserve"> propose to proactively release this Cabinet paper, and associated minutes in whole within 30 working days of Cabinet making final decisions</w:t>
      </w:r>
      <w:r w:rsidR="007549F6">
        <w:t>, subject to redactions under the Official Information Act 1982.</w:t>
      </w:r>
    </w:p>
    <w:p w14:paraId="1DBC9B90" w14:textId="38E741CE" w:rsidR="00E430E1" w:rsidRDefault="00E430E1" w:rsidP="00E430E1">
      <w:pPr>
        <w:pStyle w:val="Heading1"/>
      </w:pPr>
      <w:r w:rsidRPr="00C65945">
        <w:t>Recommendations</w:t>
      </w:r>
    </w:p>
    <w:p w14:paraId="67A89836" w14:textId="130DFBFB" w:rsidR="00E430E1" w:rsidRDefault="00E430E1" w:rsidP="00E430E1">
      <w:r>
        <w:t>The Minister</w:t>
      </w:r>
      <w:r w:rsidR="00F66838">
        <w:t xml:space="preserve"> of </w:t>
      </w:r>
      <w:r>
        <w:t>Revenue</w:t>
      </w:r>
      <w:r w:rsidR="00F66838">
        <w:t xml:space="preserve"> </w:t>
      </w:r>
      <w:r>
        <w:t>recommend</w:t>
      </w:r>
      <w:r w:rsidR="00846D70">
        <w:t>s</w:t>
      </w:r>
      <w:r>
        <w:t xml:space="preserve"> that the Cabinet </w:t>
      </w:r>
      <w:sdt>
        <w:sdtPr>
          <w:alias w:val="Cabinet Committee"/>
          <w:tag w:val="Cabinet Committee"/>
          <w:id w:val="372969618"/>
          <w:placeholder>
            <w:docPart w:val="6C477FFFC8E34634A3034CF3650D9D1D"/>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846D70">
            <w:t>Legislation</w:t>
          </w:r>
        </w:sdtContent>
      </w:sdt>
      <w:r>
        <w:t xml:space="preserve"> Committee:</w:t>
      </w:r>
    </w:p>
    <w:p w14:paraId="081852BA" w14:textId="168E3A0F" w:rsidR="00D9181C" w:rsidRDefault="00524497" w:rsidP="0063089D">
      <w:pPr>
        <w:pStyle w:val="NumberedParagraphCabStandard"/>
        <w:numPr>
          <w:ilvl w:val="0"/>
          <w:numId w:val="9"/>
        </w:numPr>
        <w:tabs>
          <w:tab w:val="num" w:pos="1418"/>
        </w:tabs>
      </w:pPr>
      <w:r w:rsidRPr="0063089D">
        <w:rPr>
          <w:b/>
        </w:rPr>
        <w:t>N</w:t>
      </w:r>
      <w:r w:rsidR="00D9181C" w:rsidRPr="0063089D">
        <w:rPr>
          <w:b/>
        </w:rPr>
        <w:t xml:space="preserve">ote </w:t>
      </w:r>
      <w:r w:rsidR="00D9181C" w:rsidRPr="00524497">
        <w:t xml:space="preserve">that </w:t>
      </w:r>
      <w:r w:rsidR="00533272" w:rsidRPr="00524497">
        <w:t xml:space="preserve">to improve property </w:t>
      </w:r>
      <w:r w:rsidR="008A506E" w:rsidRPr="00524497">
        <w:t xml:space="preserve">tax compliance and enforcement, </w:t>
      </w:r>
      <w:r w:rsidR="00D9181C" w:rsidRPr="00524497">
        <w:t xml:space="preserve">Cabinet has agreed to remove </w:t>
      </w:r>
      <w:r w:rsidR="00533272" w:rsidRPr="00524497">
        <w:t>an</w:t>
      </w:r>
      <w:r w:rsidR="00D9181C" w:rsidRPr="00524497">
        <w:t xml:space="preserve"> exemption from</w:t>
      </w:r>
      <w:r w:rsidR="008A506E" w:rsidRPr="00524497">
        <w:t xml:space="preserve"> </w:t>
      </w:r>
      <w:r w:rsidR="004C1DE3">
        <w:t>the</w:t>
      </w:r>
      <w:r w:rsidR="008A506E" w:rsidRPr="00524497">
        <w:t xml:space="preserve"> requirement to</w:t>
      </w:r>
      <w:r w:rsidR="00D9181C" w:rsidRPr="00524497">
        <w:t xml:space="preserve"> provid</w:t>
      </w:r>
      <w:r w:rsidR="008A506E" w:rsidRPr="00524497">
        <w:t>e</w:t>
      </w:r>
      <w:r w:rsidR="00D9181C" w:rsidRPr="00524497">
        <w:t xml:space="preserve"> a </w:t>
      </w:r>
      <w:r w:rsidR="00D643CD" w:rsidRPr="00524497">
        <w:t>person’s</w:t>
      </w:r>
      <w:r w:rsidR="00D9181C" w:rsidRPr="00524497">
        <w:t xml:space="preserve"> IRD number </w:t>
      </w:r>
      <w:r w:rsidR="00A3558D" w:rsidRPr="00524497">
        <w:t>or</w:t>
      </w:r>
      <w:r w:rsidR="00D9181C" w:rsidRPr="00524497">
        <w:t xml:space="preserve"> </w:t>
      </w:r>
      <w:r w:rsidR="001D72E1">
        <w:t>tax identification number</w:t>
      </w:r>
      <w:r w:rsidR="00D9181C" w:rsidRPr="00524497">
        <w:t xml:space="preserve"> (and jurisdiction of tax residence) when the transfer of property relates to the person’s main home</w:t>
      </w:r>
      <w:r w:rsidR="002F1F55" w:rsidRPr="00524497">
        <w:t xml:space="preserve"> (CAB</w:t>
      </w:r>
      <w:r w:rsidR="00334AA5" w:rsidRPr="00524497">
        <w:t>-19-</w:t>
      </w:r>
      <w:r w:rsidR="002F1F55" w:rsidRPr="00524497">
        <w:t>M</w:t>
      </w:r>
      <w:r w:rsidR="00334AA5" w:rsidRPr="00524497">
        <w:t>IN-</w:t>
      </w:r>
      <w:r w:rsidR="0039089F" w:rsidRPr="0039089F">
        <w:t>0240</w:t>
      </w:r>
      <w:r w:rsidR="00334AA5" w:rsidRPr="00524497">
        <w:t xml:space="preserve"> refers</w:t>
      </w:r>
      <w:r w:rsidR="002F1F55" w:rsidRPr="00524497">
        <w:t>)</w:t>
      </w:r>
      <w:r>
        <w:t>.</w:t>
      </w:r>
    </w:p>
    <w:p w14:paraId="5F430EB2" w14:textId="77777777" w:rsidR="00F0504A" w:rsidRDefault="00F0504A" w:rsidP="00F0504A">
      <w:pPr>
        <w:pStyle w:val="NumberedParagraphCabStandard"/>
        <w:numPr>
          <w:ilvl w:val="0"/>
          <w:numId w:val="9"/>
        </w:numPr>
        <w:tabs>
          <w:tab w:val="num" w:pos="1418"/>
        </w:tabs>
      </w:pPr>
      <w:r>
        <w:rPr>
          <w:b/>
        </w:rPr>
        <w:t xml:space="preserve">Note </w:t>
      </w:r>
      <w:r>
        <w:t xml:space="preserve">that Cabinet has previously agreed to </w:t>
      </w:r>
      <w:r>
        <w:rPr>
          <w:rStyle w:val="Emphasis-Bold"/>
          <w:b w:val="0"/>
        </w:rPr>
        <w:t>retain an indicator on the Land Transfer Tax Statement to identify where it is a person’s main home.</w:t>
      </w:r>
    </w:p>
    <w:p w14:paraId="76A2D144" w14:textId="2A979935" w:rsidR="00F0504A" w:rsidRPr="0063089D" w:rsidRDefault="00F0504A" w:rsidP="00F0504A">
      <w:pPr>
        <w:pStyle w:val="NumberedParagraphCabStandard"/>
        <w:numPr>
          <w:ilvl w:val="0"/>
          <w:numId w:val="9"/>
        </w:numPr>
        <w:tabs>
          <w:tab w:val="num" w:pos="1418"/>
        </w:tabs>
      </w:pPr>
      <w:r>
        <w:rPr>
          <w:b/>
        </w:rPr>
        <w:t xml:space="preserve">Agree </w:t>
      </w:r>
      <w:r>
        <w:t>that the main home indicator should apply to transfers by both natural persons and for transfers of property held in a trust.</w:t>
      </w:r>
    </w:p>
    <w:p w14:paraId="282A6A03" w14:textId="07372061" w:rsidR="00524497" w:rsidRPr="00524497" w:rsidRDefault="00524497" w:rsidP="00524497">
      <w:pPr>
        <w:pStyle w:val="NumberedParagraphCabStandard"/>
        <w:numPr>
          <w:ilvl w:val="0"/>
          <w:numId w:val="1"/>
        </w:numPr>
        <w:tabs>
          <w:tab w:val="num" w:pos="1418"/>
        </w:tabs>
        <w:rPr>
          <w:b/>
        </w:rPr>
      </w:pPr>
      <w:r w:rsidRPr="00524497">
        <w:rPr>
          <w:b/>
        </w:rPr>
        <w:t>N</w:t>
      </w:r>
      <w:r w:rsidR="00334AA5" w:rsidRPr="00524497">
        <w:rPr>
          <w:b/>
        </w:rPr>
        <w:t xml:space="preserve">ote </w:t>
      </w:r>
      <w:r w:rsidR="00334AA5" w:rsidRPr="00524497">
        <w:t xml:space="preserve">that the attached </w:t>
      </w:r>
      <w:r w:rsidR="007F4871" w:rsidRPr="00524497">
        <w:t>S</w:t>
      </w:r>
      <w:r w:rsidR="009264FE">
        <w:t xml:space="preserve">upplementary </w:t>
      </w:r>
      <w:r w:rsidR="007F4871" w:rsidRPr="00524497">
        <w:t>O</w:t>
      </w:r>
      <w:r w:rsidR="009264FE">
        <w:t xml:space="preserve">rder </w:t>
      </w:r>
      <w:r w:rsidR="007F4871" w:rsidRPr="00524497">
        <w:t>P</w:t>
      </w:r>
      <w:r w:rsidR="009264FE">
        <w:t>aper (SOP)</w:t>
      </w:r>
      <w:r w:rsidR="00334AA5" w:rsidRPr="00524497">
        <w:t xml:space="preserve"> makes</w:t>
      </w:r>
      <w:r w:rsidR="0063089D">
        <w:t xml:space="preserve"> substantive, remedial and technical</w:t>
      </w:r>
      <w:r w:rsidR="00334AA5" w:rsidRPr="00524497">
        <w:t xml:space="preserve"> amendments to</w:t>
      </w:r>
      <w:r w:rsidRPr="00524497">
        <w:t>:</w:t>
      </w:r>
      <w:r w:rsidR="00334AA5" w:rsidRPr="00524497">
        <w:t xml:space="preserve"> </w:t>
      </w:r>
    </w:p>
    <w:p w14:paraId="53530661" w14:textId="7CF9BC4D" w:rsidR="00334AA5" w:rsidRDefault="00334AA5" w:rsidP="00524497">
      <w:pPr>
        <w:pStyle w:val="NumberedParagraphCabStandard"/>
        <w:numPr>
          <w:ilvl w:val="1"/>
          <w:numId w:val="1"/>
        </w:numPr>
      </w:pPr>
      <w:r w:rsidRPr="00524497">
        <w:t>the Land Transfer Act 2017</w:t>
      </w:r>
      <w:r w:rsidR="00266541">
        <w:t>,</w:t>
      </w:r>
      <w:r w:rsidRPr="00524497">
        <w:t xml:space="preserve"> to remove an exemption from the requirement to provide a person’s IRD number</w:t>
      </w:r>
      <w:r w:rsidR="00BC17BB">
        <w:t xml:space="preserve"> and, if applicable, any</w:t>
      </w:r>
      <w:r w:rsidRPr="00524497">
        <w:t xml:space="preserve"> </w:t>
      </w:r>
      <w:r w:rsidR="009264FE">
        <w:t>tax identification number</w:t>
      </w:r>
      <w:r w:rsidR="00BC17BB">
        <w:t>s and jurisdictions of tax residence</w:t>
      </w:r>
      <w:r w:rsidR="00266541">
        <w:t>;</w:t>
      </w:r>
    </w:p>
    <w:p w14:paraId="5C12A7D4" w14:textId="0ABDEA8D" w:rsidR="0063089D" w:rsidRPr="00524497" w:rsidRDefault="0063089D" w:rsidP="0063089D">
      <w:pPr>
        <w:pStyle w:val="NumberedParagraphCabStandard"/>
        <w:numPr>
          <w:ilvl w:val="1"/>
          <w:numId w:val="1"/>
        </w:numPr>
      </w:pPr>
      <w:r>
        <w:t>The Income Tax Act 2007</w:t>
      </w:r>
      <w:r w:rsidRPr="00524497">
        <w:t>; and</w:t>
      </w:r>
    </w:p>
    <w:p w14:paraId="76E220D6" w14:textId="6579D33C" w:rsidR="0063089D" w:rsidRPr="00524497" w:rsidRDefault="0063089D" w:rsidP="00524497">
      <w:pPr>
        <w:pStyle w:val="NumberedParagraphCabStandard"/>
        <w:numPr>
          <w:ilvl w:val="1"/>
          <w:numId w:val="1"/>
        </w:numPr>
      </w:pPr>
      <w:r w:rsidRPr="00524497">
        <w:t>the Goods and Services Tax Act 1985</w:t>
      </w:r>
      <w:r>
        <w:t>.</w:t>
      </w:r>
    </w:p>
    <w:p w14:paraId="3328A010" w14:textId="77777777" w:rsidR="00334AA5" w:rsidRPr="00524497" w:rsidRDefault="00524497" w:rsidP="00524497">
      <w:pPr>
        <w:pStyle w:val="NumberedParagraphCabStandard"/>
        <w:numPr>
          <w:ilvl w:val="0"/>
          <w:numId w:val="1"/>
        </w:numPr>
        <w:tabs>
          <w:tab w:val="num" w:pos="1418"/>
        </w:tabs>
        <w:rPr>
          <w:b/>
        </w:rPr>
      </w:pPr>
      <w:r w:rsidRPr="00524497">
        <w:rPr>
          <w:b/>
        </w:rPr>
        <w:t>A</w:t>
      </w:r>
      <w:r w:rsidR="00334AA5" w:rsidRPr="00524497">
        <w:rPr>
          <w:b/>
        </w:rPr>
        <w:t xml:space="preserve">pprove </w:t>
      </w:r>
      <w:r w:rsidR="00334AA5" w:rsidRPr="00524497">
        <w:t xml:space="preserve">the attached </w:t>
      </w:r>
      <w:r w:rsidR="007F4871" w:rsidRPr="00524497">
        <w:t>SOP</w:t>
      </w:r>
      <w:r w:rsidR="00334AA5" w:rsidRPr="00524497">
        <w:t xml:space="preserve"> for release, subject to the final approval of the government caucus and sufficient support in the House of Representatives</w:t>
      </w:r>
      <w:r>
        <w:t>.</w:t>
      </w:r>
    </w:p>
    <w:p w14:paraId="38916413" w14:textId="57EE415E" w:rsidR="00482E35" w:rsidRPr="00524497" w:rsidRDefault="00524497" w:rsidP="00524497">
      <w:pPr>
        <w:pStyle w:val="NumberedParagraphCabStandard"/>
        <w:numPr>
          <w:ilvl w:val="0"/>
          <w:numId w:val="1"/>
        </w:numPr>
        <w:tabs>
          <w:tab w:val="num" w:pos="1418"/>
        </w:tabs>
        <w:rPr>
          <w:b/>
        </w:rPr>
      </w:pPr>
      <w:r w:rsidRPr="00524497">
        <w:rPr>
          <w:b/>
        </w:rPr>
        <w:t>D</w:t>
      </w:r>
      <w:r w:rsidR="00482E35" w:rsidRPr="00524497">
        <w:rPr>
          <w:b/>
        </w:rPr>
        <w:t xml:space="preserve">elegate </w:t>
      </w:r>
      <w:r w:rsidR="00482E35" w:rsidRPr="00524497">
        <w:t>the Minister of Revenue authority to make minor amendments of a technical nature to the</w:t>
      </w:r>
      <w:r w:rsidR="00385F83">
        <w:t xml:space="preserve"> SOP in relation to the</w:t>
      </w:r>
      <w:r w:rsidR="00482E35" w:rsidRPr="00524497">
        <w:t xml:space="preserve"> measures recommended in this paper without further reference to Cabinet</w:t>
      </w:r>
      <w:r>
        <w:t>.</w:t>
      </w:r>
    </w:p>
    <w:p w14:paraId="3CB8F3B6" w14:textId="3EAC343A" w:rsidR="00482E35" w:rsidRPr="00524497" w:rsidRDefault="00524497" w:rsidP="00524497">
      <w:pPr>
        <w:pStyle w:val="NumberedParagraphCabStandard"/>
        <w:numPr>
          <w:ilvl w:val="0"/>
          <w:numId w:val="1"/>
        </w:numPr>
        <w:tabs>
          <w:tab w:val="num" w:pos="1418"/>
        </w:tabs>
        <w:rPr>
          <w:b/>
        </w:rPr>
      </w:pPr>
      <w:r w:rsidRPr="00524497">
        <w:rPr>
          <w:b/>
        </w:rPr>
        <w:t>A</w:t>
      </w:r>
      <w:r w:rsidR="00482E35" w:rsidRPr="00524497">
        <w:rPr>
          <w:b/>
        </w:rPr>
        <w:t xml:space="preserve">gree </w:t>
      </w:r>
      <w:r w:rsidR="00482E35" w:rsidRPr="00524497">
        <w:t>that</w:t>
      </w:r>
      <w:r w:rsidR="00385F83">
        <w:t xml:space="preserve"> </w:t>
      </w:r>
      <w:r w:rsidR="00482E35" w:rsidRPr="00524497">
        <w:t>the</w:t>
      </w:r>
      <w:r w:rsidR="008A1412" w:rsidRPr="00524497">
        <w:t xml:space="preserve"> attached</w:t>
      </w:r>
      <w:r w:rsidR="00482E35" w:rsidRPr="00524497">
        <w:t xml:space="preserve"> </w:t>
      </w:r>
      <w:r w:rsidR="007F4871" w:rsidRPr="00524497">
        <w:t>SOP</w:t>
      </w:r>
      <w:r w:rsidR="00482E35" w:rsidRPr="00524497">
        <w:t xml:space="preserve"> should be released before the</w:t>
      </w:r>
      <w:r w:rsidR="00820A5D" w:rsidRPr="00524497">
        <w:t xml:space="preserve"> Committee of the </w:t>
      </w:r>
      <w:r w:rsidR="00604E32">
        <w:t>w</w:t>
      </w:r>
      <w:r w:rsidR="00820A5D" w:rsidRPr="00524497">
        <w:t xml:space="preserve">hole House </w:t>
      </w:r>
      <w:r w:rsidR="00604E32">
        <w:t>s</w:t>
      </w:r>
      <w:r w:rsidR="00820A5D" w:rsidRPr="00524497">
        <w:t xml:space="preserve">tage of the </w:t>
      </w:r>
      <w:r w:rsidR="000F5A65" w:rsidRPr="00524497">
        <w:t>Taxation (Annual Rates for 2019</w:t>
      </w:r>
      <w:r w:rsidR="00334AA5" w:rsidRPr="00524497">
        <w:t>–</w:t>
      </w:r>
      <w:r w:rsidR="000F5A65" w:rsidRPr="00524497">
        <w:t>20, GST Offshore Supplier Registration, and Remedial Matters) Bill</w:t>
      </w:r>
      <w:r w:rsidR="00385F83">
        <w:t>, which is expected to occur between 18-20 June</w:t>
      </w:r>
      <w:r>
        <w:t>.</w:t>
      </w:r>
    </w:p>
    <w:p w14:paraId="1E6A598C" w14:textId="77777777" w:rsidR="00482E35" w:rsidRPr="00524497" w:rsidRDefault="00524497" w:rsidP="00524497">
      <w:pPr>
        <w:pStyle w:val="NumberedParagraphCabStandard"/>
        <w:numPr>
          <w:ilvl w:val="0"/>
          <w:numId w:val="1"/>
        </w:numPr>
        <w:tabs>
          <w:tab w:val="num" w:pos="1418"/>
        </w:tabs>
        <w:rPr>
          <w:b/>
        </w:rPr>
      </w:pPr>
      <w:r w:rsidRPr="00524497">
        <w:rPr>
          <w:b/>
        </w:rPr>
        <w:t>N</w:t>
      </w:r>
      <w:r w:rsidR="00482E35" w:rsidRPr="00524497">
        <w:rPr>
          <w:b/>
        </w:rPr>
        <w:t xml:space="preserve">ote </w:t>
      </w:r>
      <w:r w:rsidR="00482E35" w:rsidRPr="00524497">
        <w:t>that this Cabinet paper</w:t>
      </w:r>
      <w:r w:rsidR="001E1207" w:rsidRPr="00524497">
        <w:t xml:space="preserve"> and </w:t>
      </w:r>
      <w:r w:rsidR="00482E35" w:rsidRPr="00524497">
        <w:t>the associated Cabinet minute, will be proactively released on Inland Revenue’s website.</w:t>
      </w:r>
    </w:p>
    <w:p w14:paraId="70FA0DD3" w14:textId="77777777" w:rsidR="001E1207" w:rsidRDefault="001E1207" w:rsidP="00C93F49">
      <w:pPr>
        <w:pStyle w:val="NumberedParagraphCabStandard"/>
        <w:numPr>
          <w:ilvl w:val="0"/>
          <w:numId w:val="0"/>
        </w:numPr>
        <w:spacing w:after="0"/>
      </w:pPr>
    </w:p>
    <w:p w14:paraId="43F139CF" w14:textId="77777777" w:rsidR="00125D95" w:rsidRDefault="00125D95" w:rsidP="00C65945">
      <w:pPr>
        <w:pStyle w:val="NumberedParagraphCabStandard"/>
        <w:numPr>
          <w:ilvl w:val="0"/>
          <w:numId w:val="0"/>
        </w:numPr>
        <w:ind w:left="720" w:hanging="720"/>
      </w:pPr>
      <w:r>
        <w:t>Authorised for lodgement</w:t>
      </w:r>
    </w:p>
    <w:p w14:paraId="0D40BF90" w14:textId="77777777" w:rsidR="00AE58ED" w:rsidRDefault="00AE58ED" w:rsidP="003C12A0">
      <w:pPr>
        <w:pStyle w:val="NumberedParagraphCabStandard"/>
        <w:numPr>
          <w:ilvl w:val="0"/>
          <w:numId w:val="0"/>
        </w:numPr>
        <w:spacing w:after="0"/>
        <w:ind w:left="720" w:hanging="720"/>
      </w:pPr>
    </w:p>
    <w:p w14:paraId="1843923E" w14:textId="5B66AE7C" w:rsidR="00125D95" w:rsidRDefault="00125D95" w:rsidP="003C12A0">
      <w:pPr>
        <w:pStyle w:val="NumberedParagraphCabStandard"/>
        <w:numPr>
          <w:ilvl w:val="0"/>
          <w:numId w:val="0"/>
        </w:numPr>
        <w:spacing w:after="0"/>
        <w:ind w:left="720" w:hanging="720"/>
      </w:pPr>
      <w:r>
        <w:t xml:space="preserve">Hon </w:t>
      </w:r>
      <w:r w:rsidR="00856988">
        <w:t>Stuart Nash</w:t>
      </w:r>
    </w:p>
    <w:p w14:paraId="71A28ECA" w14:textId="70B7518D" w:rsidR="00AE58ED" w:rsidRDefault="00125D95" w:rsidP="0063089D">
      <w:pPr>
        <w:pStyle w:val="NumberedParagraphCabStandard"/>
        <w:numPr>
          <w:ilvl w:val="0"/>
          <w:numId w:val="0"/>
        </w:numPr>
        <w:ind w:left="720" w:hanging="720"/>
      </w:pPr>
      <w:r>
        <w:t xml:space="preserve">Minister </w:t>
      </w:r>
      <w:r w:rsidR="000A7947">
        <w:t>of Revenue</w:t>
      </w:r>
    </w:p>
    <w:sectPr w:rsidR="00AE58ED" w:rsidSect="00A80350">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1F4C" w14:textId="77777777" w:rsidR="00EF6A11" w:rsidRDefault="00EF6A11" w:rsidP="00F31991">
      <w:pPr>
        <w:spacing w:after="0"/>
      </w:pPr>
      <w:r>
        <w:separator/>
      </w:r>
    </w:p>
  </w:endnote>
  <w:endnote w:type="continuationSeparator" w:id="0">
    <w:p w14:paraId="31031DB1" w14:textId="77777777" w:rsidR="00EF6A11" w:rsidRDefault="00EF6A11"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FE59" w14:textId="77777777" w:rsidR="006E6CAA" w:rsidRDefault="006E6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5EE6" w14:textId="0A592EC3" w:rsidR="00A80350" w:rsidRDefault="00AD2AAB" w:rsidP="00A80350">
    <w:pPr>
      <w:pStyle w:val="Header"/>
      <w:jc w:val="center"/>
    </w:pPr>
    <w:r>
      <w:rPr>
        <w:noProof/>
      </w:rPr>
      <mc:AlternateContent>
        <mc:Choice Requires="wps">
          <w:drawing>
            <wp:anchor distT="0" distB="0" distL="114300" distR="114300" simplePos="0" relativeHeight="251659264" behindDoc="0" locked="0" layoutInCell="0" allowOverlap="1" wp14:anchorId="2C0D6D19" wp14:editId="73F25EB8">
              <wp:simplePos x="0" y="0"/>
              <wp:positionH relativeFrom="page">
                <wp:posOffset>0</wp:posOffset>
              </wp:positionH>
              <wp:positionV relativeFrom="page">
                <wp:posOffset>10234930</wp:posOffset>
              </wp:positionV>
              <wp:extent cx="7560310" cy="266700"/>
              <wp:effectExtent l="0" t="0" r="0" b="0"/>
              <wp:wrapNone/>
              <wp:docPr id="1" name="MSIPCMc5dd4163863fccca28351275"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C5466" w14:textId="7A94E970" w:rsidR="00AD2AAB" w:rsidRPr="00AD2AAB" w:rsidRDefault="00AD2AAB" w:rsidP="00AD2AAB">
                          <w:pPr>
                            <w:spacing w:after="0"/>
                            <w:jc w:val="center"/>
                            <w:rPr>
                              <w:rFonts w:ascii="Verdana" w:hAnsi="Verdana"/>
                              <w:color w:val="000000"/>
                              <w:sz w:val="20"/>
                            </w:rPr>
                          </w:pPr>
                          <w:r w:rsidRPr="00AD2AAB">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0D6D19" id="_x0000_t202" coordsize="21600,21600" o:spt="202" path="m,l,21600r21600,l21600,xe">
              <v:stroke joinstyle="miter"/>
              <v:path gradientshapeok="t" o:connecttype="rect"/>
            </v:shapetype>
            <v:shape id="MSIPCMc5dd4163863fccca28351275"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5zptVxgDAAA1BgAADgAAAAAAAAAAAAAA&#10;AAAuAgAAZHJzL2Uyb0RvYy54bWxQSwECLQAUAAYACAAAACEAg7KPK98AAAALAQAADwAAAAAAAAAA&#10;AAAAAAByBQAAZHJzL2Rvd25yZXYueG1sUEsFBgAAAAAEAAQA8wAAAH4GAAAAAA==&#10;" o:allowincell="f" filled="f" stroked="f" strokeweight=".5pt">
              <v:textbox inset=",0,,0">
                <w:txbxContent>
                  <w:p w14:paraId="601C5466" w14:textId="7A94E970" w:rsidR="00AD2AAB" w:rsidRPr="00AD2AAB" w:rsidRDefault="00AD2AAB" w:rsidP="00AD2AAB">
                    <w:pPr>
                      <w:spacing w:after="0"/>
                      <w:jc w:val="center"/>
                      <w:rPr>
                        <w:rFonts w:ascii="Verdana" w:hAnsi="Verdana"/>
                        <w:color w:val="000000"/>
                        <w:sz w:val="20"/>
                      </w:rPr>
                    </w:pPr>
                    <w:r w:rsidRPr="00AD2AAB">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A80350">
          <w:fldChar w:fldCharType="begin"/>
        </w:r>
        <w:r w:rsidR="00A80350">
          <w:instrText xml:space="preserve"> PAGE   \* MERGEFORMAT </w:instrText>
        </w:r>
        <w:r w:rsidR="00A80350">
          <w:fldChar w:fldCharType="separate"/>
        </w:r>
        <w:r w:rsidR="0098593C">
          <w:rPr>
            <w:noProof/>
          </w:rPr>
          <w:t>1</w:t>
        </w:r>
        <w:r w:rsidR="00A8035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03A9" w14:textId="77777777" w:rsidR="006E6CAA" w:rsidRDefault="006E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6431" w14:textId="77777777" w:rsidR="00EF6A11" w:rsidRDefault="00EF6A11" w:rsidP="00F31991">
      <w:pPr>
        <w:spacing w:after="0"/>
      </w:pPr>
      <w:r>
        <w:separator/>
      </w:r>
    </w:p>
  </w:footnote>
  <w:footnote w:type="continuationSeparator" w:id="0">
    <w:p w14:paraId="70936371" w14:textId="77777777" w:rsidR="00EF6A11" w:rsidRDefault="00EF6A11" w:rsidP="00F319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7541" w14:textId="77777777" w:rsidR="006E6CAA" w:rsidRDefault="006E6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23AE" w14:textId="77777777" w:rsidR="006E6CAA" w:rsidRDefault="006E6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AB3" w14:textId="77777777" w:rsidR="006E6CAA" w:rsidRDefault="006E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CD3"/>
    <w:multiLevelType w:val="multilevel"/>
    <w:tmpl w:val="E5129C02"/>
    <w:lvl w:ilvl="0">
      <w:start w:val="22"/>
      <w:numFmt w:val="decimal"/>
      <w:lvlText w:val="%1"/>
      <w:lvlJc w:val="left"/>
      <w:pPr>
        <w:ind w:left="420" w:hanging="420"/>
      </w:pPr>
      <w:rPr>
        <w:rFonts w:hint="default"/>
      </w:rPr>
    </w:lvl>
    <w:lvl w:ilvl="1">
      <w:start w:val="1"/>
      <w:numFmt w:val="decimal"/>
      <w:lvlText w:val="%2"/>
      <w:lvlJc w:val="left"/>
      <w:pPr>
        <w:ind w:left="567" w:hanging="567"/>
      </w:pPr>
      <w:rPr>
        <w:rFonts w:ascii="Arial" w:eastAsia="Times New Roman"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AC7DDD"/>
    <w:multiLevelType w:val="hybridMultilevel"/>
    <w:tmpl w:val="B5DAE2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1AC5BCC"/>
    <w:multiLevelType w:val="multilevel"/>
    <w:tmpl w:val="57801D38"/>
    <w:lvl w:ilvl="0">
      <w:start w:val="1"/>
      <w:numFmt w:val="decimal"/>
      <w:pStyle w:val="CabStandard"/>
      <w:lvlText w:val="%1"/>
      <w:lvlJc w:val="left"/>
      <w:pPr>
        <w:tabs>
          <w:tab w:val="num" w:pos="720"/>
        </w:tabs>
        <w:ind w:left="567" w:hanging="567"/>
      </w:pPr>
      <w:rPr>
        <w:rFonts w:hint="default"/>
        <w:b w:val="0"/>
      </w:rPr>
    </w:lvl>
    <w:lvl w:ilvl="1">
      <w:start w:val="1"/>
      <w:numFmt w:val="decimal"/>
      <w:lvlText w:val="%2."/>
      <w:lvlJc w:val="left"/>
      <w:pPr>
        <w:tabs>
          <w:tab w:val="num" w:pos="1440"/>
        </w:tabs>
        <w:ind w:left="1440" w:hanging="720"/>
      </w:pPr>
      <w:rPr>
        <w:rFonts w:ascii="Arial" w:eastAsia="Times New Roman" w:hAnsi="Arial" w:cs="Arial"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6" w15:restartNumberingAfterBreak="0">
    <w:nsid w:val="35011289"/>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993153"/>
    <w:multiLevelType w:val="multilevel"/>
    <w:tmpl w:val="8F94CB3E"/>
    <w:lvl w:ilvl="0">
      <w:start w:val="1"/>
      <w:numFmt w:val="decimal"/>
      <w:pStyle w:val="NumberedParagraphCabStandard"/>
      <w:lvlText w:val="%1."/>
      <w:lvlJc w:val="left"/>
      <w:pPr>
        <w:tabs>
          <w:tab w:val="num" w:pos="709"/>
        </w:tabs>
        <w:ind w:left="709" w:hanging="709"/>
      </w:pPr>
      <w:rPr>
        <w:rFonts w:ascii="Arial" w:hAnsi="Arial" w:hint="default"/>
        <w:b w:val="0"/>
        <w:i w:val="0"/>
        <w:color w:val="auto"/>
        <w:sz w:val="24"/>
      </w:rPr>
    </w:lvl>
    <w:lvl w:ilvl="1">
      <w:start w:val="1"/>
      <w:numFmt w:val="decimal"/>
      <w:lvlText w:val="%1.%2"/>
      <w:lvlJc w:val="left"/>
      <w:pPr>
        <w:tabs>
          <w:tab w:val="num" w:pos="1418"/>
        </w:tabs>
        <w:ind w:left="1418" w:hanging="709"/>
      </w:pPr>
      <w:rPr>
        <w:rFonts w:ascii="Arial" w:hAnsi="Arial" w:hint="default"/>
        <w:b w:val="0"/>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5"/>
  </w:num>
  <w:num w:numId="5">
    <w:abstractNumId w:val="7"/>
  </w:num>
  <w:num w:numId="6">
    <w:abstractNumId w:val="7"/>
  </w:num>
  <w:num w:numId="7">
    <w:abstractNumId w:val="7"/>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7"/>
  </w:num>
  <w:num w:numId="20">
    <w:abstractNumId w:val="7"/>
  </w:num>
  <w:num w:numId="21">
    <w:abstractNumId w:val="1"/>
  </w:num>
  <w:num w:numId="22">
    <w:abstractNumId w:val="7"/>
  </w:num>
  <w:num w:numId="23">
    <w:abstractNumId w:val="0"/>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6"/>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D6"/>
    <w:rsid w:val="00000DE2"/>
    <w:rsid w:val="000048C8"/>
    <w:rsid w:val="000275BB"/>
    <w:rsid w:val="00034684"/>
    <w:rsid w:val="00041D61"/>
    <w:rsid w:val="0004703E"/>
    <w:rsid w:val="00056241"/>
    <w:rsid w:val="000614AC"/>
    <w:rsid w:val="00070E25"/>
    <w:rsid w:val="00077518"/>
    <w:rsid w:val="000816EC"/>
    <w:rsid w:val="00085C53"/>
    <w:rsid w:val="00093622"/>
    <w:rsid w:val="000A0D3E"/>
    <w:rsid w:val="000A4E14"/>
    <w:rsid w:val="000A556D"/>
    <w:rsid w:val="000A7947"/>
    <w:rsid w:val="000A7DF7"/>
    <w:rsid w:val="000C1581"/>
    <w:rsid w:val="000C7B5B"/>
    <w:rsid w:val="000D3671"/>
    <w:rsid w:val="000D37BB"/>
    <w:rsid w:val="000D6953"/>
    <w:rsid w:val="000E4C2B"/>
    <w:rsid w:val="000E7F2F"/>
    <w:rsid w:val="000F3949"/>
    <w:rsid w:val="000F5A65"/>
    <w:rsid w:val="00106029"/>
    <w:rsid w:val="00110B63"/>
    <w:rsid w:val="00125D95"/>
    <w:rsid w:val="00126948"/>
    <w:rsid w:val="00130921"/>
    <w:rsid w:val="0013353D"/>
    <w:rsid w:val="0014474D"/>
    <w:rsid w:val="0014476B"/>
    <w:rsid w:val="00160EBE"/>
    <w:rsid w:val="00164E33"/>
    <w:rsid w:val="00164E4E"/>
    <w:rsid w:val="001654C7"/>
    <w:rsid w:val="00165622"/>
    <w:rsid w:val="0016601C"/>
    <w:rsid w:val="00182E24"/>
    <w:rsid w:val="00191B95"/>
    <w:rsid w:val="00196C5C"/>
    <w:rsid w:val="001A34A8"/>
    <w:rsid w:val="001A63C9"/>
    <w:rsid w:val="001B757B"/>
    <w:rsid w:val="001C356F"/>
    <w:rsid w:val="001C4061"/>
    <w:rsid w:val="001C5B28"/>
    <w:rsid w:val="001D0638"/>
    <w:rsid w:val="001D69F7"/>
    <w:rsid w:val="001D6CA1"/>
    <w:rsid w:val="001D6E8D"/>
    <w:rsid w:val="001D72E1"/>
    <w:rsid w:val="001E1207"/>
    <w:rsid w:val="001E27F4"/>
    <w:rsid w:val="001E67A1"/>
    <w:rsid w:val="001F01D6"/>
    <w:rsid w:val="001F1034"/>
    <w:rsid w:val="001F32A3"/>
    <w:rsid w:val="001F32DC"/>
    <w:rsid w:val="001F4B22"/>
    <w:rsid w:val="001F6EAC"/>
    <w:rsid w:val="00201A5B"/>
    <w:rsid w:val="002112EA"/>
    <w:rsid w:val="00213415"/>
    <w:rsid w:val="00213A3E"/>
    <w:rsid w:val="00220144"/>
    <w:rsid w:val="00222117"/>
    <w:rsid w:val="00226D75"/>
    <w:rsid w:val="002279FA"/>
    <w:rsid w:val="00231486"/>
    <w:rsid w:val="00234BD0"/>
    <w:rsid w:val="00241E53"/>
    <w:rsid w:val="002459EF"/>
    <w:rsid w:val="00246337"/>
    <w:rsid w:val="00255F01"/>
    <w:rsid w:val="00260F4A"/>
    <w:rsid w:val="0026399E"/>
    <w:rsid w:val="00266541"/>
    <w:rsid w:val="00267FF1"/>
    <w:rsid w:val="002860DE"/>
    <w:rsid w:val="00287953"/>
    <w:rsid w:val="0029161B"/>
    <w:rsid w:val="00292F69"/>
    <w:rsid w:val="002A2C76"/>
    <w:rsid w:val="002A42CD"/>
    <w:rsid w:val="002A65A6"/>
    <w:rsid w:val="002C2E88"/>
    <w:rsid w:val="002C2F66"/>
    <w:rsid w:val="002C3131"/>
    <w:rsid w:val="002C5A6B"/>
    <w:rsid w:val="002D341B"/>
    <w:rsid w:val="002D7491"/>
    <w:rsid w:val="002D7D29"/>
    <w:rsid w:val="002E3427"/>
    <w:rsid w:val="002E6935"/>
    <w:rsid w:val="002F1F55"/>
    <w:rsid w:val="00305D94"/>
    <w:rsid w:val="00306CBC"/>
    <w:rsid w:val="003119D4"/>
    <w:rsid w:val="0032062B"/>
    <w:rsid w:val="003229B0"/>
    <w:rsid w:val="00330A20"/>
    <w:rsid w:val="00334AA5"/>
    <w:rsid w:val="0033793E"/>
    <w:rsid w:val="00340CBE"/>
    <w:rsid w:val="00342C4F"/>
    <w:rsid w:val="00351424"/>
    <w:rsid w:val="00352CB3"/>
    <w:rsid w:val="00364B94"/>
    <w:rsid w:val="00371EBD"/>
    <w:rsid w:val="0038344E"/>
    <w:rsid w:val="00385F83"/>
    <w:rsid w:val="0039089F"/>
    <w:rsid w:val="00393E25"/>
    <w:rsid w:val="00394F63"/>
    <w:rsid w:val="003A50CE"/>
    <w:rsid w:val="003A589C"/>
    <w:rsid w:val="003B3811"/>
    <w:rsid w:val="003C12A0"/>
    <w:rsid w:val="003C3795"/>
    <w:rsid w:val="003C4F1D"/>
    <w:rsid w:val="003D0053"/>
    <w:rsid w:val="003D144F"/>
    <w:rsid w:val="003D56F2"/>
    <w:rsid w:val="003D7C8D"/>
    <w:rsid w:val="003E39F9"/>
    <w:rsid w:val="003F1821"/>
    <w:rsid w:val="003F2559"/>
    <w:rsid w:val="003F6C63"/>
    <w:rsid w:val="004017D7"/>
    <w:rsid w:val="0040431C"/>
    <w:rsid w:val="004052A1"/>
    <w:rsid w:val="004104DF"/>
    <w:rsid w:val="00411687"/>
    <w:rsid w:val="00415F6D"/>
    <w:rsid w:val="00417CF5"/>
    <w:rsid w:val="00425B31"/>
    <w:rsid w:val="004268C7"/>
    <w:rsid w:val="004270F9"/>
    <w:rsid w:val="00430F0B"/>
    <w:rsid w:val="0043327C"/>
    <w:rsid w:val="0043692A"/>
    <w:rsid w:val="00437541"/>
    <w:rsid w:val="00447D9B"/>
    <w:rsid w:val="004526D9"/>
    <w:rsid w:val="0045453B"/>
    <w:rsid w:val="0045486E"/>
    <w:rsid w:val="00454E5D"/>
    <w:rsid w:val="00456462"/>
    <w:rsid w:val="00456EA6"/>
    <w:rsid w:val="004738F3"/>
    <w:rsid w:val="0048242B"/>
    <w:rsid w:val="00482860"/>
    <w:rsid w:val="00482E35"/>
    <w:rsid w:val="004A678B"/>
    <w:rsid w:val="004B3962"/>
    <w:rsid w:val="004C0603"/>
    <w:rsid w:val="004C1986"/>
    <w:rsid w:val="004C1DE3"/>
    <w:rsid w:val="004C7223"/>
    <w:rsid w:val="004D51A3"/>
    <w:rsid w:val="004F277B"/>
    <w:rsid w:val="004F3799"/>
    <w:rsid w:val="004F4A48"/>
    <w:rsid w:val="00504993"/>
    <w:rsid w:val="00505241"/>
    <w:rsid w:val="00506594"/>
    <w:rsid w:val="00515980"/>
    <w:rsid w:val="0052241A"/>
    <w:rsid w:val="005239C9"/>
    <w:rsid w:val="00523A4B"/>
    <w:rsid w:val="00524497"/>
    <w:rsid w:val="0053080E"/>
    <w:rsid w:val="00531BD1"/>
    <w:rsid w:val="00533272"/>
    <w:rsid w:val="0053679B"/>
    <w:rsid w:val="005412BD"/>
    <w:rsid w:val="005457FC"/>
    <w:rsid w:val="00547A77"/>
    <w:rsid w:val="00550D88"/>
    <w:rsid w:val="00551B13"/>
    <w:rsid w:val="00557CA3"/>
    <w:rsid w:val="0057096A"/>
    <w:rsid w:val="005718DB"/>
    <w:rsid w:val="00577AF5"/>
    <w:rsid w:val="005802BF"/>
    <w:rsid w:val="0058630B"/>
    <w:rsid w:val="005879A8"/>
    <w:rsid w:val="005A1350"/>
    <w:rsid w:val="005A2E64"/>
    <w:rsid w:val="005A4F5C"/>
    <w:rsid w:val="005B14DE"/>
    <w:rsid w:val="005B44E4"/>
    <w:rsid w:val="005B6B43"/>
    <w:rsid w:val="005C2C71"/>
    <w:rsid w:val="005D4C76"/>
    <w:rsid w:val="005E7B0F"/>
    <w:rsid w:val="005F3EC6"/>
    <w:rsid w:val="00601C98"/>
    <w:rsid w:val="0060298A"/>
    <w:rsid w:val="00604E32"/>
    <w:rsid w:val="00612C1A"/>
    <w:rsid w:val="00620A03"/>
    <w:rsid w:val="00623C21"/>
    <w:rsid w:val="0063089D"/>
    <w:rsid w:val="006365D3"/>
    <w:rsid w:val="006411EB"/>
    <w:rsid w:val="006436A7"/>
    <w:rsid w:val="006457FF"/>
    <w:rsid w:val="006576CA"/>
    <w:rsid w:val="0066377A"/>
    <w:rsid w:val="006724B7"/>
    <w:rsid w:val="00674227"/>
    <w:rsid w:val="00683FE1"/>
    <w:rsid w:val="006847E4"/>
    <w:rsid w:val="006855DE"/>
    <w:rsid w:val="00690D47"/>
    <w:rsid w:val="0069178F"/>
    <w:rsid w:val="00696491"/>
    <w:rsid w:val="006971D1"/>
    <w:rsid w:val="006B1953"/>
    <w:rsid w:val="006B2272"/>
    <w:rsid w:val="006B5822"/>
    <w:rsid w:val="006C19F8"/>
    <w:rsid w:val="006D3E48"/>
    <w:rsid w:val="006E6CAA"/>
    <w:rsid w:val="006E7C14"/>
    <w:rsid w:val="006F3BAC"/>
    <w:rsid w:val="00702633"/>
    <w:rsid w:val="007026AE"/>
    <w:rsid w:val="007043C4"/>
    <w:rsid w:val="00704F59"/>
    <w:rsid w:val="00705C54"/>
    <w:rsid w:val="00720D91"/>
    <w:rsid w:val="007242CA"/>
    <w:rsid w:val="00733356"/>
    <w:rsid w:val="00736DCD"/>
    <w:rsid w:val="00737838"/>
    <w:rsid w:val="00741C3B"/>
    <w:rsid w:val="00745ACC"/>
    <w:rsid w:val="007549F6"/>
    <w:rsid w:val="00772395"/>
    <w:rsid w:val="007823FC"/>
    <w:rsid w:val="00785B5A"/>
    <w:rsid w:val="00785B7A"/>
    <w:rsid w:val="00786DC6"/>
    <w:rsid w:val="00793591"/>
    <w:rsid w:val="00796DFC"/>
    <w:rsid w:val="007A59D4"/>
    <w:rsid w:val="007B5757"/>
    <w:rsid w:val="007C6558"/>
    <w:rsid w:val="007D1CA4"/>
    <w:rsid w:val="007E00C4"/>
    <w:rsid w:val="007F038B"/>
    <w:rsid w:val="007F4871"/>
    <w:rsid w:val="00800AD9"/>
    <w:rsid w:val="0081277C"/>
    <w:rsid w:val="00820A5D"/>
    <w:rsid w:val="00821695"/>
    <w:rsid w:val="00823E20"/>
    <w:rsid w:val="00827A52"/>
    <w:rsid w:val="00831A83"/>
    <w:rsid w:val="00841819"/>
    <w:rsid w:val="00846BC7"/>
    <w:rsid w:val="00846D70"/>
    <w:rsid w:val="00852C4D"/>
    <w:rsid w:val="008551A7"/>
    <w:rsid w:val="00856988"/>
    <w:rsid w:val="00856CDC"/>
    <w:rsid w:val="00861745"/>
    <w:rsid w:val="00865204"/>
    <w:rsid w:val="00865E33"/>
    <w:rsid w:val="00873385"/>
    <w:rsid w:val="00882D84"/>
    <w:rsid w:val="008877EE"/>
    <w:rsid w:val="008A1412"/>
    <w:rsid w:val="008A1D46"/>
    <w:rsid w:val="008A3741"/>
    <w:rsid w:val="008A506E"/>
    <w:rsid w:val="008C3785"/>
    <w:rsid w:val="008C46FA"/>
    <w:rsid w:val="008C4AB9"/>
    <w:rsid w:val="008E0254"/>
    <w:rsid w:val="008E57F6"/>
    <w:rsid w:val="00902DAE"/>
    <w:rsid w:val="009052D4"/>
    <w:rsid w:val="0091483A"/>
    <w:rsid w:val="00916B9F"/>
    <w:rsid w:val="009264FE"/>
    <w:rsid w:val="009325E8"/>
    <w:rsid w:val="0094107C"/>
    <w:rsid w:val="00941BAD"/>
    <w:rsid w:val="009575A8"/>
    <w:rsid w:val="00961B91"/>
    <w:rsid w:val="00962CA4"/>
    <w:rsid w:val="00966425"/>
    <w:rsid w:val="0097048F"/>
    <w:rsid w:val="00975649"/>
    <w:rsid w:val="0098593C"/>
    <w:rsid w:val="00987F1E"/>
    <w:rsid w:val="009963D7"/>
    <w:rsid w:val="009A4D0A"/>
    <w:rsid w:val="009B1E5A"/>
    <w:rsid w:val="009B6476"/>
    <w:rsid w:val="009B6CEE"/>
    <w:rsid w:val="009D5E02"/>
    <w:rsid w:val="009D70F7"/>
    <w:rsid w:val="009E1584"/>
    <w:rsid w:val="009E1D83"/>
    <w:rsid w:val="009E7A1B"/>
    <w:rsid w:val="009F2123"/>
    <w:rsid w:val="00A0132D"/>
    <w:rsid w:val="00A209D8"/>
    <w:rsid w:val="00A20C6E"/>
    <w:rsid w:val="00A23A15"/>
    <w:rsid w:val="00A254AD"/>
    <w:rsid w:val="00A302D7"/>
    <w:rsid w:val="00A303AC"/>
    <w:rsid w:val="00A3050D"/>
    <w:rsid w:val="00A3558D"/>
    <w:rsid w:val="00A46C8E"/>
    <w:rsid w:val="00A62245"/>
    <w:rsid w:val="00A65993"/>
    <w:rsid w:val="00A67B7D"/>
    <w:rsid w:val="00A70843"/>
    <w:rsid w:val="00A73D77"/>
    <w:rsid w:val="00A80350"/>
    <w:rsid w:val="00A83A38"/>
    <w:rsid w:val="00A879BC"/>
    <w:rsid w:val="00A904CC"/>
    <w:rsid w:val="00A94C46"/>
    <w:rsid w:val="00A97DFA"/>
    <w:rsid w:val="00AA6A7A"/>
    <w:rsid w:val="00AB408A"/>
    <w:rsid w:val="00AC3961"/>
    <w:rsid w:val="00AD2AAB"/>
    <w:rsid w:val="00AD4D5B"/>
    <w:rsid w:val="00AD4EB2"/>
    <w:rsid w:val="00AD718E"/>
    <w:rsid w:val="00AE58ED"/>
    <w:rsid w:val="00AF2010"/>
    <w:rsid w:val="00AF2869"/>
    <w:rsid w:val="00AF507E"/>
    <w:rsid w:val="00B00923"/>
    <w:rsid w:val="00B04856"/>
    <w:rsid w:val="00B34835"/>
    <w:rsid w:val="00B4094F"/>
    <w:rsid w:val="00B41190"/>
    <w:rsid w:val="00B45F28"/>
    <w:rsid w:val="00B50774"/>
    <w:rsid w:val="00B508E7"/>
    <w:rsid w:val="00B5564B"/>
    <w:rsid w:val="00B578AB"/>
    <w:rsid w:val="00B61363"/>
    <w:rsid w:val="00B81B79"/>
    <w:rsid w:val="00B877BE"/>
    <w:rsid w:val="00B972BC"/>
    <w:rsid w:val="00BC1350"/>
    <w:rsid w:val="00BC17BB"/>
    <w:rsid w:val="00BC2597"/>
    <w:rsid w:val="00BD2B64"/>
    <w:rsid w:val="00BD67D1"/>
    <w:rsid w:val="00BE16AB"/>
    <w:rsid w:val="00BE2281"/>
    <w:rsid w:val="00BE2739"/>
    <w:rsid w:val="00BE3CC9"/>
    <w:rsid w:val="00BF2FB7"/>
    <w:rsid w:val="00C05A65"/>
    <w:rsid w:val="00C104A4"/>
    <w:rsid w:val="00C31A55"/>
    <w:rsid w:val="00C3270D"/>
    <w:rsid w:val="00C33ABD"/>
    <w:rsid w:val="00C46A2A"/>
    <w:rsid w:val="00C509C4"/>
    <w:rsid w:val="00C566E9"/>
    <w:rsid w:val="00C65945"/>
    <w:rsid w:val="00C67CD7"/>
    <w:rsid w:val="00C701DE"/>
    <w:rsid w:val="00C710C4"/>
    <w:rsid w:val="00C82D7A"/>
    <w:rsid w:val="00C846F5"/>
    <w:rsid w:val="00C87EC7"/>
    <w:rsid w:val="00C90750"/>
    <w:rsid w:val="00C93F49"/>
    <w:rsid w:val="00C97935"/>
    <w:rsid w:val="00CA0FC2"/>
    <w:rsid w:val="00CA2ACC"/>
    <w:rsid w:val="00CA5EAD"/>
    <w:rsid w:val="00CA622F"/>
    <w:rsid w:val="00CA73FF"/>
    <w:rsid w:val="00CB0D9E"/>
    <w:rsid w:val="00CB1FC4"/>
    <w:rsid w:val="00CC30C6"/>
    <w:rsid w:val="00CC4E46"/>
    <w:rsid w:val="00CE4CE5"/>
    <w:rsid w:val="00CF06E3"/>
    <w:rsid w:val="00CF1C1A"/>
    <w:rsid w:val="00CF787A"/>
    <w:rsid w:val="00D0182F"/>
    <w:rsid w:val="00D04385"/>
    <w:rsid w:val="00D120BD"/>
    <w:rsid w:val="00D20857"/>
    <w:rsid w:val="00D2422E"/>
    <w:rsid w:val="00D35CD9"/>
    <w:rsid w:val="00D37424"/>
    <w:rsid w:val="00D41D6F"/>
    <w:rsid w:val="00D50191"/>
    <w:rsid w:val="00D53D10"/>
    <w:rsid w:val="00D60E4C"/>
    <w:rsid w:val="00D633D8"/>
    <w:rsid w:val="00D643CD"/>
    <w:rsid w:val="00D73072"/>
    <w:rsid w:val="00D77F89"/>
    <w:rsid w:val="00D8013D"/>
    <w:rsid w:val="00D82B49"/>
    <w:rsid w:val="00D84879"/>
    <w:rsid w:val="00D9181C"/>
    <w:rsid w:val="00D94AD8"/>
    <w:rsid w:val="00D95390"/>
    <w:rsid w:val="00D9692B"/>
    <w:rsid w:val="00DA3FE7"/>
    <w:rsid w:val="00DA4BD3"/>
    <w:rsid w:val="00DA4E93"/>
    <w:rsid w:val="00DB2DB1"/>
    <w:rsid w:val="00DC3D0F"/>
    <w:rsid w:val="00DC56BE"/>
    <w:rsid w:val="00DC5713"/>
    <w:rsid w:val="00DD2177"/>
    <w:rsid w:val="00DD4A88"/>
    <w:rsid w:val="00DD5807"/>
    <w:rsid w:val="00DE71CD"/>
    <w:rsid w:val="00DF01E1"/>
    <w:rsid w:val="00DF3942"/>
    <w:rsid w:val="00DF6FC7"/>
    <w:rsid w:val="00E01EE9"/>
    <w:rsid w:val="00E06C60"/>
    <w:rsid w:val="00E10C61"/>
    <w:rsid w:val="00E405AB"/>
    <w:rsid w:val="00E41850"/>
    <w:rsid w:val="00E430E1"/>
    <w:rsid w:val="00E50D09"/>
    <w:rsid w:val="00E56FA6"/>
    <w:rsid w:val="00E6007A"/>
    <w:rsid w:val="00E62820"/>
    <w:rsid w:val="00E63594"/>
    <w:rsid w:val="00E63F73"/>
    <w:rsid w:val="00E66DB2"/>
    <w:rsid w:val="00E75870"/>
    <w:rsid w:val="00EA2E27"/>
    <w:rsid w:val="00EA7FB9"/>
    <w:rsid w:val="00EB017C"/>
    <w:rsid w:val="00EC0FC4"/>
    <w:rsid w:val="00ED029C"/>
    <w:rsid w:val="00ED2742"/>
    <w:rsid w:val="00ED68BD"/>
    <w:rsid w:val="00EE50ED"/>
    <w:rsid w:val="00EE7101"/>
    <w:rsid w:val="00EF5297"/>
    <w:rsid w:val="00EF6A11"/>
    <w:rsid w:val="00F0504A"/>
    <w:rsid w:val="00F05807"/>
    <w:rsid w:val="00F0790B"/>
    <w:rsid w:val="00F11622"/>
    <w:rsid w:val="00F15146"/>
    <w:rsid w:val="00F1655B"/>
    <w:rsid w:val="00F2075E"/>
    <w:rsid w:val="00F2252C"/>
    <w:rsid w:val="00F241B6"/>
    <w:rsid w:val="00F2453F"/>
    <w:rsid w:val="00F279E0"/>
    <w:rsid w:val="00F31991"/>
    <w:rsid w:val="00F350DD"/>
    <w:rsid w:val="00F36DA9"/>
    <w:rsid w:val="00F37E00"/>
    <w:rsid w:val="00F466B3"/>
    <w:rsid w:val="00F51205"/>
    <w:rsid w:val="00F52DDA"/>
    <w:rsid w:val="00F62EAA"/>
    <w:rsid w:val="00F66838"/>
    <w:rsid w:val="00F70610"/>
    <w:rsid w:val="00F76E35"/>
    <w:rsid w:val="00F815F2"/>
    <w:rsid w:val="00F82BD8"/>
    <w:rsid w:val="00F848DE"/>
    <w:rsid w:val="00F9119A"/>
    <w:rsid w:val="00F9275B"/>
    <w:rsid w:val="00FA40B6"/>
    <w:rsid w:val="00FB4C68"/>
    <w:rsid w:val="00FB5772"/>
    <w:rsid w:val="00FB6A04"/>
    <w:rsid w:val="00FC015E"/>
    <w:rsid w:val="00FC32AA"/>
    <w:rsid w:val="00FC3C1C"/>
    <w:rsid w:val="00FC4E2B"/>
    <w:rsid w:val="00FD3506"/>
    <w:rsid w:val="00FD4BF2"/>
    <w:rsid w:val="00FE4F91"/>
    <w:rsid w:val="00FE64C9"/>
    <w:rsid w:val="00FF3E97"/>
    <w:rsid w:val="00FF4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E203C7"/>
  <w15:docId w15:val="{9C11337D-D8EF-4BEB-A55B-AF7125C7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2"/>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1F01D6"/>
    <w:rPr>
      <w:sz w:val="16"/>
      <w:szCs w:val="16"/>
    </w:rPr>
  </w:style>
  <w:style w:type="paragraph" w:styleId="CommentText">
    <w:name w:val="annotation text"/>
    <w:basedOn w:val="Normal"/>
    <w:link w:val="CommentTextChar"/>
    <w:uiPriority w:val="99"/>
    <w:semiHidden/>
    <w:unhideWhenUsed/>
    <w:rsid w:val="001F01D6"/>
    <w:rPr>
      <w:sz w:val="20"/>
      <w:szCs w:val="20"/>
    </w:rPr>
  </w:style>
  <w:style w:type="character" w:customStyle="1" w:styleId="CommentTextChar">
    <w:name w:val="Comment Text Char"/>
    <w:basedOn w:val="DefaultParagraphFont"/>
    <w:link w:val="CommentText"/>
    <w:uiPriority w:val="99"/>
    <w:semiHidden/>
    <w:rsid w:val="001F01D6"/>
    <w:rPr>
      <w:sz w:val="20"/>
      <w:szCs w:val="20"/>
    </w:rPr>
  </w:style>
  <w:style w:type="paragraph" w:styleId="CommentSubject">
    <w:name w:val="annotation subject"/>
    <w:basedOn w:val="CommentText"/>
    <w:next w:val="CommentText"/>
    <w:link w:val="CommentSubjectChar"/>
    <w:uiPriority w:val="99"/>
    <w:semiHidden/>
    <w:unhideWhenUsed/>
    <w:rsid w:val="001F01D6"/>
    <w:rPr>
      <w:b/>
      <w:bCs/>
    </w:rPr>
  </w:style>
  <w:style w:type="character" w:customStyle="1" w:styleId="CommentSubjectChar">
    <w:name w:val="Comment Subject Char"/>
    <w:basedOn w:val="CommentTextChar"/>
    <w:link w:val="CommentSubject"/>
    <w:uiPriority w:val="99"/>
    <w:semiHidden/>
    <w:rsid w:val="001F01D6"/>
    <w:rPr>
      <w:b/>
      <w:bCs/>
      <w:sz w:val="20"/>
      <w:szCs w:val="20"/>
    </w:rPr>
  </w:style>
  <w:style w:type="paragraph" w:customStyle="1" w:styleId="CabStandard">
    <w:name w:val="CabStandard"/>
    <w:basedOn w:val="Normal"/>
    <w:rsid w:val="00736DCD"/>
    <w:pPr>
      <w:numPr>
        <w:numId w:val="17"/>
      </w:numPr>
      <w:jc w:val="left"/>
    </w:pPr>
    <w:rPr>
      <w:rFonts w:ascii="Times New Roman" w:eastAsia="Times New Roman" w:hAnsi="Times New Roman" w:cs="Times New Roman"/>
      <w:szCs w:val="20"/>
      <w:lang w:val="en-GB" w:eastAsia="ja-JP"/>
    </w:rPr>
  </w:style>
  <w:style w:type="paragraph" w:customStyle="1" w:styleId="TableStyle">
    <w:name w:val="TableStyle"/>
    <w:rsid w:val="00340CBE"/>
    <w:pPr>
      <w:autoSpaceDE w:val="0"/>
      <w:autoSpaceDN w:val="0"/>
      <w:adjustRightInd w:val="0"/>
      <w:spacing w:after="40"/>
    </w:pPr>
    <w:rPr>
      <w:rFonts w:ascii="Times New Roman" w:eastAsia="Times New Roman" w:hAnsi="Times New Roman" w:cs="Times New Roman"/>
      <w:sz w:val="20"/>
      <w:szCs w:val="20"/>
    </w:rPr>
  </w:style>
  <w:style w:type="paragraph" w:customStyle="1" w:styleId="BoldHeaderTableStyle">
    <w:name w:val="BoldHeaderTableStyle"/>
    <w:rsid w:val="00340CBE"/>
    <w:pPr>
      <w:autoSpaceDE w:val="0"/>
      <w:autoSpaceDN w:val="0"/>
      <w:adjustRightInd w:val="0"/>
      <w:spacing w:after="40"/>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66377A"/>
    <w:pPr>
      <w:spacing w:after="160" w:line="259" w:lineRule="auto"/>
      <w:ind w:left="720"/>
      <w:contextualSpacing/>
      <w:jc w:val="left"/>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9E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505">
      <w:bodyDiv w:val="1"/>
      <w:marLeft w:val="0"/>
      <w:marRight w:val="0"/>
      <w:marTop w:val="0"/>
      <w:marBottom w:val="0"/>
      <w:divBdr>
        <w:top w:val="none" w:sz="0" w:space="0" w:color="auto"/>
        <w:left w:val="none" w:sz="0" w:space="0" w:color="auto"/>
        <w:bottom w:val="none" w:sz="0" w:space="0" w:color="auto"/>
        <w:right w:val="none" w:sz="0" w:space="0" w:color="auto"/>
      </w:divBdr>
    </w:div>
    <w:div w:id="196431889">
      <w:bodyDiv w:val="1"/>
      <w:marLeft w:val="0"/>
      <w:marRight w:val="0"/>
      <w:marTop w:val="0"/>
      <w:marBottom w:val="0"/>
      <w:divBdr>
        <w:top w:val="none" w:sz="0" w:space="0" w:color="auto"/>
        <w:left w:val="none" w:sz="0" w:space="0" w:color="auto"/>
        <w:bottom w:val="none" w:sz="0" w:space="0" w:color="auto"/>
        <w:right w:val="none" w:sz="0" w:space="0" w:color="auto"/>
      </w:divBdr>
    </w:div>
    <w:div w:id="808941444">
      <w:bodyDiv w:val="1"/>
      <w:marLeft w:val="0"/>
      <w:marRight w:val="0"/>
      <w:marTop w:val="0"/>
      <w:marBottom w:val="0"/>
      <w:divBdr>
        <w:top w:val="none" w:sz="0" w:space="0" w:color="auto"/>
        <w:left w:val="none" w:sz="0" w:space="0" w:color="auto"/>
        <w:bottom w:val="none" w:sz="0" w:space="0" w:color="auto"/>
        <w:right w:val="none" w:sz="0" w:space="0" w:color="auto"/>
      </w:divBdr>
    </w:div>
    <w:div w:id="907423607">
      <w:bodyDiv w:val="1"/>
      <w:marLeft w:val="0"/>
      <w:marRight w:val="0"/>
      <w:marTop w:val="0"/>
      <w:marBottom w:val="0"/>
      <w:divBdr>
        <w:top w:val="none" w:sz="0" w:space="0" w:color="auto"/>
        <w:left w:val="none" w:sz="0" w:space="0" w:color="auto"/>
        <w:bottom w:val="none" w:sz="0" w:space="0" w:color="auto"/>
        <w:right w:val="none" w:sz="0" w:space="0" w:color="auto"/>
      </w:divBdr>
    </w:div>
    <w:div w:id="1640577554">
      <w:bodyDiv w:val="1"/>
      <w:marLeft w:val="0"/>
      <w:marRight w:val="0"/>
      <w:marTop w:val="0"/>
      <w:marBottom w:val="0"/>
      <w:divBdr>
        <w:top w:val="none" w:sz="0" w:space="0" w:color="auto"/>
        <w:left w:val="none" w:sz="0" w:space="0" w:color="auto"/>
        <w:bottom w:val="none" w:sz="0" w:space="0" w:color="auto"/>
        <w:right w:val="none" w:sz="0" w:space="0" w:color="auto"/>
      </w:divBdr>
    </w:div>
    <w:div w:id="19739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dac.org.nz/guidelines/legislation-guidelines-2018-editio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F8DB6227464F3EB81329099A0FFA9D"/>
        <w:category>
          <w:name w:val="General"/>
          <w:gallery w:val="placeholder"/>
        </w:category>
        <w:types>
          <w:type w:val="bbPlcHdr"/>
        </w:types>
        <w:behaviors>
          <w:behavior w:val="content"/>
        </w:behaviors>
        <w:guid w:val="{9A24298C-4F9F-4A46-9ABA-E62B573C31B8}"/>
      </w:docPartPr>
      <w:docPartBody>
        <w:p w:rsidR="004208D9" w:rsidRDefault="00857BC3" w:rsidP="00857BC3">
          <w:pPr>
            <w:pStyle w:val="06F8DB6227464F3EB81329099A0FFA9D"/>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6C477FFFC8E34634A3034CF3650D9D1D"/>
        <w:category>
          <w:name w:val="General"/>
          <w:gallery w:val="placeholder"/>
        </w:category>
        <w:types>
          <w:type w:val="bbPlcHdr"/>
        </w:types>
        <w:behaviors>
          <w:behavior w:val="content"/>
        </w:behaviors>
        <w:guid w:val="{63AE0E9D-8A74-4919-BB1A-5A1B372EA03B}"/>
      </w:docPartPr>
      <w:docPartBody>
        <w:p w:rsidR="004208D9" w:rsidRDefault="00857BC3" w:rsidP="00857BC3">
          <w:pPr>
            <w:pStyle w:val="6C477FFFC8E34634A3034CF3650D9D1D"/>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76"/>
    <w:rsid w:val="002A5908"/>
    <w:rsid w:val="004208D9"/>
    <w:rsid w:val="005303B9"/>
    <w:rsid w:val="007C237E"/>
    <w:rsid w:val="00857BC3"/>
    <w:rsid w:val="00A066D6"/>
    <w:rsid w:val="00A81676"/>
    <w:rsid w:val="00F65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C3"/>
    <w:rPr>
      <w:color w:val="808080"/>
    </w:rPr>
  </w:style>
  <w:style w:type="paragraph" w:customStyle="1" w:styleId="54FF11F796CA4C1485886D9725E62D31">
    <w:name w:val="54FF11F796CA4C1485886D9725E62D31"/>
  </w:style>
  <w:style w:type="paragraph" w:customStyle="1" w:styleId="06F8DB6227464F3EB81329099A0FFA9D">
    <w:name w:val="06F8DB6227464F3EB81329099A0FFA9D"/>
    <w:rsid w:val="00857BC3"/>
  </w:style>
  <w:style w:type="paragraph" w:customStyle="1" w:styleId="6C477FFFC8E34634A3034CF3650D9D1D">
    <w:name w:val="6C477FFFC8E34634A3034CF3650D9D1D"/>
    <w:rsid w:val="00857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Cabinet paper - LEG-19-SUB-0078 - Taxation (Annual Rates for 2019–20, GST Offshore Supplier Registration, and Remedial Matters) Bill: Approval for release of Supplementary Order Paper (11 June 2019)</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LEG-19-SUB-0078 - Taxation (Annual Rates for 2019–20, GST Offshore Supplier Registration, and Remedial Matters) Bill: Approval for release of Supplementary Order Paper (11 June 2019)</dc:title>
  <dc:subject/>
  <dc:creator/>
  <cp:keywords/>
  <dcterms:created xsi:type="dcterms:W3CDTF">2019-06-18T01:38:00Z</dcterms:created>
  <dcterms:modified xsi:type="dcterms:W3CDTF">2019-06-18T01:40:00Z</dcterms:modified>
</cp:coreProperties>
</file>