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CFB8" w14:textId="77777777" w:rsidR="004B6934" w:rsidRPr="00895779" w:rsidRDefault="006622AF" w:rsidP="00895779">
      <w:pPr>
        <w:rPr>
          <w:rFonts w:ascii="Arial" w:hAnsi="Arial" w:cs="Arial"/>
          <w:sz w:val="24"/>
          <w:szCs w:val="24"/>
        </w:rPr>
      </w:pPr>
      <w:r>
        <w:rPr>
          <w:rFonts w:ascii="Arial" w:hAnsi="Arial" w:cs="Arial"/>
          <w:sz w:val="24"/>
          <w:szCs w:val="24"/>
        </w:rPr>
        <w:t>I</w:t>
      </w:r>
      <w:r w:rsidR="004B6934" w:rsidRPr="00895779">
        <w:rPr>
          <w:rFonts w:ascii="Arial" w:hAnsi="Arial" w:cs="Arial"/>
          <w:sz w:val="24"/>
          <w:szCs w:val="24"/>
        </w:rPr>
        <w:t>n Confidence</w:t>
      </w:r>
    </w:p>
    <w:p w14:paraId="2131CFB9" w14:textId="77777777" w:rsidR="004B6934" w:rsidRPr="00895779" w:rsidRDefault="004B6934" w:rsidP="00895779">
      <w:pPr>
        <w:rPr>
          <w:rFonts w:ascii="Arial" w:hAnsi="Arial" w:cs="Arial"/>
          <w:sz w:val="24"/>
          <w:szCs w:val="24"/>
        </w:rPr>
      </w:pPr>
    </w:p>
    <w:p w14:paraId="2131CFBA" w14:textId="77777777" w:rsidR="004B6934" w:rsidRPr="00895779" w:rsidRDefault="004B6934" w:rsidP="00895779">
      <w:pPr>
        <w:rPr>
          <w:rFonts w:ascii="Arial" w:hAnsi="Arial" w:cs="Arial"/>
          <w:sz w:val="24"/>
          <w:szCs w:val="24"/>
        </w:rPr>
      </w:pPr>
      <w:r w:rsidRPr="00895779">
        <w:rPr>
          <w:rFonts w:ascii="Arial" w:hAnsi="Arial" w:cs="Arial"/>
          <w:sz w:val="24"/>
          <w:szCs w:val="24"/>
        </w:rPr>
        <w:t xml:space="preserve">Office of the Minister </w:t>
      </w:r>
      <w:r w:rsidR="006622AF">
        <w:rPr>
          <w:rFonts w:ascii="Arial" w:hAnsi="Arial" w:cs="Arial"/>
          <w:sz w:val="24"/>
          <w:szCs w:val="24"/>
        </w:rPr>
        <w:t>Revenue</w:t>
      </w:r>
    </w:p>
    <w:p w14:paraId="2131CFBB" w14:textId="77777777" w:rsidR="004B6934" w:rsidRPr="00895779" w:rsidRDefault="004B6934" w:rsidP="00895779">
      <w:pPr>
        <w:rPr>
          <w:rFonts w:ascii="Arial" w:hAnsi="Arial" w:cs="Arial"/>
          <w:sz w:val="24"/>
          <w:szCs w:val="24"/>
        </w:rPr>
      </w:pPr>
      <w:r w:rsidRPr="00895779">
        <w:rPr>
          <w:rFonts w:ascii="Arial" w:hAnsi="Arial" w:cs="Arial"/>
          <w:sz w:val="24"/>
          <w:szCs w:val="24"/>
        </w:rPr>
        <w:t xml:space="preserve">Chair, Cabinet </w:t>
      </w:r>
      <w:r w:rsidR="00F4227D">
        <w:rPr>
          <w:rFonts w:ascii="Arial" w:hAnsi="Arial" w:cs="Arial"/>
          <w:sz w:val="24"/>
          <w:szCs w:val="24"/>
        </w:rPr>
        <w:t>Economic Development</w:t>
      </w:r>
      <w:r w:rsidRPr="00895779">
        <w:rPr>
          <w:rFonts w:ascii="Arial" w:hAnsi="Arial" w:cs="Arial"/>
          <w:sz w:val="24"/>
          <w:szCs w:val="24"/>
        </w:rPr>
        <w:t xml:space="preserve"> Committee</w:t>
      </w:r>
    </w:p>
    <w:p w14:paraId="2131CFBC" w14:textId="77777777" w:rsidR="004B6934" w:rsidRPr="00895779" w:rsidRDefault="004B6934" w:rsidP="00895779">
      <w:pPr>
        <w:rPr>
          <w:rFonts w:ascii="Arial" w:hAnsi="Arial" w:cs="Arial"/>
          <w:sz w:val="24"/>
          <w:szCs w:val="24"/>
        </w:rPr>
      </w:pPr>
    </w:p>
    <w:p w14:paraId="2131CFBD" w14:textId="77777777" w:rsidR="004B6934" w:rsidRPr="00895779" w:rsidRDefault="00594B43" w:rsidP="00895779">
      <w:pPr>
        <w:rPr>
          <w:rFonts w:ascii="Arial" w:hAnsi="Arial" w:cs="Arial"/>
          <w:sz w:val="24"/>
          <w:szCs w:val="24"/>
        </w:rPr>
      </w:pPr>
      <w:r>
        <w:rPr>
          <w:rStyle w:val="Heading1Char"/>
        </w:rPr>
        <w:t xml:space="preserve">INCOME TAX TREATMENT OF </w:t>
      </w:r>
      <w:r w:rsidR="001365EE">
        <w:rPr>
          <w:rStyle w:val="Heading1Char"/>
        </w:rPr>
        <w:t>LEAS</w:t>
      </w:r>
      <w:r>
        <w:rPr>
          <w:rStyle w:val="Heading1Char"/>
        </w:rPr>
        <w:t>ES SUBJECT TO</w:t>
      </w:r>
      <w:r w:rsidR="001365EE">
        <w:rPr>
          <w:rStyle w:val="Heading1Char"/>
        </w:rPr>
        <w:t xml:space="preserve"> NZ IFRS 16</w:t>
      </w:r>
    </w:p>
    <w:p w14:paraId="2131CFBE" w14:textId="77777777" w:rsidR="004B6934" w:rsidRPr="00BE7A41" w:rsidRDefault="004B6934" w:rsidP="00BE7A41">
      <w:pPr>
        <w:pStyle w:val="Heading2"/>
      </w:pPr>
      <w:r w:rsidRPr="00BE7A41">
        <w:t>Proposal</w:t>
      </w:r>
    </w:p>
    <w:p w14:paraId="2131CFBF" w14:textId="77777777" w:rsidR="004B6934" w:rsidRDefault="004B6934" w:rsidP="00B430DD">
      <w:pPr>
        <w:pStyle w:val="ListParagraph"/>
        <w:numPr>
          <w:ilvl w:val="0"/>
          <w:numId w:val="4"/>
        </w:numPr>
        <w:spacing w:after="240" w:line="240" w:lineRule="auto"/>
        <w:ind w:left="709" w:hanging="709"/>
        <w:contextualSpacing w:val="0"/>
        <w:rPr>
          <w:rFonts w:ascii="Arial" w:hAnsi="Arial" w:cs="Arial"/>
          <w:sz w:val="24"/>
          <w:szCs w:val="24"/>
        </w:rPr>
      </w:pPr>
      <w:r w:rsidRPr="00DF0347">
        <w:rPr>
          <w:rFonts w:ascii="Arial" w:hAnsi="Arial" w:cs="Arial"/>
          <w:sz w:val="24"/>
          <w:szCs w:val="24"/>
        </w:rPr>
        <w:t xml:space="preserve">This paper seeks </w:t>
      </w:r>
      <w:r w:rsidR="00BB76AF">
        <w:rPr>
          <w:rFonts w:ascii="Arial" w:hAnsi="Arial" w:cs="Arial"/>
          <w:sz w:val="24"/>
          <w:szCs w:val="24"/>
        </w:rPr>
        <w:t>the Cabinet Economic Development Committee’s</w:t>
      </w:r>
      <w:r w:rsidR="00BE229E">
        <w:rPr>
          <w:rFonts w:ascii="Arial" w:hAnsi="Arial" w:cs="Arial"/>
          <w:sz w:val="24"/>
          <w:szCs w:val="24"/>
        </w:rPr>
        <w:t xml:space="preserve"> </w:t>
      </w:r>
      <w:r w:rsidRPr="00DF0347">
        <w:rPr>
          <w:rFonts w:ascii="Arial" w:hAnsi="Arial" w:cs="Arial"/>
          <w:sz w:val="24"/>
          <w:szCs w:val="24"/>
        </w:rPr>
        <w:t>agreement to</w:t>
      </w:r>
      <w:r w:rsidR="00296DD2">
        <w:rPr>
          <w:rFonts w:ascii="Arial" w:hAnsi="Arial" w:cs="Arial"/>
          <w:sz w:val="24"/>
          <w:szCs w:val="24"/>
        </w:rPr>
        <w:t xml:space="preserve"> allow taxpayers who follow International Financial Reporting Standards (IFRS)</w:t>
      </w:r>
      <w:r w:rsidR="007917CD">
        <w:rPr>
          <w:rFonts w:ascii="Arial" w:hAnsi="Arial" w:cs="Arial"/>
          <w:sz w:val="24"/>
          <w:szCs w:val="24"/>
        </w:rPr>
        <w:t xml:space="preserve"> to choose to follow their accounting treatment, with certain adjustments, for calculating tax deductions </w:t>
      </w:r>
      <w:r w:rsidR="009477B0">
        <w:rPr>
          <w:rFonts w:ascii="Arial" w:hAnsi="Arial" w:cs="Arial"/>
          <w:sz w:val="24"/>
          <w:szCs w:val="24"/>
        </w:rPr>
        <w:t>for expenditure under operating lease</w:t>
      </w:r>
      <w:r w:rsidR="00CE156B">
        <w:rPr>
          <w:rFonts w:ascii="Arial" w:hAnsi="Arial" w:cs="Arial"/>
          <w:sz w:val="24"/>
          <w:szCs w:val="24"/>
        </w:rPr>
        <w:t>s</w:t>
      </w:r>
      <w:r w:rsidR="009477B0">
        <w:rPr>
          <w:rFonts w:ascii="Arial" w:hAnsi="Arial" w:cs="Arial"/>
          <w:sz w:val="24"/>
          <w:szCs w:val="24"/>
        </w:rPr>
        <w:t xml:space="preserve"> other than real property.</w:t>
      </w:r>
      <w:r w:rsidR="00B430DD" w:rsidRPr="00B430DD">
        <w:rPr>
          <w:vertAlign w:val="superscript"/>
        </w:rPr>
        <w:t xml:space="preserve"> </w:t>
      </w:r>
      <w:r w:rsidR="00B430DD" w:rsidRPr="00B430DD">
        <w:rPr>
          <w:rFonts w:ascii="Arial" w:hAnsi="Arial" w:cs="Arial"/>
          <w:sz w:val="24"/>
          <w:szCs w:val="24"/>
          <w:vertAlign w:val="superscript"/>
        </w:rPr>
        <w:footnoteReference w:id="1"/>
      </w:r>
      <w:r w:rsidRPr="00DF0347">
        <w:rPr>
          <w:rFonts w:ascii="Arial" w:hAnsi="Arial" w:cs="Arial"/>
          <w:sz w:val="24"/>
          <w:szCs w:val="24"/>
        </w:rPr>
        <w:t xml:space="preserve">  </w:t>
      </w:r>
    </w:p>
    <w:p w14:paraId="2131CFC0" w14:textId="77777777" w:rsidR="00B430DD" w:rsidRPr="00DF0347" w:rsidRDefault="00B430DD" w:rsidP="00DF0347">
      <w:pPr>
        <w:pStyle w:val="ListParagraph"/>
        <w:numPr>
          <w:ilvl w:val="0"/>
          <w:numId w:val="4"/>
        </w:numPr>
        <w:ind w:left="709" w:hanging="709"/>
        <w:rPr>
          <w:rFonts w:ascii="Arial" w:hAnsi="Arial" w:cs="Arial"/>
          <w:sz w:val="24"/>
          <w:szCs w:val="24"/>
        </w:rPr>
      </w:pPr>
      <w:r>
        <w:rPr>
          <w:rFonts w:ascii="Arial" w:hAnsi="Arial" w:cs="Arial"/>
          <w:sz w:val="24"/>
          <w:szCs w:val="24"/>
        </w:rPr>
        <w:t>Cabinet approval is sought as this is a policy change to the timing of lease deductions which will potentially affect all IFRS taxpayers and has a $9 million fiscal cost over 5 years.</w:t>
      </w:r>
    </w:p>
    <w:p w14:paraId="2131CFC1" w14:textId="77777777" w:rsidR="004B6934" w:rsidRPr="00DF0347" w:rsidRDefault="004B6934" w:rsidP="00BE7A41">
      <w:pPr>
        <w:pStyle w:val="Heading2"/>
      </w:pPr>
      <w:r w:rsidRPr="00DF0347">
        <w:t>Executive Summary</w:t>
      </w:r>
    </w:p>
    <w:p w14:paraId="2131CFC2" w14:textId="77777777" w:rsidR="004B6934" w:rsidRPr="00154A02" w:rsidRDefault="007F252D" w:rsidP="00154A02">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Taxpayers who </w:t>
      </w:r>
      <w:r w:rsidR="00131649">
        <w:rPr>
          <w:rFonts w:ascii="Arial" w:hAnsi="Arial" w:cs="Arial"/>
          <w:sz w:val="24"/>
          <w:szCs w:val="24"/>
        </w:rPr>
        <w:t>have IFRS reporting obligations</w:t>
      </w:r>
      <w:r w:rsidR="00131649" w:rsidRPr="00B71EFB">
        <w:rPr>
          <w:rFonts w:ascii="Arial" w:hAnsi="Arial" w:cs="Arial"/>
          <w:sz w:val="24"/>
          <w:szCs w:val="24"/>
          <w:vertAlign w:val="superscript"/>
        </w:rPr>
        <w:footnoteReference w:id="2"/>
      </w:r>
      <w:r w:rsidR="00131649">
        <w:rPr>
          <w:rFonts w:ascii="Arial" w:hAnsi="Arial" w:cs="Arial"/>
          <w:sz w:val="24"/>
          <w:szCs w:val="24"/>
        </w:rPr>
        <w:t xml:space="preserve"> are required to follow </w:t>
      </w:r>
      <w:r w:rsidR="007D75A7">
        <w:rPr>
          <w:rFonts w:ascii="Arial" w:hAnsi="Arial" w:cs="Arial"/>
          <w:sz w:val="24"/>
          <w:szCs w:val="24"/>
        </w:rPr>
        <w:t xml:space="preserve">the new accounting standard </w:t>
      </w:r>
      <w:r w:rsidR="007D75A7" w:rsidRPr="001A5E83">
        <w:rPr>
          <w:rFonts w:ascii="Arial" w:hAnsi="Arial" w:cs="Arial"/>
          <w:i/>
          <w:sz w:val="24"/>
          <w:szCs w:val="24"/>
        </w:rPr>
        <w:t>New Zealand Equivalent to International Financial Reporting Standard 16 Leases</w:t>
      </w:r>
      <w:r w:rsidR="007D75A7" w:rsidRPr="00E33490">
        <w:rPr>
          <w:rFonts w:ascii="Arial" w:hAnsi="Arial" w:cs="Arial"/>
          <w:sz w:val="24"/>
          <w:szCs w:val="24"/>
        </w:rPr>
        <w:t xml:space="preserve"> (NZ IFRS 16 or IFRS 16)</w:t>
      </w:r>
      <w:r w:rsidR="007D75A7">
        <w:rPr>
          <w:rFonts w:ascii="Arial" w:hAnsi="Arial" w:cs="Arial"/>
          <w:sz w:val="24"/>
          <w:szCs w:val="24"/>
        </w:rPr>
        <w:t xml:space="preserve"> for years starting on or after 1 January 2019.</w:t>
      </w:r>
    </w:p>
    <w:p w14:paraId="2131CFC3" w14:textId="77777777" w:rsidR="00154A02" w:rsidRDefault="00B71EFB" w:rsidP="001A5E83">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IFRS 16</w:t>
      </w:r>
      <w:r w:rsidR="00C8162B">
        <w:rPr>
          <w:rFonts w:ascii="Arial" w:hAnsi="Arial" w:cs="Arial"/>
          <w:sz w:val="24"/>
          <w:szCs w:val="24"/>
        </w:rPr>
        <w:t xml:space="preserve"> </w:t>
      </w:r>
      <w:r w:rsidR="00582392">
        <w:rPr>
          <w:rFonts w:ascii="Arial" w:hAnsi="Arial" w:cs="Arial"/>
          <w:sz w:val="24"/>
          <w:szCs w:val="24"/>
        </w:rPr>
        <w:t>changes</w:t>
      </w:r>
      <w:r w:rsidR="00F22E0F">
        <w:rPr>
          <w:rFonts w:ascii="Arial" w:hAnsi="Arial" w:cs="Arial"/>
          <w:sz w:val="24"/>
          <w:szCs w:val="24"/>
        </w:rPr>
        <w:t xml:space="preserve"> </w:t>
      </w:r>
      <w:r w:rsidR="00582392">
        <w:rPr>
          <w:rFonts w:ascii="Arial" w:hAnsi="Arial" w:cs="Arial"/>
          <w:sz w:val="24"/>
          <w:szCs w:val="24"/>
        </w:rPr>
        <w:t xml:space="preserve">the timing of accounting expenditure </w:t>
      </w:r>
      <w:r w:rsidR="001A009D">
        <w:rPr>
          <w:rFonts w:ascii="Arial" w:hAnsi="Arial" w:cs="Arial"/>
          <w:sz w:val="24"/>
          <w:szCs w:val="24"/>
        </w:rPr>
        <w:t>f</w:t>
      </w:r>
      <w:r w:rsidR="00DC0921">
        <w:rPr>
          <w:rFonts w:ascii="Arial" w:hAnsi="Arial" w:cs="Arial"/>
          <w:sz w:val="24"/>
          <w:szCs w:val="24"/>
        </w:rPr>
        <w:t>or</w:t>
      </w:r>
      <w:r w:rsidR="001A009D">
        <w:rPr>
          <w:rFonts w:ascii="Arial" w:hAnsi="Arial" w:cs="Arial"/>
          <w:sz w:val="24"/>
          <w:szCs w:val="24"/>
        </w:rPr>
        <w:t xml:space="preserve"> lessees (the person with use of the asset) </w:t>
      </w:r>
      <w:r w:rsidR="00582392">
        <w:rPr>
          <w:rFonts w:ascii="Arial" w:hAnsi="Arial" w:cs="Arial"/>
          <w:sz w:val="24"/>
          <w:szCs w:val="24"/>
        </w:rPr>
        <w:t>compared to the previous treatment</w:t>
      </w:r>
      <w:r w:rsidR="005A761D">
        <w:rPr>
          <w:rFonts w:ascii="Arial" w:hAnsi="Arial" w:cs="Arial"/>
          <w:sz w:val="24"/>
          <w:szCs w:val="24"/>
        </w:rPr>
        <w:t>;</w:t>
      </w:r>
      <w:r w:rsidR="00F22E0F">
        <w:rPr>
          <w:rFonts w:ascii="Arial" w:hAnsi="Arial" w:cs="Arial"/>
          <w:sz w:val="24"/>
          <w:szCs w:val="24"/>
        </w:rPr>
        <w:t xml:space="preserve"> but</w:t>
      </w:r>
      <w:r w:rsidR="003432FE">
        <w:rPr>
          <w:rFonts w:ascii="Arial" w:hAnsi="Arial" w:cs="Arial"/>
          <w:sz w:val="24"/>
          <w:szCs w:val="24"/>
        </w:rPr>
        <w:t xml:space="preserve"> </w:t>
      </w:r>
      <w:r w:rsidR="00F22E0F">
        <w:rPr>
          <w:rFonts w:ascii="Arial" w:hAnsi="Arial" w:cs="Arial"/>
          <w:sz w:val="24"/>
          <w:szCs w:val="24"/>
        </w:rPr>
        <w:t>t</w:t>
      </w:r>
      <w:r w:rsidR="000B429D">
        <w:rPr>
          <w:rFonts w:ascii="Arial" w:hAnsi="Arial" w:cs="Arial"/>
          <w:sz w:val="24"/>
          <w:szCs w:val="24"/>
        </w:rPr>
        <w:t xml:space="preserve">otal deductions are unchanged over the life of the lease.  </w:t>
      </w:r>
      <w:r w:rsidR="003432FE">
        <w:rPr>
          <w:rFonts w:ascii="Arial" w:hAnsi="Arial" w:cs="Arial"/>
          <w:sz w:val="24"/>
          <w:szCs w:val="24"/>
        </w:rPr>
        <w:t xml:space="preserve">I propose that </w:t>
      </w:r>
      <w:r w:rsidR="001F30C4">
        <w:rPr>
          <w:rFonts w:ascii="Arial" w:hAnsi="Arial" w:cs="Arial"/>
          <w:sz w:val="24"/>
          <w:szCs w:val="24"/>
        </w:rPr>
        <w:t>lessees</w:t>
      </w:r>
      <w:r w:rsidR="003432FE">
        <w:rPr>
          <w:rFonts w:ascii="Arial" w:hAnsi="Arial" w:cs="Arial"/>
          <w:sz w:val="24"/>
          <w:szCs w:val="24"/>
        </w:rPr>
        <w:t xml:space="preserve"> who follow IFRS should be able to elect to follow</w:t>
      </w:r>
      <w:r w:rsidR="00D17DC9">
        <w:rPr>
          <w:rFonts w:ascii="Arial" w:hAnsi="Arial" w:cs="Arial"/>
          <w:sz w:val="24"/>
          <w:szCs w:val="24"/>
        </w:rPr>
        <w:t xml:space="preserve">, </w:t>
      </w:r>
      <w:r w:rsidR="00467903">
        <w:rPr>
          <w:rFonts w:ascii="Arial" w:hAnsi="Arial" w:cs="Arial"/>
          <w:sz w:val="24"/>
          <w:szCs w:val="24"/>
        </w:rPr>
        <w:t xml:space="preserve">subject to </w:t>
      </w:r>
      <w:r w:rsidR="00D17DC9">
        <w:rPr>
          <w:rFonts w:ascii="Arial" w:hAnsi="Arial" w:cs="Arial"/>
          <w:sz w:val="24"/>
          <w:szCs w:val="24"/>
        </w:rPr>
        <w:t>certain adjustments,</w:t>
      </w:r>
      <w:r w:rsidR="003432FE">
        <w:rPr>
          <w:rFonts w:ascii="Arial" w:hAnsi="Arial" w:cs="Arial"/>
          <w:sz w:val="24"/>
          <w:szCs w:val="24"/>
        </w:rPr>
        <w:t xml:space="preserve"> their </w:t>
      </w:r>
      <w:r w:rsidR="008C44B2">
        <w:rPr>
          <w:rFonts w:ascii="Arial" w:hAnsi="Arial" w:cs="Arial"/>
          <w:sz w:val="24"/>
          <w:szCs w:val="24"/>
        </w:rPr>
        <w:t xml:space="preserve">IFRS 16 </w:t>
      </w:r>
      <w:r w:rsidR="003432FE">
        <w:rPr>
          <w:rFonts w:ascii="Arial" w:hAnsi="Arial" w:cs="Arial"/>
          <w:sz w:val="24"/>
          <w:szCs w:val="24"/>
        </w:rPr>
        <w:t xml:space="preserve">treatment </w:t>
      </w:r>
      <w:r w:rsidR="002316F8">
        <w:rPr>
          <w:rFonts w:ascii="Arial" w:hAnsi="Arial" w:cs="Arial"/>
          <w:sz w:val="24"/>
          <w:szCs w:val="24"/>
        </w:rPr>
        <w:t>when calculating income tax deductions on operating leases</w:t>
      </w:r>
      <w:r w:rsidR="00F22E0F">
        <w:rPr>
          <w:rFonts w:ascii="Arial" w:hAnsi="Arial" w:cs="Arial"/>
          <w:sz w:val="24"/>
          <w:szCs w:val="24"/>
        </w:rPr>
        <w:t xml:space="preserve"> other than real property</w:t>
      </w:r>
      <w:r w:rsidR="001A5E83">
        <w:rPr>
          <w:rFonts w:ascii="Arial" w:hAnsi="Arial" w:cs="Arial"/>
          <w:sz w:val="24"/>
          <w:szCs w:val="24"/>
        </w:rPr>
        <w:t>.</w:t>
      </w:r>
    </w:p>
    <w:p w14:paraId="2131CFC4" w14:textId="77777777" w:rsidR="001A5E83" w:rsidRPr="00154A02" w:rsidRDefault="001A5E83" w:rsidP="001A5E83">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Allowing</w:t>
      </w:r>
      <w:r w:rsidR="006B4350">
        <w:rPr>
          <w:rFonts w:ascii="Arial" w:hAnsi="Arial" w:cs="Arial"/>
          <w:sz w:val="24"/>
          <w:szCs w:val="24"/>
        </w:rPr>
        <w:t xml:space="preserve"> these taxpayers to follow </w:t>
      </w:r>
      <w:r w:rsidR="008B2A93">
        <w:rPr>
          <w:rFonts w:ascii="Arial" w:hAnsi="Arial" w:cs="Arial"/>
          <w:sz w:val="24"/>
          <w:szCs w:val="24"/>
        </w:rPr>
        <w:t xml:space="preserve">their </w:t>
      </w:r>
      <w:r w:rsidR="008C44B2">
        <w:rPr>
          <w:rFonts w:ascii="Arial" w:hAnsi="Arial" w:cs="Arial"/>
          <w:sz w:val="24"/>
          <w:szCs w:val="24"/>
        </w:rPr>
        <w:t xml:space="preserve">IFRS 16 </w:t>
      </w:r>
      <w:r w:rsidR="008B2A93">
        <w:rPr>
          <w:rFonts w:ascii="Arial" w:hAnsi="Arial" w:cs="Arial"/>
          <w:sz w:val="24"/>
          <w:szCs w:val="24"/>
        </w:rPr>
        <w:t xml:space="preserve">treatment </w:t>
      </w:r>
      <w:r w:rsidR="0060381F">
        <w:rPr>
          <w:rFonts w:ascii="Arial" w:hAnsi="Arial" w:cs="Arial"/>
          <w:sz w:val="24"/>
          <w:szCs w:val="24"/>
        </w:rPr>
        <w:t xml:space="preserve">will </w:t>
      </w:r>
      <w:r w:rsidR="00A80361">
        <w:rPr>
          <w:rFonts w:ascii="Arial" w:hAnsi="Arial" w:cs="Arial"/>
          <w:sz w:val="24"/>
          <w:szCs w:val="24"/>
        </w:rPr>
        <w:t>more closely align the tax treatment with other methods of acquiring assets such as a finance lease or a debt funded outright purchase.  It will also reduce compliance costs</w:t>
      </w:r>
      <w:r w:rsidR="0018007D">
        <w:rPr>
          <w:rFonts w:ascii="Arial" w:hAnsi="Arial" w:cs="Arial"/>
          <w:sz w:val="24"/>
          <w:szCs w:val="24"/>
        </w:rPr>
        <w:t>, and the possibility of inadvertent errors, from</w:t>
      </w:r>
      <w:r w:rsidR="000B429D">
        <w:rPr>
          <w:rFonts w:ascii="Arial" w:hAnsi="Arial" w:cs="Arial"/>
          <w:sz w:val="24"/>
          <w:szCs w:val="24"/>
        </w:rPr>
        <w:t xml:space="preserve"> having to back out accounting expenditure and calculate a separate tax deduction.</w:t>
      </w:r>
    </w:p>
    <w:p w14:paraId="2131CFC5" w14:textId="77777777" w:rsidR="004B6934" w:rsidRPr="00DF0347" w:rsidRDefault="004B6934" w:rsidP="00BE7A41">
      <w:pPr>
        <w:pStyle w:val="Heading2"/>
      </w:pPr>
      <w:r w:rsidRPr="00DF0347">
        <w:t>Background</w:t>
      </w:r>
    </w:p>
    <w:p w14:paraId="2131CFC6" w14:textId="77777777" w:rsidR="00E33490" w:rsidRPr="00E33490" w:rsidRDefault="00E33490" w:rsidP="00827734">
      <w:pPr>
        <w:pStyle w:val="ListParagraph"/>
        <w:numPr>
          <w:ilvl w:val="0"/>
          <w:numId w:val="4"/>
        </w:numPr>
        <w:spacing w:after="240" w:line="240" w:lineRule="auto"/>
        <w:ind w:left="709" w:hanging="709"/>
        <w:rPr>
          <w:rFonts w:ascii="Arial" w:hAnsi="Arial" w:cs="Arial"/>
          <w:sz w:val="24"/>
          <w:szCs w:val="24"/>
        </w:rPr>
      </w:pPr>
      <w:r w:rsidRPr="00E33490">
        <w:rPr>
          <w:rFonts w:ascii="Arial" w:hAnsi="Arial" w:cs="Arial"/>
          <w:sz w:val="24"/>
          <w:szCs w:val="24"/>
        </w:rPr>
        <w:t xml:space="preserve">A lease involves one person (known as the lessor) who owns (or otherwise holds) an asset providing it to another person (known as the lessee) to use in exchange for payment over the term of the lease.  For entities with IFRS reporting obligations, the accounting treatment was previously determined under </w:t>
      </w:r>
      <w:r w:rsidRPr="00B3258D">
        <w:rPr>
          <w:rFonts w:ascii="Arial" w:hAnsi="Arial" w:cs="Arial"/>
          <w:i/>
          <w:sz w:val="24"/>
          <w:szCs w:val="24"/>
        </w:rPr>
        <w:t xml:space="preserve">New Zealand Equivalent to </w:t>
      </w:r>
      <w:r w:rsidRPr="00B3258D">
        <w:rPr>
          <w:rFonts w:ascii="Arial" w:hAnsi="Arial" w:cs="Arial"/>
          <w:i/>
          <w:sz w:val="24"/>
          <w:szCs w:val="24"/>
        </w:rPr>
        <w:lastRenderedPageBreak/>
        <w:t>International Accounting Standard 17 Leases</w:t>
      </w:r>
      <w:r w:rsidRPr="00E33490">
        <w:rPr>
          <w:rFonts w:ascii="Arial" w:hAnsi="Arial" w:cs="Arial"/>
          <w:sz w:val="24"/>
          <w:szCs w:val="24"/>
        </w:rPr>
        <w:t xml:space="preserve"> (NZ IAS 17). This standard has been replaced by </w:t>
      </w:r>
      <w:bookmarkStart w:id="0" w:name="_Hlk22138603"/>
      <w:r w:rsidRPr="00E33490">
        <w:rPr>
          <w:rFonts w:ascii="Arial" w:hAnsi="Arial" w:cs="Arial"/>
          <w:sz w:val="24"/>
          <w:szCs w:val="24"/>
        </w:rPr>
        <w:t>IFRS 16</w:t>
      </w:r>
      <w:bookmarkEnd w:id="0"/>
      <w:r w:rsidR="001048D7">
        <w:rPr>
          <w:rFonts w:ascii="Arial" w:hAnsi="Arial" w:cs="Arial"/>
          <w:sz w:val="24"/>
          <w:szCs w:val="24"/>
        </w:rPr>
        <w:t xml:space="preserve"> </w:t>
      </w:r>
      <w:r w:rsidRPr="00E33490">
        <w:rPr>
          <w:rFonts w:ascii="Arial" w:hAnsi="Arial" w:cs="Arial"/>
          <w:sz w:val="24"/>
          <w:szCs w:val="24"/>
        </w:rPr>
        <w:t>for years starting on or after 1 January 2019.</w:t>
      </w:r>
    </w:p>
    <w:p w14:paraId="2131CFC7" w14:textId="77777777" w:rsidR="00E33490" w:rsidRPr="002950F1" w:rsidRDefault="00E33490" w:rsidP="002950F1">
      <w:pPr>
        <w:spacing w:after="240" w:line="240" w:lineRule="auto"/>
        <w:rPr>
          <w:rFonts w:ascii="Arial" w:hAnsi="Arial" w:cs="Arial"/>
          <w:b/>
          <w:i/>
          <w:sz w:val="24"/>
          <w:szCs w:val="24"/>
        </w:rPr>
      </w:pPr>
      <w:r w:rsidRPr="002950F1">
        <w:rPr>
          <w:rFonts w:ascii="Arial" w:hAnsi="Arial" w:cs="Arial"/>
          <w:b/>
          <w:i/>
          <w:sz w:val="24"/>
          <w:szCs w:val="24"/>
        </w:rPr>
        <w:t>Accounting treatment under NZ IAS 17</w:t>
      </w:r>
    </w:p>
    <w:p w14:paraId="2131CFC8" w14:textId="77777777" w:rsidR="00E33490" w:rsidRDefault="00E33490" w:rsidP="00827734">
      <w:pPr>
        <w:pStyle w:val="ListParagraph"/>
        <w:numPr>
          <w:ilvl w:val="0"/>
          <w:numId w:val="4"/>
        </w:numPr>
        <w:spacing w:after="240" w:line="240" w:lineRule="auto"/>
        <w:ind w:left="709" w:hanging="709"/>
        <w:contextualSpacing w:val="0"/>
        <w:rPr>
          <w:rFonts w:ascii="Arial" w:hAnsi="Arial" w:cs="Arial"/>
          <w:sz w:val="24"/>
          <w:szCs w:val="24"/>
        </w:rPr>
      </w:pPr>
      <w:bookmarkStart w:id="1" w:name="_Ref22140726"/>
      <w:r w:rsidRPr="00E33490">
        <w:rPr>
          <w:rFonts w:ascii="Arial" w:hAnsi="Arial" w:cs="Arial"/>
          <w:sz w:val="24"/>
          <w:szCs w:val="24"/>
        </w:rPr>
        <w:t>Under NZ IAS 17, there was a difference in the accounting treatment between operating and finance leases.  NZ IAS 17 define</w:t>
      </w:r>
      <w:r w:rsidR="00CA7325">
        <w:rPr>
          <w:rFonts w:ascii="Arial" w:hAnsi="Arial" w:cs="Arial"/>
          <w:sz w:val="24"/>
          <w:szCs w:val="24"/>
        </w:rPr>
        <w:t>d</w:t>
      </w:r>
      <w:r w:rsidRPr="00E33490">
        <w:rPr>
          <w:rFonts w:ascii="Arial" w:hAnsi="Arial" w:cs="Arial"/>
          <w:sz w:val="24"/>
          <w:szCs w:val="24"/>
        </w:rPr>
        <w:t xml:space="preserve"> the distinction as follows:</w:t>
      </w:r>
      <w:bookmarkEnd w:id="1"/>
    </w:p>
    <w:p w14:paraId="2131CFC9" w14:textId="77777777" w:rsidR="00FC3284" w:rsidRPr="00FC3284" w:rsidRDefault="00FC3284" w:rsidP="00175431">
      <w:pPr>
        <w:pStyle w:val="ListParagraph"/>
        <w:spacing w:after="240" w:line="240" w:lineRule="auto"/>
        <w:ind w:left="1418"/>
        <w:rPr>
          <w:rFonts w:ascii="Arial" w:hAnsi="Arial" w:cs="Arial"/>
          <w:i/>
          <w:sz w:val="24"/>
          <w:szCs w:val="24"/>
        </w:rPr>
      </w:pPr>
      <w:r w:rsidRPr="00FC3284">
        <w:rPr>
          <w:rFonts w:ascii="Arial" w:hAnsi="Arial" w:cs="Arial"/>
          <w:sz w:val="24"/>
          <w:szCs w:val="24"/>
        </w:rPr>
        <w:t>A</w:t>
      </w:r>
      <w:r w:rsidR="00E33490" w:rsidRPr="00FC3284">
        <w:rPr>
          <w:rFonts w:ascii="Arial" w:hAnsi="Arial" w:cs="Arial"/>
          <w:i/>
          <w:sz w:val="24"/>
          <w:szCs w:val="24"/>
        </w:rPr>
        <w:t xml:space="preserve"> lease is classified as a finance lease if it transfers substantially all the risks and rewards incidental to ownership.  A lease is classified as an operating lease if it does not transfer substantially all the risks and rewards incidental to ownership.</w:t>
      </w:r>
    </w:p>
    <w:p w14:paraId="2131CFCA" w14:textId="77777777" w:rsidR="00E33490" w:rsidRPr="00E33490" w:rsidRDefault="00E33490" w:rsidP="002950F1">
      <w:pPr>
        <w:pStyle w:val="ListParagraph"/>
        <w:spacing w:after="240" w:line="240" w:lineRule="auto"/>
        <w:ind w:left="360"/>
        <w:rPr>
          <w:rFonts w:ascii="Arial" w:hAnsi="Arial" w:cs="Arial"/>
          <w:sz w:val="24"/>
          <w:szCs w:val="24"/>
        </w:rPr>
      </w:pPr>
    </w:p>
    <w:p w14:paraId="2131CFCB" w14:textId="77777777" w:rsidR="00E33490" w:rsidRPr="00E33490" w:rsidRDefault="00E33490" w:rsidP="004A3A22">
      <w:pPr>
        <w:pStyle w:val="ListParagraph"/>
        <w:numPr>
          <w:ilvl w:val="0"/>
          <w:numId w:val="4"/>
        </w:numPr>
        <w:spacing w:after="240" w:line="240" w:lineRule="auto"/>
        <w:ind w:left="709" w:hanging="709"/>
        <w:rPr>
          <w:rFonts w:ascii="Arial" w:hAnsi="Arial" w:cs="Arial"/>
          <w:sz w:val="24"/>
          <w:szCs w:val="24"/>
        </w:rPr>
      </w:pPr>
      <w:r w:rsidRPr="00E33490">
        <w:rPr>
          <w:rFonts w:ascii="Arial" w:hAnsi="Arial" w:cs="Arial"/>
          <w:sz w:val="24"/>
          <w:szCs w:val="24"/>
        </w:rPr>
        <w:t>For example, a lease would be a finance lease if the lessee leased the asset for the majority of its estimated useful life then had the right to purchase it from the lessor for a fixed price at the end of the lease.  In contrast, a lease would be an operating lease if the lessee only leased the asset for a short portion of the estimated useful life then at the end of the lease it was returned to the lessor to lease or sell to someone else.</w:t>
      </w:r>
    </w:p>
    <w:p w14:paraId="2131CFCC" w14:textId="77777777" w:rsidR="00E33490" w:rsidRPr="004A3A22" w:rsidRDefault="00E33490" w:rsidP="002950F1">
      <w:pPr>
        <w:spacing w:after="240" w:line="240" w:lineRule="auto"/>
        <w:rPr>
          <w:rFonts w:ascii="Arial" w:hAnsi="Arial" w:cs="Arial"/>
          <w:b/>
          <w:i/>
          <w:sz w:val="24"/>
          <w:szCs w:val="24"/>
        </w:rPr>
      </w:pPr>
      <w:r w:rsidRPr="004A3A22">
        <w:rPr>
          <w:rFonts w:ascii="Arial" w:hAnsi="Arial" w:cs="Arial"/>
          <w:b/>
          <w:i/>
          <w:sz w:val="24"/>
          <w:szCs w:val="24"/>
        </w:rPr>
        <w:t>Current tax treatment</w:t>
      </w:r>
    </w:p>
    <w:p w14:paraId="2131CFCD" w14:textId="77777777" w:rsidR="00E33490" w:rsidRPr="00E33490" w:rsidRDefault="00E33490" w:rsidP="004A3A22">
      <w:pPr>
        <w:pStyle w:val="ListParagraph"/>
        <w:numPr>
          <w:ilvl w:val="0"/>
          <w:numId w:val="4"/>
        </w:numPr>
        <w:spacing w:after="240" w:line="240" w:lineRule="auto"/>
        <w:ind w:left="709" w:hanging="709"/>
        <w:rPr>
          <w:rFonts w:ascii="Arial" w:hAnsi="Arial" w:cs="Arial"/>
          <w:sz w:val="24"/>
          <w:szCs w:val="24"/>
        </w:rPr>
      </w:pPr>
      <w:r w:rsidRPr="00E33490">
        <w:rPr>
          <w:rFonts w:ascii="Arial" w:hAnsi="Arial" w:cs="Arial"/>
          <w:sz w:val="24"/>
          <w:szCs w:val="24"/>
        </w:rPr>
        <w:t>The Income Tax Act 2007 contains two separate sets of rules for finance and operating leases.  These definitions are similar</w:t>
      </w:r>
      <w:r w:rsidR="00250C69">
        <w:rPr>
          <w:rFonts w:ascii="Arial" w:hAnsi="Arial" w:cs="Arial"/>
          <w:sz w:val="24"/>
          <w:szCs w:val="24"/>
        </w:rPr>
        <w:t>,</w:t>
      </w:r>
      <w:r w:rsidRPr="00E33490">
        <w:rPr>
          <w:rFonts w:ascii="Arial" w:hAnsi="Arial" w:cs="Arial"/>
          <w:sz w:val="24"/>
          <w:szCs w:val="24"/>
        </w:rPr>
        <w:t xml:space="preserve"> but not identical to</w:t>
      </w:r>
      <w:r w:rsidR="00250C69">
        <w:rPr>
          <w:rFonts w:ascii="Arial" w:hAnsi="Arial" w:cs="Arial"/>
          <w:sz w:val="24"/>
          <w:szCs w:val="24"/>
        </w:rPr>
        <w:t>,</w:t>
      </w:r>
      <w:r w:rsidRPr="00E33490">
        <w:rPr>
          <w:rFonts w:ascii="Arial" w:hAnsi="Arial" w:cs="Arial"/>
          <w:sz w:val="24"/>
          <w:szCs w:val="24"/>
        </w:rPr>
        <w:t xml:space="preserve"> the NZ IAS 17 definition.  The largest difference is that all leases of real property</w:t>
      </w:r>
      <w:r w:rsidR="00751E01">
        <w:rPr>
          <w:rFonts w:ascii="Arial" w:hAnsi="Arial" w:cs="Arial"/>
          <w:sz w:val="24"/>
          <w:szCs w:val="24"/>
        </w:rPr>
        <w:t xml:space="preserve"> </w:t>
      </w:r>
      <w:r w:rsidRPr="00E33490">
        <w:rPr>
          <w:rFonts w:ascii="Arial" w:hAnsi="Arial" w:cs="Arial"/>
          <w:sz w:val="24"/>
          <w:szCs w:val="24"/>
        </w:rPr>
        <w:t>are operating leases for tax purposes. For finance leases, the lease payments are taxed under the financial arrangements rules and are treated like the repayment of a loan with interest.  For operating leases, the lease payments are currently spread equally over the life of the lease.  This treatment is similar to the NZ IAS 17 accounting treatment which reduces the need for tax adjustments.</w:t>
      </w:r>
    </w:p>
    <w:p w14:paraId="2131CFCE" w14:textId="77777777" w:rsidR="00E33490" w:rsidRPr="004A3A22" w:rsidRDefault="00E33490" w:rsidP="002950F1">
      <w:pPr>
        <w:spacing w:after="240" w:line="240" w:lineRule="auto"/>
        <w:rPr>
          <w:rFonts w:ascii="Arial" w:hAnsi="Arial" w:cs="Arial"/>
          <w:b/>
          <w:i/>
          <w:sz w:val="24"/>
          <w:szCs w:val="24"/>
        </w:rPr>
      </w:pPr>
      <w:r w:rsidRPr="004A3A22">
        <w:rPr>
          <w:rFonts w:ascii="Arial" w:hAnsi="Arial" w:cs="Arial"/>
          <w:b/>
          <w:i/>
          <w:sz w:val="24"/>
          <w:szCs w:val="24"/>
        </w:rPr>
        <w:t>Accounting changes moving from NZ IAS 17 to IFRS 16</w:t>
      </w:r>
    </w:p>
    <w:p w14:paraId="2131CFCF" w14:textId="77777777" w:rsidR="00F4671B" w:rsidRDefault="00E33490" w:rsidP="004A3A22">
      <w:pPr>
        <w:pStyle w:val="ListParagraph"/>
        <w:numPr>
          <w:ilvl w:val="0"/>
          <w:numId w:val="4"/>
        </w:numPr>
        <w:spacing w:after="240" w:line="240" w:lineRule="auto"/>
        <w:ind w:left="709" w:hanging="709"/>
        <w:contextualSpacing w:val="0"/>
        <w:rPr>
          <w:rFonts w:ascii="Arial" w:hAnsi="Arial" w:cs="Arial"/>
          <w:sz w:val="24"/>
          <w:szCs w:val="24"/>
        </w:rPr>
      </w:pPr>
      <w:r w:rsidRPr="00E33490">
        <w:rPr>
          <w:rFonts w:ascii="Arial" w:hAnsi="Arial" w:cs="Arial"/>
          <w:sz w:val="24"/>
          <w:szCs w:val="24"/>
        </w:rPr>
        <w:t>For lessees, IFRS 16 removes the distinction between operating and finance leases for accounting purposes.  Under IFRS 16, lessees are required to recognise on their balance sheet a new asset, being the right to use the leased asset for the lease term, and a lease liability representing the obligation to pay rentals.</w:t>
      </w:r>
    </w:p>
    <w:p w14:paraId="2131CFD0" w14:textId="77777777" w:rsidR="00C00E9D" w:rsidRDefault="00751E01" w:rsidP="009D7F66">
      <w:pPr>
        <w:pStyle w:val="ListParagraph"/>
        <w:numPr>
          <w:ilvl w:val="0"/>
          <w:numId w:val="4"/>
        </w:numPr>
        <w:spacing w:after="240" w:line="240" w:lineRule="auto"/>
        <w:ind w:left="709" w:hanging="709"/>
        <w:rPr>
          <w:rFonts w:ascii="Arial" w:hAnsi="Arial" w:cs="Arial"/>
          <w:sz w:val="24"/>
          <w:szCs w:val="24"/>
        </w:rPr>
      </w:pPr>
      <w:r>
        <w:rPr>
          <w:rFonts w:ascii="Arial" w:hAnsi="Arial" w:cs="Arial"/>
          <w:sz w:val="24"/>
          <w:szCs w:val="24"/>
        </w:rPr>
        <w:t xml:space="preserve">Under </w:t>
      </w:r>
      <w:r w:rsidR="00C00E9D" w:rsidRPr="00C00E9D">
        <w:rPr>
          <w:rFonts w:ascii="Arial" w:hAnsi="Arial" w:cs="Arial"/>
          <w:sz w:val="24"/>
          <w:szCs w:val="24"/>
        </w:rPr>
        <w:t>IFRS 16, there is usually a slight acceleration of deductions compared to accounting under NZ IAS 17.  This can be shown in the following simplified example for a 5-year lease, that was an operating lease under NZ IAS 17, with $100,000 per year of lease payments and a 3.7237%  discount rate:</w:t>
      </w:r>
    </w:p>
    <w:p w14:paraId="2131CFD1" w14:textId="77777777" w:rsidR="00B430DD" w:rsidRDefault="00B430DD" w:rsidP="00B430DD">
      <w:pPr>
        <w:spacing w:after="240" w:line="240" w:lineRule="auto"/>
        <w:rPr>
          <w:rFonts w:ascii="Arial" w:hAnsi="Arial" w:cs="Arial"/>
          <w:sz w:val="24"/>
          <w:szCs w:val="24"/>
        </w:rPr>
      </w:pPr>
    </w:p>
    <w:p w14:paraId="2131CFD2" w14:textId="77777777" w:rsidR="00B430DD" w:rsidRDefault="00B430DD" w:rsidP="00B430DD">
      <w:pPr>
        <w:spacing w:after="240" w:line="240" w:lineRule="auto"/>
        <w:rPr>
          <w:rFonts w:ascii="Arial" w:hAnsi="Arial" w:cs="Arial"/>
          <w:sz w:val="24"/>
          <w:szCs w:val="24"/>
        </w:rPr>
      </w:pPr>
    </w:p>
    <w:p w14:paraId="2131CFD3" w14:textId="77777777" w:rsidR="00B430DD" w:rsidRDefault="00B430DD" w:rsidP="00B430DD">
      <w:pPr>
        <w:spacing w:after="240" w:line="240" w:lineRule="auto"/>
        <w:rPr>
          <w:rFonts w:ascii="Arial" w:hAnsi="Arial" w:cs="Arial"/>
          <w:sz w:val="24"/>
          <w:szCs w:val="24"/>
        </w:rPr>
      </w:pPr>
    </w:p>
    <w:p w14:paraId="2131CFD4" w14:textId="77777777" w:rsidR="00B430DD" w:rsidRDefault="00B430DD" w:rsidP="00B430DD">
      <w:pPr>
        <w:spacing w:after="240" w:line="240" w:lineRule="auto"/>
        <w:rPr>
          <w:rFonts w:ascii="Arial" w:hAnsi="Arial" w:cs="Arial"/>
          <w:sz w:val="24"/>
          <w:szCs w:val="24"/>
        </w:rPr>
      </w:pPr>
    </w:p>
    <w:p w14:paraId="2131CFD5" w14:textId="77777777" w:rsidR="00B430DD" w:rsidRPr="00B430DD" w:rsidRDefault="00B430DD" w:rsidP="00B430DD">
      <w:pPr>
        <w:spacing w:after="24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37"/>
        <w:gridCol w:w="1337"/>
      </w:tblGrid>
      <w:tr w:rsidR="003C691D" w:rsidRPr="00B70846" w14:paraId="2131CFDB" w14:textId="77777777" w:rsidTr="00B20A45">
        <w:trPr>
          <w:jc w:val="center"/>
        </w:trPr>
        <w:tc>
          <w:tcPr>
            <w:tcW w:w="846" w:type="dxa"/>
            <w:shd w:val="clear" w:color="auto" w:fill="auto"/>
          </w:tcPr>
          <w:p w14:paraId="2131CFD6" w14:textId="77777777" w:rsidR="003C691D" w:rsidRPr="003C691D" w:rsidRDefault="003C691D" w:rsidP="00B20A45">
            <w:pPr>
              <w:spacing w:after="0" w:line="276" w:lineRule="auto"/>
              <w:jc w:val="center"/>
              <w:rPr>
                <w:rFonts w:ascii="Arial" w:hAnsi="Arial" w:cs="Arial"/>
                <w:b/>
                <w:sz w:val="24"/>
                <w:szCs w:val="24"/>
              </w:rPr>
            </w:pPr>
            <w:r w:rsidRPr="003C691D">
              <w:rPr>
                <w:rFonts w:ascii="Arial" w:hAnsi="Arial" w:cs="Arial"/>
                <w:b/>
                <w:sz w:val="24"/>
                <w:szCs w:val="24"/>
              </w:rPr>
              <w:lastRenderedPageBreak/>
              <w:t>Year</w:t>
            </w:r>
          </w:p>
        </w:tc>
        <w:tc>
          <w:tcPr>
            <w:tcW w:w="1276" w:type="dxa"/>
            <w:shd w:val="clear" w:color="auto" w:fill="auto"/>
          </w:tcPr>
          <w:p w14:paraId="2131CFD7" w14:textId="77777777" w:rsidR="003C691D" w:rsidRPr="003C691D" w:rsidRDefault="003C691D" w:rsidP="00B20A45">
            <w:pPr>
              <w:spacing w:after="0" w:line="276" w:lineRule="auto"/>
              <w:jc w:val="center"/>
              <w:rPr>
                <w:rFonts w:ascii="Arial" w:hAnsi="Arial" w:cs="Arial"/>
                <w:b/>
                <w:sz w:val="24"/>
                <w:szCs w:val="24"/>
              </w:rPr>
            </w:pPr>
            <w:r w:rsidRPr="003C691D">
              <w:rPr>
                <w:rFonts w:ascii="Arial" w:hAnsi="Arial" w:cs="Arial"/>
                <w:b/>
                <w:sz w:val="24"/>
                <w:szCs w:val="24"/>
              </w:rPr>
              <w:t>NZIAS 17</w:t>
            </w:r>
          </w:p>
          <w:p w14:paraId="2131CFD8" w14:textId="77777777" w:rsidR="003C691D" w:rsidRPr="003C691D" w:rsidRDefault="003C691D" w:rsidP="00B20A45">
            <w:pPr>
              <w:spacing w:after="0" w:line="276" w:lineRule="auto"/>
              <w:jc w:val="center"/>
              <w:rPr>
                <w:rFonts w:ascii="Arial" w:hAnsi="Arial" w:cs="Arial"/>
                <w:b/>
                <w:sz w:val="24"/>
                <w:szCs w:val="24"/>
              </w:rPr>
            </w:pPr>
            <w:r w:rsidRPr="003C691D">
              <w:rPr>
                <w:rFonts w:ascii="Arial" w:hAnsi="Arial" w:cs="Arial"/>
                <w:b/>
                <w:sz w:val="24"/>
                <w:szCs w:val="24"/>
              </w:rPr>
              <w:t>Expenses</w:t>
            </w:r>
          </w:p>
        </w:tc>
        <w:tc>
          <w:tcPr>
            <w:tcW w:w="1134" w:type="dxa"/>
            <w:shd w:val="clear" w:color="auto" w:fill="auto"/>
          </w:tcPr>
          <w:p w14:paraId="2131CFD9" w14:textId="77777777" w:rsidR="003C691D" w:rsidRPr="003C691D" w:rsidRDefault="003C691D" w:rsidP="00B20A45">
            <w:pPr>
              <w:spacing w:after="0" w:line="276" w:lineRule="auto"/>
              <w:jc w:val="center"/>
              <w:rPr>
                <w:rFonts w:ascii="Arial" w:hAnsi="Arial" w:cs="Arial"/>
                <w:b/>
                <w:sz w:val="24"/>
                <w:szCs w:val="24"/>
              </w:rPr>
            </w:pPr>
            <w:r w:rsidRPr="003C691D">
              <w:rPr>
                <w:rFonts w:ascii="Arial" w:hAnsi="Arial" w:cs="Arial"/>
                <w:b/>
                <w:sz w:val="24"/>
                <w:szCs w:val="24"/>
              </w:rPr>
              <w:t>IFRS 16</w:t>
            </w:r>
          </w:p>
          <w:p w14:paraId="2131CFDA" w14:textId="77777777" w:rsidR="003C691D" w:rsidRPr="003C691D" w:rsidRDefault="003C691D" w:rsidP="00B20A45">
            <w:pPr>
              <w:spacing w:after="0" w:line="276" w:lineRule="auto"/>
              <w:jc w:val="center"/>
              <w:rPr>
                <w:rFonts w:ascii="Arial" w:hAnsi="Arial" w:cs="Arial"/>
                <w:b/>
                <w:sz w:val="24"/>
                <w:szCs w:val="24"/>
              </w:rPr>
            </w:pPr>
            <w:r w:rsidRPr="003C691D">
              <w:rPr>
                <w:rFonts w:ascii="Arial" w:hAnsi="Arial" w:cs="Arial"/>
                <w:b/>
                <w:sz w:val="24"/>
                <w:szCs w:val="24"/>
              </w:rPr>
              <w:t>Expenses</w:t>
            </w:r>
          </w:p>
        </w:tc>
      </w:tr>
      <w:tr w:rsidR="003C691D" w:rsidRPr="00B70846" w14:paraId="2131CFDF" w14:textId="77777777" w:rsidTr="00B20A45">
        <w:trPr>
          <w:jc w:val="center"/>
        </w:trPr>
        <w:tc>
          <w:tcPr>
            <w:tcW w:w="846" w:type="dxa"/>
            <w:shd w:val="clear" w:color="auto" w:fill="auto"/>
          </w:tcPr>
          <w:p w14:paraId="2131CFDC"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1</w:t>
            </w:r>
          </w:p>
        </w:tc>
        <w:tc>
          <w:tcPr>
            <w:tcW w:w="1276" w:type="dxa"/>
            <w:shd w:val="clear" w:color="auto" w:fill="auto"/>
          </w:tcPr>
          <w:p w14:paraId="2131CFDD"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100,000</w:t>
            </w:r>
          </w:p>
        </w:tc>
        <w:tc>
          <w:tcPr>
            <w:tcW w:w="1134" w:type="dxa"/>
            <w:shd w:val="clear" w:color="auto" w:fill="auto"/>
          </w:tcPr>
          <w:p w14:paraId="2131CFDE"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106,439</w:t>
            </w:r>
          </w:p>
        </w:tc>
      </w:tr>
      <w:tr w:rsidR="003C691D" w:rsidRPr="00B70846" w14:paraId="2131CFE3" w14:textId="77777777" w:rsidTr="00B20A45">
        <w:trPr>
          <w:jc w:val="center"/>
        </w:trPr>
        <w:tc>
          <w:tcPr>
            <w:tcW w:w="846" w:type="dxa"/>
            <w:shd w:val="clear" w:color="auto" w:fill="auto"/>
          </w:tcPr>
          <w:p w14:paraId="2131CFE0"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2</w:t>
            </w:r>
          </w:p>
        </w:tc>
        <w:tc>
          <w:tcPr>
            <w:tcW w:w="1276" w:type="dxa"/>
            <w:shd w:val="clear" w:color="auto" w:fill="auto"/>
          </w:tcPr>
          <w:p w14:paraId="2131CFE1"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100,000</w:t>
            </w:r>
          </w:p>
        </w:tc>
        <w:tc>
          <w:tcPr>
            <w:tcW w:w="1134" w:type="dxa"/>
            <w:shd w:val="clear" w:color="auto" w:fill="auto"/>
          </w:tcPr>
          <w:p w14:paraId="2131CFE2"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103,337</w:t>
            </w:r>
          </w:p>
        </w:tc>
      </w:tr>
      <w:tr w:rsidR="003C691D" w:rsidRPr="00B70846" w14:paraId="2131CFE7" w14:textId="77777777" w:rsidTr="00B20A45">
        <w:trPr>
          <w:jc w:val="center"/>
        </w:trPr>
        <w:tc>
          <w:tcPr>
            <w:tcW w:w="846" w:type="dxa"/>
            <w:shd w:val="clear" w:color="auto" w:fill="auto"/>
          </w:tcPr>
          <w:p w14:paraId="2131CFE4"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3</w:t>
            </w:r>
          </w:p>
        </w:tc>
        <w:tc>
          <w:tcPr>
            <w:tcW w:w="1276" w:type="dxa"/>
            <w:shd w:val="clear" w:color="auto" w:fill="auto"/>
          </w:tcPr>
          <w:p w14:paraId="2131CFE5"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100,000</w:t>
            </w:r>
          </w:p>
        </w:tc>
        <w:tc>
          <w:tcPr>
            <w:tcW w:w="1134" w:type="dxa"/>
            <w:shd w:val="clear" w:color="auto" w:fill="auto"/>
          </w:tcPr>
          <w:p w14:paraId="2131CFE6"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100,120</w:t>
            </w:r>
          </w:p>
        </w:tc>
      </w:tr>
      <w:tr w:rsidR="003C691D" w:rsidRPr="00B70846" w14:paraId="2131CFEB" w14:textId="77777777" w:rsidTr="00B20A45">
        <w:trPr>
          <w:jc w:val="center"/>
        </w:trPr>
        <w:tc>
          <w:tcPr>
            <w:tcW w:w="846" w:type="dxa"/>
            <w:tcBorders>
              <w:bottom w:val="single" w:sz="4" w:space="0" w:color="auto"/>
            </w:tcBorders>
            <w:shd w:val="clear" w:color="auto" w:fill="auto"/>
          </w:tcPr>
          <w:p w14:paraId="2131CFE8"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4</w:t>
            </w:r>
          </w:p>
        </w:tc>
        <w:tc>
          <w:tcPr>
            <w:tcW w:w="1276" w:type="dxa"/>
            <w:tcBorders>
              <w:bottom w:val="single" w:sz="4" w:space="0" w:color="auto"/>
            </w:tcBorders>
            <w:shd w:val="clear" w:color="auto" w:fill="auto"/>
          </w:tcPr>
          <w:p w14:paraId="2131CFE9"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100,000</w:t>
            </w:r>
          </w:p>
        </w:tc>
        <w:tc>
          <w:tcPr>
            <w:tcW w:w="1134" w:type="dxa"/>
            <w:tcBorders>
              <w:bottom w:val="single" w:sz="4" w:space="0" w:color="auto"/>
            </w:tcBorders>
            <w:shd w:val="clear" w:color="auto" w:fill="auto"/>
          </w:tcPr>
          <w:p w14:paraId="2131CFEA"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96,783</w:t>
            </w:r>
          </w:p>
        </w:tc>
      </w:tr>
      <w:tr w:rsidR="003C691D" w:rsidRPr="00B70846" w14:paraId="2131CFEF" w14:textId="77777777" w:rsidTr="00B20A45">
        <w:trPr>
          <w:jc w:val="center"/>
        </w:trPr>
        <w:tc>
          <w:tcPr>
            <w:tcW w:w="846" w:type="dxa"/>
            <w:tcBorders>
              <w:bottom w:val="double" w:sz="4" w:space="0" w:color="auto"/>
            </w:tcBorders>
            <w:shd w:val="clear" w:color="auto" w:fill="auto"/>
          </w:tcPr>
          <w:p w14:paraId="2131CFEC"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5</w:t>
            </w:r>
          </w:p>
        </w:tc>
        <w:tc>
          <w:tcPr>
            <w:tcW w:w="1276" w:type="dxa"/>
            <w:tcBorders>
              <w:bottom w:val="double" w:sz="4" w:space="0" w:color="auto"/>
            </w:tcBorders>
            <w:shd w:val="clear" w:color="auto" w:fill="auto"/>
          </w:tcPr>
          <w:p w14:paraId="2131CFED"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100,000</w:t>
            </w:r>
          </w:p>
        </w:tc>
        <w:tc>
          <w:tcPr>
            <w:tcW w:w="1134" w:type="dxa"/>
            <w:tcBorders>
              <w:bottom w:val="double" w:sz="4" w:space="0" w:color="auto"/>
            </w:tcBorders>
            <w:shd w:val="clear" w:color="auto" w:fill="auto"/>
          </w:tcPr>
          <w:p w14:paraId="2131CFEE"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93,322</w:t>
            </w:r>
          </w:p>
        </w:tc>
      </w:tr>
      <w:tr w:rsidR="003C691D" w:rsidRPr="00B70846" w14:paraId="2131CFF3" w14:textId="77777777" w:rsidTr="00B20A45">
        <w:trPr>
          <w:jc w:val="center"/>
        </w:trPr>
        <w:tc>
          <w:tcPr>
            <w:tcW w:w="846" w:type="dxa"/>
            <w:tcBorders>
              <w:top w:val="double" w:sz="4" w:space="0" w:color="auto"/>
            </w:tcBorders>
            <w:shd w:val="clear" w:color="auto" w:fill="auto"/>
          </w:tcPr>
          <w:p w14:paraId="2131CFF0" w14:textId="77777777" w:rsidR="003C691D" w:rsidRPr="003C691D" w:rsidRDefault="003C691D" w:rsidP="00B20A45">
            <w:pPr>
              <w:spacing w:after="0" w:line="276" w:lineRule="auto"/>
              <w:jc w:val="center"/>
              <w:rPr>
                <w:rFonts w:ascii="Arial" w:hAnsi="Arial" w:cs="Arial"/>
                <w:sz w:val="24"/>
                <w:szCs w:val="24"/>
              </w:rPr>
            </w:pPr>
            <w:r w:rsidRPr="003C691D">
              <w:rPr>
                <w:rFonts w:ascii="Arial" w:hAnsi="Arial" w:cs="Arial"/>
                <w:sz w:val="24"/>
                <w:szCs w:val="24"/>
              </w:rPr>
              <w:t>Total</w:t>
            </w:r>
          </w:p>
        </w:tc>
        <w:tc>
          <w:tcPr>
            <w:tcW w:w="1276" w:type="dxa"/>
            <w:tcBorders>
              <w:top w:val="double" w:sz="4" w:space="0" w:color="auto"/>
            </w:tcBorders>
            <w:shd w:val="clear" w:color="auto" w:fill="auto"/>
          </w:tcPr>
          <w:p w14:paraId="2131CFF1"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500,000</w:t>
            </w:r>
          </w:p>
        </w:tc>
        <w:tc>
          <w:tcPr>
            <w:tcW w:w="1134" w:type="dxa"/>
            <w:tcBorders>
              <w:top w:val="double" w:sz="4" w:space="0" w:color="auto"/>
            </w:tcBorders>
            <w:shd w:val="clear" w:color="auto" w:fill="auto"/>
          </w:tcPr>
          <w:p w14:paraId="2131CFF2" w14:textId="77777777" w:rsidR="003C691D" w:rsidRPr="003C691D" w:rsidRDefault="003C691D" w:rsidP="00B20A45">
            <w:pPr>
              <w:spacing w:after="0" w:line="276" w:lineRule="auto"/>
              <w:jc w:val="right"/>
              <w:rPr>
                <w:rFonts w:ascii="Arial" w:hAnsi="Arial" w:cs="Arial"/>
                <w:sz w:val="24"/>
                <w:szCs w:val="24"/>
              </w:rPr>
            </w:pPr>
            <w:r w:rsidRPr="003C691D">
              <w:rPr>
                <w:rFonts w:ascii="Arial" w:hAnsi="Arial" w:cs="Arial"/>
                <w:sz w:val="24"/>
                <w:szCs w:val="24"/>
              </w:rPr>
              <w:t>500,000</w:t>
            </w:r>
          </w:p>
        </w:tc>
      </w:tr>
    </w:tbl>
    <w:p w14:paraId="2131CFF4" w14:textId="77777777" w:rsidR="00667771" w:rsidRDefault="00667771" w:rsidP="00667771">
      <w:pPr>
        <w:pStyle w:val="ListParagraph"/>
        <w:spacing w:after="240" w:line="240" w:lineRule="auto"/>
        <w:ind w:left="709"/>
        <w:rPr>
          <w:rFonts w:ascii="Arial" w:hAnsi="Arial" w:cs="Arial"/>
          <w:sz w:val="24"/>
          <w:szCs w:val="24"/>
        </w:rPr>
      </w:pPr>
    </w:p>
    <w:p w14:paraId="2131CFF5" w14:textId="77777777" w:rsidR="00C00E9D" w:rsidRPr="00C00E9D" w:rsidRDefault="00C00E9D" w:rsidP="009D7F66">
      <w:pPr>
        <w:pStyle w:val="ListParagraph"/>
        <w:numPr>
          <w:ilvl w:val="0"/>
          <w:numId w:val="4"/>
        </w:numPr>
        <w:spacing w:after="240" w:line="240" w:lineRule="auto"/>
        <w:ind w:left="709" w:hanging="709"/>
        <w:contextualSpacing w:val="0"/>
        <w:rPr>
          <w:rFonts w:ascii="Arial" w:hAnsi="Arial" w:cs="Arial"/>
          <w:sz w:val="24"/>
          <w:szCs w:val="24"/>
        </w:rPr>
      </w:pPr>
      <w:r w:rsidRPr="00C00E9D">
        <w:rPr>
          <w:rFonts w:ascii="Arial" w:hAnsi="Arial" w:cs="Arial"/>
          <w:sz w:val="24"/>
          <w:szCs w:val="24"/>
        </w:rPr>
        <w:t xml:space="preserve">The NZ IAS 17 treatment matches the cashflows of the lease, whereas IFRS 16 more closely matches the economic cost of the lease.  The IFRS 16 treatment can be thought of similar to a typical fixed-rate mortgage where total payments are consistent over time, but the interest expenditure is higher in earlier periods when the loan is higher, and the interest expenditure is lower (and therefore capital repayments are higher) near the end of the loan when the amount outstanding is lower.  </w:t>
      </w:r>
    </w:p>
    <w:p w14:paraId="2131CFF6" w14:textId="77777777" w:rsidR="00C00E9D" w:rsidRPr="002166CC" w:rsidRDefault="00C00E9D" w:rsidP="009D7F66">
      <w:pPr>
        <w:pStyle w:val="ListParagraph"/>
        <w:numPr>
          <w:ilvl w:val="0"/>
          <w:numId w:val="4"/>
        </w:numPr>
        <w:spacing w:after="240" w:line="240" w:lineRule="auto"/>
        <w:ind w:left="709" w:hanging="709"/>
        <w:contextualSpacing w:val="0"/>
        <w:rPr>
          <w:rFonts w:ascii="Arial" w:hAnsi="Arial" w:cs="Arial"/>
          <w:sz w:val="24"/>
          <w:szCs w:val="24"/>
        </w:rPr>
      </w:pPr>
      <w:r w:rsidRPr="00C00E9D">
        <w:rPr>
          <w:rFonts w:ascii="Arial" w:hAnsi="Arial" w:cs="Arial"/>
          <w:sz w:val="24"/>
          <w:szCs w:val="24"/>
        </w:rPr>
        <w:t xml:space="preserve">IFRS 16 does not significantly change the accounting treatment of leases for the lessor.  The lessor will continue to reflect the leased asset on their balance sheet for operating leases.  This </w:t>
      </w:r>
      <w:r w:rsidR="00ED72DD">
        <w:rPr>
          <w:rFonts w:ascii="Arial" w:hAnsi="Arial" w:cs="Arial"/>
          <w:sz w:val="24"/>
          <w:szCs w:val="24"/>
        </w:rPr>
        <w:t>Cabinet paper</w:t>
      </w:r>
      <w:r w:rsidRPr="00C00E9D">
        <w:rPr>
          <w:rFonts w:ascii="Arial" w:hAnsi="Arial" w:cs="Arial"/>
          <w:sz w:val="24"/>
          <w:szCs w:val="24"/>
        </w:rPr>
        <w:t xml:space="preserve"> does not consider changes to the tax treatment of lessor</w:t>
      </w:r>
      <w:r w:rsidR="00B36402">
        <w:rPr>
          <w:rFonts w:ascii="Arial" w:hAnsi="Arial" w:cs="Arial"/>
          <w:sz w:val="24"/>
          <w:szCs w:val="24"/>
        </w:rPr>
        <w:t>s</w:t>
      </w:r>
      <w:r w:rsidRPr="00C00E9D">
        <w:rPr>
          <w:rFonts w:ascii="Arial" w:hAnsi="Arial" w:cs="Arial"/>
          <w:sz w:val="24"/>
          <w:szCs w:val="24"/>
        </w:rPr>
        <w:t>.</w:t>
      </w:r>
    </w:p>
    <w:p w14:paraId="2131CFF7" w14:textId="77777777" w:rsidR="004B6934" w:rsidRPr="005D421C" w:rsidRDefault="00B20FAE" w:rsidP="00BE7A41">
      <w:pPr>
        <w:pStyle w:val="Heading2"/>
      </w:pPr>
      <w:r>
        <w:t>Comment</w:t>
      </w:r>
    </w:p>
    <w:p w14:paraId="2131CFF8" w14:textId="77777777" w:rsidR="009C6132" w:rsidRDefault="009C6132" w:rsidP="00D16185">
      <w:pPr>
        <w:pStyle w:val="Heading2"/>
        <w:numPr>
          <w:ilvl w:val="0"/>
          <w:numId w:val="4"/>
        </w:numPr>
        <w:ind w:left="709" w:hanging="709"/>
        <w:rPr>
          <w:rFonts w:eastAsiaTheme="minorHAnsi"/>
          <w:b w:val="0"/>
        </w:rPr>
      </w:pPr>
      <w:r w:rsidRPr="009C6132">
        <w:rPr>
          <w:rFonts w:eastAsiaTheme="minorHAnsi"/>
          <w:b w:val="0"/>
        </w:rPr>
        <w:t xml:space="preserve">The introduction of IFRS 16 provides an opportunity to more closely align the tax </w:t>
      </w:r>
      <w:r w:rsidR="0036282A">
        <w:rPr>
          <w:rFonts w:eastAsiaTheme="minorHAnsi"/>
          <w:b w:val="0"/>
        </w:rPr>
        <w:t xml:space="preserve">and accounting </w:t>
      </w:r>
      <w:r w:rsidRPr="009C6132">
        <w:rPr>
          <w:rFonts w:eastAsiaTheme="minorHAnsi"/>
          <w:b w:val="0"/>
        </w:rPr>
        <w:t xml:space="preserve">treatment of lessees’ operating leases.  </w:t>
      </w:r>
      <w:r w:rsidR="006F5A15">
        <w:rPr>
          <w:rFonts w:eastAsiaTheme="minorHAnsi"/>
          <w:b w:val="0"/>
        </w:rPr>
        <w:t xml:space="preserve">I propose this be optional for all </w:t>
      </w:r>
      <w:r w:rsidR="009120F7">
        <w:rPr>
          <w:rFonts w:eastAsiaTheme="minorHAnsi"/>
          <w:b w:val="0"/>
        </w:rPr>
        <w:t>lessee</w:t>
      </w:r>
      <w:r w:rsidR="00DE7937">
        <w:rPr>
          <w:rFonts w:eastAsiaTheme="minorHAnsi"/>
          <w:b w:val="0"/>
        </w:rPr>
        <w:t>s</w:t>
      </w:r>
      <w:r w:rsidR="009120F7">
        <w:rPr>
          <w:rFonts w:eastAsiaTheme="minorHAnsi"/>
          <w:b w:val="0"/>
        </w:rPr>
        <w:t xml:space="preserve"> that follow IFRS 16.  </w:t>
      </w:r>
      <w:r w:rsidRPr="009C6132">
        <w:rPr>
          <w:rFonts w:eastAsiaTheme="minorHAnsi"/>
          <w:b w:val="0"/>
        </w:rPr>
        <w:t xml:space="preserve">This </w:t>
      </w:r>
      <w:r w:rsidR="00306B3F">
        <w:rPr>
          <w:rFonts w:eastAsiaTheme="minorHAnsi"/>
          <w:b w:val="0"/>
        </w:rPr>
        <w:t xml:space="preserve">will achieve </w:t>
      </w:r>
      <w:r w:rsidRPr="009C6132">
        <w:rPr>
          <w:rFonts w:eastAsiaTheme="minorHAnsi"/>
          <w:b w:val="0"/>
        </w:rPr>
        <w:t xml:space="preserve">two </w:t>
      </w:r>
      <w:r w:rsidRPr="00D35CC9">
        <w:rPr>
          <w:rFonts w:eastAsiaTheme="minorHAnsi"/>
          <w:b w:val="0"/>
        </w:rPr>
        <w:t>main objectives:</w:t>
      </w:r>
    </w:p>
    <w:p w14:paraId="2131CFF9" w14:textId="77777777" w:rsidR="009C6132" w:rsidRPr="00D31C2E" w:rsidRDefault="009C6132" w:rsidP="00D31C2E">
      <w:pPr>
        <w:pStyle w:val="NumberedParagraphCabStandard"/>
        <w:numPr>
          <w:ilvl w:val="1"/>
          <w:numId w:val="4"/>
        </w:numPr>
        <w:tabs>
          <w:tab w:val="num" w:pos="1418"/>
        </w:tabs>
        <w:ind w:left="1418" w:hanging="709"/>
      </w:pPr>
      <w:r w:rsidRPr="00D31C2E">
        <w:t xml:space="preserve">Efficiency - As finance leases and debt used to purchase assets </w:t>
      </w:r>
      <w:r w:rsidR="00FA69CB">
        <w:t>are</w:t>
      </w:r>
      <w:r w:rsidR="00FA69CB" w:rsidRPr="00D31C2E">
        <w:t xml:space="preserve"> </w:t>
      </w:r>
      <w:r w:rsidRPr="00D31C2E">
        <w:t xml:space="preserve">already taxed under the financial </w:t>
      </w:r>
      <w:proofErr w:type="gramStart"/>
      <w:r w:rsidRPr="00D31C2E">
        <w:t>arrangements</w:t>
      </w:r>
      <w:proofErr w:type="gramEnd"/>
      <w:r w:rsidRPr="00D31C2E">
        <w:t xml:space="preserve"> rules</w:t>
      </w:r>
      <w:r w:rsidR="000E2924">
        <w:t>,</w:t>
      </w:r>
      <w:r w:rsidRPr="00D31C2E">
        <w:t xml:space="preserve"> deductions are accelerated similar to the IFRS 16 example above.  Aligning the tax treatment of operating leases with the IFRS 16 treatment will make the tax treatment of all three methods of asset acquisition more similar which will reduce the tax incentive to choose one method over another to obtain a tax advantage.</w:t>
      </w:r>
    </w:p>
    <w:p w14:paraId="2131CFFA" w14:textId="77777777" w:rsidR="009C6132" w:rsidRPr="008B2C19" w:rsidRDefault="009C6132" w:rsidP="008B2C19">
      <w:pPr>
        <w:pStyle w:val="NumberedParagraphCabStandard"/>
        <w:numPr>
          <w:ilvl w:val="1"/>
          <w:numId w:val="4"/>
        </w:numPr>
        <w:tabs>
          <w:tab w:val="num" w:pos="1418"/>
        </w:tabs>
        <w:ind w:left="1418" w:hanging="709"/>
      </w:pPr>
      <w:r w:rsidRPr="008B2C19">
        <w:t>Compliance costs - Unlike when entities followed NZ IAS 17, an entity following IFRS 16 will need to make tax adjustments to remove accounting deductions and claim tax deductions.  By following IFRS 16 for tax the number of adjustments required c</w:t>
      </w:r>
      <w:r w:rsidR="00E80592" w:rsidRPr="008B2C19">
        <w:t>an</w:t>
      </w:r>
      <w:r w:rsidRPr="008B2C19">
        <w:t xml:space="preserve"> be reduced and therefore compliance costs w</w:t>
      </w:r>
      <w:r w:rsidR="00E80592" w:rsidRPr="008B2C19">
        <w:t>ill</w:t>
      </w:r>
      <w:r w:rsidRPr="008B2C19">
        <w:t xml:space="preserve"> be lower as w</w:t>
      </w:r>
      <w:r w:rsidR="00E80592" w:rsidRPr="008B2C19">
        <w:t>ill</w:t>
      </w:r>
      <w:r w:rsidRPr="008B2C19">
        <w:t xml:space="preserve"> be the possibility of inadvertent error.</w:t>
      </w:r>
    </w:p>
    <w:p w14:paraId="2131CFFB" w14:textId="77777777" w:rsidR="00186A7E" w:rsidRPr="00E75147" w:rsidRDefault="008B2C19" w:rsidP="00AC4207">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This </w:t>
      </w:r>
      <w:r w:rsidR="00405C12">
        <w:rPr>
          <w:rFonts w:ascii="Arial" w:hAnsi="Arial" w:cs="Arial"/>
          <w:sz w:val="24"/>
          <w:szCs w:val="24"/>
        </w:rPr>
        <w:t>option</w:t>
      </w:r>
      <w:r>
        <w:rPr>
          <w:rFonts w:ascii="Arial" w:hAnsi="Arial" w:cs="Arial"/>
          <w:sz w:val="24"/>
          <w:szCs w:val="24"/>
        </w:rPr>
        <w:t xml:space="preserve"> will only be available to taxpayers who follow IFRS 16 for accounting purposes.  The </w:t>
      </w:r>
      <w:r w:rsidR="005A6D08">
        <w:rPr>
          <w:rFonts w:ascii="Arial" w:hAnsi="Arial" w:cs="Arial"/>
          <w:sz w:val="24"/>
          <w:szCs w:val="24"/>
        </w:rPr>
        <w:t xml:space="preserve">calculation of expenditure under IFRS 16 is sufficiently complex that I do not recommend allowing a non-IFRS taxpayer </w:t>
      </w:r>
      <w:r w:rsidR="00765C7A">
        <w:rPr>
          <w:rFonts w:ascii="Arial" w:hAnsi="Arial" w:cs="Arial"/>
          <w:sz w:val="24"/>
          <w:szCs w:val="24"/>
        </w:rPr>
        <w:t xml:space="preserve">to undertake these </w:t>
      </w:r>
      <w:r w:rsidR="00E7038C">
        <w:rPr>
          <w:rFonts w:ascii="Arial" w:hAnsi="Arial" w:cs="Arial"/>
          <w:sz w:val="24"/>
          <w:szCs w:val="24"/>
        </w:rPr>
        <w:t>calculations solely for tax purposes.  Instead these taxpayers, and any IFRS taxpayer who chooses not to follow their account treatment for tax purposes, should continue to follow the existing method.</w:t>
      </w:r>
    </w:p>
    <w:p w14:paraId="2131CFFC" w14:textId="77777777" w:rsidR="00B430DD" w:rsidRDefault="00B430DD" w:rsidP="00A34CE4">
      <w:pPr>
        <w:rPr>
          <w:rFonts w:ascii="Arial" w:hAnsi="Arial" w:cs="Arial"/>
          <w:b/>
          <w:i/>
          <w:sz w:val="24"/>
          <w:szCs w:val="24"/>
        </w:rPr>
      </w:pPr>
    </w:p>
    <w:p w14:paraId="2131CFFD" w14:textId="77777777" w:rsidR="00615C72" w:rsidRDefault="002C435A" w:rsidP="00A34CE4">
      <w:pPr>
        <w:rPr>
          <w:rFonts w:ascii="Arial" w:hAnsi="Arial" w:cs="Arial"/>
          <w:b/>
          <w:i/>
          <w:sz w:val="24"/>
          <w:szCs w:val="24"/>
        </w:rPr>
      </w:pPr>
      <w:r>
        <w:rPr>
          <w:rFonts w:ascii="Arial" w:hAnsi="Arial" w:cs="Arial"/>
          <w:b/>
          <w:i/>
          <w:sz w:val="24"/>
          <w:szCs w:val="24"/>
        </w:rPr>
        <w:lastRenderedPageBreak/>
        <w:t>Adjustments between accounting and tax</w:t>
      </w:r>
    </w:p>
    <w:p w14:paraId="2131CFFE" w14:textId="77777777" w:rsidR="002C435A" w:rsidRDefault="002C435A" w:rsidP="0047122B">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There are certain accounting entries required to be made under IFRS 16 that </w:t>
      </w:r>
      <w:r w:rsidR="000965D9">
        <w:rPr>
          <w:rFonts w:ascii="Arial" w:hAnsi="Arial" w:cs="Arial"/>
          <w:sz w:val="24"/>
          <w:szCs w:val="24"/>
        </w:rPr>
        <w:t xml:space="preserve">spread expenditure over the (remaining) term of the lease that should be recognised </w:t>
      </w:r>
      <w:r w:rsidR="00537744">
        <w:rPr>
          <w:rFonts w:ascii="Arial" w:hAnsi="Arial" w:cs="Arial"/>
          <w:sz w:val="24"/>
          <w:szCs w:val="24"/>
        </w:rPr>
        <w:t xml:space="preserve">differently </w:t>
      </w:r>
      <w:r w:rsidR="000965D9">
        <w:rPr>
          <w:rFonts w:ascii="Arial" w:hAnsi="Arial" w:cs="Arial"/>
          <w:sz w:val="24"/>
          <w:szCs w:val="24"/>
        </w:rPr>
        <w:t>for tax purposes</w:t>
      </w:r>
      <w:r w:rsidR="000001A2">
        <w:rPr>
          <w:rFonts w:ascii="Arial" w:hAnsi="Arial" w:cs="Arial"/>
          <w:sz w:val="24"/>
          <w:szCs w:val="24"/>
        </w:rPr>
        <w:t xml:space="preserve">.  This is because expenditure for tax purposes is typically deductible when it is incurred and allowing a deduction </w:t>
      </w:r>
      <w:r w:rsidR="000965D9">
        <w:rPr>
          <w:rFonts w:ascii="Arial" w:hAnsi="Arial" w:cs="Arial"/>
          <w:sz w:val="24"/>
          <w:szCs w:val="24"/>
        </w:rPr>
        <w:t xml:space="preserve">over the life of the </w:t>
      </w:r>
      <w:r w:rsidR="002D45CC">
        <w:rPr>
          <w:rFonts w:ascii="Arial" w:hAnsi="Arial" w:cs="Arial"/>
          <w:sz w:val="24"/>
          <w:szCs w:val="24"/>
        </w:rPr>
        <w:t xml:space="preserve">lease would offer a more favourable tax treatment compared with taxpayers that do not follow IFRS </w:t>
      </w:r>
      <w:r w:rsidR="00A00069">
        <w:rPr>
          <w:rFonts w:ascii="Arial" w:hAnsi="Arial" w:cs="Arial"/>
          <w:sz w:val="24"/>
          <w:szCs w:val="24"/>
        </w:rPr>
        <w:t xml:space="preserve">16 </w:t>
      </w:r>
      <w:r w:rsidR="002D45CC">
        <w:rPr>
          <w:rFonts w:ascii="Arial" w:hAnsi="Arial" w:cs="Arial"/>
          <w:sz w:val="24"/>
          <w:szCs w:val="24"/>
        </w:rPr>
        <w:t xml:space="preserve">or have not elected to follow IFRS </w:t>
      </w:r>
      <w:r w:rsidR="00A00069">
        <w:rPr>
          <w:rFonts w:ascii="Arial" w:hAnsi="Arial" w:cs="Arial"/>
          <w:sz w:val="24"/>
          <w:szCs w:val="24"/>
        </w:rPr>
        <w:t xml:space="preserve">16 </w:t>
      </w:r>
      <w:r w:rsidR="002D45CC">
        <w:rPr>
          <w:rFonts w:ascii="Arial" w:hAnsi="Arial" w:cs="Arial"/>
          <w:sz w:val="24"/>
          <w:szCs w:val="24"/>
        </w:rPr>
        <w:t>for tax purposes.</w:t>
      </w:r>
    </w:p>
    <w:p w14:paraId="2131CFFF" w14:textId="77777777" w:rsidR="00B265AD" w:rsidRDefault="00B265AD" w:rsidP="0047122B">
      <w:pPr>
        <w:pStyle w:val="ListParagraph"/>
        <w:numPr>
          <w:ilvl w:val="0"/>
          <w:numId w:val="4"/>
        </w:numPr>
        <w:spacing w:after="240" w:line="240" w:lineRule="auto"/>
        <w:ind w:left="709" w:hanging="709"/>
        <w:contextualSpacing w:val="0"/>
        <w:rPr>
          <w:rFonts w:ascii="Arial" w:hAnsi="Arial" w:cs="Arial"/>
          <w:sz w:val="24"/>
          <w:szCs w:val="24"/>
        </w:rPr>
      </w:pPr>
      <w:bookmarkStart w:id="2" w:name="_Ref22141700"/>
      <w:r>
        <w:rPr>
          <w:rFonts w:ascii="Arial" w:hAnsi="Arial" w:cs="Arial"/>
          <w:sz w:val="24"/>
          <w:szCs w:val="24"/>
        </w:rPr>
        <w:t>The adjustment</w:t>
      </w:r>
      <w:r w:rsidR="00A00069">
        <w:rPr>
          <w:rFonts w:ascii="Arial" w:hAnsi="Arial" w:cs="Arial"/>
          <w:sz w:val="24"/>
          <w:szCs w:val="24"/>
        </w:rPr>
        <w:t>s</w:t>
      </w:r>
      <w:r>
        <w:rPr>
          <w:rFonts w:ascii="Arial" w:hAnsi="Arial" w:cs="Arial"/>
          <w:sz w:val="24"/>
          <w:szCs w:val="24"/>
        </w:rPr>
        <w:t xml:space="preserve"> that should be made between the IFRS 16 and tax treatment are</w:t>
      </w:r>
      <w:r w:rsidR="0047122B">
        <w:rPr>
          <w:rFonts w:ascii="Arial" w:hAnsi="Arial" w:cs="Arial"/>
          <w:sz w:val="24"/>
          <w:szCs w:val="24"/>
        </w:rPr>
        <w:t>:</w:t>
      </w:r>
      <w:bookmarkEnd w:id="2"/>
    </w:p>
    <w:p w14:paraId="2131D000" w14:textId="77777777" w:rsidR="0047122B" w:rsidRDefault="0047122B" w:rsidP="006010B1">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 xml:space="preserve">Impairment, fair value and revaluation costs </w:t>
      </w:r>
      <w:r w:rsidR="00003506">
        <w:rPr>
          <w:rFonts w:ascii="Arial" w:hAnsi="Arial" w:cs="Arial"/>
          <w:sz w:val="24"/>
          <w:szCs w:val="24"/>
        </w:rPr>
        <w:t xml:space="preserve">– </w:t>
      </w:r>
      <w:r w:rsidR="00044FD5">
        <w:rPr>
          <w:rFonts w:ascii="Arial" w:hAnsi="Arial" w:cs="Arial"/>
          <w:sz w:val="24"/>
          <w:szCs w:val="24"/>
        </w:rPr>
        <w:t>t</w:t>
      </w:r>
      <w:r w:rsidR="00BA5F53">
        <w:rPr>
          <w:rFonts w:ascii="Arial" w:hAnsi="Arial" w:cs="Arial"/>
          <w:sz w:val="24"/>
          <w:szCs w:val="24"/>
        </w:rPr>
        <w:t>hese are essentially a provision against future events and f</w:t>
      </w:r>
      <w:r w:rsidR="00003506">
        <w:rPr>
          <w:rFonts w:ascii="Arial" w:hAnsi="Arial" w:cs="Arial"/>
          <w:sz w:val="24"/>
          <w:szCs w:val="24"/>
        </w:rPr>
        <w:t xml:space="preserve">or tax purposes they should be deductible when (and if) they are </w:t>
      </w:r>
      <w:r w:rsidR="006010B1">
        <w:rPr>
          <w:rFonts w:ascii="Arial" w:hAnsi="Arial" w:cs="Arial"/>
          <w:sz w:val="24"/>
          <w:szCs w:val="24"/>
        </w:rPr>
        <w:t>incurred.</w:t>
      </w:r>
    </w:p>
    <w:p w14:paraId="2131D001" w14:textId="77777777" w:rsidR="006010B1" w:rsidRDefault="006010B1" w:rsidP="006010B1">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Make good costs –</w:t>
      </w:r>
      <w:r w:rsidR="00044FD5">
        <w:rPr>
          <w:rFonts w:ascii="Arial" w:hAnsi="Arial" w:cs="Arial"/>
          <w:sz w:val="24"/>
          <w:szCs w:val="24"/>
        </w:rPr>
        <w:t xml:space="preserve"> </w:t>
      </w:r>
      <w:r w:rsidR="00EB5F23">
        <w:rPr>
          <w:rFonts w:ascii="Arial" w:hAnsi="Arial" w:cs="Arial"/>
          <w:sz w:val="24"/>
          <w:szCs w:val="24"/>
        </w:rPr>
        <w:t xml:space="preserve">these are the costs of restoring an asset before it is returned to the lessor and </w:t>
      </w:r>
      <w:r w:rsidR="00044FD5">
        <w:rPr>
          <w:rFonts w:ascii="Arial" w:hAnsi="Arial" w:cs="Arial"/>
          <w:sz w:val="24"/>
          <w:szCs w:val="24"/>
        </w:rPr>
        <w:t>f</w:t>
      </w:r>
      <w:r>
        <w:rPr>
          <w:rFonts w:ascii="Arial" w:hAnsi="Arial" w:cs="Arial"/>
          <w:sz w:val="24"/>
          <w:szCs w:val="24"/>
        </w:rPr>
        <w:t>or tax purposes should be deductible when they are incurred which i</w:t>
      </w:r>
      <w:r w:rsidR="00BA5F53">
        <w:rPr>
          <w:rFonts w:ascii="Arial" w:hAnsi="Arial" w:cs="Arial"/>
          <w:sz w:val="24"/>
          <w:szCs w:val="24"/>
        </w:rPr>
        <w:t>s</w:t>
      </w:r>
      <w:r>
        <w:rPr>
          <w:rFonts w:ascii="Arial" w:hAnsi="Arial" w:cs="Arial"/>
          <w:sz w:val="24"/>
          <w:szCs w:val="24"/>
        </w:rPr>
        <w:t xml:space="preserve"> typically near or at the end of the lease.</w:t>
      </w:r>
    </w:p>
    <w:p w14:paraId="2131D002" w14:textId="77777777" w:rsidR="006010B1" w:rsidRDefault="00684C65" w:rsidP="006010B1">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 xml:space="preserve">Direct </w:t>
      </w:r>
      <w:r w:rsidR="00CE4A0D">
        <w:rPr>
          <w:rFonts w:ascii="Arial" w:hAnsi="Arial" w:cs="Arial"/>
          <w:sz w:val="24"/>
          <w:szCs w:val="24"/>
        </w:rPr>
        <w:t xml:space="preserve">and mobilisation </w:t>
      </w:r>
      <w:r>
        <w:rPr>
          <w:rFonts w:ascii="Arial" w:hAnsi="Arial" w:cs="Arial"/>
          <w:sz w:val="24"/>
          <w:szCs w:val="24"/>
        </w:rPr>
        <w:t>costs –</w:t>
      </w:r>
      <w:r w:rsidR="00044FD5">
        <w:rPr>
          <w:rFonts w:ascii="Arial" w:hAnsi="Arial" w:cs="Arial"/>
          <w:sz w:val="24"/>
          <w:szCs w:val="24"/>
        </w:rPr>
        <w:t xml:space="preserve"> </w:t>
      </w:r>
      <w:r w:rsidR="004F4E7E">
        <w:rPr>
          <w:rFonts w:ascii="Arial" w:hAnsi="Arial" w:cs="Arial"/>
          <w:sz w:val="24"/>
          <w:szCs w:val="24"/>
        </w:rPr>
        <w:t xml:space="preserve">these are the costs of entering into a lease and </w:t>
      </w:r>
      <w:r w:rsidR="00044FD5">
        <w:rPr>
          <w:rFonts w:ascii="Arial" w:hAnsi="Arial" w:cs="Arial"/>
          <w:sz w:val="24"/>
          <w:szCs w:val="24"/>
        </w:rPr>
        <w:t xml:space="preserve">for tax purposes should be deducible when they are incurred which is typically </w:t>
      </w:r>
      <w:r w:rsidR="00837A42">
        <w:rPr>
          <w:rFonts w:ascii="Arial" w:hAnsi="Arial" w:cs="Arial"/>
          <w:sz w:val="24"/>
          <w:szCs w:val="24"/>
        </w:rPr>
        <w:t>at or near the start of a lease</w:t>
      </w:r>
      <w:r w:rsidR="005D02AD">
        <w:rPr>
          <w:rStyle w:val="FootnoteReference"/>
          <w:rFonts w:ascii="Arial" w:hAnsi="Arial" w:cs="Arial"/>
          <w:sz w:val="24"/>
          <w:szCs w:val="24"/>
        </w:rPr>
        <w:footnoteReference w:id="3"/>
      </w:r>
      <w:r w:rsidR="00837A42">
        <w:rPr>
          <w:rFonts w:ascii="Arial" w:hAnsi="Arial" w:cs="Arial"/>
          <w:sz w:val="24"/>
          <w:szCs w:val="24"/>
        </w:rPr>
        <w:t>.  To minimise compliance costs this adjustment should be at the option of the taxpayer.</w:t>
      </w:r>
    </w:p>
    <w:p w14:paraId="2131D003" w14:textId="77777777" w:rsidR="00837A42" w:rsidRPr="00837A42" w:rsidRDefault="00837A42" w:rsidP="00837A42">
      <w:pPr>
        <w:pStyle w:val="ListParagraph"/>
        <w:numPr>
          <w:ilvl w:val="0"/>
          <w:numId w:val="4"/>
        </w:numPr>
        <w:spacing w:after="240" w:line="240" w:lineRule="auto"/>
        <w:ind w:left="709" w:hanging="709"/>
        <w:rPr>
          <w:rFonts w:ascii="Arial" w:hAnsi="Arial" w:cs="Arial"/>
          <w:sz w:val="24"/>
          <w:szCs w:val="24"/>
        </w:rPr>
      </w:pPr>
      <w:r>
        <w:rPr>
          <w:rFonts w:ascii="Arial" w:hAnsi="Arial" w:cs="Arial"/>
          <w:sz w:val="24"/>
          <w:szCs w:val="24"/>
        </w:rPr>
        <w:t>The exclusion of real property leases</w:t>
      </w:r>
      <w:r w:rsidR="00F45E61">
        <w:rPr>
          <w:rFonts w:ascii="Arial" w:hAnsi="Arial" w:cs="Arial"/>
          <w:sz w:val="24"/>
          <w:szCs w:val="24"/>
        </w:rPr>
        <w:t>,</w:t>
      </w:r>
      <w:r>
        <w:rPr>
          <w:rFonts w:ascii="Arial" w:hAnsi="Arial" w:cs="Arial"/>
          <w:sz w:val="24"/>
          <w:szCs w:val="24"/>
        </w:rPr>
        <w:t xml:space="preserve"> </w:t>
      </w:r>
      <w:r w:rsidR="00F45E61">
        <w:rPr>
          <w:rFonts w:ascii="Arial" w:hAnsi="Arial" w:cs="Arial"/>
          <w:sz w:val="24"/>
          <w:szCs w:val="24"/>
        </w:rPr>
        <w:t xml:space="preserve">which is discussed further below, </w:t>
      </w:r>
      <w:r>
        <w:rPr>
          <w:rFonts w:ascii="Arial" w:hAnsi="Arial" w:cs="Arial"/>
          <w:sz w:val="24"/>
          <w:szCs w:val="24"/>
        </w:rPr>
        <w:t xml:space="preserve">should significantly reduce the number of adjustments </w:t>
      </w:r>
      <w:r w:rsidR="00F45E61">
        <w:rPr>
          <w:rFonts w:ascii="Arial" w:hAnsi="Arial" w:cs="Arial"/>
          <w:sz w:val="24"/>
          <w:szCs w:val="24"/>
        </w:rPr>
        <w:t>that taxpayers are required to make.</w:t>
      </w:r>
    </w:p>
    <w:p w14:paraId="2131D004" w14:textId="77777777" w:rsidR="00A34CE4" w:rsidRPr="00A34CE4" w:rsidRDefault="00F15E1C" w:rsidP="00A34CE4">
      <w:pPr>
        <w:rPr>
          <w:rFonts w:ascii="Arial" w:hAnsi="Arial" w:cs="Arial"/>
          <w:b/>
          <w:i/>
          <w:sz w:val="24"/>
          <w:szCs w:val="24"/>
        </w:rPr>
      </w:pPr>
      <w:r>
        <w:rPr>
          <w:rFonts w:ascii="Arial" w:hAnsi="Arial" w:cs="Arial"/>
          <w:b/>
          <w:i/>
          <w:sz w:val="24"/>
          <w:szCs w:val="24"/>
        </w:rPr>
        <w:t>Leases that will be covered by the election</w:t>
      </w:r>
    </w:p>
    <w:p w14:paraId="2131D005" w14:textId="09133699" w:rsidR="00D35CC9" w:rsidRDefault="00F15E1C" w:rsidP="00AA3A0E">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This election to follow </w:t>
      </w:r>
      <w:r w:rsidR="0027046E">
        <w:rPr>
          <w:rFonts w:ascii="Arial" w:hAnsi="Arial" w:cs="Arial"/>
          <w:sz w:val="24"/>
          <w:szCs w:val="24"/>
        </w:rPr>
        <w:t xml:space="preserve">the </w:t>
      </w:r>
      <w:r w:rsidR="005F3B4E">
        <w:rPr>
          <w:rFonts w:ascii="Arial" w:hAnsi="Arial" w:cs="Arial"/>
          <w:sz w:val="24"/>
          <w:szCs w:val="24"/>
        </w:rPr>
        <w:t xml:space="preserve">IFRS 16 </w:t>
      </w:r>
      <w:r w:rsidR="0027046E">
        <w:rPr>
          <w:rFonts w:ascii="Arial" w:hAnsi="Arial" w:cs="Arial"/>
          <w:sz w:val="24"/>
          <w:szCs w:val="24"/>
        </w:rPr>
        <w:t>treatment for tax purposes will apply only to operating leases, using the existing tax definition of operating lease</w:t>
      </w:r>
      <w:r w:rsidR="005F3B4E">
        <w:rPr>
          <w:rFonts w:ascii="Arial" w:hAnsi="Arial" w:cs="Arial"/>
          <w:sz w:val="24"/>
          <w:szCs w:val="24"/>
        </w:rPr>
        <w:t>.  This definition</w:t>
      </w:r>
      <w:r w:rsidR="00653B27">
        <w:rPr>
          <w:rFonts w:ascii="Arial" w:hAnsi="Arial" w:cs="Arial"/>
          <w:sz w:val="24"/>
          <w:szCs w:val="24"/>
        </w:rPr>
        <w:t xml:space="preserve"> </w:t>
      </w:r>
      <w:r w:rsidR="00A3626C">
        <w:rPr>
          <w:rFonts w:ascii="Arial" w:hAnsi="Arial" w:cs="Arial"/>
          <w:sz w:val="24"/>
          <w:szCs w:val="24"/>
        </w:rPr>
        <w:t xml:space="preserve">achieves a similar outcome to </w:t>
      </w:r>
      <w:r w:rsidR="00DB7443">
        <w:rPr>
          <w:rFonts w:ascii="Arial" w:hAnsi="Arial" w:cs="Arial"/>
          <w:sz w:val="24"/>
          <w:szCs w:val="24"/>
        </w:rPr>
        <w:t>the accounting definition</w:t>
      </w:r>
      <w:r w:rsidR="005F3B4E">
        <w:rPr>
          <w:rFonts w:ascii="Arial" w:hAnsi="Arial" w:cs="Arial"/>
          <w:sz w:val="24"/>
          <w:szCs w:val="24"/>
        </w:rPr>
        <w:t>,</w:t>
      </w:r>
      <w:r w:rsidR="00DB7443">
        <w:rPr>
          <w:rFonts w:ascii="Arial" w:hAnsi="Arial" w:cs="Arial"/>
          <w:sz w:val="24"/>
          <w:szCs w:val="24"/>
        </w:rPr>
        <w:t xml:space="preserve"> in paragraph </w:t>
      </w:r>
      <w:r w:rsidR="000A0987">
        <w:rPr>
          <w:rFonts w:ascii="Arial" w:hAnsi="Arial" w:cs="Arial"/>
          <w:sz w:val="24"/>
          <w:szCs w:val="24"/>
        </w:rPr>
        <w:fldChar w:fldCharType="begin"/>
      </w:r>
      <w:r w:rsidR="000A0987">
        <w:rPr>
          <w:rFonts w:ascii="Arial" w:hAnsi="Arial" w:cs="Arial"/>
          <w:sz w:val="24"/>
          <w:szCs w:val="24"/>
        </w:rPr>
        <w:instrText xml:space="preserve"> REF _Ref22140726 \r \p \h </w:instrText>
      </w:r>
      <w:r w:rsidR="00AA3A0E">
        <w:rPr>
          <w:rFonts w:ascii="Arial" w:hAnsi="Arial" w:cs="Arial"/>
          <w:sz w:val="24"/>
          <w:szCs w:val="24"/>
        </w:rPr>
        <w:instrText xml:space="preserve"> \* MERGEFORMAT </w:instrText>
      </w:r>
      <w:r w:rsidR="000A0987">
        <w:rPr>
          <w:rFonts w:ascii="Arial" w:hAnsi="Arial" w:cs="Arial"/>
          <w:sz w:val="24"/>
          <w:szCs w:val="24"/>
        </w:rPr>
      </w:r>
      <w:r w:rsidR="000A0987">
        <w:rPr>
          <w:rFonts w:ascii="Arial" w:hAnsi="Arial" w:cs="Arial"/>
          <w:sz w:val="24"/>
          <w:szCs w:val="24"/>
        </w:rPr>
        <w:fldChar w:fldCharType="separate"/>
      </w:r>
      <w:r w:rsidR="000C3E40">
        <w:rPr>
          <w:rFonts w:ascii="Arial" w:hAnsi="Arial" w:cs="Arial"/>
          <w:sz w:val="24"/>
          <w:szCs w:val="24"/>
        </w:rPr>
        <w:t>7</w:t>
      </w:r>
      <w:r w:rsidR="0008713B">
        <w:rPr>
          <w:rFonts w:ascii="Arial" w:hAnsi="Arial" w:cs="Arial"/>
          <w:sz w:val="24"/>
          <w:szCs w:val="24"/>
        </w:rPr>
        <w:t>*</w:t>
      </w:r>
      <w:r w:rsidR="000C3E40">
        <w:rPr>
          <w:rFonts w:ascii="Arial" w:hAnsi="Arial" w:cs="Arial"/>
          <w:sz w:val="24"/>
          <w:szCs w:val="24"/>
        </w:rPr>
        <w:t xml:space="preserve"> above</w:t>
      </w:r>
      <w:r w:rsidR="000A0987">
        <w:rPr>
          <w:rFonts w:ascii="Arial" w:hAnsi="Arial" w:cs="Arial"/>
          <w:sz w:val="24"/>
          <w:szCs w:val="24"/>
        </w:rPr>
        <w:fldChar w:fldCharType="end"/>
      </w:r>
      <w:r w:rsidR="005F3B4E">
        <w:rPr>
          <w:rFonts w:ascii="Arial" w:hAnsi="Arial" w:cs="Arial"/>
          <w:sz w:val="24"/>
          <w:szCs w:val="24"/>
        </w:rPr>
        <w:t>,</w:t>
      </w:r>
      <w:r w:rsidR="004F6BD9">
        <w:rPr>
          <w:rFonts w:ascii="Arial" w:hAnsi="Arial" w:cs="Arial"/>
          <w:sz w:val="24"/>
          <w:szCs w:val="24"/>
        </w:rPr>
        <w:t xml:space="preserve"> w</w:t>
      </w:r>
      <w:r w:rsidR="005F3B4E">
        <w:rPr>
          <w:rFonts w:ascii="Arial" w:hAnsi="Arial" w:cs="Arial"/>
          <w:sz w:val="24"/>
          <w:szCs w:val="24"/>
        </w:rPr>
        <w:t>ith</w:t>
      </w:r>
      <w:r w:rsidR="004F6BD9">
        <w:rPr>
          <w:rFonts w:ascii="Arial" w:hAnsi="Arial" w:cs="Arial"/>
          <w:sz w:val="24"/>
          <w:szCs w:val="24"/>
        </w:rPr>
        <w:t xml:space="preserve"> the largest difference being all leases of real property must be a tax operating lease</w:t>
      </w:r>
      <w:r w:rsidR="0027046E">
        <w:rPr>
          <w:rFonts w:ascii="Arial" w:hAnsi="Arial" w:cs="Arial"/>
          <w:sz w:val="24"/>
          <w:szCs w:val="24"/>
        </w:rPr>
        <w:t xml:space="preserve">.  There are </w:t>
      </w:r>
      <w:r w:rsidR="004F6BD9">
        <w:rPr>
          <w:rFonts w:ascii="Arial" w:hAnsi="Arial" w:cs="Arial"/>
          <w:sz w:val="24"/>
          <w:szCs w:val="24"/>
        </w:rPr>
        <w:t>some</w:t>
      </w:r>
      <w:r w:rsidR="0027046E">
        <w:rPr>
          <w:rFonts w:ascii="Arial" w:hAnsi="Arial" w:cs="Arial"/>
          <w:sz w:val="24"/>
          <w:szCs w:val="24"/>
        </w:rPr>
        <w:t xml:space="preserve"> exceptions </w:t>
      </w:r>
      <w:r w:rsidR="00186A7E">
        <w:rPr>
          <w:rFonts w:ascii="Arial" w:hAnsi="Arial" w:cs="Arial"/>
          <w:sz w:val="24"/>
          <w:szCs w:val="24"/>
        </w:rPr>
        <w:t>to this</w:t>
      </w:r>
      <w:r w:rsidR="00653B27">
        <w:rPr>
          <w:rFonts w:ascii="Arial" w:hAnsi="Arial" w:cs="Arial"/>
          <w:sz w:val="24"/>
          <w:szCs w:val="24"/>
        </w:rPr>
        <w:t>, discussed below,</w:t>
      </w:r>
      <w:r w:rsidR="00186A7E">
        <w:rPr>
          <w:rFonts w:ascii="Arial" w:hAnsi="Arial" w:cs="Arial"/>
          <w:sz w:val="24"/>
          <w:szCs w:val="24"/>
        </w:rPr>
        <w:t xml:space="preserve"> where operating leases should continue to follow their existing treatment.</w:t>
      </w:r>
    </w:p>
    <w:p w14:paraId="2131D006" w14:textId="77777777" w:rsidR="00171BA7" w:rsidRPr="00171BA7" w:rsidRDefault="00171BA7" w:rsidP="00171BA7">
      <w:pPr>
        <w:spacing w:after="240" w:line="240" w:lineRule="auto"/>
        <w:rPr>
          <w:rFonts w:ascii="Arial" w:hAnsi="Arial" w:cs="Arial"/>
          <w:i/>
          <w:sz w:val="24"/>
          <w:szCs w:val="24"/>
        </w:rPr>
      </w:pPr>
      <w:r>
        <w:rPr>
          <w:rFonts w:ascii="Arial" w:hAnsi="Arial" w:cs="Arial"/>
          <w:i/>
          <w:sz w:val="24"/>
          <w:szCs w:val="24"/>
        </w:rPr>
        <w:t>Real property</w:t>
      </w:r>
    </w:p>
    <w:p w14:paraId="2131D007" w14:textId="77777777" w:rsidR="00AA3A0E" w:rsidRDefault="00C95FC7" w:rsidP="00AA3A0E">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w:t>
      </w:r>
      <w:r w:rsidR="004A0D85">
        <w:rPr>
          <w:rFonts w:ascii="Arial" w:hAnsi="Arial" w:cs="Arial"/>
          <w:sz w:val="24"/>
          <w:szCs w:val="24"/>
        </w:rPr>
        <w:t xml:space="preserve">he election to follow the </w:t>
      </w:r>
      <w:r>
        <w:rPr>
          <w:rFonts w:ascii="Arial" w:hAnsi="Arial" w:cs="Arial"/>
          <w:sz w:val="24"/>
          <w:szCs w:val="24"/>
        </w:rPr>
        <w:t xml:space="preserve">IFRS 16 </w:t>
      </w:r>
      <w:r w:rsidR="004A0D85">
        <w:rPr>
          <w:rFonts w:ascii="Arial" w:hAnsi="Arial" w:cs="Arial"/>
          <w:sz w:val="24"/>
          <w:szCs w:val="24"/>
        </w:rPr>
        <w:t>treatment for tax purposes should not apply to leases of real property and they should instead continue to follow their existing tax treatment.</w:t>
      </w:r>
    </w:p>
    <w:p w14:paraId="2131D008" w14:textId="77777777" w:rsidR="001674CC" w:rsidRDefault="008279CF" w:rsidP="00AA3A0E">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There are several reasons for this including:</w:t>
      </w:r>
    </w:p>
    <w:p w14:paraId="2131D009" w14:textId="77777777" w:rsidR="008279CF" w:rsidRDefault="00F45E61" w:rsidP="008279CF">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t</w:t>
      </w:r>
      <w:r w:rsidR="008279CF">
        <w:rPr>
          <w:rFonts w:ascii="Arial" w:hAnsi="Arial" w:cs="Arial"/>
          <w:sz w:val="24"/>
          <w:szCs w:val="24"/>
        </w:rPr>
        <w:t xml:space="preserve">here is less efficiency benefit </w:t>
      </w:r>
      <w:r w:rsidR="00E82415">
        <w:rPr>
          <w:rFonts w:ascii="Arial" w:hAnsi="Arial" w:cs="Arial"/>
          <w:sz w:val="24"/>
          <w:szCs w:val="24"/>
        </w:rPr>
        <w:t>from this alignment as leases of real property cannot be a tax finance lease</w:t>
      </w:r>
      <w:r w:rsidR="00615C72">
        <w:rPr>
          <w:rFonts w:ascii="Arial" w:hAnsi="Arial" w:cs="Arial"/>
          <w:sz w:val="24"/>
          <w:szCs w:val="24"/>
        </w:rPr>
        <w:t>; and</w:t>
      </w:r>
    </w:p>
    <w:p w14:paraId="2131D00A" w14:textId="41222F19" w:rsidR="00615C72" w:rsidRDefault="00F45E61" w:rsidP="008279CF">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lastRenderedPageBreak/>
        <w:t>l</w:t>
      </w:r>
      <w:r w:rsidR="00615C72">
        <w:rPr>
          <w:rFonts w:ascii="Arial" w:hAnsi="Arial" w:cs="Arial"/>
          <w:sz w:val="24"/>
          <w:szCs w:val="24"/>
        </w:rPr>
        <w:t>eases of real property typically have many more accounting features</w:t>
      </w:r>
      <w:r w:rsidR="002B13D0">
        <w:rPr>
          <w:rFonts w:ascii="Arial" w:hAnsi="Arial" w:cs="Arial"/>
          <w:sz w:val="24"/>
          <w:szCs w:val="24"/>
        </w:rPr>
        <w:t>, as</w:t>
      </w:r>
      <w:r>
        <w:rPr>
          <w:rFonts w:ascii="Arial" w:hAnsi="Arial" w:cs="Arial"/>
          <w:sz w:val="24"/>
          <w:szCs w:val="24"/>
        </w:rPr>
        <w:t xml:space="preserve"> discussed at paragraph </w:t>
      </w:r>
      <w:r>
        <w:rPr>
          <w:rFonts w:ascii="Arial" w:hAnsi="Arial" w:cs="Arial"/>
          <w:sz w:val="24"/>
          <w:szCs w:val="24"/>
        </w:rPr>
        <w:fldChar w:fldCharType="begin"/>
      </w:r>
      <w:r>
        <w:rPr>
          <w:rFonts w:ascii="Arial" w:hAnsi="Arial" w:cs="Arial"/>
          <w:sz w:val="24"/>
          <w:szCs w:val="24"/>
        </w:rPr>
        <w:instrText xml:space="preserve"> REF _Ref22141700 \r \p \h </w:instrText>
      </w:r>
      <w:r>
        <w:rPr>
          <w:rFonts w:ascii="Arial" w:hAnsi="Arial" w:cs="Arial"/>
          <w:sz w:val="24"/>
          <w:szCs w:val="24"/>
        </w:rPr>
      </w:r>
      <w:r>
        <w:rPr>
          <w:rFonts w:ascii="Arial" w:hAnsi="Arial" w:cs="Arial"/>
          <w:sz w:val="24"/>
          <w:szCs w:val="24"/>
        </w:rPr>
        <w:fldChar w:fldCharType="separate"/>
      </w:r>
      <w:r w:rsidR="000C3E40">
        <w:rPr>
          <w:rFonts w:ascii="Arial" w:hAnsi="Arial" w:cs="Arial"/>
          <w:sz w:val="24"/>
          <w:szCs w:val="24"/>
        </w:rPr>
        <w:t>17</w:t>
      </w:r>
      <w:r w:rsidR="0008713B">
        <w:rPr>
          <w:rFonts w:ascii="Arial" w:hAnsi="Arial" w:cs="Arial"/>
          <w:sz w:val="24"/>
          <w:szCs w:val="24"/>
        </w:rPr>
        <w:t>*</w:t>
      </w:r>
      <w:r w:rsidR="000C3E40">
        <w:rPr>
          <w:rFonts w:ascii="Arial" w:hAnsi="Arial" w:cs="Arial"/>
          <w:sz w:val="24"/>
          <w:szCs w:val="24"/>
        </w:rPr>
        <w:t xml:space="preserve"> above</w:t>
      </w:r>
      <w:r>
        <w:rPr>
          <w:rFonts w:ascii="Arial" w:hAnsi="Arial" w:cs="Arial"/>
          <w:sz w:val="24"/>
          <w:szCs w:val="24"/>
        </w:rPr>
        <w:fldChar w:fldCharType="end"/>
      </w:r>
      <w:r w:rsidR="002B13D0">
        <w:rPr>
          <w:rFonts w:ascii="Arial" w:hAnsi="Arial" w:cs="Arial"/>
          <w:sz w:val="24"/>
          <w:szCs w:val="24"/>
        </w:rPr>
        <w:t>,</w:t>
      </w:r>
      <w:r w:rsidR="00615C72">
        <w:rPr>
          <w:rFonts w:ascii="Arial" w:hAnsi="Arial" w:cs="Arial"/>
          <w:sz w:val="24"/>
          <w:szCs w:val="24"/>
        </w:rPr>
        <w:t xml:space="preserve"> that would need to be</w:t>
      </w:r>
      <w:r w:rsidR="007340C5">
        <w:rPr>
          <w:rFonts w:ascii="Arial" w:hAnsi="Arial" w:cs="Arial"/>
          <w:sz w:val="24"/>
          <w:szCs w:val="24"/>
        </w:rPr>
        <w:t xml:space="preserve"> adjusted</w:t>
      </w:r>
      <w:r w:rsidR="00053D58">
        <w:rPr>
          <w:rFonts w:ascii="Arial" w:hAnsi="Arial" w:cs="Arial"/>
          <w:sz w:val="24"/>
          <w:szCs w:val="24"/>
        </w:rPr>
        <w:t xml:space="preserve"> for tax purposes</w:t>
      </w:r>
      <w:r w:rsidR="007340C5">
        <w:rPr>
          <w:rFonts w:ascii="Arial" w:hAnsi="Arial" w:cs="Arial"/>
          <w:sz w:val="24"/>
          <w:szCs w:val="24"/>
        </w:rPr>
        <w:t xml:space="preserve">.  By excluding real property compliance costs will be much lower and the proportion of taxpayers choosing to follow their accounting treatment </w:t>
      </w:r>
      <w:r w:rsidR="004F6BD9">
        <w:rPr>
          <w:rFonts w:ascii="Arial" w:hAnsi="Arial" w:cs="Arial"/>
          <w:sz w:val="24"/>
          <w:szCs w:val="24"/>
        </w:rPr>
        <w:t>for tax purposes is expected to be higher.</w:t>
      </w:r>
      <w:r w:rsidR="00615C72">
        <w:rPr>
          <w:rFonts w:ascii="Arial" w:hAnsi="Arial" w:cs="Arial"/>
          <w:sz w:val="24"/>
          <w:szCs w:val="24"/>
        </w:rPr>
        <w:t xml:space="preserve"> </w:t>
      </w:r>
    </w:p>
    <w:p w14:paraId="2131D00B" w14:textId="77777777" w:rsidR="000565FA" w:rsidRDefault="000565FA" w:rsidP="000565FA">
      <w:pPr>
        <w:pStyle w:val="ListParagraph"/>
        <w:numPr>
          <w:ilvl w:val="0"/>
          <w:numId w:val="4"/>
        </w:numPr>
        <w:spacing w:after="240" w:line="240" w:lineRule="auto"/>
        <w:ind w:left="709" w:hanging="709"/>
        <w:contextualSpacing w:val="0"/>
        <w:rPr>
          <w:rFonts w:ascii="Arial" w:hAnsi="Arial" w:cs="Arial"/>
          <w:sz w:val="24"/>
          <w:szCs w:val="24"/>
        </w:rPr>
      </w:pPr>
      <w:r w:rsidRPr="000565FA">
        <w:rPr>
          <w:rFonts w:ascii="Arial" w:hAnsi="Arial" w:cs="Arial"/>
          <w:sz w:val="24"/>
          <w:szCs w:val="24"/>
        </w:rPr>
        <w:t>Many businesses will have more non-real property leases than real property leases.  However, real property leases are typically for longer terms and over higher value assets, so the total value of real property leases is expected to be far higher.</w:t>
      </w:r>
      <w:r w:rsidR="00ED7A79">
        <w:rPr>
          <w:rFonts w:ascii="Arial" w:hAnsi="Arial" w:cs="Arial"/>
          <w:sz w:val="24"/>
          <w:szCs w:val="24"/>
        </w:rPr>
        <w:t xml:space="preserve">  Excluding real property significantly reduces the fiscal cost of the proposals.</w:t>
      </w:r>
    </w:p>
    <w:p w14:paraId="2131D00C" w14:textId="77777777" w:rsidR="00B42050" w:rsidRPr="00B42050" w:rsidRDefault="00B42050" w:rsidP="00B42050">
      <w:pPr>
        <w:spacing w:after="240" w:line="240" w:lineRule="auto"/>
        <w:rPr>
          <w:rFonts w:ascii="Arial" w:hAnsi="Arial" w:cs="Arial"/>
          <w:i/>
          <w:sz w:val="24"/>
          <w:szCs w:val="24"/>
        </w:rPr>
      </w:pPr>
      <w:r w:rsidRPr="00B42050">
        <w:rPr>
          <w:rFonts w:ascii="Arial" w:hAnsi="Arial" w:cs="Arial"/>
          <w:i/>
          <w:sz w:val="24"/>
          <w:szCs w:val="24"/>
        </w:rPr>
        <w:t>Leasing to associated persons and sub-leasing</w:t>
      </w:r>
    </w:p>
    <w:p w14:paraId="2131D00D" w14:textId="77777777" w:rsidR="002B13D0" w:rsidRDefault="008845EE" w:rsidP="002B13D0">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Whe</w:t>
      </w:r>
      <w:r w:rsidR="00ED0CD2">
        <w:rPr>
          <w:rFonts w:ascii="Arial" w:hAnsi="Arial" w:cs="Arial"/>
          <w:sz w:val="24"/>
          <w:szCs w:val="24"/>
        </w:rPr>
        <w:t>n</w:t>
      </w:r>
      <w:r>
        <w:rPr>
          <w:rFonts w:ascii="Arial" w:hAnsi="Arial" w:cs="Arial"/>
          <w:sz w:val="24"/>
          <w:szCs w:val="24"/>
        </w:rPr>
        <w:t xml:space="preserve"> a taxpayer </w:t>
      </w:r>
      <w:r w:rsidR="00D06DDA">
        <w:rPr>
          <w:rFonts w:ascii="Arial" w:hAnsi="Arial" w:cs="Arial"/>
          <w:sz w:val="24"/>
          <w:szCs w:val="24"/>
        </w:rPr>
        <w:t xml:space="preserve">has </w:t>
      </w:r>
      <w:r>
        <w:rPr>
          <w:rFonts w:ascii="Arial" w:hAnsi="Arial" w:cs="Arial"/>
          <w:sz w:val="24"/>
          <w:szCs w:val="24"/>
        </w:rPr>
        <w:t xml:space="preserve">an </w:t>
      </w:r>
      <w:proofErr w:type="gramStart"/>
      <w:r>
        <w:rPr>
          <w:rFonts w:ascii="Arial" w:hAnsi="Arial" w:cs="Arial"/>
          <w:sz w:val="24"/>
          <w:szCs w:val="24"/>
        </w:rPr>
        <w:t>asset</w:t>
      </w:r>
      <w:proofErr w:type="gramEnd"/>
      <w:r>
        <w:rPr>
          <w:rFonts w:ascii="Arial" w:hAnsi="Arial" w:cs="Arial"/>
          <w:sz w:val="24"/>
          <w:szCs w:val="24"/>
        </w:rPr>
        <w:t xml:space="preserve"> th</w:t>
      </w:r>
      <w:r w:rsidR="00D06DDA">
        <w:rPr>
          <w:rFonts w:ascii="Arial" w:hAnsi="Arial" w:cs="Arial"/>
          <w:sz w:val="24"/>
          <w:szCs w:val="24"/>
        </w:rPr>
        <w:t>ey</w:t>
      </w:r>
      <w:r>
        <w:rPr>
          <w:rFonts w:ascii="Arial" w:hAnsi="Arial" w:cs="Arial"/>
          <w:sz w:val="24"/>
          <w:szCs w:val="24"/>
        </w:rPr>
        <w:t xml:space="preserve"> lease</w:t>
      </w:r>
      <w:r w:rsidR="00D06DDA">
        <w:rPr>
          <w:rFonts w:ascii="Arial" w:hAnsi="Arial" w:cs="Arial"/>
          <w:sz w:val="24"/>
          <w:szCs w:val="24"/>
        </w:rPr>
        <w:t xml:space="preserve"> </w:t>
      </w:r>
      <w:r>
        <w:rPr>
          <w:rFonts w:ascii="Arial" w:hAnsi="Arial" w:cs="Arial"/>
          <w:sz w:val="24"/>
          <w:szCs w:val="24"/>
        </w:rPr>
        <w:t xml:space="preserve">to an associated party this would create a tax timing benefit </w:t>
      </w:r>
      <w:r w:rsidR="00216C32">
        <w:rPr>
          <w:rFonts w:ascii="Arial" w:hAnsi="Arial" w:cs="Arial"/>
          <w:sz w:val="24"/>
          <w:szCs w:val="24"/>
        </w:rPr>
        <w:t>to those two taxpayers when considered as a group if they could follow the IFRS 16 treatment for tax.</w:t>
      </w:r>
    </w:p>
    <w:p w14:paraId="2131D00E" w14:textId="77777777" w:rsidR="00216C32" w:rsidRDefault="00216C32" w:rsidP="002B13D0">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This timing benefit also arises when a taxpayer leases an asset from another person and then sub-leases that asset</w:t>
      </w:r>
      <w:r w:rsidR="0029257B">
        <w:rPr>
          <w:rFonts w:ascii="Arial" w:hAnsi="Arial" w:cs="Arial"/>
          <w:sz w:val="24"/>
          <w:szCs w:val="24"/>
        </w:rPr>
        <w:t>.</w:t>
      </w:r>
    </w:p>
    <w:p w14:paraId="2131D00F" w14:textId="77777777" w:rsidR="0029257B" w:rsidRDefault="0029257B" w:rsidP="002B13D0">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These issues arise as IFRS 16 applies a different method to spread income for lessors and expenses for lessee</w:t>
      </w:r>
      <w:r w:rsidR="00927036">
        <w:rPr>
          <w:rFonts w:ascii="Arial" w:hAnsi="Arial" w:cs="Arial"/>
          <w:sz w:val="24"/>
          <w:szCs w:val="24"/>
        </w:rPr>
        <w:t>s.</w:t>
      </w:r>
    </w:p>
    <w:p w14:paraId="2131D010" w14:textId="77777777" w:rsidR="00927036" w:rsidRDefault="00927036" w:rsidP="002B13D0">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To prevent this mismatch</w:t>
      </w:r>
      <w:r w:rsidR="008722A6">
        <w:rPr>
          <w:rFonts w:ascii="Arial" w:hAnsi="Arial" w:cs="Arial"/>
          <w:sz w:val="24"/>
          <w:szCs w:val="24"/>
        </w:rPr>
        <w:t>,</w:t>
      </w:r>
      <w:r>
        <w:rPr>
          <w:rFonts w:ascii="Arial" w:hAnsi="Arial" w:cs="Arial"/>
          <w:sz w:val="24"/>
          <w:szCs w:val="24"/>
        </w:rPr>
        <w:t xml:space="preserve"> the existing tax treatment should continue to apply </w:t>
      </w:r>
      <w:r w:rsidR="00ED349B">
        <w:rPr>
          <w:rFonts w:ascii="Arial" w:hAnsi="Arial" w:cs="Arial"/>
          <w:sz w:val="24"/>
          <w:szCs w:val="24"/>
        </w:rPr>
        <w:t>if</w:t>
      </w:r>
      <w:r w:rsidR="009E1C33">
        <w:rPr>
          <w:rFonts w:ascii="Arial" w:hAnsi="Arial" w:cs="Arial"/>
          <w:sz w:val="24"/>
          <w:szCs w:val="24"/>
        </w:rPr>
        <w:t>:</w:t>
      </w:r>
    </w:p>
    <w:p w14:paraId="2131D011" w14:textId="77777777" w:rsidR="009E1C33" w:rsidRDefault="00ED349B" w:rsidP="000646CF">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a</w:t>
      </w:r>
      <w:r w:rsidR="009E1C33">
        <w:rPr>
          <w:rFonts w:ascii="Arial" w:hAnsi="Arial" w:cs="Arial"/>
          <w:sz w:val="24"/>
          <w:szCs w:val="24"/>
        </w:rPr>
        <w:t xml:space="preserve"> taxpayer leases an asset then sub-leases it to another person; or</w:t>
      </w:r>
    </w:p>
    <w:p w14:paraId="2131D012" w14:textId="77777777" w:rsidR="009E1C33" w:rsidRDefault="00ED349B" w:rsidP="00956B85">
      <w:pPr>
        <w:pStyle w:val="ListParagraph"/>
        <w:numPr>
          <w:ilvl w:val="1"/>
          <w:numId w:val="4"/>
        </w:numPr>
        <w:spacing w:after="240" w:line="240" w:lineRule="auto"/>
        <w:ind w:left="1418" w:hanging="709"/>
        <w:contextualSpacing w:val="0"/>
        <w:rPr>
          <w:rFonts w:ascii="Arial" w:hAnsi="Arial" w:cs="Arial"/>
          <w:sz w:val="24"/>
          <w:szCs w:val="24"/>
        </w:rPr>
      </w:pPr>
      <w:r>
        <w:rPr>
          <w:rFonts w:ascii="Arial" w:hAnsi="Arial" w:cs="Arial"/>
          <w:sz w:val="24"/>
          <w:szCs w:val="24"/>
        </w:rPr>
        <w:t>a</w:t>
      </w:r>
      <w:r w:rsidR="009E1C33">
        <w:rPr>
          <w:rFonts w:ascii="Arial" w:hAnsi="Arial" w:cs="Arial"/>
          <w:sz w:val="24"/>
          <w:szCs w:val="24"/>
        </w:rPr>
        <w:t xml:space="preserve"> taxpayer leases an asset from an associated party.</w:t>
      </w:r>
    </w:p>
    <w:p w14:paraId="2131D013" w14:textId="77777777" w:rsidR="000646CF" w:rsidRDefault="000646CF" w:rsidP="000646CF">
      <w:pPr>
        <w:spacing w:after="240" w:line="240" w:lineRule="auto"/>
        <w:rPr>
          <w:rFonts w:ascii="Arial" w:hAnsi="Arial" w:cs="Arial"/>
          <w:i/>
          <w:sz w:val="24"/>
          <w:szCs w:val="24"/>
        </w:rPr>
      </w:pPr>
      <w:r>
        <w:rPr>
          <w:rFonts w:ascii="Arial" w:hAnsi="Arial" w:cs="Arial"/>
          <w:i/>
          <w:sz w:val="24"/>
          <w:szCs w:val="24"/>
        </w:rPr>
        <w:t>Equipment leases</w:t>
      </w:r>
    </w:p>
    <w:p w14:paraId="2131D014" w14:textId="77777777" w:rsidR="000B0B64" w:rsidRPr="000B0B64" w:rsidRDefault="000B0B64" w:rsidP="000B0B64">
      <w:pPr>
        <w:pStyle w:val="ListParagraph"/>
        <w:numPr>
          <w:ilvl w:val="0"/>
          <w:numId w:val="4"/>
        </w:numPr>
        <w:spacing w:after="240" w:line="240" w:lineRule="auto"/>
        <w:ind w:left="709" w:hanging="709"/>
        <w:rPr>
          <w:rFonts w:ascii="Arial" w:hAnsi="Arial" w:cs="Arial"/>
          <w:sz w:val="24"/>
          <w:szCs w:val="24"/>
        </w:rPr>
      </w:pPr>
      <w:r>
        <w:rPr>
          <w:rFonts w:ascii="Arial" w:hAnsi="Arial" w:cs="Arial"/>
          <w:sz w:val="24"/>
          <w:szCs w:val="24"/>
        </w:rPr>
        <w:t xml:space="preserve">Aside from real property, the other common high value assets subject to leases are large equipment such as aircraft.  These are typically </w:t>
      </w:r>
      <w:r w:rsidR="000A4CD5">
        <w:rPr>
          <w:rFonts w:ascii="Arial" w:hAnsi="Arial" w:cs="Arial"/>
          <w:sz w:val="24"/>
          <w:szCs w:val="24"/>
        </w:rPr>
        <w:t>treated</w:t>
      </w:r>
      <w:r>
        <w:rPr>
          <w:rFonts w:ascii="Arial" w:hAnsi="Arial" w:cs="Arial"/>
          <w:sz w:val="24"/>
          <w:szCs w:val="24"/>
        </w:rPr>
        <w:t xml:space="preserve"> as tax finance leases so will not be affected by the recommendations in this paper.  </w:t>
      </w:r>
      <w:r w:rsidR="007501CE">
        <w:rPr>
          <w:rFonts w:ascii="Arial" w:hAnsi="Arial" w:cs="Arial"/>
          <w:sz w:val="24"/>
          <w:szCs w:val="24"/>
        </w:rPr>
        <w:t xml:space="preserve">If high value equipment is </w:t>
      </w:r>
      <w:r w:rsidR="00A56AC1">
        <w:rPr>
          <w:rFonts w:ascii="Arial" w:hAnsi="Arial" w:cs="Arial"/>
          <w:sz w:val="24"/>
          <w:szCs w:val="24"/>
        </w:rPr>
        <w:t xml:space="preserve">leased under </w:t>
      </w:r>
      <w:r w:rsidR="007501CE">
        <w:rPr>
          <w:rFonts w:ascii="Arial" w:hAnsi="Arial" w:cs="Arial"/>
          <w:sz w:val="24"/>
          <w:szCs w:val="24"/>
        </w:rPr>
        <w:t xml:space="preserve">a tax operating lease </w:t>
      </w:r>
      <w:r w:rsidR="00A56AC1">
        <w:rPr>
          <w:rFonts w:ascii="Arial" w:hAnsi="Arial" w:cs="Arial"/>
          <w:sz w:val="24"/>
          <w:szCs w:val="24"/>
        </w:rPr>
        <w:t xml:space="preserve">by a taxpayer who has chosen to follow the IFRS 16 treatment for </w:t>
      </w:r>
      <w:proofErr w:type="gramStart"/>
      <w:r w:rsidR="00A56AC1">
        <w:rPr>
          <w:rFonts w:ascii="Arial" w:hAnsi="Arial" w:cs="Arial"/>
          <w:sz w:val="24"/>
          <w:szCs w:val="24"/>
        </w:rPr>
        <w:t>tax</w:t>
      </w:r>
      <w:proofErr w:type="gramEnd"/>
      <w:r w:rsidR="00A56AC1">
        <w:rPr>
          <w:rFonts w:ascii="Arial" w:hAnsi="Arial" w:cs="Arial"/>
          <w:sz w:val="24"/>
          <w:szCs w:val="24"/>
        </w:rPr>
        <w:t xml:space="preserve"> then they should also be able to follow the IFRS 16 treatment for that equipment.</w:t>
      </w:r>
    </w:p>
    <w:p w14:paraId="2131D015" w14:textId="77777777" w:rsidR="008D5695" w:rsidRPr="00500466" w:rsidRDefault="008D5695" w:rsidP="00BE7A41">
      <w:pPr>
        <w:pStyle w:val="Heading2"/>
        <w:rPr>
          <w:i/>
        </w:rPr>
      </w:pPr>
      <w:r w:rsidRPr="00500466">
        <w:rPr>
          <w:i/>
        </w:rPr>
        <w:t>Further details</w:t>
      </w:r>
    </w:p>
    <w:p w14:paraId="2131D016" w14:textId="77777777" w:rsidR="008D5695" w:rsidRDefault="00500466" w:rsidP="0050046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Once a taxpayer elects to follow IFRS 16 for tax they should be required to </w:t>
      </w:r>
      <w:r w:rsidR="00084C39">
        <w:rPr>
          <w:rFonts w:ascii="Arial" w:hAnsi="Arial" w:cs="Arial"/>
          <w:sz w:val="24"/>
          <w:szCs w:val="24"/>
        </w:rPr>
        <w:t>continue this treatment in all future periods except when they cease to follow IFRS 16 for accounting purposes.</w:t>
      </w:r>
    </w:p>
    <w:p w14:paraId="2131D017" w14:textId="77777777" w:rsidR="00084C39" w:rsidRDefault="00D40992" w:rsidP="0050046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A taxpayer electing to follow IFRS 16 for tax will typically </w:t>
      </w:r>
      <w:r w:rsidR="0013563F">
        <w:rPr>
          <w:rFonts w:ascii="Arial" w:hAnsi="Arial" w:cs="Arial"/>
          <w:sz w:val="24"/>
          <w:szCs w:val="24"/>
        </w:rPr>
        <w:t xml:space="preserve">incur a one off deduction arising from expenditure that was not deductible </w:t>
      </w:r>
      <w:r w:rsidR="002135B9">
        <w:rPr>
          <w:rFonts w:ascii="Arial" w:hAnsi="Arial" w:cs="Arial"/>
          <w:sz w:val="24"/>
          <w:szCs w:val="24"/>
        </w:rPr>
        <w:t xml:space="preserve">under NZ IAS 17 or the former tax treatment but would have been deductible if they have been able to follow IFRS 16 in earlier periods.  To minimise the </w:t>
      </w:r>
      <w:r w:rsidR="00B91092">
        <w:rPr>
          <w:rFonts w:ascii="Arial" w:hAnsi="Arial" w:cs="Arial"/>
          <w:sz w:val="24"/>
          <w:szCs w:val="24"/>
        </w:rPr>
        <w:t>upfront impact on tax revenue I recommend this deduction be spread over five years.</w:t>
      </w:r>
    </w:p>
    <w:p w14:paraId="2131D018" w14:textId="77777777" w:rsidR="00B91092" w:rsidRPr="00500466" w:rsidRDefault="00B91092" w:rsidP="0050046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When a taxpayer </w:t>
      </w:r>
      <w:r w:rsidR="000501F5">
        <w:rPr>
          <w:rFonts w:ascii="Arial" w:hAnsi="Arial" w:cs="Arial"/>
          <w:sz w:val="24"/>
          <w:szCs w:val="24"/>
        </w:rPr>
        <w:t xml:space="preserve">ends a lease </w:t>
      </w:r>
      <w:r w:rsidR="00213D4C">
        <w:rPr>
          <w:rFonts w:ascii="Arial" w:hAnsi="Arial" w:cs="Arial"/>
          <w:sz w:val="24"/>
          <w:szCs w:val="24"/>
        </w:rPr>
        <w:t>o</w:t>
      </w:r>
      <w:r w:rsidR="009C69D9">
        <w:rPr>
          <w:rFonts w:ascii="Arial" w:hAnsi="Arial" w:cs="Arial"/>
          <w:sz w:val="24"/>
          <w:szCs w:val="24"/>
        </w:rPr>
        <w:t xml:space="preserve">r </w:t>
      </w:r>
      <w:r w:rsidR="00C11717">
        <w:rPr>
          <w:rFonts w:ascii="Arial" w:hAnsi="Arial" w:cs="Arial"/>
          <w:sz w:val="24"/>
          <w:szCs w:val="24"/>
        </w:rPr>
        <w:t>stops applying</w:t>
      </w:r>
      <w:r w:rsidR="009C69D9">
        <w:rPr>
          <w:rFonts w:ascii="Arial" w:hAnsi="Arial" w:cs="Arial"/>
          <w:sz w:val="24"/>
          <w:szCs w:val="24"/>
        </w:rPr>
        <w:t xml:space="preserve"> IFRS for accounting </w:t>
      </w:r>
      <w:r w:rsidR="000501F5">
        <w:rPr>
          <w:rFonts w:ascii="Arial" w:hAnsi="Arial" w:cs="Arial"/>
          <w:sz w:val="24"/>
          <w:szCs w:val="24"/>
        </w:rPr>
        <w:t xml:space="preserve">they should calculate a wash-up to ensure total tax deductions are the same as those incurred by </w:t>
      </w:r>
      <w:r w:rsidR="000501F5">
        <w:rPr>
          <w:rFonts w:ascii="Arial" w:hAnsi="Arial" w:cs="Arial"/>
          <w:sz w:val="24"/>
          <w:szCs w:val="24"/>
        </w:rPr>
        <w:lastRenderedPageBreak/>
        <w:t>a taxpayer who is not following IFRS 16 for tax</w:t>
      </w:r>
      <w:r w:rsidR="006B206E">
        <w:rPr>
          <w:rFonts w:ascii="Arial" w:hAnsi="Arial" w:cs="Arial"/>
          <w:sz w:val="24"/>
          <w:szCs w:val="24"/>
        </w:rPr>
        <w:t xml:space="preserve">.  When a lease ends after following its full intended </w:t>
      </w:r>
      <w:proofErr w:type="gramStart"/>
      <w:r w:rsidR="006B206E">
        <w:rPr>
          <w:rFonts w:ascii="Arial" w:hAnsi="Arial" w:cs="Arial"/>
          <w:sz w:val="24"/>
          <w:szCs w:val="24"/>
        </w:rPr>
        <w:t>term</w:t>
      </w:r>
      <w:proofErr w:type="gramEnd"/>
      <w:r w:rsidR="006B206E">
        <w:rPr>
          <w:rFonts w:ascii="Arial" w:hAnsi="Arial" w:cs="Arial"/>
          <w:sz w:val="24"/>
          <w:szCs w:val="24"/>
        </w:rPr>
        <w:t xml:space="preserve"> this wash-up will typically be zero.</w:t>
      </w:r>
    </w:p>
    <w:p w14:paraId="2131D019" w14:textId="77777777" w:rsidR="004B6934" w:rsidRPr="005D421C" w:rsidRDefault="004B6934" w:rsidP="00BE7A41">
      <w:pPr>
        <w:pStyle w:val="Heading2"/>
      </w:pPr>
      <w:r w:rsidRPr="005D421C">
        <w:t>Consultation</w:t>
      </w:r>
    </w:p>
    <w:p w14:paraId="2131D01A" w14:textId="77777777" w:rsidR="004B6934" w:rsidRDefault="00517563"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Targeted consultation has been undertaken with </w:t>
      </w:r>
      <w:r w:rsidR="003E3683">
        <w:rPr>
          <w:rFonts w:ascii="Arial" w:hAnsi="Arial" w:cs="Arial"/>
          <w:sz w:val="24"/>
          <w:szCs w:val="24"/>
        </w:rPr>
        <w:t>affected taxpayers, representative bodies and their advisors</w:t>
      </w:r>
      <w:r w:rsidR="00A52370">
        <w:rPr>
          <w:rFonts w:ascii="Arial" w:hAnsi="Arial" w:cs="Arial"/>
          <w:sz w:val="24"/>
          <w:szCs w:val="24"/>
        </w:rPr>
        <w:t xml:space="preserve">.  They are supportive of proposals to allow </w:t>
      </w:r>
      <w:r w:rsidR="007F5682">
        <w:rPr>
          <w:rFonts w:ascii="Arial" w:hAnsi="Arial" w:cs="Arial"/>
          <w:sz w:val="24"/>
          <w:szCs w:val="24"/>
        </w:rPr>
        <w:t xml:space="preserve">closer alignment </w:t>
      </w:r>
      <w:r w:rsidR="009C63DE">
        <w:rPr>
          <w:rFonts w:ascii="Arial" w:hAnsi="Arial" w:cs="Arial"/>
          <w:sz w:val="24"/>
          <w:szCs w:val="24"/>
        </w:rPr>
        <w:t xml:space="preserve">of tax and accounting operating lease expenditure </w:t>
      </w:r>
      <w:r w:rsidR="007F5682">
        <w:rPr>
          <w:rFonts w:ascii="Arial" w:hAnsi="Arial" w:cs="Arial"/>
          <w:sz w:val="24"/>
          <w:szCs w:val="24"/>
        </w:rPr>
        <w:t>for lessees following IFRS.</w:t>
      </w:r>
    </w:p>
    <w:p w14:paraId="2131D01B" w14:textId="77777777" w:rsidR="002F251D" w:rsidRPr="00895779" w:rsidRDefault="002F251D"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 Treasury has been consulted and support the proposals.</w:t>
      </w:r>
    </w:p>
    <w:p w14:paraId="2131D01C" w14:textId="77777777" w:rsidR="004B6934" w:rsidRPr="005D421C" w:rsidRDefault="004B6934" w:rsidP="00BE7A41">
      <w:pPr>
        <w:pStyle w:val="Heading2"/>
      </w:pPr>
      <w:r w:rsidRPr="005D421C">
        <w:t>Financial Implications</w:t>
      </w:r>
    </w:p>
    <w:p w14:paraId="2131D01D" w14:textId="77777777" w:rsidR="000E6BA0" w:rsidRPr="00836BFB" w:rsidRDefault="000E6BA0" w:rsidP="00836BFB">
      <w:pPr>
        <w:pStyle w:val="ListParagraph"/>
        <w:numPr>
          <w:ilvl w:val="0"/>
          <w:numId w:val="4"/>
        </w:numPr>
        <w:ind w:left="709" w:hanging="709"/>
        <w:rPr>
          <w:rFonts w:ascii="Arial" w:hAnsi="Arial" w:cs="Arial"/>
          <w:sz w:val="24"/>
          <w:szCs w:val="24"/>
        </w:rPr>
      </w:pPr>
      <w:r w:rsidRPr="00836BFB">
        <w:rPr>
          <w:rFonts w:ascii="Arial" w:hAnsi="Arial" w:cs="Arial"/>
          <w:sz w:val="24"/>
          <w:szCs w:val="24"/>
        </w:rPr>
        <w:tab/>
        <w:t>The fiscal impact of the changes is a revenue loss of approximately $1.8 million per year for 5 years, with a corresponding impact on the operating balance:</w:t>
      </w:r>
    </w:p>
    <w:tbl>
      <w:tblPr>
        <w:tblStyle w:val="TableGrid"/>
        <w:tblW w:w="0" w:type="auto"/>
        <w:jc w:val="center"/>
        <w:tblInd w:w="0" w:type="dxa"/>
        <w:tblLook w:val="04A0" w:firstRow="1" w:lastRow="0" w:firstColumn="1" w:lastColumn="0" w:noHBand="0" w:noVBand="1"/>
      </w:tblPr>
      <w:tblGrid>
        <w:gridCol w:w="2552"/>
        <w:gridCol w:w="1319"/>
        <w:gridCol w:w="1276"/>
        <w:gridCol w:w="1275"/>
        <w:gridCol w:w="1375"/>
      </w:tblGrid>
      <w:tr w:rsidR="00836BFB" w14:paraId="2131D020" w14:textId="77777777" w:rsidTr="001359BF">
        <w:trPr>
          <w:cantSplit/>
          <w:tblHeader/>
          <w:jc w:val="center"/>
        </w:trPr>
        <w:tc>
          <w:tcPr>
            <w:tcW w:w="2552" w:type="dxa"/>
            <w:tcBorders>
              <w:top w:val="nil"/>
              <w:left w:val="nil"/>
              <w:bottom w:val="single" w:sz="4" w:space="0" w:color="auto"/>
              <w:right w:val="single" w:sz="4" w:space="0" w:color="auto"/>
            </w:tcBorders>
          </w:tcPr>
          <w:p w14:paraId="2131D01E" w14:textId="77777777" w:rsidR="00836BFB" w:rsidRPr="001359BF" w:rsidRDefault="00836BFB">
            <w:pPr>
              <w:pStyle w:val="TRBodyTextChar"/>
              <w:tabs>
                <w:tab w:val="left" w:pos="567"/>
                <w:tab w:val="left" w:pos="5812"/>
              </w:tabs>
              <w:rPr>
                <w:rFonts w:ascii="Arial" w:hAnsi="Arial" w:cs="Arial"/>
                <w:b/>
                <w:szCs w:val="24"/>
              </w:rPr>
            </w:pPr>
          </w:p>
        </w:tc>
        <w:tc>
          <w:tcPr>
            <w:tcW w:w="5245" w:type="dxa"/>
            <w:gridSpan w:val="4"/>
            <w:tcBorders>
              <w:top w:val="single" w:sz="4" w:space="0" w:color="auto"/>
              <w:left w:val="single" w:sz="4" w:space="0" w:color="auto"/>
              <w:bottom w:val="single" w:sz="4" w:space="0" w:color="auto"/>
              <w:right w:val="single" w:sz="4" w:space="0" w:color="auto"/>
            </w:tcBorders>
            <w:hideMark/>
          </w:tcPr>
          <w:p w14:paraId="2131D01F" w14:textId="77777777" w:rsidR="00836BFB" w:rsidRPr="001359BF" w:rsidRDefault="00836BFB">
            <w:pPr>
              <w:pStyle w:val="TRBodyTextChar"/>
              <w:tabs>
                <w:tab w:val="left" w:pos="567"/>
                <w:tab w:val="left" w:pos="5812"/>
              </w:tabs>
              <w:jc w:val="center"/>
              <w:rPr>
                <w:rFonts w:ascii="Arial" w:hAnsi="Arial" w:cs="Arial"/>
                <w:szCs w:val="24"/>
              </w:rPr>
            </w:pPr>
            <w:r w:rsidRPr="001359BF">
              <w:rPr>
                <w:rFonts w:ascii="Arial" w:hAnsi="Arial" w:cs="Arial"/>
                <w:szCs w:val="24"/>
              </w:rPr>
              <w:t>$m – increase/(decrease)</w:t>
            </w:r>
          </w:p>
        </w:tc>
      </w:tr>
      <w:tr w:rsidR="00836BFB" w14:paraId="2131D027" w14:textId="77777777" w:rsidTr="001359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21" w14:textId="77777777" w:rsidR="00836BFB" w:rsidRPr="001359BF" w:rsidRDefault="00836BFB">
            <w:pPr>
              <w:pStyle w:val="TRBodyTextChar"/>
              <w:tabs>
                <w:tab w:val="left" w:pos="567"/>
                <w:tab w:val="left" w:pos="5812"/>
              </w:tabs>
              <w:rPr>
                <w:rFonts w:ascii="Arial" w:hAnsi="Arial" w:cs="Arial"/>
                <w:b/>
                <w:szCs w:val="24"/>
              </w:rPr>
            </w:pPr>
            <w:r w:rsidRPr="001359BF">
              <w:rPr>
                <w:rFonts w:ascii="Arial" w:hAnsi="Arial" w:cs="Arial"/>
                <w:b/>
                <w:szCs w:val="24"/>
              </w:rPr>
              <w:t>Vote Revenue</w:t>
            </w:r>
          </w:p>
          <w:p w14:paraId="2131D022" w14:textId="77777777" w:rsidR="00836BFB" w:rsidRPr="001359BF" w:rsidRDefault="00836BFB">
            <w:pPr>
              <w:pStyle w:val="TRBodyTextChar"/>
              <w:tabs>
                <w:tab w:val="left" w:pos="567"/>
                <w:tab w:val="left" w:pos="5812"/>
              </w:tabs>
              <w:jc w:val="left"/>
              <w:rPr>
                <w:rFonts w:ascii="Arial" w:hAnsi="Arial" w:cs="Arial"/>
                <w:b/>
                <w:szCs w:val="24"/>
              </w:rPr>
            </w:pPr>
            <w:r w:rsidRPr="001359BF">
              <w:rPr>
                <w:rFonts w:ascii="Arial" w:hAnsi="Arial" w:cs="Arial"/>
                <w:b/>
                <w:szCs w:val="24"/>
              </w:rPr>
              <w:t>Minister of Revenue</w:t>
            </w:r>
          </w:p>
        </w:tc>
        <w:tc>
          <w:tcPr>
            <w:tcW w:w="1319" w:type="dxa"/>
            <w:tcBorders>
              <w:top w:val="single" w:sz="4" w:space="0" w:color="auto"/>
              <w:left w:val="single" w:sz="4" w:space="0" w:color="auto"/>
              <w:bottom w:val="single" w:sz="4" w:space="0" w:color="auto"/>
              <w:right w:val="single" w:sz="4" w:space="0" w:color="auto"/>
            </w:tcBorders>
            <w:hideMark/>
          </w:tcPr>
          <w:p w14:paraId="2131D023" w14:textId="77777777" w:rsidR="00836BFB" w:rsidRPr="001359BF" w:rsidRDefault="00836BFB">
            <w:pPr>
              <w:pStyle w:val="TRBodyTextChar"/>
              <w:tabs>
                <w:tab w:val="left" w:pos="567"/>
                <w:tab w:val="left" w:pos="5812"/>
              </w:tabs>
              <w:jc w:val="center"/>
              <w:rPr>
                <w:rFonts w:ascii="Arial" w:hAnsi="Arial" w:cs="Arial"/>
                <w:b/>
                <w:szCs w:val="24"/>
              </w:rPr>
            </w:pPr>
            <w:r w:rsidRPr="001359BF">
              <w:rPr>
                <w:rFonts w:ascii="Arial" w:hAnsi="Arial" w:cs="Arial"/>
                <w:b/>
                <w:szCs w:val="24"/>
              </w:rPr>
              <w:t>2019/20</w:t>
            </w:r>
          </w:p>
        </w:tc>
        <w:tc>
          <w:tcPr>
            <w:tcW w:w="1276" w:type="dxa"/>
            <w:tcBorders>
              <w:top w:val="single" w:sz="4" w:space="0" w:color="auto"/>
              <w:left w:val="single" w:sz="4" w:space="0" w:color="auto"/>
              <w:bottom w:val="single" w:sz="4" w:space="0" w:color="auto"/>
              <w:right w:val="single" w:sz="4" w:space="0" w:color="auto"/>
            </w:tcBorders>
            <w:hideMark/>
          </w:tcPr>
          <w:p w14:paraId="2131D024" w14:textId="77777777" w:rsidR="00836BFB" w:rsidRPr="001359BF" w:rsidRDefault="00836BFB">
            <w:pPr>
              <w:pStyle w:val="TRBodyTextChar"/>
              <w:tabs>
                <w:tab w:val="left" w:pos="567"/>
                <w:tab w:val="left" w:pos="5812"/>
              </w:tabs>
              <w:jc w:val="center"/>
              <w:rPr>
                <w:rFonts w:ascii="Arial" w:hAnsi="Arial" w:cs="Arial"/>
                <w:b/>
                <w:szCs w:val="24"/>
              </w:rPr>
            </w:pPr>
            <w:r w:rsidRPr="001359BF">
              <w:rPr>
                <w:rFonts w:ascii="Arial" w:hAnsi="Arial" w:cs="Arial"/>
                <w:b/>
                <w:szCs w:val="24"/>
              </w:rPr>
              <w:t>2020/21</w:t>
            </w:r>
          </w:p>
        </w:tc>
        <w:tc>
          <w:tcPr>
            <w:tcW w:w="1275" w:type="dxa"/>
            <w:tcBorders>
              <w:top w:val="single" w:sz="4" w:space="0" w:color="auto"/>
              <w:left w:val="single" w:sz="4" w:space="0" w:color="auto"/>
              <w:bottom w:val="single" w:sz="4" w:space="0" w:color="auto"/>
              <w:right w:val="single" w:sz="4" w:space="0" w:color="auto"/>
            </w:tcBorders>
            <w:hideMark/>
          </w:tcPr>
          <w:p w14:paraId="2131D025" w14:textId="77777777" w:rsidR="00836BFB" w:rsidRPr="001359BF" w:rsidRDefault="00836BFB">
            <w:pPr>
              <w:pStyle w:val="TRBodyTextChar"/>
              <w:tabs>
                <w:tab w:val="left" w:pos="567"/>
                <w:tab w:val="left" w:pos="5812"/>
              </w:tabs>
              <w:jc w:val="center"/>
              <w:rPr>
                <w:rFonts w:ascii="Arial" w:hAnsi="Arial" w:cs="Arial"/>
                <w:b/>
                <w:szCs w:val="24"/>
              </w:rPr>
            </w:pPr>
            <w:r w:rsidRPr="001359BF">
              <w:rPr>
                <w:rFonts w:ascii="Arial" w:hAnsi="Arial" w:cs="Arial"/>
                <w:b/>
                <w:szCs w:val="24"/>
              </w:rPr>
              <w:t>2021/22</w:t>
            </w:r>
          </w:p>
        </w:tc>
        <w:tc>
          <w:tcPr>
            <w:tcW w:w="1375" w:type="dxa"/>
            <w:tcBorders>
              <w:top w:val="single" w:sz="4" w:space="0" w:color="auto"/>
              <w:left w:val="single" w:sz="4" w:space="0" w:color="auto"/>
              <w:bottom w:val="single" w:sz="4" w:space="0" w:color="auto"/>
              <w:right w:val="single" w:sz="4" w:space="0" w:color="auto"/>
            </w:tcBorders>
            <w:hideMark/>
          </w:tcPr>
          <w:p w14:paraId="2131D026" w14:textId="77777777" w:rsidR="00836BFB" w:rsidRPr="001359BF" w:rsidRDefault="00836BFB">
            <w:pPr>
              <w:pStyle w:val="TRBodyTextChar"/>
              <w:tabs>
                <w:tab w:val="left" w:pos="567"/>
                <w:tab w:val="left" w:pos="5812"/>
              </w:tabs>
              <w:jc w:val="center"/>
              <w:rPr>
                <w:rFonts w:ascii="Arial" w:hAnsi="Arial" w:cs="Arial"/>
                <w:b/>
                <w:szCs w:val="24"/>
              </w:rPr>
            </w:pPr>
            <w:r w:rsidRPr="001359BF">
              <w:rPr>
                <w:rFonts w:ascii="Arial" w:hAnsi="Arial" w:cs="Arial"/>
                <w:b/>
                <w:szCs w:val="24"/>
              </w:rPr>
              <w:t>2022/23 &amp; Outyears</w:t>
            </w:r>
          </w:p>
        </w:tc>
      </w:tr>
      <w:tr w:rsidR="00836BFB" w14:paraId="2131D02D" w14:textId="77777777" w:rsidTr="001359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28" w14:textId="77777777" w:rsidR="00836BFB" w:rsidRPr="001359BF" w:rsidRDefault="00836BFB">
            <w:pPr>
              <w:pStyle w:val="TRBodyTextChar"/>
              <w:tabs>
                <w:tab w:val="left" w:pos="567"/>
                <w:tab w:val="left" w:pos="5812"/>
              </w:tabs>
              <w:rPr>
                <w:rFonts w:ascii="Arial" w:hAnsi="Arial" w:cs="Arial"/>
                <w:szCs w:val="24"/>
              </w:rPr>
            </w:pPr>
            <w:r w:rsidRPr="001359BF">
              <w:rPr>
                <w:rFonts w:ascii="Arial" w:hAnsi="Arial" w:cs="Arial"/>
                <w:szCs w:val="24"/>
              </w:rPr>
              <w:t>Tax Revenue</w:t>
            </w:r>
          </w:p>
        </w:tc>
        <w:tc>
          <w:tcPr>
            <w:tcW w:w="1319" w:type="dxa"/>
            <w:tcBorders>
              <w:top w:val="single" w:sz="4" w:space="0" w:color="auto"/>
              <w:left w:val="single" w:sz="4" w:space="0" w:color="auto"/>
              <w:bottom w:val="single" w:sz="4" w:space="0" w:color="auto"/>
              <w:right w:val="single" w:sz="4" w:space="0" w:color="auto"/>
            </w:tcBorders>
            <w:hideMark/>
          </w:tcPr>
          <w:p w14:paraId="2131D029" w14:textId="77777777" w:rsidR="00836BFB" w:rsidRPr="001359BF" w:rsidRDefault="00836BFB">
            <w:pPr>
              <w:pStyle w:val="TRBodyTextChar"/>
              <w:tabs>
                <w:tab w:val="left" w:pos="567"/>
                <w:tab w:val="left" w:pos="5812"/>
              </w:tabs>
              <w:jc w:val="right"/>
              <w:rPr>
                <w:rFonts w:ascii="Arial" w:hAnsi="Arial" w:cs="Arial"/>
                <w:szCs w:val="24"/>
              </w:rPr>
            </w:pPr>
            <w:r w:rsidRPr="001359BF">
              <w:rPr>
                <w:rFonts w:ascii="Arial" w:hAnsi="Arial" w:cs="Arial"/>
                <w:szCs w:val="24"/>
              </w:rPr>
              <w:t>(1.800)</w:t>
            </w:r>
          </w:p>
        </w:tc>
        <w:tc>
          <w:tcPr>
            <w:tcW w:w="1276" w:type="dxa"/>
            <w:tcBorders>
              <w:top w:val="single" w:sz="4" w:space="0" w:color="auto"/>
              <w:left w:val="single" w:sz="4" w:space="0" w:color="auto"/>
              <w:bottom w:val="single" w:sz="4" w:space="0" w:color="auto"/>
              <w:right w:val="single" w:sz="4" w:space="0" w:color="auto"/>
            </w:tcBorders>
            <w:hideMark/>
          </w:tcPr>
          <w:p w14:paraId="2131D02A" w14:textId="77777777" w:rsidR="00836BFB" w:rsidRPr="001359BF" w:rsidRDefault="00836BFB">
            <w:pPr>
              <w:pStyle w:val="TRBodyTextChar"/>
              <w:tabs>
                <w:tab w:val="left" w:pos="567"/>
                <w:tab w:val="left" w:pos="5812"/>
              </w:tabs>
              <w:jc w:val="right"/>
              <w:rPr>
                <w:rFonts w:ascii="Arial" w:hAnsi="Arial" w:cs="Arial"/>
                <w:szCs w:val="24"/>
              </w:rPr>
            </w:pPr>
            <w:r w:rsidRPr="001359BF">
              <w:rPr>
                <w:rFonts w:ascii="Arial" w:hAnsi="Arial" w:cs="Arial"/>
                <w:szCs w:val="24"/>
              </w:rPr>
              <w:t>(1.800)</w:t>
            </w:r>
          </w:p>
        </w:tc>
        <w:tc>
          <w:tcPr>
            <w:tcW w:w="1275" w:type="dxa"/>
            <w:tcBorders>
              <w:top w:val="single" w:sz="4" w:space="0" w:color="auto"/>
              <w:left w:val="single" w:sz="4" w:space="0" w:color="auto"/>
              <w:bottom w:val="single" w:sz="4" w:space="0" w:color="auto"/>
              <w:right w:val="single" w:sz="4" w:space="0" w:color="auto"/>
            </w:tcBorders>
            <w:hideMark/>
          </w:tcPr>
          <w:p w14:paraId="2131D02B" w14:textId="77777777" w:rsidR="00836BFB" w:rsidRPr="001359BF" w:rsidRDefault="00836BFB">
            <w:pPr>
              <w:pStyle w:val="TRBodyTextChar"/>
              <w:tabs>
                <w:tab w:val="left" w:pos="567"/>
                <w:tab w:val="left" w:pos="5812"/>
              </w:tabs>
              <w:jc w:val="right"/>
              <w:rPr>
                <w:rFonts w:ascii="Arial" w:hAnsi="Arial" w:cs="Arial"/>
                <w:szCs w:val="24"/>
              </w:rPr>
            </w:pPr>
            <w:r w:rsidRPr="001359BF">
              <w:rPr>
                <w:rFonts w:ascii="Arial" w:hAnsi="Arial" w:cs="Arial"/>
                <w:szCs w:val="24"/>
              </w:rPr>
              <w:t>(1.800)</w:t>
            </w:r>
          </w:p>
        </w:tc>
        <w:tc>
          <w:tcPr>
            <w:tcW w:w="1375" w:type="dxa"/>
            <w:tcBorders>
              <w:top w:val="single" w:sz="4" w:space="0" w:color="auto"/>
              <w:left w:val="single" w:sz="4" w:space="0" w:color="auto"/>
              <w:bottom w:val="single" w:sz="4" w:space="0" w:color="auto"/>
              <w:right w:val="single" w:sz="4" w:space="0" w:color="auto"/>
            </w:tcBorders>
            <w:hideMark/>
          </w:tcPr>
          <w:p w14:paraId="2131D02C" w14:textId="77777777" w:rsidR="00836BFB" w:rsidRPr="001359BF" w:rsidRDefault="00836BFB">
            <w:pPr>
              <w:pStyle w:val="TRBodyTextChar"/>
              <w:tabs>
                <w:tab w:val="left" w:pos="567"/>
                <w:tab w:val="left" w:pos="5812"/>
              </w:tabs>
              <w:jc w:val="right"/>
              <w:rPr>
                <w:rFonts w:ascii="Arial" w:hAnsi="Arial" w:cs="Arial"/>
                <w:szCs w:val="24"/>
              </w:rPr>
            </w:pPr>
            <w:r w:rsidRPr="001359BF">
              <w:rPr>
                <w:rFonts w:ascii="Arial" w:hAnsi="Arial" w:cs="Arial"/>
                <w:szCs w:val="24"/>
              </w:rPr>
              <w:t>(1.800)</w:t>
            </w:r>
          </w:p>
        </w:tc>
      </w:tr>
      <w:tr w:rsidR="00836BFB" w14:paraId="2131D033" w14:textId="77777777" w:rsidTr="001359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2E" w14:textId="77777777" w:rsidR="00836BFB" w:rsidRPr="001359BF" w:rsidRDefault="00836BFB">
            <w:pPr>
              <w:pStyle w:val="TRBodyTextChar"/>
              <w:tabs>
                <w:tab w:val="left" w:pos="567"/>
                <w:tab w:val="left" w:pos="5812"/>
              </w:tabs>
              <w:rPr>
                <w:rFonts w:ascii="Arial" w:hAnsi="Arial" w:cs="Arial"/>
                <w:b/>
                <w:szCs w:val="24"/>
              </w:rPr>
            </w:pPr>
            <w:r w:rsidRPr="001359BF">
              <w:rPr>
                <w:rFonts w:ascii="Arial" w:hAnsi="Arial" w:cs="Arial"/>
                <w:b/>
                <w:szCs w:val="24"/>
              </w:rPr>
              <w:t>Total Operating</w:t>
            </w:r>
          </w:p>
        </w:tc>
        <w:tc>
          <w:tcPr>
            <w:tcW w:w="1319" w:type="dxa"/>
            <w:tcBorders>
              <w:top w:val="single" w:sz="4" w:space="0" w:color="auto"/>
              <w:left w:val="single" w:sz="4" w:space="0" w:color="auto"/>
              <w:bottom w:val="single" w:sz="4" w:space="0" w:color="auto"/>
              <w:right w:val="single" w:sz="4" w:space="0" w:color="auto"/>
            </w:tcBorders>
            <w:hideMark/>
          </w:tcPr>
          <w:p w14:paraId="2131D02F" w14:textId="77777777" w:rsidR="00836BFB" w:rsidRPr="001359BF" w:rsidRDefault="00836BFB">
            <w:pPr>
              <w:pStyle w:val="TRBodyTextChar"/>
              <w:tabs>
                <w:tab w:val="left" w:pos="567"/>
                <w:tab w:val="left" w:pos="5812"/>
              </w:tabs>
              <w:jc w:val="right"/>
              <w:rPr>
                <w:rFonts w:ascii="Arial" w:hAnsi="Arial" w:cs="Arial"/>
                <w:b/>
                <w:szCs w:val="24"/>
              </w:rPr>
            </w:pPr>
            <w:r w:rsidRPr="001359BF">
              <w:rPr>
                <w:rFonts w:ascii="Arial" w:hAnsi="Arial" w:cs="Arial"/>
                <w:b/>
                <w:szCs w:val="24"/>
              </w:rPr>
              <w:t>(1.800)</w:t>
            </w:r>
          </w:p>
        </w:tc>
        <w:tc>
          <w:tcPr>
            <w:tcW w:w="1276" w:type="dxa"/>
            <w:tcBorders>
              <w:top w:val="single" w:sz="4" w:space="0" w:color="auto"/>
              <w:left w:val="single" w:sz="4" w:space="0" w:color="auto"/>
              <w:bottom w:val="single" w:sz="4" w:space="0" w:color="auto"/>
              <w:right w:val="single" w:sz="4" w:space="0" w:color="auto"/>
            </w:tcBorders>
            <w:hideMark/>
          </w:tcPr>
          <w:p w14:paraId="2131D030" w14:textId="77777777" w:rsidR="00836BFB" w:rsidRPr="001359BF" w:rsidRDefault="00836BFB">
            <w:pPr>
              <w:pStyle w:val="TRBodyTextChar"/>
              <w:tabs>
                <w:tab w:val="left" w:pos="567"/>
                <w:tab w:val="left" w:pos="5812"/>
              </w:tabs>
              <w:jc w:val="right"/>
              <w:rPr>
                <w:rFonts w:ascii="Arial" w:hAnsi="Arial" w:cs="Arial"/>
                <w:b/>
                <w:szCs w:val="24"/>
              </w:rPr>
            </w:pPr>
            <w:r w:rsidRPr="001359BF">
              <w:rPr>
                <w:rFonts w:ascii="Arial" w:hAnsi="Arial" w:cs="Arial"/>
                <w:b/>
                <w:szCs w:val="24"/>
              </w:rPr>
              <w:t>(1.800)</w:t>
            </w:r>
          </w:p>
        </w:tc>
        <w:tc>
          <w:tcPr>
            <w:tcW w:w="1275" w:type="dxa"/>
            <w:tcBorders>
              <w:top w:val="single" w:sz="4" w:space="0" w:color="auto"/>
              <w:left w:val="single" w:sz="4" w:space="0" w:color="auto"/>
              <w:bottom w:val="single" w:sz="4" w:space="0" w:color="auto"/>
              <w:right w:val="single" w:sz="4" w:space="0" w:color="auto"/>
            </w:tcBorders>
            <w:hideMark/>
          </w:tcPr>
          <w:p w14:paraId="2131D031" w14:textId="77777777" w:rsidR="00836BFB" w:rsidRPr="001359BF" w:rsidRDefault="00836BFB">
            <w:pPr>
              <w:pStyle w:val="TRBodyTextChar"/>
              <w:tabs>
                <w:tab w:val="left" w:pos="567"/>
                <w:tab w:val="left" w:pos="5812"/>
              </w:tabs>
              <w:jc w:val="right"/>
              <w:rPr>
                <w:rFonts w:ascii="Arial" w:hAnsi="Arial" w:cs="Arial"/>
                <w:b/>
                <w:szCs w:val="24"/>
              </w:rPr>
            </w:pPr>
            <w:r w:rsidRPr="001359BF">
              <w:rPr>
                <w:rFonts w:ascii="Arial" w:hAnsi="Arial" w:cs="Arial"/>
                <w:b/>
                <w:szCs w:val="24"/>
              </w:rPr>
              <w:t>(1.800)</w:t>
            </w:r>
          </w:p>
        </w:tc>
        <w:tc>
          <w:tcPr>
            <w:tcW w:w="1375" w:type="dxa"/>
            <w:tcBorders>
              <w:top w:val="single" w:sz="4" w:space="0" w:color="auto"/>
              <w:left w:val="single" w:sz="4" w:space="0" w:color="auto"/>
              <w:bottom w:val="single" w:sz="4" w:space="0" w:color="auto"/>
              <w:right w:val="single" w:sz="4" w:space="0" w:color="auto"/>
            </w:tcBorders>
            <w:hideMark/>
          </w:tcPr>
          <w:p w14:paraId="2131D032" w14:textId="77777777" w:rsidR="00836BFB" w:rsidRPr="001359BF" w:rsidRDefault="00836BFB">
            <w:pPr>
              <w:pStyle w:val="TRBodyTextChar"/>
              <w:tabs>
                <w:tab w:val="left" w:pos="567"/>
                <w:tab w:val="left" w:pos="5812"/>
              </w:tabs>
              <w:jc w:val="right"/>
              <w:rPr>
                <w:rFonts w:ascii="Arial" w:hAnsi="Arial" w:cs="Arial"/>
                <w:b/>
                <w:szCs w:val="24"/>
              </w:rPr>
            </w:pPr>
            <w:r w:rsidRPr="001359BF">
              <w:rPr>
                <w:rFonts w:ascii="Arial" w:hAnsi="Arial" w:cs="Arial"/>
                <w:b/>
                <w:szCs w:val="24"/>
              </w:rPr>
              <w:t>(1.800)</w:t>
            </w:r>
          </w:p>
        </w:tc>
      </w:tr>
    </w:tbl>
    <w:p w14:paraId="2131D034" w14:textId="77777777" w:rsidR="000E6BA0" w:rsidRPr="000E6BA0" w:rsidRDefault="000E6BA0" w:rsidP="000E6BA0">
      <w:pPr>
        <w:rPr>
          <w:rFonts w:ascii="Arial" w:hAnsi="Arial" w:cs="Arial"/>
          <w:sz w:val="24"/>
          <w:szCs w:val="24"/>
        </w:rPr>
      </w:pPr>
    </w:p>
    <w:p w14:paraId="2131D035" w14:textId="77777777" w:rsidR="000E6BA0" w:rsidRPr="00836BFB" w:rsidRDefault="000E6BA0" w:rsidP="00836BFB">
      <w:pPr>
        <w:pStyle w:val="ListParagraph"/>
        <w:numPr>
          <w:ilvl w:val="0"/>
          <w:numId w:val="4"/>
        </w:numPr>
        <w:ind w:left="709" w:hanging="709"/>
        <w:rPr>
          <w:rFonts w:ascii="Arial" w:hAnsi="Arial" w:cs="Arial"/>
          <w:sz w:val="24"/>
          <w:szCs w:val="24"/>
        </w:rPr>
      </w:pPr>
      <w:r w:rsidRPr="00836BFB">
        <w:rPr>
          <w:rFonts w:ascii="Arial" w:hAnsi="Arial" w:cs="Arial"/>
          <w:sz w:val="24"/>
          <w:szCs w:val="24"/>
        </w:rPr>
        <w:t>The cost of this proposal can be accounted for on the tax policy scorecard.</w:t>
      </w:r>
    </w:p>
    <w:p w14:paraId="2131D036" w14:textId="77777777" w:rsidR="00836BFB" w:rsidRPr="00836BFB" w:rsidRDefault="00836BFB" w:rsidP="00836BFB">
      <w:pPr>
        <w:pStyle w:val="ListParagraph"/>
        <w:ind w:left="360"/>
        <w:rPr>
          <w:rFonts w:ascii="Arial" w:hAnsi="Arial" w:cs="Arial"/>
          <w:sz w:val="24"/>
          <w:szCs w:val="24"/>
        </w:rPr>
      </w:pPr>
    </w:p>
    <w:p w14:paraId="2131D037" w14:textId="77777777" w:rsidR="000E6BA0" w:rsidRDefault="000E6BA0" w:rsidP="00836BFB">
      <w:pPr>
        <w:pStyle w:val="ListParagraph"/>
        <w:numPr>
          <w:ilvl w:val="0"/>
          <w:numId w:val="4"/>
        </w:numPr>
        <w:ind w:left="709" w:hanging="709"/>
        <w:rPr>
          <w:rFonts w:ascii="Arial" w:hAnsi="Arial" w:cs="Arial"/>
          <w:sz w:val="24"/>
          <w:szCs w:val="24"/>
        </w:rPr>
      </w:pPr>
      <w:r w:rsidRPr="00836BFB">
        <w:rPr>
          <w:rFonts w:ascii="Arial" w:hAnsi="Arial" w:cs="Arial"/>
          <w:sz w:val="24"/>
          <w:szCs w:val="24"/>
        </w:rPr>
        <w:t xml:space="preserve">The current scorecard balance to the end of the 2022/23 fiscal year is $51.806 million. The implementation of this policy would reduce the cumulative scorecard balance to $44.606 million. There are currently no other upcoming items on the scorecard.  </w:t>
      </w:r>
    </w:p>
    <w:p w14:paraId="2131D038" w14:textId="77777777" w:rsidR="00836BFB" w:rsidRPr="00836BFB" w:rsidRDefault="00836BFB" w:rsidP="00836BFB">
      <w:pPr>
        <w:pStyle w:val="ListParagraph"/>
        <w:ind w:left="709" w:hanging="709"/>
        <w:rPr>
          <w:rFonts w:ascii="Arial" w:hAnsi="Arial" w:cs="Arial"/>
          <w:sz w:val="24"/>
          <w:szCs w:val="24"/>
        </w:rPr>
      </w:pPr>
    </w:p>
    <w:p w14:paraId="2131D039" w14:textId="77777777" w:rsidR="00836BFB" w:rsidRPr="00836BFB" w:rsidRDefault="000E6BA0" w:rsidP="00836BFB">
      <w:pPr>
        <w:pStyle w:val="ListParagraph"/>
        <w:numPr>
          <w:ilvl w:val="0"/>
          <w:numId w:val="4"/>
        </w:numPr>
        <w:ind w:left="709" w:hanging="709"/>
        <w:rPr>
          <w:rFonts w:ascii="Arial" w:hAnsi="Arial" w:cs="Arial"/>
          <w:sz w:val="24"/>
          <w:szCs w:val="24"/>
        </w:rPr>
      </w:pPr>
      <w:r w:rsidRPr="00836BFB">
        <w:rPr>
          <w:rFonts w:ascii="Arial" w:hAnsi="Arial" w:cs="Arial"/>
          <w:sz w:val="24"/>
          <w:szCs w:val="24"/>
        </w:rPr>
        <w:t xml:space="preserve">As </w:t>
      </w:r>
      <w:r w:rsidR="00DA1711">
        <w:rPr>
          <w:rFonts w:ascii="Arial" w:hAnsi="Arial" w:cs="Arial"/>
          <w:sz w:val="24"/>
          <w:szCs w:val="24"/>
        </w:rPr>
        <w:t>expenditure by lessees</w:t>
      </w:r>
      <w:r w:rsidRPr="00836BFB">
        <w:rPr>
          <w:rFonts w:ascii="Arial" w:hAnsi="Arial" w:cs="Arial"/>
          <w:sz w:val="24"/>
          <w:szCs w:val="24"/>
        </w:rPr>
        <w:t xml:space="preserve"> will continue to be deductible, </w:t>
      </w:r>
      <w:r w:rsidR="001E5CE1">
        <w:rPr>
          <w:rFonts w:ascii="Arial" w:hAnsi="Arial" w:cs="Arial"/>
          <w:sz w:val="24"/>
          <w:szCs w:val="24"/>
        </w:rPr>
        <w:t xml:space="preserve">and these proposals </w:t>
      </w:r>
      <w:r w:rsidR="00DA1711">
        <w:rPr>
          <w:rFonts w:ascii="Arial" w:hAnsi="Arial" w:cs="Arial"/>
          <w:sz w:val="24"/>
          <w:szCs w:val="24"/>
        </w:rPr>
        <w:t xml:space="preserve">only change the timing of those deductions, </w:t>
      </w:r>
      <w:r w:rsidRPr="00836BFB">
        <w:rPr>
          <w:rFonts w:ascii="Arial" w:hAnsi="Arial" w:cs="Arial"/>
          <w:sz w:val="24"/>
          <w:szCs w:val="24"/>
        </w:rPr>
        <w:t>this proposal will have no direct effect on tax revenue after the five-year transition period ends in 2023/24.</w:t>
      </w:r>
    </w:p>
    <w:p w14:paraId="2131D03A" w14:textId="77777777" w:rsidR="004B6934" w:rsidRPr="005D421C" w:rsidRDefault="004B6934" w:rsidP="00BE7A41">
      <w:pPr>
        <w:pStyle w:val="Heading2"/>
      </w:pPr>
      <w:r w:rsidRPr="005D421C">
        <w:t>Legislative Implications</w:t>
      </w:r>
    </w:p>
    <w:p w14:paraId="2131D03B" w14:textId="77777777" w:rsidR="004B6934" w:rsidRDefault="00A034B3"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Implementing these proposals will require changes to the Income Tax Act 2007.</w:t>
      </w:r>
      <w:r w:rsidR="00047FE8">
        <w:rPr>
          <w:rFonts w:ascii="Arial" w:hAnsi="Arial" w:cs="Arial"/>
          <w:sz w:val="24"/>
          <w:szCs w:val="24"/>
        </w:rPr>
        <w:t xml:space="preserve">  I recommend that the necessary amendments are included in the next omnibus taxation bill scheduled for introduction in early-2020</w:t>
      </w:r>
      <w:r w:rsidR="003F22DD">
        <w:rPr>
          <w:rFonts w:ascii="Arial" w:hAnsi="Arial" w:cs="Arial"/>
          <w:sz w:val="24"/>
          <w:szCs w:val="24"/>
        </w:rPr>
        <w:t xml:space="preserve"> with effect from the </w:t>
      </w:r>
      <w:r w:rsidR="00D91FD7">
        <w:rPr>
          <w:rFonts w:ascii="Arial" w:hAnsi="Arial" w:cs="Arial"/>
          <w:sz w:val="24"/>
          <w:szCs w:val="24"/>
        </w:rPr>
        <w:t>2019-20 income year.</w:t>
      </w:r>
    </w:p>
    <w:p w14:paraId="2131D03C" w14:textId="77777777" w:rsidR="005138FE" w:rsidRPr="005D421C" w:rsidRDefault="005138FE" w:rsidP="00BE7A41">
      <w:pPr>
        <w:pStyle w:val="Heading2"/>
      </w:pPr>
      <w:r w:rsidRPr="005D421C">
        <w:t>Impact Analysis</w:t>
      </w:r>
    </w:p>
    <w:p w14:paraId="2131D03D" w14:textId="77777777" w:rsidR="005138FE" w:rsidRDefault="00546486" w:rsidP="0054648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A Regulatory Impact A</w:t>
      </w:r>
      <w:r w:rsidR="008647AB">
        <w:rPr>
          <w:rFonts w:ascii="Arial" w:hAnsi="Arial" w:cs="Arial"/>
          <w:sz w:val="24"/>
          <w:szCs w:val="24"/>
        </w:rPr>
        <w:t>ssessment</w:t>
      </w:r>
      <w:r w:rsidR="005B3AF2">
        <w:rPr>
          <w:rFonts w:ascii="Arial" w:hAnsi="Arial" w:cs="Arial"/>
          <w:sz w:val="24"/>
          <w:szCs w:val="24"/>
        </w:rPr>
        <w:t xml:space="preserve"> (RIA) is attached.</w:t>
      </w:r>
    </w:p>
    <w:p w14:paraId="2131D03E" w14:textId="77777777" w:rsidR="005B3AF2" w:rsidRPr="00546486" w:rsidRDefault="005B3AF2" w:rsidP="00546486">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 Quality Assurance reviewer at Inland Revenue has revie</w:t>
      </w:r>
      <w:r w:rsidR="002B31D4">
        <w:rPr>
          <w:rFonts w:ascii="Arial" w:hAnsi="Arial" w:cs="Arial"/>
          <w:sz w:val="24"/>
          <w:szCs w:val="24"/>
        </w:rPr>
        <w:t xml:space="preserve">wed the </w:t>
      </w:r>
      <w:r w:rsidR="00907A73">
        <w:rPr>
          <w:rFonts w:ascii="Arial" w:hAnsi="Arial" w:cs="Arial"/>
          <w:i/>
          <w:sz w:val="24"/>
          <w:szCs w:val="24"/>
        </w:rPr>
        <w:t xml:space="preserve">Income tax treatment of </w:t>
      </w:r>
      <w:r w:rsidR="00D77731">
        <w:rPr>
          <w:rFonts w:ascii="Arial" w:hAnsi="Arial" w:cs="Arial"/>
          <w:i/>
          <w:sz w:val="24"/>
          <w:szCs w:val="24"/>
        </w:rPr>
        <w:t>l</w:t>
      </w:r>
      <w:r w:rsidR="002B31D4">
        <w:rPr>
          <w:rFonts w:ascii="Arial" w:hAnsi="Arial" w:cs="Arial"/>
          <w:i/>
          <w:sz w:val="24"/>
          <w:szCs w:val="24"/>
        </w:rPr>
        <w:t>eas</w:t>
      </w:r>
      <w:r w:rsidR="00907A73">
        <w:rPr>
          <w:rFonts w:ascii="Arial" w:hAnsi="Arial" w:cs="Arial"/>
          <w:i/>
          <w:sz w:val="24"/>
          <w:szCs w:val="24"/>
        </w:rPr>
        <w:t>es subject to</w:t>
      </w:r>
      <w:r w:rsidR="002B31D4">
        <w:rPr>
          <w:rFonts w:ascii="Arial" w:hAnsi="Arial" w:cs="Arial"/>
          <w:i/>
          <w:sz w:val="24"/>
          <w:szCs w:val="24"/>
        </w:rPr>
        <w:t xml:space="preserve"> NZ IFRS 16</w:t>
      </w:r>
      <w:r w:rsidR="002B31D4">
        <w:rPr>
          <w:rFonts w:ascii="Arial" w:hAnsi="Arial" w:cs="Arial"/>
          <w:sz w:val="24"/>
          <w:szCs w:val="24"/>
        </w:rPr>
        <w:t xml:space="preserve"> </w:t>
      </w:r>
      <w:r w:rsidR="00341466">
        <w:rPr>
          <w:rFonts w:ascii="Arial" w:hAnsi="Arial" w:cs="Arial"/>
          <w:sz w:val="24"/>
          <w:szCs w:val="24"/>
        </w:rPr>
        <w:t xml:space="preserve">RIA and considers that the information and analysis summarised in </w:t>
      </w:r>
      <w:r w:rsidR="00341466" w:rsidRPr="00B430DD">
        <w:rPr>
          <w:rFonts w:ascii="Arial" w:hAnsi="Arial" w:cs="Arial"/>
          <w:sz w:val="24"/>
          <w:szCs w:val="24"/>
        </w:rPr>
        <w:t xml:space="preserve">it </w:t>
      </w:r>
      <w:r w:rsidR="00341466" w:rsidRPr="009C0CEA">
        <w:rPr>
          <w:rFonts w:ascii="Arial" w:hAnsi="Arial" w:cs="Arial"/>
          <w:b/>
          <w:sz w:val="24"/>
          <w:szCs w:val="24"/>
        </w:rPr>
        <w:t>meets</w:t>
      </w:r>
      <w:r w:rsidR="00341466">
        <w:rPr>
          <w:rFonts w:ascii="Arial" w:hAnsi="Arial" w:cs="Arial"/>
          <w:sz w:val="24"/>
          <w:szCs w:val="24"/>
        </w:rPr>
        <w:t xml:space="preserve"> the quality assurance criter</w:t>
      </w:r>
      <w:r w:rsidR="00D93A70">
        <w:rPr>
          <w:rFonts w:ascii="Arial" w:hAnsi="Arial" w:cs="Arial"/>
          <w:sz w:val="24"/>
          <w:szCs w:val="24"/>
        </w:rPr>
        <w:t>ia of the Regulatory Impact Analysis framework.</w:t>
      </w:r>
    </w:p>
    <w:p w14:paraId="2131D03F" w14:textId="77777777" w:rsidR="004B6934" w:rsidRPr="005D421C" w:rsidRDefault="004B6934" w:rsidP="00BE7A41">
      <w:pPr>
        <w:pStyle w:val="Heading2"/>
      </w:pPr>
      <w:r w:rsidRPr="005D421C">
        <w:lastRenderedPageBreak/>
        <w:t>Human Rights</w:t>
      </w:r>
    </w:p>
    <w:p w14:paraId="2131D040" w14:textId="77777777" w:rsidR="004B6934" w:rsidRPr="00895779" w:rsidRDefault="00C20B86"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There are no human rights implications arising from the proposals in this paper.</w:t>
      </w:r>
    </w:p>
    <w:p w14:paraId="2131D041" w14:textId="77777777" w:rsidR="004B6934" w:rsidRPr="005D421C" w:rsidRDefault="004B6934" w:rsidP="00BE7A41">
      <w:pPr>
        <w:pStyle w:val="Heading2"/>
      </w:pPr>
      <w:r w:rsidRPr="005D421C">
        <w:t>Gender Implications</w:t>
      </w:r>
    </w:p>
    <w:p w14:paraId="2131D042" w14:textId="77777777" w:rsidR="004B6934" w:rsidRPr="00895779" w:rsidRDefault="00C20B86"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There are no gender implications arising from the proposals in this paper</w:t>
      </w:r>
      <w:r w:rsidR="004B6934" w:rsidRPr="00895779">
        <w:rPr>
          <w:rFonts w:ascii="Arial" w:hAnsi="Arial" w:cs="Arial"/>
          <w:sz w:val="24"/>
          <w:szCs w:val="24"/>
        </w:rPr>
        <w:t>.</w:t>
      </w:r>
    </w:p>
    <w:p w14:paraId="2131D043" w14:textId="77777777" w:rsidR="004B6934" w:rsidRPr="005D421C" w:rsidRDefault="004B6934" w:rsidP="00BE7A41">
      <w:pPr>
        <w:pStyle w:val="Heading2"/>
      </w:pPr>
      <w:r w:rsidRPr="005D421C">
        <w:t>Disability Perspective</w:t>
      </w:r>
    </w:p>
    <w:p w14:paraId="2131D044" w14:textId="77777777" w:rsidR="004B6934" w:rsidRPr="00895779" w:rsidRDefault="00C20B86"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There are no specific disability considerations arising from the proposals in this paper</w:t>
      </w:r>
      <w:r w:rsidR="004B6934" w:rsidRPr="00895779">
        <w:rPr>
          <w:rFonts w:ascii="Arial" w:hAnsi="Arial" w:cs="Arial"/>
          <w:sz w:val="24"/>
          <w:szCs w:val="24"/>
        </w:rPr>
        <w:t>.</w:t>
      </w:r>
    </w:p>
    <w:p w14:paraId="2131D045" w14:textId="77777777" w:rsidR="004B6934" w:rsidRPr="005D421C" w:rsidRDefault="004B6934" w:rsidP="00BE7A41">
      <w:pPr>
        <w:pStyle w:val="Heading2"/>
      </w:pPr>
      <w:r w:rsidRPr="005D421C">
        <w:t>Publicity</w:t>
      </w:r>
    </w:p>
    <w:p w14:paraId="2131D046" w14:textId="77777777" w:rsidR="004B6934" w:rsidRPr="00895779" w:rsidRDefault="00205EDF" w:rsidP="005D421C">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I</w:t>
      </w:r>
      <w:r w:rsidR="006E16F9">
        <w:rPr>
          <w:rFonts w:ascii="Arial" w:hAnsi="Arial" w:cs="Arial"/>
          <w:sz w:val="24"/>
          <w:szCs w:val="24"/>
        </w:rPr>
        <w:t>nland Revenue</w:t>
      </w:r>
      <w:r>
        <w:rPr>
          <w:rFonts w:ascii="Arial" w:hAnsi="Arial" w:cs="Arial"/>
          <w:sz w:val="24"/>
          <w:szCs w:val="24"/>
        </w:rPr>
        <w:t xml:space="preserve"> will make an announcement on this </w:t>
      </w:r>
      <w:r w:rsidR="0033054B">
        <w:rPr>
          <w:rFonts w:ascii="Arial" w:hAnsi="Arial" w:cs="Arial"/>
          <w:sz w:val="24"/>
          <w:szCs w:val="24"/>
        </w:rPr>
        <w:t xml:space="preserve">policy once Cabinet decisions have been made.  I will also </w:t>
      </w:r>
      <w:proofErr w:type="gramStart"/>
      <w:r w:rsidR="0033054B">
        <w:rPr>
          <w:rFonts w:ascii="Arial" w:hAnsi="Arial" w:cs="Arial"/>
          <w:sz w:val="24"/>
          <w:szCs w:val="24"/>
        </w:rPr>
        <w:t xml:space="preserve">make an announcement </w:t>
      </w:r>
      <w:r w:rsidR="00E03A9C">
        <w:rPr>
          <w:rFonts w:ascii="Arial" w:hAnsi="Arial" w:cs="Arial"/>
          <w:sz w:val="24"/>
          <w:szCs w:val="24"/>
        </w:rPr>
        <w:t>about</w:t>
      </w:r>
      <w:proofErr w:type="gramEnd"/>
      <w:r w:rsidR="00E03A9C">
        <w:rPr>
          <w:rFonts w:ascii="Arial" w:hAnsi="Arial" w:cs="Arial"/>
          <w:sz w:val="24"/>
          <w:szCs w:val="24"/>
        </w:rPr>
        <w:t xml:space="preserve"> the introduction of </w:t>
      </w:r>
      <w:r w:rsidR="0033054B">
        <w:rPr>
          <w:rFonts w:ascii="Arial" w:hAnsi="Arial" w:cs="Arial"/>
          <w:sz w:val="24"/>
          <w:szCs w:val="24"/>
        </w:rPr>
        <w:t xml:space="preserve">the bill </w:t>
      </w:r>
      <w:r w:rsidR="00E03A9C">
        <w:rPr>
          <w:rFonts w:ascii="Arial" w:hAnsi="Arial" w:cs="Arial"/>
          <w:sz w:val="24"/>
          <w:szCs w:val="24"/>
        </w:rPr>
        <w:t xml:space="preserve">which will contain this </w:t>
      </w:r>
      <w:r w:rsidR="000C1341">
        <w:rPr>
          <w:rFonts w:ascii="Arial" w:hAnsi="Arial" w:cs="Arial"/>
          <w:sz w:val="24"/>
          <w:szCs w:val="24"/>
        </w:rPr>
        <w:t>proposal.  A commentary on the bill will be released at this time</w:t>
      </w:r>
      <w:r w:rsidR="004B6934" w:rsidRPr="00895779">
        <w:rPr>
          <w:rFonts w:ascii="Arial" w:hAnsi="Arial" w:cs="Arial"/>
          <w:sz w:val="24"/>
          <w:szCs w:val="24"/>
        </w:rPr>
        <w:t>.</w:t>
      </w:r>
    </w:p>
    <w:p w14:paraId="2131D047" w14:textId="77777777" w:rsidR="004B6934" w:rsidRPr="005D421C" w:rsidRDefault="004B6934" w:rsidP="00BE7A41">
      <w:pPr>
        <w:pStyle w:val="Heading2"/>
      </w:pPr>
      <w:r w:rsidRPr="005D421C">
        <w:t>Proactive Release</w:t>
      </w:r>
    </w:p>
    <w:p w14:paraId="2131D048" w14:textId="77777777" w:rsidR="004B6934" w:rsidRPr="00895779" w:rsidRDefault="000C1341" w:rsidP="005138FE">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I propose to proactively rel</w:t>
      </w:r>
      <w:r w:rsidR="006A722D">
        <w:rPr>
          <w:rFonts w:ascii="Arial" w:hAnsi="Arial" w:cs="Arial"/>
          <w:sz w:val="24"/>
          <w:szCs w:val="24"/>
        </w:rPr>
        <w:t>ease this Cabinet paper, associated minutes, and RIA in whole within 30 working days of Cabinet making final decisions</w:t>
      </w:r>
      <w:r w:rsidR="005138FE">
        <w:rPr>
          <w:rFonts w:ascii="Arial" w:hAnsi="Arial" w:cs="Arial"/>
          <w:sz w:val="24"/>
          <w:szCs w:val="24"/>
        </w:rPr>
        <w:t>.</w:t>
      </w:r>
    </w:p>
    <w:p w14:paraId="2131D049" w14:textId="77777777" w:rsidR="004B6934" w:rsidRPr="005D421C" w:rsidRDefault="004B6934" w:rsidP="00BE7A41">
      <w:pPr>
        <w:pStyle w:val="Heading2"/>
      </w:pPr>
      <w:r w:rsidRPr="005D421C">
        <w:t>Recommendations</w:t>
      </w:r>
    </w:p>
    <w:p w14:paraId="2131D04A" w14:textId="77777777" w:rsidR="004B6934" w:rsidRPr="00895779" w:rsidRDefault="004B6934" w:rsidP="00895779">
      <w:pPr>
        <w:rPr>
          <w:rFonts w:ascii="Arial" w:hAnsi="Arial" w:cs="Arial"/>
          <w:sz w:val="24"/>
          <w:szCs w:val="24"/>
        </w:rPr>
      </w:pPr>
      <w:r w:rsidRPr="00895779">
        <w:rPr>
          <w:rFonts w:ascii="Arial" w:hAnsi="Arial" w:cs="Arial"/>
          <w:sz w:val="24"/>
          <w:szCs w:val="24"/>
        </w:rPr>
        <w:t xml:space="preserve">The Minister </w:t>
      </w:r>
      <w:r w:rsidR="00CA3EAD">
        <w:rPr>
          <w:rFonts w:ascii="Arial" w:hAnsi="Arial" w:cs="Arial"/>
          <w:sz w:val="24"/>
          <w:szCs w:val="24"/>
        </w:rPr>
        <w:t>of Revenue</w:t>
      </w:r>
      <w:r w:rsidRPr="00895779">
        <w:rPr>
          <w:rFonts w:ascii="Arial" w:hAnsi="Arial" w:cs="Arial"/>
          <w:sz w:val="24"/>
          <w:szCs w:val="24"/>
        </w:rPr>
        <w:t xml:space="preserve"> recommends that the Committee:</w:t>
      </w:r>
    </w:p>
    <w:p w14:paraId="2131D04B" w14:textId="77777777" w:rsidR="004B6934" w:rsidRDefault="00901083" w:rsidP="005B4A4B">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sz w:val="24"/>
          <w:szCs w:val="24"/>
        </w:rPr>
        <w:t>a</w:t>
      </w:r>
      <w:r w:rsidR="0081210E">
        <w:rPr>
          <w:rFonts w:ascii="Arial" w:hAnsi="Arial" w:cs="Arial"/>
          <w:sz w:val="24"/>
          <w:szCs w:val="24"/>
        </w:rPr>
        <w:t xml:space="preserve">gree that the tax treatment </w:t>
      </w:r>
      <w:r w:rsidR="001550CF">
        <w:rPr>
          <w:rFonts w:ascii="Arial" w:hAnsi="Arial" w:cs="Arial"/>
          <w:sz w:val="24"/>
          <w:szCs w:val="24"/>
        </w:rPr>
        <w:t>for lessees of operating leases that are not real property</w:t>
      </w:r>
      <w:r w:rsidR="008C55E8">
        <w:rPr>
          <w:rFonts w:ascii="Arial" w:hAnsi="Arial" w:cs="Arial"/>
          <w:sz w:val="24"/>
          <w:szCs w:val="24"/>
        </w:rPr>
        <w:t xml:space="preserve">, leased from an associated party or sub-leased </w:t>
      </w:r>
      <w:r w:rsidR="001550CF">
        <w:rPr>
          <w:rFonts w:ascii="Arial" w:hAnsi="Arial" w:cs="Arial"/>
          <w:sz w:val="24"/>
          <w:szCs w:val="24"/>
        </w:rPr>
        <w:t>should be amended to follow IFRS 16 for taxpayers who choose to do so.</w:t>
      </w:r>
    </w:p>
    <w:p w14:paraId="2131D04C" w14:textId="77777777" w:rsidR="00003319" w:rsidRDefault="0012728E" w:rsidP="005B4A4B">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sz w:val="24"/>
          <w:szCs w:val="24"/>
        </w:rPr>
        <w:t>a</w:t>
      </w:r>
      <w:r w:rsidR="00003319">
        <w:rPr>
          <w:rFonts w:ascii="Arial" w:hAnsi="Arial" w:cs="Arial"/>
          <w:sz w:val="24"/>
          <w:szCs w:val="24"/>
        </w:rPr>
        <w:t xml:space="preserve">gree that </w:t>
      </w:r>
      <w:r>
        <w:rPr>
          <w:rFonts w:ascii="Arial" w:hAnsi="Arial" w:cs="Arial"/>
          <w:sz w:val="24"/>
          <w:szCs w:val="24"/>
        </w:rPr>
        <w:t>taxpayers following recommendation 1</w:t>
      </w:r>
      <w:r w:rsidR="004419D5">
        <w:rPr>
          <w:rFonts w:ascii="Arial" w:hAnsi="Arial" w:cs="Arial"/>
          <w:sz w:val="24"/>
          <w:szCs w:val="24"/>
        </w:rPr>
        <w:t xml:space="preserve"> should be required to </w:t>
      </w:r>
      <w:proofErr w:type="gramStart"/>
      <w:r w:rsidR="004349DD">
        <w:rPr>
          <w:rFonts w:ascii="Arial" w:hAnsi="Arial" w:cs="Arial"/>
          <w:sz w:val="24"/>
          <w:szCs w:val="24"/>
        </w:rPr>
        <w:t>make adjustments to</w:t>
      </w:r>
      <w:proofErr w:type="gramEnd"/>
      <w:r w:rsidR="004349DD">
        <w:rPr>
          <w:rFonts w:ascii="Arial" w:hAnsi="Arial" w:cs="Arial"/>
          <w:sz w:val="24"/>
          <w:szCs w:val="24"/>
        </w:rPr>
        <w:t xml:space="preserve"> ensure </w:t>
      </w:r>
      <w:r w:rsidR="00513D3D">
        <w:rPr>
          <w:rFonts w:ascii="Arial" w:hAnsi="Arial" w:cs="Arial"/>
          <w:sz w:val="24"/>
          <w:szCs w:val="24"/>
        </w:rPr>
        <w:t>certain</w:t>
      </w:r>
      <w:r w:rsidR="001809DD">
        <w:rPr>
          <w:rFonts w:ascii="Arial" w:hAnsi="Arial" w:cs="Arial"/>
          <w:sz w:val="24"/>
          <w:szCs w:val="24"/>
        </w:rPr>
        <w:t xml:space="preserve"> operating lease</w:t>
      </w:r>
      <w:r w:rsidR="00513D3D">
        <w:rPr>
          <w:rFonts w:ascii="Arial" w:hAnsi="Arial" w:cs="Arial"/>
          <w:sz w:val="24"/>
          <w:szCs w:val="24"/>
        </w:rPr>
        <w:t xml:space="preserve"> </w:t>
      </w:r>
      <w:r w:rsidR="004349DD">
        <w:rPr>
          <w:rFonts w:ascii="Arial" w:hAnsi="Arial" w:cs="Arial"/>
          <w:sz w:val="24"/>
          <w:szCs w:val="24"/>
        </w:rPr>
        <w:t xml:space="preserve">expenditure </w:t>
      </w:r>
      <w:r w:rsidR="00513D3D">
        <w:rPr>
          <w:rFonts w:ascii="Arial" w:hAnsi="Arial" w:cs="Arial"/>
          <w:sz w:val="24"/>
          <w:szCs w:val="24"/>
        </w:rPr>
        <w:t xml:space="preserve">continues to be </w:t>
      </w:r>
      <w:r w:rsidR="00BB17A8">
        <w:rPr>
          <w:rFonts w:ascii="Arial" w:hAnsi="Arial" w:cs="Arial"/>
          <w:sz w:val="24"/>
          <w:szCs w:val="24"/>
        </w:rPr>
        <w:t xml:space="preserve">tax </w:t>
      </w:r>
      <w:r w:rsidR="00513D3D">
        <w:rPr>
          <w:rFonts w:ascii="Arial" w:hAnsi="Arial" w:cs="Arial"/>
          <w:sz w:val="24"/>
          <w:szCs w:val="24"/>
        </w:rPr>
        <w:t>deductible</w:t>
      </w:r>
      <w:r w:rsidR="001809DD">
        <w:rPr>
          <w:rFonts w:ascii="Arial" w:hAnsi="Arial" w:cs="Arial"/>
          <w:sz w:val="24"/>
          <w:szCs w:val="24"/>
        </w:rPr>
        <w:t xml:space="preserve"> close to when it is incurred.</w:t>
      </w:r>
    </w:p>
    <w:p w14:paraId="2131D04D" w14:textId="77777777" w:rsidR="00F41044" w:rsidRPr="005B4A4B" w:rsidRDefault="00F41044" w:rsidP="005B4A4B">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sz w:val="24"/>
          <w:szCs w:val="24"/>
        </w:rPr>
        <w:t xml:space="preserve">agree that </w:t>
      </w:r>
      <w:r w:rsidR="00271334">
        <w:rPr>
          <w:rFonts w:ascii="Arial" w:hAnsi="Arial" w:cs="Arial"/>
          <w:sz w:val="24"/>
          <w:szCs w:val="24"/>
        </w:rPr>
        <w:t xml:space="preserve">expenditure arising from the transition to the IFRS 16 method for tax </w:t>
      </w:r>
      <w:r w:rsidR="00091234">
        <w:rPr>
          <w:rFonts w:ascii="Arial" w:hAnsi="Arial" w:cs="Arial"/>
          <w:sz w:val="24"/>
          <w:szCs w:val="24"/>
        </w:rPr>
        <w:t>should be spread over five years.</w:t>
      </w:r>
    </w:p>
    <w:p w14:paraId="2131D04E" w14:textId="77777777" w:rsidR="004B6934" w:rsidRPr="00895779" w:rsidRDefault="004B6934" w:rsidP="005B4A4B">
      <w:pPr>
        <w:pStyle w:val="ListParagraph"/>
        <w:numPr>
          <w:ilvl w:val="0"/>
          <w:numId w:val="5"/>
        </w:numPr>
        <w:spacing w:after="240" w:line="240" w:lineRule="auto"/>
        <w:ind w:left="709" w:hanging="709"/>
        <w:contextualSpacing w:val="0"/>
        <w:rPr>
          <w:rFonts w:ascii="Arial" w:hAnsi="Arial" w:cs="Arial"/>
          <w:sz w:val="24"/>
          <w:szCs w:val="24"/>
        </w:rPr>
      </w:pPr>
      <w:r w:rsidRPr="00895779">
        <w:rPr>
          <w:rFonts w:ascii="Arial" w:hAnsi="Arial" w:cs="Arial"/>
          <w:sz w:val="24"/>
          <w:szCs w:val="24"/>
        </w:rPr>
        <w:t>agree that</w:t>
      </w:r>
      <w:r w:rsidR="00D25A5C">
        <w:rPr>
          <w:rFonts w:ascii="Arial" w:hAnsi="Arial" w:cs="Arial"/>
          <w:sz w:val="24"/>
          <w:szCs w:val="24"/>
        </w:rPr>
        <w:t xml:space="preserve"> recommendation 1 </w:t>
      </w:r>
      <w:r w:rsidR="00091234">
        <w:rPr>
          <w:rFonts w:ascii="Arial" w:hAnsi="Arial" w:cs="Arial"/>
          <w:sz w:val="24"/>
          <w:szCs w:val="24"/>
        </w:rPr>
        <w:t>to 3</w:t>
      </w:r>
      <w:r w:rsidR="00B62400">
        <w:rPr>
          <w:rFonts w:ascii="Arial" w:hAnsi="Arial" w:cs="Arial"/>
          <w:sz w:val="24"/>
          <w:szCs w:val="24"/>
        </w:rPr>
        <w:t xml:space="preserve"> </w:t>
      </w:r>
      <w:r w:rsidR="00D25A5C">
        <w:rPr>
          <w:rFonts w:ascii="Arial" w:hAnsi="Arial" w:cs="Arial"/>
          <w:sz w:val="24"/>
          <w:szCs w:val="24"/>
        </w:rPr>
        <w:t xml:space="preserve">should apply </w:t>
      </w:r>
      <w:r w:rsidR="00F307B9">
        <w:rPr>
          <w:rFonts w:ascii="Arial" w:hAnsi="Arial" w:cs="Arial"/>
          <w:sz w:val="24"/>
          <w:szCs w:val="24"/>
        </w:rPr>
        <w:t>for the 2019-20 and later income years.</w:t>
      </w:r>
    </w:p>
    <w:p w14:paraId="2131D04F" w14:textId="77777777" w:rsidR="004B6934" w:rsidRDefault="00985505" w:rsidP="005B4A4B">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sz w:val="24"/>
          <w:szCs w:val="24"/>
        </w:rPr>
        <w:t xml:space="preserve">note that agreeing to recommendation </w:t>
      </w:r>
      <w:r w:rsidR="00B62400">
        <w:rPr>
          <w:rFonts w:ascii="Arial" w:hAnsi="Arial" w:cs="Arial"/>
          <w:sz w:val="24"/>
          <w:szCs w:val="24"/>
        </w:rPr>
        <w:t>1</w:t>
      </w:r>
      <w:r>
        <w:rPr>
          <w:rFonts w:ascii="Arial" w:hAnsi="Arial" w:cs="Arial"/>
          <w:sz w:val="24"/>
          <w:szCs w:val="24"/>
        </w:rPr>
        <w:t xml:space="preserve"> to </w:t>
      </w:r>
      <w:r w:rsidR="00091234">
        <w:rPr>
          <w:rFonts w:ascii="Arial" w:hAnsi="Arial" w:cs="Arial"/>
          <w:sz w:val="24"/>
          <w:szCs w:val="24"/>
        </w:rPr>
        <w:t>4</w:t>
      </w:r>
      <w:r>
        <w:rPr>
          <w:rFonts w:ascii="Arial" w:hAnsi="Arial" w:cs="Arial"/>
          <w:sz w:val="24"/>
          <w:szCs w:val="24"/>
        </w:rPr>
        <w:t xml:space="preserve"> above will have an estimated revenue cost of $</w:t>
      </w:r>
      <w:r w:rsidR="00DB0538">
        <w:rPr>
          <w:rFonts w:ascii="Arial" w:hAnsi="Arial" w:cs="Arial"/>
          <w:sz w:val="24"/>
          <w:szCs w:val="24"/>
        </w:rPr>
        <w:t>7.200 million over the forecast period,</w:t>
      </w:r>
    </w:p>
    <w:p w14:paraId="2131D050" w14:textId="77777777" w:rsidR="00B430DD" w:rsidRPr="00B430DD" w:rsidRDefault="00B430DD" w:rsidP="00B430DD">
      <w:pPr>
        <w:spacing w:after="240" w:line="240" w:lineRule="auto"/>
        <w:rPr>
          <w:rFonts w:ascii="Arial" w:hAnsi="Arial" w:cs="Arial"/>
          <w:sz w:val="24"/>
          <w:szCs w:val="24"/>
        </w:rPr>
      </w:pPr>
    </w:p>
    <w:tbl>
      <w:tblPr>
        <w:tblStyle w:val="TableGrid"/>
        <w:tblW w:w="0" w:type="auto"/>
        <w:jc w:val="center"/>
        <w:tblInd w:w="0" w:type="dxa"/>
        <w:tblLook w:val="04A0" w:firstRow="1" w:lastRow="0" w:firstColumn="1" w:lastColumn="0" w:noHBand="0" w:noVBand="1"/>
      </w:tblPr>
      <w:tblGrid>
        <w:gridCol w:w="2552"/>
        <w:gridCol w:w="1319"/>
        <w:gridCol w:w="1266"/>
        <w:gridCol w:w="1266"/>
        <w:gridCol w:w="1535"/>
      </w:tblGrid>
      <w:tr w:rsidR="003C38BF" w14:paraId="2131D053" w14:textId="77777777" w:rsidTr="003C38BF">
        <w:trPr>
          <w:cantSplit/>
          <w:tblHeader/>
          <w:jc w:val="center"/>
        </w:trPr>
        <w:tc>
          <w:tcPr>
            <w:tcW w:w="2552" w:type="dxa"/>
            <w:tcBorders>
              <w:top w:val="nil"/>
              <w:left w:val="nil"/>
              <w:bottom w:val="single" w:sz="4" w:space="0" w:color="auto"/>
              <w:right w:val="single" w:sz="4" w:space="0" w:color="auto"/>
            </w:tcBorders>
            <w:hideMark/>
          </w:tcPr>
          <w:p w14:paraId="2131D051" w14:textId="77777777" w:rsidR="003C38BF" w:rsidRPr="000E580A" w:rsidRDefault="003C38BF">
            <w:pPr>
              <w:pStyle w:val="TRBodyTextChar"/>
              <w:tabs>
                <w:tab w:val="left" w:pos="567"/>
                <w:tab w:val="left" w:pos="5812"/>
              </w:tabs>
              <w:rPr>
                <w:rFonts w:ascii="Arial" w:hAnsi="Arial" w:cs="Arial"/>
                <w:b/>
                <w:szCs w:val="24"/>
              </w:rPr>
            </w:pPr>
          </w:p>
        </w:tc>
        <w:tc>
          <w:tcPr>
            <w:tcW w:w="5386" w:type="dxa"/>
            <w:gridSpan w:val="4"/>
            <w:tcBorders>
              <w:top w:val="single" w:sz="4" w:space="0" w:color="auto"/>
              <w:left w:val="single" w:sz="4" w:space="0" w:color="auto"/>
              <w:bottom w:val="single" w:sz="4" w:space="0" w:color="auto"/>
              <w:right w:val="single" w:sz="4" w:space="0" w:color="auto"/>
            </w:tcBorders>
            <w:hideMark/>
          </w:tcPr>
          <w:p w14:paraId="2131D052" w14:textId="77777777" w:rsidR="003C38BF" w:rsidRPr="000E580A" w:rsidRDefault="003C38BF">
            <w:pPr>
              <w:pStyle w:val="TRBodyTextChar"/>
              <w:tabs>
                <w:tab w:val="left" w:pos="567"/>
                <w:tab w:val="left" w:pos="5812"/>
              </w:tabs>
              <w:jc w:val="center"/>
              <w:rPr>
                <w:rFonts w:ascii="Arial" w:hAnsi="Arial" w:cs="Arial"/>
                <w:szCs w:val="24"/>
              </w:rPr>
            </w:pPr>
            <w:r w:rsidRPr="000E580A">
              <w:rPr>
                <w:rFonts w:ascii="Arial" w:hAnsi="Arial" w:cs="Arial"/>
                <w:szCs w:val="24"/>
              </w:rPr>
              <w:t>$m – increase/(decrease)</w:t>
            </w:r>
          </w:p>
        </w:tc>
      </w:tr>
      <w:tr w:rsidR="003C38BF" w14:paraId="2131D05A" w14:textId="77777777" w:rsidTr="003C38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54" w14:textId="77777777" w:rsidR="003C38BF" w:rsidRPr="000E580A" w:rsidRDefault="003C38BF">
            <w:pPr>
              <w:pStyle w:val="TRBodyTextChar"/>
              <w:tabs>
                <w:tab w:val="left" w:pos="567"/>
                <w:tab w:val="left" w:pos="5812"/>
              </w:tabs>
              <w:rPr>
                <w:rFonts w:ascii="Arial" w:hAnsi="Arial" w:cs="Arial"/>
                <w:b/>
                <w:szCs w:val="24"/>
              </w:rPr>
            </w:pPr>
            <w:r w:rsidRPr="000E580A">
              <w:rPr>
                <w:rFonts w:ascii="Arial" w:hAnsi="Arial" w:cs="Arial"/>
                <w:b/>
                <w:szCs w:val="24"/>
              </w:rPr>
              <w:t>Vote Revenue</w:t>
            </w:r>
          </w:p>
          <w:p w14:paraId="2131D055" w14:textId="77777777" w:rsidR="003C38BF" w:rsidRPr="000E580A" w:rsidRDefault="003C38BF">
            <w:pPr>
              <w:pStyle w:val="TRBodyTextChar"/>
              <w:tabs>
                <w:tab w:val="left" w:pos="567"/>
                <w:tab w:val="left" w:pos="5812"/>
              </w:tabs>
              <w:jc w:val="left"/>
              <w:rPr>
                <w:rFonts w:ascii="Arial" w:hAnsi="Arial" w:cs="Arial"/>
                <w:b/>
                <w:szCs w:val="24"/>
              </w:rPr>
            </w:pPr>
            <w:r w:rsidRPr="000E580A">
              <w:rPr>
                <w:rFonts w:ascii="Arial" w:hAnsi="Arial" w:cs="Arial"/>
                <w:b/>
                <w:szCs w:val="24"/>
              </w:rPr>
              <w:t>Minister of Revenue</w:t>
            </w:r>
          </w:p>
        </w:tc>
        <w:tc>
          <w:tcPr>
            <w:tcW w:w="1319" w:type="dxa"/>
            <w:tcBorders>
              <w:top w:val="single" w:sz="4" w:space="0" w:color="auto"/>
              <w:left w:val="single" w:sz="4" w:space="0" w:color="auto"/>
              <w:bottom w:val="single" w:sz="4" w:space="0" w:color="auto"/>
              <w:right w:val="single" w:sz="4" w:space="0" w:color="auto"/>
            </w:tcBorders>
            <w:hideMark/>
          </w:tcPr>
          <w:p w14:paraId="2131D056" w14:textId="77777777" w:rsidR="003C38BF" w:rsidRPr="000E580A" w:rsidRDefault="003C38BF">
            <w:pPr>
              <w:pStyle w:val="TRBodyTextChar"/>
              <w:tabs>
                <w:tab w:val="left" w:pos="567"/>
                <w:tab w:val="left" w:pos="5812"/>
              </w:tabs>
              <w:jc w:val="center"/>
              <w:rPr>
                <w:rFonts w:ascii="Arial" w:hAnsi="Arial" w:cs="Arial"/>
                <w:b/>
                <w:szCs w:val="24"/>
              </w:rPr>
            </w:pPr>
            <w:r w:rsidRPr="000E580A">
              <w:rPr>
                <w:rFonts w:ascii="Arial" w:hAnsi="Arial" w:cs="Arial"/>
                <w:b/>
                <w:szCs w:val="24"/>
              </w:rPr>
              <w:t>2019/20</w:t>
            </w:r>
          </w:p>
        </w:tc>
        <w:tc>
          <w:tcPr>
            <w:tcW w:w="1266" w:type="dxa"/>
            <w:tcBorders>
              <w:top w:val="single" w:sz="4" w:space="0" w:color="auto"/>
              <w:left w:val="single" w:sz="4" w:space="0" w:color="auto"/>
              <w:bottom w:val="single" w:sz="4" w:space="0" w:color="auto"/>
              <w:right w:val="single" w:sz="4" w:space="0" w:color="auto"/>
            </w:tcBorders>
            <w:hideMark/>
          </w:tcPr>
          <w:p w14:paraId="2131D057" w14:textId="77777777" w:rsidR="003C38BF" w:rsidRPr="000E580A" w:rsidRDefault="003C38BF">
            <w:pPr>
              <w:pStyle w:val="TRBodyTextChar"/>
              <w:tabs>
                <w:tab w:val="left" w:pos="567"/>
                <w:tab w:val="left" w:pos="5812"/>
              </w:tabs>
              <w:jc w:val="center"/>
              <w:rPr>
                <w:rFonts w:ascii="Arial" w:hAnsi="Arial" w:cs="Arial"/>
                <w:b/>
                <w:szCs w:val="24"/>
              </w:rPr>
            </w:pPr>
            <w:r w:rsidRPr="000E580A">
              <w:rPr>
                <w:rFonts w:ascii="Arial" w:hAnsi="Arial" w:cs="Arial"/>
                <w:b/>
                <w:szCs w:val="24"/>
              </w:rPr>
              <w:t>2020/21</w:t>
            </w:r>
          </w:p>
        </w:tc>
        <w:tc>
          <w:tcPr>
            <w:tcW w:w="1266" w:type="dxa"/>
            <w:tcBorders>
              <w:top w:val="single" w:sz="4" w:space="0" w:color="auto"/>
              <w:left w:val="single" w:sz="4" w:space="0" w:color="auto"/>
              <w:bottom w:val="single" w:sz="4" w:space="0" w:color="auto"/>
              <w:right w:val="single" w:sz="4" w:space="0" w:color="auto"/>
            </w:tcBorders>
            <w:hideMark/>
          </w:tcPr>
          <w:p w14:paraId="2131D058" w14:textId="77777777" w:rsidR="003C38BF" w:rsidRPr="000E580A" w:rsidRDefault="003C38BF">
            <w:pPr>
              <w:pStyle w:val="TRBodyTextChar"/>
              <w:tabs>
                <w:tab w:val="left" w:pos="567"/>
                <w:tab w:val="left" w:pos="5812"/>
              </w:tabs>
              <w:jc w:val="center"/>
              <w:rPr>
                <w:rFonts w:ascii="Arial" w:hAnsi="Arial" w:cs="Arial"/>
                <w:b/>
                <w:szCs w:val="24"/>
              </w:rPr>
            </w:pPr>
            <w:r w:rsidRPr="000E580A">
              <w:rPr>
                <w:rFonts w:ascii="Arial" w:hAnsi="Arial" w:cs="Arial"/>
                <w:b/>
                <w:szCs w:val="24"/>
              </w:rPr>
              <w:t>2021/22</w:t>
            </w:r>
          </w:p>
        </w:tc>
        <w:tc>
          <w:tcPr>
            <w:tcW w:w="1535" w:type="dxa"/>
            <w:tcBorders>
              <w:top w:val="single" w:sz="4" w:space="0" w:color="auto"/>
              <w:left w:val="single" w:sz="4" w:space="0" w:color="auto"/>
              <w:bottom w:val="single" w:sz="4" w:space="0" w:color="auto"/>
              <w:right w:val="single" w:sz="4" w:space="0" w:color="auto"/>
            </w:tcBorders>
            <w:hideMark/>
          </w:tcPr>
          <w:p w14:paraId="2131D059" w14:textId="77777777" w:rsidR="003C38BF" w:rsidRPr="000E580A" w:rsidRDefault="003C38BF">
            <w:pPr>
              <w:pStyle w:val="TRBodyTextChar"/>
              <w:tabs>
                <w:tab w:val="left" w:pos="567"/>
                <w:tab w:val="left" w:pos="5812"/>
              </w:tabs>
              <w:jc w:val="center"/>
              <w:rPr>
                <w:rFonts w:ascii="Arial" w:hAnsi="Arial" w:cs="Arial"/>
                <w:b/>
                <w:szCs w:val="24"/>
              </w:rPr>
            </w:pPr>
            <w:r w:rsidRPr="000E580A">
              <w:rPr>
                <w:rFonts w:ascii="Arial" w:hAnsi="Arial" w:cs="Arial"/>
                <w:b/>
                <w:szCs w:val="24"/>
              </w:rPr>
              <w:t>2022/23 &amp; Outyears</w:t>
            </w:r>
          </w:p>
        </w:tc>
      </w:tr>
      <w:tr w:rsidR="003C38BF" w14:paraId="2131D060" w14:textId="77777777" w:rsidTr="003C38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5B" w14:textId="77777777" w:rsidR="003C38BF" w:rsidRPr="000E580A" w:rsidRDefault="003C38BF">
            <w:pPr>
              <w:pStyle w:val="TRBodyTextChar"/>
              <w:tabs>
                <w:tab w:val="left" w:pos="567"/>
                <w:tab w:val="left" w:pos="5812"/>
              </w:tabs>
              <w:rPr>
                <w:rFonts w:ascii="Arial" w:hAnsi="Arial" w:cs="Arial"/>
                <w:szCs w:val="24"/>
              </w:rPr>
            </w:pPr>
            <w:r w:rsidRPr="000E580A">
              <w:rPr>
                <w:rFonts w:ascii="Arial" w:hAnsi="Arial" w:cs="Arial"/>
                <w:szCs w:val="24"/>
              </w:rPr>
              <w:t>Tax Revenue</w:t>
            </w:r>
          </w:p>
        </w:tc>
        <w:tc>
          <w:tcPr>
            <w:tcW w:w="1319" w:type="dxa"/>
            <w:tcBorders>
              <w:top w:val="single" w:sz="4" w:space="0" w:color="auto"/>
              <w:left w:val="single" w:sz="4" w:space="0" w:color="auto"/>
              <w:bottom w:val="single" w:sz="4" w:space="0" w:color="auto"/>
              <w:right w:val="single" w:sz="4" w:space="0" w:color="auto"/>
            </w:tcBorders>
            <w:hideMark/>
          </w:tcPr>
          <w:p w14:paraId="2131D05C" w14:textId="77777777" w:rsidR="003C38BF" w:rsidRPr="000E580A" w:rsidRDefault="003C38BF">
            <w:pPr>
              <w:pStyle w:val="TRBodyTextChar"/>
              <w:tabs>
                <w:tab w:val="left" w:pos="567"/>
                <w:tab w:val="left" w:pos="5812"/>
              </w:tabs>
              <w:jc w:val="right"/>
              <w:rPr>
                <w:rFonts w:ascii="Arial" w:hAnsi="Arial" w:cs="Arial"/>
                <w:szCs w:val="24"/>
              </w:rPr>
            </w:pPr>
            <w:r w:rsidRPr="000E580A">
              <w:rPr>
                <w:rFonts w:ascii="Arial" w:hAnsi="Arial" w:cs="Arial"/>
                <w:szCs w:val="24"/>
              </w:rPr>
              <w:t>(1.800)</w:t>
            </w:r>
          </w:p>
        </w:tc>
        <w:tc>
          <w:tcPr>
            <w:tcW w:w="1266" w:type="dxa"/>
            <w:tcBorders>
              <w:top w:val="single" w:sz="4" w:space="0" w:color="auto"/>
              <w:left w:val="single" w:sz="4" w:space="0" w:color="auto"/>
              <w:bottom w:val="single" w:sz="4" w:space="0" w:color="auto"/>
              <w:right w:val="single" w:sz="4" w:space="0" w:color="auto"/>
            </w:tcBorders>
            <w:hideMark/>
          </w:tcPr>
          <w:p w14:paraId="2131D05D" w14:textId="77777777" w:rsidR="003C38BF" w:rsidRPr="000E580A" w:rsidRDefault="003C38BF">
            <w:pPr>
              <w:pStyle w:val="TRBodyTextChar"/>
              <w:tabs>
                <w:tab w:val="left" w:pos="567"/>
                <w:tab w:val="left" w:pos="5812"/>
              </w:tabs>
              <w:jc w:val="right"/>
              <w:rPr>
                <w:rFonts w:ascii="Arial" w:hAnsi="Arial" w:cs="Arial"/>
                <w:szCs w:val="24"/>
              </w:rPr>
            </w:pPr>
            <w:r w:rsidRPr="000E580A">
              <w:rPr>
                <w:rFonts w:ascii="Arial" w:hAnsi="Arial" w:cs="Arial"/>
                <w:szCs w:val="24"/>
              </w:rPr>
              <w:t>(1.800)</w:t>
            </w:r>
          </w:p>
        </w:tc>
        <w:tc>
          <w:tcPr>
            <w:tcW w:w="1266" w:type="dxa"/>
            <w:tcBorders>
              <w:top w:val="single" w:sz="4" w:space="0" w:color="auto"/>
              <w:left w:val="single" w:sz="4" w:space="0" w:color="auto"/>
              <w:bottom w:val="single" w:sz="4" w:space="0" w:color="auto"/>
              <w:right w:val="single" w:sz="4" w:space="0" w:color="auto"/>
            </w:tcBorders>
            <w:hideMark/>
          </w:tcPr>
          <w:p w14:paraId="2131D05E" w14:textId="77777777" w:rsidR="003C38BF" w:rsidRPr="000E580A" w:rsidRDefault="003C38BF">
            <w:pPr>
              <w:pStyle w:val="TRBodyTextChar"/>
              <w:tabs>
                <w:tab w:val="left" w:pos="567"/>
                <w:tab w:val="left" w:pos="5812"/>
              </w:tabs>
              <w:jc w:val="right"/>
              <w:rPr>
                <w:rFonts w:ascii="Arial" w:hAnsi="Arial" w:cs="Arial"/>
                <w:szCs w:val="24"/>
              </w:rPr>
            </w:pPr>
            <w:r w:rsidRPr="000E580A">
              <w:rPr>
                <w:rFonts w:ascii="Arial" w:hAnsi="Arial" w:cs="Arial"/>
                <w:szCs w:val="24"/>
              </w:rPr>
              <w:t>(1.800)</w:t>
            </w:r>
          </w:p>
        </w:tc>
        <w:tc>
          <w:tcPr>
            <w:tcW w:w="1535" w:type="dxa"/>
            <w:tcBorders>
              <w:top w:val="single" w:sz="4" w:space="0" w:color="auto"/>
              <w:left w:val="single" w:sz="4" w:space="0" w:color="auto"/>
              <w:bottom w:val="single" w:sz="4" w:space="0" w:color="auto"/>
              <w:right w:val="single" w:sz="4" w:space="0" w:color="auto"/>
            </w:tcBorders>
            <w:hideMark/>
          </w:tcPr>
          <w:p w14:paraId="2131D05F" w14:textId="77777777" w:rsidR="003C38BF" w:rsidRPr="000E580A" w:rsidRDefault="003C38BF">
            <w:pPr>
              <w:pStyle w:val="TRBodyTextChar"/>
              <w:tabs>
                <w:tab w:val="left" w:pos="567"/>
                <w:tab w:val="left" w:pos="5812"/>
              </w:tabs>
              <w:jc w:val="right"/>
              <w:rPr>
                <w:rFonts w:ascii="Arial" w:hAnsi="Arial" w:cs="Arial"/>
                <w:szCs w:val="24"/>
              </w:rPr>
            </w:pPr>
            <w:r w:rsidRPr="000E580A">
              <w:rPr>
                <w:rFonts w:ascii="Arial" w:hAnsi="Arial" w:cs="Arial"/>
                <w:szCs w:val="24"/>
              </w:rPr>
              <w:t>(1.800)</w:t>
            </w:r>
          </w:p>
        </w:tc>
      </w:tr>
      <w:tr w:rsidR="003C38BF" w14:paraId="2131D066" w14:textId="77777777" w:rsidTr="003C38BF">
        <w:trPr>
          <w:cantSplit/>
          <w:tblHeader/>
          <w:jc w:val="center"/>
        </w:trPr>
        <w:tc>
          <w:tcPr>
            <w:tcW w:w="2552" w:type="dxa"/>
            <w:tcBorders>
              <w:top w:val="single" w:sz="4" w:space="0" w:color="auto"/>
              <w:left w:val="single" w:sz="4" w:space="0" w:color="auto"/>
              <w:bottom w:val="single" w:sz="4" w:space="0" w:color="auto"/>
              <w:right w:val="single" w:sz="4" w:space="0" w:color="auto"/>
            </w:tcBorders>
            <w:hideMark/>
          </w:tcPr>
          <w:p w14:paraId="2131D061" w14:textId="77777777" w:rsidR="003C38BF" w:rsidRPr="000E580A" w:rsidRDefault="003C38BF">
            <w:pPr>
              <w:pStyle w:val="TRBodyTextChar"/>
              <w:tabs>
                <w:tab w:val="left" w:pos="567"/>
                <w:tab w:val="left" w:pos="5812"/>
              </w:tabs>
              <w:rPr>
                <w:rFonts w:ascii="Arial" w:hAnsi="Arial" w:cs="Arial"/>
                <w:b/>
                <w:szCs w:val="24"/>
              </w:rPr>
            </w:pPr>
            <w:r w:rsidRPr="000E580A">
              <w:rPr>
                <w:rFonts w:ascii="Arial" w:hAnsi="Arial" w:cs="Arial"/>
                <w:b/>
                <w:szCs w:val="24"/>
              </w:rPr>
              <w:t>Total Operating</w:t>
            </w:r>
          </w:p>
        </w:tc>
        <w:tc>
          <w:tcPr>
            <w:tcW w:w="1319" w:type="dxa"/>
            <w:tcBorders>
              <w:top w:val="single" w:sz="4" w:space="0" w:color="auto"/>
              <w:left w:val="single" w:sz="4" w:space="0" w:color="auto"/>
              <w:bottom w:val="single" w:sz="4" w:space="0" w:color="auto"/>
              <w:right w:val="single" w:sz="4" w:space="0" w:color="auto"/>
            </w:tcBorders>
            <w:hideMark/>
          </w:tcPr>
          <w:p w14:paraId="2131D062" w14:textId="77777777" w:rsidR="003C38BF" w:rsidRPr="000E580A" w:rsidRDefault="003C38BF">
            <w:pPr>
              <w:pStyle w:val="TRBodyTextChar"/>
              <w:tabs>
                <w:tab w:val="left" w:pos="567"/>
                <w:tab w:val="left" w:pos="5812"/>
              </w:tabs>
              <w:jc w:val="right"/>
              <w:rPr>
                <w:rFonts w:ascii="Arial" w:hAnsi="Arial" w:cs="Arial"/>
                <w:b/>
                <w:szCs w:val="24"/>
              </w:rPr>
            </w:pPr>
            <w:r w:rsidRPr="000E580A">
              <w:rPr>
                <w:rFonts w:ascii="Arial" w:hAnsi="Arial" w:cs="Arial"/>
                <w:b/>
                <w:szCs w:val="24"/>
              </w:rPr>
              <w:t>(1.800)</w:t>
            </w:r>
          </w:p>
        </w:tc>
        <w:tc>
          <w:tcPr>
            <w:tcW w:w="1266" w:type="dxa"/>
            <w:tcBorders>
              <w:top w:val="single" w:sz="4" w:space="0" w:color="auto"/>
              <w:left w:val="single" w:sz="4" w:space="0" w:color="auto"/>
              <w:bottom w:val="single" w:sz="4" w:space="0" w:color="auto"/>
              <w:right w:val="single" w:sz="4" w:space="0" w:color="auto"/>
            </w:tcBorders>
            <w:hideMark/>
          </w:tcPr>
          <w:p w14:paraId="2131D063" w14:textId="77777777" w:rsidR="003C38BF" w:rsidRPr="000E580A" w:rsidRDefault="003C38BF">
            <w:pPr>
              <w:pStyle w:val="TRBodyTextChar"/>
              <w:tabs>
                <w:tab w:val="left" w:pos="567"/>
                <w:tab w:val="left" w:pos="5812"/>
              </w:tabs>
              <w:jc w:val="right"/>
              <w:rPr>
                <w:rFonts w:ascii="Arial" w:hAnsi="Arial" w:cs="Arial"/>
                <w:b/>
                <w:szCs w:val="24"/>
              </w:rPr>
            </w:pPr>
            <w:r w:rsidRPr="000E580A">
              <w:rPr>
                <w:rFonts w:ascii="Arial" w:hAnsi="Arial" w:cs="Arial"/>
                <w:b/>
                <w:szCs w:val="24"/>
              </w:rPr>
              <w:t>(1.800)</w:t>
            </w:r>
          </w:p>
        </w:tc>
        <w:tc>
          <w:tcPr>
            <w:tcW w:w="1266" w:type="dxa"/>
            <w:tcBorders>
              <w:top w:val="single" w:sz="4" w:space="0" w:color="auto"/>
              <w:left w:val="single" w:sz="4" w:space="0" w:color="auto"/>
              <w:bottom w:val="single" w:sz="4" w:space="0" w:color="auto"/>
              <w:right w:val="single" w:sz="4" w:space="0" w:color="auto"/>
            </w:tcBorders>
            <w:hideMark/>
          </w:tcPr>
          <w:p w14:paraId="2131D064" w14:textId="77777777" w:rsidR="003C38BF" w:rsidRPr="000E580A" w:rsidRDefault="003C38BF">
            <w:pPr>
              <w:pStyle w:val="TRBodyTextChar"/>
              <w:tabs>
                <w:tab w:val="left" w:pos="567"/>
                <w:tab w:val="left" w:pos="5812"/>
              </w:tabs>
              <w:jc w:val="right"/>
              <w:rPr>
                <w:rFonts w:ascii="Arial" w:hAnsi="Arial" w:cs="Arial"/>
                <w:b/>
                <w:szCs w:val="24"/>
              </w:rPr>
            </w:pPr>
            <w:r w:rsidRPr="000E580A">
              <w:rPr>
                <w:rFonts w:ascii="Arial" w:hAnsi="Arial" w:cs="Arial"/>
                <w:b/>
                <w:szCs w:val="24"/>
              </w:rPr>
              <w:t>(1.800)</w:t>
            </w:r>
          </w:p>
        </w:tc>
        <w:tc>
          <w:tcPr>
            <w:tcW w:w="1535" w:type="dxa"/>
            <w:tcBorders>
              <w:top w:val="single" w:sz="4" w:space="0" w:color="auto"/>
              <w:left w:val="single" w:sz="4" w:space="0" w:color="auto"/>
              <w:bottom w:val="single" w:sz="4" w:space="0" w:color="auto"/>
              <w:right w:val="single" w:sz="4" w:space="0" w:color="auto"/>
            </w:tcBorders>
            <w:hideMark/>
          </w:tcPr>
          <w:p w14:paraId="2131D065" w14:textId="77777777" w:rsidR="003C38BF" w:rsidRPr="000E580A" w:rsidRDefault="003C38BF">
            <w:pPr>
              <w:pStyle w:val="TRBodyTextChar"/>
              <w:tabs>
                <w:tab w:val="left" w:pos="567"/>
                <w:tab w:val="left" w:pos="5812"/>
              </w:tabs>
              <w:jc w:val="right"/>
              <w:rPr>
                <w:rFonts w:ascii="Arial" w:hAnsi="Arial" w:cs="Arial"/>
                <w:b/>
                <w:szCs w:val="24"/>
              </w:rPr>
            </w:pPr>
            <w:r w:rsidRPr="000E580A">
              <w:rPr>
                <w:rFonts w:ascii="Arial" w:hAnsi="Arial" w:cs="Arial"/>
                <w:b/>
                <w:szCs w:val="24"/>
              </w:rPr>
              <w:t>(1.800)</w:t>
            </w:r>
          </w:p>
        </w:tc>
      </w:tr>
    </w:tbl>
    <w:p w14:paraId="2131D067" w14:textId="77777777" w:rsidR="00DB0538" w:rsidRPr="00895779" w:rsidRDefault="00DB0538" w:rsidP="00B52D39">
      <w:pPr>
        <w:pStyle w:val="ListParagraph"/>
        <w:spacing w:after="0" w:line="240" w:lineRule="auto"/>
        <w:ind w:left="709"/>
        <w:contextualSpacing w:val="0"/>
        <w:rPr>
          <w:rFonts w:ascii="Arial" w:hAnsi="Arial" w:cs="Arial"/>
          <w:sz w:val="24"/>
          <w:szCs w:val="24"/>
        </w:rPr>
      </w:pPr>
    </w:p>
    <w:p w14:paraId="2131D068" w14:textId="77777777" w:rsidR="004B6934" w:rsidRPr="00895779" w:rsidRDefault="003C38BF" w:rsidP="005B4A4B">
      <w:pPr>
        <w:pStyle w:val="ListParagraph"/>
        <w:numPr>
          <w:ilvl w:val="0"/>
          <w:numId w:val="5"/>
        </w:numPr>
        <w:spacing w:after="240" w:line="240" w:lineRule="auto"/>
        <w:ind w:left="709" w:hanging="709"/>
        <w:contextualSpacing w:val="0"/>
        <w:rPr>
          <w:rFonts w:ascii="Arial" w:hAnsi="Arial" w:cs="Arial"/>
          <w:sz w:val="24"/>
          <w:szCs w:val="24"/>
        </w:rPr>
      </w:pPr>
      <w:r>
        <w:rPr>
          <w:rFonts w:ascii="Arial" w:hAnsi="Arial" w:cs="Arial"/>
          <w:sz w:val="24"/>
          <w:szCs w:val="24"/>
        </w:rPr>
        <w:t xml:space="preserve">note that the final year of fiscal impact outlined in recommendation </w:t>
      </w:r>
      <w:r w:rsidR="00091234">
        <w:rPr>
          <w:rFonts w:ascii="Arial" w:hAnsi="Arial" w:cs="Arial"/>
          <w:sz w:val="24"/>
          <w:szCs w:val="24"/>
        </w:rPr>
        <w:t>5</w:t>
      </w:r>
      <w:r>
        <w:rPr>
          <w:rFonts w:ascii="Arial" w:hAnsi="Arial" w:cs="Arial"/>
          <w:sz w:val="24"/>
          <w:szCs w:val="24"/>
        </w:rPr>
        <w:t xml:space="preserve"> is 2023/24</w:t>
      </w:r>
      <w:r w:rsidR="00453DEC">
        <w:rPr>
          <w:rFonts w:ascii="Arial" w:hAnsi="Arial" w:cs="Arial"/>
          <w:sz w:val="24"/>
          <w:szCs w:val="24"/>
        </w:rPr>
        <w:t>.</w:t>
      </w:r>
    </w:p>
    <w:p w14:paraId="2131D069" w14:textId="77777777" w:rsidR="004B6934" w:rsidRDefault="004B6934" w:rsidP="005B4A4B">
      <w:pPr>
        <w:pStyle w:val="ListParagraph"/>
        <w:numPr>
          <w:ilvl w:val="0"/>
          <w:numId w:val="5"/>
        </w:numPr>
        <w:spacing w:after="240" w:line="240" w:lineRule="auto"/>
        <w:ind w:left="709" w:hanging="709"/>
        <w:contextualSpacing w:val="0"/>
        <w:rPr>
          <w:rFonts w:ascii="Arial" w:hAnsi="Arial" w:cs="Arial"/>
          <w:sz w:val="24"/>
          <w:szCs w:val="24"/>
        </w:rPr>
      </w:pPr>
      <w:r w:rsidRPr="00895779">
        <w:rPr>
          <w:rFonts w:ascii="Arial" w:hAnsi="Arial" w:cs="Arial"/>
          <w:sz w:val="24"/>
          <w:szCs w:val="24"/>
        </w:rPr>
        <w:t>agree</w:t>
      </w:r>
      <w:r w:rsidR="00BB795C">
        <w:rPr>
          <w:rFonts w:ascii="Arial" w:hAnsi="Arial" w:cs="Arial"/>
          <w:sz w:val="24"/>
          <w:szCs w:val="24"/>
        </w:rPr>
        <w:t xml:space="preserve"> that the changes recommended above be included in the next available omnibus tax bill</w:t>
      </w:r>
    </w:p>
    <w:p w14:paraId="2131D06A" w14:textId="77777777" w:rsidR="005138FE" w:rsidRDefault="005138FE" w:rsidP="00895779">
      <w:pPr>
        <w:rPr>
          <w:rFonts w:ascii="Arial" w:hAnsi="Arial" w:cs="Arial"/>
          <w:sz w:val="24"/>
          <w:szCs w:val="24"/>
        </w:rPr>
      </w:pPr>
    </w:p>
    <w:p w14:paraId="2131D06B" w14:textId="77777777" w:rsidR="004B6934" w:rsidRPr="00895779" w:rsidRDefault="004B6934" w:rsidP="00895779">
      <w:pPr>
        <w:rPr>
          <w:rFonts w:ascii="Arial" w:hAnsi="Arial" w:cs="Arial"/>
          <w:sz w:val="24"/>
          <w:szCs w:val="24"/>
        </w:rPr>
      </w:pPr>
      <w:r w:rsidRPr="00895779">
        <w:rPr>
          <w:rFonts w:ascii="Arial" w:hAnsi="Arial" w:cs="Arial"/>
          <w:sz w:val="24"/>
          <w:szCs w:val="24"/>
        </w:rPr>
        <w:t>Authorised for lodgement</w:t>
      </w:r>
    </w:p>
    <w:p w14:paraId="2131D06C" w14:textId="77777777" w:rsidR="004B6934" w:rsidRPr="00895779" w:rsidRDefault="004B6934" w:rsidP="00895779">
      <w:pPr>
        <w:rPr>
          <w:rFonts w:ascii="Arial" w:hAnsi="Arial" w:cs="Arial"/>
          <w:sz w:val="24"/>
          <w:szCs w:val="24"/>
        </w:rPr>
      </w:pPr>
      <w:r w:rsidRPr="00895779">
        <w:rPr>
          <w:rFonts w:ascii="Arial" w:hAnsi="Arial" w:cs="Arial"/>
          <w:sz w:val="24"/>
          <w:szCs w:val="24"/>
        </w:rPr>
        <w:t xml:space="preserve">Hon </w:t>
      </w:r>
      <w:r w:rsidR="00AE4B51">
        <w:rPr>
          <w:rFonts w:ascii="Arial" w:hAnsi="Arial" w:cs="Arial"/>
          <w:sz w:val="24"/>
          <w:szCs w:val="24"/>
        </w:rPr>
        <w:t>Stuart Nash</w:t>
      </w:r>
    </w:p>
    <w:p w14:paraId="2131D06D" w14:textId="77777777" w:rsidR="004B6934" w:rsidRPr="00895779" w:rsidRDefault="004B6934" w:rsidP="00895779">
      <w:pPr>
        <w:rPr>
          <w:rFonts w:ascii="Arial" w:hAnsi="Arial" w:cs="Arial"/>
          <w:sz w:val="24"/>
          <w:szCs w:val="24"/>
        </w:rPr>
      </w:pPr>
      <w:r w:rsidRPr="00895779">
        <w:rPr>
          <w:rFonts w:ascii="Arial" w:hAnsi="Arial" w:cs="Arial"/>
          <w:sz w:val="24"/>
          <w:szCs w:val="24"/>
        </w:rPr>
        <w:t xml:space="preserve">Minister </w:t>
      </w:r>
      <w:r w:rsidR="00AE4B51">
        <w:rPr>
          <w:rFonts w:ascii="Arial" w:hAnsi="Arial" w:cs="Arial"/>
          <w:sz w:val="24"/>
          <w:szCs w:val="24"/>
        </w:rPr>
        <w:t>of Revenue</w:t>
      </w:r>
    </w:p>
    <w:sectPr w:rsidR="004B6934" w:rsidRPr="00895779" w:rsidSect="00087FB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D070" w14:textId="77777777" w:rsidR="006165D4" w:rsidRDefault="006165D4">
      <w:pPr>
        <w:spacing w:after="0" w:line="240" w:lineRule="auto"/>
      </w:pPr>
      <w:r>
        <w:separator/>
      </w:r>
    </w:p>
  </w:endnote>
  <w:endnote w:type="continuationSeparator" w:id="0">
    <w:p w14:paraId="2131D071" w14:textId="77777777" w:rsidR="006165D4" w:rsidRDefault="0061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D072" w14:textId="77777777" w:rsidR="00F930C5" w:rsidRDefault="00602322">
    <w:pPr>
      <w:pStyle w:val="Footer"/>
      <w:jc w:val="center"/>
    </w:pPr>
    <w:r>
      <w:rPr>
        <w:noProof/>
        <w:lang w:eastAsia="en-NZ"/>
      </w:rPr>
      <mc:AlternateContent>
        <mc:Choice Requires="wps">
          <w:drawing>
            <wp:anchor distT="0" distB="0" distL="114300" distR="114300" simplePos="0" relativeHeight="251659264" behindDoc="0" locked="0" layoutInCell="0" allowOverlap="1" wp14:anchorId="2131D074" wp14:editId="2131D075">
              <wp:simplePos x="0" y="0"/>
              <wp:positionH relativeFrom="page">
                <wp:posOffset>0</wp:posOffset>
              </wp:positionH>
              <wp:positionV relativeFrom="page">
                <wp:posOffset>10234930</wp:posOffset>
              </wp:positionV>
              <wp:extent cx="7560310" cy="266700"/>
              <wp:effectExtent l="0" t="0" r="0" b="0"/>
              <wp:wrapNone/>
              <wp:docPr id="1" name="MSIPCM2f5e4a738323d01d9d5b4ab0"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1D079" w14:textId="77777777" w:rsidR="00602322" w:rsidRPr="00602322" w:rsidRDefault="00602322" w:rsidP="00602322">
                          <w:pPr>
                            <w:spacing w:after="0"/>
                            <w:jc w:val="center"/>
                            <w:rPr>
                              <w:rFonts w:ascii="Verdana" w:hAnsi="Verdana"/>
                              <w:color w:val="000000"/>
                              <w:sz w:val="20"/>
                            </w:rPr>
                          </w:pPr>
                          <w:r w:rsidRPr="00602322">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31D074" id="_x0000_t202" coordsize="21600,21600" o:spt="202" path="m,l,21600r21600,l21600,xe">
              <v:stroke joinstyle="miter"/>
              <v:path gradientshapeok="t" o:connecttype="rect"/>
            </v:shapetype>
            <v:shape id="MSIPCM2f5e4a738323d01d9d5b4ab0"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2m+jjqwCAABFBQAADgAAAAAA&#10;AAAAAAAAAAAuAgAAZHJzL2Uyb0RvYy54bWxQSwECLQAUAAYACAAAACEAg7KPK98AAAALAQAADwAA&#10;AAAAAAAAAAAAAAAGBQAAZHJzL2Rvd25yZXYueG1sUEsFBgAAAAAEAAQA8wAAABIGAAAAAA==&#10;" o:allowincell="f" filled="f" stroked="f" strokeweight=".5pt">
              <v:textbox inset=",0,,0">
                <w:txbxContent>
                  <w:p w14:paraId="2131D079" w14:textId="77777777" w:rsidR="00602322" w:rsidRPr="00602322" w:rsidRDefault="00602322" w:rsidP="00602322">
                    <w:pPr>
                      <w:spacing w:after="0"/>
                      <w:jc w:val="center"/>
                      <w:rPr>
                        <w:rFonts w:ascii="Verdana" w:hAnsi="Verdana"/>
                        <w:color w:val="000000"/>
                        <w:sz w:val="20"/>
                      </w:rPr>
                    </w:pPr>
                    <w:r w:rsidRPr="00602322">
                      <w:rPr>
                        <w:rFonts w:ascii="Verdana" w:hAnsi="Verdana"/>
                        <w:color w:val="000000"/>
                        <w:sz w:val="20"/>
                      </w:rPr>
                      <w:t>IN CONFIDENCE</w:t>
                    </w:r>
                  </w:p>
                </w:txbxContent>
              </v:textbox>
              <w10:wrap anchorx="page" anchory="page"/>
            </v:shape>
          </w:pict>
        </mc:Fallback>
      </mc:AlternateContent>
    </w:r>
    <w:sdt>
      <w:sdtPr>
        <w:id w:val="1034312974"/>
        <w:docPartObj>
          <w:docPartGallery w:val="Page Numbers (Bottom of Page)"/>
          <w:docPartUnique/>
        </w:docPartObj>
      </w:sdtPr>
      <w:sdtEndPr>
        <w:rPr>
          <w:noProof/>
        </w:rPr>
      </w:sdtEndPr>
      <w:sdtContent>
        <w:r w:rsidR="004B6934">
          <w:fldChar w:fldCharType="begin"/>
        </w:r>
        <w:r w:rsidR="004B6934">
          <w:instrText xml:space="preserve"> PAGE   \* MERGEFORMAT </w:instrText>
        </w:r>
        <w:r w:rsidR="004B6934">
          <w:fldChar w:fldCharType="separate"/>
        </w:r>
        <w:r w:rsidR="008E1C27">
          <w:rPr>
            <w:noProof/>
          </w:rPr>
          <w:t>8</w:t>
        </w:r>
        <w:r w:rsidR="004B6934">
          <w:rPr>
            <w:noProof/>
          </w:rPr>
          <w:fldChar w:fldCharType="end"/>
        </w:r>
      </w:sdtContent>
    </w:sdt>
  </w:p>
  <w:p w14:paraId="2131D073" w14:textId="77777777" w:rsidR="009846A6" w:rsidRDefault="00A6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D06E" w14:textId="77777777" w:rsidR="006165D4" w:rsidRDefault="006165D4">
      <w:pPr>
        <w:spacing w:after="0" w:line="240" w:lineRule="auto"/>
      </w:pPr>
      <w:r>
        <w:separator/>
      </w:r>
    </w:p>
  </w:footnote>
  <w:footnote w:type="continuationSeparator" w:id="0">
    <w:p w14:paraId="2131D06F" w14:textId="77777777" w:rsidR="006165D4" w:rsidRDefault="006165D4">
      <w:pPr>
        <w:spacing w:after="0" w:line="240" w:lineRule="auto"/>
      </w:pPr>
      <w:r>
        <w:continuationSeparator/>
      </w:r>
    </w:p>
  </w:footnote>
  <w:footnote w:id="1">
    <w:p w14:paraId="2131D076" w14:textId="77777777" w:rsidR="00B430DD" w:rsidRPr="00B612FD" w:rsidRDefault="00B430DD" w:rsidP="00B430DD">
      <w:pPr>
        <w:pStyle w:val="FootnoteText"/>
      </w:pPr>
      <w:r w:rsidRPr="00B612FD">
        <w:rPr>
          <w:vertAlign w:val="superscript"/>
        </w:rPr>
        <w:footnoteRef/>
      </w:r>
      <w:r w:rsidRPr="00B612FD">
        <w:t xml:space="preserve"> Real property is a commonly used term that essentially relates to land and buildings.</w:t>
      </w:r>
    </w:p>
  </w:footnote>
  <w:footnote w:id="2">
    <w:p w14:paraId="2131D077" w14:textId="77777777" w:rsidR="00131649" w:rsidRPr="006B52B4" w:rsidRDefault="00131649" w:rsidP="00131649">
      <w:pPr>
        <w:pStyle w:val="FootnoteText"/>
        <w:rPr>
          <w:rFonts w:ascii="Arial" w:hAnsi="Arial" w:cs="Arial"/>
          <w:sz w:val="16"/>
          <w:szCs w:val="16"/>
        </w:rPr>
      </w:pPr>
      <w:r w:rsidRPr="00B612FD">
        <w:rPr>
          <w:vertAlign w:val="superscript"/>
        </w:rPr>
        <w:footnoteRef/>
      </w:r>
      <w:r w:rsidRPr="00B612FD">
        <w:t xml:space="preserve"> The requirement to prepare accounts under IFRS varies but the most common is having total assets in excess of $60 million or total revenue in excess of $30 million.  In 2017 the External Reporting Board (XRB) identified 2,575 entities with IFRS reporting obligations based on 2015 data.</w:t>
      </w:r>
    </w:p>
  </w:footnote>
  <w:footnote w:id="3">
    <w:p w14:paraId="2131D078" w14:textId="78110569" w:rsidR="005D02AD" w:rsidRDefault="005D02AD">
      <w:pPr>
        <w:pStyle w:val="FootnoteText"/>
      </w:pPr>
      <w:r>
        <w:rPr>
          <w:rStyle w:val="FootnoteReference"/>
        </w:rPr>
        <w:footnoteRef/>
      </w:r>
      <w:r>
        <w:t xml:space="preserve"> Some direct costs are already incurred over the term of the lease</w:t>
      </w:r>
      <w:r w:rsidR="00B612FD">
        <w:t>.  For these costs the IFRS 16 and tax treatment will already align so no further adjustment will be required.</w:t>
      </w:r>
      <w:r w:rsidR="0008713B">
        <w:br/>
        <w:t xml:space="preserve">* </w:t>
      </w:r>
      <w:r w:rsidR="0008713B">
        <w:t>Paragraphs 19 and 21.2: References to paragraph numbers were added for clarity, these were not included in the version that went to the Cabinet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E35EB"/>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AC5BCC"/>
    <w:multiLevelType w:val="multilevel"/>
    <w:tmpl w:val="D5746B9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5011289"/>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34"/>
    <w:rsid w:val="000001A2"/>
    <w:rsid w:val="00003319"/>
    <w:rsid w:val="00003506"/>
    <w:rsid w:val="00044FD5"/>
    <w:rsid w:val="00047FE8"/>
    <w:rsid w:val="000501F5"/>
    <w:rsid w:val="00053D58"/>
    <w:rsid w:val="000565FA"/>
    <w:rsid w:val="000646CF"/>
    <w:rsid w:val="0007179F"/>
    <w:rsid w:val="00084C39"/>
    <w:rsid w:val="0008713B"/>
    <w:rsid w:val="00091234"/>
    <w:rsid w:val="000965D9"/>
    <w:rsid w:val="000A0987"/>
    <w:rsid w:val="000A4CD5"/>
    <w:rsid w:val="000B0B64"/>
    <w:rsid w:val="000B429D"/>
    <w:rsid w:val="000C1341"/>
    <w:rsid w:val="000C3E40"/>
    <w:rsid w:val="000E2924"/>
    <w:rsid w:val="000E580A"/>
    <w:rsid w:val="000E6BA0"/>
    <w:rsid w:val="001048D7"/>
    <w:rsid w:val="0012728E"/>
    <w:rsid w:val="00131649"/>
    <w:rsid w:val="0013563F"/>
    <w:rsid w:val="001359BF"/>
    <w:rsid w:val="001365EE"/>
    <w:rsid w:val="0015066D"/>
    <w:rsid w:val="00154A02"/>
    <w:rsid w:val="001550CF"/>
    <w:rsid w:val="001674CC"/>
    <w:rsid w:val="00171BA7"/>
    <w:rsid w:val="00175431"/>
    <w:rsid w:val="00175EDE"/>
    <w:rsid w:val="0018007D"/>
    <w:rsid w:val="001809DD"/>
    <w:rsid w:val="00186A7E"/>
    <w:rsid w:val="001A009D"/>
    <w:rsid w:val="001A5669"/>
    <w:rsid w:val="001A5E83"/>
    <w:rsid w:val="001E5CE1"/>
    <w:rsid w:val="001F30C4"/>
    <w:rsid w:val="00205EDF"/>
    <w:rsid w:val="002135B9"/>
    <w:rsid w:val="00213D4C"/>
    <w:rsid w:val="002166CC"/>
    <w:rsid w:val="00216C32"/>
    <w:rsid w:val="00220B54"/>
    <w:rsid w:val="002316F8"/>
    <w:rsid w:val="0023400F"/>
    <w:rsid w:val="00250C69"/>
    <w:rsid w:val="0027046E"/>
    <w:rsid w:val="00271334"/>
    <w:rsid w:val="002921DB"/>
    <w:rsid w:val="0029257B"/>
    <w:rsid w:val="002950F1"/>
    <w:rsid w:val="00296DD2"/>
    <w:rsid w:val="002B13D0"/>
    <w:rsid w:val="002B31D4"/>
    <w:rsid w:val="002C435A"/>
    <w:rsid w:val="002D45CC"/>
    <w:rsid w:val="002D47FC"/>
    <w:rsid w:val="002F251D"/>
    <w:rsid w:val="00306B3F"/>
    <w:rsid w:val="0033054B"/>
    <w:rsid w:val="0033601F"/>
    <w:rsid w:val="00341466"/>
    <w:rsid w:val="003432FE"/>
    <w:rsid w:val="0036282A"/>
    <w:rsid w:val="00382724"/>
    <w:rsid w:val="003B1CE4"/>
    <w:rsid w:val="003C38BF"/>
    <w:rsid w:val="003C691D"/>
    <w:rsid w:val="003D6480"/>
    <w:rsid w:val="003D7132"/>
    <w:rsid w:val="003E3683"/>
    <w:rsid w:val="003F22DD"/>
    <w:rsid w:val="00405C12"/>
    <w:rsid w:val="004349DD"/>
    <w:rsid w:val="004419D5"/>
    <w:rsid w:val="00453DEC"/>
    <w:rsid w:val="00460238"/>
    <w:rsid w:val="004621EF"/>
    <w:rsid w:val="00466CE2"/>
    <w:rsid w:val="00467903"/>
    <w:rsid w:val="0047122B"/>
    <w:rsid w:val="0047617A"/>
    <w:rsid w:val="004A0D85"/>
    <w:rsid w:val="004A3A22"/>
    <w:rsid w:val="004B48FF"/>
    <w:rsid w:val="004B6934"/>
    <w:rsid w:val="004C34E1"/>
    <w:rsid w:val="004E1E32"/>
    <w:rsid w:val="004F4E7E"/>
    <w:rsid w:val="004F6BD9"/>
    <w:rsid w:val="005000B3"/>
    <w:rsid w:val="00500466"/>
    <w:rsid w:val="005138FE"/>
    <w:rsid w:val="00513D3D"/>
    <w:rsid w:val="00516C62"/>
    <w:rsid w:val="00517563"/>
    <w:rsid w:val="00521EEC"/>
    <w:rsid w:val="00537744"/>
    <w:rsid w:val="00546486"/>
    <w:rsid w:val="00547841"/>
    <w:rsid w:val="00582392"/>
    <w:rsid w:val="00587645"/>
    <w:rsid w:val="00594B43"/>
    <w:rsid w:val="005A280E"/>
    <w:rsid w:val="005A6D08"/>
    <w:rsid w:val="005A761D"/>
    <w:rsid w:val="005B3AF2"/>
    <w:rsid w:val="005B4A4B"/>
    <w:rsid w:val="005B6D33"/>
    <w:rsid w:val="005B7B3B"/>
    <w:rsid w:val="005C334A"/>
    <w:rsid w:val="005D02AD"/>
    <w:rsid w:val="005D421C"/>
    <w:rsid w:val="005F3B4E"/>
    <w:rsid w:val="005F701B"/>
    <w:rsid w:val="006010B1"/>
    <w:rsid w:val="00602322"/>
    <w:rsid w:val="0060381F"/>
    <w:rsid w:val="00607C3C"/>
    <w:rsid w:val="0061154E"/>
    <w:rsid w:val="00615C72"/>
    <w:rsid w:val="006165D4"/>
    <w:rsid w:val="0062372B"/>
    <w:rsid w:val="00643092"/>
    <w:rsid w:val="00653B27"/>
    <w:rsid w:val="006622AF"/>
    <w:rsid w:val="00667771"/>
    <w:rsid w:val="006836A0"/>
    <w:rsid w:val="00684C65"/>
    <w:rsid w:val="006A722D"/>
    <w:rsid w:val="006B206E"/>
    <w:rsid w:val="006B4350"/>
    <w:rsid w:val="006B52B4"/>
    <w:rsid w:val="006B52E1"/>
    <w:rsid w:val="006E16F9"/>
    <w:rsid w:val="006F5A15"/>
    <w:rsid w:val="007141C3"/>
    <w:rsid w:val="00717998"/>
    <w:rsid w:val="007340C5"/>
    <w:rsid w:val="007501CE"/>
    <w:rsid w:val="007506D5"/>
    <w:rsid w:val="00751E01"/>
    <w:rsid w:val="00765979"/>
    <w:rsid w:val="00765C7A"/>
    <w:rsid w:val="007917CD"/>
    <w:rsid w:val="007A0968"/>
    <w:rsid w:val="007D75A7"/>
    <w:rsid w:val="007F252D"/>
    <w:rsid w:val="007F5682"/>
    <w:rsid w:val="008047ED"/>
    <w:rsid w:val="0081210E"/>
    <w:rsid w:val="00822DFB"/>
    <w:rsid w:val="00827734"/>
    <w:rsid w:val="008279CF"/>
    <w:rsid w:val="00836BFB"/>
    <w:rsid w:val="00837A42"/>
    <w:rsid w:val="008647AB"/>
    <w:rsid w:val="00871BBB"/>
    <w:rsid w:val="008722A6"/>
    <w:rsid w:val="008845EE"/>
    <w:rsid w:val="00884F4F"/>
    <w:rsid w:val="008944D8"/>
    <w:rsid w:val="00895779"/>
    <w:rsid w:val="00895DE8"/>
    <w:rsid w:val="008B2A93"/>
    <w:rsid w:val="008B2C19"/>
    <w:rsid w:val="008C44B2"/>
    <w:rsid w:val="008C55E8"/>
    <w:rsid w:val="008D5695"/>
    <w:rsid w:val="008E1C27"/>
    <w:rsid w:val="00901083"/>
    <w:rsid w:val="009010A2"/>
    <w:rsid w:val="00907A73"/>
    <w:rsid w:val="00910A82"/>
    <w:rsid w:val="009120F7"/>
    <w:rsid w:val="00922EDF"/>
    <w:rsid w:val="00927036"/>
    <w:rsid w:val="009477B0"/>
    <w:rsid w:val="00956B85"/>
    <w:rsid w:val="00957629"/>
    <w:rsid w:val="00985505"/>
    <w:rsid w:val="009A3446"/>
    <w:rsid w:val="009C0CEA"/>
    <w:rsid w:val="009C6132"/>
    <w:rsid w:val="009C63DE"/>
    <w:rsid w:val="009C69D9"/>
    <w:rsid w:val="009D7F66"/>
    <w:rsid w:val="009E1C33"/>
    <w:rsid w:val="009E5FFB"/>
    <w:rsid w:val="00A00069"/>
    <w:rsid w:val="00A034B3"/>
    <w:rsid w:val="00A34CE4"/>
    <w:rsid w:val="00A3626C"/>
    <w:rsid w:val="00A479DF"/>
    <w:rsid w:val="00A52370"/>
    <w:rsid w:val="00A56AC1"/>
    <w:rsid w:val="00A62351"/>
    <w:rsid w:val="00A80361"/>
    <w:rsid w:val="00AA3A0E"/>
    <w:rsid w:val="00AC4207"/>
    <w:rsid w:val="00AE1A7C"/>
    <w:rsid w:val="00AE4B51"/>
    <w:rsid w:val="00AF21B7"/>
    <w:rsid w:val="00B20FAE"/>
    <w:rsid w:val="00B265AD"/>
    <w:rsid w:val="00B3258D"/>
    <w:rsid w:val="00B36402"/>
    <w:rsid w:val="00B42050"/>
    <w:rsid w:val="00B430DD"/>
    <w:rsid w:val="00B52D39"/>
    <w:rsid w:val="00B612FD"/>
    <w:rsid w:val="00B62400"/>
    <w:rsid w:val="00B71EFB"/>
    <w:rsid w:val="00B91092"/>
    <w:rsid w:val="00BA5F53"/>
    <w:rsid w:val="00BA6E77"/>
    <w:rsid w:val="00BB17A8"/>
    <w:rsid w:val="00BB76AF"/>
    <w:rsid w:val="00BB795C"/>
    <w:rsid w:val="00BE229E"/>
    <w:rsid w:val="00BE7A41"/>
    <w:rsid w:val="00BF3946"/>
    <w:rsid w:val="00C00E9D"/>
    <w:rsid w:val="00C11717"/>
    <w:rsid w:val="00C20B86"/>
    <w:rsid w:val="00C24727"/>
    <w:rsid w:val="00C537B3"/>
    <w:rsid w:val="00C705F6"/>
    <w:rsid w:val="00C8162B"/>
    <w:rsid w:val="00C95FC7"/>
    <w:rsid w:val="00CA3EAD"/>
    <w:rsid w:val="00CA7325"/>
    <w:rsid w:val="00CE156B"/>
    <w:rsid w:val="00CE30C9"/>
    <w:rsid w:val="00CE4A0D"/>
    <w:rsid w:val="00D04107"/>
    <w:rsid w:val="00D06DDA"/>
    <w:rsid w:val="00D16185"/>
    <w:rsid w:val="00D17DC9"/>
    <w:rsid w:val="00D25A5C"/>
    <w:rsid w:val="00D31C2E"/>
    <w:rsid w:val="00D3294D"/>
    <w:rsid w:val="00D35CC9"/>
    <w:rsid w:val="00D40992"/>
    <w:rsid w:val="00D77731"/>
    <w:rsid w:val="00D91FD7"/>
    <w:rsid w:val="00D93A70"/>
    <w:rsid w:val="00DA1711"/>
    <w:rsid w:val="00DB0538"/>
    <w:rsid w:val="00DB7443"/>
    <w:rsid w:val="00DC0921"/>
    <w:rsid w:val="00DC263F"/>
    <w:rsid w:val="00DE7937"/>
    <w:rsid w:val="00DF0347"/>
    <w:rsid w:val="00E03A9C"/>
    <w:rsid w:val="00E33490"/>
    <w:rsid w:val="00E60574"/>
    <w:rsid w:val="00E7038C"/>
    <w:rsid w:val="00E75147"/>
    <w:rsid w:val="00E753EC"/>
    <w:rsid w:val="00E80592"/>
    <w:rsid w:val="00E82415"/>
    <w:rsid w:val="00EB5F23"/>
    <w:rsid w:val="00ED0CD2"/>
    <w:rsid w:val="00ED349B"/>
    <w:rsid w:val="00ED72DD"/>
    <w:rsid w:val="00ED7A79"/>
    <w:rsid w:val="00F15E1C"/>
    <w:rsid w:val="00F22E0F"/>
    <w:rsid w:val="00F307B9"/>
    <w:rsid w:val="00F41044"/>
    <w:rsid w:val="00F4227D"/>
    <w:rsid w:val="00F45E61"/>
    <w:rsid w:val="00F4671B"/>
    <w:rsid w:val="00F537C5"/>
    <w:rsid w:val="00F70E5C"/>
    <w:rsid w:val="00F85E46"/>
    <w:rsid w:val="00FA69CB"/>
    <w:rsid w:val="00FC3284"/>
    <w:rsid w:val="00FE7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1CFB8"/>
  <w15:chartTrackingRefBased/>
  <w15:docId w15:val="{845EF1A4-A8B9-45F8-9F16-FCD964C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A41"/>
    <w:pPr>
      <w:keepNext/>
      <w:keepLines/>
      <w:spacing w:after="240" w:line="240" w:lineRule="auto"/>
      <w:outlineLvl w:val="0"/>
    </w:pPr>
    <w:rPr>
      <w:rFonts w:ascii="Arial" w:eastAsiaTheme="majorEastAsia" w:hAnsi="Arial" w:cs="Arial"/>
      <w:b/>
      <w:sz w:val="28"/>
      <w:szCs w:val="24"/>
    </w:rPr>
  </w:style>
  <w:style w:type="paragraph" w:styleId="Heading2">
    <w:name w:val="heading 2"/>
    <w:basedOn w:val="Heading1"/>
    <w:next w:val="Normal"/>
    <w:link w:val="Heading2Char"/>
    <w:uiPriority w:val="9"/>
    <w:unhideWhenUsed/>
    <w:qFormat/>
    <w:rsid w:val="00BE7A41"/>
    <w:pPr>
      <w:outlineLvl w:val="1"/>
    </w:pPr>
    <w:rPr>
      <w:sz w:val="24"/>
    </w:rPr>
  </w:style>
  <w:style w:type="paragraph" w:styleId="Heading3">
    <w:name w:val="heading 3"/>
    <w:basedOn w:val="Normal"/>
    <w:next w:val="Normal"/>
    <w:link w:val="Heading3Char"/>
    <w:uiPriority w:val="9"/>
    <w:semiHidden/>
    <w:unhideWhenUsed/>
    <w:qFormat/>
    <w:rsid w:val="00BE7A41"/>
    <w:pPr>
      <w:keepNext/>
      <w:keepLines/>
      <w:spacing w:before="40" w:after="0"/>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5138FE"/>
    <w:pPr>
      <w:numPr>
        <w:numId w:val="7"/>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uiPriority w:val="99"/>
    <w:unhideWhenUsed/>
    <w:rsid w:val="004B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34"/>
  </w:style>
  <w:style w:type="character" w:styleId="Hyperlink">
    <w:name w:val="Hyperlink"/>
    <w:basedOn w:val="DefaultParagraphFont"/>
    <w:uiPriority w:val="99"/>
    <w:unhideWhenUsed/>
    <w:rsid w:val="004B6934"/>
    <w:rPr>
      <w:color w:val="0563C1" w:themeColor="hyperlink"/>
      <w:u w:val="single"/>
    </w:rPr>
  </w:style>
  <w:style w:type="character" w:customStyle="1" w:styleId="Heading1Char">
    <w:name w:val="Heading 1 Char"/>
    <w:basedOn w:val="DefaultParagraphFont"/>
    <w:link w:val="Heading1"/>
    <w:uiPriority w:val="9"/>
    <w:rsid w:val="00BE7A41"/>
    <w:rPr>
      <w:rFonts w:ascii="Arial" w:eastAsiaTheme="majorEastAsia" w:hAnsi="Arial" w:cs="Arial"/>
      <w:b/>
      <w:sz w:val="28"/>
      <w:szCs w:val="24"/>
    </w:rPr>
  </w:style>
  <w:style w:type="paragraph" w:styleId="ListParagraph">
    <w:name w:val="List Paragraph"/>
    <w:basedOn w:val="Normal"/>
    <w:uiPriority w:val="34"/>
    <w:qFormat/>
    <w:rsid w:val="00DF0347"/>
    <w:pPr>
      <w:ind w:left="720"/>
      <w:contextualSpacing/>
    </w:pPr>
  </w:style>
  <w:style w:type="character" w:styleId="CommentReference">
    <w:name w:val="annotation reference"/>
    <w:basedOn w:val="DefaultParagraphFont"/>
    <w:uiPriority w:val="99"/>
    <w:semiHidden/>
    <w:unhideWhenUsed/>
    <w:rsid w:val="00DF0347"/>
    <w:rPr>
      <w:sz w:val="16"/>
      <w:szCs w:val="16"/>
    </w:rPr>
  </w:style>
  <w:style w:type="paragraph" w:styleId="CommentText">
    <w:name w:val="annotation text"/>
    <w:basedOn w:val="Normal"/>
    <w:link w:val="CommentTextChar"/>
    <w:uiPriority w:val="99"/>
    <w:semiHidden/>
    <w:unhideWhenUsed/>
    <w:rsid w:val="00DF0347"/>
    <w:pPr>
      <w:spacing w:line="240" w:lineRule="auto"/>
    </w:pPr>
    <w:rPr>
      <w:sz w:val="20"/>
      <w:szCs w:val="20"/>
    </w:rPr>
  </w:style>
  <w:style w:type="character" w:customStyle="1" w:styleId="CommentTextChar">
    <w:name w:val="Comment Text Char"/>
    <w:basedOn w:val="DefaultParagraphFont"/>
    <w:link w:val="CommentText"/>
    <w:uiPriority w:val="99"/>
    <w:semiHidden/>
    <w:rsid w:val="00DF0347"/>
    <w:rPr>
      <w:sz w:val="20"/>
      <w:szCs w:val="20"/>
    </w:rPr>
  </w:style>
  <w:style w:type="paragraph" w:styleId="CommentSubject">
    <w:name w:val="annotation subject"/>
    <w:basedOn w:val="CommentText"/>
    <w:next w:val="CommentText"/>
    <w:link w:val="CommentSubjectChar"/>
    <w:uiPriority w:val="99"/>
    <w:semiHidden/>
    <w:unhideWhenUsed/>
    <w:rsid w:val="00DF0347"/>
    <w:rPr>
      <w:b/>
      <w:bCs/>
    </w:rPr>
  </w:style>
  <w:style w:type="character" w:customStyle="1" w:styleId="CommentSubjectChar">
    <w:name w:val="Comment Subject Char"/>
    <w:basedOn w:val="CommentTextChar"/>
    <w:link w:val="CommentSubject"/>
    <w:uiPriority w:val="99"/>
    <w:semiHidden/>
    <w:rsid w:val="00DF0347"/>
    <w:rPr>
      <w:b/>
      <w:bCs/>
      <w:sz w:val="20"/>
      <w:szCs w:val="20"/>
    </w:rPr>
  </w:style>
  <w:style w:type="paragraph" w:styleId="BalloonText">
    <w:name w:val="Balloon Text"/>
    <w:basedOn w:val="Normal"/>
    <w:link w:val="BalloonTextChar"/>
    <w:uiPriority w:val="99"/>
    <w:semiHidden/>
    <w:unhideWhenUsed/>
    <w:rsid w:val="00DF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47"/>
    <w:rPr>
      <w:rFonts w:ascii="Segoe UI" w:hAnsi="Segoe UI" w:cs="Segoe UI"/>
      <w:sz w:val="18"/>
      <w:szCs w:val="18"/>
    </w:rPr>
  </w:style>
  <w:style w:type="character" w:customStyle="1" w:styleId="Heading2Char">
    <w:name w:val="Heading 2 Char"/>
    <w:basedOn w:val="DefaultParagraphFont"/>
    <w:link w:val="Heading2"/>
    <w:uiPriority w:val="9"/>
    <w:rsid w:val="00BE7A41"/>
    <w:rPr>
      <w:rFonts w:ascii="Arial" w:eastAsiaTheme="majorEastAsia" w:hAnsi="Arial" w:cs="Arial"/>
      <w:b/>
      <w:sz w:val="24"/>
      <w:szCs w:val="24"/>
    </w:rPr>
  </w:style>
  <w:style w:type="character" w:customStyle="1" w:styleId="Heading3Char">
    <w:name w:val="Heading 3 Char"/>
    <w:basedOn w:val="DefaultParagraphFont"/>
    <w:link w:val="Heading3"/>
    <w:uiPriority w:val="9"/>
    <w:semiHidden/>
    <w:rsid w:val="00BE7A41"/>
    <w:rPr>
      <w:rFonts w:ascii="Arial" w:eastAsiaTheme="majorEastAsia" w:hAnsi="Arial" w:cstheme="majorBidi"/>
      <w:b/>
      <w:sz w:val="20"/>
      <w:szCs w:val="24"/>
    </w:rPr>
  </w:style>
  <w:style w:type="character" w:styleId="FollowedHyperlink">
    <w:name w:val="FollowedHyperlink"/>
    <w:basedOn w:val="DefaultParagraphFont"/>
    <w:uiPriority w:val="99"/>
    <w:semiHidden/>
    <w:unhideWhenUsed/>
    <w:rsid w:val="00FE7339"/>
    <w:rPr>
      <w:color w:val="954F72" w:themeColor="followedHyperlink"/>
      <w:u w:val="single"/>
    </w:rPr>
  </w:style>
  <w:style w:type="paragraph" w:styleId="Header">
    <w:name w:val="header"/>
    <w:basedOn w:val="Normal"/>
    <w:link w:val="HeaderChar"/>
    <w:uiPriority w:val="99"/>
    <w:unhideWhenUsed/>
    <w:rsid w:val="0060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22"/>
  </w:style>
  <w:style w:type="character" w:customStyle="1" w:styleId="TRBodyTextCharChar">
    <w:name w:val="_TRBody Text Char Char"/>
    <w:basedOn w:val="DefaultParagraphFont"/>
    <w:link w:val="TRBodyTextChar"/>
    <w:locked/>
    <w:rsid w:val="00836BFB"/>
    <w:rPr>
      <w:rFonts w:ascii="Times New Roman" w:eastAsia="Times New Roman" w:hAnsi="Times New Roman" w:cs="Times New Roman"/>
      <w:sz w:val="24"/>
      <w:lang w:eastAsia="en-AU"/>
    </w:rPr>
  </w:style>
  <w:style w:type="paragraph" w:customStyle="1" w:styleId="TRBodyTextChar">
    <w:name w:val="_TRBody Text Char"/>
    <w:link w:val="TRBodyTextCharChar"/>
    <w:rsid w:val="00836BFB"/>
    <w:pPr>
      <w:spacing w:after="0" w:line="300" w:lineRule="atLeast"/>
      <w:jc w:val="both"/>
    </w:pPr>
    <w:rPr>
      <w:rFonts w:ascii="Times New Roman" w:eastAsia="Times New Roman" w:hAnsi="Times New Roman" w:cs="Times New Roman"/>
      <w:sz w:val="24"/>
      <w:lang w:eastAsia="en-AU"/>
    </w:rPr>
  </w:style>
  <w:style w:type="table" w:styleId="TableGrid">
    <w:name w:val="Table Grid"/>
    <w:basedOn w:val="TableNormal"/>
    <w:rsid w:val="00836BFB"/>
    <w:pPr>
      <w:spacing w:before="60" w:after="60" w:line="240" w:lineRule="auto"/>
    </w:pPr>
    <w:rPr>
      <w:rFonts w:ascii="Verdana" w:eastAsia="Times New Roman" w:hAnsi="Verdana" w:cs="Times New Roman"/>
      <w:sz w:val="1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0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6D5"/>
    <w:rPr>
      <w:sz w:val="20"/>
      <w:szCs w:val="20"/>
    </w:rPr>
  </w:style>
  <w:style w:type="character" w:styleId="FootnoteReference">
    <w:name w:val="footnote reference"/>
    <w:basedOn w:val="DefaultParagraphFont"/>
    <w:uiPriority w:val="99"/>
    <w:semiHidden/>
    <w:unhideWhenUsed/>
    <w:rsid w:val="007506D5"/>
    <w:rPr>
      <w:vertAlign w:val="superscript"/>
    </w:rPr>
  </w:style>
  <w:style w:type="paragraph" w:customStyle="1" w:styleId="NumberedParagraphCabStandard">
    <w:name w:val="Numbered Paragraph (CabStandard)"/>
    <w:basedOn w:val="Normal"/>
    <w:qFormat/>
    <w:rsid w:val="00D31C2E"/>
    <w:pPr>
      <w:tabs>
        <w:tab w:val="num" w:pos="709"/>
      </w:tabs>
      <w:spacing w:after="240" w:line="240" w:lineRule="auto"/>
      <w:ind w:left="709" w:hanging="709"/>
      <w:jc w:val="both"/>
    </w:pPr>
    <w:rPr>
      <w:rFonts w:ascii="Arial" w:hAnsi="Arial"/>
      <w:sz w:val="24"/>
      <w:szCs w:val="23"/>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1825">
      <w:bodyDiv w:val="1"/>
      <w:marLeft w:val="0"/>
      <w:marRight w:val="0"/>
      <w:marTop w:val="0"/>
      <w:marBottom w:val="0"/>
      <w:divBdr>
        <w:top w:val="none" w:sz="0" w:space="0" w:color="auto"/>
        <w:left w:val="none" w:sz="0" w:space="0" w:color="auto"/>
        <w:bottom w:val="none" w:sz="0" w:space="0" w:color="auto"/>
        <w:right w:val="none" w:sz="0" w:space="0" w:color="auto"/>
      </w:divBdr>
    </w:div>
    <w:div w:id="875627898">
      <w:bodyDiv w:val="1"/>
      <w:marLeft w:val="0"/>
      <w:marRight w:val="0"/>
      <w:marTop w:val="0"/>
      <w:marBottom w:val="0"/>
      <w:divBdr>
        <w:top w:val="none" w:sz="0" w:space="0" w:color="auto"/>
        <w:left w:val="none" w:sz="0" w:space="0" w:color="auto"/>
        <w:bottom w:val="none" w:sz="0" w:space="0" w:color="auto"/>
        <w:right w:val="none" w:sz="0" w:space="0" w:color="auto"/>
      </w:divBdr>
    </w:div>
    <w:div w:id="11799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DEV-19-SUB-0299 - Cabinet paper: Income tax treatment of leases subject to NZ IFRS 16 (13 November 2019)</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DEV-19-SUB-0299 - Cabinet paper: Income tax treatment of leases subject to NZ IFRS 16 (13 November 2019)</dc:title>
  <dc:subject/>
  <dc:creator/>
  <cp:keywords/>
  <dc:description/>
  <dcterms:created xsi:type="dcterms:W3CDTF">2020-09-08T23:02:00Z</dcterms:created>
  <dcterms:modified xsi:type="dcterms:W3CDTF">2020-09-08T23:03:00Z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