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1C15D" w14:textId="77777777" w:rsidR="00AD2D63" w:rsidRDefault="00BD259A">
      <w:pPr>
        <w:spacing w:before="51"/>
        <w:ind w:left="2022" w:right="1256"/>
        <w:rPr>
          <w:rFonts w:ascii="Arial"/>
          <w:b/>
          <w:sz w:val="44"/>
        </w:rPr>
      </w:pPr>
      <w:r>
        <w:rPr>
          <w:noProof/>
        </w:rPr>
        <w:drawing>
          <wp:anchor distT="0" distB="0" distL="0" distR="0" simplePos="0" relativeHeight="251661312" behindDoc="0" locked="0" layoutInCell="1" allowOverlap="1" wp14:anchorId="5F91C1A4" wp14:editId="5F91C1A5">
            <wp:simplePos x="0" y="0"/>
            <wp:positionH relativeFrom="page">
              <wp:posOffset>750569</wp:posOffset>
            </wp:positionH>
            <wp:positionV relativeFrom="paragraph">
              <wp:posOffset>32839</wp:posOffset>
            </wp:positionV>
            <wp:extent cx="976630" cy="95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Economic Development Committee</w:t>
      </w:r>
    </w:p>
    <w:p w14:paraId="5F91C15E" w14:textId="77777777" w:rsidR="00AD2D63" w:rsidRDefault="004D40CF">
      <w:pPr>
        <w:spacing w:before="322"/>
        <w:ind w:left="2022"/>
        <w:rPr>
          <w:rFonts w:ascii="Arial"/>
          <w:b/>
          <w:sz w:val="32"/>
        </w:rPr>
      </w:pPr>
      <w:r>
        <w:pict w14:anchorId="5F91C1A6">
          <v:line id="_x0000_s1029" style="position:absolute;left:0;text-align:left;z-index:251659264;mso-position-horizontal-relative:page" from="51.3pt,42.8pt" to="544.1pt,42.8pt" strokeweight=".6pt">
            <w10:wrap anchorx="page"/>
          </v:line>
        </w:pict>
      </w:r>
      <w:r w:rsidR="00BD259A">
        <w:rPr>
          <w:rFonts w:ascii="Arial"/>
          <w:b/>
          <w:sz w:val="32"/>
        </w:rPr>
        <w:t>Minute of Decision</w:t>
      </w:r>
    </w:p>
    <w:p w14:paraId="5F91C15F" w14:textId="77777777" w:rsidR="00AD2D63" w:rsidRDefault="00AD2D63">
      <w:pPr>
        <w:pStyle w:val="BodyText"/>
        <w:spacing w:before="11"/>
        <w:rPr>
          <w:rFonts w:ascii="Arial"/>
          <w:b/>
          <w:sz w:val="11"/>
        </w:rPr>
      </w:pPr>
    </w:p>
    <w:p w14:paraId="5F91C160" w14:textId="77777777" w:rsidR="00AD2D63" w:rsidRDefault="004D40CF">
      <w:pPr>
        <w:spacing w:before="93"/>
        <w:ind w:left="115" w:right="3"/>
        <w:rPr>
          <w:rFonts w:ascii="Arial"/>
          <w:i/>
          <w:sz w:val="20"/>
        </w:rPr>
      </w:pPr>
      <w:r>
        <w:pict w14:anchorId="5F91C1A7">
          <v:line id="_x0000_s1028" style="position:absolute;left:0;text-align:left;z-index:251660288;mso-position-horizontal-relative:page" from="51.3pt,42.45pt" to="544.1pt,42.45pt" strokeweight=".6pt">
            <w10:wrap anchorx="page"/>
          </v:line>
        </w:pict>
      </w:r>
      <w:r w:rsidR="00BD259A">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14:paraId="5F91C161" w14:textId="77777777" w:rsidR="00AD2D63" w:rsidRDefault="00AD2D63">
      <w:pPr>
        <w:pStyle w:val="BodyText"/>
        <w:spacing w:before="10"/>
        <w:rPr>
          <w:rFonts w:ascii="Arial"/>
          <w:i/>
          <w:sz w:val="26"/>
        </w:rPr>
      </w:pPr>
    </w:p>
    <w:p w14:paraId="5F91C162" w14:textId="77777777" w:rsidR="00AD2D63" w:rsidRDefault="00BD259A">
      <w:pPr>
        <w:ind w:left="115"/>
        <w:rPr>
          <w:rFonts w:ascii="Arial"/>
          <w:b/>
          <w:sz w:val="28"/>
        </w:rPr>
      </w:pPr>
      <w:r>
        <w:rPr>
          <w:rFonts w:ascii="Arial"/>
          <w:b/>
          <w:sz w:val="28"/>
        </w:rPr>
        <w:t>Income Tax Treatment of Leases Subject to International</w:t>
      </w:r>
      <w:r>
        <w:rPr>
          <w:rFonts w:ascii="Arial"/>
          <w:b/>
          <w:spacing w:val="-44"/>
          <w:sz w:val="28"/>
        </w:rPr>
        <w:t xml:space="preserve"> </w:t>
      </w:r>
      <w:r>
        <w:rPr>
          <w:rFonts w:ascii="Arial"/>
          <w:b/>
          <w:sz w:val="28"/>
        </w:rPr>
        <w:t>Financial Reporting</w:t>
      </w:r>
      <w:r>
        <w:rPr>
          <w:rFonts w:ascii="Arial"/>
          <w:b/>
          <w:spacing w:val="-1"/>
          <w:sz w:val="28"/>
        </w:rPr>
        <w:t xml:space="preserve"> </w:t>
      </w:r>
      <w:r>
        <w:rPr>
          <w:rFonts w:ascii="Arial"/>
          <w:b/>
          <w:sz w:val="28"/>
        </w:rPr>
        <w:t>Standards</w:t>
      </w:r>
    </w:p>
    <w:p w14:paraId="5F91C163" w14:textId="77777777" w:rsidR="00AD2D63" w:rsidRDefault="00AD2D63">
      <w:pPr>
        <w:pStyle w:val="BodyText"/>
        <w:spacing w:before="3"/>
        <w:rPr>
          <w:rFonts w:ascii="Arial"/>
          <w:b/>
          <w:sz w:val="31"/>
        </w:rPr>
      </w:pPr>
    </w:p>
    <w:p w14:paraId="5F91C164" w14:textId="77777777" w:rsidR="00AD2D63" w:rsidRDefault="00BD259A">
      <w:pPr>
        <w:tabs>
          <w:tab w:val="left" w:pos="2023"/>
        </w:tabs>
        <w:ind w:left="115"/>
        <w:rPr>
          <w:rFonts w:ascii="Arial"/>
          <w:b/>
          <w:sz w:val="20"/>
        </w:rPr>
      </w:pPr>
      <w:r>
        <w:rPr>
          <w:rFonts w:ascii="Arial"/>
          <w:b/>
          <w:sz w:val="20"/>
        </w:rPr>
        <w:t>Portfolio</w:t>
      </w:r>
      <w:r>
        <w:rPr>
          <w:rFonts w:ascii="Arial"/>
          <w:b/>
          <w:sz w:val="20"/>
        </w:rPr>
        <w:tab/>
        <w:t>Revenue</w:t>
      </w:r>
    </w:p>
    <w:p w14:paraId="5F91C165" w14:textId="77777777" w:rsidR="00AD2D63" w:rsidRDefault="00AD2D63">
      <w:pPr>
        <w:pStyle w:val="BodyText"/>
        <w:rPr>
          <w:rFonts w:ascii="Arial"/>
          <w:b/>
          <w:sz w:val="22"/>
        </w:rPr>
      </w:pPr>
    </w:p>
    <w:p w14:paraId="5F91C166" w14:textId="77777777" w:rsidR="00AD2D63" w:rsidRDefault="00AD2D63">
      <w:pPr>
        <w:pStyle w:val="BodyText"/>
        <w:spacing w:before="9"/>
        <w:rPr>
          <w:rFonts w:ascii="Arial"/>
          <w:b/>
          <w:sz w:val="22"/>
        </w:rPr>
      </w:pPr>
    </w:p>
    <w:p w14:paraId="5F91C167" w14:textId="77777777" w:rsidR="00AD2D63" w:rsidRDefault="00BD259A">
      <w:pPr>
        <w:pStyle w:val="BodyText"/>
        <w:spacing w:before="1"/>
        <w:ind w:left="115"/>
      </w:pPr>
      <w:r>
        <w:t>On 13 November 2019, the Cabinet Economic Development Committee:</w:t>
      </w:r>
    </w:p>
    <w:p w14:paraId="5F91C168" w14:textId="77777777" w:rsidR="00AD2D63" w:rsidRDefault="00AD2D63">
      <w:pPr>
        <w:pStyle w:val="BodyText"/>
        <w:spacing w:before="11"/>
        <w:rPr>
          <w:sz w:val="23"/>
        </w:rPr>
      </w:pPr>
    </w:p>
    <w:p w14:paraId="5F91C169" w14:textId="77777777" w:rsidR="00AD2D63" w:rsidRDefault="00BD259A">
      <w:pPr>
        <w:pStyle w:val="ListParagraph"/>
        <w:numPr>
          <w:ilvl w:val="0"/>
          <w:numId w:val="1"/>
        </w:numPr>
        <w:tabs>
          <w:tab w:val="left" w:pos="835"/>
          <w:tab w:val="left" w:pos="836"/>
        </w:tabs>
        <w:ind w:right="160"/>
        <w:rPr>
          <w:sz w:val="24"/>
        </w:rPr>
      </w:pPr>
      <w:r>
        <w:rPr>
          <w:b/>
          <w:sz w:val="24"/>
        </w:rPr>
        <w:t xml:space="preserve">agreed </w:t>
      </w:r>
      <w:r>
        <w:rPr>
          <w:sz w:val="24"/>
        </w:rPr>
        <w:t>that the tax treatment for lessees of operating leases that are not real property,</w:t>
      </w:r>
      <w:r>
        <w:rPr>
          <w:spacing w:val="-26"/>
          <w:sz w:val="24"/>
        </w:rPr>
        <w:t xml:space="preserve"> </w:t>
      </w:r>
      <w:r>
        <w:rPr>
          <w:sz w:val="24"/>
        </w:rPr>
        <w:t>leased from an associated party or sub-leased, be amended to follow International Financial Reporting Standards (IFRS 16) for taxpayers who choose to do</w:t>
      </w:r>
      <w:r>
        <w:rPr>
          <w:spacing w:val="-2"/>
          <w:sz w:val="24"/>
        </w:rPr>
        <w:t xml:space="preserve"> </w:t>
      </w:r>
      <w:r>
        <w:rPr>
          <w:sz w:val="24"/>
        </w:rPr>
        <w:t>so;</w:t>
      </w:r>
    </w:p>
    <w:p w14:paraId="5F91C16A" w14:textId="77777777" w:rsidR="00AD2D63" w:rsidRDefault="00AD2D63">
      <w:pPr>
        <w:pStyle w:val="BodyText"/>
        <w:spacing w:before="10"/>
        <w:rPr>
          <w:sz w:val="20"/>
        </w:rPr>
      </w:pPr>
    </w:p>
    <w:p w14:paraId="5F91C16B" w14:textId="77777777" w:rsidR="00AD2D63" w:rsidRDefault="00BD259A">
      <w:pPr>
        <w:pStyle w:val="ListParagraph"/>
        <w:numPr>
          <w:ilvl w:val="0"/>
          <w:numId w:val="1"/>
        </w:numPr>
        <w:tabs>
          <w:tab w:val="left" w:pos="835"/>
          <w:tab w:val="left" w:pos="836"/>
        </w:tabs>
        <w:ind w:right="266"/>
        <w:rPr>
          <w:sz w:val="24"/>
        </w:rPr>
      </w:pPr>
      <w:r>
        <w:rPr>
          <w:b/>
          <w:sz w:val="24"/>
        </w:rPr>
        <w:t xml:space="preserve">agreed </w:t>
      </w:r>
      <w:r>
        <w:rPr>
          <w:sz w:val="24"/>
        </w:rPr>
        <w:t>that taxpayers who elect to follow IFRS 16 be required to make adjustments to ensure certain operating lease expenditure continues to be tax deductible close to when it</w:t>
      </w:r>
      <w:r>
        <w:rPr>
          <w:spacing w:val="-27"/>
          <w:sz w:val="24"/>
        </w:rPr>
        <w:t xml:space="preserve"> </w:t>
      </w:r>
      <w:r>
        <w:rPr>
          <w:sz w:val="24"/>
        </w:rPr>
        <w:t xml:space="preserve">is </w:t>
      </w:r>
      <w:proofErr w:type="gramStart"/>
      <w:r>
        <w:rPr>
          <w:sz w:val="24"/>
        </w:rPr>
        <w:t>incurred;</w:t>
      </w:r>
      <w:proofErr w:type="gramEnd"/>
    </w:p>
    <w:p w14:paraId="5F91C16C" w14:textId="77777777" w:rsidR="00AD2D63" w:rsidRDefault="00AD2D63">
      <w:pPr>
        <w:pStyle w:val="BodyText"/>
        <w:spacing w:before="10"/>
        <w:rPr>
          <w:sz w:val="20"/>
        </w:rPr>
      </w:pPr>
    </w:p>
    <w:p w14:paraId="5F91C16D" w14:textId="77777777" w:rsidR="00AD2D63" w:rsidRDefault="00BD259A">
      <w:pPr>
        <w:pStyle w:val="ListParagraph"/>
        <w:numPr>
          <w:ilvl w:val="0"/>
          <w:numId w:val="1"/>
        </w:numPr>
        <w:tabs>
          <w:tab w:val="left" w:pos="835"/>
          <w:tab w:val="left" w:pos="836"/>
        </w:tabs>
        <w:ind w:right="245"/>
        <w:rPr>
          <w:sz w:val="24"/>
        </w:rPr>
      </w:pPr>
      <w:r>
        <w:rPr>
          <w:b/>
          <w:sz w:val="24"/>
        </w:rPr>
        <w:t xml:space="preserve">agreed </w:t>
      </w:r>
      <w:r>
        <w:rPr>
          <w:sz w:val="24"/>
        </w:rPr>
        <w:t>that expenditure arising from the transition to the IFRS 16 method for tax be</w:t>
      </w:r>
      <w:r>
        <w:rPr>
          <w:spacing w:val="-22"/>
          <w:sz w:val="24"/>
        </w:rPr>
        <w:t xml:space="preserve"> </w:t>
      </w:r>
      <w:r>
        <w:rPr>
          <w:sz w:val="24"/>
        </w:rPr>
        <w:t>spread over five</w:t>
      </w:r>
      <w:r>
        <w:rPr>
          <w:spacing w:val="-1"/>
          <w:sz w:val="24"/>
        </w:rPr>
        <w:t xml:space="preserve"> </w:t>
      </w:r>
      <w:r>
        <w:rPr>
          <w:sz w:val="24"/>
        </w:rPr>
        <w:t>years;</w:t>
      </w:r>
    </w:p>
    <w:p w14:paraId="5F91C16E" w14:textId="77777777" w:rsidR="00AD2D63" w:rsidRDefault="00AD2D63">
      <w:pPr>
        <w:pStyle w:val="BodyText"/>
        <w:spacing w:before="10"/>
        <w:rPr>
          <w:sz w:val="20"/>
        </w:rPr>
      </w:pPr>
    </w:p>
    <w:p w14:paraId="5F91C16F" w14:textId="77777777" w:rsidR="00AD2D63" w:rsidRDefault="00BD259A">
      <w:pPr>
        <w:pStyle w:val="ListParagraph"/>
        <w:numPr>
          <w:ilvl w:val="0"/>
          <w:numId w:val="1"/>
        </w:numPr>
        <w:tabs>
          <w:tab w:val="left" w:pos="835"/>
          <w:tab w:val="left" w:pos="836"/>
        </w:tabs>
        <w:ind w:right="411"/>
        <w:rPr>
          <w:sz w:val="24"/>
        </w:rPr>
      </w:pPr>
      <w:r>
        <w:rPr>
          <w:b/>
          <w:sz w:val="24"/>
        </w:rPr>
        <w:t xml:space="preserve">agreed </w:t>
      </w:r>
      <w:r>
        <w:rPr>
          <w:sz w:val="24"/>
        </w:rPr>
        <w:t>that the proposals in paragraphs 1-3 above apply for the 2019/20 and later income years;</w:t>
      </w:r>
    </w:p>
    <w:p w14:paraId="5F91C170" w14:textId="77777777" w:rsidR="00AD2D63" w:rsidRDefault="00AD2D63">
      <w:pPr>
        <w:pStyle w:val="BodyText"/>
        <w:spacing w:before="10"/>
        <w:rPr>
          <w:sz w:val="20"/>
        </w:rPr>
      </w:pPr>
    </w:p>
    <w:p w14:paraId="5F91C171" w14:textId="77777777" w:rsidR="00AD2D63" w:rsidRDefault="00BD259A">
      <w:pPr>
        <w:pStyle w:val="ListParagraph"/>
        <w:numPr>
          <w:ilvl w:val="0"/>
          <w:numId w:val="1"/>
        </w:numPr>
        <w:tabs>
          <w:tab w:val="left" w:pos="835"/>
          <w:tab w:val="left" w:pos="836"/>
        </w:tabs>
        <w:ind w:right="364"/>
        <w:rPr>
          <w:sz w:val="24"/>
        </w:rPr>
      </w:pPr>
      <w:r>
        <w:rPr>
          <w:b/>
          <w:sz w:val="24"/>
        </w:rPr>
        <w:t xml:space="preserve">noted </w:t>
      </w:r>
      <w:r>
        <w:rPr>
          <w:sz w:val="24"/>
        </w:rPr>
        <w:t>that the above proposals will have an estimated revenue cost of $7.200 million over the forecast period, as</w:t>
      </w:r>
      <w:r>
        <w:rPr>
          <w:spacing w:val="1"/>
          <w:sz w:val="24"/>
        </w:rPr>
        <w:t xml:space="preserve"> </w:t>
      </w:r>
      <w:r>
        <w:rPr>
          <w:sz w:val="24"/>
        </w:rPr>
        <w:t>follows:</w:t>
      </w:r>
    </w:p>
    <w:p w14:paraId="5F91C172" w14:textId="77777777" w:rsidR="00AD2D63" w:rsidRDefault="00AD2D63">
      <w:pPr>
        <w:pStyle w:val="BodyText"/>
        <w:rPr>
          <w:sz w:val="20"/>
        </w:rPr>
      </w:pPr>
    </w:p>
    <w:p w14:paraId="5F91C173" w14:textId="77777777" w:rsidR="00AD2D63" w:rsidRDefault="00AD2D63">
      <w:pPr>
        <w:pStyle w:val="BodyText"/>
        <w:spacing w:before="10" w:after="1"/>
      </w:pPr>
    </w:p>
    <w:tbl>
      <w:tblPr>
        <w:tblW w:w="0" w:type="auto"/>
        <w:tblInd w:w="9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2"/>
        <w:gridCol w:w="1318"/>
        <w:gridCol w:w="1266"/>
        <w:gridCol w:w="1266"/>
        <w:gridCol w:w="1546"/>
      </w:tblGrid>
      <w:tr w:rsidR="00AD2D63" w14:paraId="5F91C176" w14:textId="77777777">
        <w:trPr>
          <w:trHeight w:val="342"/>
        </w:trPr>
        <w:tc>
          <w:tcPr>
            <w:tcW w:w="2552" w:type="dxa"/>
            <w:tcBorders>
              <w:top w:val="nil"/>
              <w:left w:val="nil"/>
              <w:right w:val="single" w:sz="4" w:space="0" w:color="000000"/>
            </w:tcBorders>
          </w:tcPr>
          <w:p w14:paraId="5F91C174" w14:textId="77777777" w:rsidR="00AD2D63" w:rsidRDefault="00AD2D63">
            <w:pPr>
              <w:pStyle w:val="TableParagraph"/>
              <w:spacing w:before="0"/>
              <w:ind w:left="0"/>
              <w:jc w:val="left"/>
            </w:pPr>
          </w:p>
        </w:tc>
        <w:tc>
          <w:tcPr>
            <w:tcW w:w="5396" w:type="dxa"/>
            <w:gridSpan w:val="4"/>
            <w:tcBorders>
              <w:left w:val="single" w:sz="4" w:space="0" w:color="000000"/>
              <w:right w:val="single" w:sz="4" w:space="0" w:color="000000"/>
            </w:tcBorders>
          </w:tcPr>
          <w:p w14:paraId="5F91C175" w14:textId="77777777" w:rsidR="00AD2D63" w:rsidRDefault="00BD259A">
            <w:pPr>
              <w:pStyle w:val="TableParagraph"/>
              <w:spacing w:before="55"/>
              <w:ind w:left="1705"/>
              <w:jc w:val="left"/>
              <w:rPr>
                <w:sz w:val="20"/>
              </w:rPr>
            </w:pPr>
            <w:r>
              <w:rPr>
                <w:sz w:val="20"/>
              </w:rPr>
              <w:t>$m – increase/(decrease)</w:t>
            </w:r>
          </w:p>
        </w:tc>
      </w:tr>
      <w:tr w:rsidR="00AD2D63" w14:paraId="5F91C17D" w14:textId="77777777">
        <w:trPr>
          <w:trHeight w:val="576"/>
        </w:trPr>
        <w:tc>
          <w:tcPr>
            <w:tcW w:w="2552" w:type="dxa"/>
            <w:tcBorders>
              <w:left w:val="single" w:sz="4" w:space="0" w:color="000000"/>
              <w:right w:val="single" w:sz="4" w:space="0" w:color="000000"/>
            </w:tcBorders>
          </w:tcPr>
          <w:p w14:paraId="5F91C177" w14:textId="77777777" w:rsidR="00AD2D63" w:rsidRDefault="00BD259A">
            <w:pPr>
              <w:pStyle w:val="TableParagraph"/>
              <w:spacing w:before="55"/>
              <w:ind w:left="109" w:right="680"/>
              <w:jc w:val="left"/>
              <w:rPr>
                <w:b/>
                <w:sz w:val="20"/>
              </w:rPr>
            </w:pPr>
            <w:r>
              <w:rPr>
                <w:b/>
                <w:sz w:val="20"/>
              </w:rPr>
              <w:t>Vote Revenue Minister of Revenue</w:t>
            </w:r>
          </w:p>
        </w:tc>
        <w:tc>
          <w:tcPr>
            <w:tcW w:w="1318" w:type="dxa"/>
            <w:tcBorders>
              <w:left w:val="single" w:sz="4" w:space="0" w:color="000000"/>
              <w:right w:val="single" w:sz="4" w:space="0" w:color="000000"/>
            </w:tcBorders>
          </w:tcPr>
          <w:p w14:paraId="5F91C178" w14:textId="77777777" w:rsidR="00AD2D63" w:rsidRDefault="00BD259A">
            <w:pPr>
              <w:pStyle w:val="TableParagraph"/>
              <w:spacing w:before="55"/>
              <w:ind w:left="312" w:right="299"/>
              <w:rPr>
                <w:b/>
                <w:sz w:val="20"/>
              </w:rPr>
            </w:pPr>
            <w:r>
              <w:rPr>
                <w:b/>
                <w:sz w:val="20"/>
              </w:rPr>
              <w:t>2019/20</w:t>
            </w:r>
          </w:p>
        </w:tc>
        <w:tc>
          <w:tcPr>
            <w:tcW w:w="1266" w:type="dxa"/>
            <w:tcBorders>
              <w:left w:val="single" w:sz="4" w:space="0" w:color="000000"/>
              <w:right w:val="single" w:sz="4" w:space="0" w:color="000000"/>
            </w:tcBorders>
          </w:tcPr>
          <w:p w14:paraId="5F91C179" w14:textId="77777777" w:rsidR="00AD2D63" w:rsidRDefault="00BD259A">
            <w:pPr>
              <w:pStyle w:val="TableParagraph"/>
              <w:spacing w:before="55"/>
              <w:ind w:left="286" w:right="273"/>
              <w:rPr>
                <w:b/>
                <w:sz w:val="20"/>
              </w:rPr>
            </w:pPr>
            <w:r>
              <w:rPr>
                <w:b/>
                <w:sz w:val="20"/>
              </w:rPr>
              <w:t>2020/21</w:t>
            </w:r>
          </w:p>
        </w:tc>
        <w:tc>
          <w:tcPr>
            <w:tcW w:w="1266" w:type="dxa"/>
            <w:tcBorders>
              <w:left w:val="single" w:sz="4" w:space="0" w:color="000000"/>
              <w:right w:val="single" w:sz="4" w:space="0" w:color="000000"/>
            </w:tcBorders>
          </w:tcPr>
          <w:p w14:paraId="5F91C17A" w14:textId="77777777" w:rsidR="00AD2D63" w:rsidRDefault="00BD259A">
            <w:pPr>
              <w:pStyle w:val="TableParagraph"/>
              <w:spacing w:before="55"/>
              <w:ind w:left="286" w:right="273"/>
              <w:rPr>
                <w:b/>
                <w:sz w:val="20"/>
              </w:rPr>
            </w:pPr>
            <w:r>
              <w:rPr>
                <w:b/>
                <w:sz w:val="20"/>
              </w:rPr>
              <w:t>2021/22</w:t>
            </w:r>
          </w:p>
        </w:tc>
        <w:tc>
          <w:tcPr>
            <w:tcW w:w="1546" w:type="dxa"/>
            <w:tcBorders>
              <w:left w:val="single" w:sz="4" w:space="0" w:color="000000"/>
              <w:right w:val="single" w:sz="4" w:space="0" w:color="000000"/>
            </w:tcBorders>
          </w:tcPr>
          <w:p w14:paraId="5F91C17B" w14:textId="77777777" w:rsidR="00AD2D63" w:rsidRDefault="00BD259A">
            <w:pPr>
              <w:pStyle w:val="TableParagraph"/>
              <w:spacing w:before="55"/>
              <w:ind w:left="339"/>
              <w:jc w:val="left"/>
              <w:rPr>
                <w:b/>
                <w:sz w:val="20"/>
              </w:rPr>
            </w:pPr>
            <w:r>
              <w:rPr>
                <w:b/>
                <w:sz w:val="20"/>
              </w:rPr>
              <w:t>2022/23 &amp;</w:t>
            </w:r>
          </w:p>
          <w:p w14:paraId="5F91C17C" w14:textId="77777777" w:rsidR="00AD2D63" w:rsidRDefault="00BD259A">
            <w:pPr>
              <w:pStyle w:val="TableParagraph"/>
              <w:spacing w:before="1"/>
              <w:ind w:left="379"/>
              <w:jc w:val="left"/>
              <w:rPr>
                <w:b/>
                <w:sz w:val="20"/>
              </w:rPr>
            </w:pPr>
            <w:r>
              <w:rPr>
                <w:b/>
                <w:sz w:val="20"/>
              </w:rPr>
              <w:t>Outyears</w:t>
            </w:r>
          </w:p>
        </w:tc>
      </w:tr>
      <w:tr w:rsidR="00AD2D63" w14:paraId="5F91C183" w14:textId="77777777">
        <w:trPr>
          <w:trHeight w:val="345"/>
        </w:trPr>
        <w:tc>
          <w:tcPr>
            <w:tcW w:w="2552" w:type="dxa"/>
            <w:tcBorders>
              <w:left w:val="single" w:sz="4" w:space="0" w:color="000000"/>
              <w:right w:val="single" w:sz="4" w:space="0" w:color="000000"/>
            </w:tcBorders>
          </w:tcPr>
          <w:p w14:paraId="5F91C17E" w14:textId="77777777" w:rsidR="00AD2D63" w:rsidRDefault="00BD259A">
            <w:pPr>
              <w:pStyle w:val="TableParagraph"/>
              <w:ind w:left="109"/>
              <w:jc w:val="left"/>
              <w:rPr>
                <w:sz w:val="20"/>
              </w:rPr>
            </w:pPr>
            <w:r>
              <w:rPr>
                <w:sz w:val="20"/>
              </w:rPr>
              <w:t>Tax Revenue</w:t>
            </w:r>
          </w:p>
        </w:tc>
        <w:tc>
          <w:tcPr>
            <w:tcW w:w="1318" w:type="dxa"/>
            <w:tcBorders>
              <w:left w:val="single" w:sz="4" w:space="0" w:color="000000"/>
              <w:right w:val="single" w:sz="4" w:space="0" w:color="000000"/>
            </w:tcBorders>
          </w:tcPr>
          <w:p w14:paraId="5F91C17F" w14:textId="77777777" w:rsidR="00AD2D63" w:rsidRDefault="00BD259A">
            <w:pPr>
              <w:pStyle w:val="TableParagraph"/>
              <w:ind w:left="311" w:right="299"/>
              <w:rPr>
                <w:sz w:val="20"/>
              </w:rPr>
            </w:pPr>
            <w:r>
              <w:rPr>
                <w:sz w:val="20"/>
              </w:rPr>
              <w:t>(1.800)</w:t>
            </w:r>
          </w:p>
        </w:tc>
        <w:tc>
          <w:tcPr>
            <w:tcW w:w="1266" w:type="dxa"/>
            <w:tcBorders>
              <w:left w:val="single" w:sz="4" w:space="0" w:color="000000"/>
              <w:right w:val="single" w:sz="4" w:space="0" w:color="000000"/>
            </w:tcBorders>
          </w:tcPr>
          <w:p w14:paraId="5F91C180" w14:textId="77777777" w:rsidR="00AD2D63" w:rsidRDefault="00BD259A">
            <w:pPr>
              <w:pStyle w:val="TableParagraph"/>
              <w:ind w:right="273"/>
              <w:rPr>
                <w:sz w:val="20"/>
              </w:rPr>
            </w:pPr>
            <w:r>
              <w:rPr>
                <w:sz w:val="20"/>
              </w:rPr>
              <w:t>(1.800)</w:t>
            </w:r>
          </w:p>
        </w:tc>
        <w:tc>
          <w:tcPr>
            <w:tcW w:w="1266" w:type="dxa"/>
            <w:tcBorders>
              <w:left w:val="single" w:sz="4" w:space="0" w:color="000000"/>
              <w:right w:val="single" w:sz="4" w:space="0" w:color="000000"/>
            </w:tcBorders>
          </w:tcPr>
          <w:p w14:paraId="5F91C181" w14:textId="77777777" w:rsidR="00AD2D63" w:rsidRDefault="00BD259A">
            <w:pPr>
              <w:pStyle w:val="TableParagraph"/>
              <w:ind w:right="273"/>
              <w:rPr>
                <w:sz w:val="20"/>
              </w:rPr>
            </w:pPr>
            <w:r>
              <w:rPr>
                <w:sz w:val="20"/>
              </w:rPr>
              <w:t>(1.800)</w:t>
            </w:r>
          </w:p>
        </w:tc>
        <w:tc>
          <w:tcPr>
            <w:tcW w:w="1546" w:type="dxa"/>
            <w:tcBorders>
              <w:left w:val="single" w:sz="4" w:space="0" w:color="000000"/>
              <w:right w:val="single" w:sz="4" w:space="0" w:color="000000"/>
            </w:tcBorders>
          </w:tcPr>
          <w:p w14:paraId="5F91C182" w14:textId="77777777" w:rsidR="00AD2D63" w:rsidRDefault="00BD259A">
            <w:pPr>
              <w:pStyle w:val="TableParagraph"/>
              <w:ind w:left="462" w:right="450"/>
              <w:rPr>
                <w:sz w:val="20"/>
              </w:rPr>
            </w:pPr>
            <w:r>
              <w:rPr>
                <w:sz w:val="20"/>
              </w:rPr>
              <w:t>(1.800)</w:t>
            </w:r>
          </w:p>
        </w:tc>
      </w:tr>
      <w:tr w:rsidR="00AD2D63" w14:paraId="5F91C189" w14:textId="77777777">
        <w:trPr>
          <w:trHeight w:val="340"/>
        </w:trPr>
        <w:tc>
          <w:tcPr>
            <w:tcW w:w="2552" w:type="dxa"/>
            <w:tcBorders>
              <w:left w:val="single" w:sz="4" w:space="0" w:color="000000"/>
              <w:right w:val="single" w:sz="4" w:space="0" w:color="000000"/>
            </w:tcBorders>
          </w:tcPr>
          <w:p w14:paraId="5F91C184" w14:textId="77777777" w:rsidR="00AD2D63" w:rsidRDefault="00BD259A">
            <w:pPr>
              <w:pStyle w:val="TableParagraph"/>
              <w:ind w:left="109"/>
              <w:jc w:val="left"/>
              <w:rPr>
                <w:b/>
                <w:sz w:val="20"/>
              </w:rPr>
            </w:pPr>
            <w:r>
              <w:rPr>
                <w:b/>
                <w:sz w:val="20"/>
              </w:rPr>
              <w:t>Total Operating</w:t>
            </w:r>
          </w:p>
        </w:tc>
        <w:tc>
          <w:tcPr>
            <w:tcW w:w="1318" w:type="dxa"/>
            <w:tcBorders>
              <w:left w:val="single" w:sz="4" w:space="0" w:color="000000"/>
              <w:right w:val="single" w:sz="4" w:space="0" w:color="000000"/>
            </w:tcBorders>
          </w:tcPr>
          <w:p w14:paraId="5F91C185" w14:textId="77777777" w:rsidR="00AD2D63" w:rsidRDefault="00BD259A">
            <w:pPr>
              <w:pStyle w:val="TableParagraph"/>
              <w:ind w:left="311" w:right="299"/>
              <w:rPr>
                <w:b/>
                <w:sz w:val="20"/>
              </w:rPr>
            </w:pPr>
            <w:r>
              <w:rPr>
                <w:b/>
                <w:sz w:val="20"/>
              </w:rPr>
              <w:t>(1.800)</w:t>
            </w:r>
          </w:p>
        </w:tc>
        <w:tc>
          <w:tcPr>
            <w:tcW w:w="1266" w:type="dxa"/>
            <w:tcBorders>
              <w:left w:val="single" w:sz="4" w:space="0" w:color="000000"/>
              <w:right w:val="single" w:sz="4" w:space="0" w:color="000000"/>
            </w:tcBorders>
          </w:tcPr>
          <w:p w14:paraId="5F91C186" w14:textId="77777777" w:rsidR="00AD2D63" w:rsidRDefault="00BD259A">
            <w:pPr>
              <w:pStyle w:val="TableParagraph"/>
              <w:ind w:right="273"/>
              <w:rPr>
                <w:b/>
                <w:sz w:val="20"/>
              </w:rPr>
            </w:pPr>
            <w:r>
              <w:rPr>
                <w:b/>
                <w:sz w:val="20"/>
              </w:rPr>
              <w:t>(1.800)</w:t>
            </w:r>
          </w:p>
        </w:tc>
        <w:tc>
          <w:tcPr>
            <w:tcW w:w="1266" w:type="dxa"/>
            <w:tcBorders>
              <w:left w:val="single" w:sz="4" w:space="0" w:color="000000"/>
              <w:right w:val="single" w:sz="4" w:space="0" w:color="000000"/>
            </w:tcBorders>
          </w:tcPr>
          <w:p w14:paraId="5F91C187" w14:textId="77777777" w:rsidR="00AD2D63" w:rsidRDefault="00BD259A">
            <w:pPr>
              <w:pStyle w:val="TableParagraph"/>
              <w:ind w:right="273"/>
              <w:rPr>
                <w:b/>
                <w:sz w:val="20"/>
              </w:rPr>
            </w:pPr>
            <w:r>
              <w:rPr>
                <w:b/>
                <w:sz w:val="20"/>
              </w:rPr>
              <w:t>(1.800)</w:t>
            </w:r>
          </w:p>
        </w:tc>
        <w:tc>
          <w:tcPr>
            <w:tcW w:w="1546" w:type="dxa"/>
            <w:tcBorders>
              <w:left w:val="single" w:sz="4" w:space="0" w:color="000000"/>
              <w:right w:val="single" w:sz="4" w:space="0" w:color="000000"/>
            </w:tcBorders>
          </w:tcPr>
          <w:p w14:paraId="5F91C188" w14:textId="77777777" w:rsidR="00AD2D63" w:rsidRDefault="00BD259A">
            <w:pPr>
              <w:pStyle w:val="TableParagraph"/>
              <w:ind w:left="462" w:right="450"/>
              <w:rPr>
                <w:b/>
                <w:sz w:val="20"/>
              </w:rPr>
            </w:pPr>
            <w:r>
              <w:rPr>
                <w:b/>
                <w:sz w:val="20"/>
              </w:rPr>
              <w:t>(1.800)</w:t>
            </w:r>
          </w:p>
        </w:tc>
      </w:tr>
    </w:tbl>
    <w:p w14:paraId="5F91C18A" w14:textId="77777777" w:rsidR="00AD2D63" w:rsidRDefault="00AD2D63">
      <w:pPr>
        <w:pStyle w:val="BodyText"/>
        <w:rPr>
          <w:sz w:val="16"/>
        </w:rPr>
      </w:pPr>
    </w:p>
    <w:p w14:paraId="5F91C18B" w14:textId="77777777" w:rsidR="00AD2D63" w:rsidRDefault="00BD259A">
      <w:pPr>
        <w:pStyle w:val="ListParagraph"/>
        <w:numPr>
          <w:ilvl w:val="0"/>
          <w:numId w:val="1"/>
        </w:numPr>
        <w:tabs>
          <w:tab w:val="left" w:pos="835"/>
          <w:tab w:val="left" w:pos="836"/>
        </w:tabs>
        <w:spacing w:before="90"/>
        <w:ind w:hanging="721"/>
        <w:rPr>
          <w:sz w:val="24"/>
        </w:rPr>
      </w:pPr>
      <w:r>
        <w:rPr>
          <w:b/>
          <w:sz w:val="24"/>
        </w:rPr>
        <w:t xml:space="preserve">noted </w:t>
      </w:r>
      <w:r>
        <w:rPr>
          <w:sz w:val="24"/>
        </w:rPr>
        <w:t>that the final year of fiscal impact outlined in paragraph 5 above is</w:t>
      </w:r>
      <w:r>
        <w:rPr>
          <w:spacing w:val="-7"/>
          <w:sz w:val="24"/>
        </w:rPr>
        <w:t xml:space="preserve"> </w:t>
      </w:r>
      <w:r>
        <w:rPr>
          <w:sz w:val="24"/>
        </w:rPr>
        <w:t>2023/24;</w:t>
      </w:r>
    </w:p>
    <w:p w14:paraId="5F91C18C" w14:textId="77777777" w:rsidR="00AD2D63" w:rsidRDefault="00AD2D63">
      <w:pPr>
        <w:pStyle w:val="BodyText"/>
        <w:spacing w:before="10"/>
        <w:rPr>
          <w:sz w:val="20"/>
        </w:rPr>
      </w:pPr>
    </w:p>
    <w:p w14:paraId="5F91C18D" w14:textId="77777777" w:rsidR="00AD2D63" w:rsidRDefault="00BD259A">
      <w:pPr>
        <w:pStyle w:val="ListParagraph"/>
        <w:numPr>
          <w:ilvl w:val="0"/>
          <w:numId w:val="1"/>
        </w:numPr>
        <w:tabs>
          <w:tab w:val="left" w:pos="835"/>
          <w:tab w:val="left" w:pos="836"/>
        </w:tabs>
        <w:ind w:hanging="721"/>
        <w:rPr>
          <w:sz w:val="24"/>
        </w:rPr>
      </w:pPr>
      <w:r>
        <w:rPr>
          <w:b/>
          <w:sz w:val="24"/>
        </w:rPr>
        <w:t xml:space="preserve">agreed </w:t>
      </w:r>
      <w:r>
        <w:rPr>
          <w:sz w:val="24"/>
        </w:rPr>
        <w:t>that the above changes be included in the next available omnibus tax</w:t>
      </w:r>
      <w:r>
        <w:rPr>
          <w:spacing w:val="-8"/>
          <w:sz w:val="24"/>
        </w:rPr>
        <w:t xml:space="preserve"> </w:t>
      </w:r>
      <w:r>
        <w:rPr>
          <w:sz w:val="24"/>
        </w:rPr>
        <w:t>bill.</w:t>
      </w:r>
    </w:p>
    <w:p w14:paraId="5F91C18E" w14:textId="77777777" w:rsidR="00AD2D63" w:rsidRDefault="00AD2D63">
      <w:pPr>
        <w:pStyle w:val="BodyText"/>
        <w:rPr>
          <w:sz w:val="26"/>
        </w:rPr>
      </w:pPr>
    </w:p>
    <w:p w14:paraId="5F91C18F" w14:textId="77777777" w:rsidR="00AD2D63" w:rsidRDefault="00AD2D63">
      <w:pPr>
        <w:pStyle w:val="BodyText"/>
        <w:rPr>
          <w:sz w:val="26"/>
        </w:rPr>
      </w:pPr>
    </w:p>
    <w:p w14:paraId="5F91C190" w14:textId="77777777" w:rsidR="00AD2D63" w:rsidRDefault="00AD2D63">
      <w:pPr>
        <w:pStyle w:val="BodyText"/>
        <w:rPr>
          <w:sz w:val="26"/>
        </w:rPr>
      </w:pPr>
    </w:p>
    <w:p w14:paraId="5F91C191" w14:textId="77777777" w:rsidR="00AD2D63" w:rsidRDefault="00BD259A">
      <w:pPr>
        <w:pStyle w:val="BodyText"/>
        <w:spacing w:before="171" w:after="19"/>
        <w:ind w:left="115" w:right="7692"/>
      </w:pPr>
      <w:r>
        <w:t xml:space="preserve">Jack </w:t>
      </w:r>
      <w:proofErr w:type="spellStart"/>
      <w:r>
        <w:t>Petterson</w:t>
      </w:r>
      <w:proofErr w:type="spellEnd"/>
      <w:r>
        <w:t xml:space="preserve"> Committee Secretary</w:t>
      </w:r>
    </w:p>
    <w:p w14:paraId="5F91C192" w14:textId="77777777" w:rsidR="00AD2D63" w:rsidRDefault="004D40CF">
      <w:pPr>
        <w:pStyle w:val="BodyText"/>
        <w:spacing w:line="20" w:lineRule="exact"/>
        <w:ind w:left="109"/>
        <w:rPr>
          <w:sz w:val="2"/>
        </w:rPr>
      </w:pPr>
      <w:r>
        <w:rPr>
          <w:sz w:val="2"/>
        </w:rPr>
      </w:r>
      <w:r>
        <w:rPr>
          <w:sz w:val="2"/>
        </w:rPr>
        <w:pict w14:anchorId="5F91C1A9">
          <v:group id="_x0000_s1026" style="width:481.8pt;height:.5pt;mso-position-horizontal-relative:char;mso-position-vertical-relative:line" coordsize="9636,10">
            <v:line id="_x0000_s1027" style="position:absolute" from="0,5" to="9636,5" strokeweight=".5pt"/>
            <w10:anchorlock/>
          </v:group>
        </w:pict>
      </w:r>
    </w:p>
    <w:p w14:paraId="5F91C193" w14:textId="77777777" w:rsidR="00AD2D63" w:rsidRDefault="00AD2D63">
      <w:pPr>
        <w:pStyle w:val="BodyText"/>
        <w:spacing w:before="1"/>
        <w:rPr>
          <w:sz w:val="23"/>
        </w:rPr>
      </w:pPr>
    </w:p>
    <w:p w14:paraId="5F91C194" w14:textId="77777777" w:rsidR="00AD2D63" w:rsidRDefault="00BD259A">
      <w:pPr>
        <w:spacing w:before="1"/>
        <w:ind w:left="115"/>
        <w:rPr>
          <w:rFonts w:ascii="Arial"/>
          <w:b/>
          <w:sz w:val="20"/>
        </w:rPr>
      </w:pPr>
      <w:r>
        <w:rPr>
          <w:rFonts w:ascii="Arial"/>
          <w:b/>
          <w:sz w:val="20"/>
        </w:rPr>
        <w:t>Hard-copy distribution: (see over)</w:t>
      </w:r>
    </w:p>
    <w:p w14:paraId="5F91C195" w14:textId="77777777" w:rsidR="00AD2D63" w:rsidRDefault="00AD2D63">
      <w:pPr>
        <w:rPr>
          <w:rFonts w:ascii="Arial"/>
          <w:sz w:val="20"/>
        </w:rPr>
        <w:sectPr w:rsidR="00AD2D63">
          <w:headerReference w:type="default" r:id="rId8"/>
          <w:footerReference w:type="default" r:id="rId9"/>
          <w:type w:val="continuous"/>
          <w:pgSz w:w="11900" w:h="16840"/>
          <w:pgMar w:top="840" w:right="1020" w:bottom="780" w:left="1020" w:header="405" w:footer="582" w:gutter="0"/>
          <w:pgNumType w:start="1"/>
          <w:cols w:space="720"/>
        </w:sectPr>
      </w:pPr>
    </w:p>
    <w:p w14:paraId="5F91C196" w14:textId="77777777" w:rsidR="00AD2D63" w:rsidRDefault="00AD2D63">
      <w:pPr>
        <w:pStyle w:val="BodyText"/>
        <w:spacing w:before="4"/>
        <w:rPr>
          <w:rFonts w:ascii="Arial"/>
          <w:b/>
          <w:sz w:val="20"/>
        </w:rPr>
      </w:pPr>
    </w:p>
    <w:p w14:paraId="5F91C197" w14:textId="77777777" w:rsidR="00AD2D63" w:rsidRDefault="00BD259A">
      <w:pPr>
        <w:tabs>
          <w:tab w:val="left" w:pos="5043"/>
        </w:tabs>
        <w:spacing w:before="94"/>
        <w:ind w:left="115"/>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14:paraId="5F91C198" w14:textId="77777777" w:rsidR="00AD2D63" w:rsidRDefault="00AD2D63">
      <w:pPr>
        <w:rPr>
          <w:rFonts w:ascii="Arial"/>
          <w:sz w:val="20"/>
        </w:rPr>
        <w:sectPr w:rsidR="00AD2D63">
          <w:pgSz w:w="11900" w:h="16840"/>
          <w:pgMar w:top="840" w:right="1020" w:bottom="780" w:left="1020" w:header="405" w:footer="582" w:gutter="0"/>
          <w:cols w:space="720"/>
        </w:sectPr>
      </w:pPr>
    </w:p>
    <w:p w14:paraId="5F91C199" w14:textId="77777777" w:rsidR="00AD2D63" w:rsidRDefault="00BD259A">
      <w:pPr>
        <w:ind w:left="115" w:right="521"/>
        <w:rPr>
          <w:sz w:val="20"/>
        </w:rPr>
      </w:pPr>
      <w:r>
        <w:rPr>
          <w:sz w:val="20"/>
        </w:rPr>
        <w:t>Rt Hon Winston Peters Hon Kelvin Davis</w:t>
      </w:r>
    </w:p>
    <w:p w14:paraId="5F91C19A" w14:textId="77777777" w:rsidR="00AD2D63" w:rsidRDefault="00BD259A">
      <w:pPr>
        <w:ind w:left="115" w:right="21"/>
        <w:rPr>
          <w:sz w:val="20"/>
        </w:rPr>
      </w:pPr>
      <w:r>
        <w:rPr>
          <w:sz w:val="20"/>
        </w:rPr>
        <w:t>Hon Grant Robertson (Chair) Hon Dr Megan Woods</w:t>
      </w:r>
    </w:p>
    <w:p w14:paraId="5F91C19B" w14:textId="77777777" w:rsidR="00AD2D63" w:rsidRDefault="00BD259A">
      <w:pPr>
        <w:ind w:left="115" w:right="749"/>
        <w:rPr>
          <w:sz w:val="20"/>
        </w:rPr>
      </w:pPr>
      <w:r>
        <w:rPr>
          <w:sz w:val="20"/>
        </w:rPr>
        <w:t xml:space="preserve">Hon Chris </w:t>
      </w:r>
      <w:proofErr w:type="spellStart"/>
      <w:r>
        <w:rPr>
          <w:sz w:val="20"/>
        </w:rPr>
        <w:t>Hipkins</w:t>
      </w:r>
      <w:proofErr w:type="spellEnd"/>
      <w:r>
        <w:rPr>
          <w:sz w:val="20"/>
        </w:rPr>
        <w:t xml:space="preserve"> Hon David Parker Hon </w:t>
      </w:r>
      <w:proofErr w:type="spellStart"/>
      <w:r>
        <w:rPr>
          <w:sz w:val="20"/>
        </w:rPr>
        <w:t>Nanaia</w:t>
      </w:r>
      <w:proofErr w:type="spellEnd"/>
      <w:r>
        <w:rPr>
          <w:sz w:val="20"/>
        </w:rPr>
        <w:t xml:space="preserve"> </w:t>
      </w:r>
      <w:proofErr w:type="spellStart"/>
      <w:r>
        <w:rPr>
          <w:sz w:val="20"/>
        </w:rPr>
        <w:t>Mahuta</w:t>
      </w:r>
      <w:proofErr w:type="spellEnd"/>
      <w:r>
        <w:rPr>
          <w:sz w:val="20"/>
        </w:rPr>
        <w:t xml:space="preserve"> Hon Stuart Nash</w:t>
      </w:r>
    </w:p>
    <w:p w14:paraId="5F91C19C" w14:textId="77777777" w:rsidR="00AD2D63" w:rsidRDefault="00BD259A">
      <w:pPr>
        <w:ind w:left="115" w:right="393"/>
        <w:rPr>
          <w:sz w:val="20"/>
        </w:rPr>
      </w:pPr>
      <w:r>
        <w:rPr>
          <w:sz w:val="20"/>
        </w:rPr>
        <w:t xml:space="preserve">Hon Iain Lees-Galloway Hon Jenny </w:t>
      </w:r>
      <w:proofErr w:type="spellStart"/>
      <w:r>
        <w:rPr>
          <w:sz w:val="20"/>
        </w:rPr>
        <w:t>Salesa</w:t>
      </w:r>
      <w:proofErr w:type="spellEnd"/>
    </w:p>
    <w:p w14:paraId="5F91C19D" w14:textId="77777777" w:rsidR="00AD2D63" w:rsidRDefault="00BD259A">
      <w:pPr>
        <w:ind w:left="115" w:right="793"/>
        <w:rPr>
          <w:sz w:val="20"/>
        </w:rPr>
      </w:pPr>
      <w:r>
        <w:rPr>
          <w:sz w:val="20"/>
        </w:rPr>
        <w:t xml:space="preserve">Hon Shane Jones Hon Kris </w:t>
      </w:r>
      <w:proofErr w:type="spellStart"/>
      <w:r>
        <w:rPr>
          <w:sz w:val="20"/>
        </w:rPr>
        <w:t>Faafoi</w:t>
      </w:r>
      <w:proofErr w:type="spellEnd"/>
      <w:r>
        <w:rPr>
          <w:sz w:val="20"/>
        </w:rPr>
        <w:t xml:space="preserve"> Hon Willie Jackson Hon James Shaw</w:t>
      </w:r>
    </w:p>
    <w:p w14:paraId="5F91C19E" w14:textId="77777777" w:rsidR="00AD2D63" w:rsidRDefault="00BD259A">
      <w:pPr>
        <w:ind w:left="115" w:right="521"/>
        <w:rPr>
          <w:sz w:val="20"/>
        </w:rPr>
      </w:pPr>
      <w:r>
        <w:rPr>
          <w:sz w:val="20"/>
        </w:rPr>
        <w:t xml:space="preserve">Hon Julie Anne </w:t>
      </w:r>
      <w:proofErr w:type="spellStart"/>
      <w:r>
        <w:rPr>
          <w:sz w:val="20"/>
        </w:rPr>
        <w:t>Genter</w:t>
      </w:r>
      <w:proofErr w:type="spellEnd"/>
      <w:r>
        <w:rPr>
          <w:sz w:val="20"/>
        </w:rPr>
        <w:t xml:space="preserve"> Hon Eugenie Sage</w:t>
      </w:r>
    </w:p>
    <w:p w14:paraId="5F91C19F" w14:textId="77777777" w:rsidR="00AD2D63" w:rsidRDefault="00BD259A">
      <w:pPr>
        <w:spacing w:line="229" w:lineRule="exact"/>
        <w:ind w:left="116"/>
        <w:rPr>
          <w:sz w:val="20"/>
        </w:rPr>
      </w:pPr>
      <w:r>
        <w:br w:type="column"/>
      </w:r>
      <w:r>
        <w:rPr>
          <w:sz w:val="20"/>
        </w:rPr>
        <w:t>Officials Committee for DEV</w:t>
      </w:r>
    </w:p>
    <w:p w14:paraId="5F91C1A0" w14:textId="77777777" w:rsidR="00AD2D63" w:rsidRDefault="00AD2D63">
      <w:pPr>
        <w:spacing w:line="229" w:lineRule="exact"/>
        <w:rPr>
          <w:sz w:val="20"/>
        </w:rPr>
        <w:sectPr w:rsidR="00AD2D63">
          <w:type w:val="continuous"/>
          <w:pgSz w:w="11900" w:h="16840"/>
          <w:pgMar w:top="840" w:right="1020" w:bottom="780" w:left="1020" w:header="720" w:footer="720" w:gutter="0"/>
          <w:cols w:num="2" w:space="720" w:equalWidth="0">
            <w:col w:w="2506" w:space="2422"/>
            <w:col w:w="4932"/>
          </w:cols>
        </w:sectPr>
      </w:pPr>
    </w:p>
    <w:p w14:paraId="5F91C1A1" w14:textId="77777777" w:rsidR="00AD2D63" w:rsidRDefault="00AD2D63">
      <w:pPr>
        <w:pStyle w:val="BodyText"/>
        <w:spacing w:before="5"/>
        <w:rPr>
          <w:sz w:val="14"/>
        </w:rPr>
      </w:pPr>
    </w:p>
    <w:p w14:paraId="5F91C1A2" w14:textId="77777777" w:rsidR="00AD2D63" w:rsidRDefault="00BD259A">
      <w:pPr>
        <w:spacing w:before="94" w:line="229" w:lineRule="exact"/>
        <w:ind w:left="115"/>
        <w:rPr>
          <w:rFonts w:ascii="Arial"/>
          <w:b/>
          <w:sz w:val="20"/>
        </w:rPr>
      </w:pPr>
      <w:r>
        <w:rPr>
          <w:rFonts w:ascii="Arial"/>
          <w:b/>
          <w:sz w:val="20"/>
        </w:rPr>
        <w:t>Hard-copy distribution:</w:t>
      </w:r>
    </w:p>
    <w:p w14:paraId="5F91C1A3" w14:textId="77777777" w:rsidR="00AD2D63" w:rsidRDefault="00BD259A">
      <w:pPr>
        <w:spacing w:line="229" w:lineRule="exact"/>
        <w:ind w:left="115"/>
        <w:rPr>
          <w:sz w:val="20"/>
        </w:rPr>
      </w:pPr>
      <w:r>
        <w:rPr>
          <w:sz w:val="20"/>
        </w:rPr>
        <w:t>Minister of Revenue</w:t>
      </w:r>
    </w:p>
    <w:sectPr w:rsidR="00AD2D63">
      <w:type w:val="continuous"/>
      <w:pgSz w:w="11900" w:h="16840"/>
      <w:pgMar w:top="840" w:right="1020" w:bottom="7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C1AC" w14:textId="77777777" w:rsidR="00DF7FEF" w:rsidRDefault="00DF7FEF">
      <w:r>
        <w:separator/>
      </w:r>
    </w:p>
  </w:endnote>
  <w:endnote w:type="continuationSeparator" w:id="0">
    <w:p w14:paraId="5F91C1AD" w14:textId="77777777" w:rsidR="00DF7FEF" w:rsidRDefault="00DF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C1AF" w14:textId="77777777" w:rsidR="00AD2D63" w:rsidRDefault="004D40CF">
    <w:pPr>
      <w:pStyle w:val="BodyText"/>
      <w:spacing w:line="14" w:lineRule="auto"/>
      <w:rPr>
        <w:sz w:val="20"/>
      </w:rPr>
    </w:pPr>
    <w:r>
      <w:pict w14:anchorId="5F91C1B2">
        <v:shapetype id="_x0000_t202" coordsize="21600,21600" o:spt="202" path="m,l,21600r21600,l21600,xe">
          <v:stroke joinstyle="miter"/>
          <v:path gradientshapeok="t" o:connecttype="rect"/>
        </v:shapetype>
        <v:shape id="_x0000_s2051" type="#_x0000_t202" style="position:absolute;margin-left:526.8pt;margin-top:801.9pt;width:12pt;height:15.3pt;z-index:-251829248;mso-position-horizontal-relative:page;mso-position-vertical-relative:page" filled="f" stroked="f">
          <v:textbox inset="0,0,0,0">
            <w:txbxContent>
              <w:p w14:paraId="5F91C1B6" w14:textId="77777777" w:rsidR="00AD2D63" w:rsidRDefault="00BD259A">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r>
      <w:pict w14:anchorId="5F91C1B3">
        <v:shape id="_x0000_s2050" type="#_x0000_t202" style="position:absolute;margin-left:236.3pt;margin-top:815.55pt;width:116.75pt;height:13.2pt;z-index:-251828224;mso-position-horizontal-relative:page;mso-position-vertical-relative:page" filled="f" stroked="f">
          <v:textbox inset="0,0,0,0">
            <w:txbxContent>
              <w:p w14:paraId="5F91C1B7" w14:textId="77777777" w:rsidR="00AD2D63" w:rsidRDefault="00BD259A">
                <w:pPr>
                  <w:spacing w:before="13"/>
                  <w:ind w:left="20"/>
                  <w:rPr>
                    <w:rFonts w:ascii="Arial"/>
                    <w:b/>
                    <w:sz w:val="20"/>
                  </w:rPr>
                </w:pPr>
                <w:r>
                  <w:rPr>
                    <w:rFonts w:ascii="Arial"/>
                    <w:b/>
                    <w:sz w:val="20"/>
                  </w:rPr>
                  <w:t>I N  C O N F I D E N C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C1AA" w14:textId="77777777" w:rsidR="00DF7FEF" w:rsidRDefault="00DF7FEF">
      <w:r>
        <w:separator/>
      </w:r>
    </w:p>
  </w:footnote>
  <w:footnote w:type="continuationSeparator" w:id="0">
    <w:p w14:paraId="5F91C1AB" w14:textId="77777777" w:rsidR="00DF7FEF" w:rsidRDefault="00DF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C1AE" w14:textId="77777777" w:rsidR="00AD2D63" w:rsidRDefault="004D40CF">
    <w:pPr>
      <w:pStyle w:val="BodyText"/>
      <w:spacing w:line="14" w:lineRule="auto"/>
      <w:rPr>
        <w:sz w:val="20"/>
      </w:rPr>
    </w:pPr>
    <w:r>
      <w:pict w14:anchorId="5F91C1B0">
        <v:shapetype id="_x0000_t202" coordsize="21600,21600" o:spt="202" path="m,l,21600r21600,l21600,xe">
          <v:stroke joinstyle="miter"/>
          <v:path gradientshapeok="t" o:connecttype="rect"/>
        </v:shapetype>
        <v:shape id="_x0000_s2053" type="#_x0000_t202" style="position:absolute;margin-left:236.3pt;margin-top:19.25pt;width:116.75pt;height:13.2pt;z-index:-251831296;mso-position-horizontal-relative:page;mso-position-vertical-relative:page" filled="f" stroked="f">
          <v:textbox inset="0,0,0,0">
            <w:txbxContent>
              <w:p w14:paraId="5F91C1B4" w14:textId="77777777" w:rsidR="00AD2D63" w:rsidRDefault="00BD259A">
                <w:pPr>
                  <w:spacing w:before="13"/>
                  <w:ind w:left="20"/>
                  <w:rPr>
                    <w:rFonts w:ascii="Arial"/>
                    <w:b/>
                    <w:sz w:val="20"/>
                  </w:rPr>
                </w:pPr>
                <w:r>
                  <w:rPr>
                    <w:rFonts w:ascii="Arial"/>
                    <w:b/>
                    <w:sz w:val="20"/>
                  </w:rPr>
                  <w:t>I N  C O N F I D E N C E</w:t>
                </w:r>
              </w:p>
            </w:txbxContent>
          </v:textbox>
          <w10:wrap anchorx="page" anchory="page"/>
        </v:shape>
      </w:pict>
    </w:r>
    <w:r>
      <w:pict w14:anchorId="5F91C1B1">
        <v:shape id="_x0000_s2052" type="#_x0000_t202" style="position:absolute;margin-left:452.7pt;margin-top:30.75pt;width:84.2pt;height:13.2pt;z-index:-251830272;mso-position-horizontal-relative:page;mso-position-vertical-relative:page" filled="f" stroked="f">
          <v:textbox inset="0,0,0,0">
            <w:txbxContent>
              <w:p w14:paraId="5F91C1B5" w14:textId="77777777" w:rsidR="00AD2D63" w:rsidRDefault="00BD259A">
                <w:pPr>
                  <w:spacing w:before="13"/>
                  <w:ind w:left="20"/>
                  <w:rPr>
                    <w:rFonts w:ascii="Arial"/>
                    <w:b/>
                    <w:sz w:val="20"/>
                  </w:rPr>
                </w:pPr>
                <w:r>
                  <w:rPr>
                    <w:rFonts w:ascii="Arial"/>
                    <w:b/>
                    <w:sz w:val="20"/>
                  </w:rPr>
                  <w:t>DEV-19-MIN-0299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3BBE"/>
    <w:multiLevelType w:val="hybridMultilevel"/>
    <w:tmpl w:val="6B784D7A"/>
    <w:lvl w:ilvl="0" w:tplc="A28E930E">
      <w:start w:val="1"/>
      <w:numFmt w:val="decimal"/>
      <w:lvlText w:val="%1"/>
      <w:lvlJc w:val="left"/>
      <w:pPr>
        <w:ind w:left="836" w:hanging="720"/>
        <w:jc w:val="left"/>
      </w:pPr>
      <w:rPr>
        <w:rFonts w:ascii="Times New Roman" w:eastAsia="Times New Roman" w:hAnsi="Times New Roman" w:cs="Times New Roman" w:hint="default"/>
        <w:spacing w:val="-2"/>
        <w:w w:val="100"/>
        <w:sz w:val="24"/>
        <w:szCs w:val="24"/>
        <w:lang w:val="en-NZ" w:eastAsia="en-NZ" w:bidi="en-NZ"/>
      </w:rPr>
    </w:lvl>
    <w:lvl w:ilvl="1" w:tplc="2DA67FAC">
      <w:numFmt w:val="bullet"/>
      <w:lvlText w:val="•"/>
      <w:lvlJc w:val="left"/>
      <w:pPr>
        <w:ind w:left="1742" w:hanging="720"/>
      </w:pPr>
      <w:rPr>
        <w:rFonts w:hint="default"/>
        <w:lang w:val="en-NZ" w:eastAsia="en-NZ" w:bidi="en-NZ"/>
      </w:rPr>
    </w:lvl>
    <w:lvl w:ilvl="2" w:tplc="83827F64">
      <w:numFmt w:val="bullet"/>
      <w:lvlText w:val="•"/>
      <w:lvlJc w:val="left"/>
      <w:pPr>
        <w:ind w:left="2644" w:hanging="720"/>
      </w:pPr>
      <w:rPr>
        <w:rFonts w:hint="default"/>
        <w:lang w:val="en-NZ" w:eastAsia="en-NZ" w:bidi="en-NZ"/>
      </w:rPr>
    </w:lvl>
    <w:lvl w:ilvl="3" w:tplc="9A040510">
      <w:numFmt w:val="bullet"/>
      <w:lvlText w:val="•"/>
      <w:lvlJc w:val="left"/>
      <w:pPr>
        <w:ind w:left="3546" w:hanging="720"/>
      </w:pPr>
      <w:rPr>
        <w:rFonts w:hint="default"/>
        <w:lang w:val="en-NZ" w:eastAsia="en-NZ" w:bidi="en-NZ"/>
      </w:rPr>
    </w:lvl>
    <w:lvl w:ilvl="4" w:tplc="8654CE46">
      <w:numFmt w:val="bullet"/>
      <w:lvlText w:val="•"/>
      <w:lvlJc w:val="left"/>
      <w:pPr>
        <w:ind w:left="4448" w:hanging="720"/>
      </w:pPr>
      <w:rPr>
        <w:rFonts w:hint="default"/>
        <w:lang w:val="en-NZ" w:eastAsia="en-NZ" w:bidi="en-NZ"/>
      </w:rPr>
    </w:lvl>
    <w:lvl w:ilvl="5" w:tplc="01D6B162">
      <w:numFmt w:val="bullet"/>
      <w:lvlText w:val="•"/>
      <w:lvlJc w:val="left"/>
      <w:pPr>
        <w:ind w:left="5350" w:hanging="720"/>
      </w:pPr>
      <w:rPr>
        <w:rFonts w:hint="default"/>
        <w:lang w:val="en-NZ" w:eastAsia="en-NZ" w:bidi="en-NZ"/>
      </w:rPr>
    </w:lvl>
    <w:lvl w:ilvl="6" w:tplc="ADBCB7E0">
      <w:numFmt w:val="bullet"/>
      <w:lvlText w:val="•"/>
      <w:lvlJc w:val="left"/>
      <w:pPr>
        <w:ind w:left="6252" w:hanging="720"/>
      </w:pPr>
      <w:rPr>
        <w:rFonts w:hint="default"/>
        <w:lang w:val="en-NZ" w:eastAsia="en-NZ" w:bidi="en-NZ"/>
      </w:rPr>
    </w:lvl>
    <w:lvl w:ilvl="7" w:tplc="B62C53CA">
      <w:numFmt w:val="bullet"/>
      <w:lvlText w:val="•"/>
      <w:lvlJc w:val="left"/>
      <w:pPr>
        <w:ind w:left="7154" w:hanging="720"/>
      </w:pPr>
      <w:rPr>
        <w:rFonts w:hint="default"/>
        <w:lang w:val="en-NZ" w:eastAsia="en-NZ" w:bidi="en-NZ"/>
      </w:rPr>
    </w:lvl>
    <w:lvl w:ilvl="8" w:tplc="DD303B0A">
      <w:numFmt w:val="bullet"/>
      <w:lvlText w:val="•"/>
      <w:lvlJc w:val="left"/>
      <w:pPr>
        <w:ind w:left="80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D2D63"/>
    <w:rsid w:val="001E4BF5"/>
    <w:rsid w:val="004D40CF"/>
    <w:rsid w:val="00525F6C"/>
    <w:rsid w:val="005479AF"/>
    <w:rsid w:val="006B2B25"/>
    <w:rsid w:val="007736A0"/>
    <w:rsid w:val="00840820"/>
    <w:rsid w:val="00A54212"/>
    <w:rsid w:val="00AD2D63"/>
    <w:rsid w:val="00BC217A"/>
    <w:rsid w:val="00BD259A"/>
    <w:rsid w:val="00DF7F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F91C15D"/>
  <w15:docId w15:val="{7BA354AA-0A88-4876-9A65-D1F557A5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pPr>
      <w:spacing w:before="52"/>
      <w:ind w:left="285"/>
      <w:jc w:val="center"/>
    </w:pPr>
  </w:style>
  <w:style w:type="paragraph" w:styleId="Header">
    <w:name w:val="header"/>
    <w:basedOn w:val="Normal"/>
    <w:link w:val="HeaderChar"/>
    <w:uiPriority w:val="99"/>
    <w:unhideWhenUsed/>
    <w:rsid w:val="00BD259A"/>
    <w:pPr>
      <w:tabs>
        <w:tab w:val="center" w:pos="4513"/>
        <w:tab w:val="right" w:pos="9026"/>
      </w:tabs>
    </w:pPr>
  </w:style>
  <w:style w:type="character" w:customStyle="1" w:styleId="HeaderChar">
    <w:name w:val="Header Char"/>
    <w:basedOn w:val="DefaultParagraphFont"/>
    <w:link w:val="Header"/>
    <w:uiPriority w:val="99"/>
    <w:rsid w:val="00BD259A"/>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BD259A"/>
    <w:pPr>
      <w:tabs>
        <w:tab w:val="center" w:pos="4513"/>
        <w:tab w:val="right" w:pos="9026"/>
      </w:tabs>
    </w:pPr>
  </w:style>
  <w:style w:type="character" w:customStyle="1" w:styleId="FooterChar">
    <w:name w:val="Footer Char"/>
    <w:basedOn w:val="DefaultParagraphFont"/>
    <w:link w:val="Footer"/>
    <w:uiPriority w:val="99"/>
    <w:rsid w:val="00BD259A"/>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1858</Characters>
  <Application>Microsoft Office Word</Application>
  <DocSecurity>0</DocSecurity>
  <Lines>97</Lines>
  <Paragraphs>49</Paragraphs>
  <ScaleCrop>false</ScaleCrop>
  <HeadingPairs>
    <vt:vector size="2" baseType="variant">
      <vt:variant>
        <vt:lpstr>Title</vt:lpstr>
      </vt:variant>
      <vt:variant>
        <vt:i4>1</vt:i4>
      </vt:variant>
    </vt:vector>
  </HeadingPairs>
  <TitlesOfParts>
    <vt:vector size="1" baseType="lpstr">
      <vt:lpstr>DEV-19-MIN-0299 - Minute: Income tax treatment of leases subject to International Financial Reporting Standards (13 November 2019)</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DEV-19-MIN-0299 - Minute: Income tax treatment of leases subject to International Financial Reporting Standards (13 November 2019)</dc:title>
  <dc:subject/>
  <dc:creator/>
  <dcterms:created xsi:type="dcterms:W3CDTF">2020-09-08T20:11:00Z</dcterms:created>
  <dcterms:modified xsi:type="dcterms:W3CDTF">2020-09-08T20:11:00Z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