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10526" w14:textId="77777777" w:rsidR="00863FE5" w:rsidRDefault="00C36987" w:rsidP="00C36987">
      <w:pPr>
        <w:pStyle w:val="Header"/>
        <w:rPr>
          <w:b/>
        </w:rPr>
      </w:pPr>
      <w:r w:rsidRPr="00C3698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DAA037" wp14:editId="0D416621">
                <wp:simplePos x="0" y="0"/>
                <wp:positionH relativeFrom="column">
                  <wp:posOffset>4495800</wp:posOffset>
                </wp:positionH>
                <wp:positionV relativeFrom="paragraph">
                  <wp:posOffset>-494665</wp:posOffset>
                </wp:positionV>
                <wp:extent cx="1419225" cy="2667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AD6DF" w14:textId="77777777" w:rsidR="00C36987" w:rsidRPr="00C36987" w:rsidRDefault="00C36987">
                            <w:pPr>
                              <w:rPr>
                                <w:b/>
                              </w:rPr>
                            </w:pPr>
                            <w:r w:rsidRPr="00C36987">
                              <w:rPr>
                                <w:b/>
                              </w:rPr>
                              <w:t>ATTACHMENT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pt;margin-top:-38.95pt;width:111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" stroked="f">
                <v:textbox>
                  <w:txbxContent>
                    <w:p w:rsidR="00C36987" w:rsidRPr="00C36987" w:rsidRDefault="00C36987">
                      <w:pPr>
                        <w:rPr>
                          <w:b/>
                        </w:rPr>
                      </w:pPr>
                      <w:r w:rsidRPr="00C36987">
                        <w:rPr>
                          <w:b/>
                        </w:rPr>
                        <w:t>ATTACHMENT 4</w:t>
                      </w:r>
                    </w:p>
                  </w:txbxContent>
                </v:textbox>
              </v:shape>
            </w:pict>
          </mc:Fallback>
        </mc:AlternateContent>
      </w:r>
      <w:r w:rsidR="00863FE5">
        <w:rPr>
          <w:b/>
        </w:rPr>
        <w:t>TABLE ILLUSTRATING HOW TAX WORKING GROUP (TWG) RECOMMENDATIONS ARE REFLECTED ON THE REFRESHED TPWP</w:t>
      </w:r>
    </w:p>
    <w:p w14:paraId="219F3396" w14:textId="77777777" w:rsidR="00863FE5" w:rsidRDefault="00863FE5" w:rsidP="00863FE5">
      <w:pPr>
        <w:pStyle w:val="Header"/>
        <w:rPr>
          <w:b/>
        </w:rPr>
      </w:pPr>
    </w:p>
    <w:p w14:paraId="738ABE7B" w14:textId="77777777" w:rsidR="00863FE5" w:rsidRDefault="00863FE5" w:rsidP="00863FE5">
      <w:pPr>
        <w:pStyle w:val="Header"/>
      </w:pPr>
      <w:r>
        <w:t xml:space="preserve">In its response to the recommendations of the TWG, the Government indicated that it would consider </w:t>
      </w:r>
      <w:r w:rsidR="006A2DBF">
        <w:t>10</w:t>
      </w:r>
      <w:r>
        <w:t xml:space="preserve"> recommendations as high priority items for potential inclusion on the TPWP, and </w:t>
      </w:r>
      <w:r w:rsidR="006A2DBF">
        <w:t>28</w:t>
      </w:r>
      <w:r>
        <w:t xml:space="preserve"> recommendations as items to be considered for inclusion.  The following table provides a </w:t>
      </w:r>
      <w:r w:rsidR="008D78B7">
        <w:t>breakdown</w:t>
      </w:r>
      <w:r>
        <w:t xml:space="preserve"> of how these recommendations have been reflected on the proposed TPWP.</w:t>
      </w:r>
    </w:p>
    <w:p w14:paraId="2CBA6F58" w14:textId="77777777" w:rsidR="00660F41" w:rsidRDefault="00660F41" w:rsidP="00863FE5">
      <w:pPr>
        <w:pStyle w:val="Header"/>
      </w:pPr>
    </w:p>
    <w:p w14:paraId="074E43C9" w14:textId="77777777" w:rsidR="00660F41" w:rsidRPr="00C36987" w:rsidRDefault="00660F41" w:rsidP="00863FE5">
      <w:pPr>
        <w:pStyle w:val="Header"/>
        <w:rPr>
          <w:b/>
        </w:rPr>
      </w:pPr>
      <w:r w:rsidRPr="00C36987">
        <w:rPr>
          <w:b/>
        </w:rPr>
        <w:t>Table key:</w:t>
      </w:r>
    </w:p>
    <w:p w14:paraId="608B2E10" w14:textId="77777777" w:rsidR="00863FE5" w:rsidRDefault="00660F41" w:rsidP="00660F41">
      <w:pPr>
        <w:pStyle w:val="Header"/>
        <w:shd w:val="clear" w:color="auto" w:fill="FFE599" w:themeFill="accent4" w:themeFillTint="66"/>
      </w:pPr>
      <w:r>
        <w:t>Consider for inclusion on 2019/2020 TPWP</w:t>
      </w:r>
    </w:p>
    <w:p w14:paraId="567316EB" w14:textId="77777777" w:rsidR="00660F41" w:rsidRDefault="00660F41" w:rsidP="00660F41">
      <w:pPr>
        <w:pStyle w:val="Header"/>
        <w:shd w:val="clear" w:color="auto" w:fill="F4B083" w:themeFill="accent2" w:themeFillTint="99"/>
      </w:pPr>
      <w:r>
        <w:t>Consider as a high priority for inclusion on 2019/2020 TPWP</w:t>
      </w:r>
    </w:p>
    <w:p w14:paraId="18431FEC" w14:textId="77777777" w:rsidR="00660F41" w:rsidRDefault="00660F41" w:rsidP="00863FE5">
      <w:pPr>
        <w:pStyle w:val="Head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863FE5" w14:paraId="245A94E0" w14:textId="77777777" w:rsidTr="00C36987">
        <w:tc>
          <w:tcPr>
            <w:tcW w:w="4815" w:type="dxa"/>
          </w:tcPr>
          <w:p w14:paraId="622C5F73" w14:textId="77777777" w:rsidR="00863FE5" w:rsidRPr="006A2DBF" w:rsidRDefault="00863FE5" w:rsidP="00863FE5">
            <w:pPr>
              <w:pStyle w:val="Header"/>
              <w:rPr>
                <w:b/>
              </w:rPr>
            </w:pPr>
            <w:r w:rsidRPr="006A2DBF">
              <w:rPr>
                <w:b/>
              </w:rPr>
              <w:t>TWG recommendations</w:t>
            </w:r>
          </w:p>
        </w:tc>
        <w:tc>
          <w:tcPr>
            <w:tcW w:w="4201" w:type="dxa"/>
          </w:tcPr>
          <w:p w14:paraId="5B5699E4" w14:textId="77777777" w:rsidR="00863FE5" w:rsidRPr="006A2DBF" w:rsidRDefault="00863FE5" w:rsidP="00863FE5">
            <w:pPr>
              <w:pStyle w:val="Header"/>
              <w:rPr>
                <w:b/>
              </w:rPr>
            </w:pPr>
            <w:r w:rsidRPr="006A2DBF">
              <w:rPr>
                <w:b/>
              </w:rPr>
              <w:t>How it is reflected on the TPWP</w:t>
            </w:r>
          </w:p>
        </w:tc>
      </w:tr>
      <w:tr w:rsidR="00863FE5" w14:paraId="303EC6BF" w14:textId="77777777" w:rsidTr="00C36987">
        <w:tc>
          <w:tcPr>
            <w:tcW w:w="4815" w:type="dxa"/>
          </w:tcPr>
          <w:p w14:paraId="420E0F12" w14:textId="77777777" w:rsidR="00863FE5" w:rsidRDefault="006A2DBF" w:rsidP="00863FE5">
            <w:pPr>
              <w:pStyle w:val="Header"/>
            </w:pPr>
            <w:r>
              <w:t xml:space="preserve">Land recommendations (including options </w:t>
            </w:r>
            <w:r w:rsidR="002121AC">
              <w:t>around investment property and speculators, land-bankers and vacant land)</w:t>
            </w:r>
          </w:p>
          <w:p w14:paraId="3064FA22" w14:textId="77777777" w:rsidR="006A2DBF" w:rsidRDefault="006A2DBF" w:rsidP="00863FE5">
            <w:pPr>
              <w:pStyle w:val="Header"/>
            </w:pPr>
          </w:p>
          <w:p w14:paraId="2CDCC6F7" w14:textId="77777777" w:rsidR="00660F41" w:rsidRDefault="006A2DBF" w:rsidP="00660F41">
            <w:pPr>
              <w:pStyle w:val="Header"/>
              <w:shd w:val="clear" w:color="auto" w:fill="F4B083" w:themeFill="accent2" w:themeFillTint="99"/>
              <w:rPr>
                <w:i/>
                <w:sz w:val="16"/>
              </w:rPr>
            </w:pPr>
            <w:r w:rsidRPr="00FB0DD3">
              <w:rPr>
                <w:i/>
                <w:sz w:val="16"/>
              </w:rPr>
              <w:t>Rec</w:t>
            </w:r>
            <w:r w:rsidR="00660F41">
              <w:rPr>
                <w:i/>
                <w:sz w:val="16"/>
              </w:rPr>
              <w:t>s</w:t>
            </w:r>
            <w:r w:rsidRPr="00FB0DD3">
              <w:rPr>
                <w:i/>
                <w:sz w:val="16"/>
              </w:rPr>
              <w:t xml:space="preserve"> </w:t>
            </w:r>
            <w:r w:rsidR="002121AC" w:rsidRPr="00FB0DD3">
              <w:rPr>
                <w:i/>
                <w:sz w:val="16"/>
              </w:rPr>
              <w:t>96</w:t>
            </w:r>
            <w:r w:rsidR="00660F41">
              <w:rPr>
                <w:i/>
                <w:sz w:val="16"/>
              </w:rPr>
              <w:t xml:space="preserve"> and 97 – Vacant land and land banking, including Productivity Commission review</w:t>
            </w:r>
          </w:p>
          <w:p w14:paraId="2CC9B8B0" w14:textId="77777777" w:rsidR="00660F41" w:rsidRDefault="00660F41" w:rsidP="00660F41">
            <w:pPr>
              <w:pStyle w:val="Header"/>
              <w:shd w:val="clear" w:color="auto" w:fill="F4B083" w:themeFill="accent2" w:themeFillTint="99"/>
              <w:rPr>
                <w:i/>
                <w:sz w:val="16"/>
              </w:rPr>
            </w:pPr>
            <w:r>
              <w:rPr>
                <w:i/>
                <w:sz w:val="16"/>
              </w:rPr>
              <w:t>Rec 98 – repeal 10-year rule</w:t>
            </w:r>
          </w:p>
          <w:p w14:paraId="51BF124D" w14:textId="77777777" w:rsidR="00660F41" w:rsidRDefault="00660F41" w:rsidP="00660F41">
            <w:pPr>
              <w:pStyle w:val="Header"/>
              <w:shd w:val="clear" w:color="auto" w:fill="F4B083" w:themeFill="accent2" w:themeFillTint="99"/>
              <w:rPr>
                <w:i/>
                <w:sz w:val="16"/>
              </w:rPr>
            </w:pPr>
            <w:r>
              <w:rPr>
                <w:i/>
                <w:sz w:val="16"/>
              </w:rPr>
              <w:t>Rec 99 – IRD numbers when transferring main home</w:t>
            </w:r>
          </w:p>
          <w:p w14:paraId="2A2DF010" w14:textId="77777777" w:rsidR="00660F41" w:rsidRDefault="00660F41" w:rsidP="00660F41">
            <w:pPr>
              <w:pStyle w:val="Header"/>
              <w:shd w:val="clear" w:color="auto" w:fill="F4B083" w:themeFill="accent2" w:themeFillTint="99"/>
              <w:rPr>
                <w:i/>
                <w:sz w:val="16"/>
              </w:rPr>
            </w:pPr>
          </w:p>
          <w:p w14:paraId="3F5F525B" w14:textId="77777777" w:rsidR="00660F41" w:rsidRPr="00660F41" w:rsidRDefault="00660F41" w:rsidP="00660F41">
            <w:pPr>
              <w:pStyle w:val="Header"/>
              <w:shd w:val="clear" w:color="auto" w:fill="F4B083" w:themeFill="accent2" w:themeFillTint="9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Note also Government indicated that it intended to seek a review of current rules relating to land speculators. </w:t>
            </w:r>
          </w:p>
        </w:tc>
        <w:tc>
          <w:tcPr>
            <w:tcW w:w="4201" w:type="dxa"/>
            <w:shd w:val="clear" w:color="auto" w:fill="FFFFFF" w:themeFill="background1"/>
          </w:tcPr>
          <w:p w14:paraId="46E73DE8" w14:textId="77777777" w:rsidR="00863FE5" w:rsidRDefault="006A2DBF" w:rsidP="00863FE5">
            <w:pPr>
              <w:pStyle w:val="Header"/>
            </w:pPr>
            <w:r>
              <w:t xml:space="preserve">Included in the </w:t>
            </w:r>
            <w:r w:rsidR="00660F41">
              <w:t xml:space="preserve">TPWP work on </w:t>
            </w:r>
            <w:r>
              <w:t>land</w:t>
            </w:r>
            <w:r w:rsidR="00CD6F2C">
              <w:t>.</w:t>
            </w:r>
            <w:r>
              <w:t xml:space="preserve"> </w:t>
            </w:r>
          </w:p>
        </w:tc>
      </w:tr>
      <w:tr w:rsidR="00BC28F8" w14:paraId="7890E693" w14:textId="77777777" w:rsidTr="00C36987">
        <w:tc>
          <w:tcPr>
            <w:tcW w:w="4815" w:type="dxa"/>
          </w:tcPr>
          <w:p w14:paraId="735B6294" w14:textId="77777777" w:rsidR="00BC28F8" w:rsidRDefault="00CD6F2C" w:rsidP="00863FE5">
            <w:pPr>
              <w:pStyle w:val="Header"/>
            </w:pPr>
            <w:r>
              <w:t>TWG recommendations on “concessions”</w:t>
            </w:r>
            <w:r w:rsidR="00FB0DD3">
              <w:t xml:space="preserve"> and exemptions</w:t>
            </w:r>
          </w:p>
          <w:p w14:paraId="13E1B5C3" w14:textId="77777777" w:rsidR="00CD6F2C" w:rsidRDefault="00CD6F2C" w:rsidP="00863FE5">
            <w:pPr>
              <w:pStyle w:val="Header"/>
            </w:pPr>
          </w:p>
          <w:p w14:paraId="5506C631" w14:textId="77777777" w:rsidR="00FB0DD3" w:rsidRDefault="00FB0DD3" w:rsidP="00863FE5">
            <w:pPr>
              <w:pStyle w:val="Header"/>
              <w:rPr>
                <w:i/>
                <w:sz w:val="16"/>
              </w:rPr>
            </w:pPr>
          </w:p>
          <w:p w14:paraId="7FEE2328" w14:textId="77777777" w:rsidR="00FB0DD3" w:rsidRDefault="00FB0DD3" w:rsidP="00660F41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</w:p>
          <w:p w14:paraId="6DC7C22B" w14:textId="77777777" w:rsidR="00A554C9" w:rsidRDefault="00CD6F2C" w:rsidP="00660F41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 w:rsidRPr="00FB0DD3">
              <w:rPr>
                <w:i/>
                <w:sz w:val="16"/>
              </w:rPr>
              <w:t>Rec</w:t>
            </w:r>
            <w:r w:rsidR="002E4688">
              <w:rPr>
                <w:i/>
                <w:sz w:val="16"/>
              </w:rPr>
              <w:t xml:space="preserve"> 17 – tax deductibility of costs associated with QEII covenant or </w:t>
            </w:r>
            <w:proofErr w:type="spellStart"/>
            <w:r w:rsidR="00A554C9" w:rsidRPr="00A554C9">
              <w:rPr>
                <w:i/>
                <w:sz w:val="16"/>
              </w:rPr>
              <w:t>Ngā</w:t>
            </w:r>
            <w:proofErr w:type="spellEnd"/>
            <w:r w:rsidR="00A554C9" w:rsidRPr="00A554C9">
              <w:rPr>
                <w:i/>
                <w:sz w:val="16"/>
              </w:rPr>
              <w:t xml:space="preserve"> Whenua </w:t>
            </w:r>
            <w:proofErr w:type="spellStart"/>
            <w:r w:rsidR="00A554C9" w:rsidRPr="00A554C9">
              <w:rPr>
                <w:i/>
                <w:sz w:val="16"/>
              </w:rPr>
              <w:t>Rāhui</w:t>
            </w:r>
            <w:proofErr w:type="spellEnd"/>
            <w:r w:rsidR="00A554C9" w:rsidRPr="00A554C9">
              <w:rPr>
                <w:i/>
                <w:sz w:val="16"/>
              </w:rPr>
              <w:t xml:space="preserve"> </w:t>
            </w:r>
          </w:p>
          <w:p w14:paraId="2370E994" w14:textId="77777777" w:rsidR="00660F41" w:rsidRDefault="002E4688" w:rsidP="00660F41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>
              <w:rPr>
                <w:i/>
                <w:sz w:val="16"/>
              </w:rPr>
              <w:t>Rec</w:t>
            </w:r>
            <w:r w:rsidR="00660F41">
              <w:rPr>
                <w:i/>
                <w:sz w:val="16"/>
              </w:rPr>
              <w:t xml:space="preserve"> 18</w:t>
            </w:r>
            <w:r w:rsidR="00CD6F2C" w:rsidRPr="00FB0DD3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– FBT exemption for public transport</w:t>
            </w:r>
          </w:p>
          <w:p w14:paraId="3DBD9348" w14:textId="77777777" w:rsidR="00660F41" w:rsidRDefault="00660F41" w:rsidP="00660F41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Rec </w:t>
            </w:r>
            <w:r w:rsidR="00CD6F2C" w:rsidRPr="00FB0DD3">
              <w:rPr>
                <w:i/>
                <w:sz w:val="16"/>
              </w:rPr>
              <w:t>19</w:t>
            </w:r>
            <w:r>
              <w:rPr>
                <w:i/>
                <w:sz w:val="16"/>
              </w:rPr>
              <w:t xml:space="preserve"> – removing concessions harmful to natural capital</w:t>
            </w:r>
            <w:r w:rsidR="00FB0DD3" w:rsidRPr="00FB0DD3">
              <w:rPr>
                <w:i/>
                <w:sz w:val="16"/>
              </w:rPr>
              <w:t xml:space="preserve"> </w:t>
            </w:r>
          </w:p>
          <w:p w14:paraId="2CC7F3B2" w14:textId="77777777" w:rsidR="00FB0DD3" w:rsidRPr="00FB0DD3" w:rsidRDefault="00660F41" w:rsidP="00660F41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Rec </w:t>
            </w:r>
            <w:r w:rsidR="00FB0DD3" w:rsidRPr="00FB0DD3">
              <w:rPr>
                <w:i/>
                <w:sz w:val="16"/>
              </w:rPr>
              <w:t>38</w:t>
            </w:r>
            <w:r>
              <w:rPr>
                <w:i/>
                <w:sz w:val="16"/>
              </w:rPr>
              <w:t xml:space="preserve"> – New Zealand Superannuation Fund exemption</w:t>
            </w:r>
          </w:p>
        </w:tc>
        <w:tc>
          <w:tcPr>
            <w:tcW w:w="4201" w:type="dxa"/>
            <w:shd w:val="clear" w:color="auto" w:fill="FFFFFF" w:themeFill="background1"/>
          </w:tcPr>
          <w:p w14:paraId="0DDCB288" w14:textId="77777777" w:rsidR="00CD6F2C" w:rsidRDefault="00CD6F2C" w:rsidP="00660F41">
            <w:pPr>
              <w:pStyle w:val="Header"/>
            </w:pPr>
          </w:p>
          <w:p w14:paraId="66B9CE17" w14:textId="77777777" w:rsidR="002E4688" w:rsidRDefault="002E4688" w:rsidP="00660F41">
            <w:pPr>
              <w:pStyle w:val="Header"/>
            </w:pPr>
            <w:r>
              <w:t>Concessions and exemptions included in general work on tax exemptions on the TPWP.</w:t>
            </w:r>
          </w:p>
          <w:p w14:paraId="01243B86" w14:textId="77777777" w:rsidR="002E4688" w:rsidRDefault="002E4688" w:rsidP="00660F41">
            <w:pPr>
              <w:pStyle w:val="Header"/>
            </w:pPr>
          </w:p>
          <w:p w14:paraId="660C3E1F" w14:textId="77777777" w:rsidR="00CD6F2C" w:rsidRPr="00660F41" w:rsidRDefault="00CD6F2C" w:rsidP="00660F41">
            <w:pPr>
              <w:pStyle w:val="Header"/>
            </w:pPr>
            <w:r w:rsidRPr="00660F41">
              <w:t>Recommendation 19 relating to tax concessions for petroleum mining included in environment/sustainable economy</w:t>
            </w:r>
            <w:r w:rsidR="002E4688">
              <w:t xml:space="preserve"> work on TPWP</w:t>
            </w:r>
            <w:r w:rsidRPr="00660F41">
              <w:t>.</w:t>
            </w:r>
          </w:p>
          <w:p w14:paraId="7EB81F2C" w14:textId="77777777" w:rsidR="00660F41" w:rsidRDefault="00660F41" w:rsidP="00660F41">
            <w:pPr>
              <w:pStyle w:val="Header"/>
            </w:pPr>
          </w:p>
        </w:tc>
      </w:tr>
      <w:tr w:rsidR="00CD6F2C" w14:paraId="2758A1B0" w14:textId="77777777" w:rsidTr="00C36987">
        <w:tc>
          <w:tcPr>
            <w:tcW w:w="4815" w:type="dxa"/>
          </w:tcPr>
          <w:p w14:paraId="69EA7E86" w14:textId="77777777" w:rsidR="00CD6F2C" w:rsidRDefault="00CD6F2C" w:rsidP="00CD6F2C">
            <w:pPr>
              <w:pStyle w:val="Header"/>
            </w:pPr>
            <w:r>
              <w:t>Environmental recommendations</w:t>
            </w:r>
          </w:p>
          <w:p w14:paraId="6404D4E3" w14:textId="77777777" w:rsidR="00CD6F2C" w:rsidRDefault="00CD6F2C" w:rsidP="00CD6F2C">
            <w:pPr>
              <w:pStyle w:val="Header"/>
            </w:pPr>
          </w:p>
          <w:p w14:paraId="2867EC1F" w14:textId="77777777" w:rsidR="00CD6F2C" w:rsidRPr="002E4688" w:rsidRDefault="00CD6F2C" w:rsidP="002E4688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 w:rsidRPr="00FB0DD3">
              <w:rPr>
                <w:i/>
                <w:sz w:val="16"/>
              </w:rPr>
              <w:t>Rec</w:t>
            </w:r>
            <w:r w:rsidR="002E4688">
              <w:rPr>
                <w:i/>
                <w:sz w:val="16"/>
              </w:rPr>
              <w:t>s 5, 20 to 24 – recommendations relating to the environment.</w:t>
            </w:r>
          </w:p>
        </w:tc>
        <w:tc>
          <w:tcPr>
            <w:tcW w:w="4201" w:type="dxa"/>
            <w:shd w:val="clear" w:color="auto" w:fill="FFFFFF" w:themeFill="background1"/>
          </w:tcPr>
          <w:p w14:paraId="35DA2B11" w14:textId="77777777" w:rsidR="00CD6F2C" w:rsidRDefault="00CD6F2C" w:rsidP="00CD6F2C">
            <w:pPr>
              <w:pStyle w:val="Header"/>
            </w:pPr>
            <w:r>
              <w:t>Included in the environment/</w:t>
            </w:r>
            <w:r w:rsidR="00C36987">
              <w:t xml:space="preserve"> </w:t>
            </w:r>
            <w:r>
              <w:t>sustainable economy</w:t>
            </w:r>
            <w:r w:rsidR="002E4688">
              <w:t xml:space="preserve"> work on TPWP, generally as a watching brief and working closely with Ministry for the Environment.</w:t>
            </w:r>
          </w:p>
          <w:p w14:paraId="0DB301CC" w14:textId="77777777" w:rsidR="002E4688" w:rsidRDefault="002E4688" w:rsidP="00CD6F2C">
            <w:pPr>
              <w:pStyle w:val="Header"/>
            </w:pPr>
          </w:p>
        </w:tc>
      </w:tr>
      <w:tr w:rsidR="00CD6F2C" w14:paraId="5382ADE3" w14:textId="77777777" w:rsidTr="00C36987">
        <w:tc>
          <w:tcPr>
            <w:tcW w:w="4815" w:type="dxa"/>
          </w:tcPr>
          <w:p w14:paraId="0E3FA7B8" w14:textId="77777777" w:rsidR="00CD6F2C" w:rsidRDefault="00CD6F2C" w:rsidP="00CD6F2C">
            <w:pPr>
              <w:pStyle w:val="Header"/>
            </w:pPr>
            <w:r>
              <w:t>Business recommendations</w:t>
            </w:r>
            <w:r w:rsidR="000F1BF1">
              <w:t xml:space="preserve"> (including </w:t>
            </w:r>
            <w:r w:rsidR="00A554C9" w:rsidRPr="00A554C9">
              <w:t xml:space="preserve">Māori </w:t>
            </w:r>
            <w:r w:rsidR="000F1BF1">
              <w:t>authority rates, loss continuity and loss trading rules, blackhole expenditure, depreciation, seismic strengthening, GST contractors, closely-held company issues, and improving collection and compliance).</w:t>
            </w:r>
          </w:p>
          <w:p w14:paraId="3B11FBF6" w14:textId="77777777" w:rsidR="00CD6F2C" w:rsidRDefault="00CD6F2C" w:rsidP="00CD6F2C">
            <w:pPr>
              <w:pStyle w:val="Header"/>
            </w:pPr>
          </w:p>
          <w:p w14:paraId="3BFBD619" w14:textId="77777777" w:rsidR="002E4688" w:rsidRDefault="00CD6F2C" w:rsidP="00B46E54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 w:rsidRPr="00FB0DD3">
              <w:rPr>
                <w:i/>
                <w:sz w:val="16"/>
              </w:rPr>
              <w:t>Rec</w:t>
            </w:r>
            <w:r w:rsidR="002E4688">
              <w:rPr>
                <w:i/>
                <w:sz w:val="16"/>
              </w:rPr>
              <w:t>s</w:t>
            </w:r>
            <w:r w:rsidRPr="00FB0DD3">
              <w:rPr>
                <w:i/>
                <w:sz w:val="16"/>
              </w:rPr>
              <w:t xml:space="preserve"> 30</w:t>
            </w:r>
            <w:r w:rsidR="002E4688">
              <w:rPr>
                <w:i/>
                <w:sz w:val="16"/>
              </w:rPr>
              <w:t xml:space="preserve"> and 31 – </w:t>
            </w:r>
            <w:r w:rsidR="00A554C9" w:rsidRPr="00A554C9">
              <w:rPr>
                <w:i/>
                <w:sz w:val="16"/>
              </w:rPr>
              <w:t xml:space="preserve">Māori </w:t>
            </w:r>
            <w:r w:rsidR="002E4688">
              <w:rPr>
                <w:i/>
                <w:sz w:val="16"/>
              </w:rPr>
              <w:t>authority rates</w:t>
            </w:r>
          </w:p>
          <w:p w14:paraId="47514CBB" w14:textId="77777777" w:rsidR="002E4688" w:rsidRDefault="002E4688" w:rsidP="00B46E54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>
              <w:rPr>
                <w:i/>
                <w:sz w:val="16"/>
              </w:rPr>
              <w:t>Rec 32 – loss continuity</w:t>
            </w:r>
          </w:p>
          <w:p w14:paraId="14F97EFF" w14:textId="77777777" w:rsidR="002E4688" w:rsidRDefault="002E4688" w:rsidP="00B46E54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>
              <w:rPr>
                <w:i/>
                <w:sz w:val="16"/>
              </w:rPr>
              <w:t>Rec 33 blackhole expenditure</w:t>
            </w:r>
          </w:p>
          <w:p w14:paraId="4289C70A" w14:textId="77777777" w:rsidR="002E4688" w:rsidRDefault="002E4688" w:rsidP="00CD6F2C">
            <w:pPr>
              <w:pStyle w:val="Head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Rec 34 – </w:t>
            </w:r>
            <w:r w:rsidRPr="00B46E54">
              <w:rPr>
                <w:i/>
                <w:sz w:val="16"/>
                <w:shd w:val="clear" w:color="auto" w:fill="FFE599" w:themeFill="accent4" w:themeFillTint="66"/>
              </w:rPr>
              <w:t>depreciation</w:t>
            </w:r>
            <w:r>
              <w:rPr>
                <w:i/>
                <w:sz w:val="16"/>
              </w:rPr>
              <w:t xml:space="preserve"> and </w:t>
            </w:r>
            <w:r w:rsidRPr="00B46E54">
              <w:rPr>
                <w:i/>
                <w:sz w:val="16"/>
                <w:shd w:val="clear" w:color="auto" w:fill="F4B083" w:themeFill="accent2" w:themeFillTint="99"/>
              </w:rPr>
              <w:t>seismic strengthening</w:t>
            </w:r>
          </w:p>
          <w:p w14:paraId="3AA5B2A2" w14:textId="77777777" w:rsidR="002E4688" w:rsidRDefault="002E4688" w:rsidP="00B46E54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>
              <w:rPr>
                <w:i/>
                <w:sz w:val="16"/>
              </w:rPr>
              <w:t>Rec 35 – tax measures that encourage building to higher environmental standards</w:t>
            </w:r>
          </w:p>
          <w:p w14:paraId="01C2CF31" w14:textId="77777777" w:rsidR="002E4688" w:rsidRDefault="002E4688" w:rsidP="00B46E54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>
              <w:rPr>
                <w:i/>
                <w:sz w:val="16"/>
              </w:rPr>
              <w:t>Rec 37 – options to reduce compliance costs</w:t>
            </w:r>
          </w:p>
          <w:p w14:paraId="29933237" w14:textId="77777777" w:rsidR="002E4688" w:rsidRDefault="002E4688" w:rsidP="00B46E54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>
              <w:rPr>
                <w:i/>
                <w:sz w:val="16"/>
              </w:rPr>
              <w:t>Rec 57 – GST and contractors</w:t>
            </w:r>
          </w:p>
          <w:p w14:paraId="0EFA304B" w14:textId="77777777" w:rsidR="00B46E54" w:rsidRDefault="002E4688" w:rsidP="00B46E54">
            <w:pPr>
              <w:pStyle w:val="Header"/>
              <w:shd w:val="clear" w:color="auto" w:fill="F4B083" w:themeFill="accent2" w:themeFillTint="99"/>
              <w:rPr>
                <w:i/>
                <w:sz w:val="16"/>
              </w:rPr>
            </w:pPr>
            <w:r>
              <w:rPr>
                <w:i/>
                <w:sz w:val="16"/>
              </w:rPr>
              <w:t>Rec 60 – loss trading and loss continuity review</w:t>
            </w:r>
          </w:p>
          <w:p w14:paraId="2F1B5C3A" w14:textId="77777777" w:rsidR="00B46E54" w:rsidRDefault="00B46E54" w:rsidP="00B46E54">
            <w:pPr>
              <w:pStyle w:val="Header"/>
              <w:shd w:val="clear" w:color="auto" w:fill="F4B083" w:themeFill="accent2" w:themeFillTint="99"/>
              <w:rPr>
                <w:i/>
                <w:sz w:val="16"/>
              </w:rPr>
            </w:pPr>
            <w:r>
              <w:rPr>
                <w:i/>
                <w:sz w:val="16"/>
              </w:rPr>
              <w:t>Rec 61 and 66 – closely-held company issues</w:t>
            </w:r>
          </w:p>
          <w:p w14:paraId="47ADF2A3" w14:textId="77777777" w:rsidR="00B46E54" w:rsidRDefault="00B46E54" w:rsidP="00B46E54">
            <w:pPr>
              <w:pStyle w:val="Header"/>
              <w:shd w:val="clear" w:color="auto" w:fill="F4B083" w:themeFill="accent2" w:themeFillTint="99"/>
              <w:rPr>
                <w:i/>
                <w:sz w:val="16"/>
              </w:rPr>
            </w:pPr>
            <w:r>
              <w:rPr>
                <w:i/>
                <w:sz w:val="16"/>
              </w:rPr>
              <w:t>Rec 64 – measures to improve collection and encourage compliance</w:t>
            </w:r>
          </w:p>
          <w:p w14:paraId="774241AF" w14:textId="77777777" w:rsidR="00B46E54" w:rsidRDefault="00B46E54" w:rsidP="00B46E54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>
              <w:rPr>
                <w:i/>
                <w:sz w:val="16"/>
              </w:rPr>
              <w:lastRenderedPageBreak/>
              <w:t xml:space="preserve">Rec 67 – ensuring the integrity of the tax system is maintained by exploring options around misalignment of tax rates </w:t>
            </w:r>
          </w:p>
          <w:p w14:paraId="43DEDB0C" w14:textId="77777777" w:rsidR="00CD6F2C" w:rsidRPr="00CD6F2C" w:rsidRDefault="00B46E54" w:rsidP="00B46E54">
            <w:pPr>
              <w:pStyle w:val="Header"/>
              <w:shd w:val="clear" w:color="auto" w:fill="FFE599" w:themeFill="accent4" w:themeFillTint="66"/>
              <w:rPr>
                <w:i/>
              </w:rPr>
            </w:pPr>
            <w:r>
              <w:rPr>
                <w:i/>
                <w:sz w:val="16"/>
              </w:rPr>
              <w:t>Rec 74 – tax disputes</w:t>
            </w:r>
          </w:p>
        </w:tc>
        <w:tc>
          <w:tcPr>
            <w:tcW w:w="4201" w:type="dxa"/>
          </w:tcPr>
          <w:p w14:paraId="57863A98" w14:textId="77777777" w:rsidR="00CD6F2C" w:rsidRDefault="00CD6F2C" w:rsidP="00CD6F2C">
            <w:pPr>
              <w:pStyle w:val="Header"/>
            </w:pPr>
            <w:r>
              <w:lastRenderedPageBreak/>
              <w:t xml:space="preserve">Included in the </w:t>
            </w:r>
            <w:r w:rsidR="00C36987">
              <w:t>work on the TPWP for</w:t>
            </w:r>
            <w:r>
              <w:t xml:space="preserve"> business</w:t>
            </w:r>
            <w:r w:rsidR="00C36987">
              <w:t>es.</w:t>
            </w:r>
          </w:p>
        </w:tc>
      </w:tr>
      <w:tr w:rsidR="00CD6F2C" w14:paraId="287CB580" w14:textId="77777777" w:rsidTr="00C36987">
        <w:tc>
          <w:tcPr>
            <w:tcW w:w="4815" w:type="dxa"/>
          </w:tcPr>
          <w:p w14:paraId="5755C10B" w14:textId="77777777" w:rsidR="00CD6F2C" w:rsidRDefault="00CD6F2C" w:rsidP="00CD6F2C">
            <w:pPr>
              <w:pStyle w:val="Header"/>
            </w:pPr>
            <w:r>
              <w:t>Infrastructure recommendation</w:t>
            </w:r>
          </w:p>
          <w:p w14:paraId="0FDBAC33" w14:textId="77777777" w:rsidR="00CD6F2C" w:rsidRDefault="00CD6F2C" w:rsidP="00CD6F2C">
            <w:pPr>
              <w:pStyle w:val="Header"/>
            </w:pPr>
          </w:p>
          <w:p w14:paraId="7969D4E6" w14:textId="77777777" w:rsidR="00CD6F2C" w:rsidRPr="00CD6F2C" w:rsidRDefault="00CD6F2C" w:rsidP="00CD6F2C">
            <w:pPr>
              <w:pStyle w:val="Header"/>
              <w:rPr>
                <w:i/>
              </w:rPr>
            </w:pPr>
            <w:r w:rsidRPr="00B46E54">
              <w:rPr>
                <w:i/>
                <w:sz w:val="16"/>
                <w:shd w:val="clear" w:color="auto" w:fill="F4B083" w:themeFill="accent2" w:themeFillTint="99"/>
              </w:rPr>
              <w:t>Recommendation 36</w:t>
            </w:r>
          </w:p>
        </w:tc>
        <w:tc>
          <w:tcPr>
            <w:tcW w:w="4201" w:type="dxa"/>
          </w:tcPr>
          <w:p w14:paraId="6C197A7B" w14:textId="77777777" w:rsidR="00CD6F2C" w:rsidRDefault="00CD6F2C" w:rsidP="00CD6F2C">
            <w:pPr>
              <w:pStyle w:val="Header"/>
            </w:pPr>
            <w:r>
              <w:t>Included in the</w:t>
            </w:r>
            <w:r w:rsidR="00C36987">
              <w:t xml:space="preserve"> work on</w:t>
            </w:r>
            <w:r>
              <w:t xml:space="preserve"> infrastructure</w:t>
            </w:r>
            <w:r w:rsidR="00C36987">
              <w:t xml:space="preserve"> on TPWP.</w:t>
            </w:r>
          </w:p>
        </w:tc>
      </w:tr>
      <w:tr w:rsidR="00FB0DD3" w14:paraId="4ABD79D8" w14:textId="77777777" w:rsidTr="00C36987">
        <w:tc>
          <w:tcPr>
            <w:tcW w:w="4815" w:type="dxa"/>
          </w:tcPr>
          <w:p w14:paraId="534BA9DE" w14:textId="77777777" w:rsidR="00FB0DD3" w:rsidRDefault="00FB0DD3" w:rsidP="00CD6F2C">
            <w:pPr>
              <w:pStyle w:val="Header"/>
            </w:pPr>
            <w:r>
              <w:t>Retirement savings recommendations</w:t>
            </w:r>
          </w:p>
          <w:p w14:paraId="18C09699" w14:textId="77777777" w:rsidR="00FB0DD3" w:rsidRDefault="00FB0DD3" w:rsidP="00CD6F2C">
            <w:pPr>
              <w:pStyle w:val="Header"/>
            </w:pPr>
          </w:p>
          <w:p w14:paraId="2F5E231B" w14:textId="77777777" w:rsidR="00B46E54" w:rsidRDefault="00FB0DD3" w:rsidP="00B46E54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>
              <w:rPr>
                <w:i/>
                <w:sz w:val="16"/>
              </w:rPr>
              <w:t>Rec 43</w:t>
            </w:r>
            <w:r w:rsidR="00B46E54">
              <w:rPr>
                <w:i/>
                <w:sz w:val="16"/>
              </w:rPr>
              <w:t xml:space="preserve"> – KiwiSaver</w:t>
            </w:r>
          </w:p>
          <w:p w14:paraId="49758D23" w14:textId="77777777" w:rsidR="00FB0DD3" w:rsidRPr="00FB0DD3" w:rsidRDefault="00B46E54" w:rsidP="00B46E54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>
              <w:rPr>
                <w:i/>
                <w:sz w:val="16"/>
              </w:rPr>
              <w:t>Rec 44 – PIE rates simplification</w:t>
            </w:r>
          </w:p>
        </w:tc>
        <w:tc>
          <w:tcPr>
            <w:tcW w:w="4201" w:type="dxa"/>
          </w:tcPr>
          <w:p w14:paraId="3DB458BF" w14:textId="77777777" w:rsidR="00FB0DD3" w:rsidRDefault="007A65ED" w:rsidP="00CD6F2C">
            <w:pPr>
              <w:pStyle w:val="Header"/>
            </w:pPr>
            <w:r>
              <w:t>Specific TWG recommendations on retirement savings not prioritised on the TPWP.  However, o</w:t>
            </w:r>
            <w:r w:rsidR="00FB0DD3">
              <w:t>pportunities from Business Transformation (BT) to improve social policy, including ways to simplify PIE rates (rec 44) included in BT</w:t>
            </w:r>
            <w:r w:rsidR="00C36987">
              <w:t xml:space="preserve"> work on the TPWP</w:t>
            </w:r>
            <w:r w:rsidR="00FB0DD3">
              <w:t>.</w:t>
            </w:r>
          </w:p>
        </w:tc>
      </w:tr>
      <w:tr w:rsidR="007A65ED" w14:paraId="1B9D24A7" w14:textId="77777777" w:rsidTr="00C36987">
        <w:tc>
          <w:tcPr>
            <w:tcW w:w="4815" w:type="dxa"/>
          </w:tcPr>
          <w:p w14:paraId="61F820DE" w14:textId="77777777" w:rsidR="007A65ED" w:rsidRDefault="007A65ED" w:rsidP="00CD6F2C">
            <w:pPr>
              <w:pStyle w:val="Header"/>
            </w:pPr>
            <w:r>
              <w:t>Tax secrecy and transparency recommendations</w:t>
            </w:r>
          </w:p>
          <w:p w14:paraId="0711D6D8" w14:textId="77777777" w:rsidR="007A65ED" w:rsidRDefault="007A65ED" w:rsidP="00CD6F2C">
            <w:pPr>
              <w:pStyle w:val="Header"/>
            </w:pPr>
          </w:p>
          <w:p w14:paraId="526BC90D" w14:textId="77777777" w:rsidR="00B46E54" w:rsidRDefault="007A65ED" w:rsidP="00B46E54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>
              <w:rPr>
                <w:i/>
                <w:sz w:val="16"/>
              </w:rPr>
              <w:t>Rec 68</w:t>
            </w:r>
            <w:r w:rsidR="00B46E54">
              <w:rPr>
                <w:i/>
                <w:sz w:val="16"/>
              </w:rPr>
              <w:t xml:space="preserve"> – research and surveys</w:t>
            </w:r>
          </w:p>
          <w:p w14:paraId="0C0CD47D" w14:textId="77777777" w:rsidR="00B46E54" w:rsidRDefault="00B46E54" w:rsidP="00B46E54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>
              <w:rPr>
                <w:i/>
                <w:sz w:val="16"/>
              </w:rPr>
              <w:t>Rec 69 – measures to increase transparency</w:t>
            </w:r>
          </w:p>
          <w:p w14:paraId="63406DF0" w14:textId="77777777" w:rsidR="00B46E54" w:rsidRDefault="00B46E54" w:rsidP="00B46E54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>
              <w:rPr>
                <w:i/>
                <w:sz w:val="16"/>
              </w:rPr>
              <w:t>Rec 70 – Inland Revenue publishing broader range of statistics</w:t>
            </w:r>
          </w:p>
          <w:p w14:paraId="39C688AC" w14:textId="77777777" w:rsidR="007A65ED" w:rsidRPr="007A65ED" w:rsidRDefault="00B46E54" w:rsidP="00B46E54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>
              <w:rPr>
                <w:i/>
                <w:sz w:val="16"/>
              </w:rPr>
              <w:t>Rec</w:t>
            </w:r>
            <w:r w:rsidR="007A65ED">
              <w:rPr>
                <w:i/>
                <w:sz w:val="16"/>
              </w:rPr>
              <w:t xml:space="preserve"> 71</w:t>
            </w:r>
            <w:r>
              <w:rPr>
                <w:i/>
                <w:sz w:val="16"/>
              </w:rPr>
              <w:t xml:space="preserve"> – Inland Revenue information collection</w:t>
            </w:r>
          </w:p>
        </w:tc>
        <w:tc>
          <w:tcPr>
            <w:tcW w:w="4201" w:type="dxa"/>
          </w:tcPr>
          <w:p w14:paraId="10760B53" w14:textId="77777777" w:rsidR="007A65ED" w:rsidRDefault="007A65ED" w:rsidP="00CD6F2C">
            <w:pPr>
              <w:pStyle w:val="Header"/>
            </w:pPr>
            <w:r>
              <w:t xml:space="preserve">Included in the information collection and use </w:t>
            </w:r>
            <w:r w:rsidR="00C36987">
              <w:t>work on TPWP</w:t>
            </w:r>
            <w:r>
              <w:t>.</w:t>
            </w:r>
          </w:p>
        </w:tc>
      </w:tr>
      <w:tr w:rsidR="007A65ED" w14:paraId="607A4E87" w14:textId="77777777" w:rsidTr="00C36987">
        <w:trPr>
          <w:trHeight w:val="702"/>
        </w:trPr>
        <w:tc>
          <w:tcPr>
            <w:tcW w:w="4815" w:type="dxa"/>
          </w:tcPr>
          <w:p w14:paraId="7693E8AA" w14:textId="77777777" w:rsidR="007A65ED" w:rsidRDefault="007A65ED" w:rsidP="00B46E54">
            <w:pPr>
              <w:pStyle w:val="Header"/>
            </w:pPr>
            <w:r>
              <w:t>Charities recommendations</w:t>
            </w:r>
          </w:p>
          <w:p w14:paraId="2351C555" w14:textId="77777777" w:rsidR="00B46E54" w:rsidRDefault="00B46E54" w:rsidP="00B46E54">
            <w:pPr>
              <w:pStyle w:val="Header"/>
              <w:shd w:val="clear" w:color="auto" w:fill="FFFFFF" w:themeFill="background1"/>
              <w:rPr>
                <w:i/>
                <w:sz w:val="16"/>
              </w:rPr>
            </w:pPr>
          </w:p>
          <w:p w14:paraId="130C2639" w14:textId="77777777" w:rsidR="007A65ED" w:rsidRPr="007A65ED" w:rsidRDefault="007A65ED" w:rsidP="00B46E54">
            <w:pPr>
              <w:pStyle w:val="Header"/>
              <w:shd w:val="clear" w:color="auto" w:fill="FFE599" w:themeFill="accent4" w:themeFillTint="66"/>
              <w:rPr>
                <w:i/>
                <w:sz w:val="16"/>
              </w:rPr>
            </w:pPr>
            <w:r>
              <w:rPr>
                <w:i/>
                <w:sz w:val="16"/>
              </w:rPr>
              <w:t>Recommendations 84 and 85</w:t>
            </w:r>
          </w:p>
        </w:tc>
        <w:tc>
          <w:tcPr>
            <w:tcW w:w="4201" w:type="dxa"/>
          </w:tcPr>
          <w:p w14:paraId="5423121A" w14:textId="77777777" w:rsidR="007A65ED" w:rsidRDefault="007A65ED" w:rsidP="00CD6F2C">
            <w:pPr>
              <w:pStyle w:val="Header"/>
            </w:pPr>
            <w:r>
              <w:t xml:space="preserve">Included in the charities </w:t>
            </w:r>
            <w:r w:rsidR="00B46E54">
              <w:t xml:space="preserve">work on the </w:t>
            </w:r>
            <w:proofErr w:type="gramStart"/>
            <w:r w:rsidR="00B46E54">
              <w:t xml:space="preserve">TPWP, </w:t>
            </w:r>
            <w:r w:rsidR="00C36987">
              <w:t>and</w:t>
            </w:r>
            <w:proofErr w:type="gramEnd"/>
            <w:r w:rsidR="00C36987">
              <w:t xml:space="preserve"> is </w:t>
            </w:r>
            <w:r w:rsidR="00B46E54">
              <w:t>closely connected to</w:t>
            </w:r>
            <w:r w:rsidR="00C36987">
              <w:t xml:space="preserve"> work by</w:t>
            </w:r>
            <w:r w:rsidR="00B46E54">
              <w:t xml:space="preserve"> </w:t>
            </w:r>
            <w:r w:rsidR="00C36987">
              <w:t>the Department of Internal Affairs.</w:t>
            </w:r>
          </w:p>
        </w:tc>
      </w:tr>
    </w:tbl>
    <w:p w14:paraId="4F237E23" w14:textId="77777777" w:rsidR="00863FE5" w:rsidRPr="00863FE5" w:rsidRDefault="00863FE5" w:rsidP="00863FE5">
      <w:pPr>
        <w:pStyle w:val="Header"/>
      </w:pPr>
    </w:p>
    <w:p w14:paraId="1FAAF08A" w14:textId="77777777" w:rsidR="00753D58" w:rsidRDefault="00753D58" w:rsidP="00863FE5">
      <w:pPr>
        <w:jc w:val="right"/>
      </w:pPr>
    </w:p>
    <w:sectPr w:rsidR="00753D5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535F9" w14:textId="77777777" w:rsidR="0056101C" w:rsidRDefault="0056101C" w:rsidP="00863FE5">
      <w:r>
        <w:separator/>
      </w:r>
    </w:p>
  </w:endnote>
  <w:endnote w:type="continuationSeparator" w:id="0">
    <w:p w14:paraId="4A6FC244" w14:textId="77777777" w:rsidR="0056101C" w:rsidRDefault="0056101C" w:rsidP="0086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9C9D2" w14:textId="77777777" w:rsidR="000F1BF1" w:rsidRDefault="000F1B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2AA587" wp14:editId="771D1E2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d4b44f30bc9349a1f51eb96b" descr="{&quot;HashCode&quot;:40431686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C1718B" w14:textId="77777777" w:rsidR="000F1BF1" w:rsidRPr="000F1BF1" w:rsidRDefault="000F1BF1" w:rsidP="000F1BF1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0F1BF1">
                            <w:rPr>
                              <w:color w:val="000000"/>
                            </w:rPr>
                            <w:t>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4b44f30bc9349a1f51eb96b" o:spid="_x0000_s1027" type="#_x0000_t202" alt="{&quot;HashCode&quot;:404316862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" o:allowincell="f" filled="f" stroked="f" strokeweight=".5pt">
              <v:textbox inset=",0,,0">
                <w:txbxContent>
                  <w:p w:rsidR="000F1BF1" w:rsidRPr="000F1BF1" w:rsidRDefault="000F1BF1" w:rsidP="000F1BF1">
                    <w:pPr>
                      <w:jc w:val="center"/>
                      <w:rPr>
                        <w:color w:val="000000"/>
                      </w:rPr>
                    </w:pPr>
                    <w:r w:rsidRPr="000F1BF1">
                      <w:rPr>
                        <w:color w:val="000000"/>
                      </w:rPr>
                      <w:t>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7B51D" w14:textId="77777777" w:rsidR="0056101C" w:rsidRDefault="0056101C" w:rsidP="00863FE5">
      <w:r>
        <w:separator/>
      </w:r>
    </w:p>
  </w:footnote>
  <w:footnote w:type="continuationSeparator" w:id="0">
    <w:p w14:paraId="4AA569E7" w14:textId="77777777" w:rsidR="0056101C" w:rsidRDefault="0056101C" w:rsidP="00863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E5"/>
    <w:rsid w:val="000F1BF1"/>
    <w:rsid w:val="002121AC"/>
    <w:rsid w:val="002C124F"/>
    <w:rsid w:val="002E4688"/>
    <w:rsid w:val="0056101C"/>
    <w:rsid w:val="00590784"/>
    <w:rsid w:val="005A4C49"/>
    <w:rsid w:val="00660F41"/>
    <w:rsid w:val="006A2DBF"/>
    <w:rsid w:val="00753D58"/>
    <w:rsid w:val="007A65ED"/>
    <w:rsid w:val="00863FE5"/>
    <w:rsid w:val="008D78B7"/>
    <w:rsid w:val="00A554C9"/>
    <w:rsid w:val="00B46E54"/>
    <w:rsid w:val="00BC28F8"/>
    <w:rsid w:val="00C36987"/>
    <w:rsid w:val="00C914B9"/>
    <w:rsid w:val="00CD6F2C"/>
    <w:rsid w:val="00D937E3"/>
    <w:rsid w:val="00DC2383"/>
    <w:rsid w:val="00F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DCCE92"/>
  <w15:chartTrackingRefBased/>
  <w15:docId w15:val="{644AFD7A-9B65-4E55-9333-301F851F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4B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F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FE5"/>
  </w:style>
  <w:style w:type="paragraph" w:styleId="Footer">
    <w:name w:val="footer"/>
    <w:basedOn w:val="Normal"/>
    <w:link w:val="FooterChar"/>
    <w:uiPriority w:val="99"/>
    <w:unhideWhenUsed/>
    <w:rsid w:val="00863F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FE5"/>
  </w:style>
  <w:style w:type="table" w:styleId="TableGrid">
    <w:name w:val="Table Grid"/>
    <w:basedOn w:val="TableNormal"/>
    <w:uiPriority w:val="39"/>
    <w:rsid w:val="00863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4 to DEV-19-SUB-0203 – Cabinet paper: Refresh of the Government's tax policy work programme for 2019/20 (31 July 2019)</vt:lpstr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4 to DEV-19-SUB-0203 – Cabinet paper: Refresh of the Government's tax policy work programme for 2019/20 (31 July 2019)</dc:title>
  <dc:subject/>
  <dc:creator/>
  <cp:keywords/>
  <dc:description/>
  <dcterms:created xsi:type="dcterms:W3CDTF">2020-09-09T01:44:00Z</dcterms:created>
  <dcterms:modified xsi:type="dcterms:W3CDTF">2020-09-09T01:44:00Z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