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030DF" w14:textId="77777777" w:rsidR="00BD3810" w:rsidRPr="00523B6E" w:rsidRDefault="00BD3810" w:rsidP="00BD3810">
      <w:pPr>
        <w:jc w:val="both"/>
        <w:rPr>
          <w:rFonts w:ascii="Arial" w:hAnsi="Arial" w:cs="Arial"/>
          <w:sz w:val="24"/>
          <w:szCs w:val="24"/>
        </w:rPr>
      </w:pPr>
      <w:r w:rsidRPr="00523B6E">
        <w:rPr>
          <w:rFonts w:ascii="Arial" w:hAnsi="Arial" w:cs="Arial"/>
          <w:sz w:val="24"/>
          <w:szCs w:val="24"/>
        </w:rPr>
        <w:t>In Confidence</w:t>
      </w:r>
    </w:p>
    <w:p w14:paraId="5A5F9D2C" w14:textId="77777777" w:rsidR="00BD3810" w:rsidRPr="00523B6E" w:rsidRDefault="00BD3810" w:rsidP="00BD3810">
      <w:pPr>
        <w:jc w:val="both"/>
        <w:rPr>
          <w:rFonts w:ascii="Arial" w:hAnsi="Arial" w:cs="Arial"/>
          <w:sz w:val="24"/>
          <w:szCs w:val="24"/>
        </w:rPr>
      </w:pPr>
    </w:p>
    <w:p w14:paraId="211D89BD" w14:textId="77777777" w:rsidR="00BD3810" w:rsidRPr="00523B6E" w:rsidRDefault="00BD3810" w:rsidP="00BD3810">
      <w:pPr>
        <w:spacing w:after="0"/>
        <w:jc w:val="both"/>
        <w:rPr>
          <w:rFonts w:ascii="Arial" w:hAnsi="Arial" w:cs="Arial"/>
          <w:sz w:val="24"/>
          <w:szCs w:val="24"/>
        </w:rPr>
      </w:pPr>
      <w:r w:rsidRPr="00523B6E">
        <w:rPr>
          <w:rFonts w:ascii="Arial" w:hAnsi="Arial" w:cs="Arial"/>
          <w:sz w:val="24"/>
          <w:szCs w:val="24"/>
        </w:rPr>
        <w:t>Office of the Minister of Energy and Resources</w:t>
      </w:r>
    </w:p>
    <w:p w14:paraId="0539C898" w14:textId="77777777" w:rsidR="00BD3810" w:rsidRPr="00523B6E" w:rsidRDefault="00BD3810" w:rsidP="00BD3810">
      <w:pPr>
        <w:jc w:val="both"/>
        <w:rPr>
          <w:rFonts w:ascii="Arial" w:hAnsi="Arial" w:cs="Arial"/>
          <w:sz w:val="24"/>
          <w:szCs w:val="24"/>
        </w:rPr>
      </w:pPr>
      <w:r w:rsidRPr="00523B6E">
        <w:rPr>
          <w:rFonts w:ascii="Arial" w:hAnsi="Arial" w:cs="Arial"/>
          <w:sz w:val="24"/>
          <w:szCs w:val="24"/>
        </w:rPr>
        <w:t>Office of the Minister of Revenue</w:t>
      </w:r>
    </w:p>
    <w:p w14:paraId="14D113C9" w14:textId="43C2DCAE" w:rsidR="00BD3810" w:rsidRPr="00523B6E" w:rsidRDefault="00BD3810" w:rsidP="00BD3810">
      <w:pPr>
        <w:jc w:val="both"/>
        <w:rPr>
          <w:rFonts w:ascii="Arial" w:hAnsi="Arial" w:cs="Arial"/>
          <w:sz w:val="24"/>
          <w:szCs w:val="24"/>
        </w:rPr>
      </w:pPr>
      <w:r w:rsidRPr="00523B6E">
        <w:rPr>
          <w:rFonts w:ascii="Arial" w:hAnsi="Arial" w:cs="Arial"/>
          <w:sz w:val="24"/>
          <w:szCs w:val="24"/>
        </w:rPr>
        <w:t xml:space="preserve">Chair, Cabinet </w:t>
      </w:r>
      <w:r w:rsidR="0030182A">
        <w:rPr>
          <w:rFonts w:ascii="Arial" w:hAnsi="Arial" w:cs="Arial"/>
          <w:sz w:val="24"/>
          <w:szCs w:val="24"/>
        </w:rPr>
        <w:t xml:space="preserve">Economic Development </w:t>
      </w:r>
      <w:r w:rsidR="002519A5">
        <w:rPr>
          <w:rFonts w:ascii="Arial" w:hAnsi="Arial" w:cs="Arial"/>
          <w:sz w:val="24"/>
          <w:szCs w:val="24"/>
        </w:rPr>
        <w:t>Committee</w:t>
      </w:r>
    </w:p>
    <w:p w14:paraId="33F0D213" w14:textId="77777777" w:rsidR="00BD3810" w:rsidRPr="00523B6E" w:rsidRDefault="00BD3810" w:rsidP="00BD3810">
      <w:pPr>
        <w:jc w:val="both"/>
        <w:rPr>
          <w:rFonts w:ascii="Arial" w:hAnsi="Arial" w:cs="Arial"/>
          <w:sz w:val="24"/>
          <w:szCs w:val="24"/>
        </w:rPr>
      </w:pPr>
    </w:p>
    <w:p w14:paraId="38B7E464" w14:textId="77777777" w:rsidR="00BD3810" w:rsidRPr="00523B6E" w:rsidRDefault="00BD3810" w:rsidP="00BD3810">
      <w:pPr>
        <w:jc w:val="both"/>
        <w:rPr>
          <w:rFonts w:ascii="Arial" w:hAnsi="Arial" w:cs="Arial"/>
          <w:b/>
          <w:sz w:val="24"/>
          <w:szCs w:val="24"/>
        </w:rPr>
      </w:pPr>
      <w:r w:rsidRPr="00523B6E">
        <w:rPr>
          <w:rFonts w:ascii="Arial" w:hAnsi="Arial" w:cs="Arial"/>
          <w:b/>
          <w:sz w:val="24"/>
          <w:szCs w:val="24"/>
        </w:rPr>
        <w:t>Extending tax exemption for non-resident offshore oil rig and seismic vessel operators</w:t>
      </w:r>
    </w:p>
    <w:p w14:paraId="01C1A0BB" w14:textId="77777777" w:rsidR="00BD3810" w:rsidRPr="00523B6E" w:rsidRDefault="00BD3810" w:rsidP="00BD3810">
      <w:pPr>
        <w:pStyle w:val="CabStandard"/>
        <w:numPr>
          <w:ilvl w:val="0"/>
          <w:numId w:val="0"/>
        </w:numPr>
        <w:ind w:left="720" w:hanging="720"/>
        <w:jc w:val="both"/>
        <w:rPr>
          <w:rFonts w:ascii="Arial" w:hAnsi="Arial" w:cs="Arial"/>
          <w:b/>
          <w:szCs w:val="24"/>
        </w:rPr>
      </w:pPr>
      <w:r w:rsidRPr="00523B6E">
        <w:rPr>
          <w:rFonts w:ascii="Arial" w:hAnsi="Arial" w:cs="Arial"/>
          <w:b/>
          <w:szCs w:val="24"/>
        </w:rPr>
        <w:t>Proposal</w:t>
      </w:r>
    </w:p>
    <w:p w14:paraId="7C3FD596" w14:textId="77777777" w:rsidR="00BD3810" w:rsidRPr="00D04B13" w:rsidRDefault="00BD3810" w:rsidP="00D04B13">
      <w:pPr>
        <w:pStyle w:val="CabStandard"/>
        <w:rPr>
          <w:rFonts w:ascii="Arial" w:hAnsi="Arial" w:cs="Arial"/>
        </w:rPr>
      </w:pPr>
      <w:r w:rsidRPr="00D04B13">
        <w:rPr>
          <w:rFonts w:ascii="Arial" w:hAnsi="Arial" w:cs="Arial"/>
        </w:rPr>
        <w:t>At present, there is a temporary five-year exemption from income tax on the income of non-resident offshore oil rig and seismic vessel operators which is due to expire on 31 December 2019.</w:t>
      </w:r>
      <w:r w:rsidR="00982934">
        <w:rPr>
          <w:rFonts w:ascii="Arial" w:hAnsi="Arial" w:cs="Arial"/>
        </w:rPr>
        <w:t xml:space="preserve"> </w:t>
      </w:r>
      <w:r w:rsidRPr="00D04B13">
        <w:rPr>
          <w:rFonts w:ascii="Arial" w:hAnsi="Arial" w:cs="Arial"/>
        </w:rPr>
        <w:t>We propose that the exemption be extended for a further five years from 1 January 2020 until 31 December 2024.</w:t>
      </w:r>
    </w:p>
    <w:p w14:paraId="37F1C96A" w14:textId="77777777" w:rsidR="00BD3810" w:rsidRPr="00523B6E" w:rsidRDefault="00BD3810" w:rsidP="00BD3810">
      <w:pPr>
        <w:pStyle w:val="CabStandard"/>
        <w:numPr>
          <w:ilvl w:val="0"/>
          <w:numId w:val="0"/>
        </w:numPr>
        <w:jc w:val="both"/>
        <w:rPr>
          <w:rFonts w:ascii="Arial" w:hAnsi="Arial" w:cs="Arial"/>
          <w:b/>
          <w:szCs w:val="24"/>
        </w:rPr>
      </w:pPr>
      <w:r w:rsidRPr="00523B6E">
        <w:rPr>
          <w:rFonts w:ascii="Arial" w:hAnsi="Arial" w:cs="Arial"/>
          <w:b/>
          <w:szCs w:val="24"/>
        </w:rPr>
        <w:t xml:space="preserve">Executive Summary </w:t>
      </w:r>
    </w:p>
    <w:p w14:paraId="51C8C3E5" w14:textId="77777777" w:rsidR="00BD3810" w:rsidRPr="00D04B13" w:rsidRDefault="00BD3810" w:rsidP="00D04B13">
      <w:pPr>
        <w:pStyle w:val="CabStandard"/>
        <w:rPr>
          <w:rFonts w:ascii="Arial" w:hAnsi="Arial" w:cs="Arial"/>
        </w:rPr>
      </w:pPr>
      <w:r w:rsidRPr="00D04B13">
        <w:rPr>
          <w:rFonts w:ascii="Arial" w:hAnsi="Arial" w:cs="Arial"/>
        </w:rPr>
        <w:t xml:space="preserve">At present, there is a temporary five-year exemption from income tax on the income of non-resident offshore oil rig and seismic vessel operators which is due to expire on 31 December 2019. The exemption removes the incentive for rigs and seismic vessels to “churn”, that is, move in and out of New Zealand waters within 183-days to ensure income is exempt from income tax under many of our double tax agreements (DTAs). </w:t>
      </w:r>
    </w:p>
    <w:p w14:paraId="1E10009C" w14:textId="77777777" w:rsidR="00BD3810" w:rsidRPr="00D04B13" w:rsidRDefault="00BD3810" w:rsidP="00D04B13">
      <w:pPr>
        <w:pStyle w:val="CabStandard"/>
        <w:rPr>
          <w:rFonts w:ascii="Arial" w:hAnsi="Arial" w:cs="Arial"/>
        </w:rPr>
      </w:pPr>
      <w:r w:rsidRPr="00D04B13">
        <w:rPr>
          <w:rFonts w:ascii="Arial" w:hAnsi="Arial" w:cs="Arial"/>
        </w:rPr>
        <w:t>In the absence of the tax exemption no company tax would be paid by the oil rig and seismic vessel operators, while the increased costs from churning would be deductible to the New Zealand petroleum company and the reduced exploration and production may result in lower company taxes, petroleum royalties, and other taxes being paid over time.</w:t>
      </w:r>
    </w:p>
    <w:p w14:paraId="66F42109" w14:textId="77777777" w:rsidR="00BD3810" w:rsidRPr="00D04B13" w:rsidRDefault="00BD3810" w:rsidP="00D04B13">
      <w:pPr>
        <w:pStyle w:val="CabStandard"/>
        <w:rPr>
          <w:rFonts w:ascii="Arial" w:hAnsi="Arial" w:cs="Arial"/>
        </w:rPr>
      </w:pPr>
      <w:r w:rsidRPr="00D04B13">
        <w:rPr>
          <w:rFonts w:ascii="Arial" w:hAnsi="Arial" w:cs="Arial"/>
        </w:rPr>
        <w:t>A decision to extend the income tax exemption would be in keeping with the announcement that there will be no new offshore petroleum exploration permits granted, which included maintaining the existing and subsequent rights of existing operators. Where further offshore petroleum exploration is undertaken under existing permits, it is in New Zealand’s interest for this to be done as efficiently as possible, without having policies that encourage churn.</w:t>
      </w:r>
      <w:r w:rsidR="00982934">
        <w:rPr>
          <w:rFonts w:ascii="Arial" w:hAnsi="Arial" w:cs="Arial"/>
        </w:rPr>
        <w:t xml:space="preserve"> </w:t>
      </w:r>
    </w:p>
    <w:p w14:paraId="3EA4313C" w14:textId="77777777" w:rsidR="00BD3810" w:rsidRPr="00523B6E" w:rsidRDefault="00BD3810" w:rsidP="00BD3810">
      <w:pPr>
        <w:pStyle w:val="CabStandard"/>
        <w:numPr>
          <w:ilvl w:val="0"/>
          <w:numId w:val="0"/>
        </w:numPr>
        <w:jc w:val="both"/>
        <w:rPr>
          <w:rFonts w:ascii="Arial" w:hAnsi="Arial" w:cs="Arial"/>
          <w:b/>
          <w:szCs w:val="24"/>
        </w:rPr>
      </w:pPr>
      <w:r w:rsidRPr="00523B6E">
        <w:rPr>
          <w:rFonts w:ascii="Arial" w:hAnsi="Arial" w:cs="Arial"/>
          <w:b/>
          <w:szCs w:val="24"/>
        </w:rPr>
        <w:t xml:space="preserve">Background </w:t>
      </w:r>
    </w:p>
    <w:p w14:paraId="3C0191E8" w14:textId="77777777" w:rsidR="00BD3810" w:rsidRPr="00D04B13" w:rsidRDefault="00BD3810" w:rsidP="00D04B13">
      <w:pPr>
        <w:pStyle w:val="CabStandard"/>
        <w:rPr>
          <w:rFonts w:ascii="Arial" w:hAnsi="Arial" w:cs="Arial"/>
        </w:rPr>
      </w:pPr>
      <w:r w:rsidRPr="00D04B13">
        <w:rPr>
          <w:rFonts w:ascii="Arial" w:hAnsi="Arial" w:cs="Arial"/>
        </w:rPr>
        <w:t>The tax exemption was introduced in 2004 to address an issue created by our DTAs, under which operators are only taxable in New Zealand if they are present here for at least 183 days.</w:t>
      </w:r>
      <w:r w:rsidR="00982934">
        <w:rPr>
          <w:rFonts w:ascii="Arial" w:hAnsi="Arial" w:cs="Arial"/>
        </w:rPr>
        <w:t xml:space="preserve"> </w:t>
      </w:r>
      <w:r w:rsidRPr="00D04B13">
        <w:rPr>
          <w:rFonts w:ascii="Arial" w:hAnsi="Arial" w:cs="Arial"/>
        </w:rPr>
        <w:t>The exemption was subsequently renewed in 2009 and again in 2014 on the basis that this provides a more sensible result from a tax policy perspective.</w:t>
      </w:r>
      <w:r w:rsidR="00982934">
        <w:rPr>
          <w:rFonts w:ascii="Arial" w:hAnsi="Arial" w:cs="Arial"/>
        </w:rPr>
        <w:t xml:space="preserve"> </w:t>
      </w:r>
      <w:r w:rsidRPr="00D04B13">
        <w:rPr>
          <w:rFonts w:ascii="Arial" w:hAnsi="Arial" w:cs="Arial"/>
        </w:rPr>
        <w:t xml:space="preserve"> As the exemption is due to expire again on 31 December 2019, a decision is required on whether the exemption should continue to apply.</w:t>
      </w:r>
      <w:r w:rsidR="00982934">
        <w:rPr>
          <w:rFonts w:ascii="Arial" w:hAnsi="Arial" w:cs="Arial"/>
        </w:rPr>
        <w:t xml:space="preserve"> </w:t>
      </w:r>
    </w:p>
    <w:p w14:paraId="23473338" w14:textId="77777777" w:rsidR="00BD3810" w:rsidRPr="00D04B13" w:rsidRDefault="00BD3810" w:rsidP="00D04B13">
      <w:pPr>
        <w:pStyle w:val="CabStandard"/>
        <w:rPr>
          <w:rFonts w:ascii="Arial" w:hAnsi="Arial" w:cs="Arial"/>
        </w:rPr>
      </w:pPr>
      <w:r w:rsidRPr="00D04B13">
        <w:rPr>
          <w:rFonts w:ascii="Arial" w:hAnsi="Arial" w:cs="Arial"/>
        </w:rPr>
        <w:t>New Zealand generally taxes non-residents on income that has a source in New Zealand and if the non-resident has a “permanent establishment” in New Zealand.</w:t>
      </w:r>
      <w:r w:rsidR="00982934">
        <w:rPr>
          <w:rFonts w:ascii="Arial" w:hAnsi="Arial" w:cs="Arial"/>
        </w:rPr>
        <w:t xml:space="preserve"> </w:t>
      </w:r>
      <w:r w:rsidRPr="00D04B13">
        <w:rPr>
          <w:rFonts w:ascii="Arial" w:hAnsi="Arial" w:cs="Arial"/>
        </w:rPr>
        <w:lastRenderedPageBreak/>
        <w:t>Many of our DTAs (such as the New Zealand/United States DTA) have a specific rule providing that a non-resident enterprise involved in exploring for natural resources only has a permanent establishment in New Zealand if they are present for a particular period of time, often 183 days in a year.</w:t>
      </w:r>
      <w:r w:rsidR="00982934">
        <w:rPr>
          <w:rFonts w:ascii="Arial" w:hAnsi="Arial" w:cs="Arial"/>
        </w:rPr>
        <w:t xml:space="preserve"> </w:t>
      </w:r>
      <w:r w:rsidRPr="00D04B13">
        <w:rPr>
          <w:rFonts w:ascii="Arial" w:hAnsi="Arial" w:cs="Arial"/>
        </w:rPr>
        <w:t>Once a non-resident has a permanent establishment in New Zealand, it is taxed on all its New Zealand business profits starting from its first day in New Zealand.</w:t>
      </w:r>
    </w:p>
    <w:p w14:paraId="7D84BF2F" w14:textId="77777777" w:rsidR="00BD3810" w:rsidRPr="00D04B13" w:rsidRDefault="00BD3810" w:rsidP="00D04B13">
      <w:pPr>
        <w:pStyle w:val="CabStandard"/>
        <w:rPr>
          <w:rFonts w:ascii="Arial" w:hAnsi="Arial" w:cs="Arial"/>
        </w:rPr>
      </w:pPr>
      <w:r w:rsidRPr="00D04B13">
        <w:rPr>
          <w:rFonts w:ascii="Arial" w:hAnsi="Arial" w:cs="Arial"/>
        </w:rPr>
        <w:t xml:space="preserve">Before the exemption was introduced rigs and seismic vessels used in petroleum exploration and production were leaving New Zealand waters before the </w:t>
      </w:r>
      <w:proofErr w:type="gramStart"/>
      <w:r w:rsidRPr="00D04B13">
        <w:rPr>
          <w:rFonts w:ascii="Arial" w:hAnsi="Arial" w:cs="Arial"/>
        </w:rPr>
        <w:t>183 day</w:t>
      </w:r>
      <w:proofErr w:type="gramEnd"/>
      <w:r w:rsidRPr="00D04B13">
        <w:rPr>
          <w:rFonts w:ascii="Arial" w:hAnsi="Arial" w:cs="Arial"/>
        </w:rPr>
        <w:t xml:space="preserve"> threshold was reached to avoid being subject to New Zealand tax. This meant that, in most cases, a rig or vessel would leave before 183 days and a different rig or vessel was mobilised to complete the exploration/production programme, if required. This increased the cost for companies engaged in exploration and production and delayed exploration drilling and any subsequent discovery/development of oil or gas. It also meant that there was no company tax revenue collected from rigs and seismic ves</w:t>
      </w:r>
      <w:r w:rsidR="00982934">
        <w:rPr>
          <w:rFonts w:ascii="Arial" w:hAnsi="Arial" w:cs="Arial"/>
        </w:rPr>
        <w:t xml:space="preserve">sels. </w:t>
      </w:r>
      <w:r w:rsidRPr="00D04B13">
        <w:rPr>
          <w:rFonts w:ascii="Arial" w:hAnsi="Arial" w:cs="Arial"/>
        </w:rPr>
        <w:t>Due to the limited supply of offshore drilling rigs, and the significant mobilisation costs, it could also result in exploration activity not taking place when it otherwise would.</w:t>
      </w:r>
    </w:p>
    <w:p w14:paraId="68A77817" w14:textId="77777777" w:rsidR="00BD3810" w:rsidRPr="00523B6E" w:rsidRDefault="00BD3810" w:rsidP="00BD3810">
      <w:pPr>
        <w:pStyle w:val="CabStandard"/>
        <w:numPr>
          <w:ilvl w:val="0"/>
          <w:numId w:val="0"/>
        </w:numPr>
        <w:jc w:val="both"/>
        <w:rPr>
          <w:rFonts w:ascii="Arial" w:hAnsi="Arial" w:cs="Arial"/>
          <w:b/>
          <w:szCs w:val="24"/>
        </w:rPr>
      </w:pPr>
      <w:r w:rsidRPr="00523B6E">
        <w:rPr>
          <w:rFonts w:ascii="Arial" w:hAnsi="Arial" w:cs="Arial"/>
          <w:b/>
          <w:szCs w:val="24"/>
        </w:rPr>
        <w:t>Comment</w:t>
      </w:r>
    </w:p>
    <w:p w14:paraId="7BB6FAAB" w14:textId="77777777" w:rsidR="00BD3810" w:rsidRPr="00D04B13" w:rsidRDefault="00BD3810" w:rsidP="00D04B13">
      <w:pPr>
        <w:pStyle w:val="CabStandard"/>
        <w:rPr>
          <w:rFonts w:ascii="Arial" w:hAnsi="Arial" w:cs="Arial"/>
        </w:rPr>
      </w:pPr>
      <w:r w:rsidRPr="00D04B13">
        <w:rPr>
          <w:rFonts w:ascii="Arial" w:hAnsi="Arial" w:cs="Arial"/>
        </w:rPr>
        <w:t>Rigs and seismic vessels are used to drill for oil and gas and gather data on potential oil and gas finds. These rigs and vessels do not generally work offshore in winter weather for safety reasons.</w:t>
      </w:r>
      <w:r w:rsidR="00982934">
        <w:rPr>
          <w:rFonts w:ascii="Arial" w:hAnsi="Arial" w:cs="Arial"/>
        </w:rPr>
        <w:t xml:space="preserve"> </w:t>
      </w:r>
      <w:r w:rsidRPr="00D04B13">
        <w:rPr>
          <w:rFonts w:ascii="Arial" w:hAnsi="Arial" w:cs="Arial"/>
        </w:rPr>
        <w:t>No New Zealand companies own these assets,</w:t>
      </w:r>
      <w:r w:rsidRPr="00D04B13" w:rsidDel="00E31EDF">
        <w:rPr>
          <w:rFonts w:ascii="Arial" w:hAnsi="Arial" w:cs="Arial"/>
        </w:rPr>
        <w:t xml:space="preserve"> </w:t>
      </w:r>
      <w:r w:rsidRPr="00D04B13">
        <w:rPr>
          <w:rFonts w:ascii="Arial" w:hAnsi="Arial" w:cs="Arial"/>
        </w:rPr>
        <w:t>and offshore rigs and seismic vessels owned by non-residents are covered by the current income tax exemption.</w:t>
      </w:r>
    </w:p>
    <w:p w14:paraId="35BB7D0A" w14:textId="77777777" w:rsidR="00BD3810" w:rsidRPr="00D04B13" w:rsidRDefault="00BD3810" w:rsidP="00D04B13">
      <w:pPr>
        <w:pStyle w:val="CabStandard"/>
        <w:rPr>
          <w:rFonts w:ascii="Arial" w:hAnsi="Arial" w:cs="Arial"/>
        </w:rPr>
      </w:pPr>
      <w:r w:rsidRPr="00D04B13">
        <w:rPr>
          <w:rFonts w:ascii="Arial" w:hAnsi="Arial" w:cs="Arial"/>
        </w:rPr>
        <w:t>Between 2009 and 2017, there have been nine non-resident offshore drilling rigs operating in New Zealand. The average length of stay of these rigs has been 315 days.</w:t>
      </w:r>
      <w:r w:rsidR="00982934">
        <w:rPr>
          <w:rFonts w:ascii="Arial" w:hAnsi="Arial" w:cs="Arial"/>
        </w:rPr>
        <w:t xml:space="preserve"> </w:t>
      </w:r>
      <w:r w:rsidRPr="00D04B13">
        <w:rPr>
          <w:rFonts w:ascii="Arial" w:hAnsi="Arial" w:cs="Arial"/>
        </w:rPr>
        <w:t>By contrast, between 2000 and 2005 (before the exemption was introduced), no rigs stayed in New Zealand waters beyond six months.</w:t>
      </w:r>
      <w:r w:rsidR="00982934">
        <w:rPr>
          <w:rFonts w:ascii="Arial" w:hAnsi="Arial" w:cs="Arial"/>
        </w:rPr>
        <w:t xml:space="preserve"> </w:t>
      </w:r>
      <w:r w:rsidRPr="00D04B13">
        <w:rPr>
          <w:rFonts w:ascii="Arial" w:hAnsi="Arial" w:cs="Arial"/>
        </w:rPr>
        <w:t>At this stage it is anticipated at least one rig will operate within New Zealand waters in 2019-20.</w:t>
      </w:r>
    </w:p>
    <w:p w14:paraId="74B8B97A" w14:textId="77777777" w:rsidR="00BD3810" w:rsidRPr="00D04B13" w:rsidRDefault="00BD3810" w:rsidP="00D04B13">
      <w:pPr>
        <w:pStyle w:val="CabStandard"/>
        <w:rPr>
          <w:rFonts w:ascii="Arial" w:hAnsi="Arial" w:cs="Arial"/>
        </w:rPr>
      </w:pPr>
      <w:r w:rsidRPr="00D04B13">
        <w:rPr>
          <w:rFonts w:ascii="Arial" w:hAnsi="Arial" w:cs="Arial"/>
        </w:rPr>
        <w:t>Twelve seismic vessels have operated in New Zealand since 2009 with an average duration of 108 days with one high-value survey extending through to 200 days. Before 2005, the average length of stay was around four months.</w:t>
      </w:r>
      <w:r w:rsidR="00982934">
        <w:rPr>
          <w:rFonts w:ascii="Arial" w:hAnsi="Arial" w:cs="Arial"/>
        </w:rPr>
        <w:t xml:space="preserve"> </w:t>
      </w:r>
      <w:r w:rsidRPr="00D04B13">
        <w:rPr>
          <w:rFonts w:ascii="Arial" w:hAnsi="Arial" w:cs="Arial"/>
        </w:rPr>
        <w:t>Maintaining the exemption removes a barrier for lengthier stays (which have been fewer but are typically more lucrative).</w:t>
      </w:r>
    </w:p>
    <w:p w14:paraId="6DB07D25" w14:textId="77777777" w:rsidR="00BD3810" w:rsidRPr="00D04B13" w:rsidRDefault="00BD3810" w:rsidP="00D04B13">
      <w:pPr>
        <w:pStyle w:val="CabStandard"/>
        <w:rPr>
          <w:rFonts w:ascii="Arial" w:hAnsi="Arial" w:cs="Arial"/>
        </w:rPr>
      </w:pPr>
      <w:r w:rsidRPr="00D04B13">
        <w:rPr>
          <w:rFonts w:ascii="Arial" w:hAnsi="Arial" w:cs="Arial"/>
        </w:rPr>
        <w:t>A consistent application of New Zealand’s tax policy framework would normally minimise any distortions caused by tax rules.</w:t>
      </w:r>
      <w:r w:rsidR="00982934">
        <w:rPr>
          <w:rFonts w:ascii="Arial" w:hAnsi="Arial" w:cs="Arial"/>
        </w:rPr>
        <w:t xml:space="preserve"> </w:t>
      </w:r>
      <w:r w:rsidRPr="00D04B13">
        <w:rPr>
          <w:rFonts w:ascii="Arial" w:hAnsi="Arial" w:cs="Arial"/>
        </w:rPr>
        <w:t>However, with rigs and seismic vessels used for exploration or production work the normal tax rules do not provide the right outcome.</w:t>
      </w:r>
      <w:r w:rsidR="00982934">
        <w:rPr>
          <w:rFonts w:ascii="Arial" w:hAnsi="Arial" w:cs="Arial"/>
        </w:rPr>
        <w:t xml:space="preserve"> </w:t>
      </w:r>
      <w:r w:rsidRPr="00D04B13">
        <w:rPr>
          <w:rFonts w:ascii="Arial" w:hAnsi="Arial" w:cs="Arial"/>
        </w:rPr>
        <w:t xml:space="preserve">This is because the normal tax rules create an incentive for rigs and seismic vessels to “churn”, that is, move in and out of New Zealand waters within a </w:t>
      </w:r>
      <w:proofErr w:type="gramStart"/>
      <w:r w:rsidRPr="00D04B13">
        <w:rPr>
          <w:rFonts w:ascii="Arial" w:hAnsi="Arial" w:cs="Arial"/>
        </w:rPr>
        <w:t>183 day</w:t>
      </w:r>
      <w:proofErr w:type="gramEnd"/>
      <w:r w:rsidRPr="00D04B13">
        <w:rPr>
          <w:rFonts w:ascii="Arial" w:hAnsi="Arial" w:cs="Arial"/>
        </w:rPr>
        <w:t xml:space="preserve"> period where income is exempt under many of our DTAs.</w:t>
      </w:r>
      <w:r w:rsidR="00982934">
        <w:rPr>
          <w:rFonts w:ascii="Arial" w:hAnsi="Arial" w:cs="Arial"/>
        </w:rPr>
        <w:t xml:space="preserve"> </w:t>
      </w:r>
      <w:r w:rsidRPr="00D04B13">
        <w:rPr>
          <w:rFonts w:ascii="Arial" w:hAnsi="Arial" w:cs="Arial"/>
        </w:rPr>
        <w:t xml:space="preserve">If rigs and seismic vessels churn in and out of New Zealand waters within the non-taxable period of 183 days it will reduce the revenue </w:t>
      </w:r>
      <w:proofErr w:type="gramStart"/>
      <w:r w:rsidRPr="00D04B13">
        <w:rPr>
          <w:rFonts w:ascii="Arial" w:hAnsi="Arial" w:cs="Arial"/>
        </w:rPr>
        <w:t>base, and</w:t>
      </w:r>
      <w:proofErr w:type="gramEnd"/>
      <w:r w:rsidRPr="00D04B13">
        <w:rPr>
          <w:rFonts w:ascii="Arial" w:hAnsi="Arial" w:cs="Arial"/>
        </w:rPr>
        <w:t xml:space="preserve"> increase unnecessary costs and greenhouse gas emissions.</w:t>
      </w:r>
    </w:p>
    <w:p w14:paraId="26BDF026" w14:textId="77777777" w:rsidR="00BD3810" w:rsidRPr="00D04B13" w:rsidRDefault="00BD3810" w:rsidP="00D04B13">
      <w:pPr>
        <w:pStyle w:val="CabStandard"/>
        <w:rPr>
          <w:rFonts w:ascii="Arial" w:hAnsi="Arial" w:cs="Arial"/>
        </w:rPr>
      </w:pPr>
      <w:r w:rsidRPr="00D04B13">
        <w:rPr>
          <w:rFonts w:ascii="Arial" w:hAnsi="Arial" w:cs="Arial"/>
        </w:rPr>
        <w:t>Under the exemption, royalties, income tax and other indirect taxes would still be payable in relation to any petroleum discoveries</w:t>
      </w:r>
      <w:r w:rsidR="004113FC">
        <w:rPr>
          <w:rFonts w:ascii="Arial" w:hAnsi="Arial" w:cs="Arial"/>
        </w:rPr>
        <w:t xml:space="preserve"> </w:t>
      </w:r>
      <w:r w:rsidR="004113FC" w:rsidRPr="00D04B13">
        <w:rPr>
          <w:rFonts w:ascii="Arial" w:hAnsi="Arial" w:cs="Arial"/>
        </w:rPr>
        <w:t xml:space="preserve">(in addition to the direct and indirect </w:t>
      </w:r>
      <w:r w:rsidR="004113FC" w:rsidRPr="00D04B13">
        <w:rPr>
          <w:rFonts w:ascii="Arial" w:hAnsi="Arial" w:cs="Arial"/>
        </w:rPr>
        <w:lastRenderedPageBreak/>
        <w:t>economic benefits from the activity)</w:t>
      </w:r>
      <w:r w:rsidRPr="00D04B13">
        <w:rPr>
          <w:rFonts w:ascii="Arial" w:hAnsi="Arial" w:cs="Arial"/>
        </w:rPr>
        <w:t>, as the exemption only applies to the non-resident rig and seismic vessel operators rather than the petroleum miner.</w:t>
      </w:r>
    </w:p>
    <w:p w14:paraId="5FB2B772" w14:textId="77777777" w:rsidR="00BD3810" w:rsidRPr="00D04B13" w:rsidRDefault="00BD3810" w:rsidP="00D04B13">
      <w:pPr>
        <w:pStyle w:val="CabStandard"/>
        <w:rPr>
          <w:rFonts w:ascii="Arial" w:hAnsi="Arial" w:cs="Arial"/>
        </w:rPr>
      </w:pPr>
      <w:r w:rsidRPr="00D04B13">
        <w:rPr>
          <w:rFonts w:ascii="Arial" w:hAnsi="Arial" w:cs="Arial"/>
        </w:rPr>
        <w:t>The 2015 APEC fossil fuel subsidy reform peer review of New Zealand noted that this exemption appears to prevent ‘churning’ or cycling of equipment which avoids unnecessary costs, including additional fuel consumption (i.e. wasteful consumption by drilling operators), and associated greenhouse gas emissions.</w:t>
      </w:r>
      <w:r w:rsidR="00982934">
        <w:rPr>
          <w:rFonts w:ascii="Arial" w:hAnsi="Arial" w:cs="Arial"/>
        </w:rPr>
        <w:t xml:space="preserve"> </w:t>
      </w:r>
      <w:r w:rsidRPr="00D04B13">
        <w:rPr>
          <w:rFonts w:ascii="Arial" w:hAnsi="Arial" w:cs="Arial"/>
        </w:rPr>
        <w:t xml:space="preserve">The OECD lists this measure as a “support measure” but has attributed a </w:t>
      </w:r>
      <w:proofErr w:type="gramStart"/>
      <w:r w:rsidRPr="00D04B13">
        <w:rPr>
          <w:rFonts w:ascii="Arial" w:hAnsi="Arial" w:cs="Arial"/>
        </w:rPr>
        <w:t>zero fiscal</w:t>
      </w:r>
      <w:proofErr w:type="gramEnd"/>
      <w:r w:rsidRPr="00D04B13">
        <w:rPr>
          <w:rFonts w:ascii="Arial" w:hAnsi="Arial" w:cs="Arial"/>
        </w:rPr>
        <w:t xml:space="preserve"> cost to New Zealand for each year since 2006.</w:t>
      </w:r>
    </w:p>
    <w:p w14:paraId="663481DA" w14:textId="77777777" w:rsidR="00BD3810" w:rsidRPr="00523B6E" w:rsidRDefault="00BD3810" w:rsidP="00BD3810">
      <w:pPr>
        <w:pStyle w:val="CabStandard"/>
        <w:numPr>
          <w:ilvl w:val="0"/>
          <w:numId w:val="0"/>
        </w:numPr>
        <w:jc w:val="both"/>
        <w:rPr>
          <w:rFonts w:ascii="Arial" w:hAnsi="Arial" w:cs="Arial"/>
          <w:i/>
          <w:szCs w:val="24"/>
        </w:rPr>
      </w:pPr>
      <w:r w:rsidRPr="00523B6E">
        <w:rPr>
          <w:rFonts w:ascii="Arial" w:hAnsi="Arial" w:cs="Arial"/>
          <w:i/>
          <w:szCs w:val="24"/>
        </w:rPr>
        <w:t>Environmental impact</w:t>
      </w:r>
      <w:r>
        <w:rPr>
          <w:rFonts w:ascii="Arial" w:hAnsi="Arial" w:cs="Arial"/>
          <w:i/>
          <w:szCs w:val="24"/>
        </w:rPr>
        <w:t>,</w:t>
      </w:r>
      <w:r w:rsidRPr="00523B6E">
        <w:rPr>
          <w:rFonts w:ascii="Arial" w:hAnsi="Arial" w:cs="Arial"/>
          <w:i/>
          <w:szCs w:val="24"/>
        </w:rPr>
        <w:t xml:space="preserve"> health and safety</w:t>
      </w:r>
      <w:r>
        <w:rPr>
          <w:rFonts w:ascii="Arial" w:hAnsi="Arial" w:cs="Arial"/>
          <w:i/>
          <w:szCs w:val="24"/>
        </w:rPr>
        <w:t xml:space="preserve"> and security of supply</w:t>
      </w:r>
    </w:p>
    <w:p w14:paraId="03914279" w14:textId="77777777" w:rsidR="00BD3810" w:rsidRPr="00D04B13" w:rsidRDefault="00BD3810" w:rsidP="00D04B13">
      <w:pPr>
        <w:pStyle w:val="CabStandard"/>
        <w:rPr>
          <w:rFonts w:ascii="Arial" w:hAnsi="Arial" w:cs="Arial"/>
        </w:rPr>
      </w:pPr>
      <w:r w:rsidRPr="00D04B13">
        <w:rPr>
          <w:rFonts w:ascii="Arial" w:hAnsi="Arial" w:cs="Arial"/>
        </w:rPr>
        <w:t>Offshore drilling for petroleum in New Zealand began in the 1960s.</w:t>
      </w:r>
      <w:r w:rsidR="00982934">
        <w:rPr>
          <w:rFonts w:ascii="Arial" w:hAnsi="Arial" w:cs="Arial"/>
        </w:rPr>
        <w:t xml:space="preserve"> </w:t>
      </w:r>
      <w:r w:rsidRPr="00D04B13">
        <w:rPr>
          <w:rFonts w:ascii="Arial" w:hAnsi="Arial" w:cs="Arial"/>
        </w:rPr>
        <w:t>To date, over 200 offshore wells have been drilled in New Zealand, 10 of which have been in deep water, without any significant incidents.</w:t>
      </w:r>
      <w:r w:rsidR="00982934">
        <w:rPr>
          <w:rFonts w:ascii="Arial" w:hAnsi="Arial" w:cs="Arial"/>
        </w:rPr>
        <w:t xml:space="preserve"> </w:t>
      </w:r>
      <w:r w:rsidRPr="00D04B13">
        <w:rPr>
          <w:rFonts w:ascii="Arial" w:hAnsi="Arial" w:cs="Arial"/>
        </w:rPr>
        <w:t xml:space="preserve">New Zealand also has high health and safety standards with respect to oil and gas exploration and production. This is evidenced in our tight regulation and monitoring of operators and our absence of oil and gas environmental disasters. However, we note that rig mobilisations, demobilisations, and other movements (that occur as a result of churn) increase health and safety risks due to the activities and large infrastructure assets involved. If the exemption is allowed to lapse we would expect increased churn, and therefore increased, but still a low probability of, health and safety risks. </w:t>
      </w:r>
    </w:p>
    <w:p w14:paraId="76AFC6BD" w14:textId="77777777" w:rsidR="00BD3810" w:rsidRPr="003C123C" w:rsidRDefault="00BD3810" w:rsidP="00D04B13">
      <w:pPr>
        <w:pStyle w:val="CabStandard"/>
        <w:rPr>
          <w:rFonts w:ascii="Arial" w:hAnsi="Arial" w:cs="Arial"/>
        </w:rPr>
      </w:pPr>
      <w:r w:rsidRPr="003C123C">
        <w:rPr>
          <w:rFonts w:ascii="Arial" w:hAnsi="Arial" w:cs="Arial"/>
        </w:rPr>
        <w:t>New Zealand’s gas reserves are only sufficient to cover a decade of annual gas demand at current demand levels.</w:t>
      </w:r>
      <w:r w:rsidR="00982934">
        <w:rPr>
          <w:rFonts w:ascii="Arial" w:hAnsi="Arial" w:cs="Arial"/>
        </w:rPr>
        <w:t xml:space="preserve"> </w:t>
      </w:r>
      <w:r w:rsidRPr="003C123C">
        <w:rPr>
          <w:rFonts w:ascii="Arial" w:hAnsi="Arial" w:cs="Arial"/>
        </w:rPr>
        <w:t>To prevent the situation of gas reserve depletion interrupting our energy supply, new sources of gas may need to be found within the next few years. This may be by way of new gas finds, or extension of existing fields, but either of which will involve some lead-time to production.</w:t>
      </w:r>
    </w:p>
    <w:p w14:paraId="506835FF" w14:textId="77777777" w:rsidR="00BD3810" w:rsidRPr="00523B6E" w:rsidRDefault="00BD3810" w:rsidP="00BD3810">
      <w:pPr>
        <w:pStyle w:val="CabStandard"/>
        <w:numPr>
          <w:ilvl w:val="0"/>
          <w:numId w:val="0"/>
        </w:numPr>
        <w:jc w:val="both"/>
        <w:rPr>
          <w:rFonts w:ascii="Arial" w:hAnsi="Arial" w:cs="Arial"/>
          <w:i/>
          <w:szCs w:val="24"/>
        </w:rPr>
      </w:pPr>
      <w:r w:rsidRPr="00523B6E">
        <w:rPr>
          <w:rFonts w:ascii="Arial" w:hAnsi="Arial" w:cs="Arial"/>
          <w:i/>
          <w:szCs w:val="24"/>
        </w:rPr>
        <w:t>Consistency with recent Government announcement on no new offshore petroleum exploration permits</w:t>
      </w:r>
    </w:p>
    <w:p w14:paraId="48EC62DC" w14:textId="77777777" w:rsidR="00BD3810" w:rsidRPr="00D04B13" w:rsidRDefault="00BD3810" w:rsidP="00D04B13">
      <w:pPr>
        <w:pStyle w:val="CabStandard"/>
        <w:rPr>
          <w:rFonts w:ascii="Arial" w:hAnsi="Arial" w:cs="Arial"/>
        </w:rPr>
      </w:pPr>
      <w:r w:rsidRPr="00D04B13">
        <w:rPr>
          <w:rFonts w:ascii="Arial" w:hAnsi="Arial" w:cs="Arial"/>
        </w:rPr>
        <w:t>On 12 April 2018 the Government announced there will be no new offshore petroleum exploration permits granted. The Cabinet Minute [CAB-18-MIN-0162 refers] confirms this policy is not intended to affect the rights of current permit holders to continue production or exploration activities under existing permits.</w:t>
      </w:r>
    </w:p>
    <w:p w14:paraId="2F9968FD" w14:textId="77777777" w:rsidR="00BD3810" w:rsidRPr="00D04B13" w:rsidRDefault="00BD3810" w:rsidP="00D04B13">
      <w:pPr>
        <w:pStyle w:val="CabStandard"/>
        <w:rPr>
          <w:rFonts w:ascii="Arial" w:hAnsi="Arial" w:cs="Arial"/>
        </w:rPr>
      </w:pPr>
      <w:r w:rsidRPr="00D04B13">
        <w:rPr>
          <w:rFonts w:ascii="Arial" w:hAnsi="Arial" w:cs="Arial"/>
        </w:rPr>
        <w:t>A decision to extend the income tax exemption would be in keeping with the policy to maintain the rights of existing operators. Where further offshore petroleum exploration is undertaken under existing permits, it is in New Zealand’s interest for this to be done as efficiently as possible, without encouraging churn.</w:t>
      </w:r>
      <w:r w:rsidR="00982934">
        <w:rPr>
          <w:rFonts w:ascii="Arial" w:hAnsi="Arial" w:cs="Arial"/>
        </w:rPr>
        <w:t xml:space="preserve"> </w:t>
      </w:r>
    </w:p>
    <w:p w14:paraId="2B5D8E4C" w14:textId="77777777" w:rsidR="00BD3810" w:rsidRPr="00D04B13" w:rsidRDefault="00BD3810" w:rsidP="00D04B13">
      <w:pPr>
        <w:pStyle w:val="CabStandard"/>
        <w:rPr>
          <w:rFonts w:ascii="Arial" w:hAnsi="Arial" w:cs="Arial"/>
        </w:rPr>
      </w:pPr>
      <w:r w:rsidRPr="00D04B13">
        <w:rPr>
          <w:rFonts w:ascii="Arial" w:hAnsi="Arial" w:cs="Arial"/>
        </w:rPr>
        <w:t>Instead of a further five-year extension we also considered making the exemption permanent.</w:t>
      </w:r>
      <w:r w:rsidR="00982934">
        <w:rPr>
          <w:rFonts w:ascii="Arial" w:hAnsi="Arial" w:cs="Arial"/>
        </w:rPr>
        <w:t xml:space="preserve"> </w:t>
      </w:r>
      <w:r w:rsidRPr="00D04B13">
        <w:rPr>
          <w:rFonts w:ascii="Arial" w:hAnsi="Arial" w:cs="Arial"/>
        </w:rPr>
        <w:t xml:space="preserve">We consider a </w:t>
      </w:r>
      <w:proofErr w:type="gramStart"/>
      <w:r w:rsidRPr="00D04B13">
        <w:rPr>
          <w:rFonts w:ascii="Arial" w:hAnsi="Arial" w:cs="Arial"/>
        </w:rPr>
        <w:t>five year</w:t>
      </w:r>
      <w:proofErr w:type="gramEnd"/>
      <w:r w:rsidRPr="00D04B13">
        <w:rPr>
          <w:rFonts w:ascii="Arial" w:hAnsi="Arial" w:cs="Arial"/>
        </w:rPr>
        <w:t xml:space="preserve"> extension is more prudent as this will provide sufficient certainty for near-term investment decisions while allowing time </w:t>
      </w:r>
      <w:r w:rsidR="00997B97">
        <w:rPr>
          <w:rFonts w:ascii="Arial" w:hAnsi="Arial" w:cs="Arial"/>
        </w:rPr>
        <w:t xml:space="preserve">to consider and develop </w:t>
      </w:r>
      <w:r w:rsidRPr="00D04B13">
        <w:rPr>
          <w:rFonts w:ascii="Arial" w:hAnsi="Arial" w:cs="Arial"/>
        </w:rPr>
        <w:t>the Tax Working Group</w:t>
      </w:r>
      <w:r w:rsidR="00715CB7">
        <w:rPr>
          <w:rFonts w:ascii="Arial" w:hAnsi="Arial" w:cs="Arial"/>
        </w:rPr>
        <w:t xml:space="preserve">’s </w:t>
      </w:r>
      <w:r w:rsidRPr="00D04B13">
        <w:rPr>
          <w:rFonts w:ascii="Arial" w:hAnsi="Arial" w:cs="Arial"/>
        </w:rPr>
        <w:t xml:space="preserve"> recommendations, </w:t>
      </w:r>
      <w:r w:rsidR="00715CB7">
        <w:rPr>
          <w:rFonts w:ascii="Arial" w:hAnsi="Arial" w:cs="Arial"/>
        </w:rPr>
        <w:t xml:space="preserve">related to improving </w:t>
      </w:r>
      <w:r w:rsidRPr="00D04B13">
        <w:rPr>
          <w:rFonts w:ascii="Arial" w:hAnsi="Arial" w:cs="Arial"/>
        </w:rPr>
        <w:t>environmental and ecological outcomes.</w:t>
      </w:r>
    </w:p>
    <w:p w14:paraId="7B40EB31" w14:textId="77777777" w:rsidR="00B27B46" w:rsidRDefault="00B27B46" w:rsidP="00BD3810">
      <w:pPr>
        <w:pStyle w:val="CabStandard"/>
        <w:numPr>
          <w:ilvl w:val="0"/>
          <w:numId w:val="0"/>
        </w:numPr>
        <w:jc w:val="both"/>
        <w:rPr>
          <w:rFonts w:ascii="Arial" w:hAnsi="Arial" w:cs="Arial"/>
          <w:b/>
          <w:szCs w:val="24"/>
        </w:rPr>
      </w:pPr>
    </w:p>
    <w:p w14:paraId="0006A6F5" w14:textId="77777777" w:rsidR="00B27B46" w:rsidRDefault="00B27B46" w:rsidP="00BD3810">
      <w:pPr>
        <w:pStyle w:val="CabStandard"/>
        <w:numPr>
          <w:ilvl w:val="0"/>
          <w:numId w:val="0"/>
        </w:numPr>
        <w:jc w:val="both"/>
        <w:rPr>
          <w:rFonts w:ascii="Arial" w:hAnsi="Arial" w:cs="Arial"/>
          <w:b/>
          <w:szCs w:val="24"/>
        </w:rPr>
      </w:pPr>
    </w:p>
    <w:p w14:paraId="3F28D206" w14:textId="048BBE0D" w:rsidR="00BD3810" w:rsidRPr="00523B6E" w:rsidRDefault="00BD3810" w:rsidP="00BD3810">
      <w:pPr>
        <w:pStyle w:val="CabStandard"/>
        <w:numPr>
          <w:ilvl w:val="0"/>
          <w:numId w:val="0"/>
        </w:numPr>
        <w:jc w:val="both"/>
        <w:rPr>
          <w:rFonts w:ascii="Arial" w:hAnsi="Arial" w:cs="Arial"/>
          <w:b/>
          <w:szCs w:val="24"/>
        </w:rPr>
      </w:pPr>
      <w:r w:rsidRPr="00523B6E">
        <w:rPr>
          <w:rFonts w:ascii="Arial" w:hAnsi="Arial" w:cs="Arial"/>
          <w:b/>
          <w:szCs w:val="24"/>
        </w:rPr>
        <w:lastRenderedPageBreak/>
        <w:t>Consultation</w:t>
      </w:r>
    </w:p>
    <w:p w14:paraId="1C0E16E9" w14:textId="77777777" w:rsidR="00BD3810" w:rsidRPr="00D04B13" w:rsidRDefault="00BD3810" w:rsidP="00D04B13">
      <w:pPr>
        <w:pStyle w:val="CabStandard"/>
        <w:rPr>
          <w:rFonts w:ascii="Arial" w:hAnsi="Arial" w:cs="Arial"/>
        </w:rPr>
      </w:pPr>
      <w:r w:rsidRPr="00D04B13">
        <w:rPr>
          <w:rFonts w:ascii="Arial" w:hAnsi="Arial" w:cs="Arial"/>
        </w:rPr>
        <w:t>Targeted consultation has been undertaken with the oil and gas industry representative body, the Petroleum Exploration and Production Association of New Zealand (PEPANZ), which supports extending the exemption.</w:t>
      </w:r>
      <w:r w:rsidR="00997B97">
        <w:rPr>
          <w:rFonts w:ascii="Arial" w:hAnsi="Arial" w:cs="Arial"/>
        </w:rPr>
        <w:t xml:space="preserve">  PEPANZ has also submitted in support of this exemption to the Finance and Expenditure Committee in their consideration of the Taxation </w:t>
      </w:r>
      <w:r w:rsidR="00997B97" w:rsidRPr="00997B97">
        <w:rPr>
          <w:rFonts w:ascii="Arial" w:hAnsi="Arial" w:cs="Arial"/>
        </w:rPr>
        <w:t>(Annual Rates for 2019–20, GST Offshore Supplier Registration, and Remedial Matters) Bill</w:t>
      </w:r>
      <w:r w:rsidR="00997B97">
        <w:rPr>
          <w:rFonts w:ascii="Arial" w:hAnsi="Arial" w:cs="Arial"/>
        </w:rPr>
        <w:t>.</w:t>
      </w:r>
    </w:p>
    <w:p w14:paraId="63919D3E" w14:textId="77777777" w:rsidR="00BD3810" w:rsidRPr="00D04B13" w:rsidRDefault="00BD3810" w:rsidP="00D04B13">
      <w:pPr>
        <w:pStyle w:val="CabStandard"/>
        <w:rPr>
          <w:rFonts w:ascii="Arial" w:hAnsi="Arial" w:cs="Arial"/>
        </w:rPr>
      </w:pPr>
      <w:r w:rsidRPr="00D04B13">
        <w:rPr>
          <w:rFonts w:ascii="Arial" w:hAnsi="Arial" w:cs="Arial"/>
        </w:rPr>
        <w:t xml:space="preserve">Inland Revenue, the Ministry of Business, Innovation and Employment, the Treasury and the Ministry for the Environment </w:t>
      </w:r>
      <w:r w:rsidR="00715CB7">
        <w:rPr>
          <w:rFonts w:ascii="Arial" w:hAnsi="Arial" w:cs="Arial"/>
        </w:rPr>
        <w:t xml:space="preserve">have been consulted and </w:t>
      </w:r>
      <w:r w:rsidRPr="00D04B13">
        <w:rPr>
          <w:rFonts w:ascii="Arial" w:hAnsi="Arial" w:cs="Arial"/>
        </w:rPr>
        <w:t xml:space="preserve">support </w:t>
      </w:r>
      <w:r w:rsidR="00715CB7">
        <w:rPr>
          <w:rFonts w:ascii="Arial" w:hAnsi="Arial" w:cs="Arial"/>
        </w:rPr>
        <w:t>the proposed 5-year extension</w:t>
      </w:r>
      <w:r w:rsidRPr="00D04B13">
        <w:rPr>
          <w:rFonts w:ascii="Arial" w:hAnsi="Arial" w:cs="Arial"/>
        </w:rPr>
        <w:t>.</w:t>
      </w:r>
    </w:p>
    <w:p w14:paraId="644A40FE" w14:textId="77777777" w:rsidR="00BD3810" w:rsidRPr="00523B6E" w:rsidRDefault="00BD3810" w:rsidP="00BD3810">
      <w:pPr>
        <w:pStyle w:val="CabStandard"/>
        <w:numPr>
          <w:ilvl w:val="0"/>
          <w:numId w:val="0"/>
        </w:numPr>
        <w:jc w:val="both"/>
        <w:rPr>
          <w:rFonts w:ascii="Arial" w:hAnsi="Arial" w:cs="Arial"/>
          <w:b/>
          <w:szCs w:val="24"/>
        </w:rPr>
      </w:pPr>
      <w:r w:rsidRPr="00523B6E">
        <w:rPr>
          <w:rFonts w:ascii="Arial" w:hAnsi="Arial" w:cs="Arial"/>
          <w:b/>
          <w:szCs w:val="24"/>
        </w:rPr>
        <w:t xml:space="preserve">Financial Implications </w:t>
      </w:r>
    </w:p>
    <w:p w14:paraId="21301284" w14:textId="10EEF043" w:rsidR="00D82F8E" w:rsidRPr="00D922BA" w:rsidRDefault="00D82F8E" w:rsidP="00D82F8E">
      <w:pPr>
        <w:pStyle w:val="CabStandard"/>
        <w:rPr>
          <w:rFonts w:ascii="Arial" w:hAnsi="Arial" w:cs="Arial"/>
        </w:rPr>
      </w:pPr>
      <w:r w:rsidRPr="00D922BA">
        <w:rPr>
          <w:rFonts w:ascii="Arial" w:hAnsi="Arial" w:cs="Arial"/>
        </w:rPr>
        <w:t xml:space="preserve">This proposal would give rise to $16 million in tax revenue over the current forecast period. </w:t>
      </w:r>
      <w:r w:rsidRPr="00740974">
        <w:rPr>
          <w:rFonts w:ascii="Arial" w:hAnsi="Arial" w:cs="Arial"/>
        </w:rPr>
        <w:t xml:space="preserve">Based on the information available on rig activity, extending the exemption could reduce costs to the New Zealand purchasers of rig services of approximately </w:t>
      </w:r>
      <w:r w:rsidRPr="006A1582">
        <w:rPr>
          <w:rFonts w:ascii="Arial" w:hAnsi="Arial" w:cs="Arial"/>
        </w:rPr>
        <w:t xml:space="preserve">$14 million </w:t>
      </w:r>
      <w:r w:rsidR="008073AC">
        <w:rPr>
          <w:rFonts w:ascii="Arial" w:hAnsi="Arial" w:cs="Arial"/>
        </w:rPr>
        <w:t xml:space="preserve">per year </w:t>
      </w:r>
      <w:r w:rsidRPr="006A1582">
        <w:rPr>
          <w:rFonts w:ascii="Arial" w:hAnsi="Arial" w:cs="Arial"/>
        </w:rPr>
        <w:t>with flow-on effects for the tax base.</w:t>
      </w:r>
      <w:r w:rsidRPr="00740974">
        <w:rPr>
          <w:rFonts w:ascii="Arial" w:hAnsi="Arial" w:cs="Arial"/>
        </w:rPr>
        <w:t xml:space="preserve"> </w:t>
      </w:r>
      <w:r>
        <w:rPr>
          <w:rFonts w:ascii="Arial" w:hAnsi="Arial" w:cs="Arial"/>
        </w:rPr>
        <w:t xml:space="preserve">The flow on effects of reduced tax revenue </w:t>
      </w:r>
      <w:r w:rsidR="002B0C19">
        <w:rPr>
          <w:rFonts w:ascii="Arial" w:hAnsi="Arial" w:cs="Arial"/>
        </w:rPr>
        <w:t xml:space="preserve">from expiry of the exemption </w:t>
      </w:r>
      <w:r>
        <w:rPr>
          <w:rFonts w:ascii="Arial" w:hAnsi="Arial" w:cs="Arial"/>
        </w:rPr>
        <w:t xml:space="preserve">have already been included in the baseline </w:t>
      </w:r>
      <w:r w:rsidR="002B0C19">
        <w:rPr>
          <w:rFonts w:ascii="Arial" w:hAnsi="Arial" w:cs="Arial"/>
        </w:rPr>
        <w:t>tax</w:t>
      </w:r>
      <w:r>
        <w:rPr>
          <w:rFonts w:ascii="Arial" w:hAnsi="Arial" w:cs="Arial"/>
        </w:rPr>
        <w:t xml:space="preserve"> forecasts.</w:t>
      </w:r>
      <w:r w:rsidRPr="00740974">
        <w:rPr>
          <w:rFonts w:ascii="Arial" w:hAnsi="Arial" w:cs="Arial"/>
        </w:rPr>
        <w:t xml:space="preserve"> </w:t>
      </w:r>
      <w:r w:rsidRPr="00D922BA">
        <w:rPr>
          <w:rFonts w:ascii="Arial" w:hAnsi="Arial" w:cs="Arial"/>
        </w:rPr>
        <w:t xml:space="preserve">The table below shows the forecast revenue gains of </w:t>
      </w:r>
      <w:r w:rsidR="002B0C19">
        <w:rPr>
          <w:rFonts w:ascii="Arial" w:hAnsi="Arial" w:cs="Arial"/>
        </w:rPr>
        <w:t xml:space="preserve">instead </w:t>
      </w:r>
      <w:r w:rsidRPr="00D922BA">
        <w:rPr>
          <w:rFonts w:ascii="Arial" w:hAnsi="Arial" w:cs="Arial"/>
        </w:rPr>
        <w:t xml:space="preserve">extending the exemption. </w:t>
      </w:r>
      <w:r>
        <w:rPr>
          <w:rFonts w:ascii="Arial" w:hAnsi="Arial" w:cs="Arial"/>
        </w:rPr>
        <w:t xml:space="preserve">The final </w:t>
      </w:r>
      <w:r w:rsidRPr="00740974">
        <w:rPr>
          <w:rFonts w:ascii="Arial" w:hAnsi="Arial" w:cs="Arial"/>
        </w:rPr>
        <w:t xml:space="preserve">year of </w:t>
      </w:r>
      <w:r>
        <w:rPr>
          <w:rFonts w:ascii="Arial" w:hAnsi="Arial" w:cs="Arial"/>
        </w:rPr>
        <w:t xml:space="preserve">revenue </w:t>
      </w:r>
      <w:r w:rsidRPr="00740974">
        <w:rPr>
          <w:rFonts w:ascii="Arial" w:hAnsi="Arial" w:cs="Arial"/>
        </w:rPr>
        <w:t>impact is 20</w:t>
      </w:r>
      <w:r w:rsidR="008073AC">
        <w:rPr>
          <w:rFonts w:ascii="Arial" w:hAnsi="Arial" w:cs="Arial"/>
        </w:rPr>
        <w:t>23/24</w:t>
      </w:r>
      <w:r w:rsidRPr="00D922BA">
        <w:rPr>
          <w:rFonts w:ascii="Arial" w:hAnsi="Arial" w:cs="Arial"/>
        </w:rPr>
        <w:t xml:space="preserve">, when the </w:t>
      </w:r>
      <w:r w:rsidR="002B0C19">
        <w:rPr>
          <w:rFonts w:ascii="Arial" w:hAnsi="Arial" w:cs="Arial"/>
        </w:rPr>
        <w:t xml:space="preserve">extended </w:t>
      </w:r>
      <w:r w:rsidRPr="00D922BA">
        <w:rPr>
          <w:rFonts w:ascii="Arial" w:hAnsi="Arial" w:cs="Arial"/>
        </w:rPr>
        <w:t>exemption expires.</w:t>
      </w:r>
    </w:p>
    <w:tbl>
      <w:tblPr>
        <w:tblW w:w="5149" w:type="pct"/>
        <w:tblInd w:w="-108" w:type="dxa"/>
        <w:tblLook w:val="04A0" w:firstRow="1" w:lastRow="0" w:firstColumn="1" w:lastColumn="0" w:noHBand="0" w:noVBand="1"/>
      </w:tblPr>
      <w:tblGrid>
        <w:gridCol w:w="3730"/>
        <w:gridCol w:w="1198"/>
        <w:gridCol w:w="1198"/>
        <w:gridCol w:w="1198"/>
        <w:gridCol w:w="1198"/>
        <w:gridCol w:w="1511"/>
      </w:tblGrid>
      <w:tr w:rsidR="00D82F8E" w:rsidRPr="002D6477" w14:paraId="508A34BF" w14:textId="77777777" w:rsidTr="00D922BA">
        <w:trPr>
          <w:cantSplit/>
        </w:trPr>
        <w:tc>
          <w:tcPr>
            <w:tcW w:w="1859" w:type="pct"/>
          </w:tcPr>
          <w:p w14:paraId="4C43116B" w14:textId="77777777" w:rsidR="00D82F8E" w:rsidRPr="00D922BA" w:rsidRDefault="00D82F8E" w:rsidP="00D922BA">
            <w:pPr>
              <w:pStyle w:val="TableStyle"/>
              <w:rPr>
                <w:rFonts w:asciiTheme="minorHAnsi" w:hAnsiTheme="minorHAnsi" w:cstheme="minorHAnsi"/>
                <w:sz w:val="24"/>
                <w:szCs w:val="24"/>
                <w:lang w:eastAsia="en-US"/>
              </w:rPr>
            </w:pPr>
          </w:p>
        </w:tc>
        <w:tc>
          <w:tcPr>
            <w:tcW w:w="3141" w:type="pct"/>
            <w:gridSpan w:val="5"/>
            <w:tcBorders>
              <w:top w:val="single" w:sz="2" w:space="0" w:color="000000"/>
              <w:left w:val="single" w:sz="2" w:space="0" w:color="000000"/>
              <w:bottom w:val="single" w:sz="2" w:space="0" w:color="000000"/>
              <w:right w:val="single" w:sz="2" w:space="0" w:color="000000"/>
            </w:tcBorders>
          </w:tcPr>
          <w:p w14:paraId="440009F1" w14:textId="77777777" w:rsidR="00D82F8E" w:rsidRPr="00D922BA" w:rsidRDefault="00D82F8E" w:rsidP="00D922BA">
            <w:pPr>
              <w:pStyle w:val="TableStyle"/>
              <w:jc w:val="center"/>
              <w:rPr>
                <w:rFonts w:asciiTheme="minorHAnsi" w:hAnsiTheme="minorHAnsi" w:cstheme="minorHAnsi"/>
                <w:sz w:val="24"/>
                <w:szCs w:val="24"/>
                <w:lang w:eastAsia="en-US"/>
              </w:rPr>
            </w:pPr>
            <w:r w:rsidRPr="00D922BA">
              <w:rPr>
                <w:rFonts w:asciiTheme="minorHAnsi" w:hAnsiTheme="minorHAnsi" w:cstheme="minorHAnsi"/>
                <w:sz w:val="24"/>
                <w:szCs w:val="24"/>
                <w:lang w:eastAsia="en-US"/>
              </w:rPr>
              <w:t>$m - increase/(decrease)</w:t>
            </w:r>
          </w:p>
        </w:tc>
      </w:tr>
      <w:tr w:rsidR="00D82F8E" w:rsidRPr="002D6477" w14:paraId="1DAF8FF0" w14:textId="77777777" w:rsidTr="00D922BA">
        <w:trPr>
          <w:cantSplit/>
        </w:trPr>
        <w:tc>
          <w:tcPr>
            <w:tcW w:w="1859" w:type="pct"/>
            <w:tcBorders>
              <w:top w:val="single" w:sz="2" w:space="0" w:color="000000"/>
              <w:left w:val="single" w:sz="2" w:space="0" w:color="000000"/>
              <w:bottom w:val="single" w:sz="2" w:space="0" w:color="000000"/>
              <w:right w:val="single" w:sz="2" w:space="0" w:color="000000"/>
            </w:tcBorders>
          </w:tcPr>
          <w:p w14:paraId="61166731" w14:textId="77777777" w:rsidR="00D82F8E" w:rsidRPr="00D922BA" w:rsidRDefault="00D82F8E" w:rsidP="00D922BA">
            <w:pPr>
              <w:pStyle w:val="TableStyle"/>
              <w:rPr>
                <w:rFonts w:asciiTheme="minorHAnsi" w:hAnsiTheme="minorHAnsi" w:cstheme="minorHAnsi"/>
                <w:sz w:val="24"/>
                <w:szCs w:val="24"/>
                <w:lang w:eastAsia="en-US"/>
              </w:rPr>
            </w:pPr>
            <w:r w:rsidRPr="00D922BA">
              <w:rPr>
                <w:rFonts w:asciiTheme="minorHAnsi" w:hAnsiTheme="minorHAnsi" w:cstheme="minorHAnsi"/>
                <w:sz w:val="24"/>
                <w:szCs w:val="24"/>
                <w:lang w:eastAsia="en-US"/>
              </w:rPr>
              <w:t>Vote Revenue</w:t>
            </w:r>
          </w:p>
          <w:p w14:paraId="33819A8B" w14:textId="77777777" w:rsidR="00D82F8E" w:rsidRPr="00D922BA" w:rsidRDefault="00D82F8E" w:rsidP="00D922BA">
            <w:pPr>
              <w:pStyle w:val="TableStyle"/>
              <w:rPr>
                <w:rFonts w:asciiTheme="minorHAnsi" w:hAnsiTheme="minorHAnsi" w:cstheme="minorHAnsi"/>
                <w:sz w:val="24"/>
                <w:szCs w:val="24"/>
                <w:lang w:eastAsia="en-US"/>
              </w:rPr>
            </w:pPr>
            <w:r w:rsidRPr="00D922BA">
              <w:rPr>
                <w:rFonts w:asciiTheme="minorHAnsi" w:hAnsiTheme="minorHAnsi" w:cstheme="minorHAnsi"/>
                <w:sz w:val="24"/>
                <w:szCs w:val="24"/>
                <w:lang w:eastAsia="en-US"/>
              </w:rPr>
              <w:t>Minister of Revenue</w:t>
            </w:r>
          </w:p>
        </w:tc>
        <w:tc>
          <w:tcPr>
            <w:tcW w:w="597" w:type="pct"/>
            <w:tcBorders>
              <w:top w:val="single" w:sz="2" w:space="0" w:color="000000"/>
              <w:left w:val="single" w:sz="2" w:space="0" w:color="000000"/>
              <w:bottom w:val="single" w:sz="2" w:space="0" w:color="000000"/>
              <w:right w:val="single" w:sz="2" w:space="0" w:color="000000"/>
            </w:tcBorders>
          </w:tcPr>
          <w:p w14:paraId="0E1294E0" w14:textId="77777777" w:rsidR="00D82F8E" w:rsidRPr="00D922BA" w:rsidRDefault="00D82F8E" w:rsidP="00D922BA">
            <w:pPr>
              <w:jc w:val="center"/>
              <w:rPr>
                <w:rFonts w:cstheme="minorHAnsi"/>
                <w:b/>
              </w:rPr>
            </w:pPr>
            <w:r w:rsidRPr="00740974">
              <w:rPr>
                <w:rFonts w:cstheme="minorHAnsi"/>
                <w:b/>
              </w:rPr>
              <w:t>201</w:t>
            </w:r>
            <w:r w:rsidRPr="00D922BA">
              <w:rPr>
                <w:rFonts w:cstheme="minorHAnsi"/>
                <w:b/>
              </w:rPr>
              <w:t>8/19</w:t>
            </w:r>
          </w:p>
        </w:tc>
        <w:tc>
          <w:tcPr>
            <w:tcW w:w="597" w:type="pct"/>
            <w:tcBorders>
              <w:top w:val="single" w:sz="2" w:space="0" w:color="000000"/>
              <w:left w:val="single" w:sz="2" w:space="0" w:color="000000"/>
              <w:bottom w:val="single" w:sz="2" w:space="0" w:color="000000"/>
              <w:right w:val="single" w:sz="2" w:space="0" w:color="000000"/>
            </w:tcBorders>
          </w:tcPr>
          <w:p w14:paraId="79E608B3" w14:textId="77777777" w:rsidR="00D82F8E" w:rsidRPr="00D922BA" w:rsidRDefault="00D82F8E" w:rsidP="00D922BA">
            <w:pPr>
              <w:jc w:val="center"/>
              <w:rPr>
                <w:rFonts w:cstheme="minorHAnsi"/>
                <w:b/>
              </w:rPr>
            </w:pPr>
            <w:r w:rsidRPr="00D922BA">
              <w:rPr>
                <w:rFonts w:cstheme="minorHAnsi"/>
                <w:b/>
              </w:rPr>
              <w:t>2019/20</w:t>
            </w:r>
          </w:p>
        </w:tc>
        <w:tc>
          <w:tcPr>
            <w:tcW w:w="597" w:type="pct"/>
            <w:tcBorders>
              <w:top w:val="single" w:sz="2" w:space="0" w:color="000000"/>
              <w:left w:val="single" w:sz="2" w:space="0" w:color="000000"/>
              <w:bottom w:val="single" w:sz="2" w:space="0" w:color="000000"/>
              <w:right w:val="single" w:sz="2" w:space="0" w:color="000000"/>
            </w:tcBorders>
          </w:tcPr>
          <w:p w14:paraId="08E8A521" w14:textId="77777777" w:rsidR="00D82F8E" w:rsidRPr="00D922BA" w:rsidRDefault="00D82F8E" w:rsidP="00D922BA">
            <w:pPr>
              <w:jc w:val="center"/>
              <w:rPr>
                <w:rFonts w:cstheme="minorHAnsi"/>
                <w:b/>
              </w:rPr>
            </w:pPr>
            <w:r w:rsidRPr="00D922BA">
              <w:rPr>
                <w:rFonts w:cstheme="minorHAnsi"/>
                <w:b/>
              </w:rPr>
              <w:t>2020/21</w:t>
            </w:r>
          </w:p>
        </w:tc>
        <w:tc>
          <w:tcPr>
            <w:tcW w:w="597" w:type="pct"/>
            <w:tcBorders>
              <w:top w:val="single" w:sz="2" w:space="0" w:color="000000"/>
              <w:left w:val="single" w:sz="2" w:space="0" w:color="000000"/>
              <w:bottom w:val="single" w:sz="2" w:space="0" w:color="000000"/>
              <w:right w:val="single" w:sz="2" w:space="0" w:color="000000"/>
            </w:tcBorders>
          </w:tcPr>
          <w:p w14:paraId="60139E41" w14:textId="77777777" w:rsidR="00D82F8E" w:rsidRPr="00D922BA" w:rsidRDefault="00D82F8E" w:rsidP="00D922BA">
            <w:pPr>
              <w:pStyle w:val="BoldHeaderTableStyle"/>
              <w:jc w:val="center"/>
              <w:rPr>
                <w:rFonts w:asciiTheme="minorHAnsi" w:hAnsiTheme="minorHAnsi" w:cstheme="minorHAnsi"/>
                <w:sz w:val="22"/>
                <w:szCs w:val="22"/>
                <w:lang w:eastAsia="en-US"/>
              </w:rPr>
            </w:pPr>
            <w:r w:rsidRPr="00D922BA">
              <w:rPr>
                <w:rFonts w:asciiTheme="minorHAnsi" w:hAnsiTheme="minorHAnsi" w:cstheme="minorHAnsi"/>
                <w:sz w:val="22"/>
                <w:szCs w:val="22"/>
                <w:lang w:eastAsia="en-US"/>
              </w:rPr>
              <w:t>2021/22</w:t>
            </w:r>
          </w:p>
        </w:tc>
        <w:tc>
          <w:tcPr>
            <w:tcW w:w="753" w:type="pct"/>
            <w:tcBorders>
              <w:top w:val="single" w:sz="2" w:space="0" w:color="000000"/>
              <w:left w:val="single" w:sz="2" w:space="0" w:color="000000"/>
              <w:bottom w:val="single" w:sz="2" w:space="0" w:color="000000"/>
              <w:right w:val="single" w:sz="2" w:space="0" w:color="000000"/>
            </w:tcBorders>
          </w:tcPr>
          <w:p w14:paraId="6BAB1773" w14:textId="77777777" w:rsidR="00D82F8E" w:rsidRPr="00D922BA" w:rsidRDefault="00D82F8E" w:rsidP="00D922BA">
            <w:pPr>
              <w:pStyle w:val="BoldHeaderTableStyle"/>
              <w:jc w:val="center"/>
              <w:rPr>
                <w:rFonts w:asciiTheme="minorHAnsi" w:hAnsiTheme="minorHAnsi" w:cstheme="minorHAnsi"/>
                <w:sz w:val="22"/>
                <w:szCs w:val="22"/>
                <w:lang w:eastAsia="en-US"/>
              </w:rPr>
            </w:pPr>
            <w:r w:rsidRPr="00D922BA">
              <w:rPr>
                <w:rFonts w:asciiTheme="minorHAnsi" w:hAnsiTheme="minorHAnsi" w:cstheme="minorHAnsi"/>
                <w:sz w:val="22"/>
                <w:szCs w:val="22"/>
                <w:lang w:eastAsia="en-US"/>
              </w:rPr>
              <w:t>2022/23 &amp;</w:t>
            </w:r>
            <w:r w:rsidRPr="00D922BA">
              <w:rPr>
                <w:rFonts w:asciiTheme="minorHAnsi" w:hAnsiTheme="minorHAnsi" w:cstheme="minorHAnsi"/>
                <w:sz w:val="22"/>
                <w:szCs w:val="22"/>
                <w:lang w:eastAsia="en-US"/>
              </w:rPr>
              <w:br/>
              <w:t>Outyears</w:t>
            </w:r>
          </w:p>
        </w:tc>
      </w:tr>
      <w:tr w:rsidR="00D82F8E" w:rsidRPr="002D6477" w14:paraId="6A593618" w14:textId="77777777" w:rsidTr="00D922BA">
        <w:trPr>
          <w:cantSplit/>
        </w:trPr>
        <w:tc>
          <w:tcPr>
            <w:tcW w:w="1859" w:type="pct"/>
            <w:tcBorders>
              <w:top w:val="single" w:sz="2" w:space="0" w:color="000000"/>
              <w:left w:val="single" w:sz="2" w:space="0" w:color="000000"/>
              <w:bottom w:val="single" w:sz="4" w:space="0" w:color="auto"/>
              <w:right w:val="single" w:sz="2" w:space="0" w:color="000000"/>
            </w:tcBorders>
          </w:tcPr>
          <w:p w14:paraId="7331B916" w14:textId="77777777" w:rsidR="00D82F8E" w:rsidRPr="00D922BA" w:rsidRDefault="00D82F8E" w:rsidP="00D922BA">
            <w:pPr>
              <w:pStyle w:val="TableStyle"/>
              <w:rPr>
                <w:rFonts w:asciiTheme="minorHAnsi" w:hAnsiTheme="minorHAnsi" w:cstheme="minorHAnsi"/>
                <w:sz w:val="24"/>
                <w:szCs w:val="24"/>
                <w:lang w:eastAsia="en-US"/>
              </w:rPr>
            </w:pPr>
            <w:r w:rsidRPr="00D922BA">
              <w:rPr>
                <w:rFonts w:asciiTheme="minorHAnsi" w:hAnsiTheme="minorHAnsi" w:cstheme="minorHAnsi"/>
                <w:sz w:val="24"/>
                <w:szCs w:val="24"/>
                <w:lang w:eastAsia="en-US"/>
              </w:rPr>
              <w:t>Crown Revenue and Receipts:</w:t>
            </w:r>
          </w:p>
          <w:p w14:paraId="55966518" w14:textId="77777777" w:rsidR="00D82F8E" w:rsidRPr="00D922BA" w:rsidRDefault="00D82F8E" w:rsidP="00D922BA">
            <w:pPr>
              <w:pStyle w:val="TableStyle"/>
              <w:rPr>
                <w:rFonts w:asciiTheme="minorHAnsi" w:hAnsiTheme="minorHAnsi" w:cstheme="minorHAnsi"/>
                <w:sz w:val="24"/>
                <w:szCs w:val="24"/>
                <w:lang w:eastAsia="en-US"/>
              </w:rPr>
            </w:pPr>
            <w:r w:rsidRPr="00D922BA">
              <w:rPr>
                <w:rFonts w:asciiTheme="minorHAnsi" w:hAnsiTheme="minorHAnsi" w:cstheme="minorHAnsi"/>
                <w:sz w:val="24"/>
                <w:szCs w:val="24"/>
                <w:lang w:eastAsia="en-US"/>
              </w:rPr>
              <w:t>Tax Revenue</w:t>
            </w:r>
          </w:p>
        </w:tc>
        <w:tc>
          <w:tcPr>
            <w:tcW w:w="597" w:type="pct"/>
            <w:tcBorders>
              <w:top w:val="single" w:sz="2" w:space="0" w:color="000000"/>
              <w:left w:val="single" w:sz="2" w:space="0" w:color="000000"/>
              <w:bottom w:val="single" w:sz="4" w:space="0" w:color="auto"/>
              <w:right w:val="single" w:sz="2" w:space="0" w:color="000000"/>
            </w:tcBorders>
          </w:tcPr>
          <w:p w14:paraId="05B13D56" w14:textId="77777777" w:rsidR="00D82F8E" w:rsidRPr="00D922BA" w:rsidRDefault="00D82F8E" w:rsidP="00D922BA">
            <w:pPr>
              <w:jc w:val="right"/>
              <w:rPr>
                <w:rFonts w:cstheme="minorHAnsi"/>
              </w:rPr>
            </w:pPr>
            <w:r w:rsidRPr="00740974">
              <w:rPr>
                <w:rFonts w:cstheme="minorHAnsi"/>
              </w:rPr>
              <w:br/>
            </w:r>
            <w:r w:rsidRPr="00D922BA">
              <w:rPr>
                <w:rFonts w:cstheme="minorHAnsi"/>
              </w:rPr>
              <w:t>-</w:t>
            </w:r>
          </w:p>
        </w:tc>
        <w:tc>
          <w:tcPr>
            <w:tcW w:w="597" w:type="pct"/>
            <w:tcBorders>
              <w:top w:val="single" w:sz="2" w:space="0" w:color="000000"/>
              <w:left w:val="single" w:sz="2" w:space="0" w:color="000000"/>
              <w:bottom w:val="single" w:sz="4" w:space="0" w:color="auto"/>
              <w:right w:val="single" w:sz="2" w:space="0" w:color="000000"/>
            </w:tcBorders>
          </w:tcPr>
          <w:p w14:paraId="7B8ACA21" w14:textId="77777777" w:rsidR="00D82F8E" w:rsidRPr="00D922BA" w:rsidRDefault="00D82F8E" w:rsidP="00D922BA">
            <w:pPr>
              <w:jc w:val="right"/>
              <w:rPr>
                <w:rFonts w:cstheme="minorHAnsi"/>
                <w:sz w:val="24"/>
                <w:szCs w:val="24"/>
              </w:rPr>
            </w:pPr>
            <w:r w:rsidRPr="00D922BA">
              <w:rPr>
                <w:rFonts w:cstheme="minorHAnsi"/>
                <w:sz w:val="24"/>
                <w:szCs w:val="24"/>
              </w:rPr>
              <w:br/>
              <w:t>4.000</w:t>
            </w:r>
          </w:p>
        </w:tc>
        <w:tc>
          <w:tcPr>
            <w:tcW w:w="597" w:type="pct"/>
            <w:tcBorders>
              <w:top w:val="single" w:sz="2" w:space="0" w:color="000000"/>
              <w:left w:val="single" w:sz="2" w:space="0" w:color="000000"/>
              <w:bottom w:val="single" w:sz="4" w:space="0" w:color="auto"/>
              <w:right w:val="single" w:sz="2" w:space="0" w:color="000000"/>
            </w:tcBorders>
          </w:tcPr>
          <w:p w14:paraId="1679558B" w14:textId="77777777" w:rsidR="00D82F8E" w:rsidRPr="00D922BA" w:rsidRDefault="00D82F8E" w:rsidP="00D922BA">
            <w:pPr>
              <w:jc w:val="right"/>
              <w:rPr>
                <w:rFonts w:cstheme="minorHAnsi"/>
                <w:sz w:val="24"/>
                <w:szCs w:val="24"/>
              </w:rPr>
            </w:pPr>
            <w:r w:rsidRPr="00740974">
              <w:rPr>
                <w:rFonts w:cstheme="minorHAnsi"/>
                <w:sz w:val="24"/>
                <w:szCs w:val="24"/>
              </w:rPr>
              <w:br/>
            </w:r>
            <w:r w:rsidRPr="00D922BA">
              <w:rPr>
                <w:rFonts w:cstheme="minorHAnsi"/>
                <w:sz w:val="24"/>
                <w:szCs w:val="24"/>
              </w:rPr>
              <w:t>4.000</w:t>
            </w:r>
          </w:p>
        </w:tc>
        <w:tc>
          <w:tcPr>
            <w:tcW w:w="597" w:type="pct"/>
            <w:tcBorders>
              <w:top w:val="single" w:sz="2" w:space="0" w:color="000000"/>
              <w:left w:val="single" w:sz="2" w:space="0" w:color="000000"/>
              <w:bottom w:val="single" w:sz="4" w:space="0" w:color="auto"/>
              <w:right w:val="single" w:sz="2" w:space="0" w:color="000000"/>
            </w:tcBorders>
          </w:tcPr>
          <w:p w14:paraId="47D36B38" w14:textId="77777777" w:rsidR="00D82F8E" w:rsidRPr="00D922BA" w:rsidRDefault="00D82F8E" w:rsidP="00D922BA">
            <w:pPr>
              <w:pStyle w:val="TableStyle"/>
              <w:jc w:val="right"/>
              <w:rPr>
                <w:rFonts w:asciiTheme="minorHAnsi" w:hAnsiTheme="minorHAnsi" w:cstheme="minorHAnsi"/>
                <w:sz w:val="24"/>
                <w:szCs w:val="24"/>
                <w:lang w:eastAsia="en-US"/>
              </w:rPr>
            </w:pPr>
            <w:r w:rsidRPr="00D922BA">
              <w:rPr>
                <w:rFonts w:asciiTheme="minorHAnsi" w:hAnsiTheme="minorHAnsi" w:cstheme="minorHAnsi"/>
                <w:sz w:val="24"/>
                <w:szCs w:val="24"/>
                <w:lang w:eastAsia="en-US"/>
              </w:rPr>
              <w:br/>
              <w:t>4.000</w:t>
            </w:r>
          </w:p>
        </w:tc>
        <w:tc>
          <w:tcPr>
            <w:tcW w:w="753" w:type="pct"/>
            <w:tcBorders>
              <w:top w:val="single" w:sz="2" w:space="0" w:color="000000"/>
              <w:left w:val="single" w:sz="2" w:space="0" w:color="000000"/>
              <w:bottom w:val="single" w:sz="4" w:space="0" w:color="auto"/>
              <w:right w:val="single" w:sz="2" w:space="0" w:color="000000"/>
            </w:tcBorders>
          </w:tcPr>
          <w:p w14:paraId="14C52641" w14:textId="77777777" w:rsidR="00D82F8E" w:rsidRPr="00D922BA" w:rsidRDefault="00D82F8E" w:rsidP="00D922BA">
            <w:pPr>
              <w:pStyle w:val="TableStyle"/>
              <w:jc w:val="right"/>
              <w:rPr>
                <w:rFonts w:asciiTheme="minorHAnsi" w:hAnsiTheme="minorHAnsi" w:cstheme="minorHAnsi"/>
                <w:sz w:val="24"/>
                <w:szCs w:val="24"/>
                <w:lang w:eastAsia="en-US"/>
              </w:rPr>
            </w:pPr>
            <w:r w:rsidRPr="00D922BA">
              <w:rPr>
                <w:rFonts w:asciiTheme="minorHAnsi" w:hAnsiTheme="minorHAnsi" w:cstheme="minorHAnsi"/>
                <w:sz w:val="24"/>
                <w:szCs w:val="24"/>
                <w:lang w:eastAsia="en-US"/>
              </w:rPr>
              <w:br/>
              <w:t>4.000</w:t>
            </w:r>
          </w:p>
        </w:tc>
      </w:tr>
    </w:tbl>
    <w:p w14:paraId="7B7D368B" w14:textId="77777777" w:rsidR="00D82F8E" w:rsidRDefault="00D82F8E" w:rsidP="00D82F8E">
      <w:pPr>
        <w:pStyle w:val="CabStandard"/>
        <w:numPr>
          <w:ilvl w:val="0"/>
          <w:numId w:val="0"/>
        </w:numPr>
        <w:ind w:left="567" w:hanging="567"/>
        <w:rPr>
          <w:rFonts w:ascii="Arial" w:hAnsi="Arial" w:cs="Arial"/>
        </w:rPr>
      </w:pPr>
    </w:p>
    <w:p w14:paraId="0DA26E0E" w14:textId="77777777" w:rsidR="00D82F8E" w:rsidRPr="00D922BA" w:rsidRDefault="00D82F8E" w:rsidP="00D82F8E">
      <w:pPr>
        <w:pStyle w:val="CabStandard"/>
        <w:rPr>
          <w:rFonts w:ascii="Arial" w:hAnsi="Arial" w:cs="Arial"/>
        </w:rPr>
      </w:pPr>
      <w:r w:rsidRPr="002553B3">
        <w:rPr>
          <w:rFonts w:ascii="Arial" w:hAnsi="Arial" w:cs="Arial"/>
        </w:rPr>
        <w:t>The revenue gain from this proposal can be accounted for on the tax policy scorecard. The implementation of this policy would increase the cumulate scorecard balance to $</w:t>
      </w:r>
      <w:r w:rsidR="002B0C19">
        <w:rPr>
          <w:rFonts w:ascii="Arial" w:hAnsi="Arial" w:cs="Arial"/>
        </w:rPr>
        <w:t>52 million</w:t>
      </w:r>
    </w:p>
    <w:p w14:paraId="2B64D6CB" w14:textId="1535FD60" w:rsidR="00D82F8E" w:rsidRDefault="00D82F8E" w:rsidP="00D82F8E">
      <w:pPr>
        <w:pStyle w:val="CabStandard"/>
        <w:rPr>
          <w:rFonts w:ascii="Arial" w:hAnsi="Arial" w:cs="Arial"/>
        </w:rPr>
      </w:pPr>
      <w:r w:rsidRPr="00AC32C4">
        <w:rPr>
          <w:rFonts w:ascii="Arial" w:hAnsi="Arial" w:cs="Arial"/>
        </w:rPr>
        <w:t xml:space="preserve">Officials’ best judgement is that if the exemption is not extended, rig and seismic vessel operators are likely to resume churning. In this case, no extra revenue would be collected from oil rig and seismic vessel operators while firms purchasing their services </w:t>
      </w:r>
      <w:r w:rsidR="002B0C19">
        <w:rPr>
          <w:rFonts w:ascii="Arial" w:hAnsi="Arial" w:cs="Arial"/>
        </w:rPr>
        <w:t>are expected to pay</w:t>
      </w:r>
      <w:r w:rsidRPr="00AC32C4">
        <w:rPr>
          <w:rFonts w:ascii="Arial" w:hAnsi="Arial" w:cs="Arial"/>
        </w:rPr>
        <w:t xml:space="preserve"> less tax. This is because the cost of these services (deductible to the New Zealand purchaser) could increase as a result of rigs and seismic vessels being churned</w:t>
      </w:r>
      <w:r>
        <w:rPr>
          <w:rFonts w:ascii="Arial" w:hAnsi="Arial" w:cs="Arial"/>
        </w:rPr>
        <w:t>.</w:t>
      </w:r>
      <w:r w:rsidR="002B0C19">
        <w:rPr>
          <w:rFonts w:ascii="Arial" w:hAnsi="Arial" w:cs="Arial"/>
        </w:rPr>
        <w:t xml:space="preserve">  This expectation is already included in the baseline forecasts.</w:t>
      </w:r>
    </w:p>
    <w:p w14:paraId="13494E6B" w14:textId="77777777" w:rsidR="00BD3810" w:rsidRPr="00523B6E" w:rsidRDefault="00BD3810" w:rsidP="00BD3810">
      <w:pPr>
        <w:pStyle w:val="CabStandard"/>
        <w:numPr>
          <w:ilvl w:val="0"/>
          <w:numId w:val="0"/>
        </w:numPr>
        <w:jc w:val="both"/>
        <w:rPr>
          <w:rFonts w:ascii="Arial" w:hAnsi="Arial" w:cs="Arial"/>
          <w:b/>
          <w:szCs w:val="24"/>
        </w:rPr>
      </w:pPr>
      <w:r w:rsidRPr="00523B6E">
        <w:rPr>
          <w:rFonts w:ascii="Arial" w:hAnsi="Arial" w:cs="Arial"/>
          <w:b/>
          <w:szCs w:val="24"/>
        </w:rPr>
        <w:t xml:space="preserve">Human Rights </w:t>
      </w:r>
    </w:p>
    <w:p w14:paraId="7E521F28" w14:textId="77777777" w:rsidR="00BD3810" w:rsidRPr="00D04B13" w:rsidRDefault="00BD3810" w:rsidP="00D04B13">
      <w:pPr>
        <w:pStyle w:val="CabStandard"/>
        <w:rPr>
          <w:rFonts w:ascii="Arial" w:hAnsi="Arial" w:cs="Arial"/>
        </w:rPr>
      </w:pPr>
      <w:r w:rsidRPr="00D04B13">
        <w:rPr>
          <w:rFonts w:ascii="Arial" w:hAnsi="Arial" w:cs="Arial"/>
        </w:rPr>
        <w:t>The proposal is consistent with the New Zealand Bill of Rights Act 1990 and the Human Rights Act 1993.</w:t>
      </w:r>
    </w:p>
    <w:p w14:paraId="19FF7393" w14:textId="77777777" w:rsidR="00B27B46" w:rsidRDefault="00B27B46" w:rsidP="00BD3810">
      <w:pPr>
        <w:pStyle w:val="CabStandard"/>
        <w:numPr>
          <w:ilvl w:val="0"/>
          <w:numId w:val="0"/>
        </w:numPr>
        <w:rPr>
          <w:rFonts w:ascii="Arial" w:hAnsi="Arial" w:cs="Arial"/>
          <w:b/>
          <w:szCs w:val="24"/>
        </w:rPr>
      </w:pPr>
      <w:bookmarkStart w:id="0" w:name="_Hlk9498001"/>
    </w:p>
    <w:p w14:paraId="2F823BE4" w14:textId="1A3FBB41" w:rsidR="00BD3810" w:rsidRPr="00523B6E" w:rsidRDefault="00BD3810" w:rsidP="00BD3810">
      <w:pPr>
        <w:pStyle w:val="CabStandard"/>
        <w:numPr>
          <w:ilvl w:val="0"/>
          <w:numId w:val="0"/>
        </w:numPr>
        <w:rPr>
          <w:rFonts w:ascii="Arial" w:hAnsi="Arial" w:cs="Arial"/>
          <w:b/>
          <w:szCs w:val="24"/>
        </w:rPr>
      </w:pPr>
      <w:r w:rsidRPr="00523B6E">
        <w:rPr>
          <w:rFonts w:ascii="Arial" w:hAnsi="Arial" w:cs="Arial"/>
          <w:b/>
          <w:szCs w:val="24"/>
        </w:rPr>
        <w:lastRenderedPageBreak/>
        <w:t>Legislative Implications</w:t>
      </w:r>
    </w:p>
    <w:p w14:paraId="32406522" w14:textId="6A328C7A" w:rsidR="002A32DC" w:rsidRDefault="00BD3810" w:rsidP="00D04B13">
      <w:pPr>
        <w:pStyle w:val="CabStandard"/>
        <w:rPr>
          <w:rFonts w:ascii="Arial" w:hAnsi="Arial" w:cs="Arial"/>
        </w:rPr>
      </w:pPr>
      <w:bookmarkStart w:id="1" w:name="_Hlk9497979"/>
      <w:r w:rsidRPr="00D04B13">
        <w:rPr>
          <w:rFonts w:ascii="Arial" w:hAnsi="Arial" w:cs="Arial"/>
        </w:rPr>
        <w:t xml:space="preserve">Extending the exemption </w:t>
      </w:r>
      <w:r w:rsidR="008F6206">
        <w:rPr>
          <w:rFonts w:ascii="Arial" w:hAnsi="Arial" w:cs="Arial"/>
        </w:rPr>
        <w:t xml:space="preserve">before the expiry of the current exemption on 31 December 2019 </w:t>
      </w:r>
      <w:r w:rsidRPr="00D04B13">
        <w:rPr>
          <w:rFonts w:ascii="Arial" w:hAnsi="Arial" w:cs="Arial"/>
        </w:rPr>
        <w:t>will require an amendment to the Income Tax Act 2007.</w:t>
      </w:r>
      <w:r w:rsidR="00982934">
        <w:rPr>
          <w:rFonts w:ascii="Arial" w:hAnsi="Arial" w:cs="Arial"/>
        </w:rPr>
        <w:t xml:space="preserve"> </w:t>
      </w:r>
      <w:r w:rsidR="00BE5CA1">
        <w:rPr>
          <w:rFonts w:ascii="Arial" w:hAnsi="Arial" w:cs="Arial"/>
        </w:rPr>
        <w:t>T</w:t>
      </w:r>
      <w:r w:rsidRPr="00D04B13">
        <w:rPr>
          <w:rFonts w:ascii="Arial" w:hAnsi="Arial" w:cs="Arial"/>
        </w:rPr>
        <w:t>he</w:t>
      </w:r>
      <w:r w:rsidR="00BF192B">
        <w:rPr>
          <w:rFonts w:ascii="Arial" w:hAnsi="Arial" w:cs="Arial"/>
        </w:rPr>
        <w:t xml:space="preserve"> only</w:t>
      </w:r>
      <w:r w:rsidRPr="00D04B13">
        <w:rPr>
          <w:rFonts w:ascii="Arial" w:hAnsi="Arial" w:cs="Arial"/>
        </w:rPr>
        <w:t xml:space="preserve"> suitable bill</w:t>
      </w:r>
      <w:r w:rsidR="00BF192B">
        <w:rPr>
          <w:rFonts w:ascii="Arial" w:hAnsi="Arial" w:cs="Arial"/>
        </w:rPr>
        <w:t xml:space="preserve"> is the </w:t>
      </w:r>
      <w:r w:rsidR="00BF192B" w:rsidRPr="00BF192B">
        <w:rPr>
          <w:rFonts w:ascii="Arial" w:hAnsi="Arial" w:cs="Arial"/>
        </w:rPr>
        <w:t>Taxation (Annual Rates for 2019–20, GST Offshore Supplier Registration, and Remedial Matters) Bill</w:t>
      </w:r>
      <w:r w:rsidR="00BF192B">
        <w:rPr>
          <w:rFonts w:ascii="Arial" w:hAnsi="Arial" w:cs="Arial"/>
        </w:rPr>
        <w:t xml:space="preserve"> </w:t>
      </w:r>
      <w:r w:rsidR="00650D23">
        <w:rPr>
          <w:rFonts w:ascii="Arial" w:hAnsi="Arial" w:cs="Arial"/>
        </w:rPr>
        <w:t>which has recently been reported back</w:t>
      </w:r>
      <w:r w:rsidR="00BF192B" w:rsidRPr="00BF192B">
        <w:rPr>
          <w:rFonts w:ascii="Arial" w:hAnsi="Arial" w:cs="Arial"/>
        </w:rPr>
        <w:t xml:space="preserve"> by the Finance and Expenditure Committee</w:t>
      </w:r>
      <w:r w:rsidR="00C750ED">
        <w:rPr>
          <w:rFonts w:ascii="Arial" w:hAnsi="Arial" w:cs="Arial"/>
        </w:rPr>
        <w:t xml:space="preserve"> (FEC)</w:t>
      </w:r>
      <w:r w:rsidR="00BF192B" w:rsidRPr="00BF192B">
        <w:rPr>
          <w:rFonts w:ascii="Arial" w:hAnsi="Arial" w:cs="Arial"/>
        </w:rPr>
        <w:t xml:space="preserve">.  </w:t>
      </w:r>
    </w:p>
    <w:p w14:paraId="14FA890D" w14:textId="720A7396" w:rsidR="00C750ED" w:rsidRDefault="00C750ED" w:rsidP="00D04B13">
      <w:pPr>
        <w:pStyle w:val="CabStandard"/>
        <w:rPr>
          <w:rFonts w:ascii="Arial" w:hAnsi="Arial" w:cs="Arial"/>
        </w:rPr>
      </w:pPr>
      <w:r>
        <w:rPr>
          <w:rFonts w:ascii="Arial" w:hAnsi="Arial" w:cs="Arial"/>
        </w:rPr>
        <w:t xml:space="preserve">The FEC </w:t>
      </w:r>
      <w:r w:rsidR="00650D23">
        <w:rPr>
          <w:rFonts w:ascii="Arial" w:hAnsi="Arial" w:cs="Arial"/>
        </w:rPr>
        <w:t>has accepted</w:t>
      </w:r>
      <w:r>
        <w:rPr>
          <w:rFonts w:ascii="Arial" w:hAnsi="Arial" w:cs="Arial"/>
        </w:rPr>
        <w:t xml:space="preserve"> the PEPANZ submission</w:t>
      </w:r>
      <w:r w:rsidR="00EA152B">
        <w:rPr>
          <w:rFonts w:ascii="Arial" w:hAnsi="Arial" w:cs="Arial"/>
        </w:rPr>
        <w:t xml:space="preserve"> to include </w:t>
      </w:r>
      <w:r w:rsidR="00B54D07">
        <w:rPr>
          <w:rFonts w:ascii="Arial" w:hAnsi="Arial" w:cs="Arial"/>
        </w:rPr>
        <w:t>an extension of the exemption in the Bill</w:t>
      </w:r>
      <w:r w:rsidR="00DA2833">
        <w:rPr>
          <w:rFonts w:ascii="Arial" w:hAnsi="Arial" w:cs="Arial"/>
        </w:rPr>
        <w:t xml:space="preserve">. </w:t>
      </w:r>
      <w:r w:rsidR="00BE5CA1">
        <w:rPr>
          <w:rFonts w:ascii="Arial" w:hAnsi="Arial" w:cs="Arial"/>
        </w:rPr>
        <w:t>R</w:t>
      </w:r>
      <w:r w:rsidR="00DA2833">
        <w:rPr>
          <w:rFonts w:ascii="Arial" w:hAnsi="Arial" w:cs="Arial"/>
        </w:rPr>
        <w:t>emov</w:t>
      </w:r>
      <w:r w:rsidR="00BE5CA1">
        <w:rPr>
          <w:rFonts w:ascii="Arial" w:hAnsi="Arial" w:cs="Arial"/>
        </w:rPr>
        <w:t>ing</w:t>
      </w:r>
      <w:r>
        <w:rPr>
          <w:rFonts w:ascii="Arial" w:hAnsi="Arial" w:cs="Arial"/>
        </w:rPr>
        <w:t xml:space="preserve"> the oil rig exemption from the Bill </w:t>
      </w:r>
      <w:r w:rsidR="00DA2833">
        <w:rPr>
          <w:rFonts w:ascii="Arial" w:hAnsi="Arial" w:cs="Arial"/>
        </w:rPr>
        <w:t>after the second reading</w:t>
      </w:r>
      <w:r>
        <w:rPr>
          <w:rFonts w:ascii="Arial" w:hAnsi="Arial" w:cs="Arial"/>
        </w:rPr>
        <w:t xml:space="preserve"> would require Cabinet and Parliamentary support for a Supplementary Order Paper (SOP) at the Committee of the whole House stage.</w:t>
      </w:r>
      <w:r w:rsidR="00874286">
        <w:rPr>
          <w:rFonts w:ascii="Arial" w:hAnsi="Arial" w:cs="Arial"/>
        </w:rPr>
        <w:t xml:space="preserve">  This would have the effect of delaying the progress of the Bill.</w:t>
      </w:r>
    </w:p>
    <w:p w14:paraId="720D5E58" w14:textId="77777777" w:rsidR="00BD3810" w:rsidRPr="00523B6E" w:rsidRDefault="00BD3810" w:rsidP="00D82F8E">
      <w:pPr>
        <w:pStyle w:val="CabStandard"/>
        <w:numPr>
          <w:ilvl w:val="0"/>
          <w:numId w:val="0"/>
        </w:numPr>
        <w:jc w:val="both"/>
        <w:rPr>
          <w:rFonts w:ascii="Arial" w:hAnsi="Arial" w:cs="Arial"/>
          <w:b/>
          <w:szCs w:val="24"/>
        </w:rPr>
      </w:pPr>
      <w:bookmarkStart w:id="2" w:name="regulatory-impact-analysis"/>
      <w:bookmarkEnd w:id="2"/>
      <w:bookmarkEnd w:id="1"/>
      <w:bookmarkEnd w:id="0"/>
      <w:r w:rsidRPr="00523B6E">
        <w:rPr>
          <w:rFonts w:ascii="Arial" w:hAnsi="Arial" w:cs="Arial"/>
          <w:b/>
          <w:szCs w:val="24"/>
        </w:rPr>
        <w:t>Regulatory Impact Analysis</w:t>
      </w:r>
    </w:p>
    <w:p w14:paraId="05E94EAF" w14:textId="77777777" w:rsidR="00BD3810" w:rsidRPr="00D04B13" w:rsidRDefault="00BD3810" w:rsidP="00D04B13">
      <w:pPr>
        <w:pStyle w:val="CabStandard"/>
        <w:rPr>
          <w:rFonts w:ascii="Arial" w:hAnsi="Arial" w:cs="Arial"/>
        </w:rPr>
      </w:pPr>
      <w:r w:rsidRPr="00D04B13">
        <w:rPr>
          <w:rFonts w:ascii="Arial" w:hAnsi="Arial" w:cs="Arial"/>
        </w:rPr>
        <w:t>A Regulatory Impact Analysis (RIA) is attached.</w:t>
      </w:r>
    </w:p>
    <w:p w14:paraId="627C34A9" w14:textId="77777777" w:rsidR="00BD3810" w:rsidRPr="00D04B13" w:rsidRDefault="00BD3810" w:rsidP="00D04B13">
      <w:pPr>
        <w:pStyle w:val="CabStandard"/>
        <w:rPr>
          <w:rFonts w:ascii="Arial" w:hAnsi="Arial" w:cs="Arial"/>
        </w:rPr>
      </w:pPr>
      <w:r w:rsidRPr="00D04B13">
        <w:rPr>
          <w:rFonts w:ascii="Arial" w:hAnsi="Arial" w:cs="Arial"/>
        </w:rPr>
        <w:t>The Quality Assurance reviewer at Inland Revenue has reviewed the Extending tax exemption for non-resident oil rig and seismic vessel operators RIA and considers that the information and analysis summarised in it meets the quality assurance criteria of the Regulatory Impact Analysis framework.</w:t>
      </w:r>
    </w:p>
    <w:p w14:paraId="51FD3439" w14:textId="77777777" w:rsidR="00BD3810" w:rsidRPr="00523B6E" w:rsidRDefault="00BD3810" w:rsidP="00BD3810">
      <w:pPr>
        <w:pStyle w:val="CabStandard"/>
        <w:numPr>
          <w:ilvl w:val="0"/>
          <w:numId w:val="0"/>
        </w:numPr>
        <w:rPr>
          <w:rFonts w:ascii="Arial" w:hAnsi="Arial" w:cs="Arial"/>
          <w:b/>
          <w:szCs w:val="24"/>
        </w:rPr>
      </w:pPr>
      <w:bookmarkStart w:id="3" w:name="_Hlk9498515"/>
      <w:r w:rsidRPr="00523B6E">
        <w:rPr>
          <w:rFonts w:ascii="Arial" w:hAnsi="Arial" w:cs="Arial"/>
          <w:b/>
          <w:szCs w:val="24"/>
        </w:rPr>
        <w:t xml:space="preserve">Publicity </w:t>
      </w:r>
    </w:p>
    <w:p w14:paraId="79C96012" w14:textId="3CF1711F" w:rsidR="00BD3810" w:rsidRPr="00D04B13" w:rsidRDefault="009E34F8" w:rsidP="00D04B13">
      <w:pPr>
        <w:pStyle w:val="CabStandard"/>
        <w:rPr>
          <w:rFonts w:ascii="Arial" w:hAnsi="Arial" w:cs="Arial"/>
        </w:rPr>
      </w:pPr>
      <w:bookmarkStart w:id="4" w:name="_Hlk5012906"/>
      <w:r>
        <w:rPr>
          <w:rFonts w:ascii="Arial" w:hAnsi="Arial" w:cs="Arial"/>
        </w:rPr>
        <w:t>The Minister of Revenue</w:t>
      </w:r>
      <w:r w:rsidR="00BD3810" w:rsidRPr="00D04B13">
        <w:rPr>
          <w:rFonts w:ascii="Arial" w:hAnsi="Arial" w:cs="Arial"/>
        </w:rPr>
        <w:t xml:space="preserve"> </w:t>
      </w:r>
      <w:r>
        <w:rPr>
          <w:rFonts w:ascii="Arial" w:hAnsi="Arial" w:cs="Arial"/>
        </w:rPr>
        <w:t xml:space="preserve">has </w:t>
      </w:r>
      <w:r w:rsidR="00BD3810" w:rsidRPr="00D04B13">
        <w:rPr>
          <w:rFonts w:ascii="Arial" w:hAnsi="Arial" w:cs="Arial"/>
        </w:rPr>
        <w:t>issue</w:t>
      </w:r>
      <w:r>
        <w:rPr>
          <w:rFonts w:ascii="Arial" w:hAnsi="Arial" w:cs="Arial"/>
        </w:rPr>
        <w:t>d</w:t>
      </w:r>
      <w:r w:rsidR="00BD3810" w:rsidRPr="00D04B13">
        <w:rPr>
          <w:rFonts w:ascii="Arial" w:hAnsi="Arial" w:cs="Arial"/>
        </w:rPr>
        <w:t xml:space="preserve"> a press release announcing </w:t>
      </w:r>
      <w:r>
        <w:rPr>
          <w:rFonts w:ascii="Arial" w:hAnsi="Arial" w:cs="Arial"/>
        </w:rPr>
        <w:t xml:space="preserve">that an </w:t>
      </w:r>
      <w:r w:rsidR="00BD3810" w:rsidRPr="00D04B13">
        <w:rPr>
          <w:rFonts w:ascii="Arial" w:hAnsi="Arial" w:cs="Arial"/>
        </w:rPr>
        <w:t>extension</w:t>
      </w:r>
      <w:r>
        <w:rPr>
          <w:rFonts w:ascii="Arial" w:hAnsi="Arial" w:cs="Arial"/>
        </w:rPr>
        <w:t xml:space="preserve"> has been included in the reported back version of the Bill</w:t>
      </w:r>
      <w:r w:rsidR="00BE5CA1">
        <w:rPr>
          <w:rFonts w:ascii="Arial" w:hAnsi="Arial" w:cs="Arial"/>
        </w:rPr>
        <w:t>, in response to submissions to the FEC</w:t>
      </w:r>
      <w:r w:rsidR="00BD3810" w:rsidRPr="00D04B13">
        <w:rPr>
          <w:rFonts w:ascii="Arial" w:hAnsi="Arial" w:cs="Arial"/>
        </w:rPr>
        <w:t>.</w:t>
      </w:r>
      <w:r w:rsidR="00982934">
        <w:rPr>
          <w:rFonts w:ascii="Arial" w:hAnsi="Arial" w:cs="Arial"/>
        </w:rPr>
        <w:t xml:space="preserve"> </w:t>
      </w:r>
      <w:r w:rsidR="00BD3810" w:rsidRPr="00D04B13">
        <w:rPr>
          <w:rFonts w:ascii="Arial" w:hAnsi="Arial" w:cs="Arial"/>
        </w:rPr>
        <w:t>Inland Revenue will publish details of the new legislation in a Tax Information Bulletin once the tax bill containing the amendments is enacted.</w:t>
      </w:r>
    </w:p>
    <w:bookmarkEnd w:id="4"/>
    <w:bookmarkEnd w:id="3"/>
    <w:p w14:paraId="3D778BEC" w14:textId="77777777" w:rsidR="00ED6F39" w:rsidRDefault="00ED6F39" w:rsidP="00BD3810">
      <w:pPr>
        <w:rPr>
          <w:rFonts w:ascii="Arial" w:hAnsi="Arial" w:cs="Arial"/>
          <w:b/>
          <w:sz w:val="24"/>
          <w:szCs w:val="24"/>
        </w:rPr>
      </w:pPr>
      <w:r>
        <w:rPr>
          <w:rFonts w:ascii="Arial" w:hAnsi="Arial" w:cs="Arial"/>
          <w:b/>
          <w:sz w:val="24"/>
          <w:szCs w:val="24"/>
        </w:rPr>
        <w:t>Proactive Release</w:t>
      </w:r>
    </w:p>
    <w:p w14:paraId="2E3FC077" w14:textId="77777777" w:rsidR="007D4876" w:rsidRPr="007D4876" w:rsidRDefault="007D4876" w:rsidP="007D4876">
      <w:pPr>
        <w:pStyle w:val="CabStandard"/>
        <w:rPr>
          <w:rFonts w:ascii="Arial" w:hAnsi="Arial" w:cs="Arial"/>
        </w:rPr>
      </w:pPr>
      <w:r>
        <w:rPr>
          <w:rFonts w:ascii="Arial" w:hAnsi="Arial" w:cs="Arial"/>
        </w:rPr>
        <w:t>We propose to proactively release this Cabinet paper, together with the associated RIA</w:t>
      </w:r>
      <w:r w:rsidR="005B6367">
        <w:rPr>
          <w:rFonts w:ascii="Arial" w:hAnsi="Arial" w:cs="Arial"/>
        </w:rPr>
        <w:t>.</w:t>
      </w:r>
    </w:p>
    <w:p w14:paraId="22A106DD" w14:textId="77777777" w:rsidR="00BD3810" w:rsidRPr="00523B6E" w:rsidRDefault="00BD3810" w:rsidP="00BD3810">
      <w:pPr>
        <w:rPr>
          <w:rFonts w:ascii="Arial" w:hAnsi="Arial" w:cs="Arial"/>
          <w:b/>
          <w:sz w:val="24"/>
          <w:szCs w:val="24"/>
        </w:rPr>
      </w:pPr>
      <w:r w:rsidRPr="00523B6E">
        <w:rPr>
          <w:rFonts w:ascii="Arial" w:hAnsi="Arial" w:cs="Arial"/>
          <w:b/>
          <w:sz w:val="24"/>
          <w:szCs w:val="24"/>
        </w:rPr>
        <w:t xml:space="preserve">Recommendations </w:t>
      </w:r>
    </w:p>
    <w:p w14:paraId="1690FF3D" w14:textId="77777777" w:rsidR="00BD3810" w:rsidRPr="00523B6E" w:rsidRDefault="00BD3810" w:rsidP="00BD3810">
      <w:pPr>
        <w:pStyle w:val="CabStandard"/>
        <w:numPr>
          <w:ilvl w:val="0"/>
          <w:numId w:val="0"/>
        </w:numPr>
        <w:rPr>
          <w:rFonts w:ascii="Arial" w:hAnsi="Arial" w:cs="Arial"/>
          <w:szCs w:val="24"/>
        </w:rPr>
      </w:pPr>
      <w:r w:rsidRPr="00523B6E">
        <w:rPr>
          <w:rFonts w:ascii="Arial" w:hAnsi="Arial" w:cs="Arial"/>
          <w:szCs w:val="24"/>
        </w:rPr>
        <w:t>The Minister of Energy and Resources and the Minster of Revenue recommend that the Committee:</w:t>
      </w:r>
    </w:p>
    <w:p w14:paraId="539C8E6B" w14:textId="77777777" w:rsidR="00BD3810" w:rsidRPr="00523B6E" w:rsidRDefault="00BD3810" w:rsidP="00BD3810">
      <w:pPr>
        <w:pStyle w:val="CabStandard"/>
        <w:numPr>
          <w:ilvl w:val="1"/>
          <w:numId w:val="2"/>
        </w:numPr>
        <w:rPr>
          <w:rFonts w:ascii="Arial" w:hAnsi="Arial" w:cs="Arial"/>
          <w:szCs w:val="24"/>
        </w:rPr>
      </w:pPr>
      <w:r w:rsidRPr="00523B6E">
        <w:rPr>
          <w:rFonts w:ascii="Arial" w:hAnsi="Arial" w:cs="Arial"/>
          <w:b/>
          <w:szCs w:val="24"/>
        </w:rPr>
        <w:t>Note</w:t>
      </w:r>
      <w:r w:rsidRPr="00523B6E">
        <w:rPr>
          <w:rFonts w:ascii="Arial" w:hAnsi="Arial" w:cs="Arial"/>
          <w:szCs w:val="24"/>
        </w:rPr>
        <w:t xml:space="preserve"> that there is an existing temporary income tax exemption for the income of non-resident offshore rig and seismic vessel operators that is due to expire on 31 December 2019. </w:t>
      </w:r>
    </w:p>
    <w:p w14:paraId="38106EBF" w14:textId="77777777" w:rsidR="00BD3810" w:rsidRPr="006C1AAF" w:rsidRDefault="00BD3810" w:rsidP="00BD3810">
      <w:pPr>
        <w:pStyle w:val="CabStandard"/>
        <w:numPr>
          <w:ilvl w:val="1"/>
          <w:numId w:val="2"/>
        </w:numPr>
        <w:rPr>
          <w:rFonts w:ascii="Arial" w:hAnsi="Arial" w:cs="Arial"/>
          <w:b/>
          <w:szCs w:val="24"/>
        </w:rPr>
      </w:pPr>
      <w:r w:rsidRPr="00523B6E">
        <w:rPr>
          <w:rFonts w:ascii="Arial" w:hAnsi="Arial" w:cs="Arial"/>
          <w:b/>
          <w:szCs w:val="24"/>
        </w:rPr>
        <w:t>Note</w:t>
      </w:r>
      <w:r w:rsidRPr="00523B6E">
        <w:rPr>
          <w:rFonts w:ascii="Arial" w:hAnsi="Arial" w:cs="Arial"/>
          <w:szCs w:val="24"/>
        </w:rPr>
        <w:t xml:space="preserve"> early signalling of intentions is important for industry certainty and investment decisions.</w:t>
      </w:r>
    </w:p>
    <w:p w14:paraId="697560FD" w14:textId="26F656DC" w:rsidR="00BD3810" w:rsidRPr="00B54D07" w:rsidRDefault="00BD3810" w:rsidP="00BD3810">
      <w:pPr>
        <w:pStyle w:val="CabStandard"/>
        <w:numPr>
          <w:ilvl w:val="1"/>
          <w:numId w:val="2"/>
        </w:numPr>
        <w:rPr>
          <w:rFonts w:ascii="Arial" w:hAnsi="Arial" w:cs="Arial"/>
          <w:b/>
          <w:szCs w:val="24"/>
        </w:rPr>
      </w:pPr>
      <w:r w:rsidRPr="006C1AAF">
        <w:rPr>
          <w:rFonts w:ascii="Arial" w:hAnsi="Arial" w:cs="Arial"/>
          <w:b/>
          <w:szCs w:val="24"/>
        </w:rPr>
        <w:t>Note</w:t>
      </w:r>
      <w:r w:rsidRPr="006C1AAF">
        <w:rPr>
          <w:rFonts w:ascii="Arial" w:hAnsi="Arial" w:cs="Arial"/>
          <w:szCs w:val="24"/>
        </w:rPr>
        <w:t xml:space="preserve"> that maintaining the exemption would be consistent with the approach to maintaining existing settings taken in the offshore oil and gas exploration announcement</w:t>
      </w:r>
      <w:r>
        <w:rPr>
          <w:rFonts w:ascii="Arial" w:hAnsi="Arial" w:cs="Arial"/>
          <w:szCs w:val="24"/>
        </w:rPr>
        <w:t xml:space="preserve"> made on 12 April 2018</w:t>
      </w:r>
      <w:r w:rsidRPr="006C1AAF">
        <w:rPr>
          <w:rFonts w:ascii="Arial" w:hAnsi="Arial" w:cs="Arial"/>
          <w:szCs w:val="24"/>
        </w:rPr>
        <w:t>.</w:t>
      </w:r>
    </w:p>
    <w:p w14:paraId="536EF828" w14:textId="6A843E73" w:rsidR="00B54D07" w:rsidRPr="006C1AAF" w:rsidRDefault="00B54D07" w:rsidP="00BD3810">
      <w:pPr>
        <w:pStyle w:val="CabStandard"/>
        <w:numPr>
          <w:ilvl w:val="1"/>
          <w:numId w:val="2"/>
        </w:numPr>
        <w:rPr>
          <w:rFonts w:ascii="Arial" w:hAnsi="Arial" w:cs="Arial"/>
          <w:b/>
          <w:szCs w:val="24"/>
        </w:rPr>
      </w:pPr>
      <w:r>
        <w:rPr>
          <w:rFonts w:ascii="Arial" w:hAnsi="Arial" w:cs="Arial"/>
          <w:b/>
          <w:szCs w:val="24"/>
        </w:rPr>
        <w:lastRenderedPageBreak/>
        <w:t>Note</w:t>
      </w:r>
      <w:r>
        <w:rPr>
          <w:rFonts w:ascii="Arial" w:hAnsi="Arial" w:cs="Arial"/>
          <w:szCs w:val="24"/>
        </w:rPr>
        <w:t xml:space="preserve"> that the Finance and Expenditure Committee has </w:t>
      </w:r>
      <w:r w:rsidR="00DA2833">
        <w:rPr>
          <w:rFonts w:ascii="Arial" w:hAnsi="Arial" w:cs="Arial"/>
          <w:szCs w:val="24"/>
        </w:rPr>
        <w:t>accepted</w:t>
      </w:r>
      <w:r>
        <w:rPr>
          <w:rFonts w:ascii="Arial" w:hAnsi="Arial" w:cs="Arial"/>
          <w:szCs w:val="24"/>
        </w:rPr>
        <w:t xml:space="preserve"> that an exemption be included in the revision tracked version of the Taxation (Annual Rates for 2019-20, GST Offshore Supplier Registration, and Remedial Matters) Bill.</w:t>
      </w:r>
    </w:p>
    <w:p w14:paraId="5716AE50" w14:textId="77777777" w:rsidR="00BD3810" w:rsidRDefault="00BD3810" w:rsidP="00BD3810">
      <w:pPr>
        <w:pStyle w:val="CabStandard"/>
        <w:numPr>
          <w:ilvl w:val="1"/>
          <w:numId w:val="2"/>
        </w:numPr>
        <w:rPr>
          <w:rFonts w:ascii="Arial" w:hAnsi="Arial" w:cs="Arial"/>
          <w:szCs w:val="24"/>
        </w:rPr>
      </w:pPr>
      <w:r w:rsidRPr="006C1AAF">
        <w:rPr>
          <w:rFonts w:ascii="Arial" w:hAnsi="Arial" w:cs="Arial"/>
          <w:b/>
          <w:szCs w:val="24"/>
        </w:rPr>
        <w:t xml:space="preserve">Agree </w:t>
      </w:r>
      <w:r w:rsidRPr="006C1AAF">
        <w:rPr>
          <w:rFonts w:ascii="Arial" w:hAnsi="Arial" w:cs="Arial"/>
          <w:szCs w:val="24"/>
        </w:rPr>
        <w:t>to the exemption for the income of non-resident offshore rig and seismic vessel operators being extended until 31 December 2024.</w:t>
      </w:r>
    </w:p>
    <w:p w14:paraId="16883136" w14:textId="37C1C255" w:rsidR="00D82F8E" w:rsidRPr="00D922BA" w:rsidRDefault="00D82F8E" w:rsidP="00D82F8E">
      <w:pPr>
        <w:pStyle w:val="CabStandard"/>
        <w:numPr>
          <w:ilvl w:val="1"/>
          <w:numId w:val="2"/>
        </w:numPr>
        <w:rPr>
          <w:rFonts w:ascii="Arial" w:hAnsi="Arial" w:cs="Arial"/>
          <w:sz w:val="22"/>
          <w:lang w:eastAsia="en-US"/>
        </w:rPr>
      </w:pPr>
      <w:r w:rsidRPr="006A667B">
        <w:rPr>
          <w:rFonts w:ascii="Arial" w:hAnsi="Arial" w:cs="Arial"/>
          <w:b/>
          <w:szCs w:val="24"/>
        </w:rPr>
        <w:t>Note</w:t>
      </w:r>
      <w:r w:rsidRPr="006A667B">
        <w:rPr>
          <w:rFonts w:ascii="Arial" w:hAnsi="Arial" w:cs="Arial"/>
          <w:szCs w:val="24"/>
        </w:rPr>
        <w:t xml:space="preserve"> that </w:t>
      </w:r>
      <w:r w:rsidRPr="00740974">
        <w:rPr>
          <w:rFonts w:ascii="Arial" w:hAnsi="Arial" w:cs="Arial"/>
          <w:szCs w:val="24"/>
          <w:lang w:eastAsia="en-US"/>
        </w:rPr>
        <w:t xml:space="preserve">agreeing to recommendation </w:t>
      </w:r>
      <w:r w:rsidR="00C50AE0">
        <w:rPr>
          <w:rFonts w:ascii="Arial" w:hAnsi="Arial" w:cs="Arial"/>
          <w:szCs w:val="24"/>
          <w:lang w:eastAsia="en-US"/>
        </w:rPr>
        <w:t>5</w:t>
      </w:r>
      <w:r w:rsidRPr="00740974">
        <w:rPr>
          <w:rFonts w:ascii="Arial" w:hAnsi="Arial" w:cs="Arial"/>
          <w:szCs w:val="24"/>
          <w:lang w:eastAsia="en-US"/>
        </w:rPr>
        <w:t xml:space="preserve"> </w:t>
      </w:r>
      <w:r w:rsidRPr="00D922BA">
        <w:rPr>
          <w:rFonts w:ascii="Arial" w:hAnsi="Arial" w:cs="Arial"/>
          <w:szCs w:val="24"/>
          <w:lang w:eastAsia="en-US"/>
        </w:rPr>
        <w:t xml:space="preserve">above will have an estimated revenue </w:t>
      </w:r>
      <w:r>
        <w:rPr>
          <w:rFonts w:ascii="Arial" w:hAnsi="Arial" w:cs="Arial"/>
          <w:szCs w:val="24"/>
          <w:lang w:eastAsia="en-US"/>
        </w:rPr>
        <w:t xml:space="preserve">gain </w:t>
      </w:r>
      <w:r w:rsidRPr="00D922BA">
        <w:rPr>
          <w:rFonts w:ascii="Arial" w:hAnsi="Arial" w:cs="Arial"/>
          <w:szCs w:val="24"/>
          <w:lang w:eastAsia="en-US"/>
        </w:rPr>
        <w:t>of $</w:t>
      </w:r>
      <w:r>
        <w:rPr>
          <w:rFonts w:ascii="Arial" w:hAnsi="Arial" w:cs="Arial"/>
          <w:szCs w:val="24"/>
          <w:lang w:eastAsia="en-US"/>
        </w:rPr>
        <w:t xml:space="preserve">16 </w:t>
      </w:r>
      <w:r w:rsidRPr="00D922BA">
        <w:rPr>
          <w:rFonts w:ascii="Arial" w:hAnsi="Arial" w:cs="Arial"/>
          <w:szCs w:val="24"/>
          <w:lang w:eastAsia="en-US"/>
        </w:rPr>
        <w:t>million over the forecast period, which can be accounted for on the tax policy scorecard:</w:t>
      </w:r>
    </w:p>
    <w:tbl>
      <w:tblPr>
        <w:tblW w:w="5146" w:type="pct"/>
        <w:tblInd w:w="-108" w:type="dxa"/>
        <w:tblLook w:val="04A0" w:firstRow="1" w:lastRow="0" w:firstColumn="1" w:lastColumn="0" w:noHBand="0" w:noVBand="1"/>
      </w:tblPr>
      <w:tblGrid>
        <w:gridCol w:w="3729"/>
        <w:gridCol w:w="1197"/>
        <w:gridCol w:w="1197"/>
        <w:gridCol w:w="1197"/>
        <w:gridCol w:w="1197"/>
        <w:gridCol w:w="1510"/>
      </w:tblGrid>
      <w:tr w:rsidR="00D82F8E" w:rsidRPr="002D6477" w14:paraId="0A656792" w14:textId="77777777" w:rsidTr="00D922BA">
        <w:trPr>
          <w:cantSplit/>
        </w:trPr>
        <w:tc>
          <w:tcPr>
            <w:tcW w:w="1859" w:type="pct"/>
          </w:tcPr>
          <w:p w14:paraId="01D49AF2" w14:textId="77777777" w:rsidR="00D82F8E" w:rsidRPr="00D922BA" w:rsidRDefault="00D82F8E" w:rsidP="00D922BA">
            <w:pPr>
              <w:pStyle w:val="TableStyle"/>
              <w:rPr>
                <w:rFonts w:asciiTheme="minorHAnsi" w:hAnsiTheme="minorHAnsi" w:cstheme="minorHAnsi"/>
                <w:sz w:val="24"/>
                <w:szCs w:val="24"/>
                <w:lang w:eastAsia="en-US"/>
              </w:rPr>
            </w:pPr>
          </w:p>
        </w:tc>
        <w:tc>
          <w:tcPr>
            <w:tcW w:w="3141" w:type="pct"/>
            <w:gridSpan w:val="5"/>
            <w:tcBorders>
              <w:top w:val="single" w:sz="2" w:space="0" w:color="000000"/>
              <w:left w:val="single" w:sz="2" w:space="0" w:color="000000"/>
              <w:bottom w:val="single" w:sz="2" w:space="0" w:color="000000"/>
              <w:right w:val="single" w:sz="2" w:space="0" w:color="000000"/>
            </w:tcBorders>
          </w:tcPr>
          <w:p w14:paraId="5448DD7A" w14:textId="77777777" w:rsidR="00D82F8E" w:rsidRPr="00D922BA" w:rsidRDefault="00D82F8E" w:rsidP="00D922BA">
            <w:pPr>
              <w:pStyle w:val="TableStyle"/>
              <w:jc w:val="center"/>
              <w:rPr>
                <w:rFonts w:asciiTheme="minorHAnsi" w:hAnsiTheme="minorHAnsi" w:cstheme="minorHAnsi"/>
                <w:sz w:val="24"/>
                <w:szCs w:val="24"/>
                <w:lang w:eastAsia="en-US"/>
              </w:rPr>
            </w:pPr>
            <w:r w:rsidRPr="00D922BA">
              <w:rPr>
                <w:rFonts w:asciiTheme="minorHAnsi" w:hAnsiTheme="minorHAnsi" w:cstheme="minorHAnsi"/>
                <w:sz w:val="24"/>
                <w:szCs w:val="24"/>
                <w:lang w:eastAsia="en-US"/>
              </w:rPr>
              <w:t>$m - increase/(decrease)</w:t>
            </w:r>
          </w:p>
        </w:tc>
      </w:tr>
      <w:tr w:rsidR="00D82F8E" w:rsidRPr="002D6477" w14:paraId="180DB576" w14:textId="77777777" w:rsidTr="00D922BA">
        <w:trPr>
          <w:cantSplit/>
        </w:trPr>
        <w:tc>
          <w:tcPr>
            <w:tcW w:w="1859" w:type="pct"/>
            <w:tcBorders>
              <w:top w:val="single" w:sz="2" w:space="0" w:color="000000"/>
              <w:left w:val="single" w:sz="2" w:space="0" w:color="000000"/>
              <w:bottom w:val="single" w:sz="2" w:space="0" w:color="000000"/>
              <w:right w:val="single" w:sz="2" w:space="0" w:color="000000"/>
            </w:tcBorders>
          </w:tcPr>
          <w:p w14:paraId="6F42F2C6" w14:textId="77777777" w:rsidR="00D82F8E" w:rsidRPr="00D922BA" w:rsidRDefault="00D82F8E" w:rsidP="00D922BA">
            <w:pPr>
              <w:pStyle w:val="TableStyle"/>
              <w:rPr>
                <w:rFonts w:asciiTheme="minorHAnsi" w:hAnsiTheme="minorHAnsi" w:cstheme="minorHAnsi"/>
                <w:sz w:val="24"/>
                <w:szCs w:val="24"/>
                <w:lang w:eastAsia="en-US"/>
              </w:rPr>
            </w:pPr>
            <w:r w:rsidRPr="00D922BA">
              <w:rPr>
                <w:rFonts w:asciiTheme="minorHAnsi" w:hAnsiTheme="minorHAnsi" w:cstheme="minorHAnsi"/>
                <w:sz w:val="24"/>
                <w:szCs w:val="24"/>
                <w:lang w:eastAsia="en-US"/>
              </w:rPr>
              <w:t>Vote Revenue</w:t>
            </w:r>
          </w:p>
          <w:p w14:paraId="7668929B" w14:textId="77777777" w:rsidR="00D82F8E" w:rsidRPr="00D922BA" w:rsidRDefault="00D82F8E" w:rsidP="00D922BA">
            <w:pPr>
              <w:pStyle w:val="TableStyle"/>
              <w:rPr>
                <w:rFonts w:asciiTheme="minorHAnsi" w:hAnsiTheme="minorHAnsi" w:cstheme="minorHAnsi"/>
                <w:sz w:val="24"/>
                <w:szCs w:val="24"/>
                <w:lang w:eastAsia="en-US"/>
              </w:rPr>
            </w:pPr>
            <w:r w:rsidRPr="00D922BA">
              <w:rPr>
                <w:rFonts w:asciiTheme="minorHAnsi" w:hAnsiTheme="minorHAnsi" w:cstheme="minorHAnsi"/>
                <w:sz w:val="24"/>
                <w:szCs w:val="24"/>
                <w:lang w:eastAsia="en-US"/>
              </w:rPr>
              <w:t>Minister of Revenue</w:t>
            </w:r>
          </w:p>
        </w:tc>
        <w:tc>
          <w:tcPr>
            <w:tcW w:w="597" w:type="pct"/>
            <w:tcBorders>
              <w:top w:val="single" w:sz="2" w:space="0" w:color="000000"/>
              <w:left w:val="single" w:sz="2" w:space="0" w:color="000000"/>
              <w:bottom w:val="single" w:sz="2" w:space="0" w:color="000000"/>
              <w:right w:val="single" w:sz="2" w:space="0" w:color="000000"/>
            </w:tcBorders>
          </w:tcPr>
          <w:p w14:paraId="24CD4E1B" w14:textId="77777777" w:rsidR="00D82F8E" w:rsidRPr="00D922BA" w:rsidRDefault="00D82F8E" w:rsidP="00D922BA">
            <w:pPr>
              <w:jc w:val="center"/>
              <w:rPr>
                <w:rFonts w:cstheme="minorHAnsi"/>
                <w:b/>
              </w:rPr>
            </w:pPr>
            <w:r w:rsidRPr="00740974">
              <w:rPr>
                <w:rFonts w:cstheme="minorHAnsi"/>
                <w:b/>
              </w:rPr>
              <w:t>2018</w:t>
            </w:r>
            <w:r w:rsidRPr="00D922BA">
              <w:rPr>
                <w:rFonts w:cstheme="minorHAnsi"/>
                <w:b/>
              </w:rPr>
              <w:t>/19</w:t>
            </w:r>
          </w:p>
        </w:tc>
        <w:tc>
          <w:tcPr>
            <w:tcW w:w="597" w:type="pct"/>
            <w:tcBorders>
              <w:top w:val="single" w:sz="2" w:space="0" w:color="000000"/>
              <w:left w:val="single" w:sz="2" w:space="0" w:color="000000"/>
              <w:bottom w:val="single" w:sz="2" w:space="0" w:color="000000"/>
              <w:right w:val="single" w:sz="2" w:space="0" w:color="000000"/>
            </w:tcBorders>
          </w:tcPr>
          <w:p w14:paraId="733A16C8" w14:textId="77777777" w:rsidR="00D82F8E" w:rsidRPr="00D922BA" w:rsidRDefault="00D82F8E" w:rsidP="00D922BA">
            <w:pPr>
              <w:jc w:val="center"/>
              <w:rPr>
                <w:rFonts w:cstheme="minorHAnsi"/>
                <w:b/>
              </w:rPr>
            </w:pPr>
            <w:r w:rsidRPr="00D922BA">
              <w:rPr>
                <w:rFonts w:cstheme="minorHAnsi"/>
                <w:b/>
              </w:rPr>
              <w:t>2019/20</w:t>
            </w:r>
          </w:p>
        </w:tc>
        <w:tc>
          <w:tcPr>
            <w:tcW w:w="597" w:type="pct"/>
            <w:tcBorders>
              <w:top w:val="single" w:sz="2" w:space="0" w:color="000000"/>
              <w:left w:val="single" w:sz="2" w:space="0" w:color="000000"/>
              <w:bottom w:val="single" w:sz="2" w:space="0" w:color="000000"/>
              <w:right w:val="single" w:sz="2" w:space="0" w:color="000000"/>
            </w:tcBorders>
          </w:tcPr>
          <w:p w14:paraId="1688E09C" w14:textId="77777777" w:rsidR="00D82F8E" w:rsidRPr="00D922BA" w:rsidRDefault="00D82F8E" w:rsidP="00D922BA">
            <w:pPr>
              <w:jc w:val="center"/>
              <w:rPr>
                <w:rFonts w:cstheme="minorHAnsi"/>
                <w:b/>
              </w:rPr>
            </w:pPr>
            <w:r w:rsidRPr="00D922BA">
              <w:rPr>
                <w:rFonts w:cstheme="minorHAnsi"/>
                <w:b/>
              </w:rPr>
              <w:t>2020/21</w:t>
            </w:r>
          </w:p>
        </w:tc>
        <w:tc>
          <w:tcPr>
            <w:tcW w:w="597" w:type="pct"/>
            <w:tcBorders>
              <w:top w:val="single" w:sz="2" w:space="0" w:color="000000"/>
              <w:left w:val="single" w:sz="2" w:space="0" w:color="000000"/>
              <w:bottom w:val="single" w:sz="2" w:space="0" w:color="000000"/>
              <w:right w:val="single" w:sz="2" w:space="0" w:color="000000"/>
            </w:tcBorders>
          </w:tcPr>
          <w:p w14:paraId="1C1D6E28" w14:textId="77777777" w:rsidR="00D82F8E" w:rsidRPr="00D922BA" w:rsidRDefault="00D82F8E" w:rsidP="00D922BA">
            <w:pPr>
              <w:pStyle w:val="BoldHeaderTableStyle"/>
              <w:jc w:val="center"/>
              <w:rPr>
                <w:rFonts w:asciiTheme="minorHAnsi" w:hAnsiTheme="minorHAnsi" w:cstheme="minorHAnsi"/>
                <w:sz w:val="22"/>
                <w:szCs w:val="22"/>
                <w:lang w:eastAsia="en-US"/>
              </w:rPr>
            </w:pPr>
            <w:r w:rsidRPr="00D922BA">
              <w:rPr>
                <w:rFonts w:asciiTheme="minorHAnsi" w:hAnsiTheme="minorHAnsi" w:cstheme="minorHAnsi"/>
                <w:sz w:val="22"/>
                <w:szCs w:val="22"/>
                <w:lang w:eastAsia="en-US"/>
              </w:rPr>
              <w:t>2021/22</w:t>
            </w:r>
          </w:p>
        </w:tc>
        <w:tc>
          <w:tcPr>
            <w:tcW w:w="753" w:type="pct"/>
            <w:tcBorders>
              <w:top w:val="single" w:sz="2" w:space="0" w:color="000000"/>
              <w:left w:val="single" w:sz="2" w:space="0" w:color="000000"/>
              <w:bottom w:val="single" w:sz="2" w:space="0" w:color="000000"/>
              <w:right w:val="single" w:sz="2" w:space="0" w:color="000000"/>
            </w:tcBorders>
          </w:tcPr>
          <w:p w14:paraId="3017B1D3" w14:textId="77777777" w:rsidR="00D82F8E" w:rsidRPr="00D922BA" w:rsidRDefault="00D82F8E" w:rsidP="00D922BA">
            <w:pPr>
              <w:pStyle w:val="BoldHeaderTableStyle"/>
              <w:jc w:val="center"/>
              <w:rPr>
                <w:rFonts w:asciiTheme="minorHAnsi" w:hAnsiTheme="minorHAnsi" w:cstheme="minorHAnsi"/>
                <w:sz w:val="22"/>
                <w:szCs w:val="22"/>
                <w:lang w:eastAsia="en-US"/>
              </w:rPr>
            </w:pPr>
            <w:r w:rsidRPr="00D922BA">
              <w:rPr>
                <w:rFonts w:asciiTheme="minorHAnsi" w:hAnsiTheme="minorHAnsi" w:cstheme="minorHAnsi"/>
                <w:sz w:val="22"/>
                <w:szCs w:val="22"/>
                <w:lang w:eastAsia="en-US"/>
              </w:rPr>
              <w:t>2022/23 &amp;</w:t>
            </w:r>
            <w:r w:rsidRPr="00D922BA">
              <w:rPr>
                <w:rFonts w:asciiTheme="minorHAnsi" w:hAnsiTheme="minorHAnsi" w:cstheme="minorHAnsi"/>
                <w:sz w:val="22"/>
                <w:szCs w:val="22"/>
                <w:lang w:eastAsia="en-US"/>
              </w:rPr>
              <w:br/>
              <w:t>Outyears</w:t>
            </w:r>
          </w:p>
        </w:tc>
      </w:tr>
      <w:tr w:rsidR="00D82F8E" w:rsidRPr="002D6477" w14:paraId="413DD84D" w14:textId="77777777" w:rsidTr="00D922BA">
        <w:trPr>
          <w:cantSplit/>
        </w:trPr>
        <w:tc>
          <w:tcPr>
            <w:tcW w:w="1859" w:type="pct"/>
            <w:tcBorders>
              <w:top w:val="single" w:sz="2" w:space="0" w:color="000000"/>
              <w:left w:val="single" w:sz="2" w:space="0" w:color="000000"/>
              <w:bottom w:val="single" w:sz="4" w:space="0" w:color="auto"/>
              <w:right w:val="single" w:sz="2" w:space="0" w:color="000000"/>
            </w:tcBorders>
          </w:tcPr>
          <w:p w14:paraId="60F7201F" w14:textId="77777777" w:rsidR="00D82F8E" w:rsidRPr="00D922BA" w:rsidRDefault="00D82F8E" w:rsidP="00D922BA">
            <w:pPr>
              <w:pStyle w:val="TableStyle"/>
              <w:rPr>
                <w:rFonts w:asciiTheme="minorHAnsi" w:hAnsiTheme="minorHAnsi" w:cstheme="minorHAnsi"/>
                <w:sz w:val="24"/>
                <w:szCs w:val="24"/>
                <w:lang w:eastAsia="en-US"/>
              </w:rPr>
            </w:pPr>
            <w:r w:rsidRPr="00D922BA">
              <w:rPr>
                <w:rFonts w:asciiTheme="minorHAnsi" w:hAnsiTheme="minorHAnsi" w:cstheme="minorHAnsi"/>
                <w:sz w:val="24"/>
                <w:szCs w:val="24"/>
                <w:lang w:eastAsia="en-US"/>
              </w:rPr>
              <w:t>Crown Revenue and Receipts:</w:t>
            </w:r>
          </w:p>
          <w:p w14:paraId="03981E35" w14:textId="77777777" w:rsidR="00D82F8E" w:rsidRPr="00D922BA" w:rsidRDefault="00D82F8E" w:rsidP="00D922BA">
            <w:pPr>
              <w:pStyle w:val="TableStyle"/>
              <w:rPr>
                <w:rFonts w:asciiTheme="minorHAnsi" w:hAnsiTheme="minorHAnsi" w:cstheme="minorHAnsi"/>
                <w:sz w:val="24"/>
                <w:szCs w:val="24"/>
                <w:lang w:eastAsia="en-US"/>
              </w:rPr>
            </w:pPr>
            <w:r w:rsidRPr="00D922BA">
              <w:rPr>
                <w:rFonts w:asciiTheme="minorHAnsi" w:hAnsiTheme="minorHAnsi" w:cstheme="minorHAnsi"/>
                <w:sz w:val="24"/>
                <w:szCs w:val="24"/>
                <w:lang w:eastAsia="en-US"/>
              </w:rPr>
              <w:t>Tax Revenue</w:t>
            </w:r>
          </w:p>
        </w:tc>
        <w:tc>
          <w:tcPr>
            <w:tcW w:w="597" w:type="pct"/>
            <w:tcBorders>
              <w:top w:val="single" w:sz="2" w:space="0" w:color="000000"/>
              <w:left w:val="single" w:sz="2" w:space="0" w:color="000000"/>
              <w:bottom w:val="single" w:sz="4" w:space="0" w:color="auto"/>
              <w:right w:val="single" w:sz="2" w:space="0" w:color="000000"/>
            </w:tcBorders>
          </w:tcPr>
          <w:p w14:paraId="7DCB7BAA" w14:textId="77777777" w:rsidR="00D82F8E" w:rsidRPr="00D922BA" w:rsidRDefault="00D82F8E" w:rsidP="00D922BA">
            <w:pPr>
              <w:jc w:val="right"/>
              <w:rPr>
                <w:rFonts w:cstheme="minorHAnsi"/>
                <w:sz w:val="24"/>
                <w:szCs w:val="24"/>
              </w:rPr>
            </w:pPr>
            <w:r w:rsidRPr="00D922BA">
              <w:rPr>
                <w:rFonts w:cstheme="minorHAnsi"/>
                <w:sz w:val="24"/>
                <w:szCs w:val="24"/>
              </w:rPr>
              <w:br/>
              <w:t>-</w:t>
            </w:r>
          </w:p>
        </w:tc>
        <w:tc>
          <w:tcPr>
            <w:tcW w:w="597" w:type="pct"/>
            <w:tcBorders>
              <w:top w:val="single" w:sz="2" w:space="0" w:color="000000"/>
              <w:left w:val="single" w:sz="2" w:space="0" w:color="000000"/>
              <w:bottom w:val="single" w:sz="4" w:space="0" w:color="auto"/>
              <w:right w:val="single" w:sz="2" w:space="0" w:color="000000"/>
            </w:tcBorders>
          </w:tcPr>
          <w:p w14:paraId="0254339B" w14:textId="77777777" w:rsidR="00D82F8E" w:rsidRPr="00D922BA" w:rsidRDefault="00D82F8E" w:rsidP="00D922BA">
            <w:pPr>
              <w:jc w:val="right"/>
              <w:rPr>
                <w:rFonts w:cstheme="minorHAnsi"/>
                <w:sz w:val="24"/>
                <w:szCs w:val="24"/>
              </w:rPr>
            </w:pPr>
            <w:r w:rsidRPr="00D922BA">
              <w:rPr>
                <w:rFonts w:cstheme="minorHAnsi"/>
                <w:sz w:val="24"/>
                <w:szCs w:val="24"/>
              </w:rPr>
              <w:br/>
              <w:t>4.000</w:t>
            </w:r>
          </w:p>
        </w:tc>
        <w:tc>
          <w:tcPr>
            <w:tcW w:w="597" w:type="pct"/>
            <w:tcBorders>
              <w:top w:val="single" w:sz="2" w:space="0" w:color="000000"/>
              <w:left w:val="single" w:sz="2" w:space="0" w:color="000000"/>
              <w:bottom w:val="single" w:sz="4" w:space="0" w:color="auto"/>
              <w:right w:val="single" w:sz="2" w:space="0" w:color="000000"/>
            </w:tcBorders>
          </w:tcPr>
          <w:p w14:paraId="734C64BF" w14:textId="77777777" w:rsidR="00D82F8E" w:rsidRPr="00D922BA" w:rsidRDefault="00D82F8E" w:rsidP="00D922BA">
            <w:pPr>
              <w:jc w:val="right"/>
              <w:rPr>
                <w:rFonts w:cstheme="minorHAnsi"/>
                <w:sz w:val="24"/>
                <w:szCs w:val="24"/>
              </w:rPr>
            </w:pPr>
            <w:r w:rsidRPr="00740974">
              <w:rPr>
                <w:rFonts w:cstheme="minorHAnsi"/>
                <w:sz w:val="24"/>
                <w:szCs w:val="24"/>
              </w:rPr>
              <w:br/>
            </w:r>
            <w:r w:rsidRPr="00D922BA">
              <w:rPr>
                <w:rFonts w:cstheme="minorHAnsi"/>
                <w:sz w:val="24"/>
                <w:szCs w:val="24"/>
              </w:rPr>
              <w:t>4.000</w:t>
            </w:r>
          </w:p>
        </w:tc>
        <w:tc>
          <w:tcPr>
            <w:tcW w:w="597" w:type="pct"/>
            <w:tcBorders>
              <w:top w:val="single" w:sz="2" w:space="0" w:color="000000"/>
              <w:left w:val="single" w:sz="2" w:space="0" w:color="000000"/>
              <w:bottom w:val="single" w:sz="4" w:space="0" w:color="auto"/>
              <w:right w:val="single" w:sz="2" w:space="0" w:color="000000"/>
            </w:tcBorders>
          </w:tcPr>
          <w:p w14:paraId="54C1F05E" w14:textId="77777777" w:rsidR="00D82F8E" w:rsidRPr="00D922BA" w:rsidRDefault="00D82F8E" w:rsidP="00D922BA">
            <w:pPr>
              <w:pStyle w:val="TableStyle"/>
              <w:jc w:val="right"/>
              <w:rPr>
                <w:rFonts w:asciiTheme="minorHAnsi" w:hAnsiTheme="minorHAnsi" w:cstheme="minorHAnsi"/>
                <w:sz w:val="24"/>
                <w:szCs w:val="24"/>
                <w:lang w:eastAsia="en-US"/>
              </w:rPr>
            </w:pPr>
            <w:r w:rsidRPr="00740974">
              <w:rPr>
                <w:rFonts w:asciiTheme="minorHAnsi" w:hAnsiTheme="minorHAnsi" w:cstheme="minorHAnsi"/>
                <w:sz w:val="24"/>
                <w:szCs w:val="24"/>
                <w:lang w:eastAsia="en-US"/>
              </w:rPr>
              <w:br/>
            </w:r>
            <w:r w:rsidRPr="00D922BA">
              <w:rPr>
                <w:rFonts w:asciiTheme="minorHAnsi" w:hAnsiTheme="minorHAnsi" w:cstheme="minorHAnsi"/>
                <w:sz w:val="24"/>
                <w:szCs w:val="24"/>
                <w:lang w:eastAsia="en-US"/>
              </w:rPr>
              <w:t>4.000</w:t>
            </w:r>
          </w:p>
        </w:tc>
        <w:tc>
          <w:tcPr>
            <w:tcW w:w="753" w:type="pct"/>
            <w:tcBorders>
              <w:top w:val="single" w:sz="2" w:space="0" w:color="000000"/>
              <w:left w:val="single" w:sz="2" w:space="0" w:color="000000"/>
              <w:bottom w:val="single" w:sz="4" w:space="0" w:color="auto"/>
              <w:right w:val="single" w:sz="2" w:space="0" w:color="000000"/>
            </w:tcBorders>
          </w:tcPr>
          <w:p w14:paraId="2F2F362B" w14:textId="77777777" w:rsidR="00D82F8E" w:rsidRPr="00D922BA" w:rsidRDefault="00D82F8E" w:rsidP="00D922BA">
            <w:pPr>
              <w:pStyle w:val="TableStyle"/>
              <w:jc w:val="right"/>
              <w:rPr>
                <w:rFonts w:asciiTheme="minorHAnsi" w:hAnsiTheme="minorHAnsi" w:cstheme="minorHAnsi"/>
                <w:sz w:val="24"/>
                <w:szCs w:val="24"/>
                <w:lang w:eastAsia="en-US"/>
              </w:rPr>
            </w:pPr>
            <w:r w:rsidRPr="00740974">
              <w:rPr>
                <w:rFonts w:asciiTheme="minorHAnsi" w:hAnsiTheme="minorHAnsi" w:cstheme="minorHAnsi"/>
                <w:sz w:val="24"/>
                <w:szCs w:val="24"/>
                <w:lang w:eastAsia="en-US"/>
              </w:rPr>
              <w:br/>
            </w:r>
            <w:r w:rsidRPr="00D922BA">
              <w:rPr>
                <w:rFonts w:asciiTheme="minorHAnsi" w:hAnsiTheme="minorHAnsi" w:cstheme="minorHAnsi"/>
                <w:sz w:val="24"/>
                <w:szCs w:val="24"/>
                <w:lang w:eastAsia="en-US"/>
              </w:rPr>
              <w:t>4.000</w:t>
            </w:r>
          </w:p>
        </w:tc>
      </w:tr>
    </w:tbl>
    <w:p w14:paraId="7C9FE327" w14:textId="77777777" w:rsidR="00D82F8E" w:rsidRPr="00D922BA" w:rsidRDefault="00D82F8E" w:rsidP="00D82F8E">
      <w:pPr>
        <w:pStyle w:val="CabStandard"/>
        <w:numPr>
          <w:ilvl w:val="0"/>
          <w:numId w:val="0"/>
        </w:numPr>
        <w:rPr>
          <w:rFonts w:ascii="Arial" w:hAnsi="Arial" w:cs="Arial"/>
          <w:sz w:val="22"/>
          <w:lang w:eastAsia="en-US"/>
        </w:rPr>
      </w:pPr>
      <w:r w:rsidRPr="00D922BA">
        <w:rPr>
          <w:rFonts w:ascii="Arial" w:hAnsi="Arial" w:cs="Arial"/>
          <w:szCs w:val="24"/>
          <w:lang w:eastAsia="en-US"/>
        </w:rPr>
        <w:t xml:space="preserve"> </w:t>
      </w:r>
    </w:p>
    <w:p w14:paraId="1CDA3F90" w14:textId="43054777" w:rsidR="00D82F8E" w:rsidRPr="00740974" w:rsidRDefault="00D82F8E" w:rsidP="00D82F8E">
      <w:pPr>
        <w:pStyle w:val="CabStandard"/>
        <w:numPr>
          <w:ilvl w:val="1"/>
          <w:numId w:val="2"/>
        </w:numPr>
        <w:rPr>
          <w:rFonts w:ascii="Arial" w:hAnsi="Arial" w:cs="Arial"/>
          <w:b/>
          <w:szCs w:val="24"/>
        </w:rPr>
      </w:pPr>
      <w:r w:rsidRPr="00D922BA">
        <w:rPr>
          <w:rFonts w:ascii="Arial" w:hAnsi="Arial" w:cs="Arial"/>
          <w:b/>
          <w:szCs w:val="24"/>
        </w:rPr>
        <w:t>Note</w:t>
      </w:r>
      <w:r>
        <w:rPr>
          <w:rFonts w:ascii="Arial" w:hAnsi="Arial" w:cs="Arial"/>
          <w:b/>
          <w:szCs w:val="24"/>
        </w:rPr>
        <w:t xml:space="preserve"> </w:t>
      </w:r>
      <w:r>
        <w:rPr>
          <w:rFonts w:ascii="Arial" w:hAnsi="Arial" w:cs="Arial"/>
          <w:szCs w:val="24"/>
        </w:rPr>
        <w:t>the last year of revenue impact is 20</w:t>
      </w:r>
      <w:r w:rsidR="008073AC">
        <w:rPr>
          <w:rFonts w:ascii="Arial" w:hAnsi="Arial" w:cs="Arial"/>
          <w:szCs w:val="24"/>
        </w:rPr>
        <w:t>23/24</w:t>
      </w:r>
      <w:r>
        <w:rPr>
          <w:rFonts w:ascii="Arial" w:hAnsi="Arial" w:cs="Arial"/>
          <w:szCs w:val="24"/>
        </w:rPr>
        <w:t>, when the exemption expires.</w:t>
      </w:r>
    </w:p>
    <w:p w14:paraId="1BD9E5D3" w14:textId="77777777" w:rsidR="007D4876" w:rsidRPr="002A32DC" w:rsidRDefault="007D4876" w:rsidP="009D292B">
      <w:pPr>
        <w:pStyle w:val="CabStandard"/>
        <w:numPr>
          <w:ilvl w:val="1"/>
          <w:numId w:val="2"/>
        </w:numPr>
        <w:rPr>
          <w:rFonts w:ascii="Arial" w:hAnsi="Arial" w:cs="Arial"/>
          <w:szCs w:val="24"/>
        </w:rPr>
      </w:pPr>
      <w:r w:rsidRPr="005208A3">
        <w:rPr>
          <w:rFonts w:ascii="Arial" w:hAnsi="Arial" w:cs="Arial"/>
          <w:b/>
          <w:szCs w:val="24"/>
        </w:rPr>
        <w:t xml:space="preserve">Note </w:t>
      </w:r>
      <w:r w:rsidRPr="002A32DC">
        <w:rPr>
          <w:rFonts w:ascii="Arial" w:hAnsi="Arial" w:cs="Arial"/>
          <w:szCs w:val="24"/>
        </w:rPr>
        <w:t>that this Cabinet paper, the associated Cabinet minute, and R</w:t>
      </w:r>
      <w:r w:rsidR="009D292B">
        <w:rPr>
          <w:rFonts w:ascii="Arial" w:hAnsi="Arial" w:cs="Arial"/>
          <w:szCs w:val="24"/>
        </w:rPr>
        <w:t xml:space="preserve">egulatory </w:t>
      </w:r>
      <w:r w:rsidRPr="002A32DC">
        <w:rPr>
          <w:rFonts w:ascii="Arial" w:hAnsi="Arial" w:cs="Arial"/>
          <w:szCs w:val="24"/>
        </w:rPr>
        <w:t>I</w:t>
      </w:r>
      <w:r w:rsidR="009D292B">
        <w:rPr>
          <w:rFonts w:ascii="Arial" w:hAnsi="Arial" w:cs="Arial"/>
          <w:szCs w:val="24"/>
        </w:rPr>
        <w:t xml:space="preserve">mpact </w:t>
      </w:r>
      <w:r w:rsidRPr="002A32DC">
        <w:rPr>
          <w:rFonts w:ascii="Arial" w:hAnsi="Arial" w:cs="Arial"/>
          <w:szCs w:val="24"/>
        </w:rPr>
        <w:t>A</w:t>
      </w:r>
      <w:r w:rsidR="009D292B">
        <w:rPr>
          <w:rFonts w:ascii="Arial" w:hAnsi="Arial" w:cs="Arial"/>
          <w:szCs w:val="24"/>
        </w:rPr>
        <w:t>ssessment</w:t>
      </w:r>
      <w:r w:rsidRPr="002A32DC">
        <w:rPr>
          <w:rFonts w:ascii="Arial" w:hAnsi="Arial" w:cs="Arial"/>
          <w:szCs w:val="24"/>
        </w:rPr>
        <w:t xml:space="preserve"> will be proactively released on Inland Revenue’s website.</w:t>
      </w:r>
    </w:p>
    <w:p w14:paraId="11529125" w14:textId="77777777" w:rsidR="00BD3810" w:rsidRDefault="00BD3810" w:rsidP="00BD3810">
      <w:pPr>
        <w:tabs>
          <w:tab w:val="left" w:pos="5103"/>
        </w:tabs>
        <w:rPr>
          <w:rFonts w:ascii="Arial" w:hAnsi="Arial" w:cs="Arial"/>
          <w:sz w:val="24"/>
          <w:szCs w:val="24"/>
        </w:rPr>
      </w:pPr>
    </w:p>
    <w:p w14:paraId="2796E27A" w14:textId="77777777" w:rsidR="00BD3810" w:rsidRDefault="00BD3810" w:rsidP="00BD3810">
      <w:pPr>
        <w:tabs>
          <w:tab w:val="left" w:pos="5103"/>
        </w:tabs>
        <w:rPr>
          <w:rFonts w:ascii="Arial" w:hAnsi="Arial" w:cs="Arial"/>
          <w:sz w:val="24"/>
          <w:szCs w:val="24"/>
        </w:rPr>
      </w:pPr>
    </w:p>
    <w:p w14:paraId="627B3856" w14:textId="77777777" w:rsidR="00BD3810" w:rsidRPr="006C1AAF" w:rsidRDefault="00BD3810" w:rsidP="00BD3810">
      <w:pPr>
        <w:tabs>
          <w:tab w:val="left" w:pos="5103"/>
        </w:tabs>
        <w:rPr>
          <w:rFonts w:ascii="Arial" w:hAnsi="Arial" w:cs="Arial"/>
          <w:sz w:val="24"/>
          <w:szCs w:val="24"/>
        </w:rPr>
      </w:pPr>
      <w:r w:rsidRPr="006C1AAF">
        <w:rPr>
          <w:rFonts w:ascii="Arial" w:hAnsi="Arial" w:cs="Arial"/>
          <w:sz w:val="24"/>
          <w:szCs w:val="24"/>
        </w:rPr>
        <w:br/>
      </w:r>
      <w:r w:rsidRPr="006C1AAF">
        <w:rPr>
          <w:rFonts w:ascii="Arial" w:hAnsi="Arial" w:cs="Arial"/>
          <w:sz w:val="24"/>
          <w:szCs w:val="24"/>
        </w:rPr>
        <w:br/>
        <w:t>Authorised for lodgement</w:t>
      </w:r>
      <w:r w:rsidRPr="006C1AAF">
        <w:rPr>
          <w:rFonts w:ascii="Arial" w:hAnsi="Arial" w:cs="Arial"/>
          <w:sz w:val="24"/>
          <w:szCs w:val="24"/>
        </w:rPr>
        <w:tab/>
        <w:t>Authorised for lodgement</w:t>
      </w:r>
    </w:p>
    <w:p w14:paraId="2C2D292A" w14:textId="77777777" w:rsidR="00BD3810" w:rsidRPr="006C1AAF" w:rsidRDefault="00BD3810" w:rsidP="00BD3810">
      <w:pPr>
        <w:pStyle w:val="CabStandard"/>
        <w:numPr>
          <w:ilvl w:val="0"/>
          <w:numId w:val="0"/>
        </w:numPr>
        <w:tabs>
          <w:tab w:val="left" w:pos="5103"/>
        </w:tabs>
        <w:jc w:val="both"/>
        <w:rPr>
          <w:rFonts w:ascii="Arial" w:hAnsi="Arial" w:cs="Arial"/>
          <w:szCs w:val="24"/>
        </w:rPr>
      </w:pPr>
      <w:r w:rsidRPr="006C1AAF">
        <w:rPr>
          <w:rFonts w:ascii="Arial" w:hAnsi="Arial" w:cs="Arial"/>
          <w:szCs w:val="24"/>
        </w:rPr>
        <w:t>Hon Dr Megan Woods</w:t>
      </w:r>
      <w:r w:rsidRPr="006C1AAF">
        <w:rPr>
          <w:rFonts w:ascii="Arial" w:hAnsi="Arial" w:cs="Arial"/>
          <w:szCs w:val="24"/>
        </w:rPr>
        <w:tab/>
        <w:t>Hon Stuart Nash</w:t>
      </w:r>
    </w:p>
    <w:p w14:paraId="5B90F5A4" w14:textId="77777777" w:rsidR="00BD3810" w:rsidRPr="006C1AAF" w:rsidRDefault="00BD3810" w:rsidP="00BD3810">
      <w:pPr>
        <w:pStyle w:val="CabStandard"/>
        <w:numPr>
          <w:ilvl w:val="0"/>
          <w:numId w:val="0"/>
        </w:numPr>
        <w:tabs>
          <w:tab w:val="left" w:pos="5103"/>
        </w:tabs>
        <w:jc w:val="both"/>
        <w:rPr>
          <w:rFonts w:ascii="Arial" w:hAnsi="Arial" w:cs="Arial"/>
          <w:szCs w:val="24"/>
        </w:rPr>
      </w:pPr>
      <w:r w:rsidRPr="006C1AAF">
        <w:rPr>
          <w:rFonts w:ascii="Arial" w:hAnsi="Arial" w:cs="Arial"/>
          <w:szCs w:val="24"/>
        </w:rPr>
        <w:t>Minister of Energy and Resources</w:t>
      </w:r>
      <w:r w:rsidRPr="006C1AAF">
        <w:rPr>
          <w:rFonts w:ascii="Arial" w:hAnsi="Arial" w:cs="Arial"/>
          <w:szCs w:val="24"/>
        </w:rPr>
        <w:tab/>
        <w:t>Minister of Revenue</w:t>
      </w:r>
    </w:p>
    <w:p w14:paraId="632C760F" w14:textId="77777777" w:rsidR="00E31034" w:rsidRDefault="00E31034"/>
    <w:sectPr w:rsidR="00E31034" w:rsidSect="00087FB6">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C7C38" w14:textId="77777777" w:rsidR="002B7A63" w:rsidRDefault="002B7A63" w:rsidP="00221165">
      <w:pPr>
        <w:spacing w:after="0" w:line="240" w:lineRule="auto"/>
      </w:pPr>
      <w:r>
        <w:separator/>
      </w:r>
    </w:p>
  </w:endnote>
  <w:endnote w:type="continuationSeparator" w:id="0">
    <w:p w14:paraId="275A2355" w14:textId="77777777" w:rsidR="002B7A63" w:rsidRDefault="002B7A63" w:rsidP="0022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F766E" w14:textId="77777777" w:rsidR="00844DD8" w:rsidRDefault="002B7A63">
    <w:pPr>
      <w:pStyle w:val="Footer"/>
      <w:jc w:val="right"/>
    </w:pPr>
    <w:r>
      <w:rPr>
        <w:noProof/>
        <w:lang w:eastAsia="en-NZ"/>
      </w:rPr>
      <mc:AlternateContent>
        <mc:Choice Requires="wps">
          <w:drawing>
            <wp:anchor distT="0" distB="0" distL="114300" distR="114300" simplePos="0" relativeHeight="251657216" behindDoc="0" locked="0" layoutInCell="0" allowOverlap="1" wp14:anchorId="49930272" wp14:editId="27D19A32">
              <wp:simplePos x="0" y="0"/>
              <wp:positionH relativeFrom="page">
                <wp:posOffset>0</wp:posOffset>
              </wp:positionH>
              <wp:positionV relativeFrom="page">
                <wp:posOffset>10234930</wp:posOffset>
              </wp:positionV>
              <wp:extent cx="7560310" cy="266700"/>
              <wp:effectExtent l="0" t="0" r="0" b="0"/>
              <wp:wrapNone/>
              <wp:docPr id="1" name="MSIPCMfbb94c61ab47f24bcddfddb6" descr="{&quot;HashCode&quot;:4043168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8AA530" w14:textId="77777777" w:rsidR="00E778B2" w:rsidRPr="00E778B2" w:rsidRDefault="006E3D9E" w:rsidP="00E778B2">
                          <w:pPr>
                            <w:spacing w:after="0"/>
                            <w:jc w:val="center"/>
                            <w:rPr>
                              <w:rFonts w:ascii="Verdana" w:hAnsi="Verdana"/>
                              <w:color w:val="000000"/>
                              <w:sz w:val="20"/>
                            </w:rPr>
                          </w:pPr>
                          <w:r>
                            <w:rPr>
                              <w:rFonts w:ascii="Verdana" w:hAnsi="Verdana"/>
                              <w:color w:val="000000"/>
                              <w:sz w:val="20"/>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9930272" id="_x0000_t202" coordsize="21600,21600" o:spt="202" path="m,l,21600r21600,l21600,xe">
              <v:stroke joinstyle="miter"/>
              <v:path gradientshapeok="t" o:connecttype="rect"/>
            </v:shapetype>
            <v:shape id="MSIPCMfbb94c61ab47f24bcddfddb6" o:spid="_x0000_s1026" type="#_x0000_t202" alt="{&quot;HashCode&quot;:404316862,&quot;Height&quot;:841.0,&quot;Width&quot;:595.0,&quot;Placement&quot;:&quot;Footer&quot;,&quot;Index&quot;:&quot;Primary&quot;,&quot;Section&quot;:1,&quot;Top&quot;:0.0,&quot;Left&quot;:0.0}" style="position:absolute;left:0;text-align:left;margin-left:0;margin-top:805.9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" o:allowincell="f" filled="f" stroked="f" strokeweight=".5pt">
              <v:textbox inset=",0,,0">
                <w:txbxContent>
                  <w:p w14:paraId="788AA530" w14:textId="77777777" w:rsidR="00E778B2" w:rsidRPr="00E778B2" w:rsidRDefault="006E3D9E" w:rsidP="00E778B2">
                    <w:pPr>
                      <w:spacing w:after="0"/>
                      <w:jc w:val="center"/>
                      <w:rPr>
                        <w:rFonts w:ascii="Verdana" w:hAnsi="Verdana"/>
                        <w:color w:val="000000"/>
                        <w:sz w:val="20"/>
                      </w:rPr>
                    </w:pPr>
                    <w:r>
                      <w:rPr>
                        <w:rFonts w:ascii="Verdana" w:hAnsi="Verdana"/>
                        <w:color w:val="000000"/>
                        <w:sz w:val="20"/>
                      </w:rPr>
                      <w:t>IN CONFIDENCE</w:t>
                    </w:r>
                  </w:p>
                </w:txbxContent>
              </v:textbox>
              <w10:wrap anchorx="page" anchory="page"/>
            </v:shape>
          </w:pict>
        </mc:Fallback>
      </mc:AlternateContent>
    </w:r>
    <w:sdt>
      <w:sdtPr>
        <w:id w:val="-1439910414"/>
        <w:docPartObj>
          <w:docPartGallery w:val="Page Numbers (Bottom of Page)"/>
          <w:docPartUnique/>
        </w:docPartObj>
      </w:sdtPr>
      <w:sdtEndPr>
        <w:rPr>
          <w:noProof/>
        </w:rPr>
      </w:sdtEndPr>
      <w:sdtContent>
        <w:r w:rsidRPr="00844DD8">
          <w:rPr>
            <w:rFonts w:ascii="Arial" w:hAnsi="Arial" w:cs="Arial"/>
          </w:rPr>
          <w:fldChar w:fldCharType="begin"/>
        </w:r>
        <w:r w:rsidRPr="00844DD8">
          <w:rPr>
            <w:rFonts w:ascii="Arial" w:hAnsi="Arial" w:cs="Arial"/>
          </w:rPr>
          <w:instrText xml:space="preserve"> PAGE   \* MERGEFORMAT </w:instrText>
        </w:r>
        <w:r w:rsidRPr="00844DD8">
          <w:rPr>
            <w:rFonts w:ascii="Arial" w:hAnsi="Arial" w:cs="Arial"/>
          </w:rPr>
          <w:fldChar w:fldCharType="separate"/>
        </w:r>
        <w:r w:rsidR="00D82F8E">
          <w:rPr>
            <w:rFonts w:ascii="Arial" w:hAnsi="Arial" w:cs="Arial"/>
            <w:noProof/>
          </w:rPr>
          <w:t>6</w:t>
        </w:r>
        <w:r w:rsidRPr="00844DD8">
          <w:rPr>
            <w:rFonts w:ascii="Arial" w:hAnsi="Arial" w:cs="Arial"/>
            <w:noProof/>
          </w:rPr>
          <w:fldChar w:fldCharType="end"/>
        </w:r>
      </w:sdtContent>
    </w:sdt>
  </w:p>
  <w:p w14:paraId="082F451D" w14:textId="77777777" w:rsidR="009846A6" w:rsidRDefault="003C2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C5074" w14:textId="77777777" w:rsidR="002B7A63" w:rsidRDefault="002B7A63" w:rsidP="00221165">
      <w:pPr>
        <w:spacing w:after="0" w:line="240" w:lineRule="auto"/>
      </w:pPr>
      <w:r>
        <w:separator/>
      </w:r>
    </w:p>
  </w:footnote>
  <w:footnote w:type="continuationSeparator" w:id="0">
    <w:p w14:paraId="575D0D18" w14:textId="77777777" w:rsidR="002B7A63" w:rsidRDefault="002B7A63" w:rsidP="00221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AFDF6" w14:textId="2056C6FC" w:rsidR="009C676D" w:rsidRPr="009C676D" w:rsidRDefault="009C676D" w:rsidP="009C676D">
    <w:pPr>
      <w:pStyle w:val="Header"/>
      <w:jc w:val="right"/>
      <w:rPr>
        <w:rFonts w:ascii="Arial" w:hAnsi="Arial" w:cs="Arial"/>
        <w:b/>
      </w:rPr>
    </w:pPr>
    <w:r w:rsidRPr="009C676D">
      <w:rPr>
        <w:rFonts w:ascii="Arial" w:hAnsi="Arial" w:cs="Arial"/>
        <w:b/>
      </w:rPr>
      <w:t>DEV-19-SUB-0151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E0CD3"/>
    <w:multiLevelType w:val="multilevel"/>
    <w:tmpl w:val="E5129C02"/>
    <w:lvl w:ilvl="0">
      <w:start w:val="22"/>
      <w:numFmt w:val="decimal"/>
      <w:lvlText w:val="%1"/>
      <w:lvlJc w:val="left"/>
      <w:pPr>
        <w:ind w:left="420" w:hanging="420"/>
      </w:pPr>
      <w:rPr>
        <w:rFonts w:hint="default"/>
      </w:rPr>
    </w:lvl>
    <w:lvl w:ilvl="1">
      <w:start w:val="1"/>
      <w:numFmt w:val="decimal"/>
      <w:lvlText w:val="%2"/>
      <w:lvlJc w:val="left"/>
      <w:pPr>
        <w:ind w:left="567" w:hanging="567"/>
      </w:pPr>
      <w:rPr>
        <w:rFonts w:ascii="Arial" w:eastAsia="Times New Roman"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EE6EDA"/>
    <w:multiLevelType w:val="multilevel"/>
    <w:tmpl w:val="EB6C3CEE"/>
    <w:lvl w:ilvl="0">
      <w:start w:val="26"/>
      <w:numFmt w:val="decimal"/>
      <w:lvlText w:val="%1"/>
      <w:lvlJc w:val="left"/>
      <w:pPr>
        <w:ind w:left="468" w:hanging="468"/>
      </w:pPr>
      <w:rPr>
        <w:rFonts w:hint="default"/>
      </w:rPr>
    </w:lvl>
    <w:lvl w:ilvl="1">
      <w:start w:val="1"/>
      <w:numFmt w:val="decimal"/>
      <w:lvlText w:val="%1.%2"/>
      <w:lvlJc w:val="left"/>
      <w:pPr>
        <w:ind w:left="1304"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AC5BCC"/>
    <w:multiLevelType w:val="multilevel"/>
    <w:tmpl w:val="57801D38"/>
    <w:lvl w:ilvl="0">
      <w:start w:val="1"/>
      <w:numFmt w:val="decimal"/>
      <w:pStyle w:val="CabStandard"/>
      <w:lvlText w:val="%1"/>
      <w:lvlJc w:val="left"/>
      <w:pPr>
        <w:tabs>
          <w:tab w:val="num" w:pos="720"/>
        </w:tabs>
        <w:ind w:left="567" w:hanging="567"/>
      </w:pPr>
      <w:rPr>
        <w:rFonts w:hint="default"/>
        <w:b w:val="0"/>
      </w:rPr>
    </w:lvl>
    <w:lvl w:ilvl="1">
      <w:start w:val="1"/>
      <w:numFmt w:val="decimal"/>
      <w:lvlText w:val="%2."/>
      <w:lvlJc w:val="left"/>
      <w:pPr>
        <w:tabs>
          <w:tab w:val="num" w:pos="1440"/>
        </w:tabs>
        <w:ind w:left="1440" w:hanging="720"/>
      </w:pPr>
      <w:rPr>
        <w:rFonts w:ascii="Arial" w:eastAsia="Times New Roman" w:hAnsi="Arial" w:cs="Arial" w:hint="default"/>
        <w:b w:val="0"/>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3" w15:restartNumberingAfterBreak="0">
    <w:nsid w:val="40DF5CAD"/>
    <w:multiLevelType w:val="multilevel"/>
    <w:tmpl w:val="F6583FDC"/>
    <w:lvl w:ilvl="0">
      <w:start w:val="5"/>
      <w:numFmt w:val="decimal"/>
      <w:lvlText w:val="%1"/>
      <w:lvlJc w:val="left"/>
      <w:pPr>
        <w:ind w:left="360" w:hanging="360"/>
      </w:pPr>
      <w:rPr>
        <w:rFonts w:hint="default"/>
        <w:b w:val="0"/>
      </w:rPr>
    </w:lvl>
    <w:lvl w:ilvl="1">
      <w:start w:val="1"/>
      <w:numFmt w:val="decimal"/>
      <w:lvlText w:val="%1.%2"/>
      <w:lvlJc w:val="left"/>
      <w:pPr>
        <w:ind w:left="1304" w:hanging="453"/>
      </w:pPr>
      <w:rPr>
        <w:rFonts w:hint="default"/>
        <w:b w:val="0"/>
      </w:rPr>
    </w:lvl>
    <w:lvl w:ilvl="2">
      <w:start w:val="1"/>
      <w:numFmt w:val="decimal"/>
      <w:lvlText w:val="%1.%2.%3"/>
      <w:lvlJc w:val="left"/>
      <w:pPr>
        <w:ind w:left="1560" w:hanging="720"/>
      </w:pPr>
      <w:rPr>
        <w:rFonts w:hint="default"/>
        <w:b/>
      </w:rPr>
    </w:lvl>
    <w:lvl w:ilvl="3">
      <w:start w:val="1"/>
      <w:numFmt w:val="decimal"/>
      <w:lvlText w:val="%1.%2.%3.%4"/>
      <w:lvlJc w:val="left"/>
      <w:pPr>
        <w:ind w:left="2340" w:hanging="108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540" w:hanging="144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740" w:hanging="1800"/>
      </w:pPr>
      <w:rPr>
        <w:rFonts w:hint="default"/>
        <w:b/>
      </w:rPr>
    </w:lvl>
    <w:lvl w:ilvl="8">
      <w:start w:val="1"/>
      <w:numFmt w:val="decimal"/>
      <w:lvlText w:val="%1.%2.%3.%4.%5.%6.%7.%8.%9"/>
      <w:lvlJc w:val="left"/>
      <w:pPr>
        <w:ind w:left="5160" w:hanging="1800"/>
      </w:pPr>
      <w:rPr>
        <w:rFonts w:hint="default"/>
        <w:b/>
      </w:rPr>
    </w:lvl>
  </w:abstractNum>
  <w:abstractNum w:abstractNumId="4" w15:restartNumberingAfterBreak="0">
    <w:nsid w:val="4A7D6C7E"/>
    <w:multiLevelType w:val="multilevel"/>
    <w:tmpl w:val="4EA0CE28"/>
    <w:lvl w:ilvl="0">
      <w:start w:val="23"/>
      <w:numFmt w:val="decimal"/>
      <w:lvlText w:val="%1"/>
      <w:lvlJc w:val="left"/>
      <w:pPr>
        <w:ind w:left="468" w:hanging="468"/>
      </w:pPr>
      <w:rPr>
        <w:rFonts w:hint="default"/>
      </w:rPr>
    </w:lvl>
    <w:lvl w:ilvl="1">
      <w:start w:val="1"/>
      <w:numFmt w:val="decimal"/>
      <w:lvlText w:val="%1.%2"/>
      <w:lvlJc w:val="left"/>
      <w:pPr>
        <w:ind w:left="1304" w:hanging="73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0"/>
  </w:num>
  <w:num w:numId="3">
    <w:abstractNumId w:val="3"/>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4"/>
  </w:num>
  <w:num w:numId="27">
    <w:abstractNumId w:val="2"/>
  </w:num>
  <w:num w:numId="28">
    <w:abstractNumId w:val="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810"/>
    <w:rsid w:val="00076DB8"/>
    <w:rsid w:val="00182A32"/>
    <w:rsid w:val="00221165"/>
    <w:rsid w:val="002519A5"/>
    <w:rsid w:val="002A32DC"/>
    <w:rsid w:val="002B0C19"/>
    <w:rsid w:val="002B7A63"/>
    <w:rsid w:val="002C74D1"/>
    <w:rsid w:val="0030182A"/>
    <w:rsid w:val="00323E2F"/>
    <w:rsid w:val="003C29C4"/>
    <w:rsid w:val="00401590"/>
    <w:rsid w:val="004113FC"/>
    <w:rsid w:val="0048604B"/>
    <w:rsid w:val="004D1D9A"/>
    <w:rsid w:val="005208A3"/>
    <w:rsid w:val="00546B2C"/>
    <w:rsid w:val="005A677F"/>
    <w:rsid w:val="005B6367"/>
    <w:rsid w:val="005F573D"/>
    <w:rsid w:val="00631F59"/>
    <w:rsid w:val="00641940"/>
    <w:rsid w:val="00650D23"/>
    <w:rsid w:val="006A1582"/>
    <w:rsid w:val="006E3D9E"/>
    <w:rsid w:val="00715CB7"/>
    <w:rsid w:val="007D0588"/>
    <w:rsid w:val="007D4876"/>
    <w:rsid w:val="008073AC"/>
    <w:rsid w:val="00874286"/>
    <w:rsid w:val="00890AE6"/>
    <w:rsid w:val="008F6206"/>
    <w:rsid w:val="008F63FB"/>
    <w:rsid w:val="00982934"/>
    <w:rsid w:val="00997B97"/>
    <w:rsid w:val="009C676D"/>
    <w:rsid w:val="009C7D5B"/>
    <w:rsid w:val="009D292B"/>
    <w:rsid w:val="009D79C9"/>
    <w:rsid w:val="009E34F8"/>
    <w:rsid w:val="00B27B46"/>
    <w:rsid w:val="00B30700"/>
    <w:rsid w:val="00B54D07"/>
    <w:rsid w:val="00BD3810"/>
    <w:rsid w:val="00BE5CA1"/>
    <w:rsid w:val="00BF192B"/>
    <w:rsid w:val="00C50AE0"/>
    <w:rsid w:val="00C750ED"/>
    <w:rsid w:val="00C9214A"/>
    <w:rsid w:val="00D04B13"/>
    <w:rsid w:val="00D82F8E"/>
    <w:rsid w:val="00DA2833"/>
    <w:rsid w:val="00E31034"/>
    <w:rsid w:val="00EA152B"/>
    <w:rsid w:val="00EC29BD"/>
    <w:rsid w:val="00ED6F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9EF8A99"/>
  <w15:chartTrackingRefBased/>
  <w15:docId w15:val="{D771A94B-29E0-4E1E-8090-3413E68F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8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Standard">
    <w:name w:val="CabStandard"/>
    <w:basedOn w:val="Normal"/>
    <w:rsid w:val="00BD3810"/>
    <w:pPr>
      <w:numPr>
        <w:numId w:val="1"/>
      </w:numPr>
      <w:spacing w:after="240" w:line="240" w:lineRule="auto"/>
    </w:pPr>
    <w:rPr>
      <w:rFonts w:ascii="Times New Roman" w:eastAsia="Times New Roman" w:hAnsi="Times New Roman" w:cs="Times New Roman"/>
      <w:sz w:val="24"/>
      <w:szCs w:val="20"/>
      <w:lang w:val="en-GB" w:eastAsia="ja-JP"/>
    </w:rPr>
  </w:style>
  <w:style w:type="paragraph" w:styleId="Header">
    <w:name w:val="header"/>
    <w:basedOn w:val="Normal"/>
    <w:link w:val="HeaderChar"/>
    <w:uiPriority w:val="99"/>
    <w:unhideWhenUsed/>
    <w:rsid w:val="00BD3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810"/>
  </w:style>
  <w:style w:type="paragraph" w:styleId="Footer">
    <w:name w:val="footer"/>
    <w:basedOn w:val="Normal"/>
    <w:link w:val="FooterChar"/>
    <w:uiPriority w:val="99"/>
    <w:unhideWhenUsed/>
    <w:rsid w:val="00BD3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810"/>
  </w:style>
  <w:style w:type="paragraph" w:styleId="ListParagraph">
    <w:name w:val="List Paragraph"/>
    <w:basedOn w:val="Normal"/>
    <w:link w:val="ListParagraphChar"/>
    <w:uiPriority w:val="34"/>
    <w:qFormat/>
    <w:rsid w:val="00BD3810"/>
    <w:pPr>
      <w:spacing w:after="0" w:line="240" w:lineRule="auto"/>
      <w:ind w:left="720"/>
      <w:contextualSpacing/>
      <w:jc w:val="both"/>
    </w:pPr>
    <w:rPr>
      <w:rFonts w:ascii="Times New Roman" w:eastAsia="Times New Roman" w:hAnsi="Times New Roman" w:cs="Times New Roman"/>
      <w:sz w:val="24"/>
      <w:szCs w:val="20"/>
      <w:lang w:eastAsia="en-AU"/>
    </w:rPr>
  </w:style>
  <w:style w:type="character" w:customStyle="1" w:styleId="ListParagraphChar">
    <w:name w:val="List Paragraph Char"/>
    <w:basedOn w:val="DefaultParagraphFont"/>
    <w:link w:val="ListParagraph"/>
    <w:uiPriority w:val="34"/>
    <w:locked/>
    <w:rsid w:val="00BD3810"/>
    <w:rPr>
      <w:rFonts w:ascii="Times New Roman" w:eastAsia="Times New Roman" w:hAnsi="Times New Roman" w:cs="Times New Roman"/>
      <w:sz w:val="24"/>
      <w:szCs w:val="20"/>
      <w:lang w:eastAsia="en-AU"/>
    </w:rPr>
  </w:style>
  <w:style w:type="paragraph" w:styleId="BalloonText">
    <w:name w:val="Balloon Text"/>
    <w:basedOn w:val="Normal"/>
    <w:link w:val="BalloonTextChar"/>
    <w:uiPriority w:val="99"/>
    <w:semiHidden/>
    <w:unhideWhenUsed/>
    <w:rsid w:val="00BF1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92B"/>
    <w:rPr>
      <w:rFonts w:ascii="Segoe UI" w:hAnsi="Segoe UI" w:cs="Segoe UI"/>
      <w:sz w:val="18"/>
      <w:szCs w:val="18"/>
    </w:rPr>
  </w:style>
  <w:style w:type="paragraph" w:customStyle="1" w:styleId="TableStyle">
    <w:name w:val="TableStyle"/>
    <w:rsid w:val="00D82F8E"/>
    <w:pPr>
      <w:autoSpaceDE w:val="0"/>
      <w:autoSpaceDN w:val="0"/>
      <w:adjustRightInd w:val="0"/>
      <w:spacing w:after="40" w:line="240" w:lineRule="auto"/>
    </w:pPr>
    <w:rPr>
      <w:rFonts w:ascii="Times New Roman" w:eastAsia="Times New Roman" w:hAnsi="Times New Roman" w:cs="Times New Roman"/>
      <w:sz w:val="20"/>
      <w:szCs w:val="20"/>
      <w:lang w:eastAsia="en-NZ"/>
    </w:rPr>
  </w:style>
  <w:style w:type="paragraph" w:customStyle="1" w:styleId="BoldHeaderTableStyle">
    <w:name w:val="BoldHeaderTableStyle"/>
    <w:rsid w:val="00D82F8E"/>
    <w:pPr>
      <w:autoSpaceDE w:val="0"/>
      <w:autoSpaceDN w:val="0"/>
      <w:adjustRightInd w:val="0"/>
      <w:spacing w:after="40" w:line="240" w:lineRule="auto"/>
    </w:pPr>
    <w:rPr>
      <w:rFonts w:ascii="Times New Roman" w:eastAsia="Times New Roman" w:hAnsi="Times New Roman" w:cs="Times New Roman"/>
      <w:b/>
      <w:bCs/>
      <w:sz w:val="20"/>
      <w:szCs w:val="20"/>
      <w:lang w:eastAsia="en-NZ"/>
    </w:rPr>
  </w:style>
  <w:style w:type="character" w:styleId="CommentReference">
    <w:name w:val="annotation reference"/>
    <w:basedOn w:val="DefaultParagraphFont"/>
    <w:uiPriority w:val="99"/>
    <w:semiHidden/>
    <w:unhideWhenUsed/>
    <w:rsid w:val="00D82F8E"/>
    <w:rPr>
      <w:sz w:val="16"/>
      <w:szCs w:val="16"/>
    </w:rPr>
  </w:style>
  <w:style w:type="paragraph" w:styleId="CommentText">
    <w:name w:val="annotation text"/>
    <w:basedOn w:val="Normal"/>
    <w:link w:val="CommentTextChar"/>
    <w:uiPriority w:val="99"/>
    <w:semiHidden/>
    <w:unhideWhenUsed/>
    <w:rsid w:val="00D82F8E"/>
    <w:pPr>
      <w:spacing w:line="240" w:lineRule="auto"/>
    </w:pPr>
    <w:rPr>
      <w:sz w:val="20"/>
      <w:szCs w:val="20"/>
    </w:rPr>
  </w:style>
  <w:style w:type="character" w:customStyle="1" w:styleId="CommentTextChar">
    <w:name w:val="Comment Text Char"/>
    <w:basedOn w:val="DefaultParagraphFont"/>
    <w:link w:val="CommentText"/>
    <w:uiPriority w:val="99"/>
    <w:semiHidden/>
    <w:rsid w:val="00D82F8E"/>
    <w:rPr>
      <w:sz w:val="20"/>
      <w:szCs w:val="20"/>
    </w:rPr>
  </w:style>
  <w:style w:type="paragraph" w:styleId="CommentSubject">
    <w:name w:val="annotation subject"/>
    <w:basedOn w:val="CommentText"/>
    <w:next w:val="CommentText"/>
    <w:link w:val="CommentSubjectChar"/>
    <w:uiPriority w:val="99"/>
    <w:semiHidden/>
    <w:unhideWhenUsed/>
    <w:rsid w:val="002B0C19"/>
    <w:rPr>
      <w:b/>
      <w:bCs/>
    </w:rPr>
  </w:style>
  <w:style w:type="character" w:customStyle="1" w:styleId="CommentSubjectChar">
    <w:name w:val="Comment Subject Char"/>
    <w:basedOn w:val="CommentTextChar"/>
    <w:link w:val="CommentSubject"/>
    <w:uiPriority w:val="99"/>
    <w:semiHidden/>
    <w:rsid w:val="002B0C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2107</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DEV-19-SUB-0151 – Cabinet paper: Extending tax exemption for non-resident offshore oil rig and seismic vessel operators (12 June 2019)</vt:lpstr>
    </vt:vector>
  </TitlesOfParts>
  <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DEV-19-SUB-0151 – Cabinet paper: Extending tax exemption for non-resident offshore oil rig and seismic vessel operators (12 June 2019)</dc:title>
  <dc:subject/>
  <dc:creator/>
  <cp:keywords/>
  <dc:description/>
  <dcterms:created xsi:type="dcterms:W3CDTF">2020-09-08T01:42:00Z</dcterms:created>
  <dcterms:modified xsi:type="dcterms:W3CDTF">2020-09-08T01:42:00Z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