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6B58" w14:textId="77777777" w:rsidR="004B41C4" w:rsidRDefault="004B41C4" w:rsidP="00DD623A">
      <w:pPr>
        <w:jc w:val="center"/>
      </w:pPr>
      <w:r w:rsidRPr="00A768F4">
        <w:rPr>
          <w:noProof/>
        </w:rPr>
        <w:drawing>
          <wp:inline distT="0" distB="0" distL="0" distR="0" wp14:anchorId="7A7B33D2" wp14:editId="637FFD18">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50E0E237" w14:textId="77777777" w:rsidR="004B41C4" w:rsidRPr="00221AAE" w:rsidRDefault="004B41C4" w:rsidP="00B73500">
      <w:pPr>
        <w:pStyle w:val="PAS-Groupname"/>
      </w:pPr>
      <w:r w:rsidRPr="00221AAE">
        <w:t>POLICY AND STRATEGY</w:t>
      </w:r>
    </w:p>
    <w:p w14:paraId="5E532A40" w14:textId="011E7062" w:rsidR="00DD623A" w:rsidRPr="001D0013" w:rsidRDefault="00DD623A" w:rsidP="001D0013">
      <w:pPr>
        <w:pStyle w:val="ReportCover-Title"/>
      </w:pPr>
      <w:r w:rsidRPr="001D0013">
        <w:t>Tax policy report:</w:t>
      </w:r>
      <w:r w:rsidRPr="001D0013">
        <w:tab/>
      </w:r>
      <w:bookmarkStart w:id="0" w:name="Subject"/>
      <w:bookmarkEnd w:id="0"/>
      <w:r w:rsidR="00A368B4">
        <w:t xml:space="preserve">Cabinet paper – </w:t>
      </w:r>
      <w:r w:rsidR="00DA6772">
        <w:t xml:space="preserve">Collection of IRD </w:t>
      </w:r>
      <w:r w:rsidR="002669B2">
        <w:t>n</w:t>
      </w:r>
      <w:r w:rsidR="00DA6772">
        <w:t>umbers for</w:t>
      </w:r>
      <w:r w:rsidR="00CD24CF">
        <w:t xml:space="preserve"> the transfer of</w:t>
      </w:r>
      <w:r w:rsidR="00DA6772">
        <w:t xml:space="preserve"> main homes</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675AE6DE" w14:textId="77777777" w:rsidTr="000B2ED1">
        <w:tc>
          <w:tcPr>
            <w:tcW w:w="2689" w:type="dxa"/>
          </w:tcPr>
          <w:p w14:paraId="3788C406" w14:textId="77777777" w:rsidR="00DD623A" w:rsidRPr="000B2ED1" w:rsidRDefault="00DD623A" w:rsidP="000B2ED1">
            <w:pPr>
              <w:pStyle w:val="Table-Heading"/>
            </w:pPr>
            <w:r w:rsidRPr="000B2ED1">
              <w:t>Date:</w:t>
            </w:r>
          </w:p>
        </w:tc>
        <w:tc>
          <w:tcPr>
            <w:tcW w:w="2551" w:type="dxa"/>
          </w:tcPr>
          <w:p w14:paraId="14D4EDCD" w14:textId="40982293" w:rsidR="00DD623A" w:rsidRPr="00705DC2" w:rsidRDefault="001B7635" w:rsidP="00705DC2">
            <w:pPr>
              <w:pStyle w:val="Table-Text"/>
            </w:pPr>
            <w:bookmarkStart w:id="1" w:name="Date"/>
            <w:bookmarkEnd w:id="1"/>
            <w:r w:rsidRPr="001B7635">
              <w:t>2</w:t>
            </w:r>
            <w:r w:rsidR="00705DC2">
              <w:t xml:space="preserve"> M</w:t>
            </w:r>
            <w:r w:rsidR="00DA6772">
              <w:t>ay</w:t>
            </w:r>
            <w:r w:rsidR="00705DC2">
              <w:t xml:space="preserve"> 20</w:t>
            </w:r>
            <w:r w:rsidR="00DA6772">
              <w:t>19</w:t>
            </w:r>
          </w:p>
        </w:tc>
        <w:tc>
          <w:tcPr>
            <w:tcW w:w="1985" w:type="dxa"/>
          </w:tcPr>
          <w:p w14:paraId="47B3A039"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15DD16A6497D4A268FD3188241A1CE75"/>
              </w:placeholder>
              <w:dropDownList>
                <w:listItem w:value="[Choose a report priority]"/>
                <w:listItem w:displayText="Low" w:value="Low"/>
                <w:listItem w:displayText="Medium" w:value="Medium"/>
                <w:listItem w:displayText="High" w:value="High"/>
              </w:dropDownList>
            </w:sdtPr>
            <w:sdtEndPr/>
            <w:sdtContent>
              <w:p w14:paraId="511680E0" w14:textId="77777777" w:rsidR="00DD623A" w:rsidRPr="00705DC2" w:rsidRDefault="00DA6772" w:rsidP="00C44EDE">
                <w:pPr>
                  <w:pStyle w:val="Table-Text"/>
                </w:pPr>
                <w:r>
                  <w:t>High</w:t>
                </w:r>
              </w:p>
            </w:sdtContent>
          </w:sdt>
        </w:tc>
      </w:tr>
      <w:tr w:rsidR="00DD623A" w:rsidRPr="00DD623A" w14:paraId="407AF259" w14:textId="77777777" w:rsidTr="000B2ED1">
        <w:tc>
          <w:tcPr>
            <w:tcW w:w="2689" w:type="dxa"/>
          </w:tcPr>
          <w:p w14:paraId="2557B628" w14:textId="77777777" w:rsidR="00DD623A" w:rsidRPr="000B2ED1" w:rsidRDefault="00DD623A" w:rsidP="000B2ED1">
            <w:pPr>
              <w:pStyle w:val="Table-Heading"/>
            </w:pPr>
            <w:r w:rsidRPr="000B2ED1">
              <w:t>Security level:</w:t>
            </w:r>
          </w:p>
        </w:tc>
        <w:bookmarkStart w:id="3" w:name="Security"/>
        <w:bookmarkEnd w:id="3"/>
        <w:tc>
          <w:tcPr>
            <w:tcW w:w="2551" w:type="dxa"/>
          </w:tcPr>
          <w:p w14:paraId="30F3D866" w14:textId="77777777" w:rsidR="009B5A86" w:rsidRPr="00DD623A" w:rsidRDefault="00C67180" w:rsidP="00C44EDE">
            <w:pPr>
              <w:pStyle w:val="Table-Text"/>
            </w:pPr>
            <w:sdt>
              <w:sdtPr>
                <w:alias w:val="Security Classification"/>
                <w:tag w:val="Security Classification"/>
                <w:id w:val="1617165177"/>
                <w:placeholder>
                  <w:docPart w:val="6B7D16C4560449F882EA59F59265B869"/>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C15514">
                  <w:t>In Confidence</w:t>
                </w:r>
              </w:sdtContent>
            </w:sdt>
            <w:r w:rsidR="00E21C84">
              <w:t xml:space="preserve"> </w:t>
            </w:r>
          </w:p>
        </w:tc>
        <w:tc>
          <w:tcPr>
            <w:tcW w:w="1985" w:type="dxa"/>
          </w:tcPr>
          <w:p w14:paraId="15C19FEB" w14:textId="77777777" w:rsidR="00DD623A" w:rsidRPr="000B2ED1" w:rsidRDefault="00DD623A" w:rsidP="000B2ED1">
            <w:pPr>
              <w:pStyle w:val="Table-Heading"/>
            </w:pPr>
            <w:r w:rsidRPr="000B2ED1">
              <w:t>Report number:</w:t>
            </w:r>
          </w:p>
        </w:tc>
        <w:tc>
          <w:tcPr>
            <w:tcW w:w="2485" w:type="dxa"/>
          </w:tcPr>
          <w:p w14:paraId="4020AC33" w14:textId="15FBD3D3" w:rsidR="00B3357D" w:rsidRPr="00705DC2" w:rsidRDefault="00DD623A" w:rsidP="00705DC2">
            <w:pPr>
              <w:pStyle w:val="Table-Text"/>
            </w:pPr>
            <w:bookmarkStart w:id="4" w:name="ReportPad"/>
            <w:bookmarkEnd w:id="4"/>
            <w:r w:rsidRPr="00705DC2">
              <w:t>IR20</w:t>
            </w:r>
            <w:r w:rsidR="00CB4FC3">
              <w:t>19</w:t>
            </w:r>
            <w:r w:rsidRPr="00705DC2">
              <w:t>/</w:t>
            </w:r>
            <w:r w:rsidR="00875344">
              <w:t>235</w:t>
            </w:r>
          </w:p>
        </w:tc>
      </w:tr>
    </w:tbl>
    <w:p w14:paraId="47B027A8"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2638CF0A" w14:textId="77777777" w:rsidTr="000B2ED1">
        <w:tc>
          <w:tcPr>
            <w:tcW w:w="2694" w:type="dxa"/>
          </w:tcPr>
          <w:p w14:paraId="4BEE4461" w14:textId="77777777" w:rsidR="00DD623A" w:rsidRPr="000B2ED1" w:rsidRDefault="00DD623A" w:rsidP="000B2ED1">
            <w:pPr>
              <w:pStyle w:val="Table-Heading"/>
            </w:pPr>
          </w:p>
        </w:tc>
        <w:tc>
          <w:tcPr>
            <w:tcW w:w="4536" w:type="dxa"/>
            <w:tcBorders>
              <w:left w:val="nil"/>
            </w:tcBorders>
          </w:tcPr>
          <w:p w14:paraId="0EC209BE" w14:textId="77777777" w:rsidR="00DD623A" w:rsidRPr="000B2ED1" w:rsidRDefault="00DD623A" w:rsidP="000B2ED1">
            <w:pPr>
              <w:pStyle w:val="Table-Heading"/>
            </w:pPr>
            <w:r w:rsidRPr="000B2ED1">
              <w:t>Action sought</w:t>
            </w:r>
          </w:p>
        </w:tc>
        <w:tc>
          <w:tcPr>
            <w:tcW w:w="2480" w:type="dxa"/>
          </w:tcPr>
          <w:p w14:paraId="44FC82F5" w14:textId="77777777" w:rsidR="00DD623A" w:rsidRPr="000B2ED1" w:rsidRDefault="00DD623A" w:rsidP="000B2ED1">
            <w:pPr>
              <w:pStyle w:val="Table-Heading"/>
            </w:pPr>
            <w:r w:rsidRPr="000B2ED1">
              <w:t>Deadline</w:t>
            </w:r>
          </w:p>
        </w:tc>
      </w:tr>
      <w:tr w:rsidR="00DD623A" w:rsidRPr="00D6363A" w14:paraId="6C85F9F3"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6C6B8AE5"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74BC7258" w14:textId="77777777" w:rsidR="00705DC2" w:rsidRPr="00D6363A" w:rsidRDefault="00705DC2" w:rsidP="00705DC2">
            <w:pPr>
              <w:pStyle w:val="Table-Text"/>
            </w:pPr>
            <w:r w:rsidRPr="00705DC2">
              <w:rPr>
                <w:rStyle w:val="Strong"/>
              </w:rPr>
              <w:t>Agree</w:t>
            </w:r>
            <w:r w:rsidRPr="00D6363A">
              <w:t xml:space="preserve"> to recommendations</w:t>
            </w:r>
          </w:p>
          <w:p w14:paraId="7C7B7D3F" w14:textId="77777777" w:rsidR="00DD623A" w:rsidRDefault="00A368B4" w:rsidP="00D6363A">
            <w:pPr>
              <w:pStyle w:val="Table-Text"/>
            </w:pPr>
            <w:r w:rsidRPr="00A368B4">
              <w:rPr>
                <w:rStyle w:val="Strong"/>
              </w:rPr>
              <w:t>Authorise</w:t>
            </w:r>
            <w:r w:rsidRPr="00A368B4">
              <w:t xml:space="preserve"> the lodgement of the attached Cabinet paper</w:t>
            </w:r>
          </w:p>
          <w:p w14:paraId="2880CDA7" w14:textId="77777777" w:rsidR="00634425" w:rsidRPr="00D6363A" w:rsidRDefault="00634425" w:rsidP="00D6363A">
            <w:pPr>
              <w:pStyle w:val="Table-Text"/>
            </w:pPr>
            <w:r w:rsidRPr="00D035A9">
              <w:rPr>
                <w:b/>
              </w:rPr>
              <w:t>Refer</w:t>
            </w:r>
            <w:r>
              <w:t xml:space="preserve"> a copy of this paper to the Minister of Finance and the Minister for Land Information</w:t>
            </w:r>
          </w:p>
        </w:tc>
        <w:tc>
          <w:tcPr>
            <w:tcW w:w="2480" w:type="dxa"/>
            <w:tcBorders>
              <w:top w:val="single" w:sz="4" w:space="0" w:color="808080"/>
              <w:left w:val="single" w:sz="4" w:space="0" w:color="808080"/>
              <w:bottom w:val="single" w:sz="4" w:space="0" w:color="808080"/>
              <w:right w:val="single" w:sz="4" w:space="0" w:color="808080"/>
            </w:tcBorders>
          </w:tcPr>
          <w:p w14:paraId="705E4B91" w14:textId="77777777" w:rsidR="00DD623A" w:rsidRPr="00941752" w:rsidRDefault="00A368B4" w:rsidP="00D6363A">
            <w:pPr>
              <w:pStyle w:val="Table-Text"/>
            </w:pPr>
            <w:r w:rsidRPr="00941752">
              <w:rPr>
                <w:rStyle w:val="Hyperlink"/>
                <w:color w:val="auto"/>
                <w:u w:val="none"/>
              </w:rPr>
              <w:t xml:space="preserve">10 am Thursday </w:t>
            </w:r>
            <w:r w:rsidR="00941752" w:rsidRPr="00941752">
              <w:rPr>
                <w:rStyle w:val="Hyperlink"/>
                <w:color w:val="auto"/>
                <w:u w:val="none"/>
              </w:rPr>
              <w:t>16 May</w:t>
            </w:r>
          </w:p>
        </w:tc>
      </w:tr>
    </w:tbl>
    <w:p w14:paraId="6AD2DE47"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6ACC834E" w14:textId="77777777" w:rsidTr="000B2ED1">
        <w:trPr>
          <w:cantSplit/>
        </w:trPr>
        <w:tc>
          <w:tcPr>
            <w:tcW w:w="2694" w:type="dxa"/>
            <w:tcBorders>
              <w:top w:val="nil"/>
              <w:left w:val="nil"/>
              <w:bottom w:val="nil"/>
              <w:right w:val="nil"/>
            </w:tcBorders>
          </w:tcPr>
          <w:p w14:paraId="36A64580"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23C51525" w14:textId="77777777" w:rsidR="00DD623A" w:rsidRPr="000B2ED1" w:rsidRDefault="00DD623A" w:rsidP="000B2ED1">
            <w:pPr>
              <w:pStyle w:val="Table-Heading"/>
            </w:pPr>
            <w:r w:rsidRPr="000B2ED1">
              <w:t>Position</w:t>
            </w:r>
          </w:p>
        </w:tc>
        <w:tc>
          <w:tcPr>
            <w:tcW w:w="3756" w:type="dxa"/>
            <w:tcBorders>
              <w:top w:val="nil"/>
              <w:left w:val="nil"/>
              <w:bottom w:val="nil"/>
              <w:right w:val="nil"/>
            </w:tcBorders>
          </w:tcPr>
          <w:p w14:paraId="5AC8F785" w14:textId="77777777" w:rsidR="00DD623A" w:rsidRPr="000B2ED1" w:rsidRDefault="00DD623A" w:rsidP="000B2ED1">
            <w:pPr>
              <w:pStyle w:val="Table-Heading"/>
            </w:pPr>
            <w:r w:rsidRPr="000B2ED1">
              <w:t>Telephone</w:t>
            </w:r>
          </w:p>
        </w:tc>
      </w:tr>
      <w:tr w:rsidR="00D27F99" w:rsidRPr="009B5A86" w14:paraId="4AFF46D9" w14:textId="77777777" w:rsidTr="00507665">
        <w:tc>
          <w:tcPr>
            <w:tcW w:w="2694" w:type="dxa"/>
            <w:vMerge w:val="restart"/>
            <w:tcBorders>
              <w:top w:val="single" w:sz="4" w:space="0" w:color="808080"/>
              <w:left w:val="single" w:sz="4" w:space="0" w:color="808080"/>
              <w:right w:val="single" w:sz="4" w:space="0" w:color="808080"/>
            </w:tcBorders>
            <w:shd w:val="clear" w:color="auto" w:fill="D9D9D9" w:themeFill="background1" w:themeFillShade="D9"/>
          </w:tcPr>
          <w:p w14:paraId="42D626F2" w14:textId="48B282F8" w:rsidR="00D27F99" w:rsidRPr="009B5A86" w:rsidRDefault="00D27F99" w:rsidP="009B5A86">
            <w:pPr>
              <w:pStyle w:val="Table-Text"/>
            </w:pPr>
            <w:bookmarkStart w:id="5" w:name="Name1"/>
            <w:bookmarkEnd w:id="5"/>
            <w:r>
              <w:t>s 9(2)(a)</w:t>
            </w:r>
          </w:p>
        </w:tc>
        <w:tc>
          <w:tcPr>
            <w:tcW w:w="3260" w:type="dxa"/>
            <w:tcBorders>
              <w:top w:val="single" w:sz="4" w:space="0" w:color="808080"/>
              <w:left w:val="single" w:sz="4" w:space="0" w:color="808080"/>
              <w:bottom w:val="single" w:sz="4" w:space="0" w:color="808080"/>
              <w:right w:val="single" w:sz="4" w:space="0" w:color="808080"/>
            </w:tcBorders>
          </w:tcPr>
          <w:p w14:paraId="2CA0E310" w14:textId="07D07E33" w:rsidR="00D27F99" w:rsidRPr="009B5A86" w:rsidRDefault="00D27F99" w:rsidP="009B5A86">
            <w:pPr>
              <w:pStyle w:val="Table-Text"/>
            </w:pPr>
            <w:bookmarkStart w:id="6" w:name="Pos1"/>
            <w:bookmarkEnd w:id="6"/>
            <w:r>
              <w:t>Senior Policy Advisor</w:t>
            </w:r>
          </w:p>
        </w:tc>
        <w:tc>
          <w:tcPr>
            <w:tcW w:w="3756" w:type="dxa"/>
            <w:vMerge w:val="restart"/>
            <w:tcBorders>
              <w:top w:val="single" w:sz="4" w:space="0" w:color="808080"/>
              <w:left w:val="single" w:sz="4" w:space="0" w:color="808080"/>
              <w:right w:val="single" w:sz="4" w:space="0" w:color="808080"/>
            </w:tcBorders>
            <w:shd w:val="clear" w:color="auto" w:fill="D9D9D9" w:themeFill="background1" w:themeFillShade="D9"/>
          </w:tcPr>
          <w:p w14:paraId="295DD3FC" w14:textId="77777777" w:rsidR="00D27F99" w:rsidRPr="009B5A86" w:rsidRDefault="00D27F99" w:rsidP="009B5A86">
            <w:pPr>
              <w:pStyle w:val="Table-Text"/>
            </w:pPr>
            <w:bookmarkStart w:id="7" w:name="Direct1"/>
            <w:bookmarkStart w:id="8" w:name="Mobile1"/>
            <w:bookmarkEnd w:id="7"/>
            <w:bookmarkEnd w:id="8"/>
            <w:r>
              <w:t>s 9(2)(a)</w:t>
            </w:r>
          </w:p>
          <w:p w14:paraId="0F9A40F1" w14:textId="5E99C210" w:rsidR="00D27F99" w:rsidRDefault="00D27F99" w:rsidP="00445D19">
            <w:pPr>
              <w:pStyle w:val="Table-Text"/>
            </w:pPr>
          </w:p>
          <w:p w14:paraId="4BB6D17A" w14:textId="77777777" w:rsidR="00D27F99" w:rsidRDefault="00D27F99" w:rsidP="00445D19">
            <w:pPr>
              <w:pStyle w:val="Table-Text"/>
            </w:pPr>
          </w:p>
          <w:p w14:paraId="60522917" w14:textId="6F52E88A" w:rsidR="00D27F99" w:rsidRPr="009B5A86" w:rsidRDefault="00D27F99" w:rsidP="00445D19">
            <w:pPr>
              <w:pStyle w:val="Table-Text"/>
            </w:pPr>
          </w:p>
        </w:tc>
      </w:tr>
      <w:tr w:rsidR="00D27F99" w:rsidRPr="009B5A86" w14:paraId="112AC042" w14:textId="77777777" w:rsidTr="00507665">
        <w:tc>
          <w:tcPr>
            <w:tcW w:w="2694" w:type="dxa"/>
            <w:vMerge/>
            <w:tcBorders>
              <w:left w:val="single" w:sz="4" w:space="0" w:color="808080"/>
              <w:bottom w:val="single" w:sz="4" w:space="0" w:color="808080"/>
              <w:right w:val="single" w:sz="4" w:space="0" w:color="808080"/>
            </w:tcBorders>
            <w:shd w:val="clear" w:color="auto" w:fill="D9D9D9" w:themeFill="background1" w:themeFillShade="D9"/>
          </w:tcPr>
          <w:p w14:paraId="3E4DD776" w14:textId="2036AD14" w:rsidR="00D27F99" w:rsidRPr="009B5A86" w:rsidRDefault="00D27F99" w:rsidP="00445D19">
            <w:pPr>
              <w:pStyle w:val="Table-Text"/>
            </w:pPr>
            <w:bookmarkStart w:id="9" w:name="Name2"/>
            <w:bookmarkEnd w:id="9"/>
          </w:p>
        </w:tc>
        <w:tc>
          <w:tcPr>
            <w:tcW w:w="3260" w:type="dxa"/>
            <w:tcBorders>
              <w:top w:val="single" w:sz="4" w:space="0" w:color="808080"/>
              <w:left w:val="single" w:sz="4" w:space="0" w:color="808080"/>
              <w:bottom w:val="single" w:sz="4" w:space="0" w:color="808080"/>
              <w:right w:val="single" w:sz="4" w:space="0" w:color="808080"/>
            </w:tcBorders>
          </w:tcPr>
          <w:p w14:paraId="4B4FA188" w14:textId="628A9891" w:rsidR="00D27F99" w:rsidRPr="009B5A86" w:rsidRDefault="00D27F99" w:rsidP="00445D19">
            <w:pPr>
              <w:pStyle w:val="Table-Text"/>
            </w:pPr>
            <w:bookmarkStart w:id="10" w:name="Pos2"/>
            <w:bookmarkEnd w:id="10"/>
            <w:r>
              <w:t>Senior Policy Analyst</w:t>
            </w:r>
          </w:p>
        </w:tc>
        <w:tc>
          <w:tcPr>
            <w:tcW w:w="3756" w:type="dxa"/>
            <w:vMerge/>
            <w:tcBorders>
              <w:left w:val="single" w:sz="4" w:space="0" w:color="808080"/>
              <w:bottom w:val="single" w:sz="4" w:space="0" w:color="808080"/>
              <w:right w:val="single" w:sz="4" w:space="0" w:color="808080"/>
            </w:tcBorders>
            <w:shd w:val="clear" w:color="auto" w:fill="D9D9D9" w:themeFill="background1" w:themeFillShade="D9"/>
          </w:tcPr>
          <w:p w14:paraId="7249B828" w14:textId="28AAC6B2" w:rsidR="00D27F99" w:rsidRPr="009B5A86" w:rsidRDefault="00D27F99" w:rsidP="00445D19">
            <w:pPr>
              <w:pStyle w:val="Table-Text"/>
            </w:pPr>
            <w:bookmarkStart w:id="11" w:name="Direct2"/>
            <w:bookmarkEnd w:id="11"/>
          </w:p>
        </w:tc>
      </w:tr>
    </w:tbl>
    <w:p w14:paraId="301E62D8" w14:textId="77777777" w:rsidR="00D6363A" w:rsidRPr="00891517" w:rsidRDefault="00D6363A" w:rsidP="00891517">
      <w:pPr>
        <w:sectPr w:rsidR="00D6363A" w:rsidRPr="00891517" w:rsidSect="00A364AA">
          <w:footerReference w:type="default" r:id="rId9"/>
          <w:pgSz w:w="11906" w:h="16838"/>
          <w:pgMar w:top="1134" w:right="1134" w:bottom="1134" w:left="1134" w:header="709" w:footer="709" w:gutter="0"/>
          <w:cols w:space="708"/>
          <w:docGrid w:linePitch="360"/>
        </w:sectPr>
      </w:pPr>
    </w:p>
    <w:p w14:paraId="18C2BB28" w14:textId="6B3E90A2" w:rsidR="005B202F" w:rsidRDefault="001B7635">
      <w:r>
        <w:lastRenderedPageBreak/>
        <w:t>2</w:t>
      </w:r>
      <w:r w:rsidR="00DA6772">
        <w:t xml:space="preserve"> May 2019</w:t>
      </w:r>
    </w:p>
    <w:p w14:paraId="0192BA56" w14:textId="77777777" w:rsidR="00811AC6" w:rsidRDefault="00811AC6"/>
    <w:p w14:paraId="75032FAF" w14:textId="77777777" w:rsidR="00811AC6" w:rsidRDefault="00811AC6">
      <w:r>
        <w:t>Minister of Revenue</w:t>
      </w:r>
    </w:p>
    <w:p w14:paraId="1649407E" w14:textId="77777777" w:rsidR="00811AC6" w:rsidRDefault="00DA6772" w:rsidP="00135242">
      <w:pPr>
        <w:pStyle w:val="Report-Title"/>
      </w:pPr>
      <w:r>
        <w:t xml:space="preserve">Cabinet paper – Collection of IRD numbers for </w:t>
      </w:r>
      <w:r w:rsidR="00634425">
        <w:t xml:space="preserve">the transfer of </w:t>
      </w:r>
      <w:r>
        <w:t>main homes</w:t>
      </w:r>
    </w:p>
    <w:p w14:paraId="317499D5" w14:textId="5A814F3A" w:rsidR="002669B2" w:rsidRDefault="00C3025A" w:rsidP="00742672">
      <w:pPr>
        <w:pStyle w:val="Table-Heading"/>
      </w:pPr>
      <w:r>
        <w:t>Introduction</w:t>
      </w:r>
    </w:p>
    <w:p w14:paraId="133BE0CB" w14:textId="6E863514" w:rsidR="000D5CE6" w:rsidRDefault="000D5CE6" w:rsidP="000D5CE6">
      <w:pPr>
        <w:pStyle w:val="NumberedParagraph"/>
      </w:pPr>
      <w:r>
        <w:t xml:space="preserve">This report asks you to </w:t>
      </w:r>
      <w:r w:rsidR="0076438A">
        <w:t>consider</w:t>
      </w:r>
      <w:r>
        <w:t xml:space="preserve"> the attached</w:t>
      </w:r>
      <w:r w:rsidR="0076438A">
        <w:t xml:space="preserve"> draft</w:t>
      </w:r>
      <w:r>
        <w:t xml:space="preserve"> Cabinet paper</w:t>
      </w:r>
      <w:r w:rsidR="00941752">
        <w:t xml:space="preserve"> </w:t>
      </w:r>
      <w:r w:rsidR="00941752" w:rsidRPr="00015EE4">
        <w:rPr>
          <w:i/>
        </w:rPr>
        <w:t>Collection of IRD numbers for the transfer of main homes</w:t>
      </w:r>
      <w:r w:rsidR="00941752">
        <w:t xml:space="preserve"> </w:t>
      </w:r>
      <w:r w:rsidR="0076438A">
        <w:t xml:space="preserve">and, following any changes you wish to make, refer it </w:t>
      </w:r>
      <w:r>
        <w:t xml:space="preserve">to Cabinet office by 10 am Thursday </w:t>
      </w:r>
      <w:r w:rsidR="007F4A2A">
        <w:t>16 May</w:t>
      </w:r>
      <w:r>
        <w:t xml:space="preserve"> so that it may be considered by the Cabinet Economic Development Committee (DEV) at its meeting on </w:t>
      </w:r>
      <w:r w:rsidRPr="00BC55BF">
        <w:t xml:space="preserve">Wednesday </w:t>
      </w:r>
      <w:r w:rsidR="007F4A2A" w:rsidRPr="00BC55BF">
        <w:t>22</w:t>
      </w:r>
      <w:r w:rsidRPr="00BC55BF">
        <w:t xml:space="preserve"> M</w:t>
      </w:r>
      <w:r w:rsidR="007F4A2A" w:rsidRPr="00BC55BF">
        <w:t>ay</w:t>
      </w:r>
      <w:r w:rsidRPr="00BC55BF">
        <w:t xml:space="preserve"> 20</w:t>
      </w:r>
      <w:r w:rsidR="007F4A2A" w:rsidRPr="00BC55BF">
        <w:t>19</w:t>
      </w:r>
      <w:r w:rsidR="001B7635" w:rsidRPr="00BC55BF">
        <w:t xml:space="preserve">. </w:t>
      </w:r>
    </w:p>
    <w:p w14:paraId="7B2B7601" w14:textId="2785A930" w:rsidR="00166387" w:rsidRDefault="000D5CE6" w:rsidP="00166387">
      <w:pPr>
        <w:pStyle w:val="NumberedParagraph"/>
      </w:pPr>
      <w:r>
        <w:t>This report seeks your agreement to</w:t>
      </w:r>
      <w:r w:rsidR="00EA1EE8">
        <w:t xml:space="preserve"> the following:</w:t>
      </w:r>
      <w:r>
        <w:t xml:space="preserve"> </w:t>
      </w:r>
    </w:p>
    <w:p w14:paraId="4D5AEF49" w14:textId="4495B924" w:rsidR="000D5CE6" w:rsidRDefault="00D27AD3" w:rsidP="00166387">
      <w:pPr>
        <w:pStyle w:val="BulletedParagraphIndented"/>
      </w:pPr>
      <w:r>
        <w:t>R</w:t>
      </w:r>
      <w:r w:rsidR="00DA6772">
        <w:t>emov</w:t>
      </w:r>
      <w:r>
        <w:t>al of</w:t>
      </w:r>
      <w:r w:rsidR="00DA6772">
        <w:t xml:space="preserve"> the exemption for transfers </w:t>
      </w:r>
      <w:r w:rsidR="00C3025A">
        <w:t xml:space="preserve">by individuals of </w:t>
      </w:r>
      <w:r w:rsidR="00DA6772">
        <w:t xml:space="preserve">a main home from the requirements to provide IRD numbers </w:t>
      </w:r>
      <w:r w:rsidR="003A475E">
        <w:t xml:space="preserve">(and if </w:t>
      </w:r>
      <w:r w:rsidR="003A55D8">
        <w:t>the person is tax resident in another country</w:t>
      </w:r>
      <w:r w:rsidR="003A475E">
        <w:t xml:space="preserve">, </w:t>
      </w:r>
      <w:r w:rsidR="003A55D8">
        <w:t>the name of that country and the</w:t>
      </w:r>
      <w:r w:rsidR="00C3025A">
        <w:t>ir</w:t>
      </w:r>
      <w:r w:rsidR="003A55D8">
        <w:t xml:space="preserve"> tax identification number </w:t>
      </w:r>
      <w:r w:rsidR="00C3025A">
        <w:t xml:space="preserve">(TIN) </w:t>
      </w:r>
      <w:r w:rsidR="00015EE4">
        <w:t>for</w:t>
      </w:r>
      <w:r w:rsidR="003A55D8">
        <w:t xml:space="preserve"> that country) </w:t>
      </w:r>
      <w:r w:rsidR="00DA6772">
        <w:t>when transferring a property.</w:t>
      </w:r>
    </w:p>
    <w:p w14:paraId="349AA527" w14:textId="0A8ACF92" w:rsidR="00C710EF" w:rsidRDefault="00D70B5F" w:rsidP="00166387">
      <w:pPr>
        <w:pStyle w:val="BulletedParagraphIndented"/>
      </w:pPr>
      <w:r>
        <w:t>A</w:t>
      </w:r>
      <w:r w:rsidR="00C710EF">
        <w:t xml:space="preserve"> remedial amendment to update the reference in the Tax Administration Act 1994 information collection, use and disclosure provisions</w:t>
      </w:r>
      <w:r w:rsidR="00015EE4">
        <w:t>; and</w:t>
      </w:r>
      <w:r w:rsidR="00C710EF">
        <w:t xml:space="preserve"> to update </w:t>
      </w:r>
      <w:r w:rsidR="00297BF7">
        <w:t xml:space="preserve">the </w:t>
      </w:r>
      <w:r w:rsidR="00C710EF">
        <w:t xml:space="preserve">reference to the Land Transfer Act 1952 to the </w:t>
      </w:r>
      <w:r w:rsidR="00297BF7">
        <w:t>current</w:t>
      </w:r>
      <w:r w:rsidR="00C710EF">
        <w:t xml:space="preserve"> section in the Land Transfer Act 2017.</w:t>
      </w:r>
    </w:p>
    <w:p w14:paraId="2BBE96A5" w14:textId="76DF5DAA" w:rsidR="000D5CE6" w:rsidRDefault="00D27AD3" w:rsidP="000D5CE6">
      <w:pPr>
        <w:pStyle w:val="BulletedParagraphIndented"/>
      </w:pPr>
      <w:r>
        <w:t>I</w:t>
      </w:r>
      <w:r w:rsidR="00DA6772">
        <w:t>nclu</w:t>
      </w:r>
      <w:r>
        <w:t>sion of</w:t>
      </w:r>
      <w:r w:rsidR="00DA6772">
        <w:t xml:space="preserve"> the amendments in a </w:t>
      </w:r>
      <w:r w:rsidR="0088621D">
        <w:t>Supplementary Order Paper (SOP)</w:t>
      </w:r>
      <w:r w:rsidR="00DA6772">
        <w:t xml:space="preserve"> to the Taxation (</w:t>
      </w:r>
      <w:r w:rsidR="001D2BDF">
        <w:t>Annual Rates for 2019-20, GST Offshore Supplier Registration, and Remedial Matters</w:t>
      </w:r>
      <w:r w:rsidR="0079122A">
        <w:t>)</w:t>
      </w:r>
      <w:r w:rsidR="001D2BDF">
        <w:t xml:space="preserve"> Bill at the Committee of the </w:t>
      </w:r>
      <w:r w:rsidR="002B276B">
        <w:t>w</w:t>
      </w:r>
      <w:r w:rsidR="001D2BDF">
        <w:t xml:space="preserve">hole House stage. </w:t>
      </w:r>
    </w:p>
    <w:p w14:paraId="49A60ABD" w14:textId="77777777" w:rsidR="0040099D" w:rsidRDefault="0040099D" w:rsidP="007A286F">
      <w:pPr>
        <w:pStyle w:val="NumberedParagraph"/>
      </w:pPr>
      <w:r>
        <w:t xml:space="preserve">These amendments follow the recommendation made by </w:t>
      </w:r>
      <w:r w:rsidR="000663BE">
        <w:t xml:space="preserve">the Tax Working Group to require disclosure of IRD numbers on the Land Transfer Tax Statement when transferring a main home. </w:t>
      </w:r>
      <w:r w:rsidR="0079122A">
        <w:t>The Government’s response to this recommendation was to consider as a high priority for inclusion on the tax policy work programme.</w:t>
      </w:r>
    </w:p>
    <w:p w14:paraId="01F6C37D" w14:textId="3D13614E" w:rsidR="0079122A" w:rsidRDefault="003A55D8" w:rsidP="007A286F">
      <w:pPr>
        <w:pStyle w:val="NumberedParagraph"/>
      </w:pPr>
      <w:r>
        <w:t>A</w:t>
      </w:r>
      <w:r w:rsidR="0079122A">
        <w:t xml:space="preserve">mendments could be made to the Land Transfer Act 2017 to give effect to this recommendation in the Taxation (Annual Rates for 2019-20, GST Offshore Supplier Registration, and Remedial Matters) Bill. This could be achieved by introducing a </w:t>
      </w:r>
      <w:r w:rsidR="00B943DB">
        <w:t>SOP</w:t>
      </w:r>
      <w:r w:rsidR="0079122A">
        <w:t xml:space="preserve"> at </w:t>
      </w:r>
      <w:r w:rsidR="00B943DB">
        <w:t xml:space="preserve">the </w:t>
      </w:r>
      <w:r w:rsidR="0079122A">
        <w:t xml:space="preserve">Committee of the </w:t>
      </w:r>
      <w:r w:rsidR="002B276B">
        <w:t>w</w:t>
      </w:r>
      <w:r w:rsidR="0079122A">
        <w:t>hole House</w:t>
      </w:r>
      <w:r w:rsidR="00B943DB">
        <w:t xml:space="preserve"> stage of this bill</w:t>
      </w:r>
      <w:r w:rsidR="0079122A">
        <w:t xml:space="preserve">. </w:t>
      </w:r>
    </w:p>
    <w:p w14:paraId="72B6492E" w14:textId="3A0968B4" w:rsidR="0079122A" w:rsidRDefault="00556387" w:rsidP="0079122A">
      <w:pPr>
        <w:pStyle w:val="NumberedParagraph"/>
      </w:pPr>
      <w:r>
        <w:t>The i</w:t>
      </w:r>
      <w:r w:rsidR="0079122A">
        <w:t>nclusion</w:t>
      </w:r>
      <w:r>
        <w:t xml:space="preserve"> of the proposed amendments</w:t>
      </w:r>
      <w:r w:rsidR="0079122A">
        <w:t xml:space="preserve"> in this current tax bill would allow for a swift response to the Tax Working Group’s recommendation and send a signal to property speculators that the Government will continue to act to improve compliance with the property tax rules.</w:t>
      </w:r>
    </w:p>
    <w:p w14:paraId="52B5C4CD" w14:textId="4E05A55B" w:rsidR="00695B2C" w:rsidRPr="00D848C7" w:rsidRDefault="00695B2C" w:rsidP="0079122A">
      <w:pPr>
        <w:pStyle w:val="NumberedParagraph"/>
      </w:pPr>
      <w:r w:rsidRPr="00D848C7">
        <w:t>Introducing these amendments by SOP at</w:t>
      </w:r>
      <w:r w:rsidR="00A50EF3">
        <w:t xml:space="preserve"> the</w:t>
      </w:r>
      <w:r w:rsidRPr="00D848C7">
        <w:t xml:space="preserve"> Committee of the </w:t>
      </w:r>
      <w:r w:rsidR="002B276B">
        <w:t>w</w:t>
      </w:r>
      <w:r w:rsidRPr="00D848C7">
        <w:t xml:space="preserve">hole House </w:t>
      </w:r>
      <w:r w:rsidR="00396BE8">
        <w:t xml:space="preserve">stage </w:t>
      </w:r>
      <w:r w:rsidRPr="00D848C7">
        <w:t xml:space="preserve">carries some risk as the legislative amendments will not be subject to consultation as part of the select committee process. </w:t>
      </w:r>
      <w:r w:rsidR="00C3025A">
        <w:t xml:space="preserve">To help mitigate this, </w:t>
      </w:r>
      <w:r w:rsidR="00226ABD">
        <w:t>we propose to consult with key stakeholders on the drafting of the SOP.</w:t>
      </w:r>
      <w:r w:rsidRPr="00D848C7">
        <w:t xml:space="preserve"> </w:t>
      </w:r>
    </w:p>
    <w:p w14:paraId="56226173" w14:textId="711B4540" w:rsidR="008D4CFA" w:rsidRDefault="00104650" w:rsidP="007A286F">
      <w:pPr>
        <w:pStyle w:val="NumberedParagraph"/>
      </w:pPr>
      <w:r>
        <w:t>A r</w:t>
      </w:r>
      <w:r w:rsidR="00807BC5">
        <w:t>egulatory impact analysis on the</w:t>
      </w:r>
      <w:r w:rsidR="00166387">
        <w:t xml:space="preserve"> proposal to require tax information </w:t>
      </w:r>
      <w:r w:rsidR="00226ABD">
        <w:t xml:space="preserve">upon </w:t>
      </w:r>
      <w:r w:rsidR="00166387">
        <w:t xml:space="preserve">transfer </w:t>
      </w:r>
      <w:r w:rsidR="00226ABD">
        <w:t>of</w:t>
      </w:r>
      <w:r w:rsidR="00166387">
        <w:t xml:space="preserve"> a main home </w:t>
      </w:r>
      <w:r w:rsidR="00807BC5">
        <w:t>was undertaken as</w:t>
      </w:r>
      <w:r w:rsidR="00C3025A">
        <w:t xml:space="preserve"> </w:t>
      </w:r>
      <w:r w:rsidR="00807BC5">
        <w:t>part of the original amendments to the Land Transfer Act</w:t>
      </w:r>
      <w:r w:rsidR="00C3025A">
        <w:t xml:space="preserve"> in 2015</w:t>
      </w:r>
      <w:r w:rsidR="00807BC5">
        <w:t xml:space="preserve">. </w:t>
      </w:r>
      <w:r w:rsidR="00226ABD">
        <w:t xml:space="preserve">Inland Revenue’s </w:t>
      </w:r>
      <w:r w:rsidR="00807BC5">
        <w:t xml:space="preserve">preferred option in this analysis </w:t>
      </w:r>
      <w:r w:rsidR="00C710EF">
        <w:t xml:space="preserve">was </w:t>
      </w:r>
      <w:r w:rsidR="00807BC5">
        <w:t xml:space="preserve">not to have an exemption from providing IRD </w:t>
      </w:r>
      <w:r w:rsidR="00C3025A">
        <w:t xml:space="preserve">numbers </w:t>
      </w:r>
      <w:r w:rsidR="00807BC5">
        <w:t xml:space="preserve">and </w:t>
      </w:r>
      <w:r w:rsidR="00C3025A">
        <w:t>TINs</w:t>
      </w:r>
      <w:r w:rsidR="00807BC5">
        <w:t xml:space="preserve"> when the transfer involves a main home. </w:t>
      </w:r>
      <w:r w:rsidR="00D744CF">
        <w:t>We are seeking an exemption</w:t>
      </w:r>
      <w:r w:rsidR="0095048D">
        <w:t xml:space="preserve"> from further</w:t>
      </w:r>
      <w:r w:rsidR="00D744CF">
        <w:t xml:space="preserve"> RIA requirements. </w:t>
      </w:r>
    </w:p>
    <w:p w14:paraId="4D02121F" w14:textId="2640D6B6" w:rsidR="00E55945" w:rsidRDefault="00E55945" w:rsidP="000D5CE6">
      <w:pPr>
        <w:pStyle w:val="NumberedParagraph"/>
      </w:pPr>
      <w:r>
        <w:t xml:space="preserve">We </w:t>
      </w:r>
      <w:r w:rsidR="008533D1">
        <w:t>have consulted with the Treasury and L</w:t>
      </w:r>
      <w:r w:rsidR="00226ABD">
        <w:t>and Information New Zealand (L</w:t>
      </w:r>
      <w:r w:rsidR="008533D1">
        <w:t>INZ</w:t>
      </w:r>
      <w:r w:rsidR="00226ABD">
        <w:t>)</w:t>
      </w:r>
      <w:r w:rsidR="008533D1">
        <w:t xml:space="preserve">. Due to time constraints we </w:t>
      </w:r>
      <w:r>
        <w:t>will consult</w:t>
      </w:r>
      <w:r w:rsidR="008533D1">
        <w:t xml:space="preserve"> </w:t>
      </w:r>
      <w:r>
        <w:t>with Statistics New Zealand and the</w:t>
      </w:r>
      <w:r w:rsidR="00B51A24">
        <w:t xml:space="preserve"> Office of the</w:t>
      </w:r>
      <w:r>
        <w:t xml:space="preserve"> Privacy Commissioner </w:t>
      </w:r>
      <w:r w:rsidR="008533D1">
        <w:t xml:space="preserve">on the draft Cabinet paper attached to this report. </w:t>
      </w:r>
    </w:p>
    <w:p w14:paraId="781B685A" w14:textId="77777777" w:rsidR="00617DB7" w:rsidRDefault="00617DB7" w:rsidP="00617DB7">
      <w:pPr>
        <w:pStyle w:val="Table-Heading"/>
      </w:pPr>
      <w:r>
        <w:lastRenderedPageBreak/>
        <w:t>Requirement to provide IRD number when the transfer involves a main home</w:t>
      </w:r>
    </w:p>
    <w:p w14:paraId="4E7F37EF" w14:textId="77777777" w:rsidR="00166387" w:rsidRDefault="00617DB7" w:rsidP="000D5CE6">
      <w:pPr>
        <w:pStyle w:val="NumberedParagraph"/>
      </w:pPr>
      <w:r>
        <w:t xml:space="preserve">The Land Transfer Act 2017 contains provisions requiring the completion of a Land Transfer Tax Statement </w:t>
      </w:r>
      <w:r w:rsidR="00BB7924">
        <w:t xml:space="preserve">by both the </w:t>
      </w:r>
      <w:r w:rsidR="00201153">
        <w:t>transferor (seller)</w:t>
      </w:r>
      <w:r w:rsidR="00BB7924">
        <w:t xml:space="preserve"> and </w:t>
      </w:r>
      <w:r w:rsidR="00201153">
        <w:t>transferee (purchaser)</w:t>
      </w:r>
      <w:r w:rsidR="00BB7924">
        <w:t xml:space="preserve"> </w:t>
      </w:r>
      <w:r>
        <w:t xml:space="preserve">before the transfer of a residential property may be registered. These provisions were introduced in </w:t>
      </w:r>
      <w:r w:rsidR="002D0759">
        <w:t>September 2015.</w:t>
      </w:r>
      <w:r>
        <w:t xml:space="preserve"> </w:t>
      </w:r>
    </w:p>
    <w:p w14:paraId="0191B3C1" w14:textId="35CB728F" w:rsidR="004A1BB3" w:rsidRDefault="004A1BB3" w:rsidP="000D5CE6">
      <w:pPr>
        <w:pStyle w:val="NumberedParagraph"/>
      </w:pPr>
      <w:r>
        <w:t>There is an exemption for providing an IRD number and</w:t>
      </w:r>
      <w:r w:rsidR="00104650">
        <w:t>,</w:t>
      </w:r>
      <w:r>
        <w:t xml:space="preserve"> if applicable any TINs</w:t>
      </w:r>
      <w:r w:rsidR="00104650">
        <w:t xml:space="preserve"> for another country,</w:t>
      </w:r>
      <w:r>
        <w:t xml:space="preserve"> if the transfer involves </w:t>
      </w:r>
      <w:r w:rsidR="00C3025A">
        <w:t xml:space="preserve">an individual’s </w:t>
      </w:r>
      <w:r>
        <w:t>main home.</w:t>
      </w:r>
      <w:r w:rsidR="00C3025A">
        <w:t xml:space="preserve"> (Trusts need to provide their </w:t>
      </w:r>
      <w:r w:rsidR="00226ABD">
        <w:t>tax information</w:t>
      </w:r>
      <w:r w:rsidR="00C3025A">
        <w:t xml:space="preserve"> when the transfer involves a main home).</w:t>
      </w:r>
      <w:r>
        <w:t xml:space="preserve"> If the </w:t>
      </w:r>
      <w:r w:rsidR="00AF6B51">
        <w:t xml:space="preserve">transfer meets the main home criteria the transfer will qualify as a “non-notifiable” transfer for the </w:t>
      </w:r>
      <w:r w:rsidR="00AE6216">
        <w:t>transferor</w:t>
      </w:r>
      <w:r w:rsidR="00AF6B51">
        <w:t xml:space="preserve"> and/or </w:t>
      </w:r>
      <w:r w:rsidR="00AE6216">
        <w:t>transferee</w:t>
      </w:r>
      <w:r w:rsidR="005749AC">
        <w:t>.</w:t>
      </w:r>
      <w:r w:rsidR="00AF6B51">
        <w:t xml:space="preserve"> </w:t>
      </w:r>
    </w:p>
    <w:p w14:paraId="4DA9A41E" w14:textId="77777777" w:rsidR="00C2683F" w:rsidRDefault="00C2683F" w:rsidP="00C2683F">
      <w:pPr>
        <w:pStyle w:val="NumberedParagraph"/>
      </w:pPr>
      <w:r>
        <w:t xml:space="preserve">The current exemption creates a gap in information provided to Inland Revenue and consequently </w:t>
      </w:r>
      <w:r w:rsidR="0095048D">
        <w:t xml:space="preserve">reduces </w:t>
      </w:r>
      <w:r>
        <w:t>the enforcement benefits from collecting tax information at the point of property transfer.</w:t>
      </w:r>
      <w:r w:rsidR="0095048D">
        <w:t xml:space="preserve"> For example</w:t>
      </w:r>
      <w:r w:rsidR="00367855">
        <w:t>,</w:t>
      </w:r>
      <w:r w:rsidR="0095048D">
        <w:t xml:space="preserve"> this makes it more difficult to identify property speculators. </w:t>
      </w:r>
    </w:p>
    <w:p w14:paraId="0009E4CD" w14:textId="6CD23F1D" w:rsidR="00201153" w:rsidRDefault="00201153" w:rsidP="00201153">
      <w:pPr>
        <w:pStyle w:val="NumberedParagraph"/>
      </w:pPr>
      <w:r w:rsidRPr="00201153">
        <w:t>We consider that the transferor or transferee should still be asked if the property being transferred is their main home. This main home indicator allows Inland Revenue to identify taxpayers who should be sent follow</w:t>
      </w:r>
      <w:r w:rsidR="00226ABD">
        <w:t>-</w:t>
      </w:r>
      <w:r w:rsidRPr="00201153">
        <w:t xml:space="preserve">up information and correspondence advising of </w:t>
      </w:r>
      <w:r w:rsidR="00104650">
        <w:t xml:space="preserve">the </w:t>
      </w:r>
      <w:r w:rsidRPr="00201153">
        <w:t xml:space="preserve">property tax rules and those who are unlikely to have tax obligations arising from the property transfer. </w:t>
      </w:r>
      <w:r w:rsidR="00B73709">
        <w:t xml:space="preserve">This is useful for </w:t>
      </w:r>
      <w:r w:rsidR="00AA252B">
        <w:t xml:space="preserve">both </w:t>
      </w:r>
      <w:r w:rsidR="00B73709">
        <w:t>enforcement</w:t>
      </w:r>
      <w:r w:rsidR="00AA252B">
        <w:t xml:space="preserve"> purposes</w:t>
      </w:r>
      <w:r w:rsidR="00B73709">
        <w:t>, and also</w:t>
      </w:r>
      <w:r w:rsidR="00AA252B">
        <w:t xml:space="preserve"> to ensure that the follow-up information is appropriately targeted </w:t>
      </w:r>
      <w:r w:rsidR="00104650">
        <w:t>to</w:t>
      </w:r>
      <w:r w:rsidR="00AA252B">
        <w:t xml:space="preserve"> customers.</w:t>
      </w:r>
      <w:r w:rsidR="00B73709">
        <w:t xml:space="preserve"> </w:t>
      </w:r>
      <w:r w:rsidR="00300E66" w:rsidRPr="00D848C7">
        <w:t>Officials will con</w:t>
      </w:r>
      <w:r w:rsidR="00C3025A">
        <w:t>sider</w:t>
      </w:r>
      <w:r w:rsidR="00300E66" w:rsidRPr="00D848C7">
        <w:t xml:space="preserve"> whether the main home definition can be simplified for the purpose of this indicator.</w:t>
      </w:r>
    </w:p>
    <w:p w14:paraId="360C6C9B" w14:textId="5ACA3544" w:rsidR="008F6C76" w:rsidRDefault="008F6C76" w:rsidP="00201153">
      <w:pPr>
        <w:pStyle w:val="NumberedParagraph"/>
      </w:pPr>
      <w:r>
        <w:t xml:space="preserve">However, we note that requiring transferors or transferees to provide this information will </w:t>
      </w:r>
      <w:r w:rsidR="00226ABD">
        <w:t xml:space="preserve">lead to a minor increase in </w:t>
      </w:r>
      <w:r>
        <w:t xml:space="preserve">compliance costs. We will work with LINZ to explore options for simplifying the main home definition and streamlining transfer forms to mitigate these costs. </w:t>
      </w:r>
    </w:p>
    <w:p w14:paraId="29DE7448" w14:textId="63C226B5" w:rsidR="000747C1" w:rsidRDefault="000747C1" w:rsidP="00A4036D">
      <w:pPr>
        <w:pStyle w:val="Table-Heading"/>
      </w:pPr>
      <w:r>
        <w:t>Requirement to provide TIN and information on overseas jurisdictions</w:t>
      </w:r>
    </w:p>
    <w:p w14:paraId="55A47E40" w14:textId="0EC8D142" w:rsidR="003A55D8" w:rsidRPr="003A55D8" w:rsidRDefault="00226ABD" w:rsidP="003A55D8">
      <w:pPr>
        <w:pStyle w:val="NumberedParagraph"/>
        <w:rPr>
          <w:szCs w:val="20"/>
        </w:rPr>
      </w:pPr>
      <w:bookmarkStart w:id="12" w:name="_Hlk7529669"/>
      <w:bookmarkStart w:id="13" w:name="_Hlk7539209"/>
      <w:r>
        <w:rPr>
          <w:szCs w:val="20"/>
        </w:rPr>
        <w:t>Transferors</w:t>
      </w:r>
      <w:r w:rsidR="003A55D8" w:rsidRPr="003A55D8">
        <w:rPr>
          <w:szCs w:val="20"/>
        </w:rPr>
        <w:t xml:space="preserve"> and </w:t>
      </w:r>
      <w:r>
        <w:rPr>
          <w:szCs w:val="20"/>
        </w:rPr>
        <w:t>transferees</w:t>
      </w:r>
      <w:r w:rsidR="003A55D8" w:rsidRPr="003A55D8">
        <w:rPr>
          <w:szCs w:val="20"/>
        </w:rPr>
        <w:t xml:space="preserve"> who are tax resident</w:t>
      </w:r>
      <w:r w:rsidR="003A55D8" w:rsidRPr="00AA252B">
        <w:rPr>
          <w:rStyle w:val="FootnoteReference"/>
          <w:szCs w:val="20"/>
        </w:rPr>
        <w:footnoteReference w:customMarkFollows="1" w:id="1"/>
        <w:t>[1]</w:t>
      </w:r>
      <w:r w:rsidR="003A55D8" w:rsidRPr="003A55D8">
        <w:rPr>
          <w:szCs w:val="20"/>
        </w:rPr>
        <w:t xml:space="preserve"> in another country must include on the Land Transfer Statement their TIN </w:t>
      </w:r>
      <w:r w:rsidR="003A55D8" w:rsidRPr="00AA252B">
        <w:rPr>
          <w:rStyle w:val="FootnoteReference"/>
          <w:szCs w:val="20"/>
        </w:rPr>
        <w:footnoteReference w:customMarkFollows="1" w:id="2"/>
        <w:t>[2]</w:t>
      </w:r>
      <w:r w:rsidR="0059581F">
        <w:rPr>
          <w:szCs w:val="20"/>
        </w:rPr>
        <w:t xml:space="preserve"> </w:t>
      </w:r>
      <w:r w:rsidR="003A55D8" w:rsidRPr="003A55D8">
        <w:rPr>
          <w:szCs w:val="20"/>
        </w:rPr>
        <w:t>and the name of the jurisdiction in which they are tax resident</w:t>
      </w:r>
      <w:r>
        <w:rPr>
          <w:szCs w:val="20"/>
        </w:rPr>
        <w:t xml:space="preserve"> unless an exemption applies</w:t>
      </w:r>
      <w:r w:rsidR="003A55D8" w:rsidRPr="003A55D8">
        <w:rPr>
          <w:szCs w:val="20"/>
        </w:rPr>
        <w:t xml:space="preserve">.  </w:t>
      </w:r>
    </w:p>
    <w:p w14:paraId="228C3E95" w14:textId="454157CE" w:rsidR="003A55D8" w:rsidRPr="003A55D8" w:rsidRDefault="003A55D8" w:rsidP="003A55D8">
      <w:pPr>
        <w:pStyle w:val="NumberedParagraph"/>
        <w:rPr>
          <w:szCs w:val="20"/>
        </w:rPr>
      </w:pPr>
      <w:r w:rsidRPr="003A55D8">
        <w:rPr>
          <w:szCs w:val="20"/>
        </w:rPr>
        <w:t xml:space="preserve">This information is reported to other countries to help prevent global tax evasion.  </w:t>
      </w:r>
    </w:p>
    <w:p w14:paraId="1B422600" w14:textId="430FC327" w:rsidR="003A55D8" w:rsidRPr="003A55D8" w:rsidRDefault="003A55D8" w:rsidP="003A55D8">
      <w:pPr>
        <w:pStyle w:val="NumberedParagraph"/>
        <w:rPr>
          <w:szCs w:val="20"/>
        </w:rPr>
      </w:pPr>
      <w:r w:rsidRPr="003A55D8">
        <w:rPr>
          <w:szCs w:val="20"/>
        </w:rPr>
        <w:t>If a tax resident of another country claims the main home exemption, they do not need to provide their TIN and the name of the jurisdiction when transferring property except in limited circumstances (</w:t>
      </w:r>
      <w:r w:rsidR="00226ABD" w:rsidRPr="00F962AB">
        <w:t>for example, if the person is not a New Zealand citizen nor a resident for immigration purposes</w:t>
      </w:r>
      <w:r w:rsidR="00226ABD">
        <w:t xml:space="preserve"> then they cannot claim the main home exemption</w:t>
      </w:r>
      <w:r w:rsidRPr="003A55D8">
        <w:rPr>
          <w:szCs w:val="20"/>
        </w:rPr>
        <w:t xml:space="preserve">). </w:t>
      </w:r>
    </w:p>
    <w:p w14:paraId="388B7F89" w14:textId="65AE0EBE" w:rsidR="003A55D8" w:rsidRDefault="003A55D8" w:rsidP="003A55D8">
      <w:pPr>
        <w:pStyle w:val="NumberedParagraph"/>
        <w:rPr>
          <w:szCs w:val="20"/>
        </w:rPr>
      </w:pPr>
      <w:r w:rsidRPr="00AA252B">
        <w:rPr>
          <w:szCs w:val="20"/>
        </w:rPr>
        <w:t xml:space="preserve">Requiring TINs will help ensure that data </w:t>
      </w:r>
      <w:r w:rsidR="00226ABD">
        <w:rPr>
          <w:szCs w:val="20"/>
        </w:rPr>
        <w:t>provided</w:t>
      </w:r>
      <w:r w:rsidRPr="00AA252B">
        <w:rPr>
          <w:szCs w:val="20"/>
        </w:rPr>
        <w:t xml:space="preserve"> to treaty partners is easily able to be matched to the correct person.</w:t>
      </w:r>
      <w:r w:rsidR="00AA252B">
        <w:rPr>
          <w:szCs w:val="20"/>
        </w:rPr>
        <w:t xml:space="preserve"> </w:t>
      </w:r>
      <w:r w:rsidRPr="003A55D8">
        <w:rPr>
          <w:szCs w:val="20"/>
        </w:rPr>
        <w:t>Requiring the reporting of TINs for property sales would go beyond current international requirements, but would be consistent with the AEOI/CRS financial reporting requirements that apply when individuals open new bank accounts, and would position New Zealand favourably as a leader in international efforts to combat tax evasion.</w:t>
      </w:r>
    </w:p>
    <w:p w14:paraId="61788B07" w14:textId="34A920DC" w:rsidR="0004028D" w:rsidRDefault="0004028D">
      <w:pPr>
        <w:spacing w:after="160" w:line="259" w:lineRule="auto"/>
        <w:jc w:val="left"/>
        <w:rPr>
          <w:lang w:eastAsia="en-NZ"/>
        </w:rPr>
      </w:pPr>
      <w:r>
        <w:br w:type="page"/>
      </w:r>
    </w:p>
    <w:p w14:paraId="575E66D2" w14:textId="77777777" w:rsidR="0004028D" w:rsidRDefault="0004028D" w:rsidP="0004028D">
      <w:pPr>
        <w:pStyle w:val="NumberedParagraph"/>
        <w:numPr>
          <w:ilvl w:val="0"/>
          <w:numId w:val="0"/>
        </w:numPr>
        <w:rPr>
          <w:szCs w:val="20"/>
        </w:rPr>
      </w:pPr>
    </w:p>
    <w:bookmarkEnd w:id="12"/>
    <w:bookmarkEnd w:id="13"/>
    <w:p w14:paraId="410DB675" w14:textId="6161D3F8" w:rsidR="00CC3FC2" w:rsidRDefault="00CC3FC2" w:rsidP="00CC3FC2">
      <w:pPr>
        <w:pStyle w:val="Table-Heading"/>
      </w:pPr>
      <w:r>
        <w:t>Remedial amendment to references in the Tax Administration Act 1994</w:t>
      </w:r>
    </w:p>
    <w:p w14:paraId="461D79C0" w14:textId="77777777" w:rsidR="00CC3FC2" w:rsidRPr="00FD6910" w:rsidRDefault="00CC3FC2" w:rsidP="00CC3FC2">
      <w:pPr>
        <w:pStyle w:val="NumberedParagraph"/>
      </w:pPr>
      <w:r>
        <w:t>The Tax Administration Act 1994 includes an information disclosure provision which allows information to be disclosed between authorised persons for the purposes of the tax information provisions in the Land Transfer Act. The current legislation refers to the relevant provisions in the Land Transfer Act 1952, which has been superseded by the Land Transfer Act 2017. We consider this reference should be updated to reflect the current provisions in the Land Transfer Act 2017.</w:t>
      </w:r>
    </w:p>
    <w:p w14:paraId="169B3982" w14:textId="77777777" w:rsidR="001E70AA" w:rsidRDefault="001E70AA" w:rsidP="001E70AA">
      <w:pPr>
        <w:pStyle w:val="Table-Heading"/>
      </w:pPr>
      <w:r>
        <w:t>Opportunities for process simplification</w:t>
      </w:r>
    </w:p>
    <w:p w14:paraId="5BF9EA12" w14:textId="45AEDF9C" w:rsidR="001E70AA" w:rsidRDefault="00203FA0" w:rsidP="00203FA0">
      <w:pPr>
        <w:pStyle w:val="NumberedParagraph"/>
      </w:pPr>
      <w:r w:rsidRPr="00C2683F">
        <w:t>Removing the main home exemption will provide an opportunity to</w:t>
      </w:r>
      <w:r w:rsidR="00550A56">
        <w:t xml:space="preserve"> re-design and</w:t>
      </w:r>
      <w:r w:rsidRPr="00C2683F">
        <w:t xml:space="preserve"> simplify the Land Transfer Tax Statement </w:t>
      </w:r>
      <w:r w:rsidR="008C7394">
        <w:t xml:space="preserve">and other </w:t>
      </w:r>
      <w:r w:rsidRPr="00C2683F">
        <w:t>form</w:t>
      </w:r>
      <w:r w:rsidR="008C7394">
        <w:t>s before the proposed amendments come into force</w:t>
      </w:r>
      <w:r w:rsidRPr="00C2683F">
        <w:t xml:space="preserve">. </w:t>
      </w:r>
    </w:p>
    <w:p w14:paraId="10DD4253" w14:textId="77777777" w:rsidR="001E70AA" w:rsidRDefault="001E70AA" w:rsidP="00A106E2">
      <w:pPr>
        <w:pStyle w:val="NumberedParagraph"/>
      </w:pPr>
      <w:r>
        <w:t xml:space="preserve">We also consider that there are other opportunities for simplification of the process, </w:t>
      </w:r>
      <w:r w:rsidRPr="001E70AA">
        <w:t>such as</w:t>
      </w:r>
      <w:r w:rsidR="00B1444C">
        <w:t>:</w:t>
      </w:r>
    </w:p>
    <w:p w14:paraId="134619F6" w14:textId="4060E3AC" w:rsidR="00B1444C" w:rsidRDefault="00B1444C" w:rsidP="00B1444C">
      <w:pPr>
        <w:pStyle w:val="BulletedParagraphIndented"/>
      </w:pPr>
      <w:r>
        <w:t>Allowing direct provision of tax information from LINZ to Statistics NZ.</w:t>
      </w:r>
      <w:r w:rsidR="00CB4FC3">
        <w:t xml:space="preserve"> </w:t>
      </w:r>
      <w:bookmarkStart w:id="14" w:name="_Hlk7602162"/>
      <w:r w:rsidR="00CB4FC3" w:rsidRPr="001E7651">
        <w:t xml:space="preserve">(Statistics NZ </w:t>
      </w:r>
      <w:r w:rsidR="00D333D6" w:rsidRPr="001E7651">
        <w:t xml:space="preserve">publish quarterly </w:t>
      </w:r>
      <w:r w:rsidR="00F42649" w:rsidRPr="001E7651">
        <w:t>property transfer statistics based mainly on Land Transfer Tax Statements</w:t>
      </w:r>
      <w:r w:rsidR="00CB4FC3" w:rsidRPr="001E7651">
        <w:t>)</w:t>
      </w:r>
      <w:bookmarkEnd w:id="14"/>
    </w:p>
    <w:p w14:paraId="035EA180" w14:textId="222CEB4E" w:rsidR="00B1444C" w:rsidRDefault="00B1444C" w:rsidP="00B1444C">
      <w:pPr>
        <w:pStyle w:val="BulletedParagraphIndented"/>
      </w:pPr>
      <w:r>
        <w:t xml:space="preserve">Clarifying the provisions relating to citizenship and visa status </w:t>
      </w:r>
      <w:r w:rsidR="00B73709">
        <w:t>in</w:t>
      </w:r>
      <w:r>
        <w:t xml:space="preserve"> the Land Transfer Act 2017, as the present provisions create some uncertainty about what information is being sought.</w:t>
      </w:r>
    </w:p>
    <w:p w14:paraId="606668A4" w14:textId="77777777" w:rsidR="00B1444C" w:rsidRDefault="00B1444C" w:rsidP="00B1444C">
      <w:pPr>
        <w:pStyle w:val="BulletedParagraphIndented"/>
      </w:pPr>
      <w:r>
        <w:t>Making all transfers by executors and administrators non-notifiable.</w:t>
      </w:r>
    </w:p>
    <w:p w14:paraId="53C93DCF" w14:textId="77777777" w:rsidR="00B1444C" w:rsidRDefault="00B1444C" w:rsidP="00B1444C">
      <w:pPr>
        <w:pStyle w:val="BulletedParagraphIndented"/>
      </w:pPr>
      <w:r>
        <w:t>Considering whether transfers by foreign governments should be non-notifiable.</w:t>
      </w:r>
    </w:p>
    <w:p w14:paraId="6A550D0E" w14:textId="4401936D" w:rsidR="00B1444C" w:rsidRDefault="00B1444C" w:rsidP="00A106E2">
      <w:pPr>
        <w:pStyle w:val="NumberedParagraph"/>
      </w:pPr>
      <w:r>
        <w:t xml:space="preserve">These potential improvements could be considered as </w:t>
      </w:r>
      <w:r w:rsidR="004C5E84">
        <w:t xml:space="preserve">a separate project </w:t>
      </w:r>
      <w:r w:rsidR="00FC08F3">
        <w:t xml:space="preserve">over a longer period of time. </w:t>
      </w:r>
      <w:r w:rsidR="00683B4E">
        <w:t xml:space="preserve">Part of this work could also include consideration of whether the sale price </w:t>
      </w:r>
      <w:r w:rsidR="004C5E84">
        <w:t>could</w:t>
      </w:r>
      <w:r w:rsidR="00683B4E">
        <w:t xml:space="preserve"> be collected as part of the Land Transfer Tax Statement</w:t>
      </w:r>
      <w:r w:rsidR="00B73709">
        <w:t xml:space="preserve">.  </w:t>
      </w:r>
    </w:p>
    <w:p w14:paraId="5BE2D0A3" w14:textId="7200CEBF" w:rsidR="000E4483" w:rsidRDefault="00A32320" w:rsidP="00166387">
      <w:pPr>
        <w:pStyle w:val="Table-Heading"/>
      </w:pPr>
      <w:r>
        <w:t>L</w:t>
      </w:r>
      <w:r w:rsidR="000E4483" w:rsidRPr="00045ED0">
        <w:t>egislative vehicle</w:t>
      </w:r>
    </w:p>
    <w:p w14:paraId="276AF567" w14:textId="24D9BD4D" w:rsidR="003C76BA" w:rsidRDefault="00F848A7" w:rsidP="00166387">
      <w:pPr>
        <w:pStyle w:val="NumberedParagraph"/>
      </w:pPr>
      <w:r>
        <w:t xml:space="preserve">We have drafted the Cabinet paper on the basis that the </w:t>
      </w:r>
      <w:r w:rsidR="00A6312B">
        <w:t xml:space="preserve">amendments should be included in the Taxation (Annual Rates for 2019-20, GST Offshore Supplier Registration, and Remedial Matters) Bill by way of a Supplementary Order Paper introduced at the Committee of the </w:t>
      </w:r>
      <w:r w:rsidR="002B276B">
        <w:t>w</w:t>
      </w:r>
      <w:r w:rsidR="00A6312B">
        <w:t>hole House stag</w:t>
      </w:r>
      <w:r w:rsidR="00FC08F3">
        <w:t>e</w:t>
      </w:r>
      <w:r w:rsidR="003C76BA">
        <w:t>.</w:t>
      </w:r>
    </w:p>
    <w:p w14:paraId="4D553161" w14:textId="1D3E05BA" w:rsidR="00F848A7" w:rsidRDefault="00E55945" w:rsidP="00166387">
      <w:pPr>
        <w:pStyle w:val="NumberedParagraph"/>
      </w:pPr>
      <w:r>
        <w:t>I</w:t>
      </w:r>
      <w:r w:rsidR="003C76BA">
        <w:t xml:space="preserve">ntroducing the amendments as soon as possible will enable </w:t>
      </w:r>
      <w:r w:rsidR="00214DA2">
        <w:t xml:space="preserve">the Government to </w:t>
      </w:r>
      <w:r w:rsidR="003C76BA">
        <w:t>send an immediate signal that the</w:t>
      </w:r>
      <w:r w:rsidR="00214DA2">
        <w:t>y are</w:t>
      </w:r>
      <w:r w:rsidR="003C76BA">
        <w:t xml:space="preserve"> committed to addressing property speculation</w:t>
      </w:r>
      <w:r w:rsidR="00214DA2">
        <w:t xml:space="preserve"> and will closely follow the Government’s announced response to the Tax Working Group’s recommendations.</w:t>
      </w:r>
      <w:r w:rsidR="003C76BA">
        <w:t xml:space="preserve"> </w:t>
      </w:r>
      <w:r w:rsidR="009A1349">
        <w:t>T</w:t>
      </w:r>
      <w:r w:rsidR="003C76BA">
        <w:t xml:space="preserve">he amendments could have a commencement date </w:t>
      </w:r>
      <w:r>
        <w:t>of 1 April 2020.</w:t>
      </w:r>
      <w:r w:rsidR="00396BE8">
        <w:t xml:space="preserve"> </w:t>
      </w:r>
      <w:r w:rsidR="003C76BA">
        <w:t>This</w:t>
      </w:r>
      <w:r w:rsidR="008356E7">
        <w:t xml:space="preserve"> delayed commencement date</w:t>
      </w:r>
      <w:r w:rsidR="003C76BA">
        <w:t xml:space="preserve"> would allow time to consult with stakeholders</w:t>
      </w:r>
      <w:r w:rsidR="00396BE8">
        <w:t>,</w:t>
      </w:r>
      <w:r w:rsidR="003C76BA">
        <w:t xml:space="preserve"> such as the New Zealand Law Society</w:t>
      </w:r>
      <w:r w:rsidR="00396BE8">
        <w:t>,</w:t>
      </w:r>
      <w:r w:rsidR="003C76BA">
        <w:t xml:space="preserve"> on the design of the form and process implications before the legislation comes into force. </w:t>
      </w:r>
      <w:r w:rsidR="00BC06E5">
        <w:t>In addition</w:t>
      </w:r>
      <w:r w:rsidR="00385ACC">
        <w:t>,</w:t>
      </w:r>
      <w:r w:rsidR="00BC06E5">
        <w:t xml:space="preserve"> this commencement date provides the </w:t>
      </w:r>
      <w:r w:rsidR="001736FC">
        <w:t>require</w:t>
      </w:r>
      <w:r w:rsidR="00BC06E5">
        <w:t>d</w:t>
      </w:r>
      <w:r w:rsidR="001736FC">
        <w:t xml:space="preserve"> lead-in time of six months in order to made necessary changes to Landonline. </w:t>
      </w:r>
    </w:p>
    <w:p w14:paraId="58544295" w14:textId="098FB8E3" w:rsidR="0067208C" w:rsidRDefault="002B7FA5" w:rsidP="00166387">
      <w:pPr>
        <w:pStyle w:val="NumberedParagraph"/>
      </w:pPr>
      <w:r>
        <w:t xml:space="preserve">An alternative </w:t>
      </w:r>
      <w:r w:rsidR="00E70B53">
        <w:t>legislative option</w:t>
      </w:r>
      <w:r>
        <w:t xml:space="preserve"> </w:t>
      </w:r>
      <w:r w:rsidR="00562F44">
        <w:t>w</w:t>
      </w:r>
      <w:r>
        <w:t>ould be to i</w:t>
      </w:r>
      <w:r w:rsidR="000E4483">
        <w:t>nclude</w:t>
      </w:r>
      <w:r>
        <w:t xml:space="preserve"> the amendment</w:t>
      </w:r>
      <w:r w:rsidR="000E4483">
        <w:t xml:space="preserve"> in </w:t>
      </w:r>
      <w:r>
        <w:t>an</w:t>
      </w:r>
      <w:r w:rsidR="000E4483">
        <w:t xml:space="preserve"> omnibus tax bill scheduled for introduction in June/July of 2019. </w:t>
      </w:r>
      <w:r w:rsidR="001558D1">
        <w:t>T</w:t>
      </w:r>
      <w:r w:rsidR="00214DA2">
        <w:t xml:space="preserve">he advantage </w:t>
      </w:r>
      <w:r w:rsidR="00104650">
        <w:t>of</w:t>
      </w:r>
      <w:r w:rsidR="00214DA2">
        <w:t xml:space="preserve"> t</w:t>
      </w:r>
      <w:r w:rsidR="001558D1">
        <w:t>his</w:t>
      </w:r>
      <w:r w:rsidR="00214DA2">
        <w:t xml:space="preserve"> </w:t>
      </w:r>
      <w:r w:rsidR="00DD4C01">
        <w:t>option</w:t>
      </w:r>
      <w:r w:rsidR="001558D1">
        <w:t xml:space="preserve"> </w:t>
      </w:r>
      <w:r w:rsidR="00B10BD9">
        <w:t xml:space="preserve">is that it </w:t>
      </w:r>
      <w:r w:rsidR="00166387">
        <w:t>would provide the opportunity for the propos</w:t>
      </w:r>
      <w:r w:rsidR="00EE3471">
        <w:t>ed legislation</w:t>
      </w:r>
      <w:r w:rsidR="00166387">
        <w:t xml:space="preserve"> to go through the select committee process</w:t>
      </w:r>
      <w:r w:rsidR="00226ABD">
        <w:t xml:space="preserve"> and would reduce the risk of unintended consequences.</w:t>
      </w:r>
      <w:r w:rsidR="00214DA2">
        <w:t xml:space="preserve"> </w:t>
      </w:r>
      <w:r w:rsidR="00226ABD">
        <w:t>H</w:t>
      </w:r>
      <w:r w:rsidR="00214DA2">
        <w:t>owever</w:t>
      </w:r>
      <w:r w:rsidR="00385ACC">
        <w:t>,</w:t>
      </w:r>
      <w:r w:rsidR="00214DA2">
        <w:t xml:space="preserve"> this would delay the Government’s decision to legislate and act on the recommendation made by the Tax Working Group.</w:t>
      </w:r>
      <w:r w:rsidR="00EE3471">
        <w:t xml:space="preserve"> If this legislative vehicle is chosen, the amendments could have a commencement date of </w:t>
      </w:r>
      <w:r w:rsidR="00562F44">
        <w:t xml:space="preserve">1 October 2020. </w:t>
      </w:r>
    </w:p>
    <w:p w14:paraId="0C1402FF" w14:textId="4541F1C2" w:rsidR="00DD4C01" w:rsidRDefault="00DD4C01" w:rsidP="00166387">
      <w:pPr>
        <w:pStyle w:val="NumberedParagraph"/>
      </w:pPr>
      <w:r>
        <w:lastRenderedPageBreak/>
        <w:t>The key trade-off between these two options is the ability to bring the proposal in</w:t>
      </w:r>
      <w:r w:rsidR="0097146E">
        <w:t>to</w:t>
      </w:r>
      <w:r>
        <w:t xml:space="preserve"> effect as soon as practicable (1 April 2020 compared with 1 October 2020 or later) and the opportunity for the proposed legislative amendments to go through consultation as part of the select committee process. Under both options, we would consult with key stakeholders on the design of the form before the amendment comes into force.</w:t>
      </w:r>
    </w:p>
    <w:p w14:paraId="0DE46790" w14:textId="6E1622CC" w:rsidR="00396BE8" w:rsidRDefault="006A1CC6" w:rsidP="00166387">
      <w:pPr>
        <w:pStyle w:val="NumberedParagraph"/>
      </w:pPr>
      <w:r>
        <w:t>To mitigate the risk of unintended consequences</w:t>
      </w:r>
      <w:r w:rsidR="00226ABD">
        <w:t xml:space="preserve"> that may arise due to including the changes by SOP</w:t>
      </w:r>
      <w:r>
        <w:t>, o</w:t>
      </w:r>
      <w:r w:rsidR="00346908">
        <w:t xml:space="preserve">fficials propose to consult with key stakeholders (such as New Zealand Law </w:t>
      </w:r>
      <w:r>
        <w:t>Society</w:t>
      </w:r>
      <w:r w:rsidR="00346908">
        <w:t xml:space="preserve"> and A</w:t>
      </w:r>
      <w:r>
        <w:t xml:space="preserve">uckland </w:t>
      </w:r>
      <w:r w:rsidR="00346908">
        <w:t>D</w:t>
      </w:r>
      <w:r>
        <w:t xml:space="preserve">istrict </w:t>
      </w:r>
      <w:r w:rsidR="00346908">
        <w:t>L</w:t>
      </w:r>
      <w:r>
        <w:t xml:space="preserve">aw </w:t>
      </w:r>
      <w:r w:rsidR="00346908">
        <w:t>S</w:t>
      </w:r>
      <w:r>
        <w:t>ociety</w:t>
      </w:r>
      <w:r w:rsidR="00346908">
        <w:t xml:space="preserve">) </w:t>
      </w:r>
      <w:r>
        <w:t xml:space="preserve">on the drafting of the SOP </w:t>
      </w:r>
      <w:r w:rsidR="00346908">
        <w:t xml:space="preserve">at the earliest possible date. </w:t>
      </w:r>
    </w:p>
    <w:p w14:paraId="042A7AFB" w14:textId="77777777" w:rsidR="00396BE8" w:rsidRDefault="00396BE8">
      <w:pPr>
        <w:spacing w:after="160" w:line="259" w:lineRule="auto"/>
        <w:jc w:val="left"/>
        <w:rPr>
          <w:szCs w:val="23"/>
          <w:lang w:eastAsia="en-NZ"/>
        </w:rPr>
      </w:pPr>
      <w:r>
        <w:br w:type="page"/>
      </w:r>
    </w:p>
    <w:p w14:paraId="00493B93" w14:textId="77777777" w:rsidR="00811AC6" w:rsidRDefault="00811AC6" w:rsidP="00A2547F">
      <w:pPr>
        <w:pStyle w:val="Heading1"/>
      </w:pPr>
      <w:r>
        <w:lastRenderedPageBreak/>
        <w:t>Recommended action</w:t>
      </w:r>
    </w:p>
    <w:p w14:paraId="147F2E14" w14:textId="77777777" w:rsidR="00811AC6" w:rsidRDefault="00811AC6" w:rsidP="005C6B70">
      <w:r>
        <w:t>We recommend that you:</w:t>
      </w:r>
    </w:p>
    <w:p w14:paraId="6E17672B" w14:textId="77777777" w:rsidR="00CC36B2" w:rsidRDefault="00CC36B2" w:rsidP="005C6B70"/>
    <w:p w14:paraId="12DDC3C8" w14:textId="662A30D2" w:rsidR="000D5CE6" w:rsidRDefault="000D5CE6" w:rsidP="000D5CE6">
      <w:pPr>
        <w:pStyle w:val="NumberedParagraph"/>
      </w:pPr>
      <w:r w:rsidRPr="000D5CE6">
        <w:rPr>
          <w:rStyle w:val="Strong"/>
        </w:rPr>
        <w:t>agree</w:t>
      </w:r>
      <w:r w:rsidR="00AA6A45">
        <w:t xml:space="preserve"> to remove the exemption from providing a person’s IRD number and</w:t>
      </w:r>
      <w:r w:rsidR="004C104A">
        <w:t>,</w:t>
      </w:r>
      <w:r w:rsidR="00AA6A45">
        <w:t xml:space="preserve"> if applicable</w:t>
      </w:r>
      <w:r w:rsidR="004C104A">
        <w:t>,</w:t>
      </w:r>
      <w:r w:rsidR="00AA6A45">
        <w:t xml:space="preserve"> any </w:t>
      </w:r>
      <w:r w:rsidR="00346908">
        <w:t>t</w:t>
      </w:r>
      <w:r w:rsidR="00AA6A45">
        <w:t xml:space="preserve">ax </w:t>
      </w:r>
      <w:r w:rsidR="00346908">
        <w:t>i</w:t>
      </w:r>
      <w:r w:rsidR="00AA6A45">
        <w:t xml:space="preserve">dentification </w:t>
      </w:r>
      <w:r w:rsidR="00346908">
        <w:t>n</w:t>
      </w:r>
      <w:r w:rsidR="00AA6A45">
        <w:t xml:space="preserve">umbers when </w:t>
      </w:r>
      <w:r w:rsidR="00CB4FC3">
        <w:t>a</w:t>
      </w:r>
      <w:r w:rsidR="00AA6A45">
        <w:t xml:space="preserve"> transfer of property relates to the person’s main home.</w:t>
      </w:r>
    </w:p>
    <w:p w14:paraId="60AC8F92" w14:textId="77777777" w:rsidR="000D5CE6" w:rsidRDefault="000D5CE6" w:rsidP="000D5CE6">
      <w:pPr>
        <w:pStyle w:val="Decision"/>
      </w:pPr>
      <w:r w:rsidRPr="000D5CE6">
        <w:t>Agreed/Not agreed</w:t>
      </w:r>
    </w:p>
    <w:p w14:paraId="570CAB8E" w14:textId="77777777" w:rsidR="00562F44" w:rsidRDefault="00562F44" w:rsidP="00562F44">
      <w:pPr>
        <w:pStyle w:val="NumberedParagraph"/>
      </w:pPr>
      <w:r w:rsidRPr="000D5CE6">
        <w:rPr>
          <w:rStyle w:val="Strong"/>
        </w:rPr>
        <w:t>agree</w:t>
      </w:r>
      <w:r>
        <w:t xml:space="preserve"> to include an indicator on the Land Transfer Tax Statement to identify whether it is the person’s main home.</w:t>
      </w:r>
    </w:p>
    <w:p w14:paraId="1C1E466C" w14:textId="77777777" w:rsidR="00562F44" w:rsidRDefault="00562F44" w:rsidP="00562F44">
      <w:pPr>
        <w:pStyle w:val="Decision"/>
      </w:pPr>
      <w:r w:rsidRPr="000D5CE6">
        <w:t>Agreed/Not agreed</w:t>
      </w:r>
    </w:p>
    <w:p w14:paraId="50805CEC" w14:textId="66BFA865" w:rsidR="00DA0825" w:rsidRDefault="00DA0825" w:rsidP="00DA0825">
      <w:pPr>
        <w:pStyle w:val="NumberedParagraph"/>
      </w:pPr>
      <w:r w:rsidRPr="000D5CE6">
        <w:rPr>
          <w:rStyle w:val="Strong"/>
        </w:rPr>
        <w:t>agree</w:t>
      </w:r>
      <w:r>
        <w:t xml:space="preserve"> to a related remedial amendment </w:t>
      </w:r>
      <w:r w:rsidR="004C104A">
        <w:t>to</w:t>
      </w:r>
      <w:r>
        <w:t xml:space="preserve"> the Tax Administration Act 1994 to replace the reference to the Land Transfer Act 1952 with a reference to the current section in the Land Transfer Act 2017. </w:t>
      </w:r>
    </w:p>
    <w:p w14:paraId="6779B2B5" w14:textId="52BF5A68" w:rsidR="00DA0825" w:rsidRDefault="00DA0825" w:rsidP="00DA0825">
      <w:pPr>
        <w:pStyle w:val="Decision"/>
      </w:pPr>
      <w:r w:rsidRPr="000D5CE6">
        <w:t>Agreed/Not agreed</w:t>
      </w:r>
    </w:p>
    <w:p w14:paraId="6085DD44" w14:textId="64A2FA62" w:rsidR="00E13D23" w:rsidRDefault="009803FD" w:rsidP="00E13D23">
      <w:pPr>
        <w:pStyle w:val="NumberedParagraph"/>
      </w:pPr>
      <w:r>
        <w:rPr>
          <w:rStyle w:val="Strong"/>
        </w:rPr>
        <w:t>agree</w:t>
      </w:r>
      <w:r>
        <w:t xml:space="preserve"> to include the amendments above in </w:t>
      </w:r>
      <w:r w:rsidR="00E13D23">
        <w:t xml:space="preserve">a Supplementary Order Paper to the Taxation (Annual Rates for 2019-20, GST Offshore Supplier Registration, and Remedial Matters) Bill at </w:t>
      </w:r>
      <w:r w:rsidR="005047BD">
        <w:t xml:space="preserve">the </w:t>
      </w:r>
      <w:r w:rsidR="00E13D23">
        <w:t xml:space="preserve">Committee of the </w:t>
      </w:r>
      <w:r w:rsidR="002B276B">
        <w:t>w</w:t>
      </w:r>
      <w:r w:rsidR="00E13D23">
        <w:t>hole House stage.</w:t>
      </w:r>
    </w:p>
    <w:p w14:paraId="602F3555" w14:textId="43CB3185" w:rsidR="009803FD" w:rsidRDefault="009803FD" w:rsidP="009803FD">
      <w:pPr>
        <w:pStyle w:val="Decision"/>
      </w:pPr>
      <w:r>
        <w:t>Agreed/Not agreed</w:t>
      </w:r>
    </w:p>
    <w:p w14:paraId="0EA08F97" w14:textId="42CA0052" w:rsidR="00680D5D" w:rsidRPr="000D5CE6" w:rsidRDefault="00680D5D" w:rsidP="00680D5D">
      <w:pPr>
        <w:pStyle w:val="NumberedParagraph"/>
      </w:pPr>
      <w:r w:rsidRPr="00680D5D">
        <w:rPr>
          <w:b/>
        </w:rPr>
        <w:t>agree</w:t>
      </w:r>
      <w:r>
        <w:t xml:space="preserve"> that key stakeholders should be consulted </w:t>
      </w:r>
      <w:r w:rsidR="006A1CC6">
        <w:t>on the drafting of the SOP</w:t>
      </w:r>
      <w:r>
        <w:t>.</w:t>
      </w:r>
    </w:p>
    <w:p w14:paraId="653788F1" w14:textId="647E8DE7" w:rsidR="00680D5D" w:rsidRDefault="00680D5D" w:rsidP="009803FD">
      <w:pPr>
        <w:pStyle w:val="Decision"/>
      </w:pPr>
      <w:r>
        <w:t>Agreed/Not agreed</w:t>
      </w:r>
    </w:p>
    <w:p w14:paraId="42C9B5F3" w14:textId="2683995E" w:rsidR="00562F44" w:rsidRDefault="00562F44" w:rsidP="009803FD">
      <w:pPr>
        <w:pStyle w:val="NumberedParagraph"/>
      </w:pPr>
      <w:r w:rsidRPr="000D5CE6">
        <w:rPr>
          <w:rStyle w:val="Strong"/>
        </w:rPr>
        <w:t>authorise</w:t>
      </w:r>
      <w:r>
        <w:t xml:space="preserve"> the lodgement of the attached Cabinet paper</w:t>
      </w:r>
      <w:r w:rsidR="009438C3">
        <w:t xml:space="preserve"> (following any amendments you make)</w:t>
      </w:r>
      <w:r>
        <w:t xml:space="preserve"> with the Cabinet Office by 10 am Thursday 16 May for the Cabinet Economic Development Committee to consider at its meeting on 22 May 2019;</w:t>
      </w:r>
    </w:p>
    <w:p w14:paraId="4F561035" w14:textId="756E5A2C" w:rsidR="00562F44" w:rsidRDefault="00562F44" w:rsidP="00562F44">
      <w:pPr>
        <w:pStyle w:val="Decision"/>
      </w:pPr>
      <w:r w:rsidRPr="000D5CE6">
        <w:t>Authorised/Not authorised</w:t>
      </w:r>
    </w:p>
    <w:p w14:paraId="29A2D390" w14:textId="77777777" w:rsidR="000D5CE6" w:rsidRDefault="000D5CE6" w:rsidP="008331C2"/>
    <w:p w14:paraId="669B063D" w14:textId="2B9B5BE8" w:rsidR="008331C2" w:rsidRDefault="008331C2" w:rsidP="008331C2"/>
    <w:p w14:paraId="0221ADE0" w14:textId="77777777" w:rsidR="00757B3B" w:rsidRDefault="00757B3B" w:rsidP="008331C2"/>
    <w:p w14:paraId="644B4493" w14:textId="77777777" w:rsidR="008331C2" w:rsidRPr="008331C2" w:rsidRDefault="008331C2" w:rsidP="008331C2"/>
    <w:p w14:paraId="3692A341" w14:textId="4EC74660" w:rsidR="00811AC6" w:rsidRPr="00D27F99" w:rsidRDefault="00D27F99" w:rsidP="00D27F99">
      <w:pPr>
        <w:shd w:val="clear" w:color="auto" w:fill="D9D9D9" w:themeFill="background1" w:themeFillShade="D9"/>
        <w:tabs>
          <w:tab w:val="left" w:pos="4536"/>
        </w:tabs>
        <w:ind w:right="6802"/>
        <w:rPr>
          <w:b/>
        </w:rPr>
      </w:pPr>
      <w:r>
        <w:rPr>
          <w:rStyle w:val="Strong"/>
          <w:b w:val="0"/>
        </w:rPr>
        <w:t xml:space="preserve">s 9(2)(a)                  </w:t>
      </w:r>
    </w:p>
    <w:p w14:paraId="328DC503" w14:textId="17E34C64" w:rsidR="00811AC6" w:rsidRDefault="00AE7357" w:rsidP="006222B9">
      <w:pPr>
        <w:tabs>
          <w:tab w:val="left" w:pos="4536"/>
        </w:tabs>
      </w:pPr>
      <w:r>
        <w:t>Senior Policy Advisor</w:t>
      </w:r>
    </w:p>
    <w:p w14:paraId="03CBDA1D" w14:textId="77777777" w:rsidR="00811AC6" w:rsidRDefault="00811AC6" w:rsidP="008331C2">
      <w:pPr>
        <w:tabs>
          <w:tab w:val="left" w:pos="4536"/>
        </w:tabs>
      </w:pPr>
      <w:r>
        <w:t>Policy and Strategy</w:t>
      </w:r>
    </w:p>
    <w:p w14:paraId="3E7B2BBB" w14:textId="77777777" w:rsidR="00811AC6" w:rsidRDefault="00811AC6" w:rsidP="00811AC6"/>
    <w:p w14:paraId="16496A52" w14:textId="77777777" w:rsidR="00811AC6" w:rsidRDefault="00811AC6" w:rsidP="00811AC6"/>
    <w:p w14:paraId="198086E9" w14:textId="77777777" w:rsidR="008331C2" w:rsidRDefault="008331C2" w:rsidP="00811AC6"/>
    <w:p w14:paraId="7177DE1C" w14:textId="77777777" w:rsidR="008331C2" w:rsidRDefault="008331C2" w:rsidP="00811AC6"/>
    <w:p w14:paraId="1E90CCB0" w14:textId="77777777" w:rsidR="00811AC6" w:rsidRDefault="00811AC6" w:rsidP="008331C2">
      <w:pPr>
        <w:tabs>
          <w:tab w:val="left" w:pos="4536"/>
        </w:tabs>
      </w:pPr>
      <w:r w:rsidRPr="008331C2">
        <w:rPr>
          <w:rStyle w:val="Strong"/>
        </w:rPr>
        <w:t>Hon Stuart Nash</w:t>
      </w:r>
    </w:p>
    <w:p w14:paraId="340940CC" w14:textId="77777777" w:rsidR="00811AC6" w:rsidRDefault="00811AC6" w:rsidP="008331C2">
      <w:pPr>
        <w:tabs>
          <w:tab w:val="left" w:pos="4536"/>
        </w:tabs>
      </w:pPr>
      <w:r>
        <w:t>Minister of Revenue</w:t>
      </w:r>
    </w:p>
    <w:p w14:paraId="5AF1FFBC" w14:textId="58530609" w:rsidR="00D76BB4" w:rsidRDefault="008331C2" w:rsidP="001B429A">
      <w:pPr>
        <w:tabs>
          <w:tab w:val="left" w:pos="4536"/>
        </w:tabs>
      </w:pPr>
      <w:r>
        <w:t xml:space="preserve">       </w:t>
      </w:r>
      <w:r w:rsidR="00811AC6">
        <w:t>/       /20</w:t>
      </w:r>
      <w:r w:rsidR="00C74008">
        <w:t>19</w:t>
      </w:r>
      <w:bookmarkStart w:id="15" w:name="_GoBack"/>
      <w:bookmarkEnd w:id="15"/>
    </w:p>
    <w:sectPr w:rsidR="00D76BB4" w:rsidSect="00E331E1">
      <w:headerReference w:type="default"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B974" w14:textId="77777777" w:rsidR="00B1444C" w:rsidRDefault="00B1444C" w:rsidP="002F43C5">
      <w:pPr>
        <w:spacing w:line="240" w:lineRule="auto"/>
      </w:pPr>
      <w:r>
        <w:separator/>
      </w:r>
    </w:p>
  </w:endnote>
  <w:endnote w:type="continuationSeparator" w:id="0">
    <w:p w14:paraId="415BC9D9" w14:textId="77777777" w:rsidR="00B1444C" w:rsidRDefault="00B1444C"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E5BD" w14:textId="77777777" w:rsidR="00B1444C" w:rsidRDefault="00B1444C">
    <w:pPr>
      <w:pStyle w:val="Footer"/>
    </w:pPr>
    <w:r>
      <w:rPr>
        <w:noProof/>
      </w:rPr>
      <mc:AlternateContent>
        <mc:Choice Requires="wps">
          <w:drawing>
            <wp:anchor distT="0" distB="0" distL="114300" distR="114300" simplePos="0" relativeHeight="251659264" behindDoc="0" locked="0" layoutInCell="0" allowOverlap="1" wp14:anchorId="4965C252" wp14:editId="5FDC996E">
              <wp:simplePos x="0" y="0"/>
              <wp:positionH relativeFrom="page">
                <wp:posOffset>0</wp:posOffset>
              </wp:positionH>
              <wp:positionV relativeFrom="page">
                <wp:posOffset>10234930</wp:posOffset>
              </wp:positionV>
              <wp:extent cx="7560310" cy="266700"/>
              <wp:effectExtent l="0" t="0" r="0" b="0"/>
              <wp:wrapNone/>
              <wp:docPr id="2" name="MSIPCMd16a480cae2d6163b9ea4f8f"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38C64" w14:textId="77777777" w:rsidR="00B1444C" w:rsidRPr="000E4483" w:rsidRDefault="00B1444C" w:rsidP="000E4483">
                          <w:pPr>
                            <w:jc w:val="center"/>
                            <w:rPr>
                              <w:color w:val="000000"/>
                            </w:rPr>
                          </w:pPr>
                          <w:r w:rsidRPr="000E4483">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65C252" id="_x0000_t202" coordsize="21600,21600" o:spt="202" path="m,l,21600r21600,l21600,xe">
              <v:stroke joinstyle="miter"/>
              <v:path gradientshapeok="t" o:connecttype="rect"/>
            </v:shapetype>
            <v:shape id="MSIPCMd16a480cae2d6163b9ea4f8f"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PFwMAADU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BLG/oPFwMAADUGAAAOAAAAAAAAAAAAAAAA&#10;AC4CAABkcnMvZTJvRG9jLnhtbFBLAQItABQABgAIAAAAIQCDso8r3wAAAAsBAAAPAAAAAAAAAAAA&#10;AAAAAHEFAABkcnMvZG93bnJldi54bWxQSwUGAAAAAAQABADzAAAAfQYAAAAA&#10;" o:allowincell="f" filled="f" stroked="f" strokeweight=".5pt">
              <v:textbox inset=",0,,0">
                <w:txbxContent>
                  <w:p w14:paraId="4FA38C64" w14:textId="77777777" w:rsidR="00B1444C" w:rsidRPr="000E4483" w:rsidRDefault="00B1444C" w:rsidP="000E4483">
                    <w:pPr>
                      <w:jc w:val="center"/>
                      <w:rPr>
                        <w:color w:val="000000"/>
                      </w:rPr>
                    </w:pPr>
                    <w:r w:rsidRPr="000E4483">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9532" w14:textId="25CBBA45" w:rsidR="00B1444C" w:rsidRPr="00E331E1" w:rsidRDefault="00B1444C" w:rsidP="00E331E1">
    <w:pPr>
      <w:pStyle w:val="Footer"/>
      <w:tabs>
        <w:tab w:val="clear" w:pos="4513"/>
      </w:tabs>
    </w:pPr>
    <w:r>
      <w:rPr>
        <w:noProof/>
        <w:lang w:val="mi-NZ"/>
      </w:rPr>
      <mc:AlternateContent>
        <mc:Choice Requires="wps">
          <w:drawing>
            <wp:anchor distT="0" distB="0" distL="114300" distR="114300" simplePos="0" relativeHeight="251660288" behindDoc="0" locked="0" layoutInCell="0" allowOverlap="1" wp14:anchorId="2CF70267" wp14:editId="1B240369">
              <wp:simplePos x="0" y="0"/>
              <wp:positionH relativeFrom="page">
                <wp:posOffset>0</wp:posOffset>
              </wp:positionH>
              <wp:positionV relativeFrom="page">
                <wp:posOffset>10234930</wp:posOffset>
              </wp:positionV>
              <wp:extent cx="7560310" cy="266700"/>
              <wp:effectExtent l="0" t="0" r="0" b="0"/>
              <wp:wrapNone/>
              <wp:docPr id="3" name="MSIPCM390c412eb5372dd63c5ca074"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6B7C4B" w14:textId="77777777" w:rsidR="00B1444C" w:rsidRPr="000E4483" w:rsidRDefault="00B1444C" w:rsidP="000E4483">
                          <w:pPr>
                            <w:jc w:val="center"/>
                            <w:rPr>
                              <w:color w:val="000000"/>
                            </w:rPr>
                          </w:pPr>
                          <w:r w:rsidRPr="000E4483">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F70267" id="_x0000_t202" coordsize="21600,21600" o:spt="202" path="m,l,21600r21600,l21600,xe">
              <v:stroke joinstyle="miter"/>
              <v:path gradientshapeok="t" o:connecttype="rect"/>
            </v:shapetype>
            <v:shape id="MSIPCM390c412eb5372dd63c5ca074" o:spid="_x0000_s1027" type="#_x0000_t202" alt="{&quot;HashCode&quot;:404316862,&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zJGQMAADw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I+jvMkZAwAAPAYAAA4AAAAAAAAAAAAA&#10;AAAALgIAAGRycy9lMm9Eb2MueG1sUEsBAi0AFAAGAAgAAAAhAIOyjyvfAAAACwEAAA8AAAAAAAAA&#10;AAAAAAAAcwUAAGRycy9kb3ducmV2LnhtbFBLBQYAAAAABAAEAPMAAAB/BgAAAAA=&#10;" o:allowincell="f" filled="f" stroked="f" strokeweight=".5pt">
              <v:textbox inset=",0,,0">
                <w:txbxContent>
                  <w:p w14:paraId="4E6B7C4B" w14:textId="77777777" w:rsidR="00B1444C" w:rsidRPr="000E4483" w:rsidRDefault="00B1444C" w:rsidP="000E4483">
                    <w:pPr>
                      <w:jc w:val="center"/>
                      <w:rPr>
                        <w:color w:val="000000"/>
                      </w:rPr>
                    </w:pPr>
                    <w:r w:rsidRPr="000E4483">
                      <w:rPr>
                        <w:color w:val="000000"/>
                      </w:rPr>
                      <w:t>IN CONFIDENCE</w:t>
                    </w:r>
                  </w:p>
                </w:txbxContent>
              </v:textbox>
              <w10:wrap anchorx="page" anchory="page"/>
            </v:shape>
          </w:pict>
        </mc:Fallback>
      </mc:AlternateContent>
    </w:r>
    <w:r>
      <w:rPr>
        <w:lang w:val="mi-NZ"/>
      </w:rPr>
      <w:t>IR2019/</w:t>
    </w:r>
    <w:r w:rsidR="00242892">
      <w:rPr>
        <w:lang w:val="mi-NZ"/>
      </w:rPr>
      <w:t>235</w:t>
    </w:r>
    <w:r>
      <w:rPr>
        <w:lang w:val="mi-NZ"/>
      </w:rPr>
      <w:t xml:space="preserve">: </w:t>
    </w:r>
    <w:r w:rsidRPr="00C15514">
      <w:rPr>
        <w:lang w:val="mi-NZ"/>
      </w:rPr>
      <w:t>Cabinet paper – Collection of IRD numbers for the transfer of main homes</w:t>
    </w:r>
    <w:r>
      <w:rPr>
        <w:lang w:val="mi-NZ"/>
      </w:rPr>
      <w:tab/>
    </w:r>
    <w:sdt>
      <w:sdtPr>
        <w:id w:val="-2101006939"/>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Pr>
            <w:b/>
            <w:bCs/>
          </w:rPr>
          <w:instrText>SECTIONPA</w:instrText>
        </w:r>
        <w:r w:rsidRPr="00E331E1">
          <w:rPr>
            <w:b/>
            <w:bCs/>
          </w:rPr>
          <w:instrText xml:space="preserve">GES </w:instrText>
        </w:r>
        <w:r w:rsidRPr="00E331E1">
          <w:rPr>
            <w:b/>
            <w:bCs/>
          </w:rPr>
          <w:fldChar w:fldCharType="separate"/>
        </w:r>
        <w:r w:rsidR="00C67180">
          <w:rPr>
            <w:b/>
            <w:bCs/>
            <w:noProof/>
          </w:rPr>
          <w:t>5</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8103" w14:textId="77777777" w:rsidR="00B1444C" w:rsidRDefault="00B1444C" w:rsidP="002F43C5">
      <w:pPr>
        <w:spacing w:line="240" w:lineRule="auto"/>
      </w:pPr>
      <w:r>
        <w:separator/>
      </w:r>
    </w:p>
  </w:footnote>
  <w:footnote w:type="continuationSeparator" w:id="0">
    <w:p w14:paraId="0B543049" w14:textId="77777777" w:rsidR="00B1444C" w:rsidRDefault="00B1444C" w:rsidP="002F43C5">
      <w:pPr>
        <w:spacing w:line="240" w:lineRule="auto"/>
      </w:pPr>
      <w:r>
        <w:continuationSeparator/>
      </w:r>
    </w:p>
  </w:footnote>
  <w:footnote w:id="1">
    <w:p w14:paraId="1BC4E9CD" w14:textId="363412B1" w:rsidR="003A55D8" w:rsidRDefault="003A55D8" w:rsidP="003A55D8">
      <w:pPr>
        <w:pStyle w:val="FootnoteText"/>
        <w:rPr>
          <w:sz w:val="20"/>
        </w:rPr>
      </w:pPr>
      <w:r>
        <w:rPr>
          <w:rStyle w:val="FootnoteReference"/>
        </w:rPr>
        <w:t>[1]</w:t>
      </w:r>
      <w:r>
        <w:t xml:space="preserve"> Generally, a person is tax resident in another country if th</w:t>
      </w:r>
      <w:r w:rsidR="004C5E84">
        <w:t>at country imposes</w:t>
      </w:r>
      <w:r>
        <w:t xml:space="preserve"> income tax obligations </w:t>
      </w:r>
      <w:r w:rsidR="004C5E84">
        <w:t xml:space="preserve">on the person’s </w:t>
      </w:r>
      <w:r>
        <w:t>worldwide income</w:t>
      </w:r>
      <w:r w:rsidR="00104650">
        <w:t>.</w:t>
      </w:r>
    </w:p>
  </w:footnote>
  <w:footnote w:id="2">
    <w:p w14:paraId="6C4A1D7F" w14:textId="2F9D0563" w:rsidR="003A55D8" w:rsidRDefault="003A55D8" w:rsidP="003A55D8">
      <w:pPr>
        <w:pStyle w:val="FootnoteText"/>
      </w:pPr>
      <w:r>
        <w:rPr>
          <w:rStyle w:val="FootnoteReference"/>
        </w:rPr>
        <w:t>[2]</w:t>
      </w:r>
      <w:r>
        <w:t xml:space="preserve"> A </w:t>
      </w:r>
      <w:r w:rsidR="00226ABD">
        <w:t xml:space="preserve">TIN </w:t>
      </w:r>
      <w:r>
        <w:t xml:space="preserve"> is the unique identifier that is given to a taxpayer by a jurisdiction’s tax authority.  A person’s IRD number is a TIN in</w:t>
      </w:r>
      <w:r w:rsidR="004C5E84">
        <w:t xml:space="preserve"> the</w:t>
      </w:r>
      <w:r>
        <w:t xml:space="preserve"> context of New Zealand.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ecurity Classification"/>
      <w:tag w:val="Security Classification"/>
      <w:id w:val="-603806425"/>
      <w:placeholder>
        <w:docPart w:val="8B1D6F93DD084813B80687CBDADFE63A"/>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2B2A97B2" w14:textId="77777777" w:rsidR="00B1444C" w:rsidRDefault="00B1444C"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8E"/>
    <w:rsid w:val="00015EE4"/>
    <w:rsid w:val="00021BC8"/>
    <w:rsid w:val="00030D41"/>
    <w:rsid w:val="0004028D"/>
    <w:rsid w:val="00040A8C"/>
    <w:rsid w:val="00044E2B"/>
    <w:rsid w:val="0005144C"/>
    <w:rsid w:val="000663BE"/>
    <w:rsid w:val="000712EB"/>
    <w:rsid w:val="000747C1"/>
    <w:rsid w:val="000B2ED1"/>
    <w:rsid w:val="000D5CE6"/>
    <w:rsid w:val="000E4483"/>
    <w:rsid w:val="000F5720"/>
    <w:rsid w:val="00104650"/>
    <w:rsid w:val="001224C0"/>
    <w:rsid w:val="001275A0"/>
    <w:rsid w:val="00134376"/>
    <w:rsid w:val="00135242"/>
    <w:rsid w:val="00144EE3"/>
    <w:rsid w:val="001558D1"/>
    <w:rsid w:val="00164398"/>
    <w:rsid w:val="00164818"/>
    <w:rsid w:val="00166387"/>
    <w:rsid w:val="00171BF4"/>
    <w:rsid w:val="001736FC"/>
    <w:rsid w:val="001872E9"/>
    <w:rsid w:val="00192135"/>
    <w:rsid w:val="001A59DC"/>
    <w:rsid w:val="001B17B3"/>
    <w:rsid w:val="001B429A"/>
    <w:rsid w:val="001B7635"/>
    <w:rsid w:val="001C64BC"/>
    <w:rsid w:val="001D0013"/>
    <w:rsid w:val="001D2BDF"/>
    <w:rsid w:val="001D7ADB"/>
    <w:rsid w:val="001E70AA"/>
    <w:rsid w:val="001E7651"/>
    <w:rsid w:val="00201153"/>
    <w:rsid w:val="0020313D"/>
    <w:rsid w:val="00203F1B"/>
    <w:rsid w:val="00203FA0"/>
    <w:rsid w:val="00213711"/>
    <w:rsid w:val="00214DA2"/>
    <w:rsid w:val="00221AAE"/>
    <w:rsid w:val="00226ABD"/>
    <w:rsid w:val="00233663"/>
    <w:rsid w:val="00242892"/>
    <w:rsid w:val="00247909"/>
    <w:rsid w:val="00253425"/>
    <w:rsid w:val="002669B2"/>
    <w:rsid w:val="00282B88"/>
    <w:rsid w:val="00297BF7"/>
    <w:rsid w:val="002A1499"/>
    <w:rsid w:val="002B276B"/>
    <w:rsid w:val="002B7FA5"/>
    <w:rsid w:val="002C61B6"/>
    <w:rsid w:val="002D0759"/>
    <w:rsid w:val="002D4593"/>
    <w:rsid w:val="002D66C0"/>
    <w:rsid w:val="002E1F9A"/>
    <w:rsid w:val="002F43C5"/>
    <w:rsid w:val="00300E66"/>
    <w:rsid w:val="003107F5"/>
    <w:rsid w:val="003113D3"/>
    <w:rsid w:val="00317276"/>
    <w:rsid w:val="0031749B"/>
    <w:rsid w:val="00320739"/>
    <w:rsid w:val="00321878"/>
    <w:rsid w:val="00321D50"/>
    <w:rsid w:val="00323FCE"/>
    <w:rsid w:val="00337654"/>
    <w:rsid w:val="00346908"/>
    <w:rsid w:val="00367855"/>
    <w:rsid w:val="00382AF8"/>
    <w:rsid w:val="00385ACC"/>
    <w:rsid w:val="00387AEA"/>
    <w:rsid w:val="003938C0"/>
    <w:rsid w:val="00396BE8"/>
    <w:rsid w:val="00397704"/>
    <w:rsid w:val="003A280C"/>
    <w:rsid w:val="003A475E"/>
    <w:rsid w:val="003A55D8"/>
    <w:rsid w:val="003C036E"/>
    <w:rsid w:val="003C0A63"/>
    <w:rsid w:val="003C2FA4"/>
    <w:rsid w:val="003C74B0"/>
    <w:rsid w:val="003C76BA"/>
    <w:rsid w:val="003D64BA"/>
    <w:rsid w:val="0040099D"/>
    <w:rsid w:val="00425E5D"/>
    <w:rsid w:val="00445D19"/>
    <w:rsid w:val="00463488"/>
    <w:rsid w:val="00484A7F"/>
    <w:rsid w:val="00490F5B"/>
    <w:rsid w:val="004A07BE"/>
    <w:rsid w:val="004A18FC"/>
    <w:rsid w:val="004A1BB3"/>
    <w:rsid w:val="004A70A3"/>
    <w:rsid w:val="004B41C4"/>
    <w:rsid w:val="004C104A"/>
    <w:rsid w:val="004C5E84"/>
    <w:rsid w:val="004D3008"/>
    <w:rsid w:val="005047BD"/>
    <w:rsid w:val="00521F8D"/>
    <w:rsid w:val="00533BAF"/>
    <w:rsid w:val="00540821"/>
    <w:rsid w:val="00550A56"/>
    <w:rsid w:val="005531B0"/>
    <w:rsid w:val="00553A02"/>
    <w:rsid w:val="00556387"/>
    <w:rsid w:val="00562F44"/>
    <w:rsid w:val="00567F11"/>
    <w:rsid w:val="005749AC"/>
    <w:rsid w:val="0059581F"/>
    <w:rsid w:val="005A11DB"/>
    <w:rsid w:val="005B0297"/>
    <w:rsid w:val="005B0ACD"/>
    <w:rsid w:val="005B1540"/>
    <w:rsid w:val="005B202F"/>
    <w:rsid w:val="005C6B70"/>
    <w:rsid w:val="005C6DE1"/>
    <w:rsid w:val="005F0248"/>
    <w:rsid w:val="005F11E7"/>
    <w:rsid w:val="00600BBD"/>
    <w:rsid w:val="006158F4"/>
    <w:rsid w:val="00617DB7"/>
    <w:rsid w:val="006205F9"/>
    <w:rsid w:val="006222B9"/>
    <w:rsid w:val="00634425"/>
    <w:rsid w:val="0064679E"/>
    <w:rsid w:val="00647709"/>
    <w:rsid w:val="00654D05"/>
    <w:rsid w:val="00660F5C"/>
    <w:rsid w:val="0066171A"/>
    <w:rsid w:val="006617AF"/>
    <w:rsid w:val="00670CF2"/>
    <w:rsid w:val="0067208C"/>
    <w:rsid w:val="00680D5D"/>
    <w:rsid w:val="00683B4E"/>
    <w:rsid w:val="00695B2C"/>
    <w:rsid w:val="006A1CC6"/>
    <w:rsid w:val="006E31E0"/>
    <w:rsid w:val="006F2AD0"/>
    <w:rsid w:val="00705DC2"/>
    <w:rsid w:val="0070630A"/>
    <w:rsid w:val="00741490"/>
    <w:rsid w:val="00742672"/>
    <w:rsid w:val="00756B23"/>
    <w:rsid w:val="00757B3B"/>
    <w:rsid w:val="0076438A"/>
    <w:rsid w:val="00766765"/>
    <w:rsid w:val="007718D5"/>
    <w:rsid w:val="0079122A"/>
    <w:rsid w:val="007A286F"/>
    <w:rsid w:val="007B328D"/>
    <w:rsid w:val="007B4135"/>
    <w:rsid w:val="007C0037"/>
    <w:rsid w:val="007C0083"/>
    <w:rsid w:val="007C55A6"/>
    <w:rsid w:val="007D5F0A"/>
    <w:rsid w:val="007E34C4"/>
    <w:rsid w:val="007F187F"/>
    <w:rsid w:val="007F1AF0"/>
    <w:rsid w:val="007F4A2A"/>
    <w:rsid w:val="007F767F"/>
    <w:rsid w:val="00807BC5"/>
    <w:rsid w:val="00810AAA"/>
    <w:rsid w:val="00811AC6"/>
    <w:rsid w:val="008331C2"/>
    <w:rsid w:val="008356E7"/>
    <w:rsid w:val="00842C06"/>
    <w:rsid w:val="008533D1"/>
    <w:rsid w:val="00875344"/>
    <w:rsid w:val="00885F81"/>
    <w:rsid w:val="0088621D"/>
    <w:rsid w:val="00891517"/>
    <w:rsid w:val="008A05D5"/>
    <w:rsid w:val="008A134E"/>
    <w:rsid w:val="008A4739"/>
    <w:rsid w:val="008B13EE"/>
    <w:rsid w:val="008C202E"/>
    <w:rsid w:val="008C7394"/>
    <w:rsid w:val="008D4CFA"/>
    <w:rsid w:val="008E11EA"/>
    <w:rsid w:val="008E4603"/>
    <w:rsid w:val="008F6C76"/>
    <w:rsid w:val="00901BF8"/>
    <w:rsid w:val="00902568"/>
    <w:rsid w:val="00911B4F"/>
    <w:rsid w:val="0092251B"/>
    <w:rsid w:val="00941752"/>
    <w:rsid w:val="009438C3"/>
    <w:rsid w:val="00946713"/>
    <w:rsid w:val="0095048D"/>
    <w:rsid w:val="00966477"/>
    <w:rsid w:val="0097146E"/>
    <w:rsid w:val="00977E3F"/>
    <w:rsid w:val="009803FD"/>
    <w:rsid w:val="00987A2D"/>
    <w:rsid w:val="009A1349"/>
    <w:rsid w:val="009A3711"/>
    <w:rsid w:val="009B5A86"/>
    <w:rsid w:val="009D3D77"/>
    <w:rsid w:val="009E519A"/>
    <w:rsid w:val="009E77C9"/>
    <w:rsid w:val="009F21EE"/>
    <w:rsid w:val="009F7473"/>
    <w:rsid w:val="00A106E2"/>
    <w:rsid w:val="00A14160"/>
    <w:rsid w:val="00A17971"/>
    <w:rsid w:val="00A2547F"/>
    <w:rsid w:val="00A32320"/>
    <w:rsid w:val="00A34334"/>
    <w:rsid w:val="00A364AA"/>
    <w:rsid w:val="00A368B4"/>
    <w:rsid w:val="00A4036D"/>
    <w:rsid w:val="00A44784"/>
    <w:rsid w:val="00A50EF3"/>
    <w:rsid w:val="00A6312B"/>
    <w:rsid w:val="00A86B06"/>
    <w:rsid w:val="00AA252B"/>
    <w:rsid w:val="00AA6A45"/>
    <w:rsid w:val="00AB06F8"/>
    <w:rsid w:val="00AB0A89"/>
    <w:rsid w:val="00AE6216"/>
    <w:rsid w:val="00AE7357"/>
    <w:rsid w:val="00AF1A36"/>
    <w:rsid w:val="00AF670A"/>
    <w:rsid w:val="00AF6B51"/>
    <w:rsid w:val="00B10BD9"/>
    <w:rsid w:val="00B1444C"/>
    <w:rsid w:val="00B32F3A"/>
    <w:rsid w:val="00B3357D"/>
    <w:rsid w:val="00B44D46"/>
    <w:rsid w:val="00B4606D"/>
    <w:rsid w:val="00B46D01"/>
    <w:rsid w:val="00B51A24"/>
    <w:rsid w:val="00B52CB9"/>
    <w:rsid w:val="00B73500"/>
    <w:rsid w:val="00B73709"/>
    <w:rsid w:val="00B773AE"/>
    <w:rsid w:val="00B9404E"/>
    <w:rsid w:val="00B943DB"/>
    <w:rsid w:val="00BB54F6"/>
    <w:rsid w:val="00BB7924"/>
    <w:rsid w:val="00BC06E5"/>
    <w:rsid w:val="00BC55BF"/>
    <w:rsid w:val="00BD7D88"/>
    <w:rsid w:val="00BE126F"/>
    <w:rsid w:val="00BE2B82"/>
    <w:rsid w:val="00BE7532"/>
    <w:rsid w:val="00BF097A"/>
    <w:rsid w:val="00C05FE0"/>
    <w:rsid w:val="00C06ABB"/>
    <w:rsid w:val="00C10E92"/>
    <w:rsid w:val="00C11E9D"/>
    <w:rsid w:val="00C15514"/>
    <w:rsid w:val="00C21FD5"/>
    <w:rsid w:val="00C2683F"/>
    <w:rsid w:val="00C2749F"/>
    <w:rsid w:val="00C3025A"/>
    <w:rsid w:val="00C35537"/>
    <w:rsid w:val="00C425A6"/>
    <w:rsid w:val="00C44EDE"/>
    <w:rsid w:val="00C51072"/>
    <w:rsid w:val="00C54EBF"/>
    <w:rsid w:val="00C6143F"/>
    <w:rsid w:val="00C67180"/>
    <w:rsid w:val="00C710EF"/>
    <w:rsid w:val="00C74008"/>
    <w:rsid w:val="00C80393"/>
    <w:rsid w:val="00CB4FC3"/>
    <w:rsid w:val="00CC36B2"/>
    <w:rsid w:val="00CC3FC2"/>
    <w:rsid w:val="00CD24CF"/>
    <w:rsid w:val="00D00D12"/>
    <w:rsid w:val="00D02017"/>
    <w:rsid w:val="00D035A9"/>
    <w:rsid w:val="00D21313"/>
    <w:rsid w:val="00D2166E"/>
    <w:rsid w:val="00D27AD3"/>
    <w:rsid w:val="00D27F99"/>
    <w:rsid w:val="00D333D6"/>
    <w:rsid w:val="00D44445"/>
    <w:rsid w:val="00D6363A"/>
    <w:rsid w:val="00D63E1F"/>
    <w:rsid w:val="00D70B5F"/>
    <w:rsid w:val="00D7176C"/>
    <w:rsid w:val="00D71E09"/>
    <w:rsid w:val="00D744CF"/>
    <w:rsid w:val="00D76BB4"/>
    <w:rsid w:val="00D848C7"/>
    <w:rsid w:val="00DA0825"/>
    <w:rsid w:val="00DA6772"/>
    <w:rsid w:val="00DC527B"/>
    <w:rsid w:val="00DD28B7"/>
    <w:rsid w:val="00DD4C01"/>
    <w:rsid w:val="00DD4F04"/>
    <w:rsid w:val="00DD623A"/>
    <w:rsid w:val="00E00C21"/>
    <w:rsid w:val="00E0138C"/>
    <w:rsid w:val="00E047D5"/>
    <w:rsid w:val="00E13D23"/>
    <w:rsid w:val="00E21C84"/>
    <w:rsid w:val="00E32E18"/>
    <w:rsid w:val="00E331E1"/>
    <w:rsid w:val="00E4694A"/>
    <w:rsid w:val="00E47250"/>
    <w:rsid w:val="00E529FF"/>
    <w:rsid w:val="00E55945"/>
    <w:rsid w:val="00E70B53"/>
    <w:rsid w:val="00E767BC"/>
    <w:rsid w:val="00E85F64"/>
    <w:rsid w:val="00EA1EE8"/>
    <w:rsid w:val="00ED5D33"/>
    <w:rsid w:val="00EE3471"/>
    <w:rsid w:val="00EE777E"/>
    <w:rsid w:val="00F42649"/>
    <w:rsid w:val="00F70145"/>
    <w:rsid w:val="00F7033F"/>
    <w:rsid w:val="00F848A7"/>
    <w:rsid w:val="00FC08F3"/>
    <w:rsid w:val="00FD0BA8"/>
    <w:rsid w:val="00FE256A"/>
    <w:rsid w:val="00FE5A8E"/>
    <w:rsid w:val="00FF35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1F2C66"/>
  <w15:chartTrackingRefBased/>
  <w15:docId w15:val="{5F521431-8432-4715-A6B1-BAC14759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BB4"/>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C425A6"/>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135242"/>
    <w:pPr>
      <w:ind w:left="0" w:firstLine="0"/>
    </w:pPr>
  </w:style>
  <w:style w:type="paragraph" w:customStyle="1" w:styleId="NumberedParagraphCabStandard">
    <w:name w:val="Numbered Paragraph (CabStandard)"/>
    <w:basedOn w:val="Normal"/>
    <w:qFormat/>
    <w:rsid w:val="000E4483"/>
    <w:pPr>
      <w:tabs>
        <w:tab w:val="num" w:pos="709"/>
      </w:tabs>
      <w:spacing w:after="240" w:line="240" w:lineRule="auto"/>
      <w:ind w:left="709" w:hanging="709"/>
    </w:pPr>
    <w:rPr>
      <w:rFonts w:ascii="Arial" w:hAnsi="Arial"/>
      <w:sz w:val="24"/>
      <w:szCs w:val="23"/>
      <w:lang w:eastAsia="en-NZ"/>
    </w:rPr>
  </w:style>
  <w:style w:type="paragraph" w:styleId="CommentSubject">
    <w:name w:val="annotation subject"/>
    <w:basedOn w:val="CommentText"/>
    <w:next w:val="CommentText"/>
    <w:link w:val="CommentSubjectChar"/>
    <w:uiPriority w:val="99"/>
    <w:semiHidden/>
    <w:unhideWhenUsed/>
    <w:rsid w:val="00367855"/>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367855"/>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31051">
      <w:bodyDiv w:val="1"/>
      <w:marLeft w:val="0"/>
      <w:marRight w:val="0"/>
      <w:marTop w:val="0"/>
      <w:marBottom w:val="0"/>
      <w:divBdr>
        <w:top w:val="none" w:sz="0" w:space="0" w:color="auto"/>
        <w:left w:val="none" w:sz="0" w:space="0" w:color="auto"/>
        <w:bottom w:val="none" w:sz="0" w:space="0" w:color="auto"/>
        <w:right w:val="none" w:sz="0" w:space="0" w:color="auto"/>
      </w:divBdr>
    </w:div>
    <w:div w:id="9584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D16A6497D4A268FD3188241A1CE75"/>
        <w:category>
          <w:name w:val="General"/>
          <w:gallery w:val="placeholder"/>
        </w:category>
        <w:types>
          <w:type w:val="bbPlcHdr"/>
        </w:types>
        <w:behaviors>
          <w:behavior w:val="content"/>
        </w:behaviors>
        <w:guid w:val="{3A9BAB91-061C-49B7-8A69-3F2A55DE74DC}"/>
      </w:docPartPr>
      <w:docPartBody>
        <w:p w:rsidR="004526CA" w:rsidRDefault="004526CA">
          <w:pPr>
            <w:pStyle w:val="15DD16A6497D4A268FD3188241A1CE75"/>
          </w:pPr>
          <w:r w:rsidRPr="00733356">
            <w:rPr>
              <w:rStyle w:val="PlaceholderText"/>
            </w:rPr>
            <w:t>[</w:t>
          </w:r>
          <w:r>
            <w:rPr>
              <w:rStyle w:val="PlaceholderText"/>
            </w:rPr>
            <w:t>Choose a report priority</w:t>
          </w:r>
          <w:r w:rsidRPr="00733356">
            <w:rPr>
              <w:rStyle w:val="PlaceholderText"/>
            </w:rPr>
            <w:t>]</w:t>
          </w:r>
        </w:p>
      </w:docPartBody>
    </w:docPart>
    <w:docPart>
      <w:docPartPr>
        <w:name w:val="6B7D16C4560449F882EA59F59265B869"/>
        <w:category>
          <w:name w:val="General"/>
          <w:gallery w:val="placeholder"/>
        </w:category>
        <w:types>
          <w:type w:val="bbPlcHdr"/>
        </w:types>
        <w:behaviors>
          <w:behavior w:val="content"/>
        </w:behaviors>
        <w:guid w:val="{965DEC55-5B4B-4125-9DF5-ED69323820F1}"/>
      </w:docPartPr>
      <w:docPartBody>
        <w:p w:rsidR="004526CA" w:rsidRDefault="004526CA">
          <w:pPr>
            <w:pStyle w:val="6B7D16C4560449F882EA59F59265B869"/>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8B1D6F93DD084813B80687CBDADFE63A"/>
        <w:category>
          <w:name w:val="General"/>
          <w:gallery w:val="placeholder"/>
        </w:category>
        <w:types>
          <w:type w:val="bbPlcHdr"/>
        </w:types>
        <w:behaviors>
          <w:behavior w:val="content"/>
        </w:behaviors>
        <w:guid w:val="{1C7664C7-1378-4AE9-8F06-14B1E10BD676}"/>
      </w:docPartPr>
      <w:docPartBody>
        <w:p w:rsidR="004526CA" w:rsidRDefault="004526CA">
          <w:pPr>
            <w:pStyle w:val="8B1D6F93DD084813B80687CBDADFE63A"/>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CA"/>
    <w:rsid w:val="004526CA"/>
    <w:rsid w:val="00490A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DD16A6497D4A268FD3188241A1CE75">
    <w:name w:val="15DD16A6497D4A268FD3188241A1CE75"/>
  </w:style>
  <w:style w:type="paragraph" w:customStyle="1" w:styleId="6B7D16C4560449F882EA59F59265B869">
    <w:name w:val="6B7D16C4560449F882EA59F59265B869"/>
  </w:style>
  <w:style w:type="paragraph" w:customStyle="1" w:styleId="8B1D6F93DD084813B80687CBDADFE63A">
    <w:name w:val="8B1D6F93DD084813B80687CBDADFE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4944-DEE4-4ECD-B7A4-79A48792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Policy report - IR2019/235 - Cabinet paper – Collection of IRD numbers for the transfer of main homes (2 May 2019)</vt:lpstr>
    </vt:vector>
  </TitlesOfParts>
  <Company>Inland Revenue</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report - IR2019/235 - Cabinet paper – Collection of IRD numbers for the transfer of main homes (2 May 2019)</dc:title>
  <dc:subject/>
  <dc:creator>Policy and Strategy</dc:creator>
  <cp:keywords/>
  <dc:description/>
  <dcterms:created xsi:type="dcterms:W3CDTF">2019-07-03T23:34:00Z</dcterms:created>
  <dcterms:modified xsi:type="dcterms:W3CDTF">2019-07-03T23:36:00Z</dcterms:modified>
</cp:coreProperties>
</file>