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07F7" w:rsidRDefault="00633E9D">
      <w:pPr>
        <w:spacing w:before="51"/>
        <w:ind w:left="2022" w:right="1256"/>
        <w:rPr>
          <w:rFonts w:ascii="Arial"/>
          <w:b/>
          <w:sz w:val="44"/>
        </w:rPr>
      </w:pPr>
      <w:bookmarkStart w:id="0" w:name="_GoBack"/>
      <w:bookmarkEnd w:id="0"/>
      <w:r>
        <w:rPr>
          <w:noProof/>
        </w:rPr>
        <w:drawing>
          <wp:anchor distT="0" distB="0" distL="0" distR="0" simplePos="0" relativeHeight="1096" behindDoc="0" locked="0" layoutInCell="1" allowOverlap="1">
            <wp:simplePos x="0" y="0"/>
            <wp:positionH relativeFrom="page">
              <wp:posOffset>750569</wp:posOffset>
            </wp:positionH>
            <wp:positionV relativeFrom="paragraph">
              <wp:posOffset>32839</wp:posOffset>
            </wp:positionV>
            <wp:extent cx="976630" cy="958850"/>
            <wp:effectExtent l="0" t="0" r="0" b="0"/>
            <wp:wrapNone/>
            <wp:docPr id="1" name="image1.png" descr="Cabinet Office seal - includes New Zealand Government coat of arms in the cent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976630" cy="958850"/>
                    </a:xfrm>
                    <a:prstGeom prst="rect">
                      <a:avLst/>
                    </a:prstGeom>
                  </pic:spPr>
                </pic:pic>
              </a:graphicData>
            </a:graphic>
          </wp:anchor>
        </w:drawing>
      </w:r>
      <w:r>
        <w:rPr>
          <w:rFonts w:ascii="Arial"/>
          <w:b/>
          <w:sz w:val="44"/>
        </w:rPr>
        <w:t>Cabinet Economic Development Committee</w:t>
      </w:r>
    </w:p>
    <w:p w:rsidR="00E907F7" w:rsidRDefault="005746EA">
      <w:pPr>
        <w:spacing w:before="322"/>
        <w:ind w:left="2022"/>
        <w:rPr>
          <w:rFonts w:ascii="Arial"/>
          <w:b/>
          <w:sz w:val="32"/>
        </w:rPr>
      </w:pPr>
      <w:r>
        <w:pict>
          <v:line id="_x0000_s1029" style="position:absolute;left:0;text-align:left;z-index:1072;mso-position-horizontal-relative:page" from="51.3pt,42.8pt" to="544.1pt,42.8pt" strokecolor="#000001" strokeweight=".6pt">
            <w10:wrap anchorx="page"/>
          </v:line>
        </w:pict>
      </w:r>
      <w:r w:rsidR="00633E9D">
        <w:rPr>
          <w:rFonts w:ascii="Arial"/>
          <w:b/>
          <w:sz w:val="32"/>
        </w:rPr>
        <w:t>Minute of Decision</w:t>
      </w:r>
    </w:p>
    <w:p w:rsidR="00E907F7" w:rsidRDefault="00E907F7">
      <w:pPr>
        <w:pStyle w:val="BodyText"/>
        <w:spacing w:before="11"/>
        <w:rPr>
          <w:rFonts w:ascii="Arial"/>
          <w:b/>
          <w:sz w:val="11"/>
        </w:rPr>
      </w:pPr>
    </w:p>
    <w:p w:rsidR="00E907F7" w:rsidRDefault="005746EA">
      <w:pPr>
        <w:spacing w:before="93"/>
        <w:ind w:left="115" w:right="3"/>
        <w:rPr>
          <w:rFonts w:ascii="Arial"/>
          <w:i/>
          <w:sz w:val="20"/>
        </w:rPr>
      </w:pPr>
      <w:r>
        <w:pict>
          <v:line id="_x0000_s1028" style="position:absolute;left:0;text-align:left;z-index:1048;mso-position-horizontal-relative:page" from="51.3pt,42.45pt" to="544.1pt,42.45pt" strokecolor="#000001" strokeweight=".6pt">
            <w10:wrap anchorx="page"/>
          </v:line>
        </w:pict>
      </w:r>
      <w:r w:rsidR="00633E9D">
        <w:rPr>
          <w:rFonts w:ascii="Arial"/>
          <w:i/>
          <w:sz w:val="20"/>
        </w:rPr>
        <w:t>This document contains information for the New Zealand Cabinet. It must be treated in confidence and handled in accordance with any security classification, or other endorsement. The information can only be released, including under the Official Information Act 1982, by persons with the appropriate authority.</w:t>
      </w:r>
    </w:p>
    <w:p w:rsidR="00E907F7" w:rsidRDefault="00E907F7">
      <w:pPr>
        <w:pStyle w:val="BodyText"/>
        <w:rPr>
          <w:rFonts w:ascii="Arial"/>
          <w:i/>
          <w:sz w:val="22"/>
        </w:rPr>
      </w:pPr>
    </w:p>
    <w:p w:rsidR="00E907F7" w:rsidRDefault="00E907F7">
      <w:pPr>
        <w:pStyle w:val="BodyText"/>
        <w:spacing w:before="11"/>
        <w:rPr>
          <w:rFonts w:ascii="Arial"/>
          <w:i/>
          <w:sz w:val="25"/>
        </w:rPr>
      </w:pPr>
    </w:p>
    <w:p w:rsidR="00E907F7" w:rsidRDefault="00633E9D">
      <w:pPr>
        <w:ind w:left="115"/>
        <w:rPr>
          <w:rFonts w:ascii="Arial"/>
          <w:b/>
          <w:sz w:val="28"/>
        </w:rPr>
      </w:pPr>
      <w:r>
        <w:rPr>
          <w:rFonts w:ascii="Arial"/>
          <w:b/>
          <w:sz w:val="28"/>
        </w:rPr>
        <w:t>Collection of IRD Numbers for the Transfer of Main Homes</w:t>
      </w:r>
    </w:p>
    <w:p w:rsidR="00E907F7" w:rsidRDefault="00E907F7">
      <w:pPr>
        <w:pStyle w:val="BodyText"/>
        <w:spacing w:before="2"/>
        <w:rPr>
          <w:rFonts w:ascii="Arial"/>
          <w:b/>
          <w:sz w:val="31"/>
        </w:rPr>
      </w:pPr>
    </w:p>
    <w:p w:rsidR="00E907F7" w:rsidRDefault="00633E9D">
      <w:pPr>
        <w:tabs>
          <w:tab w:val="left" w:pos="2023"/>
        </w:tabs>
        <w:spacing w:before="1"/>
        <w:ind w:left="115"/>
        <w:rPr>
          <w:rFonts w:ascii="Arial"/>
          <w:b/>
          <w:sz w:val="20"/>
        </w:rPr>
      </w:pPr>
      <w:r>
        <w:rPr>
          <w:rFonts w:ascii="Arial"/>
          <w:b/>
          <w:sz w:val="20"/>
        </w:rPr>
        <w:t>Portfolio</w:t>
      </w:r>
      <w:r>
        <w:rPr>
          <w:rFonts w:ascii="Arial"/>
          <w:b/>
          <w:sz w:val="20"/>
        </w:rPr>
        <w:tab/>
        <w:t>Revenue</w:t>
      </w:r>
    </w:p>
    <w:p w:rsidR="00E907F7" w:rsidRDefault="00E907F7">
      <w:pPr>
        <w:pStyle w:val="BodyText"/>
        <w:rPr>
          <w:rFonts w:ascii="Arial"/>
          <w:b/>
          <w:sz w:val="22"/>
        </w:rPr>
      </w:pPr>
    </w:p>
    <w:p w:rsidR="00E907F7" w:rsidRDefault="00E907F7">
      <w:pPr>
        <w:pStyle w:val="BodyText"/>
        <w:spacing w:before="9"/>
        <w:rPr>
          <w:rFonts w:ascii="Arial"/>
          <w:b/>
          <w:sz w:val="22"/>
        </w:rPr>
      </w:pPr>
    </w:p>
    <w:p w:rsidR="00E907F7" w:rsidRDefault="00633E9D">
      <w:pPr>
        <w:pStyle w:val="BodyText"/>
        <w:ind w:left="115"/>
      </w:pPr>
      <w:r>
        <w:t>On 22 May 2019, the Cabinet Economic Development Committee:</w:t>
      </w:r>
    </w:p>
    <w:p w:rsidR="00E907F7" w:rsidRDefault="00E907F7">
      <w:pPr>
        <w:pStyle w:val="BodyText"/>
      </w:pPr>
    </w:p>
    <w:p w:rsidR="00E907F7" w:rsidRDefault="00633E9D">
      <w:pPr>
        <w:pStyle w:val="ListParagraph"/>
        <w:numPr>
          <w:ilvl w:val="0"/>
          <w:numId w:val="1"/>
        </w:numPr>
        <w:tabs>
          <w:tab w:val="left" w:pos="835"/>
          <w:tab w:val="left" w:pos="836"/>
        </w:tabs>
        <w:ind w:right="277"/>
        <w:rPr>
          <w:sz w:val="24"/>
        </w:rPr>
      </w:pPr>
      <w:r>
        <w:rPr>
          <w:b/>
          <w:sz w:val="24"/>
        </w:rPr>
        <w:t xml:space="preserve">noted </w:t>
      </w:r>
      <w:r>
        <w:rPr>
          <w:sz w:val="24"/>
        </w:rPr>
        <w:t>that the Land Transfer Act 2017 contains tax statement requirements, which must be completed by both transferors and transferees when land is</w:t>
      </w:r>
      <w:r>
        <w:rPr>
          <w:spacing w:val="-2"/>
          <w:sz w:val="24"/>
        </w:rPr>
        <w:t xml:space="preserve"> </w:t>
      </w:r>
      <w:r>
        <w:rPr>
          <w:sz w:val="24"/>
        </w:rPr>
        <w:t>transferred;</w:t>
      </w:r>
    </w:p>
    <w:p w:rsidR="00E907F7" w:rsidRDefault="00E907F7">
      <w:pPr>
        <w:pStyle w:val="BodyText"/>
        <w:spacing w:before="10"/>
        <w:rPr>
          <w:sz w:val="20"/>
        </w:rPr>
      </w:pPr>
    </w:p>
    <w:p w:rsidR="00E907F7" w:rsidRDefault="00633E9D">
      <w:pPr>
        <w:pStyle w:val="ListParagraph"/>
        <w:numPr>
          <w:ilvl w:val="0"/>
          <w:numId w:val="1"/>
        </w:numPr>
        <w:tabs>
          <w:tab w:val="left" w:pos="835"/>
          <w:tab w:val="left" w:pos="836"/>
        </w:tabs>
        <w:ind w:right="275"/>
        <w:rPr>
          <w:sz w:val="24"/>
        </w:rPr>
      </w:pPr>
      <w:r>
        <w:rPr>
          <w:b/>
          <w:sz w:val="24"/>
        </w:rPr>
        <w:t xml:space="preserve">noted </w:t>
      </w:r>
      <w:r>
        <w:rPr>
          <w:sz w:val="24"/>
        </w:rPr>
        <w:t>that the Tax Working Group recommended the disclosure of IRD numbers as part of the tax statement when the transfer involves a main</w:t>
      </w:r>
      <w:r>
        <w:rPr>
          <w:spacing w:val="-2"/>
          <w:sz w:val="24"/>
        </w:rPr>
        <w:t xml:space="preserve"> </w:t>
      </w:r>
      <w:r>
        <w:rPr>
          <w:sz w:val="24"/>
        </w:rPr>
        <w:t>home;</w:t>
      </w:r>
    </w:p>
    <w:p w:rsidR="00E907F7" w:rsidRDefault="00E907F7">
      <w:pPr>
        <w:pStyle w:val="BodyText"/>
        <w:spacing w:before="10"/>
        <w:rPr>
          <w:sz w:val="20"/>
        </w:rPr>
      </w:pPr>
    </w:p>
    <w:p w:rsidR="00E907F7" w:rsidRDefault="00633E9D">
      <w:pPr>
        <w:pStyle w:val="ListParagraph"/>
        <w:numPr>
          <w:ilvl w:val="0"/>
          <w:numId w:val="1"/>
        </w:numPr>
        <w:tabs>
          <w:tab w:val="left" w:pos="835"/>
          <w:tab w:val="left" w:pos="836"/>
        </w:tabs>
        <w:ind w:right="271"/>
        <w:rPr>
          <w:sz w:val="24"/>
        </w:rPr>
      </w:pPr>
      <w:r>
        <w:rPr>
          <w:b/>
          <w:sz w:val="24"/>
        </w:rPr>
        <w:t xml:space="preserve">agreed </w:t>
      </w:r>
      <w:r>
        <w:rPr>
          <w:sz w:val="24"/>
        </w:rPr>
        <w:t>to remove the exemption from providing a person’s IRD number and, if applicable, any tax identification numbers (and jurisdiction of tax residence) when the transfer of property relates to the person’s main</w:t>
      </w:r>
      <w:r>
        <w:rPr>
          <w:spacing w:val="1"/>
          <w:sz w:val="24"/>
        </w:rPr>
        <w:t xml:space="preserve"> </w:t>
      </w:r>
      <w:r>
        <w:rPr>
          <w:sz w:val="24"/>
        </w:rPr>
        <w:t>home;</w:t>
      </w:r>
    </w:p>
    <w:p w:rsidR="00E907F7" w:rsidRDefault="00E907F7">
      <w:pPr>
        <w:pStyle w:val="BodyText"/>
        <w:spacing w:before="10"/>
        <w:rPr>
          <w:sz w:val="20"/>
        </w:rPr>
      </w:pPr>
    </w:p>
    <w:p w:rsidR="00E907F7" w:rsidRDefault="00633E9D">
      <w:pPr>
        <w:pStyle w:val="ListParagraph"/>
        <w:numPr>
          <w:ilvl w:val="0"/>
          <w:numId w:val="1"/>
        </w:numPr>
        <w:tabs>
          <w:tab w:val="left" w:pos="835"/>
          <w:tab w:val="left" w:pos="836"/>
        </w:tabs>
        <w:ind w:right="465"/>
        <w:rPr>
          <w:sz w:val="24"/>
        </w:rPr>
      </w:pPr>
      <w:r>
        <w:rPr>
          <w:b/>
          <w:sz w:val="24"/>
        </w:rPr>
        <w:t xml:space="preserve">agreed </w:t>
      </w:r>
      <w:r>
        <w:rPr>
          <w:sz w:val="24"/>
        </w:rPr>
        <w:t>to retain an indicator on the Land Transfer Tax Statement to identify where it is a person’s main home;</w:t>
      </w:r>
    </w:p>
    <w:p w:rsidR="00E907F7" w:rsidRDefault="00E907F7">
      <w:pPr>
        <w:pStyle w:val="BodyText"/>
        <w:spacing w:before="10"/>
        <w:rPr>
          <w:sz w:val="20"/>
        </w:rPr>
      </w:pPr>
    </w:p>
    <w:p w:rsidR="00E907F7" w:rsidRDefault="00633E9D">
      <w:pPr>
        <w:pStyle w:val="ListParagraph"/>
        <w:numPr>
          <w:ilvl w:val="0"/>
          <w:numId w:val="1"/>
        </w:numPr>
        <w:tabs>
          <w:tab w:val="left" w:pos="835"/>
          <w:tab w:val="left" w:pos="836"/>
        </w:tabs>
        <w:ind w:right="665"/>
        <w:rPr>
          <w:sz w:val="24"/>
        </w:rPr>
      </w:pPr>
      <w:r>
        <w:rPr>
          <w:b/>
          <w:sz w:val="24"/>
        </w:rPr>
        <w:t xml:space="preserve">agreed </w:t>
      </w:r>
      <w:r>
        <w:rPr>
          <w:sz w:val="24"/>
        </w:rPr>
        <w:t>that the amendments giving effect to the proposals in paragraphs 3 and 4 above come into effect from 1 January</w:t>
      </w:r>
      <w:r>
        <w:rPr>
          <w:spacing w:val="-1"/>
          <w:sz w:val="24"/>
        </w:rPr>
        <w:t xml:space="preserve"> </w:t>
      </w:r>
      <w:r>
        <w:rPr>
          <w:sz w:val="24"/>
        </w:rPr>
        <w:t>2020;</w:t>
      </w:r>
    </w:p>
    <w:p w:rsidR="00E907F7" w:rsidRDefault="00E907F7">
      <w:pPr>
        <w:pStyle w:val="BodyText"/>
        <w:spacing w:before="10"/>
        <w:rPr>
          <w:sz w:val="20"/>
        </w:rPr>
      </w:pPr>
    </w:p>
    <w:p w:rsidR="00E907F7" w:rsidRDefault="00633E9D">
      <w:pPr>
        <w:pStyle w:val="ListParagraph"/>
        <w:numPr>
          <w:ilvl w:val="0"/>
          <w:numId w:val="1"/>
        </w:numPr>
        <w:tabs>
          <w:tab w:val="left" w:pos="835"/>
          <w:tab w:val="left" w:pos="836"/>
        </w:tabs>
        <w:spacing w:before="1"/>
        <w:ind w:right="477"/>
        <w:rPr>
          <w:sz w:val="24"/>
        </w:rPr>
      </w:pPr>
      <w:r>
        <w:rPr>
          <w:b/>
          <w:sz w:val="24"/>
        </w:rPr>
        <w:t xml:space="preserve">agreed </w:t>
      </w:r>
      <w:r>
        <w:rPr>
          <w:sz w:val="24"/>
        </w:rPr>
        <w:t xml:space="preserve">to a transitional provision to address situations where transfers have been </w:t>
      </w:r>
      <w:proofErr w:type="gramStart"/>
      <w:r>
        <w:rPr>
          <w:sz w:val="24"/>
        </w:rPr>
        <w:t>entered into</w:t>
      </w:r>
      <w:proofErr w:type="gramEnd"/>
      <w:r>
        <w:rPr>
          <w:sz w:val="24"/>
        </w:rPr>
        <w:t xml:space="preserve"> on the basis of the current requirements;</w:t>
      </w:r>
    </w:p>
    <w:p w:rsidR="00E907F7" w:rsidRDefault="00E907F7">
      <w:pPr>
        <w:pStyle w:val="BodyText"/>
        <w:spacing w:before="9"/>
        <w:rPr>
          <w:sz w:val="20"/>
        </w:rPr>
      </w:pPr>
    </w:p>
    <w:p w:rsidR="00E907F7" w:rsidRDefault="00633E9D">
      <w:pPr>
        <w:pStyle w:val="ListParagraph"/>
        <w:numPr>
          <w:ilvl w:val="0"/>
          <w:numId w:val="1"/>
        </w:numPr>
        <w:tabs>
          <w:tab w:val="left" w:pos="835"/>
          <w:tab w:val="left" w:pos="836"/>
        </w:tabs>
        <w:spacing w:before="1"/>
        <w:jc w:val="both"/>
        <w:rPr>
          <w:sz w:val="24"/>
        </w:rPr>
      </w:pPr>
      <w:r>
        <w:rPr>
          <w:b/>
          <w:sz w:val="24"/>
        </w:rPr>
        <w:t xml:space="preserve">agreed </w:t>
      </w:r>
      <w:r>
        <w:rPr>
          <w:sz w:val="24"/>
        </w:rPr>
        <w:t>that the above proposals be included in a Supplementary Order Paper to the Taxation (Annual Rates for 2019-20, GST Offshore Supplier Registration, and Remedial Matters) Bill at the Committee of the whole House</w:t>
      </w:r>
      <w:r>
        <w:rPr>
          <w:spacing w:val="-3"/>
          <w:sz w:val="24"/>
        </w:rPr>
        <w:t xml:space="preserve"> </w:t>
      </w:r>
      <w:r>
        <w:rPr>
          <w:sz w:val="24"/>
        </w:rPr>
        <w:t>stage.</w:t>
      </w:r>
    </w:p>
    <w:p w:rsidR="00E907F7" w:rsidRDefault="00E907F7">
      <w:pPr>
        <w:pStyle w:val="BodyText"/>
        <w:rPr>
          <w:sz w:val="26"/>
        </w:rPr>
      </w:pPr>
    </w:p>
    <w:p w:rsidR="00E907F7" w:rsidRDefault="00E907F7">
      <w:pPr>
        <w:pStyle w:val="BodyText"/>
        <w:rPr>
          <w:sz w:val="26"/>
        </w:rPr>
      </w:pPr>
    </w:p>
    <w:p w:rsidR="00E907F7" w:rsidRDefault="00E907F7">
      <w:pPr>
        <w:pStyle w:val="BodyText"/>
        <w:rPr>
          <w:sz w:val="26"/>
        </w:rPr>
      </w:pPr>
    </w:p>
    <w:p w:rsidR="00E907F7" w:rsidRDefault="00E907F7">
      <w:pPr>
        <w:pStyle w:val="BodyText"/>
        <w:rPr>
          <w:sz w:val="26"/>
        </w:rPr>
      </w:pPr>
    </w:p>
    <w:p w:rsidR="00E907F7" w:rsidRDefault="00E907F7">
      <w:pPr>
        <w:pStyle w:val="BodyText"/>
        <w:spacing w:before="10"/>
        <w:rPr>
          <w:sz w:val="36"/>
        </w:rPr>
      </w:pPr>
    </w:p>
    <w:p w:rsidR="00E907F7" w:rsidRDefault="00633E9D">
      <w:pPr>
        <w:pStyle w:val="BodyText"/>
        <w:spacing w:after="19"/>
        <w:ind w:left="115" w:right="7692"/>
      </w:pPr>
      <w:r>
        <w:t>Janine Harvey Committee Secretary</w:t>
      </w:r>
    </w:p>
    <w:p w:rsidR="00E907F7" w:rsidRDefault="005746EA">
      <w:pPr>
        <w:pStyle w:val="BodyText"/>
        <w:spacing w:line="20" w:lineRule="exact"/>
        <w:ind w:left="109"/>
        <w:rPr>
          <w:sz w:val="2"/>
        </w:rPr>
      </w:pPr>
      <w:r>
        <w:rPr>
          <w:sz w:val="2"/>
        </w:rPr>
      </w:r>
      <w:r>
        <w:rPr>
          <w:sz w:val="2"/>
        </w:rPr>
        <w:pict>
          <v:group id="_x0000_s1026" style="width:481.8pt;height:.5pt;mso-position-horizontal-relative:char;mso-position-vertical-relative:line" coordsize="9636,10">
            <v:line id="_x0000_s1027" style="position:absolute" from="0,5" to="9636,5" strokecolor="#000001" strokeweight=".5pt"/>
            <w10:anchorlock/>
          </v:group>
        </w:pict>
      </w:r>
    </w:p>
    <w:p w:rsidR="00E907F7" w:rsidRDefault="00E907F7">
      <w:pPr>
        <w:pStyle w:val="BodyText"/>
        <w:spacing w:before="1"/>
        <w:rPr>
          <w:sz w:val="23"/>
        </w:rPr>
      </w:pPr>
    </w:p>
    <w:p w:rsidR="00E907F7" w:rsidRDefault="00633E9D">
      <w:pPr>
        <w:spacing w:before="1"/>
        <w:ind w:left="115"/>
        <w:rPr>
          <w:rFonts w:ascii="Arial"/>
          <w:b/>
          <w:sz w:val="20"/>
        </w:rPr>
      </w:pPr>
      <w:r>
        <w:rPr>
          <w:rFonts w:ascii="Arial"/>
          <w:b/>
          <w:sz w:val="20"/>
        </w:rPr>
        <w:t>Hard-copy distribution: (see over)</w:t>
      </w:r>
    </w:p>
    <w:p w:rsidR="00E907F7" w:rsidRDefault="00E907F7">
      <w:pPr>
        <w:rPr>
          <w:rFonts w:ascii="Arial"/>
          <w:sz w:val="20"/>
        </w:rPr>
        <w:sectPr w:rsidR="00E907F7">
          <w:headerReference w:type="default" r:id="rId8"/>
          <w:footerReference w:type="default" r:id="rId9"/>
          <w:type w:val="continuous"/>
          <w:pgSz w:w="11900" w:h="16840"/>
          <w:pgMar w:top="840" w:right="1020" w:bottom="780" w:left="1020" w:header="405" w:footer="582" w:gutter="0"/>
          <w:pgNumType w:start="1"/>
          <w:cols w:space="720"/>
        </w:sectPr>
      </w:pPr>
    </w:p>
    <w:p w:rsidR="00E907F7" w:rsidRDefault="00E907F7">
      <w:pPr>
        <w:pStyle w:val="BodyText"/>
        <w:spacing w:before="4"/>
        <w:rPr>
          <w:rFonts w:ascii="Arial"/>
          <w:b/>
          <w:sz w:val="16"/>
        </w:rPr>
      </w:pPr>
    </w:p>
    <w:p w:rsidR="00E907F7" w:rsidRDefault="00E907F7">
      <w:pPr>
        <w:rPr>
          <w:rFonts w:ascii="Arial"/>
          <w:sz w:val="16"/>
        </w:rPr>
        <w:sectPr w:rsidR="00E907F7">
          <w:pgSz w:w="11900" w:h="16840"/>
          <w:pgMar w:top="840" w:right="1020" w:bottom="780" w:left="1020" w:header="405" w:footer="582" w:gutter="0"/>
          <w:cols w:space="720"/>
        </w:sectPr>
      </w:pPr>
    </w:p>
    <w:p w:rsidR="00E907F7" w:rsidRDefault="00633E9D">
      <w:pPr>
        <w:spacing w:before="94" w:line="229" w:lineRule="exact"/>
        <w:ind w:left="115"/>
        <w:rPr>
          <w:rFonts w:ascii="Arial"/>
          <w:b/>
          <w:sz w:val="20"/>
        </w:rPr>
      </w:pPr>
      <w:r>
        <w:rPr>
          <w:rFonts w:ascii="Arial"/>
          <w:b/>
          <w:sz w:val="20"/>
        </w:rPr>
        <w:t>Present:</w:t>
      </w:r>
    </w:p>
    <w:p w:rsidR="00E907F7" w:rsidRDefault="00633E9D">
      <w:pPr>
        <w:ind w:left="115" w:right="21"/>
        <w:rPr>
          <w:sz w:val="20"/>
        </w:rPr>
      </w:pPr>
      <w:r>
        <w:rPr>
          <w:sz w:val="20"/>
        </w:rPr>
        <w:t>Hon Grant Robertson (Chair) Hon Phil Twyford</w:t>
      </w:r>
    </w:p>
    <w:p w:rsidR="00E907F7" w:rsidRDefault="00633E9D">
      <w:pPr>
        <w:ind w:left="115" w:right="543"/>
        <w:rPr>
          <w:sz w:val="20"/>
        </w:rPr>
      </w:pPr>
      <w:r>
        <w:rPr>
          <w:sz w:val="20"/>
        </w:rPr>
        <w:t xml:space="preserve">Hon Dr Megan Woods Hon </w:t>
      </w:r>
      <w:proofErr w:type="spellStart"/>
      <w:r>
        <w:rPr>
          <w:sz w:val="20"/>
        </w:rPr>
        <w:t>Nanaia</w:t>
      </w:r>
      <w:proofErr w:type="spellEnd"/>
      <w:r>
        <w:rPr>
          <w:sz w:val="20"/>
        </w:rPr>
        <w:t xml:space="preserve"> </w:t>
      </w:r>
      <w:proofErr w:type="spellStart"/>
      <w:r>
        <w:rPr>
          <w:sz w:val="20"/>
        </w:rPr>
        <w:t>Mahuta</w:t>
      </w:r>
      <w:proofErr w:type="spellEnd"/>
      <w:r>
        <w:rPr>
          <w:sz w:val="20"/>
        </w:rPr>
        <w:t xml:space="preserve"> Hon Stuart Nash</w:t>
      </w:r>
    </w:p>
    <w:p w:rsidR="00E907F7" w:rsidRDefault="00633E9D">
      <w:pPr>
        <w:ind w:left="115" w:right="393"/>
        <w:rPr>
          <w:sz w:val="20"/>
        </w:rPr>
      </w:pPr>
      <w:r>
        <w:rPr>
          <w:sz w:val="20"/>
        </w:rPr>
        <w:t xml:space="preserve">Hon Iain Lees-Galloway Hon Jenny </w:t>
      </w:r>
      <w:proofErr w:type="spellStart"/>
      <w:r>
        <w:rPr>
          <w:sz w:val="20"/>
        </w:rPr>
        <w:t>Salesa</w:t>
      </w:r>
      <w:proofErr w:type="spellEnd"/>
    </w:p>
    <w:p w:rsidR="00E907F7" w:rsidRDefault="00633E9D">
      <w:pPr>
        <w:ind w:left="115" w:right="993"/>
        <w:rPr>
          <w:sz w:val="20"/>
        </w:rPr>
      </w:pPr>
      <w:r>
        <w:rPr>
          <w:sz w:val="20"/>
        </w:rPr>
        <w:t xml:space="preserve">Hon Kris </w:t>
      </w:r>
      <w:proofErr w:type="spellStart"/>
      <w:r>
        <w:rPr>
          <w:sz w:val="20"/>
        </w:rPr>
        <w:t>Faafoi</w:t>
      </w:r>
      <w:proofErr w:type="spellEnd"/>
      <w:r>
        <w:rPr>
          <w:sz w:val="20"/>
        </w:rPr>
        <w:t xml:space="preserve"> Hon James Shaw</w:t>
      </w:r>
    </w:p>
    <w:p w:rsidR="00E907F7" w:rsidRDefault="00E907F7">
      <w:pPr>
        <w:pStyle w:val="BodyText"/>
        <w:spacing w:before="4"/>
        <w:rPr>
          <w:sz w:val="23"/>
        </w:rPr>
      </w:pPr>
    </w:p>
    <w:p w:rsidR="00E907F7" w:rsidRDefault="00633E9D">
      <w:pPr>
        <w:spacing w:line="229" w:lineRule="exact"/>
        <w:ind w:left="115"/>
        <w:rPr>
          <w:rFonts w:ascii="Arial"/>
          <w:b/>
          <w:sz w:val="20"/>
        </w:rPr>
      </w:pPr>
      <w:r>
        <w:rPr>
          <w:rFonts w:ascii="Arial"/>
          <w:b/>
          <w:sz w:val="20"/>
        </w:rPr>
        <w:t>Hard-copy distribution:</w:t>
      </w:r>
    </w:p>
    <w:p w:rsidR="00E907F7" w:rsidRDefault="00633E9D">
      <w:pPr>
        <w:spacing w:line="229" w:lineRule="exact"/>
        <w:ind w:left="115"/>
        <w:rPr>
          <w:sz w:val="20"/>
        </w:rPr>
      </w:pPr>
      <w:r>
        <w:rPr>
          <w:sz w:val="20"/>
        </w:rPr>
        <w:t>Minister of Revenue</w:t>
      </w:r>
    </w:p>
    <w:p w:rsidR="00E907F7" w:rsidRDefault="00633E9D">
      <w:pPr>
        <w:spacing w:before="94"/>
        <w:ind w:left="116" w:right="2413"/>
        <w:rPr>
          <w:sz w:val="20"/>
        </w:rPr>
      </w:pPr>
      <w:r>
        <w:br w:type="column"/>
      </w:r>
      <w:r>
        <w:rPr>
          <w:rFonts w:ascii="Arial"/>
          <w:b/>
          <w:sz w:val="20"/>
        </w:rPr>
        <w:t xml:space="preserve">Officials present from: </w:t>
      </w:r>
      <w:r>
        <w:rPr>
          <w:sz w:val="20"/>
        </w:rPr>
        <w:t>Office of the Prime Minister Officials Committee for DEV</w:t>
      </w:r>
    </w:p>
    <w:sectPr w:rsidR="00E907F7">
      <w:type w:val="continuous"/>
      <w:pgSz w:w="11900" w:h="16840"/>
      <w:pgMar w:top="840" w:right="1020" w:bottom="780" w:left="1020" w:header="720" w:footer="720" w:gutter="0"/>
      <w:cols w:num="2" w:space="720" w:equalWidth="0">
        <w:col w:w="2506" w:space="2422"/>
        <w:col w:w="493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2FB9" w:rsidRDefault="00633E9D">
      <w:r>
        <w:separator/>
      </w:r>
    </w:p>
  </w:endnote>
  <w:endnote w:type="continuationSeparator" w:id="0">
    <w:p w:rsidR="00B12FB9" w:rsidRDefault="00633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7F7" w:rsidRDefault="005746EA">
    <w:pPr>
      <w:pStyle w:val="BodyText"/>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527.8pt;margin-top:801.9pt;width:10pt;height:15.3pt;z-index:-3544;mso-position-horizontal-relative:page;mso-position-vertical-relative:page" filled="f" stroked="f">
          <v:textbox inset="0,0,0,0">
            <w:txbxContent>
              <w:p w:rsidR="00E907F7" w:rsidRDefault="00633E9D">
                <w:pPr>
                  <w:pStyle w:val="BodyText"/>
                  <w:spacing w:before="10"/>
                  <w:ind w:left="40"/>
                </w:pPr>
                <w:r>
                  <w:fldChar w:fldCharType="begin"/>
                </w:r>
                <w:r>
                  <w:instrText xml:space="preserve"> PAGE </w:instrText>
                </w:r>
                <w:r>
                  <w:fldChar w:fldCharType="separate"/>
                </w:r>
                <w:r>
                  <w:t>1</w:t>
                </w:r>
                <w:r>
                  <w:fldChar w:fldCharType="end"/>
                </w:r>
              </w:p>
            </w:txbxContent>
          </v:textbox>
          <w10:wrap anchorx="page" anchory="page"/>
        </v:shape>
      </w:pict>
    </w:r>
    <w:r>
      <w:pict>
        <v:shape id="_x0000_s2050" type="#_x0000_t202" style="position:absolute;margin-left:236.3pt;margin-top:815.55pt;width:116.75pt;height:13.2pt;z-index:-3520;mso-position-horizontal-relative:page;mso-position-vertical-relative:page" filled="f" stroked="f">
          <v:textbox inset="0,0,0,0">
            <w:txbxContent>
              <w:p w:rsidR="00E907F7" w:rsidRDefault="00633E9D">
                <w:pPr>
                  <w:spacing w:before="13"/>
                  <w:ind w:left="20"/>
                  <w:rPr>
                    <w:rFonts w:ascii="Arial"/>
                    <w:b/>
                    <w:sz w:val="20"/>
                  </w:rPr>
                </w:pPr>
                <w:r>
                  <w:rPr>
                    <w:rFonts w:ascii="Arial"/>
                    <w:b/>
                    <w:sz w:val="20"/>
                  </w:rPr>
                  <w:t xml:space="preserve">I </w:t>
                </w:r>
                <w:proofErr w:type="gramStart"/>
                <w:r>
                  <w:rPr>
                    <w:rFonts w:ascii="Arial"/>
                    <w:b/>
                    <w:sz w:val="20"/>
                  </w:rPr>
                  <w:t>N  C</w:t>
                </w:r>
                <w:proofErr w:type="gramEnd"/>
                <w:r>
                  <w:rPr>
                    <w:rFonts w:ascii="Arial"/>
                    <w:b/>
                    <w:sz w:val="20"/>
                  </w:rPr>
                  <w:t xml:space="preserve"> O N F I D E N C E</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2FB9" w:rsidRDefault="00633E9D">
      <w:r>
        <w:separator/>
      </w:r>
    </w:p>
  </w:footnote>
  <w:footnote w:type="continuationSeparator" w:id="0">
    <w:p w:rsidR="00B12FB9" w:rsidRDefault="00633E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7F7" w:rsidRDefault="005746EA">
    <w:pPr>
      <w:pStyle w:val="BodyText"/>
      <w:spacing w:line="14" w:lineRule="auto"/>
      <w:rPr>
        <w:sz w:val="20"/>
      </w:rPr>
    </w:pPr>
    <w:r>
      <w:pict>
        <v:shapetype id="_x0000_t202" coordsize="21600,21600" o:spt="202" path="m,l,21600r21600,l21600,xe">
          <v:stroke joinstyle="miter"/>
          <v:path gradientshapeok="t" o:connecttype="rect"/>
        </v:shapetype>
        <v:shape id="_x0000_s2053" type="#_x0000_t202" style="position:absolute;margin-left:236.3pt;margin-top:19.25pt;width:116.75pt;height:13.2pt;z-index:-3592;mso-position-horizontal-relative:page;mso-position-vertical-relative:page" filled="f" stroked="f">
          <v:textbox inset="0,0,0,0">
            <w:txbxContent>
              <w:p w:rsidR="00E907F7" w:rsidRDefault="00633E9D">
                <w:pPr>
                  <w:spacing w:before="13"/>
                  <w:ind w:left="20"/>
                  <w:rPr>
                    <w:rFonts w:ascii="Arial"/>
                    <w:b/>
                    <w:sz w:val="20"/>
                  </w:rPr>
                </w:pPr>
                <w:r>
                  <w:rPr>
                    <w:rFonts w:ascii="Arial"/>
                    <w:b/>
                    <w:sz w:val="20"/>
                  </w:rPr>
                  <w:t xml:space="preserve">I </w:t>
                </w:r>
                <w:proofErr w:type="gramStart"/>
                <w:r>
                  <w:rPr>
                    <w:rFonts w:ascii="Arial"/>
                    <w:b/>
                    <w:sz w:val="20"/>
                  </w:rPr>
                  <w:t>N  C</w:t>
                </w:r>
                <w:proofErr w:type="gramEnd"/>
                <w:r>
                  <w:rPr>
                    <w:rFonts w:ascii="Arial"/>
                    <w:b/>
                    <w:sz w:val="20"/>
                  </w:rPr>
                  <w:t xml:space="preserve"> O N F I D E N C E</w:t>
                </w:r>
              </w:p>
            </w:txbxContent>
          </v:textbox>
          <w10:wrap anchorx="page" anchory="page"/>
        </v:shape>
      </w:pict>
    </w:r>
    <w:r>
      <w:pict>
        <v:shape id="_x0000_s2052" type="#_x0000_t202" style="position:absolute;margin-left:452.7pt;margin-top:30.75pt;width:84.2pt;height:13.2pt;z-index:-3568;mso-position-horizontal-relative:page;mso-position-vertical-relative:page" filled="f" stroked="f">
          <v:textbox inset="0,0,0,0">
            <w:txbxContent>
              <w:p w:rsidR="00E907F7" w:rsidRDefault="00633E9D">
                <w:pPr>
                  <w:spacing w:before="13"/>
                  <w:ind w:left="20"/>
                  <w:rPr>
                    <w:rFonts w:ascii="Arial"/>
                    <w:b/>
                    <w:sz w:val="20"/>
                  </w:rPr>
                </w:pPr>
                <w:r>
                  <w:rPr>
                    <w:rFonts w:ascii="Arial"/>
                    <w:b/>
                    <w:sz w:val="20"/>
                  </w:rPr>
                  <w:t>DEV-19-MIN-0127</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441B34"/>
    <w:multiLevelType w:val="hybridMultilevel"/>
    <w:tmpl w:val="C4962F28"/>
    <w:lvl w:ilvl="0" w:tplc="9E4EB6FA">
      <w:start w:val="1"/>
      <w:numFmt w:val="decimal"/>
      <w:lvlText w:val="%1"/>
      <w:lvlJc w:val="left"/>
      <w:pPr>
        <w:ind w:left="836" w:hanging="720"/>
        <w:jc w:val="left"/>
      </w:pPr>
      <w:rPr>
        <w:rFonts w:ascii="Times New Roman" w:eastAsia="Times New Roman" w:hAnsi="Times New Roman" w:cs="Times New Roman" w:hint="default"/>
        <w:spacing w:val="-2"/>
        <w:w w:val="100"/>
        <w:sz w:val="24"/>
        <w:szCs w:val="24"/>
        <w:lang w:val="en-NZ" w:eastAsia="en-NZ" w:bidi="en-NZ"/>
      </w:rPr>
    </w:lvl>
    <w:lvl w:ilvl="1" w:tplc="065074A0">
      <w:numFmt w:val="bullet"/>
      <w:lvlText w:val="•"/>
      <w:lvlJc w:val="left"/>
      <w:pPr>
        <w:ind w:left="1742" w:hanging="720"/>
      </w:pPr>
      <w:rPr>
        <w:rFonts w:hint="default"/>
        <w:lang w:val="en-NZ" w:eastAsia="en-NZ" w:bidi="en-NZ"/>
      </w:rPr>
    </w:lvl>
    <w:lvl w:ilvl="2" w:tplc="86C001D6">
      <w:numFmt w:val="bullet"/>
      <w:lvlText w:val="•"/>
      <w:lvlJc w:val="left"/>
      <w:pPr>
        <w:ind w:left="2644" w:hanging="720"/>
      </w:pPr>
      <w:rPr>
        <w:rFonts w:hint="default"/>
        <w:lang w:val="en-NZ" w:eastAsia="en-NZ" w:bidi="en-NZ"/>
      </w:rPr>
    </w:lvl>
    <w:lvl w:ilvl="3" w:tplc="EE9EBCC4">
      <w:numFmt w:val="bullet"/>
      <w:lvlText w:val="•"/>
      <w:lvlJc w:val="left"/>
      <w:pPr>
        <w:ind w:left="3546" w:hanging="720"/>
      </w:pPr>
      <w:rPr>
        <w:rFonts w:hint="default"/>
        <w:lang w:val="en-NZ" w:eastAsia="en-NZ" w:bidi="en-NZ"/>
      </w:rPr>
    </w:lvl>
    <w:lvl w:ilvl="4" w:tplc="28BADB6C">
      <w:numFmt w:val="bullet"/>
      <w:lvlText w:val="•"/>
      <w:lvlJc w:val="left"/>
      <w:pPr>
        <w:ind w:left="4448" w:hanging="720"/>
      </w:pPr>
      <w:rPr>
        <w:rFonts w:hint="default"/>
        <w:lang w:val="en-NZ" w:eastAsia="en-NZ" w:bidi="en-NZ"/>
      </w:rPr>
    </w:lvl>
    <w:lvl w:ilvl="5" w:tplc="74CC18CA">
      <w:numFmt w:val="bullet"/>
      <w:lvlText w:val="•"/>
      <w:lvlJc w:val="left"/>
      <w:pPr>
        <w:ind w:left="5350" w:hanging="720"/>
      </w:pPr>
      <w:rPr>
        <w:rFonts w:hint="default"/>
        <w:lang w:val="en-NZ" w:eastAsia="en-NZ" w:bidi="en-NZ"/>
      </w:rPr>
    </w:lvl>
    <w:lvl w:ilvl="6" w:tplc="4BFA4E50">
      <w:numFmt w:val="bullet"/>
      <w:lvlText w:val="•"/>
      <w:lvlJc w:val="left"/>
      <w:pPr>
        <w:ind w:left="6252" w:hanging="720"/>
      </w:pPr>
      <w:rPr>
        <w:rFonts w:hint="default"/>
        <w:lang w:val="en-NZ" w:eastAsia="en-NZ" w:bidi="en-NZ"/>
      </w:rPr>
    </w:lvl>
    <w:lvl w:ilvl="7" w:tplc="C4EE8E06">
      <w:numFmt w:val="bullet"/>
      <w:lvlText w:val="•"/>
      <w:lvlJc w:val="left"/>
      <w:pPr>
        <w:ind w:left="7154" w:hanging="720"/>
      </w:pPr>
      <w:rPr>
        <w:rFonts w:hint="default"/>
        <w:lang w:val="en-NZ" w:eastAsia="en-NZ" w:bidi="en-NZ"/>
      </w:rPr>
    </w:lvl>
    <w:lvl w:ilvl="8" w:tplc="09D6CD96">
      <w:numFmt w:val="bullet"/>
      <w:lvlText w:val="•"/>
      <w:lvlJc w:val="left"/>
      <w:pPr>
        <w:ind w:left="8056" w:hanging="720"/>
      </w:pPr>
      <w:rPr>
        <w:rFonts w:hint="default"/>
        <w:lang w:val="en-NZ" w:eastAsia="en-NZ" w:bidi="en-NZ"/>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E907F7"/>
    <w:rsid w:val="005746EA"/>
    <w:rsid w:val="00633E9D"/>
    <w:rsid w:val="00B12FB9"/>
    <w:rsid w:val="00E907F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3A7130C2-ECCA-4A17-92A3-032A70013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en-NZ" w:eastAsia="en-NZ" w:bidi="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6" w:right="104"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33E9D"/>
    <w:pPr>
      <w:tabs>
        <w:tab w:val="center" w:pos="4513"/>
        <w:tab w:val="right" w:pos="9026"/>
      </w:tabs>
    </w:pPr>
  </w:style>
  <w:style w:type="character" w:customStyle="1" w:styleId="HeaderChar">
    <w:name w:val="Header Char"/>
    <w:basedOn w:val="DefaultParagraphFont"/>
    <w:link w:val="Header"/>
    <w:uiPriority w:val="99"/>
    <w:rsid w:val="00633E9D"/>
    <w:rPr>
      <w:rFonts w:ascii="Times New Roman" w:eastAsia="Times New Roman" w:hAnsi="Times New Roman" w:cs="Times New Roman"/>
      <w:lang w:val="en-NZ" w:eastAsia="en-NZ" w:bidi="en-NZ"/>
    </w:rPr>
  </w:style>
  <w:style w:type="paragraph" w:styleId="Footer">
    <w:name w:val="footer"/>
    <w:basedOn w:val="Normal"/>
    <w:link w:val="FooterChar"/>
    <w:uiPriority w:val="99"/>
    <w:unhideWhenUsed/>
    <w:rsid w:val="00633E9D"/>
    <w:pPr>
      <w:tabs>
        <w:tab w:val="center" w:pos="4513"/>
        <w:tab w:val="right" w:pos="9026"/>
      </w:tabs>
    </w:pPr>
  </w:style>
  <w:style w:type="character" w:customStyle="1" w:styleId="FooterChar">
    <w:name w:val="Footer Char"/>
    <w:basedOn w:val="DefaultParagraphFont"/>
    <w:link w:val="Footer"/>
    <w:uiPriority w:val="99"/>
    <w:rsid w:val="00633E9D"/>
    <w:rPr>
      <w:rFonts w:ascii="Times New Roman" w:eastAsia="Times New Roman" w:hAnsi="Times New Roman" w:cs="Times New Roman"/>
      <w:lang w:val="en-NZ" w:eastAsia="en-NZ" w:bidi="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322</Words>
  <Characters>1732</Characters>
  <Application>Microsoft Office Word</Application>
  <DocSecurity>0</DocSecurity>
  <Lines>157</Lines>
  <Paragraphs>27</Paragraphs>
  <ScaleCrop>false</ScaleCrop>
  <HeadingPairs>
    <vt:vector size="2" baseType="variant">
      <vt:variant>
        <vt:lpstr>Title</vt:lpstr>
      </vt:variant>
      <vt:variant>
        <vt:i4>1</vt:i4>
      </vt:variant>
    </vt:vector>
  </HeadingPairs>
  <TitlesOfParts>
    <vt:vector size="1" baseType="lpstr">
      <vt:lpstr>Minute - DEV-19-MIN-0127 - Collection of IRD numbers for the transfer of main homes (22 May 2019)</vt:lpstr>
    </vt:vector>
  </TitlesOfParts>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 - DEV-19-MIN-0127 - Collection of IRD numbers for the transfer of main homes (22 May 2019)</dc:title>
  <dcterms:created xsi:type="dcterms:W3CDTF">2019-07-02T23:46:00Z</dcterms:created>
  <dcterms:modified xsi:type="dcterms:W3CDTF">2019-07-02T23:47:00Z</dcterms:modified>
</cp:coreProperties>
</file>