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9DD" w:rsidRDefault="00AA4429">
      <w:pPr>
        <w:spacing w:before="51"/>
        <w:ind w:left="2022" w:right="2499"/>
        <w:rPr>
          <w:rFonts w:ascii="Arial"/>
          <w:b/>
          <w:sz w:val="44"/>
        </w:rPr>
      </w:pPr>
      <w:bookmarkStart w:id="0" w:name="_GoBack"/>
      <w:bookmarkEnd w:id="0"/>
      <w:r>
        <w:rPr>
          <w:noProof/>
        </w:rPr>
        <w:drawing>
          <wp:anchor distT="0" distB="0" distL="0" distR="0" simplePos="0" relativeHeight="1072" behindDoc="0" locked="0" layoutInCell="1" allowOverlap="1">
            <wp:simplePos x="0" y="0"/>
            <wp:positionH relativeFrom="page">
              <wp:posOffset>749300</wp:posOffset>
            </wp:positionH>
            <wp:positionV relativeFrom="paragraph">
              <wp:posOffset>31569</wp:posOffset>
            </wp:positionV>
            <wp:extent cx="977900" cy="9626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7900" cy="962659"/>
                    </a:xfrm>
                    <a:prstGeom prst="rect">
                      <a:avLst/>
                    </a:prstGeom>
                  </pic:spPr>
                </pic:pic>
              </a:graphicData>
            </a:graphic>
          </wp:anchor>
        </w:drawing>
      </w:r>
      <w:r>
        <w:rPr>
          <w:rFonts w:ascii="Arial"/>
          <w:b/>
          <w:sz w:val="44"/>
        </w:rPr>
        <w:t>Cabinet Economic Development Committee</w:t>
      </w:r>
    </w:p>
    <w:p w:rsidR="00E619DD" w:rsidRDefault="00DE311B">
      <w:pPr>
        <w:spacing w:before="322"/>
        <w:ind w:left="2022"/>
        <w:rPr>
          <w:rFonts w:ascii="Arial"/>
          <w:b/>
          <w:sz w:val="32"/>
        </w:rPr>
      </w:pPr>
      <w:r>
        <w:pict>
          <v:line id="_x0000_s1030" style="position:absolute;left:0;text-align:left;z-index:1024;mso-position-horizontal-relative:page" from="51.3pt,42.8pt" to="544.1pt,42.8pt" strokeweight=".6pt">
            <w10:wrap anchorx="page"/>
          </v:line>
        </w:pict>
      </w:r>
      <w:r w:rsidR="00AA4429">
        <w:rPr>
          <w:rFonts w:ascii="Arial"/>
          <w:b/>
          <w:sz w:val="32"/>
        </w:rPr>
        <w:t>Minute of Decision</w:t>
      </w:r>
    </w:p>
    <w:p w:rsidR="00E619DD" w:rsidRDefault="00E619DD">
      <w:pPr>
        <w:pStyle w:val="BodyText"/>
        <w:spacing w:before="11"/>
        <w:rPr>
          <w:rFonts w:ascii="Arial"/>
          <w:b/>
          <w:sz w:val="11"/>
        </w:rPr>
      </w:pPr>
    </w:p>
    <w:p w:rsidR="00E619DD" w:rsidRDefault="00DE311B">
      <w:pPr>
        <w:spacing w:before="93"/>
        <w:ind w:left="115"/>
        <w:rPr>
          <w:rFonts w:ascii="Arial"/>
          <w:i/>
          <w:sz w:val="20"/>
        </w:rPr>
      </w:pPr>
      <w:r>
        <w:pict>
          <v:line id="_x0000_s1029" style="position:absolute;left:0;text-align:left;z-index:1048;mso-position-horizontal-relative:page" from="51.3pt,42.45pt" to="544.1pt,42.45pt" strokeweight=".6pt">
            <w10:wrap anchorx="page"/>
          </v:line>
        </w:pict>
      </w:r>
      <w:r w:rsidR="00AA4429">
        <w:rPr>
          <w:rFonts w:ascii="Arial"/>
          <w:i/>
          <w:sz w:val="20"/>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rsidR="00E619DD" w:rsidRDefault="00E619DD">
      <w:pPr>
        <w:pStyle w:val="BodyText"/>
        <w:rPr>
          <w:rFonts w:ascii="Arial"/>
          <w:i/>
          <w:sz w:val="22"/>
        </w:rPr>
      </w:pPr>
    </w:p>
    <w:p w:rsidR="00E619DD" w:rsidRDefault="00E619DD">
      <w:pPr>
        <w:pStyle w:val="BodyText"/>
        <w:spacing w:before="11"/>
        <w:rPr>
          <w:rFonts w:ascii="Arial"/>
          <w:i/>
          <w:sz w:val="25"/>
        </w:rPr>
      </w:pPr>
    </w:p>
    <w:p w:rsidR="00E619DD" w:rsidRDefault="00AA4429">
      <w:pPr>
        <w:ind w:left="115"/>
        <w:rPr>
          <w:rFonts w:ascii="Arial"/>
          <w:b/>
          <w:sz w:val="28"/>
        </w:rPr>
      </w:pPr>
      <w:r>
        <w:rPr>
          <w:rFonts w:ascii="Arial"/>
          <w:b/>
          <w:sz w:val="28"/>
        </w:rPr>
        <w:t>Overseas Donee Status: New Additions for Inclusion in the Next Available Taxation Bill</w:t>
      </w:r>
    </w:p>
    <w:p w:rsidR="00E619DD" w:rsidRDefault="00E619DD">
      <w:pPr>
        <w:pStyle w:val="BodyText"/>
        <w:spacing w:before="2"/>
        <w:rPr>
          <w:rFonts w:ascii="Arial"/>
          <w:b/>
          <w:sz w:val="31"/>
        </w:rPr>
      </w:pPr>
    </w:p>
    <w:p w:rsidR="00E619DD" w:rsidRDefault="00AA4429">
      <w:pPr>
        <w:tabs>
          <w:tab w:val="left" w:pos="2021"/>
        </w:tabs>
        <w:spacing w:before="1"/>
        <w:ind w:left="115"/>
        <w:rPr>
          <w:rFonts w:ascii="Arial"/>
          <w:b/>
          <w:sz w:val="20"/>
        </w:rPr>
      </w:pPr>
      <w:r>
        <w:rPr>
          <w:rFonts w:ascii="Arial"/>
          <w:b/>
          <w:sz w:val="20"/>
        </w:rPr>
        <w:t>Portfolio</w:t>
      </w:r>
      <w:r>
        <w:rPr>
          <w:rFonts w:ascii="Arial"/>
          <w:b/>
          <w:sz w:val="20"/>
        </w:rPr>
        <w:tab/>
        <w:t>Revenue</w:t>
      </w:r>
    </w:p>
    <w:p w:rsidR="00E619DD" w:rsidRDefault="00E619DD">
      <w:pPr>
        <w:pStyle w:val="BodyText"/>
        <w:rPr>
          <w:rFonts w:ascii="Arial"/>
          <w:b/>
          <w:sz w:val="22"/>
        </w:rPr>
      </w:pPr>
    </w:p>
    <w:p w:rsidR="00E619DD" w:rsidRDefault="00E619DD">
      <w:pPr>
        <w:pStyle w:val="BodyText"/>
        <w:spacing w:before="9"/>
        <w:rPr>
          <w:rFonts w:ascii="Arial"/>
          <w:b/>
          <w:sz w:val="22"/>
        </w:rPr>
      </w:pPr>
    </w:p>
    <w:p w:rsidR="00E619DD" w:rsidRDefault="00AA4429">
      <w:pPr>
        <w:pStyle w:val="BodyText"/>
        <w:ind w:left="115"/>
      </w:pPr>
      <w:r>
        <w:t>On 3 April 2019, the Cabinet Economic Development Committee:</w:t>
      </w:r>
    </w:p>
    <w:p w:rsidR="00E619DD" w:rsidRDefault="00E619DD">
      <w:pPr>
        <w:pStyle w:val="BodyText"/>
        <w:rPr>
          <w:sz w:val="26"/>
        </w:rPr>
      </w:pPr>
    </w:p>
    <w:p w:rsidR="00E619DD" w:rsidRDefault="00E619DD">
      <w:pPr>
        <w:pStyle w:val="BodyText"/>
        <w:rPr>
          <w:sz w:val="22"/>
        </w:rPr>
      </w:pPr>
    </w:p>
    <w:p w:rsidR="00E619DD" w:rsidRDefault="00AA4429">
      <w:pPr>
        <w:pStyle w:val="ListParagraph"/>
        <w:numPr>
          <w:ilvl w:val="0"/>
          <w:numId w:val="1"/>
        </w:numPr>
        <w:tabs>
          <w:tab w:val="left" w:pos="835"/>
          <w:tab w:val="left" w:pos="836"/>
        </w:tabs>
        <w:ind w:right="139"/>
        <w:rPr>
          <w:sz w:val="24"/>
        </w:rPr>
      </w:pPr>
      <w:r>
        <w:rPr>
          <w:b/>
          <w:sz w:val="24"/>
        </w:rPr>
        <w:t xml:space="preserve">agreed </w:t>
      </w:r>
      <w:r>
        <w:rPr>
          <w:sz w:val="24"/>
        </w:rPr>
        <w:t>that the following charities are granted overseas donee status and listed in</w:t>
      </w:r>
      <w:r>
        <w:rPr>
          <w:spacing w:val="-25"/>
          <w:sz w:val="24"/>
        </w:rPr>
        <w:t xml:space="preserve"> </w:t>
      </w:r>
      <w:r>
        <w:rPr>
          <w:sz w:val="24"/>
        </w:rPr>
        <w:t>schedule 32 of the Income Tax Act</w:t>
      </w:r>
      <w:r>
        <w:rPr>
          <w:spacing w:val="2"/>
          <w:sz w:val="24"/>
        </w:rPr>
        <w:t xml:space="preserve"> </w:t>
      </w:r>
      <w:r>
        <w:rPr>
          <w:sz w:val="24"/>
        </w:rPr>
        <w:t>2007:</w:t>
      </w:r>
    </w:p>
    <w:p w:rsidR="00E619DD" w:rsidRDefault="00E619DD">
      <w:pPr>
        <w:pStyle w:val="BodyText"/>
        <w:spacing w:before="10"/>
        <w:rPr>
          <w:sz w:val="20"/>
        </w:rPr>
      </w:pPr>
    </w:p>
    <w:p w:rsidR="00E619DD" w:rsidRDefault="00AA4429">
      <w:pPr>
        <w:pStyle w:val="ListParagraph"/>
        <w:numPr>
          <w:ilvl w:val="1"/>
          <w:numId w:val="1"/>
        </w:numPr>
        <w:tabs>
          <w:tab w:val="left" w:pos="1555"/>
          <w:tab w:val="left" w:pos="1556"/>
        </w:tabs>
        <w:rPr>
          <w:sz w:val="24"/>
        </w:rPr>
      </w:pPr>
      <w:r>
        <w:rPr>
          <w:sz w:val="24"/>
        </w:rPr>
        <w:t>Little Brothers and Sisters</w:t>
      </w:r>
      <w:r>
        <w:rPr>
          <w:spacing w:val="-1"/>
          <w:sz w:val="24"/>
        </w:rPr>
        <w:t xml:space="preserve"> </w:t>
      </w:r>
      <w:r>
        <w:rPr>
          <w:sz w:val="24"/>
        </w:rPr>
        <w:t>International;</w:t>
      </w:r>
    </w:p>
    <w:p w:rsidR="00E619DD" w:rsidRDefault="00E619DD">
      <w:pPr>
        <w:pStyle w:val="BodyText"/>
        <w:spacing w:before="10"/>
        <w:rPr>
          <w:sz w:val="20"/>
        </w:rPr>
      </w:pPr>
    </w:p>
    <w:p w:rsidR="00E619DD" w:rsidRDefault="00AA4429">
      <w:pPr>
        <w:pStyle w:val="ListParagraph"/>
        <w:numPr>
          <w:ilvl w:val="1"/>
          <w:numId w:val="1"/>
        </w:numPr>
        <w:tabs>
          <w:tab w:val="left" w:pos="1555"/>
          <w:tab w:val="left" w:pos="1556"/>
        </w:tabs>
        <w:rPr>
          <w:sz w:val="24"/>
        </w:rPr>
      </w:pPr>
      <w:r>
        <w:rPr>
          <w:sz w:val="24"/>
        </w:rPr>
        <w:t>Partners Relief and Development – New Zealand;</w:t>
      </w:r>
    </w:p>
    <w:p w:rsidR="00E619DD" w:rsidRDefault="00E619DD">
      <w:pPr>
        <w:pStyle w:val="BodyText"/>
        <w:spacing w:before="10"/>
        <w:rPr>
          <w:sz w:val="20"/>
        </w:rPr>
      </w:pPr>
    </w:p>
    <w:p w:rsidR="00E619DD" w:rsidRDefault="00AA4429">
      <w:pPr>
        <w:pStyle w:val="ListParagraph"/>
        <w:numPr>
          <w:ilvl w:val="1"/>
          <w:numId w:val="1"/>
        </w:numPr>
        <w:tabs>
          <w:tab w:val="left" w:pos="1555"/>
          <w:tab w:val="left" w:pos="1556"/>
        </w:tabs>
        <w:rPr>
          <w:sz w:val="24"/>
        </w:rPr>
      </w:pPr>
      <w:r>
        <w:rPr>
          <w:sz w:val="24"/>
        </w:rPr>
        <w:t>Project</w:t>
      </w:r>
      <w:r>
        <w:rPr>
          <w:spacing w:val="-2"/>
          <w:sz w:val="24"/>
        </w:rPr>
        <w:t xml:space="preserve"> </w:t>
      </w:r>
      <w:r>
        <w:rPr>
          <w:sz w:val="24"/>
        </w:rPr>
        <w:t>Moroto;</w:t>
      </w:r>
    </w:p>
    <w:p w:rsidR="00E619DD" w:rsidRDefault="00E619DD">
      <w:pPr>
        <w:pStyle w:val="BodyText"/>
        <w:spacing w:before="10"/>
        <w:rPr>
          <w:sz w:val="20"/>
        </w:rPr>
      </w:pPr>
    </w:p>
    <w:p w:rsidR="00E619DD" w:rsidRDefault="00AA4429">
      <w:pPr>
        <w:pStyle w:val="ListParagraph"/>
        <w:numPr>
          <w:ilvl w:val="1"/>
          <w:numId w:val="1"/>
        </w:numPr>
        <w:tabs>
          <w:tab w:val="left" w:pos="1555"/>
          <w:tab w:val="left" w:pos="1556"/>
        </w:tabs>
        <w:rPr>
          <w:sz w:val="24"/>
        </w:rPr>
      </w:pPr>
      <w:r>
        <w:rPr>
          <w:sz w:val="24"/>
        </w:rPr>
        <w:t>UN Women National Committee Aotearoa New Zealand</w:t>
      </w:r>
      <w:r>
        <w:rPr>
          <w:spacing w:val="-2"/>
          <w:sz w:val="24"/>
        </w:rPr>
        <w:t xml:space="preserve"> </w:t>
      </w:r>
      <w:r>
        <w:rPr>
          <w:sz w:val="24"/>
        </w:rPr>
        <w:t>Incorporated;</w:t>
      </w:r>
    </w:p>
    <w:p w:rsidR="00E619DD" w:rsidRDefault="00E619DD">
      <w:pPr>
        <w:pStyle w:val="BodyText"/>
        <w:spacing w:before="10"/>
        <w:rPr>
          <w:sz w:val="20"/>
        </w:rPr>
      </w:pPr>
    </w:p>
    <w:p w:rsidR="00E619DD" w:rsidRDefault="00AA4429">
      <w:pPr>
        <w:pStyle w:val="ListParagraph"/>
        <w:numPr>
          <w:ilvl w:val="0"/>
          <w:numId w:val="1"/>
        </w:numPr>
        <w:tabs>
          <w:tab w:val="left" w:pos="835"/>
          <w:tab w:val="left" w:pos="836"/>
        </w:tabs>
        <w:ind w:right="485"/>
        <w:rPr>
          <w:sz w:val="24"/>
        </w:rPr>
      </w:pPr>
      <w:r>
        <w:rPr>
          <w:b/>
          <w:sz w:val="24"/>
        </w:rPr>
        <w:t xml:space="preserve">agreed </w:t>
      </w:r>
      <w:r>
        <w:rPr>
          <w:sz w:val="24"/>
        </w:rPr>
        <w:t>that the charities listed above have overseas donee status from the 2019–20</w:t>
      </w:r>
      <w:r>
        <w:rPr>
          <w:spacing w:val="-22"/>
          <w:sz w:val="24"/>
        </w:rPr>
        <w:t xml:space="preserve"> </w:t>
      </w:r>
      <w:r>
        <w:rPr>
          <w:sz w:val="24"/>
        </w:rPr>
        <w:t>and following income years (starting 1 April 2019);</w:t>
      </w:r>
    </w:p>
    <w:p w:rsidR="00E619DD" w:rsidRDefault="00E619DD">
      <w:pPr>
        <w:pStyle w:val="BodyText"/>
        <w:spacing w:before="10"/>
        <w:rPr>
          <w:sz w:val="20"/>
        </w:rPr>
      </w:pPr>
    </w:p>
    <w:p w:rsidR="00E619DD" w:rsidRDefault="00AA4429">
      <w:pPr>
        <w:pStyle w:val="ListParagraph"/>
        <w:numPr>
          <w:ilvl w:val="0"/>
          <w:numId w:val="1"/>
        </w:numPr>
        <w:tabs>
          <w:tab w:val="left" w:pos="835"/>
          <w:tab w:val="left" w:pos="836"/>
        </w:tabs>
        <w:spacing w:before="1"/>
        <w:ind w:right="610"/>
        <w:rPr>
          <w:sz w:val="24"/>
        </w:rPr>
      </w:pPr>
      <w:r>
        <w:rPr>
          <w:b/>
          <w:sz w:val="24"/>
        </w:rPr>
        <w:t xml:space="preserve">noted </w:t>
      </w:r>
      <w:r>
        <w:rPr>
          <w:sz w:val="24"/>
        </w:rPr>
        <w:t>that the above proposals have the following estimated fiscal cost, which will be treated as a forecasting change:</w:t>
      </w:r>
    </w:p>
    <w:p w:rsidR="00E619DD" w:rsidRDefault="00E619DD">
      <w:pPr>
        <w:pStyle w:val="BodyText"/>
        <w:rPr>
          <w:sz w:val="20"/>
        </w:rPr>
      </w:pPr>
    </w:p>
    <w:p w:rsidR="00E619DD" w:rsidRDefault="00E619DD">
      <w:pPr>
        <w:pStyle w:val="BodyText"/>
        <w:spacing w:before="3" w:after="1"/>
        <w:rPr>
          <w:sz w:val="12"/>
        </w:rPr>
      </w:pPr>
    </w:p>
    <w:tbl>
      <w:tblPr>
        <w:tblW w:w="0" w:type="auto"/>
        <w:tblInd w:w="826"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2102"/>
        <w:gridCol w:w="1334"/>
        <w:gridCol w:w="1334"/>
        <w:gridCol w:w="1332"/>
        <w:gridCol w:w="1334"/>
        <w:gridCol w:w="1334"/>
      </w:tblGrid>
      <w:tr w:rsidR="00E619DD">
        <w:trPr>
          <w:trHeight w:val="459"/>
        </w:trPr>
        <w:tc>
          <w:tcPr>
            <w:tcW w:w="2102" w:type="dxa"/>
            <w:tcBorders>
              <w:top w:val="nil"/>
              <w:left w:val="nil"/>
              <w:right w:val="single" w:sz="4" w:space="0" w:color="000009"/>
            </w:tcBorders>
          </w:tcPr>
          <w:p w:rsidR="00E619DD" w:rsidRDefault="00E619DD">
            <w:pPr>
              <w:pStyle w:val="TableParagraph"/>
              <w:spacing w:before="0"/>
            </w:pPr>
          </w:p>
        </w:tc>
        <w:tc>
          <w:tcPr>
            <w:tcW w:w="6668" w:type="dxa"/>
            <w:gridSpan w:val="5"/>
            <w:tcBorders>
              <w:left w:val="single" w:sz="4" w:space="0" w:color="000009"/>
              <w:right w:val="single" w:sz="4" w:space="0" w:color="000009"/>
            </w:tcBorders>
          </w:tcPr>
          <w:p w:rsidR="00E619DD" w:rsidRDefault="00AA4429">
            <w:pPr>
              <w:pStyle w:val="TableParagraph"/>
              <w:spacing w:before="113"/>
              <w:ind w:left="2076"/>
              <w:rPr>
                <w:b/>
                <w:sz w:val="20"/>
              </w:rPr>
            </w:pPr>
            <w:r>
              <w:rPr>
                <w:b/>
                <w:sz w:val="20"/>
              </w:rPr>
              <w:t>$million – increase/(decrease)</w:t>
            </w:r>
          </w:p>
        </w:tc>
      </w:tr>
      <w:tr w:rsidR="00E619DD">
        <w:trPr>
          <w:trHeight w:val="686"/>
        </w:trPr>
        <w:tc>
          <w:tcPr>
            <w:tcW w:w="2102" w:type="dxa"/>
            <w:tcBorders>
              <w:left w:val="single" w:sz="4" w:space="0" w:color="000009"/>
              <w:right w:val="single" w:sz="4" w:space="0" w:color="000009"/>
            </w:tcBorders>
          </w:tcPr>
          <w:p w:rsidR="00E619DD" w:rsidRDefault="00AA4429">
            <w:pPr>
              <w:pStyle w:val="TableParagraph"/>
              <w:spacing w:before="111"/>
              <w:ind w:left="115" w:right="224"/>
              <w:rPr>
                <w:b/>
                <w:sz w:val="20"/>
              </w:rPr>
            </w:pPr>
            <w:r>
              <w:rPr>
                <w:b/>
                <w:sz w:val="20"/>
              </w:rPr>
              <w:t>Vote Revenue Minister of Revenue</w:t>
            </w:r>
          </w:p>
        </w:tc>
        <w:tc>
          <w:tcPr>
            <w:tcW w:w="1334" w:type="dxa"/>
            <w:tcBorders>
              <w:left w:val="single" w:sz="4" w:space="0" w:color="000009"/>
              <w:right w:val="single" w:sz="4" w:space="0" w:color="000009"/>
            </w:tcBorders>
          </w:tcPr>
          <w:p w:rsidR="00E619DD" w:rsidRDefault="00E619DD">
            <w:pPr>
              <w:pStyle w:val="TableParagraph"/>
              <w:spacing w:before="7"/>
              <w:rPr>
                <w:sz w:val="19"/>
              </w:rPr>
            </w:pPr>
          </w:p>
          <w:p w:rsidR="00E619DD" w:rsidRDefault="00AA4429">
            <w:pPr>
              <w:pStyle w:val="TableParagraph"/>
              <w:spacing w:before="0"/>
              <w:ind w:left="322" w:right="305"/>
              <w:jc w:val="center"/>
              <w:rPr>
                <w:b/>
                <w:sz w:val="20"/>
              </w:rPr>
            </w:pPr>
            <w:r>
              <w:rPr>
                <w:b/>
                <w:sz w:val="20"/>
              </w:rPr>
              <w:t>2018/19</w:t>
            </w:r>
          </w:p>
        </w:tc>
        <w:tc>
          <w:tcPr>
            <w:tcW w:w="1334" w:type="dxa"/>
            <w:tcBorders>
              <w:left w:val="single" w:sz="4" w:space="0" w:color="000009"/>
              <w:right w:val="single" w:sz="4" w:space="0" w:color="000009"/>
            </w:tcBorders>
          </w:tcPr>
          <w:p w:rsidR="00E619DD" w:rsidRDefault="00E619DD">
            <w:pPr>
              <w:pStyle w:val="TableParagraph"/>
              <w:spacing w:before="7"/>
              <w:rPr>
                <w:sz w:val="19"/>
              </w:rPr>
            </w:pPr>
          </w:p>
          <w:p w:rsidR="00E619DD" w:rsidRDefault="00AA4429">
            <w:pPr>
              <w:pStyle w:val="TableParagraph"/>
              <w:spacing w:before="0"/>
              <w:ind w:left="342"/>
              <w:rPr>
                <w:b/>
                <w:sz w:val="20"/>
              </w:rPr>
            </w:pPr>
            <w:r>
              <w:rPr>
                <w:b/>
                <w:sz w:val="20"/>
              </w:rPr>
              <w:t>2019/20</w:t>
            </w:r>
          </w:p>
        </w:tc>
        <w:tc>
          <w:tcPr>
            <w:tcW w:w="1332" w:type="dxa"/>
            <w:tcBorders>
              <w:left w:val="single" w:sz="4" w:space="0" w:color="000009"/>
              <w:right w:val="single" w:sz="4" w:space="0" w:color="000009"/>
            </w:tcBorders>
          </w:tcPr>
          <w:p w:rsidR="00E619DD" w:rsidRDefault="00E619DD">
            <w:pPr>
              <w:pStyle w:val="TableParagraph"/>
              <w:spacing w:before="7"/>
              <w:rPr>
                <w:sz w:val="19"/>
              </w:rPr>
            </w:pPr>
          </w:p>
          <w:p w:rsidR="00E619DD" w:rsidRDefault="00AA4429">
            <w:pPr>
              <w:pStyle w:val="TableParagraph"/>
              <w:spacing w:before="0"/>
              <w:ind w:left="320" w:right="305"/>
              <w:jc w:val="center"/>
              <w:rPr>
                <w:b/>
                <w:sz w:val="20"/>
              </w:rPr>
            </w:pPr>
            <w:r>
              <w:rPr>
                <w:b/>
                <w:sz w:val="20"/>
              </w:rPr>
              <w:t>2020/21</w:t>
            </w:r>
          </w:p>
        </w:tc>
        <w:tc>
          <w:tcPr>
            <w:tcW w:w="1334" w:type="dxa"/>
            <w:tcBorders>
              <w:left w:val="single" w:sz="4" w:space="0" w:color="000009"/>
              <w:right w:val="single" w:sz="4" w:space="0" w:color="000009"/>
            </w:tcBorders>
          </w:tcPr>
          <w:p w:rsidR="00E619DD" w:rsidRDefault="00E619DD">
            <w:pPr>
              <w:pStyle w:val="TableParagraph"/>
              <w:spacing w:before="7"/>
              <w:rPr>
                <w:sz w:val="19"/>
              </w:rPr>
            </w:pPr>
          </w:p>
          <w:p w:rsidR="00E619DD" w:rsidRDefault="00AA4429">
            <w:pPr>
              <w:pStyle w:val="TableParagraph"/>
              <w:spacing w:before="0"/>
              <w:ind w:left="322" w:right="305"/>
              <w:jc w:val="center"/>
              <w:rPr>
                <w:b/>
                <w:sz w:val="20"/>
              </w:rPr>
            </w:pPr>
            <w:r>
              <w:rPr>
                <w:b/>
                <w:sz w:val="20"/>
              </w:rPr>
              <w:t>2021/22</w:t>
            </w:r>
          </w:p>
        </w:tc>
        <w:tc>
          <w:tcPr>
            <w:tcW w:w="1334" w:type="dxa"/>
            <w:tcBorders>
              <w:left w:val="single" w:sz="4" w:space="0" w:color="000009"/>
              <w:right w:val="single" w:sz="4" w:space="0" w:color="000009"/>
            </w:tcBorders>
          </w:tcPr>
          <w:p w:rsidR="00E619DD" w:rsidRDefault="00AA4429">
            <w:pPr>
              <w:pStyle w:val="TableParagraph"/>
              <w:spacing w:before="111"/>
              <w:ind w:left="235"/>
              <w:rPr>
                <w:b/>
                <w:sz w:val="20"/>
              </w:rPr>
            </w:pPr>
            <w:r>
              <w:rPr>
                <w:b/>
                <w:sz w:val="20"/>
              </w:rPr>
              <w:t>2022/23 &amp;</w:t>
            </w:r>
          </w:p>
          <w:p w:rsidR="00E619DD" w:rsidRDefault="00AA4429">
            <w:pPr>
              <w:pStyle w:val="TableParagraph"/>
              <w:ind w:left="305"/>
              <w:rPr>
                <w:b/>
                <w:sz w:val="20"/>
              </w:rPr>
            </w:pPr>
            <w:r>
              <w:rPr>
                <w:b/>
                <w:sz w:val="20"/>
              </w:rPr>
              <w:t>outyears</w:t>
            </w:r>
          </w:p>
        </w:tc>
      </w:tr>
      <w:tr w:rsidR="00E619DD">
        <w:trPr>
          <w:trHeight w:val="975"/>
        </w:trPr>
        <w:tc>
          <w:tcPr>
            <w:tcW w:w="2102" w:type="dxa"/>
            <w:tcBorders>
              <w:left w:val="single" w:sz="4" w:space="0" w:color="000009"/>
              <w:right w:val="single" w:sz="4" w:space="0" w:color="000009"/>
            </w:tcBorders>
          </w:tcPr>
          <w:p w:rsidR="00E619DD" w:rsidRDefault="00AA4429">
            <w:pPr>
              <w:pStyle w:val="TableParagraph"/>
              <w:spacing w:before="111"/>
              <w:ind w:left="115" w:right="324"/>
              <w:rPr>
                <w:sz w:val="20"/>
              </w:rPr>
            </w:pPr>
            <w:r>
              <w:rPr>
                <w:sz w:val="20"/>
              </w:rPr>
              <w:t>Crown Revenue and Receipts:</w:t>
            </w:r>
          </w:p>
          <w:p w:rsidR="00E619DD" w:rsidRDefault="00AA4429">
            <w:pPr>
              <w:pStyle w:val="TableParagraph"/>
              <w:spacing w:before="59"/>
              <w:ind w:left="115"/>
              <w:rPr>
                <w:sz w:val="20"/>
              </w:rPr>
            </w:pPr>
            <w:r>
              <w:rPr>
                <w:sz w:val="20"/>
              </w:rPr>
              <w:t>Tax Revenue</w:t>
            </w:r>
          </w:p>
        </w:tc>
        <w:tc>
          <w:tcPr>
            <w:tcW w:w="1334" w:type="dxa"/>
            <w:tcBorders>
              <w:left w:val="single" w:sz="4" w:space="0" w:color="000009"/>
              <w:right w:val="single" w:sz="4" w:space="0" w:color="000009"/>
            </w:tcBorders>
          </w:tcPr>
          <w:p w:rsidR="00E619DD" w:rsidRDefault="00E619DD">
            <w:pPr>
              <w:pStyle w:val="TableParagraph"/>
              <w:spacing w:before="3"/>
              <w:rPr>
                <w:sz w:val="32"/>
              </w:rPr>
            </w:pPr>
          </w:p>
          <w:p w:rsidR="00E619DD" w:rsidRDefault="00AA4429">
            <w:pPr>
              <w:pStyle w:val="TableParagraph"/>
              <w:ind w:left="321" w:right="305"/>
              <w:jc w:val="center"/>
              <w:rPr>
                <w:sz w:val="20"/>
              </w:rPr>
            </w:pPr>
            <w:r>
              <w:rPr>
                <w:sz w:val="20"/>
              </w:rPr>
              <w:t>(0.000)</w:t>
            </w:r>
          </w:p>
        </w:tc>
        <w:tc>
          <w:tcPr>
            <w:tcW w:w="1334" w:type="dxa"/>
            <w:tcBorders>
              <w:left w:val="single" w:sz="4" w:space="0" w:color="000009"/>
              <w:right w:val="single" w:sz="4" w:space="0" w:color="000009"/>
            </w:tcBorders>
          </w:tcPr>
          <w:p w:rsidR="00E619DD" w:rsidRDefault="00E619DD">
            <w:pPr>
              <w:pStyle w:val="TableParagraph"/>
              <w:spacing w:before="3"/>
              <w:rPr>
                <w:sz w:val="32"/>
              </w:rPr>
            </w:pPr>
          </w:p>
          <w:p w:rsidR="00E619DD" w:rsidRDefault="00AA4429">
            <w:pPr>
              <w:pStyle w:val="TableParagraph"/>
              <w:ind w:left="378"/>
              <w:rPr>
                <w:sz w:val="20"/>
              </w:rPr>
            </w:pPr>
            <w:r>
              <w:rPr>
                <w:sz w:val="20"/>
              </w:rPr>
              <w:t>(0.106)</w:t>
            </w:r>
          </w:p>
        </w:tc>
        <w:tc>
          <w:tcPr>
            <w:tcW w:w="1332" w:type="dxa"/>
            <w:tcBorders>
              <w:left w:val="single" w:sz="4" w:space="0" w:color="000009"/>
              <w:right w:val="single" w:sz="4" w:space="0" w:color="000009"/>
            </w:tcBorders>
          </w:tcPr>
          <w:p w:rsidR="00E619DD" w:rsidRDefault="00E619DD">
            <w:pPr>
              <w:pStyle w:val="TableParagraph"/>
              <w:spacing w:before="3"/>
              <w:rPr>
                <w:sz w:val="32"/>
              </w:rPr>
            </w:pPr>
          </w:p>
          <w:p w:rsidR="00E619DD" w:rsidRDefault="00AA4429">
            <w:pPr>
              <w:pStyle w:val="TableParagraph"/>
              <w:ind w:left="320" w:right="302"/>
              <w:jc w:val="center"/>
              <w:rPr>
                <w:sz w:val="20"/>
              </w:rPr>
            </w:pPr>
            <w:r>
              <w:rPr>
                <w:sz w:val="20"/>
              </w:rPr>
              <w:t>(0.143)</w:t>
            </w:r>
          </w:p>
        </w:tc>
        <w:tc>
          <w:tcPr>
            <w:tcW w:w="1334" w:type="dxa"/>
            <w:tcBorders>
              <w:left w:val="single" w:sz="4" w:space="0" w:color="000009"/>
              <w:right w:val="single" w:sz="4" w:space="0" w:color="000009"/>
            </w:tcBorders>
          </w:tcPr>
          <w:p w:rsidR="00E619DD" w:rsidRDefault="00E619DD">
            <w:pPr>
              <w:pStyle w:val="TableParagraph"/>
              <w:spacing w:before="3"/>
              <w:rPr>
                <w:sz w:val="32"/>
              </w:rPr>
            </w:pPr>
          </w:p>
          <w:p w:rsidR="00E619DD" w:rsidRDefault="00AA4429">
            <w:pPr>
              <w:pStyle w:val="TableParagraph"/>
              <w:ind w:left="321" w:right="305"/>
              <w:jc w:val="center"/>
              <w:rPr>
                <w:sz w:val="20"/>
              </w:rPr>
            </w:pPr>
            <w:r>
              <w:rPr>
                <w:sz w:val="20"/>
              </w:rPr>
              <w:t>(0.197)</w:t>
            </w:r>
          </w:p>
        </w:tc>
        <w:tc>
          <w:tcPr>
            <w:tcW w:w="1334" w:type="dxa"/>
            <w:tcBorders>
              <w:left w:val="single" w:sz="4" w:space="0" w:color="000009"/>
              <w:right w:val="single" w:sz="4" w:space="0" w:color="000009"/>
            </w:tcBorders>
          </w:tcPr>
          <w:p w:rsidR="00E619DD" w:rsidRDefault="00E619DD">
            <w:pPr>
              <w:pStyle w:val="TableParagraph"/>
              <w:spacing w:before="3"/>
              <w:rPr>
                <w:sz w:val="32"/>
              </w:rPr>
            </w:pPr>
          </w:p>
          <w:p w:rsidR="00E619DD" w:rsidRDefault="00AA4429">
            <w:pPr>
              <w:pStyle w:val="TableParagraph"/>
              <w:ind w:left="379"/>
              <w:rPr>
                <w:sz w:val="20"/>
              </w:rPr>
            </w:pPr>
            <w:r>
              <w:rPr>
                <w:sz w:val="20"/>
              </w:rPr>
              <w:t>(0.223)</w:t>
            </w:r>
          </w:p>
        </w:tc>
      </w:tr>
    </w:tbl>
    <w:p w:rsidR="00E619DD" w:rsidRDefault="00E619DD">
      <w:pPr>
        <w:pStyle w:val="BodyText"/>
        <w:spacing w:before="3"/>
        <w:rPr>
          <w:sz w:val="36"/>
        </w:rPr>
      </w:pPr>
    </w:p>
    <w:p w:rsidR="00E619DD" w:rsidRDefault="00AA4429">
      <w:pPr>
        <w:pStyle w:val="ListParagraph"/>
        <w:numPr>
          <w:ilvl w:val="0"/>
          <w:numId w:val="1"/>
        </w:numPr>
        <w:tabs>
          <w:tab w:val="left" w:pos="835"/>
          <w:tab w:val="left" w:pos="836"/>
        </w:tabs>
        <w:spacing w:before="1"/>
        <w:ind w:right="730"/>
        <w:rPr>
          <w:sz w:val="24"/>
        </w:rPr>
      </w:pPr>
      <w:r>
        <w:rPr>
          <w:b/>
          <w:sz w:val="24"/>
        </w:rPr>
        <w:t xml:space="preserve">agreed </w:t>
      </w:r>
      <w:r>
        <w:rPr>
          <w:sz w:val="24"/>
        </w:rPr>
        <w:t>to include the charities listed in paragraph 1 in the next omnibus taxation bill scheduled for introduction in mid-2019;</w:t>
      </w:r>
    </w:p>
    <w:p w:rsidR="00E619DD" w:rsidRDefault="00E619DD">
      <w:pPr>
        <w:rPr>
          <w:sz w:val="24"/>
        </w:rPr>
        <w:sectPr w:rsidR="00E619DD">
          <w:headerReference w:type="default" r:id="rId8"/>
          <w:footerReference w:type="default" r:id="rId9"/>
          <w:type w:val="continuous"/>
          <w:pgSz w:w="11900" w:h="16840"/>
          <w:pgMar w:top="840" w:right="1180" w:bottom="780" w:left="1020" w:header="405" w:footer="582" w:gutter="0"/>
          <w:pgNumType w:start="1"/>
          <w:cols w:space="720"/>
        </w:sectPr>
      </w:pPr>
    </w:p>
    <w:p w:rsidR="00E619DD" w:rsidRDefault="00AA4429">
      <w:pPr>
        <w:pStyle w:val="ListParagraph"/>
        <w:numPr>
          <w:ilvl w:val="0"/>
          <w:numId w:val="1"/>
        </w:numPr>
        <w:tabs>
          <w:tab w:val="left" w:pos="835"/>
          <w:tab w:val="left" w:pos="836"/>
        </w:tabs>
        <w:spacing w:before="51"/>
        <w:ind w:right="443"/>
        <w:rPr>
          <w:sz w:val="24"/>
        </w:rPr>
      </w:pPr>
      <w:r>
        <w:rPr>
          <w:b/>
          <w:sz w:val="24"/>
        </w:rPr>
        <w:lastRenderedPageBreak/>
        <w:t xml:space="preserve">invited </w:t>
      </w:r>
      <w:r>
        <w:rPr>
          <w:sz w:val="24"/>
        </w:rPr>
        <w:t>the Minister of Revenue to issue drafting instructions to Inland Revenue to give effect to the above</w:t>
      </w:r>
      <w:r>
        <w:rPr>
          <w:spacing w:val="-1"/>
          <w:sz w:val="24"/>
        </w:rPr>
        <w:t xml:space="preserve"> </w:t>
      </w:r>
      <w:r>
        <w:rPr>
          <w:sz w:val="24"/>
        </w:rPr>
        <w:t>proposals.</w:t>
      </w:r>
    </w:p>
    <w:p w:rsidR="00E619DD" w:rsidRDefault="00E619DD">
      <w:pPr>
        <w:pStyle w:val="BodyText"/>
        <w:rPr>
          <w:sz w:val="26"/>
        </w:rPr>
      </w:pPr>
    </w:p>
    <w:p w:rsidR="00E619DD" w:rsidRDefault="00E619DD">
      <w:pPr>
        <w:pStyle w:val="BodyText"/>
        <w:rPr>
          <w:sz w:val="26"/>
        </w:rPr>
      </w:pPr>
    </w:p>
    <w:p w:rsidR="00E619DD" w:rsidRDefault="00E619DD">
      <w:pPr>
        <w:pStyle w:val="BodyText"/>
        <w:rPr>
          <w:sz w:val="26"/>
        </w:rPr>
      </w:pPr>
    </w:p>
    <w:p w:rsidR="00E619DD" w:rsidRDefault="00E619DD">
      <w:pPr>
        <w:pStyle w:val="BodyText"/>
        <w:rPr>
          <w:sz w:val="26"/>
        </w:rPr>
      </w:pPr>
    </w:p>
    <w:p w:rsidR="00E619DD" w:rsidRDefault="00E619DD">
      <w:pPr>
        <w:pStyle w:val="BodyText"/>
        <w:spacing w:before="10"/>
        <w:rPr>
          <w:sz w:val="36"/>
        </w:rPr>
      </w:pPr>
    </w:p>
    <w:p w:rsidR="00E619DD" w:rsidRDefault="00DE311B">
      <w:pPr>
        <w:pStyle w:val="BodyText"/>
        <w:ind w:left="115" w:right="7532"/>
      </w:pPr>
      <w:r>
        <w:pict>
          <v:group id="_x0000_s1026" style="position:absolute;left:0;text-align:left;margin-left:56.7pt;margin-top:28.6pt;width:481.8pt;height:.5pt;z-index:1096;mso-position-horizontal-relative:page" coordorigin="1134,572" coordsize="9636,10">
            <v:line id="_x0000_s1028" style="position:absolute" from="1134,577" to="10770,577" strokeweight=".5pt"/>
            <v:line id="_x0000_s1027" style="position:absolute" from="1134,577" to="10770,577" strokeweight=".5pt"/>
            <w10:wrap anchorx="page"/>
          </v:group>
        </w:pict>
      </w:r>
      <w:r w:rsidR="00AA4429">
        <w:t>Janine Harvey Committee Secretary</w:t>
      </w:r>
    </w:p>
    <w:p w:rsidR="00E619DD" w:rsidRDefault="00E619DD">
      <w:pPr>
        <w:pStyle w:val="BodyText"/>
        <w:spacing w:before="8"/>
        <w:rPr>
          <w:sz w:val="26"/>
        </w:rPr>
      </w:pPr>
    </w:p>
    <w:p w:rsidR="00E619DD" w:rsidRDefault="00AA4429">
      <w:pPr>
        <w:tabs>
          <w:tab w:val="left" w:pos="5043"/>
        </w:tabs>
        <w:ind w:left="115"/>
        <w:rPr>
          <w:rFonts w:ascii="Arial"/>
          <w:b/>
          <w:sz w:val="20"/>
        </w:rPr>
      </w:pPr>
      <w:r>
        <w:rPr>
          <w:rFonts w:ascii="Arial"/>
          <w:b/>
          <w:sz w:val="20"/>
        </w:rPr>
        <w:t>Present:</w:t>
      </w:r>
      <w:r>
        <w:rPr>
          <w:rFonts w:ascii="Arial"/>
          <w:b/>
          <w:sz w:val="20"/>
        </w:rPr>
        <w:tab/>
        <w:t>Officials present</w:t>
      </w:r>
      <w:r>
        <w:rPr>
          <w:rFonts w:ascii="Arial"/>
          <w:b/>
          <w:spacing w:val="-2"/>
          <w:sz w:val="20"/>
        </w:rPr>
        <w:t xml:space="preserve"> </w:t>
      </w:r>
      <w:r>
        <w:rPr>
          <w:rFonts w:ascii="Arial"/>
          <w:b/>
          <w:sz w:val="20"/>
        </w:rPr>
        <w:t>from:</w:t>
      </w:r>
    </w:p>
    <w:p w:rsidR="00E619DD" w:rsidRDefault="00E619DD">
      <w:pPr>
        <w:rPr>
          <w:rFonts w:ascii="Arial"/>
          <w:sz w:val="20"/>
        </w:rPr>
        <w:sectPr w:rsidR="00E619DD">
          <w:pgSz w:w="11900" w:h="16840"/>
          <w:pgMar w:top="840" w:right="1180" w:bottom="780" w:left="1020" w:header="405" w:footer="582" w:gutter="0"/>
          <w:cols w:space="720"/>
        </w:sectPr>
      </w:pPr>
    </w:p>
    <w:p w:rsidR="00E619DD" w:rsidRDefault="00AA4429">
      <w:pPr>
        <w:spacing w:line="229" w:lineRule="exact"/>
        <w:ind w:left="115"/>
        <w:rPr>
          <w:sz w:val="20"/>
        </w:rPr>
      </w:pPr>
      <w:r>
        <w:rPr>
          <w:sz w:val="20"/>
        </w:rPr>
        <w:t>Hon Kelvin</w:t>
      </w:r>
      <w:r>
        <w:rPr>
          <w:spacing w:val="-4"/>
          <w:sz w:val="20"/>
        </w:rPr>
        <w:t xml:space="preserve"> </w:t>
      </w:r>
      <w:r>
        <w:rPr>
          <w:sz w:val="20"/>
        </w:rPr>
        <w:t>Davis</w:t>
      </w:r>
    </w:p>
    <w:p w:rsidR="00E619DD" w:rsidRDefault="00AA4429">
      <w:pPr>
        <w:ind w:left="115" w:right="21"/>
        <w:rPr>
          <w:sz w:val="20"/>
        </w:rPr>
      </w:pPr>
      <w:r>
        <w:rPr>
          <w:sz w:val="20"/>
        </w:rPr>
        <w:t>Hon Grant Robertson (Chair) Hon Phil Twyford</w:t>
      </w:r>
    </w:p>
    <w:p w:rsidR="00E619DD" w:rsidRDefault="00AA4429">
      <w:pPr>
        <w:ind w:left="115" w:right="749"/>
        <w:rPr>
          <w:sz w:val="20"/>
        </w:rPr>
      </w:pPr>
      <w:r>
        <w:rPr>
          <w:sz w:val="20"/>
        </w:rPr>
        <w:t xml:space="preserve">Hon David Parker Hon </w:t>
      </w:r>
      <w:proofErr w:type="spellStart"/>
      <w:r>
        <w:rPr>
          <w:sz w:val="20"/>
        </w:rPr>
        <w:t>Nanaia</w:t>
      </w:r>
      <w:proofErr w:type="spellEnd"/>
      <w:r>
        <w:rPr>
          <w:sz w:val="20"/>
        </w:rPr>
        <w:t xml:space="preserve"> </w:t>
      </w:r>
      <w:proofErr w:type="spellStart"/>
      <w:r>
        <w:rPr>
          <w:sz w:val="20"/>
        </w:rPr>
        <w:t>Mahuta</w:t>
      </w:r>
      <w:proofErr w:type="spellEnd"/>
      <w:r>
        <w:rPr>
          <w:sz w:val="20"/>
        </w:rPr>
        <w:t xml:space="preserve"> Hon Stuart Nash</w:t>
      </w:r>
    </w:p>
    <w:p w:rsidR="00E619DD" w:rsidRDefault="00AA4429">
      <w:pPr>
        <w:ind w:left="115" w:right="393"/>
        <w:rPr>
          <w:sz w:val="20"/>
        </w:rPr>
      </w:pPr>
      <w:r>
        <w:rPr>
          <w:sz w:val="20"/>
        </w:rPr>
        <w:t xml:space="preserve">Hon Iain Lees-Galloway Hon Jenny </w:t>
      </w:r>
      <w:proofErr w:type="spellStart"/>
      <w:r>
        <w:rPr>
          <w:sz w:val="20"/>
        </w:rPr>
        <w:t>Salesa</w:t>
      </w:r>
      <w:proofErr w:type="spellEnd"/>
    </w:p>
    <w:p w:rsidR="00E619DD" w:rsidRDefault="00AA4429">
      <w:pPr>
        <w:ind w:left="115" w:right="499"/>
        <w:jc w:val="both"/>
        <w:rPr>
          <w:sz w:val="20"/>
        </w:rPr>
      </w:pPr>
      <w:r>
        <w:rPr>
          <w:sz w:val="20"/>
        </w:rPr>
        <w:t xml:space="preserve">Hon Damien O’Connor Hon Julie Anne </w:t>
      </w:r>
      <w:proofErr w:type="spellStart"/>
      <w:r>
        <w:rPr>
          <w:sz w:val="20"/>
        </w:rPr>
        <w:t>Genter</w:t>
      </w:r>
      <w:proofErr w:type="spellEnd"/>
      <w:r>
        <w:rPr>
          <w:sz w:val="20"/>
        </w:rPr>
        <w:t xml:space="preserve"> Hon Eugenie Sage</w:t>
      </w:r>
    </w:p>
    <w:p w:rsidR="00E619DD" w:rsidRDefault="00AA4429">
      <w:pPr>
        <w:spacing w:line="229" w:lineRule="exact"/>
        <w:ind w:left="116"/>
        <w:rPr>
          <w:sz w:val="20"/>
        </w:rPr>
      </w:pPr>
      <w:r>
        <w:br w:type="column"/>
      </w:r>
      <w:r>
        <w:rPr>
          <w:sz w:val="20"/>
        </w:rPr>
        <w:t>Officials Committee for DEV</w:t>
      </w:r>
    </w:p>
    <w:p w:rsidR="00E619DD" w:rsidRDefault="00E619DD">
      <w:pPr>
        <w:spacing w:line="229" w:lineRule="exact"/>
        <w:rPr>
          <w:sz w:val="20"/>
        </w:rPr>
        <w:sectPr w:rsidR="00E619DD">
          <w:type w:val="continuous"/>
          <w:pgSz w:w="11900" w:h="16840"/>
          <w:pgMar w:top="840" w:right="1180" w:bottom="780" w:left="1020" w:header="720" w:footer="720" w:gutter="0"/>
          <w:cols w:num="2" w:space="720" w:equalWidth="0">
            <w:col w:w="2506" w:space="2422"/>
            <w:col w:w="4772"/>
          </w:cols>
        </w:sectPr>
      </w:pPr>
    </w:p>
    <w:p w:rsidR="00E619DD" w:rsidRDefault="00E619DD">
      <w:pPr>
        <w:pStyle w:val="BodyText"/>
        <w:spacing w:before="1"/>
        <w:rPr>
          <w:sz w:val="15"/>
        </w:rPr>
      </w:pPr>
    </w:p>
    <w:p w:rsidR="00E619DD" w:rsidRDefault="00AA4429">
      <w:pPr>
        <w:spacing w:before="94" w:line="229" w:lineRule="exact"/>
        <w:ind w:left="115"/>
        <w:rPr>
          <w:rFonts w:ascii="Arial"/>
          <w:b/>
          <w:sz w:val="20"/>
        </w:rPr>
      </w:pPr>
      <w:r>
        <w:rPr>
          <w:rFonts w:ascii="Arial"/>
          <w:b/>
          <w:sz w:val="20"/>
        </w:rPr>
        <w:t>Hard-copy distribution:</w:t>
      </w:r>
    </w:p>
    <w:p w:rsidR="00E619DD" w:rsidRDefault="00AA4429">
      <w:pPr>
        <w:spacing w:line="229" w:lineRule="exact"/>
        <w:ind w:left="115"/>
        <w:rPr>
          <w:sz w:val="20"/>
        </w:rPr>
      </w:pPr>
      <w:r>
        <w:rPr>
          <w:sz w:val="20"/>
        </w:rPr>
        <w:t>Minister of Revenue</w:t>
      </w:r>
    </w:p>
    <w:sectPr w:rsidR="00E619DD">
      <w:type w:val="continuous"/>
      <w:pgSz w:w="11900" w:h="16840"/>
      <w:pgMar w:top="840" w:right="1180" w:bottom="7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2C6" w:rsidRDefault="00AA4429">
      <w:r>
        <w:separator/>
      </w:r>
    </w:p>
  </w:endnote>
  <w:endnote w:type="continuationSeparator" w:id="0">
    <w:p w:rsidR="002062C6" w:rsidRDefault="00AA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9DD" w:rsidRDefault="00DE311B">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7.8pt;margin-top:801.9pt;width:10pt;height:15.3pt;z-index:-5200;mso-position-horizontal-relative:page;mso-position-vertical-relative:page" filled="f" stroked="f">
          <v:textbox inset="0,0,0,0">
            <w:txbxContent>
              <w:p w:rsidR="00E619DD" w:rsidRDefault="00AA4429">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w:r>
    <w:r>
      <w:pict>
        <v:shape id="_x0000_s2050" type="#_x0000_t202" style="position:absolute;margin-left:236.3pt;margin-top:815.55pt;width:116.75pt;height:13.2pt;z-index:-5176;mso-position-horizontal-relative:page;mso-position-vertical-relative:page" filled="f" stroked="f">
          <v:textbox inset="0,0,0,0">
            <w:txbxContent>
              <w:p w:rsidR="00E619DD" w:rsidRDefault="00AA4429">
                <w:pPr>
                  <w:spacing w:before="13"/>
                  <w:ind w:left="20"/>
                  <w:rPr>
                    <w:rFonts w:ascii="Arial"/>
                    <w:b/>
                    <w:sz w:val="20"/>
                  </w:rPr>
                </w:pPr>
                <w:r>
                  <w:rPr>
                    <w:rFonts w:ascii="Arial"/>
                    <w:b/>
                    <w:sz w:val="20"/>
                  </w:rPr>
                  <w:t>I N  C O N F I D E N C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2C6" w:rsidRDefault="00AA4429">
      <w:r>
        <w:separator/>
      </w:r>
    </w:p>
  </w:footnote>
  <w:footnote w:type="continuationSeparator" w:id="0">
    <w:p w:rsidR="002062C6" w:rsidRDefault="00AA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9DD" w:rsidRDefault="00DE311B">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36.3pt;margin-top:19.25pt;width:116.75pt;height:13.2pt;z-index:-5248;mso-position-horizontal-relative:page;mso-position-vertical-relative:page" filled="f" stroked="f">
          <v:textbox inset="0,0,0,0">
            <w:txbxContent>
              <w:p w:rsidR="00E619DD" w:rsidRDefault="00AA4429">
                <w:pPr>
                  <w:spacing w:before="13"/>
                  <w:ind w:left="20"/>
                  <w:rPr>
                    <w:rFonts w:ascii="Arial"/>
                    <w:b/>
                    <w:sz w:val="20"/>
                  </w:rPr>
                </w:pPr>
                <w:r>
                  <w:rPr>
                    <w:rFonts w:ascii="Arial"/>
                    <w:b/>
                    <w:sz w:val="20"/>
                  </w:rPr>
                  <w:t>I N  C O N F I D E N C E</w:t>
                </w:r>
              </w:p>
            </w:txbxContent>
          </v:textbox>
          <w10:wrap anchorx="page" anchory="page"/>
        </v:shape>
      </w:pict>
    </w:r>
    <w:r>
      <w:pict>
        <v:shape id="_x0000_s2052" type="#_x0000_t202" style="position:absolute;margin-left:452.7pt;margin-top:30.75pt;width:84.2pt;height:13.2pt;z-index:-5224;mso-position-horizontal-relative:page;mso-position-vertical-relative:page" filled="f" stroked="f">
          <v:textbox inset="0,0,0,0">
            <w:txbxContent>
              <w:p w:rsidR="00E619DD" w:rsidRDefault="00AA4429">
                <w:pPr>
                  <w:spacing w:before="13"/>
                  <w:ind w:left="20"/>
                  <w:rPr>
                    <w:rFonts w:ascii="Arial"/>
                    <w:b/>
                    <w:sz w:val="20"/>
                  </w:rPr>
                </w:pPr>
                <w:r>
                  <w:rPr>
                    <w:rFonts w:ascii="Arial"/>
                    <w:b/>
                    <w:sz w:val="20"/>
                  </w:rPr>
                  <w:t>DEV-19-MIN-0058</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66E89"/>
    <w:multiLevelType w:val="multilevel"/>
    <w:tmpl w:val="A34C33AA"/>
    <w:lvl w:ilvl="0">
      <w:start w:val="1"/>
      <w:numFmt w:val="decimal"/>
      <w:lvlText w:val="%1"/>
      <w:lvlJc w:val="left"/>
      <w:pPr>
        <w:ind w:left="836" w:hanging="720"/>
        <w:jc w:val="left"/>
      </w:pPr>
      <w:rPr>
        <w:rFonts w:ascii="Times New Roman" w:eastAsia="Times New Roman" w:hAnsi="Times New Roman" w:cs="Times New Roman" w:hint="default"/>
        <w:spacing w:val="-1"/>
        <w:w w:val="100"/>
        <w:sz w:val="24"/>
        <w:szCs w:val="24"/>
        <w:lang w:val="en-NZ" w:eastAsia="en-NZ" w:bidi="en-NZ"/>
      </w:rPr>
    </w:lvl>
    <w:lvl w:ilvl="1">
      <w:start w:val="1"/>
      <w:numFmt w:val="decimal"/>
      <w:lvlText w:val="%1.%2"/>
      <w:lvlJc w:val="left"/>
      <w:pPr>
        <w:ind w:left="1556" w:hanging="720"/>
        <w:jc w:val="left"/>
      </w:pPr>
      <w:rPr>
        <w:rFonts w:ascii="Times New Roman" w:eastAsia="Times New Roman" w:hAnsi="Times New Roman" w:cs="Times New Roman" w:hint="default"/>
        <w:spacing w:val="-3"/>
        <w:w w:val="100"/>
        <w:sz w:val="24"/>
        <w:szCs w:val="24"/>
        <w:lang w:val="en-NZ" w:eastAsia="en-NZ" w:bidi="en-NZ"/>
      </w:rPr>
    </w:lvl>
    <w:lvl w:ilvl="2">
      <w:numFmt w:val="bullet"/>
      <w:lvlText w:val="•"/>
      <w:lvlJc w:val="left"/>
      <w:pPr>
        <w:ind w:left="2464" w:hanging="720"/>
      </w:pPr>
      <w:rPr>
        <w:rFonts w:hint="default"/>
        <w:lang w:val="en-NZ" w:eastAsia="en-NZ" w:bidi="en-NZ"/>
      </w:rPr>
    </w:lvl>
    <w:lvl w:ilvl="3">
      <w:numFmt w:val="bullet"/>
      <w:lvlText w:val="•"/>
      <w:lvlJc w:val="left"/>
      <w:pPr>
        <w:ind w:left="3368" w:hanging="720"/>
      </w:pPr>
      <w:rPr>
        <w:rFonts w:hint="default"/>
        <w:lang w:val="en-NZ" w:eastAsia="en-NZ" w:bidi="en-NZ"/>
      </w:rPr>
    </w:lvl>
    <w:lvl w:ilvl="4">
      <w:numFmt w:val="bullet"/>
      <w:lvlText w:val="•"/>
      <w:lvlJc w:val="left"/>
      <w:pPr>
        <w:ind w:left="4273" w:hanging="720"/>
      </w:pPr>
      <w:rPr>
        <w:rFonts w:hint="default"/>
        <w:lang w:val="en-NZ" w:eastAsia="en-NZ" w:bidi="en-NZ"/>
      </w:rPr>
    </w:lvl>
    <w:lvl w:ilvl="5">
      <w:numFmt w:val="bullet"/>
      <w:lvlText w:val="•"/>
      <w:lvlJc w:val="left"/>
      <w:pPr>
        <w:ind w:left="5177" w:hanging="720"/>
      </w:pPr>
      <w:rPr>
        <w:rFonts w:hint="default"/>
        <w:lang w:val="en-NZ" w:eastAsia="en-NZ" w:bidi="en-NZ"/>
      </w:rPr>
    </w:lvl>
    <w:lvl w:ilvl="6">
      <w:numFmt w:val="bullet"/>
      <w:lvlText w:val="•"/>
      <w:lvlJc w:val="left"/>
      <w:pPr>
        <w:ind w:left="6082" w:hanging="720"/>
      </w:pPr>
      <w:rPr>
        <w:rFonts w:hint="default"/>
        <w:lang w:val="en-NZ" w:eastAsia="en-NZ" w:bidi="en-NZ"/>
      </w:rPr>
    </w:lvl>
    <w:lvl w:ilvl="7">
      <w:numFmt w:val="bullet"/>
      <w:lvlText w:val="•"/>
      <w:lvlJc w:val="left"/>
      <w:pPr>
        <w:ind w:left="6986" w:hanging="720"/>
      </w:pPr>
      <w:rPr>
        <w:rFonts w:hint="default"/>
        <w:lang w:val="en-NZ" w:eastAsia="en-NZ" w:bidi="en-NZ"/>
      </w:rPr>
    </w:lvl>
    <w:lvl w:ilvl="8">
      <w:numFmt w:val="bullet"/>
      <w:lvlText w:val="•"/>
      <w:lvlJc w:val="left"/>
      <w:pPr>
        <w:ind w:left="7891" w:hanging="720"/>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619DD"/>
    <w:rsid w:val="002062C6"/>
    <w:rsid w:val="00AA4429"/>
    <w:rsid w:val="00DE311B"/>
    <w:rsid w:val="00E619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27D2BAA-5890-4F49-802D-2074EBC0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720"/>
    </w:pPr>
  </w:style>
  <w:style w:type="paragraph" w:customStyle="1" w:styleId="TableParagraph">
    <w:name w:val="Table Paragraph"/>
    <w:basedOn w:val="Normal"/>
    <w:uiPriority w:val="1"/>
    <w:qFormat/>
    <w:pPr>
      <w:spacing w:before="1"/>
    </w:pPr>
  </w:style>
  <w:style w:type="paragraph" w:styleId="Header">
    <w:name w:val="header"/>
    <w:basedOn w:val="Normal"/>
    <w:link w:val="HeaderChar"/>
    <w:uiPriority w:val="99"/>
    <w:unhideWhenUsed/>
    <w:rsid w:val="00AA4429"/>
    <w:pPr>
      <w:tabs>
        <w:tab w:val="center" w:pos="4513"/>
        <w:tab w:val="right" w:pos="9026"/>
      </w:tabs>
    </w:pPr>
  </w:style>
  <w:style w:type="character" w:customStyle="1" w:styleId="HeaderChar">
    <w:name w:val="Header Char"/>
    <w:basedOn w:val="DefaultParagraphFont"/>
    <w:link w:val="Header"/>
    <w:uiPriority w:val="99"/>
    <w:rsid w:val="00AA4429"/>
    <w:rPr>
      <w:rFonts w:ascii="Times New Roman" w:eastAsia="Times New Roman" w:hAnsi="Times New Roman" w:cs="Times New Roman"/>
      <w:lang w:val="en-NZ" w:eastAsia="en-NZ" w:bidi="en-NZ"/>
    </w:rPr>
  </w:style>
  <w:style w:type="paragraph" w:styleId="Footer">
    <w:name w:val="footer"/>
    <w:basedOn w:val="Normal"/>
    <w:link w:val="FooterChar"/>
    <w:uiPriority w:val="99"/>
    <w:unhideWhenUsed/>
    <w:rsid w:val="00AA4429"/>
    <w:pPr>
      <w:tabs>
        <w:tab w:val="center" w:pos="4513"/>
        <w:tab w:val="right" w:pos="9026"/>
      </w:tabs>
    </w:pPr>
  </w:style>
  <w:style w:type="character" w:customStyle="1" w:styleId="FooterChar">
    <w:name w:val="Footer Char"/>
    <w:basedOn w:val="DefaultParagraphFont"/>
    <w:link w:val="Footer"/>
    <w:uiPriority w:val="99"/>
    <w:rsid w:val="00AA4429"/>
    <w:rPr>
      <w:rFonts w:ascii="Times New Roman" w:eastAsia="Times New Roman" w:hAnsi="Times New Roman" w:cs="Times New Roman"/>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1635</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DEV-19-MIN-0058 – Minute: Overseas donee status: new additions for inclusion in the next available taxation bill (3 April 2019)</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DEV-19-MIN-0058 – Minute: Overseas donee status: new additions for inclusion in the next available taxation bill (3 April 2019)</dc:title>
  <dc:creator/>
  <dcterms:created xsi:type="dcterms:W3CDTF">2019-06-21T04:58:00Z</dcterms:created>
  <dcterms:modified xsi:type="dcterms:W3CDTF">2019-06-21T04:59:00Z</dcterms:modified>
</cp:coreProperties>
</file>