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D6FF" w14:textId="77777777" w:rsidR="004B6934" w:rsidRPr="00895779" w:rsidRDefault="00BF5F49" w:rsidP="00895779">
      <w:pPr>
        <w:rPr>
          <w:rFonts w:ascii="Arial" w:hAnsi="Arial" w:cs="Arial"/>
          <w:sz w:val="24"/>
          <w:szCs w:val="24"/>
        </w:rPr>
      </w:pPr>
      <w:bookmarkStart w:id="0" w:name="_GoBack"/>
      <w:bookmarkEnd w:id="0"/>
      <w:r>
        <w:rPr>
          <w:rFonts w:ascii="Arial" w:hAnsi="Arial" w:cs="Arial"/>
          <w:sz w:val="24"/>
          <w:szCs w:val="24"/>
        </w:rPr>
        <w:t>Sensitive</w:t>
      </w:r>
    </w:p>
    <w:p w14:paraId="1E3CDAC4" w14:textId="77777777" w:rsidR="004B6934" w:rsidRPr="00895779" w:rsidRDefault="004B6934" w:rsidP="00895779">
      <w:pPr>
        <w:rPr>
          <w:rFonts w:ascii="Arial" w:hAnsi="Arial" w:cs="Arial"/>
          <w:sz w:val="24"/>
          <w:szCs w:val="24"/>
        </w:rPr>
      </w:pPr>
    </w:p>
    <w:p w14:paraId="1FA15AC9" w14:textId="77777777" w:rsidR="004B6934" w:rsidRDefault="004B6934" w:rsidP="00895779">
      <w:pPr>
        <w:rPr>
          <w:rFonts w:ascii="Arial" w:hAnsi="Arial" w:cs="Arial"/>
          <w:sz w:val="24"/>
          <w:szCs w:val="24"/>
        </w:rPr>
      </w:pPr>
      <w:r w:rsidRPr="00895779">
        <w:rPr>
          <w:rFonts w:ascii="Arial" w:hAnsi="Arial" w:cs="Arial"/>
          <w:sz w:val="24"/>
          <w:szCs w:val="24"/>
        </w:rPr>
        <w:t xml:space="preserve">Office of the Minister </w:t>
      </w:r>
      <w:r w:rsidR="00BF5F49">
        <w:rPr>
          <w:rFonts w:ascii="Arial" w:hAnsi="Arial" w:cs="Arial"/>
          <w:sz w:val="24"/>
          <w:szCs w:val="24"/>
        </w:rPr>
        <w:t>of Finance</w:t>
      </w:r>
    </w:p>
    <w:p w14:paraId="0C2492BC" w14:textId="77777777" w:rsidR="00BF5F49" w:rsidRDefault="00BF5F49" w:rsidP="00BF5F49">
      <w:pPr>
        <w:rPr>
          <w:rFonts w:ascii="Arial" w:hAnsi="Arial" w:cs="Arial"/>
          <w:sz w:val="24"/>
          <w:szCs w:val="24"/>
        </w:rPr>
      </w:pPr>
      <w:r w:rsidRPr="00895779">
        <w:rPr>
          <w:rFonts w:ascii="Arial" w:hAnsi="Arial" w:cs="Arial"/>
          <w:sz w:val="24"/>
          <w:szCs w:val="24"/>
        </w:rPr>
        <w:t xml:space="preserve">Office of the Minister </w:t>
      </w:r>
      <w:r>
        <w:rPr>
          <w:rFonts w:ascii="Arial" w:hAnsi="Arial" w:cs="Arial"/>
          <w:sz w:val="24"/>
          <w:szCs w:val="24"/>
        </w:rPr>
        <w:t>of Revenue</w:t>
      </w:r>
    </w:p>
    <w:p w14:paraId="721DF53C" w14:textId="77777777" w:rsidR="00BF5F49" w:rsidRPr="00895779" w:rsidRDefault="00BF5F49" w:rsidP="00895779">
      <w:pPr>
        <w:rPr>
          <w:rFonts w:ascii="Arial" w:hAnsi="Arial" w:cs="Arial"/>
          <w:sz w:val="24"/>
          <w:szCs w:val="24"/>
        </w:rPr>
      </w:pPr>
    </w:p>
    <w:p w14:paraId="0255EED2" w14:textId="77777777" w:rsidR="00FC48B3" w:rsidRDefault="00FC48B3" w:rsidP="00895779">
      <w:pPr>
        <w:rPr>
          <w:rFonts w:ascii="Arial" w:hAnsi="Arial" w:cs="Arial"/>
          <w:sz w:val="24"/>
          <w:szCs w:val="24"/>
        </w:rPr>
      </w:pPr>
      <w:r>
        <w:rPr>
          <w:rFonts w:ascii="Arial" w:hAnsi="Arial" w:cs="Arial"/>
          <w:sz w:val="24"/>
          <w:szCs w:val="24"/>
        </w:rPr>
        <w:t>Cabinet</w:t>
      </w:r>
    </w:p>
    <w:p w14:paraId="35B790AF" w14:textId="77777777" w:rsidR="00C46970" w:rsidRDefault="004B6934" w:rsidP="00895779">
      <w:pPr>
        <w:rPr>
          <w:rFonts w:ascii="Arial" w:hAnsi="Arial" w:cs="Arial"/>
          <w:sz w:val="24"/>
          <w:szCs w:val="24"/>
        </w:rPr>
      </w:pPr>
      <w:r w:rsidRPr="00895779">
        <w:rPr>
          <w:rFonts w:ascii="Arial" w:hAnsi="Arial" w:cs="Arial"/>
          <w:sz w:val="24"/>
          <w:szCs w:val="24"/>
        </w:rPr>
        <w:t>Chair</w:t>
      </w:r>
    </w:p>
    <w:p w14:paraId="5E364B5D" w14:textId="77777777" w:rsidR="00BF1725" w:rsidRPr="00895779" w:rsidRDefault="00BF1725" w:rsidP="00895779">
      <w:pPr>
        <w:rPr>
          <w:rFonts w:ascii="Arial" w:hAnsi="Arial" w:cs="Arial"/>
          <w:sz w:val="24"/>
          <w:szCs w:val="24"/>
        </w:rPr>
      </w:pPr>
    </w:p>
    <w:p w14:paraId="63F60BB2" w14:textId="77777777" w:rsidR="004B6934" w:rsidRPr="00895779" w:rsidRDefault="00CC4ECE" w:rsidP="00895779">
      <w:pPr>
        <w:rPr>
          <w:rFonts w:ascii="Arial" w:hAnsi="Arial" w:cs="Arial"/>
          <w:sz w:val="24"/>
          <w:szCs w:val="24"/>
        </w:rPr>
      </w:pPr>
      <w:r>
        <w:rPr>
          <w:rStyle w:val="Heading1Char"/>
        </w:rPr>
        <w:t xml:space="preserve">Government </w:t>
      </w:r>
      <w:r w:rsidR="00BF5F49">
        <w:rPr>
          <w:rStyle w:val="Heading1Char"/>
        </w:rPr>
        <w:t>R</w:t>
      </w:r>
      <w:r w:rsidR="00907B40">
        <w:rPr>
          <w:rStyle w:val="Heading1Char"/>
        </w:rPr>
        <w:t xml:space="preserve">esponse to </w:t>
      </w:r>
      <w:r>
        <w:rPr>
          <w:rStyle w:val="Heading1Char"/>
        </w:rPr>
        <w:t xml:space="preserve">the </w:t>
      </w:r>
      <w:r w:rsidR="00907B40">
        <w:rPr>
          <w:rStyle w:val="Heading1Char"/>
        </w:rPr>
        <w:t>Tax Working Group</w:t>
      </w:r>
    </w:p>
    <w:p w14:paraId="712B8E7E" w14:textId="77777777" w:rsidR="004B6934" w:rsidRPr="00BE7A41" w:rsidRDefault="004B6934" w:rsidP="008C0B1C">
      <w:pPr>
        <w:pStyle w:val="Heading2"/>
        <w:numPr>
          <w:ilvl w:val="0"/>
          <w:numId w:val="0"/>
        </w:numPr>
      </w:pPr>
      <w:r w:rsidRPr="00BE7A41">
        <w:t>Proposal</w:t>
      </w:r>
    </w:p>
    <w:p w14:paraId="2F066804" w14:textId="77777777" w:rsidR="00F440EB" w:rsidRPr="00895477" w:rsidRDefault="00907B40" w:rsidP="00895477">
      <w:pPr>
        <w:pStyle w:val="ListParagraph"/>
        <w:numPr>
          <w:ilvl w:val="0"/>
          <w:numId w:val="1"/>
        </w:numPr>
        <w:ind w:left="709" w:hanging="709"/>
        <w:contextualSpacing w:val="0"/>
        <w:jc w:val="both"/>
        <w:rPr>
          <w:rFonts w:ascii="Arial" w:hAnsi="Arial" w:cs="Arial"/>
          <w:sz w:val="24"/>
          <w:szCs w:val="24"/>
        </w:rPr>
      </w:pPr>
      <w:r w:rsidRPr="007775D4">
        <w:rPr>
          <w:rFonts w:ascii="Arial" w:hAnsi="Arial" w:cs="Arial"/>
          <w:sz w:val="24"/>
          <w:szCs w:val="24"/>
        </w:rPr>
        <w:t xml:space="preserve">This paper </w:t>
      </w:r>
      <w:r w:rsidR="007775D4" w:rsidRPr="007775D4">
        <w:rPr>
          <w:rFonts w:ascii="Arial" w:hAnsi="Arial" w:cs="Arial"/>
          <w:sz w:val="24"/>
          <w:szCs w:val="24"/>
        </w:rPr>
        <w:t>proposes the</w:t>
      </w:r>
      <w:r w:rsidR="00F440EB">
        <w:rPr>
          <w:rFonts w:ascii="Arial" w:hAnsi="Arial" w:cs="Arial"/>
          <w:sz w:val="24"/>
          <w:szCs w:val="24"/>
        </w:rPr>
        <w:t xml:space="preserve"> overall</w:t>
      </w:r>
      <w:r w:rsidR="007775D4" w:rsidRPr="007775D4">
        <w:rPr>
          <w:rFonts w:ascii="Arial" w:hAnsi="Arial" w:cs="Arial"/>
          <w:sz w:val="24"/>
          <w:szCs w:val="24"/>
        </w:rPr>
        <w:t xml:space="preserve"> Government response to the</w:t>
      </w:r>
      <w:r w:rsidR="00F440EB">
        <w:rPr>
          <w:rFonts w:ascii="Arial" w:hAnsi="Arial" w:cs="Arial"/>
          <w:sz w:val="24"/>
          <w:szCs w:val="24"/>
        </w:rPr>
        <w:t xml:space="preserve"> recommendations of the</w:t>
      </w:r>
      <w:r w:rsidR="007775D4" w:rsidRPr="007775D4">
        <w:rPr>
          <w:rFonts w:ascii="Arial" w:hAnsi="Arial" w:cs="Arial"/>
          <w:sz w:val="24"/>
          <w:szCs w:val="24"/>
        </w:rPr>
        <w:t xml:space="preserve"> </w:t>
      </w:r>
      <w:r w:rsidRPr="007775D4">
        <w:rPr>
          <w:rFonts w:ascii="Arial" w:hAnsi="Arial" w:cs="Arial"/>
          <w:sz w:val="24"/>
          <w:szCs w:val="24"/>
        </w:rPr>
        <w:t>T</w:t>
      </w:r>
      <w:r w:rsidR="007775D4" w:rsidRPr="007775D4">
        <w:rPr>
          <w:rFonts w:ascii="Arial" w:hAnsi="Arial" w:cs="Arial"/>
          <w:sz w:val="24"/>
          <w:szCs w:val="24"/>
        </w:rPr>
        <w:t xml:space="preserve">ax </w:t>
      </w:r>
      <w:r w:rsidRPr="007775D4">
        <w:rPr>
          <w:rFonts w:ascii="Arial" w:hAnsi="Arial" w:cs="Arial"/>
          <w:sz w:val="24"/>
          <w:szCs w:val="24"/>
        </w:rPr>
        <w:t>W</w:t>
      </w:r>
      <w:r w:rsidR="007775D4" w:rsidRPr="007775D4">
        <w:rPr>
          <w:rFonts w:ascii="Arial" w:hAnsi="Arial" w:cs="Arial"/>
          <w:sz w:val="24"/>
          <w:szCs w:val="24"/>
        </w:rPr>
        <w:t xml:space="preserve">orking </w:t>
      </w:r>
      <w:r w:rsidRPr="007775D4">
        <w:rPr>
          <w:rFonts w:ascii="Arial" w:hAnsi="Arial" w:cs="Arial"/>
          <w:sz w:val="24"/>
          <w:szCs w:val="24"/>
        </w:rPr>
        <w:t>G</w:t>
      </w:r>
      <w:r w:rsidR="007775D4" w:rsidRPr="007775D4">
        <w:rPr>
          <w:rFonts w:ascii="Arial" w:hAnsi="Arial" w:cs="Arial"/>
          <w:sz w:val="24"/>
          <w:szCs w:val="24"/>
        </w:rPr>
        <w:t>roup</w:t>
      </w:r>
      <w:r w:rsidRPr="007775D4">
        <w:rPr>
          <w:rFonts w:ascii="Arial" w:hAnsi="Arial" w:cs="Arial"/>
          <w:sz w:val="24"/>
          <w:szCs w:val="24"/>
        </w:rPr>
        <w:t xml:space="preserve"> </w:t>
      </w:r>
      <w:r w:rsidR="007775D4" w:rsidRPr="007775D4">
        <w:rPr>
          <w:rFonts w:ascii="Arial" w:hAnsi="Arial" w:cs="Arial"/>
          <w:sz w:val="24"/>
          <w:szCs w:val="24"/>
        </w:rPr>
        <w:t>(TWG).</w:t>
      </w:r>
    </w:p>
    <w:p w14:paraId="23D13F31" w14:textId="77777777" w:rsidR="00F440EB" w:rsidRDefault="00F440EB" w:rsidP="00895477">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table attached to this Cabinet paper outlines the proposed Government response to each of the TWG’s recommendations.</w:t>
      </w:r>
    </w:p>
    <w:p w14:paraId="2D71F732" w14:textId="77777777" w:rsidR="004B6934" w:rsidRPr="00DF0347" w:rsidRDefault="004B6934" w:rsidP="00895477">
      <w:pPr>
        <w:pStyle w:val="Heading2"/>
        <w:numPr>
          <w:ilvl w:val="0"/>
          <w:numId w:val="0"/>
        </w:numPr>
      </w:pPr>
      <w:r w:rsidRPr="00DF0347">
        <w:t>Executive Summary</w:t>
      </w:r>
    </w:p>
    <w:p w14:paraId="0824FC14" w14:textId="77777777" w:rsidR="001D1C40" w:rsidRDefault="001D1C40" w:rsidP="000C1797">
      <w:pPr>
        <w:pStyle w:val="ListParagraph"/>
        <w:numPr>
          <w:ilvl w:val="0"/>
          <w:numId w:val="1"/>
        </w:numPr>
        <w:ind w:left="709" w:hanging="709"/>
        <w:contextualSpacing w:val="0"/>
        <w:jc w:val="both"/>
        <w:rPr>
          <w:rFonts w:ascii="Arial" w:hAnsi="Arial" w:cs="Arial"/>
          <w:sz w:val="24"/>
          <w:szCs w:val="24"/>
        </w:rPr>
      </w:pPr>
      <w:r w:rsidRPr="00655D67">
        <w:rPr>
          <w:rFonts w:ascii="Arial" w:hAnsi="Arial" w:cs="Arial"/>
          <w:sz w:val="24"/>
          <w:szCs w:val="24"/>
        </w:rPr>
        <w:t xml:space="preserve">The TWG’s Final Report makes 99 recommendations. This paper </w:t>
      </w:r>
      <w:r w:rsidR="00D31E76">
        <w:rPr>
          <w:rFonts w:ascii="Arial" w:hAnsi="Arial" w:cs="Arial"/>
          <w:sz w:val="24"/>
          <w:szCs w:val="24"/>
        </w:rPr>
        <w:t xml:space="preserve">sets out the </w:t>
      </w:r>
      <w:r w:rsidRPr="00655D67">
        <w:rPr>
          <w:rFonts w:ascii="Arial" w:hAnsi="Arial" w:cs="Arial"/>
          <w:sz w:val="24"/>
          <w:szCs w:val="24"/>
        </w:rPr>
        <w:t>Government</w:t>
      </w:r>
      <w:r w:rsidR="00131AE2">
        <w:rPr>
          <w:rFonts w:ascii="Arial" w:hAnsi="Arial" w:cs="Arial"/>
          <w:sz w:val="24"/>
          <w:szCs w:val="24"/>
        </w:rPr>
        <w:t>’s</w:t>
      </w:r>
      <w:r w:rsidR="00D31E76">
        <w:rPr>
          <w:rFonts w:ascii="Arial" w:hAnsi="Arial" w:cs="Arial"/>
          <w:sz w:val="24"/>
          <w:szCs w:val="24"/>
        </w:rPr>
        <w:t xml:space="preserve"> proposed</w:t>
      </w:r>
      <w:r w:rsidRPr="00655D67">
        <w:rPr>
          <w:rFonts w:ascii="Arial" w:hAnsi="Arial" w:cs="Arial"/>
          <w:sz w:val="24"/>
          <w:szCs w:val="24"/>
        </w:rPr>
        <w:t xml:space="preserve"> response to </w:t>
      </w:r>
      <w:r w:rsidR="00131AE2">
        <w:rPr>
          <w:rFonts w:ascii="Arial" w:hAnsi="Arial" w:cs="Arial"/>
          <w:sz w:val="24"/>
          <w:szCs w:val="24"/>
        </w:rPr>
        <w:t>the</w:t>
      </w:r>
      <w:r w:rsidR="001503F0">
        <w:rPr>
          <w:rFonts w:ascii="Arial" w:hAnsi="Arial" w:cs="Arial"/>
          <w:sz w:val="24"/>
          <w:szCs w:val="24"/>
        </w:rPr>
        <w:t>se</w:t>
      </w:r>
      <w:r w:rsidR="00131AE2" w:rsidRPr="00655D67">
        <w:rPr>
          <w:rFonts w:ascii="Arial" w:hAnsi="Arial" w:cs="Arial"/>
          <w:sz w:val="24"/>
          <w:szCs w:val="24"/>
        </w:rPr>
        <w:t xml:space="preserve"> </w:t>
      </w:r>
      <w:r w:rsidRPr="00655D67">
        <w:rPr>
          <w:rFonts w:ascii="Arial" w:hAnsi="Arial" w:cs="Arial"/>
          <w:sz w:val="24"/>
          <w:szCs w:val="24"/>
        </w:rPr>
        <w:t>recommendations</w:t>
      </w:r>
      <w:r w:rsidR="004A696F" w:rsidRPr="00655D67">
        <w:rPr>
          <w:rFonts w:ascii="Arial" w:hAnsi="Arial" w:cs="Arial"/>
          <w:sz w:val="24"/>
          <w:szCs w:val="24"/>
        </w:rPr>
        <w:t>.</w:t>
      </w:r>
    </w:p>
    <w:p w14:paraId="0DE7469D" w14:textId="76F62C1F" w:rsidR="00A71949" w:rsidRPr="00210FE3" w:rsidRDefault="009641AB" w:rsidP="006E7529">
      <w:pPr>
        <w:pStyle w:val="ListParagraph"/>
        <w:numPr>
          <w:ilvl w:val="0"/>
          <w:numId w:val="1"/>
        </w:numPr>
        <w:spacing w:after="240" w:line="240" w:lineRule="auto"/>
        <w:ind w:left="709" w:hanging="709"/>
        <w:contextualSpacing w:val="0"/>
        <w:jc w:val="both"/>
        <w:rPr>
          <w:rFonts w:ascii="Arial" w:hAnsi="Arial" w:cs="Arial"/>
          <w:b/>
          <w:i/>
          <w:sz w:val="24"/>
          <w:szCs w:val="24"/>
        </w:rPr>
      </w:pPr>
      <w:r w:rsidRPr="00210FE3">
        <w:rPr>
          <w:rFonts w:ascii="Arial" w:hAnsi="Arial" w:cs="Arial"/>
          <w:sz w:val="24"/>
          <w:szCs w:val="24"/>
        </w:rPr>
        <w:t xml:space="preserve">In response to the TWG’s recommendations on capital gains taxation, after extensive consultation with coalition partners, the Government has been unable to reach </w:t>
      </w:r>
      <w:r w:rsidR="00077DBB">
        <w:rPr>
          <w:rFonts w:ascii="Arial" w:hAnsi="Arial" w:cs="Arial"/>
          <w:sz w:val="24"/>
          <w:szCs w:val="24"/>
        </w:rPr>
        <w:t>consensus</w:t>
      </w:r>
      <w:r w:rsidRPr="00210FE3">
        <w:rPr>
          <w:rFonts w:ascii="Arial" w:hAnsi="Arial" w:cs="Arial"/>
          <w:sz w:val="24"/>
          <w:szCs w:val="24"/>
        </w:rPr>
        <w:t xml:space="preserve"> on its response to the TWG’s recommendations on capital gains taxation.  </w:t>
      </w:r>
      <w:proofErr w:type="gramStart"/>
      <w:r w:rsidRPr="00210FE3">
        <w:rPr>
          <w:rFonts w:ascii="Arial" w:hAnsi="Arial" w:cs="Arial"/>
          <w:sz w:val="24"/>
          <w:szCs w:val="24"/>
        </w:rPr>
        <w:t>Consequently</w:t>
      </w:r>
      <w:proofErr w:type="gramEnd"/>
      <w:r w:rsidRPr="00210FE3">
        <w:rPr>
          <w:rFonts w:ascii="Arial" w:hAnsi="Arial" w:cs="Arial"/>
          <w:sz w:val="24"/>
          <w:szCs w:val="24"/>
        </w:rPr>
        <w:t xml:space="preserve"> the Government is not proposing to adopt any of the TWG’s recommendation on capital gains taxation.  This means there will </w:t>
      </w:r>
      <w:r w:rsidR="00173A97">
        <w:rPr>
          <w:rFonts w:ascii="Arial" w:hAnsi="Arial" w:cs="Arial"/>
          <w:sz w:val="24"/>
          <w:szCs w:val="24"/>
        </w:rPr>
        <w:t xml:space="preserve">be </w:t>
      </w:r>
      <w:r w:rsidRPr="00210FE3">
        <w:rPr>
          <w:rFonts w:ascii="Arial" w:hAnsi="Arial" w:cs="Arial"/>
          <w:sz w:val="24"/>
          <w:szCs w:val="24"/>
        </w:rPr>
        <w:t xml:space="preserve">no changes to the taxation rules on taxing capital income as a result of </w:t>
      </w:r>
      <w:r w:rsidR="001B3993">
        <w:rPr>
          <w:rFonts w:ascii="Arial" w:hAnsi="Arial" w:cs="Arial"/>
          <w:sz w:val="24"/>
          <w:szCs w:val="24"/>
        </w:rPr>
        <w:t xml:space="preserve">capital gains taxation recommendations in the </w:t>
      </w:r>
      <w:r w:rsidRPr="00210FE3">
        <w:rPr>
          <w:rFonts w:ascii="Arial" w:hAnsi="Arial" w:cs="Arial"/>
          <w:sz w:val="24"/>
          <w:szCs w:val="24"/>
        </w:rPr>
        <w:t xml:space="preserve">TWG report and no further work </w:t>
      </w:r>
      <w:r w:rsidR="00EB7F40">
        <w:rPr>
          <w:rFonts w:ascii="Arial" w:hAnsi="Arial" w:cs="Arial"/>
          <w:sz w:val="24"/>
          <w:szCs w:val="24"/>
        </w:rPr>
        <w:t xml:space="preserve">on these recommendations </w:t>
      </w:r>
      <w:r w:rsidRPr="00210FE3">
        <w:rPr>
          <w:rFonts w:ascii="Arial" w:hAnsi="Arial" w:cs="Arial"/>
          <w:sz w:val="24"/>
          <w:szCs w:val="24"/>
        </w:rPr>
        <w:t xml:space="preserve">is necessary. </w:t>
      </w:r>
      <w:r w:rsidR="008763CA">
        <w:rPr>
          <w:rFonts w:ascii="Arial" w:hAnsi="Arial" w:cs="Arial"/>
          <w:sz w:val="24"/>
          <w:szCs w:val="24"/>
        </w:rPr>
        <w:t xml:space="preserve"> However, we intend</w:t>
      </w:r>
      <w:r w:rsidR="008763CA" w:rsidRPr="008763CA">
        <w:rPr>
          <w:rFonts w:ascii="Arial" w:hAnsi="Arial" w:cs="Arial"/>
          <w:sz w:val="24"/>
          <w:szCs w:val="24"/>
        </w:rPr>
        <w:t xml:space="preserve"> to explore options for taxing vacant land</w:t>
      </w:r>
      <w:r w:rsidR="00853040">
        <w:rPr>
          <w:rFonts w:ascii="Arial" w:hAnsi="Arial" w:cs="Arial"/>
          <w:sz w:val="24"/>
          <w:szCs w:val="24"/>
        </w:rPr>
        <w:t>,</w:t>
      </w:r>
      <w:r w:rsidR="008763CA" w:rsidRPr="008763CA">
        <w:rPr>
          <w:rFonts w:ascii="Arial" w:hAnsi="Arial" w:cs="Arial"/>
          <w:sz w:val="24"/>
          <w:szCs w:val="24"/>
        </w:rPr>
        <w:t xml:space="preserve"> and to seek a review of the current rules for taxing land speculators with a view to tightening these rules.  </w:t>
      </w:r>
    </w:p>
    <w:p w14:paraId="7C8CA31D" w14:textId="77777777" w:rsidR="0063750C" w:rsidRPr="00A074B5" w:rsidRDefault="00D31E76">
      <w:pPr>
        <w:pStyle w:val="ListParagraph"/>
        <w:numPr>
          <w:ilvl w:val="0"/>
          <w:numId w:val="1"/>
        </w:numPr>
        <w:ind w:left="709" w:hanging="709"/>
        <w:contextualSpacing w:val="0"/>
        <w:jc w:val="both"/>
        <w:rPr>
          <w:rFonts w:ascii="Arial" w:hAnsi="Arial" w:cs="Arial"/>
          <w:sz w:val="24"/>
          <w:szCs w:val="24"/>
        </w:rPr>
      </w:pPr>
      <w:r w:rsidRPr="00A074B5">
        <w:rPr>
          <w:rFonts w:ascii="Arial" w:hAnsi="Arial" w:cs="Arial"/>
          <w:sz w:val="24"/>
          <w:szCs w:val="24"/>
        </w:rPr>
        <w:t>The p</w:t>
      </w:r>
      <w:r w:rsidR="00655D67" w:rsidRPr="00A074B5">
        <w:rPr>
          <w:rFonts w:ascii="Arial" w:hAnsi="Arial" w:cs="Arial"/>
          <w:sz w:val="24"/>
          <w:szCs w:val="24"/>
        </w:rPr>
        <w:t>roposed</w:t>
      </w:r>
      <w:r w:rsidR="001D1C40" w:rsidRPr="00A074B5">
        <w:rPr>
          <w:rFonts w:ascii="Arial" w:hAnsi="Arial" w:cs="Arial"/>
          <w:sz w:val="24"/>
          <w:szCs w:val="24"/>
        </w:rPr>
        <w:t xml:space="preserve"> </w:t>
      </w:r>
      <w:r w:rsidR="00655D67" w:rsidRPr="00A074B5">
        <w:rPr>
          <w:rFonts w:ascii="Arial" w:hAnsi="Arial" w:cs="Arial"/>
          <w:sz w:val="24"/>
          <w:szCs w:val="24"/>
        </w:rPr>
        <w:t>responses</w:t>
      </w:r>
      <w:r w:rsidR="001D1C40" w:rsidRPr="00A074B5">
        <w:rPr>
          <w:rFonts w:ascii="Arial" w:hAnsi="Arial" w:cs="Arial"/>
          <w:sz w:val="24"/>
          <w:szCs w:val="24"/>
        </w:rPr>
        <w:t xml:space="preserve"> to the TWG’s recommendations </w:t>
      </w:r>
      <w:r w:rsidR="008410CB">
        <w:rPr>
          <w:rFonts w:ascii="Arial" w:hAnsi="Arial" w:cs="Arial"/>
          <w:sz w:val="24"/>
          <w:szCs w:val="24"/>
        </w:rPr>
        <w:t xml:space="preserve">(other than those relating to capital gains taxation) </w:t>
      </w:r>
      <w:r w:rsidR="001D1C40" w:rsidRPr="00A074B5">
        <w:rPr>
          <w:rFonts w:ascii="Arial" w:hAnsi="Arial" w:cs="Arial"/>
          <w:sz w:val="24"/>
          <w:szCs w:val="24"/>
        </w:rPr>
        <w:t>are</w:t>
      </w:r>
      <w:r w:rsidR="00CA2D40" w:rsidRPr="00A074B5">
        <w:rPr>
          <w:rFonts w:ascii="Arial" w:hAnsi="Arial" w:cs="Arial"/>
          <w:sz w:val="24"/>
          <w:szCs w:val="24"/>
        </w:rPr>
        <w:t xml:space="preserve"> generally</w:t>
      </w:r>
      <w:r w:rsidR="001D1C40" w:rsidRPr="00A074B5">
        <w:rPr>
          <w:rFonts w:ascii="Arial" w:hAnsi="Arial" w:cs="Arial"/>
          <w:sz w:val="24"/>
          <w:szCs w:val="24"/>
        </w:rPr>
        <w:t xml:space="preserve"> classified into </w:t>
      </w:r>
      <w:r w:rsidR="009A6A5F" w:rsidRPr="00A074B5">
        <w:rPr>
          <w:rFonts w:ascii="Arial" w:hAnsi="Arial" w:cs="Arial"/>
          <w:sz w:val="24"/>
          <w:szCs w:val="24"/>
        </w:rPr>
        <w:t>five</w:t>
      </w:r>
      <w:r w:rsidR="001D1C40" w:rsidRPr="00A074B5">
        <w:rPr>
          <w:rFonts w:ascii="Arial" w:hAnsi="Arial" w:cs="Arial"/>
          <w:sz w:val="24"/>
          <w:szCs w:val="24"/>
        </w:rPr>
        <w:t xml:space="preserve"> categories:</w:t>
      </w:r>
    </w:p>
    <w:p w14:paraId="3A5A8493" w14:textId="77777777" w:rsidR="0063750C" w:rsidRPr="0063750C" w:rsidRDefault="009A6A5F" w:rsidP="0063750C">
      <w:pPr>
        <w:pStyle w:val="ListParagraph"/>
        <w:numPr>
          <w:ilvl w:val="1"/>
          <w:numId w:val="1"/>
        </w:numPr>
        <w:ind w:left="1418" w:hanging="709"/>
        <w:contextualSpacing w:val="0"/>
        <w:jc w:val="both"/>
        <w:rPr>
          <w:rFonts w:ascii="Arial" w:hAnsi="Arial" w:cs="Arial"/>
          <w:sz w:val="28"/>
          <w:szCs w:val="24"/>
        </w:rPr>
      </w:pPr>
      <w:r w:rsidRPr="0063750C">
        <w:rPr>
          <w:rFonts w:ascii="Arial" w:hAnsi="Arial" w:cs="Arial"/>
          <w:i/>
          <w:sz w:val="24"/>
          <w:szCs w:val="24"/>
        </w:rPr>
        <w:t>Endorse the TWG recommendation:</w:t>
      </w:r>
      <w:r w:rsidRPr="0063750C">
        <w:rPr>
          <w:rFonts w:ascii="Arial" w:hAnsi="Arial" w:cs="Arial"/>
          <w:sz w:val="24"/>
          <w:szCs w:val="24"/>
        </w:rPr>
        <w:t xml:space="preserve"> The TWG recommended retaining the current tax settings</w:t>
      </w:r>
      <w:r w:rsidR="00355A52" w:rsidRPr="0063750C">
        <w:rPr>
          <w:rFonts w:ascii="Arial" w:hAnsi="Arial" w:cs="Arial"/>
          <w:sz w:val="24"/>
          <w:szCs w:val="24"/>
        </w:rPr>
        <w:t xml:space="preserve"> and we agree with this recommendation. </w:t>
      </w:r>
    </w:p>
    <w:p w14:paraId="3D9CCAC0" w14:textId="77777777" w:rsidR="0063750C" w:rsidRPr="0063750C" w:rsidRDefault="00BF1725" w:rsidP="0063750C">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Agree n</w:t>
      </w:r>
      <w:r w:rsidR="004A696F" w:rsidRPr="0063750C">
        <w:rPr>
          <w:rFonts w:ascii="Arial" w:hAnsi="Arial" w:cs="Arial"/>
          <w:i/>
          <w:sz w:val="24"/>
          <w:szCs w:val="24"/>
        </w:rPr>
        <w:t>o further work</w:t>
      </w:r>
      <w:r w:rsidR="00550C3D" w:rsidRPr="0063750C">
        <w:rPr>
          <w:rFonts w:ascii="Arial" w:hAnsi="Arial" w:cs="Arial"/>
          <w:i/>
          <w:sz w:val="24"/>
          <w:szCs w:val="24"/>
        </w:rPr>
        <w:t xml:space="preserve"> necessary</w:t>
      </w:r>
      <w:r w:rsidR="004C4D5D" w:rsidRPr="0063750C">
        <w:rPr>
          <w:rFonts w:ascii="Arial" w:hAnsi="Arial" w:cs="Arial"/>
          <w:i/>
          <w:sz w:val="24"/>
          <w:szCs w:val="24"/>
        </w:rPr>
        <w:t>:</w:t>
      </w:r>
      <w:r w:rsidR="00635CED" w:rsidRPr="0063750C">
        <w:rPr>
          <w:rFonts w:ascii="Arial" w:hAnsi="Arial" w:cs="Arial"/>
          <w:sz w:val="24"/>
          <w:szCs w:val="24"/>
        </w:rPr>
        <w:t xml:space="preserve"> </w:t>
      </w:r>
      <w:r w:rsidR="009A6A5F" w:rsidRPr="0063750C">
        <w:rPr>
          <w:rFonts w:ascii="Arial" w:hAnsi="Arial" w:cs="Arial"/>
          <w:sz w:val="24"/>
          <w:szCs w:val="24"/>
        </w:rPr>
        <w:t>We consider no further work is necessary.</w:t>
      </w:r>
    </w:p>
    <w:p w14:paraId="431B0F4D" w14:textId="77777777" w:rsidR="0063750C" w:rsidRPr="0063750C" w:rsidRDefault="00BF1725" w:rsidP="007E1200">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Note w</w:t>
      </w:r>
      <w:r w:rsidR="004A696F" w:rsidRPr="0063750C">
        <w:rPr>
          <w:rFonts w:ascii="Arial" w:hAnsi="Arial" w:cs="Arial"/>
          <w:i/>
          <w:sz w:val="24"/>
          <w:szCs w:val="24"/>
        </w:rPr>
        <w:t xml:space="preserve">ork </w:t>
      </w:r>
      <w:r w:rsidR="00635CED" w:rsidRPr="0063750C">
        <w:rPr>
          <w:rFonts w:ascii="Arial" w:hAnsi="Arial" w:cs="Arial"/>
          <w:i/>
          <w:sz w:val="24"/>
          <w:szCs w:val="24"/>
        </w:rPr>
        <w:t xml:space="preserve">already </w:t>
      </w:r>
      <w:r w:rsidR="004A696F" w:rsidRPr="0063750C">
        <w:rPr>
          <w:rFonts w:ascii="Arial" w:hAnsi="Arial" w:cs="Arial"/>
          <w:i/>
          <w:sz w:val="24"/>
          <w:szCs w:val="24"/>
        </w:rPr>
        <w:t>underway</w:t>
      </w:r>
      <w:r w:rsidR="004A696F" w:rsidRPr="0063750C">
        <w:rPr>
          <w:rFonts w:ascii="Arial" w:hAnsi="Arial" w:cs="Arial"/>
          <w:sz w:val="24"/>
          <w:szCs w:val="24"/>
        </w:rPr>
        <w:t xml:space="preserve">: </w:t>
      </w:r>
      <w:r w:rsidR="0063750C" w:rsidRPr="0063750C">
        <w:rPr>
          <w:rFonts w:ascii="Arial" w:hAnsi="Arial" w:cs="Arial"/>
          <w:sz w:val="24"/>
          <w:szCs w:val="24"/>
        </w:rPr>
        <w:t xml:space="preserve">Work is already underway within Government to consider the recommendation </w:t>
      </w:r>
    </w:p>
    <w:p w14:paraId="0026D7DD" w14:textId="77777777" w:rsidR="0063750C" w:rsidRPr="0063750C" w:rsidRDefault="00635CED" w:rsidP="007E1200">
      <w:pPr>
        <w:pStyle w:val="ListParagraph"/>
        <w:numPr>
          <w:ilvl w:val="1"/>
          <w:numId w:val="1"/>
        </w:numPr>
        <w:ind w:left="1418" w:hanging="709"/>
        <w:contextualSpacing w:val="0"/>
        <w:jc w:val="both"/>
        <w:rPr>
          <w:rFonts w:ascii="Arial" w:hAnsi="Arial" w:cs="Arial"/>
          <w:sz w:val="28"/>
          <w:szCs w:val="24"/>
        </w:rPr>
      </w:pPr>
      <w:r w:rsidRPr="0063750C">
        <w:rPr>
          <w:rFonts w:ascii="Arial" w:hAnsi="Arial" w:cs="Arial"/>
          <w:i/>
          <w:sz w:val="24"/>
          <w:szCs w:val="24"/>
        </w:rPr>
        <w:t xml:space="preserve">Consider </w:t>
      </w:r>
      <w:r w:rsidR="00D9036C" w:rsidRPr="0063750C">
        <w:rPr>
          <w:rFonts w:ascii="Arial" w:hAnsi="Arial" w:cs="Arial"/>
          <w:i/>
          <w:sz w:val="24"/>
          <w:szCs w:val="24"/>
        </w:rPr>
        <w:t>for</w:t>
      </w:r>
      <w:r w:rsidRPr="0063750C">
        <w:rPr>
          <w:rFonts w:ascii="Arial" w:hAnsi="Arial" w:cs="Arial"/>
          <w:i/>
          <w:sz w:val="24"/>
          <w:szCs w:val="24"/>
        </w:rPr>
        <w:t xml:space="preserve"> </w:t>
      </w:r>
      <w:r w:rsidR="008763CA">
        <w:rPr>
          <w:rFonts w:ascii="Arial" w:hAnsi="Arial" w:cs="Arial"/>
          <w:i/>
          <w:sz w:val="24"/>
          <w:szCs w:val="24"/>
        </w:rPr>
        <w:t xml:space="preserve">inclusion on </w:t>
      </w:r>
      <w:r w:rsidR="00BF1725">
        <w:rPr>
          <w:rFonts w:ascii="Arial" w:hAnsi="Arial" w:cs="Arial"/>
          <w:i/>
          <w:sz w:val="24"/>
          <w:szCs w:val="24"/>
        </w:rPr>
        <w:t>w</w:t>
      </w:r>
      <w:r w:rsidR="004A696F" w:rsidRPr="0063750C">
        <w:rPr>
          <w:rFonts w:ascii="Arial" w:hAnsi="Arial" w:cs="Arial"/>
          <w:i/>
          <w:sz w:val="24"/>
          <w:szCs w:val="24"/>
        </w:rPr>
        <w:t>ork</w:t>
      </w:r>
      <w:r w:rsidR="00080F7E" w:rsidRPr="0063750C">
        <w:rPr>
          <w:rFonts w:ascii="Arial" w:hAnsi="Arial" w:cs="Arial"/>
          <w:i/>
          <w:sz w:val="24"/>
          <w:szCs w:val="24"/>
        </w:rPr>
        <w:t xml:space="preserve"> </w:t>
      </w:r>
      <w:r w:rsidR="00BF1725">
        <w:rPr>
          <w:rFonts w:ascii="Arial" w:hAnsi="Arial" w:cs="Arial"/>
          <w:i/>
          <w:sz w:val="24"/>
          <w:szCs w:val="24"/>
        </w:rPr>
        <w:t>p</w:t>
      </w:r>
      <w:r w:rsidR="004A696F" w:rsidRPr="0063750C">
        <w:rPr>
          <w:rFonts w:ascii="Arial" w:hAnsi="Arial" w:cs="Arial"/>
          <w:i/>
          <w:sz w:val="24"/>
          <w:szCs w:val="24"/>
        </w:rPr>
        <w:t>rogramme:</w:t>
      </w:r>
      <w:r w:rsidR="004A696F" w:rsidRPr="0063750C">
        <w:rPr>
          <w:rFonts w:ascii="Arial" w:hAnsi="Arial" w:cs="Arial"/>
          <w:sz w:val="24"/>
          <w:szCs w:val="24"/>
        </w:rPr>
        <w:t xml:space="preserve"> </w:t>
      </w:r>
      <w:r w:rsidR="0063750C" w:rsidRPr="0063750C">
        <w:rPr>
          <w:rFonts w:ascii="Arial" w:hAnsi="Arial" w:cs="Arial"/>
          <w:sz w:val="24"/>
          <w:szCs w:val="24"/>
        </w:rPr>
        <w:t>The recommendation should be considered for inclusion in the 2019/20 Tax Policy Work Programme</w:t>
      </w:r>
      <w:r w:rsidR="00BF1725">
        <w:rPr>
          <w:rFonts w:ascii="Arial" w:hAnsi="Arial" w:cs="Arial"/>
          <w:sz w:val="24"/>
          <w:szCs w:val="24"/>
        </w:rPr>
        <w:t xml:space="preserve"> (TPWP) </w:t>
      </w:r>
      <w:r w:rsidR="00282895">
        <w:rPr>
          <w:rFonts w:ascii="Arial" w:hAnsi="Arial" w:cs="Arial"/>
          <w:sz w:val="24"/>
          <w:szCs w:val="24"/>
        </w:rPr>
        <w:lastRenderedPageBreak/>
        <w:t>and/</w:t>
      </w:r>
      <w:r w:rsidR="0063750C" w:rsidRPr="0063750C">
        <w:rPr>
          <w:rFonts w:ascii="Arial" w:hAnsi="Arial" w:cs="Arial"/>
          <w:sz w:val="24"/>
          <w:szCs w:val="24"/>
        </w:rPr>
        <w:t xml:space="preserve">or </w:t>
      </w:r>
      <w:proofErr w:type="gramStart"/>
      <w:r w:rsidR="0063750C" w:rsidRPr="0063750C">
        <w:rPr>
          <w:rFonts w:ascii="Arial" w:hAnsi="Arial" w:cs="Arial"/>
          <w:sz w:val="24"/>
          <w:szCs w:val="24"/>
        </w:rPr>
        <w:t>other</w:t>
      </w:r>
      <w:proofErr w:type="gramEnd"/>
      <w:r w:rsidR="0063750C" w:rsidRPr="0063750C">
        <w:rPr>
          <w:rFonts w:ascii="Arial" w:hAnsi="Arial" w:cs="Arial"/>
          <w:sz w:val="24"/>
          <w:szCs w:val="24"/>
        </w:rPr>
        <w:t xml:space="preserve"> agency work programme.</w:t>
      </w:r>
      <w:r w:rsidR="008763CA">
        <w:rPr>
          <w:rFonts w:ascii="Arial" w:hAnsi="Arial" w:cs="Arial"/>
          <w:sz w:val="24"/>
          <w:szCs w:val="24"/>
        </w:rPr>
        <w:t xml:space="preserve">  </w:t>
      </w:r>
      <w:r w:rsidR="008763CA" w:rsidRPr="008763CA">
        <w:rPr>
          <w:rFonts w:ascii="Arial" w:hAnsi="Arial" w:cs="Arial"/>
          <w:sz w:val="24"/>
          <w:szCs w:val="24"/>
        </w:rPr>
        <w:t>The tax policy work programme is jointly agreed by the Minister of Finance and the Minister of Revenue and this process includes taking the proposed programme to Cabinet.</w:t>
      </w:r>
    </w:p>
    <w:p w14:paraId="6D33F96C" w14:textId="77777777" w:rsidR="003A03F9" w:rsidRPr="0063750C" w:rsidRDefault="003A03F9" w:rsidP="003A03F9">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Consider as a high p</w:t>
      </w:r>
      <w:r w:rsidRPr="0063750C">
        <w:rPr>
          <w:rFonts w:ascii="Arial" w:hAnsi="Arial" w:cs="Arial"/>
          <w:i/>
          <w:sz w:val="24"/>
          <w:szCs w:val="24"/>
        </w:rPr>
        <w:t>riorit</w:t>
      </w:r>
      <w:r>
        <w:rPr>
          <w:rFonts w:ascii="Arial" w:hAnsi="Arial" w:cs="Arial"/>
          <w:i/>
          <w:sz w:val="24"/>
          <w:szCs w:val="24"/>
        </w:rPr>
        <w:t xml:space="preserve">y for </w:t>
      </w:r>
      <w:r w:rsidR="008763CA">
        <w:rPr>
          <w:rFonts w:ascii="Arial" w:hAnsi="Arial" w:cs="Arial"/>
          <w:i/>
          <w:sz w:val="24"/>
          <w:szCs w:val="24"/>
        </w:rPr>
        <w:t xml:space="preserve">inclusion on </w:t>
      </w:r>
      <w:r w:rsidRPr="0063750C">
        <w:rPr>
          <w:rFonts w:ascii="Arial" w:hAnsi="Arial" w:cs="Arial"/>
          <w:i/>
          <w:sz w:val="24"/>
          <w:szCs w:val="24"/>
        </w:rPr>
        <w:t>work programme:</w:t>
      </w:r>
      <w:r w:rsidRPr="0063750C">
        <w:rPr>
          <w:rFonts w:ascii="Arial" w:hAnsi="Arial" w:cs="Arial"/>
          <w:sz w:val="24"/>
          <w:szCs w:val="24"/>
        </w:rPr>
        <w:t xml:space="preserve"> </w:t>
      </w:r>
      <w:r w:rsidRPr="003A03F9">
        <w:rPr>
          <w:rFonts w:ascii="Arial" w:hAnsi="Arial" w:cs="Arial"/>
          <w:sz w:val="24"/>
          <w:szCs w:val="24"/>
        </w:rPr>
        <w:t xml:space="preserve">The recommendation should be considered as a high priority for progression in the 2019/20 TPWP </w:t>
      </w:r>
      <w:r w:rsidR="00785A68">
        <w:rPr>
          <w:rFonts w:ascii="Arial" w:hAnsi="Arial" w:cs="Arial"/>
          <w:sz w:val="24"/>
          <w:szCs w:val="24"/>
        </w:rPr>
        <w:t>and/</w:t>
      </w:r>
      <w:r w:rsidRPr="003A03F9">
        <w:rPr>
          <w:rFonts w:ascii="Arial" w:hAnsi="Arial" w:cs="Arial"/>
          <w:sz w:val="24"/>
          <w:szCs w:val="24"/>
        </w:rPr>
        <w:t>or other agency work programme</w:t>
      </w:r>
      <w:r w:rsidR="00E24216">
        <w:rPr>
          <w:rFonts w:ascii="Arial" w:hAnsi="Arial" w:cs="Arial"/>
          <w:sz w:val="24"/>
          <w:szCs w:val="24"/>
        </w:rPr>
        <w:t>s</w:t>
      </w:r>
      <w:r w:rsidRPr="003A03F9">
        <w:rPr>
          <w:rFonts w:ascii="Arial" w:hAnsi="Arial" w:cs="Arial"/>
          <w:sz w:val="24"/>
          <w:szCs w:val="24"/>
        </w:rPr>
        <w:t>.</w:t>
      </w:r>
    </w:p>
    <w:p w14:paraId="7DF490A7" w14:textId="77777777" w:rsidR="00DF0110" w:rsidRPr="00D9036C" w:rsidRDefault="001D1C40" w:rsidP="00D11C7B">
      <w:pPr>
        <w:pStyle w:val="ListParagraph"/>
        <w:numPr>
          <w:ilvl w:val="0"/>
          <w:numId w:val="1"/>
        </w:numPr>
        <w:ind w:left="709" w:hanging="709"/>
        <w:contextualSpacing w:val="0"/>
        <w:jc w:val="both"/>
        <w:rPr>
          <w:rFonts w:ascii="Arial" w:hAnsi="Arial" w:cs="Arial"/>
          <w:sz w:val="24"/>
          <w:szCs w:val="24"/>
        </w:rPr>
      </w:pPr>
      <w:r w:rsidRPr="00655D67">
        <w:rPr>
          <w:rFonts w:ascii="Arial" w:hAnsi="Arial" w:cs="Arial"/>
          <w:sz w:val="24"/>
          <w:szCs w:val="24"/>
        </w:rPr>
        <w:t xml:space="preserve">The table below provides a high-level summary of the TWG recommendations by key topic area. </w:t>
      </w:r>
      <w:r w:rsidR="002F2A43">
        <w:rPr>
          <w:rFonts w:ascii="Arial" w:hAnsi="Arial" w:cs="Arial"/>
          <w:sz w:val="24"/>
          <w:szCs w:val="24"/>
        </w:rPr>
        <w:t>The t</w:t>
      </w:r>
      <w:r w:rsidRPr="00655D67">
        <w:rPr>
          <w:rFonts w:ascii="Arial" w:hAnsi="Arial" w:cs="Arial"/>
          <w:sz w:val="24"/>
          <w:szCs w:val="24"/>
        </w:rPr>
        <w:t>able</w:t>
      </w:r>
      <w:r w:rsidR="002F2A43">
        <w:rPr>
          <w:rFonts w:ascii="Arial" w:hAnsi="Arial" w:cs="Arial"/>
          <w:sz w:val="24"/>
          <w:szCs w:val="24"/>
        </w:rPr>
        <w:t xml:space="preserve"> </w:t>
      </w:r>
      <w:r w:rsidRPr="00655D67">
        <w:rPr>
          <w:rFonts w:ascii="Arial" w:hAnsi="Arial" w:cs="Arial"/>
          <w:sz w:val="24"/>
          <w:szCs w:val="24"/>
        </w:rPr>
        <w:t xml:space="preserve">in the </w:t>
      </w:r>
      <w:r w:rsidR="00467C7D" w:rsidRPr="00655D67">
        <w:rPr>
          <w:rFonts w:ascii="Arial" w:hAnsi="Arial" w:cs="Arial"/>
          <w:sz w:val="24"/>
          <w:szCs w:val="24"/>
        </w:rPr>
        <w:t>appendix</w:t>
      </w:r>
      <w:r w:rsidRPr="00655D67">
        <w:rPr>
          <w:rFonts w:ascii="Arial" w:hAnsi="Arial" w:cs="Arial"/>
          <w:sz w:val="24"/>
          <w:szCs w:val="24"/>
        </w:rPr>
        <w:t xml:space="preserve"> </w:t>
      </w:r>
      <w:r w:rsidR="00D31E76">
        <w:rPr>
          <w:rFonts w:ascii="Arial" w:hAnsi="Arial" w:cs="Arial"/>
          <w:sz w:val="24"/>
          <w:szCs w:val="24"/>
        </w:rPr>
        <w:t xml:space="preserve">provides </w:t>
      </w:r>
      <w:r w:rsidRPr="00655D67">
        <w:rPr>
          <w:rFonts w:ascii="Arial" w:hAnsi="Arial" w:cs="Arial"/>
          <w:sz w:val="24"/>
          <w:szCs w:val="24"/>
        </w:rPr>
        <w:t>the full</w:t>
      </w:r>
      <w:r w:rsidR="00D31E76">
        <w:rPr>
          <w:rFonts w:ascii="Arial" w:hAnsi="Arial" w:cs="Arial"/>
          <w:sz w:val="24"/>
          <w:szCs w:val="24"/>
        </w:rPr>
        <w:t xml:space="preserve"> set of</w:t>
      </w:r>
      <w:r w:rsidRPr="00655D67">
        <w:rPr>
          <w:rFonts w:ascii="Arial" w:hAnsi="Arial" w:cs="Arial"/>
          <w:sz w:val="24"/>
          <w:szCs w:val="24"/>
        </w:rPr>
        <w:t xml:space="preserve"> recommendations and </w:t>
      </w:r>
      <w:r w:rsidR="00467C7D" w:rsidRPr="00655D67">
        <w:rPr>
          <w:rFonts w:ascii="Arial" w:hAnsi="Arial" w:cs="Arial"/>
          <w:sz w:val="24"/>
          <w:szCs w:val="24"/>
        </w:rPr>
        <w:t>proposed Government response</w:t>
      </w:r>
      <w:r w:rsidR="00D31E76">
        <w:rPr>
          <w:rFonts w:ascii="Arial" w:hAnsi="Arial" w:cs="Arial"/>
          <w:sz w:val="24"/>
          <w:szCs w:val="24"/>
        </w:rPr>
        <w:t>s</w:t>
      </w:r>
      <w:r w:rsidR="00467C7D" w:rsidRPr="00655D67">
        <w:rPr>
          <w:rFonts w:ascii="Arial" w:hAnsi="Arial" w:cs="Arial"/>
          <w:sz w:val="24"/>
          <w:szCs w:val="24"/>
        </w:rPr>
        <w:t>.</w:t>
      </w:r>
    </w:p>
    <w:tbl>
      <w:tblPr>
        <w:tblStyle w:val="TableGrid"/>
        <w:tblW w:w="9776" w:type="dxa"/>
        <w:tblInd w:w="0" w:type="dxa"/>
        <w:tblLook w:val="04A0" w:firstRow="1" w:lastRow="0" w:firstColumn="1" w:lastColumn="0" w:noHBand="0" w:noVBand="1"/>
      </w:tblPr>
      <w:tblGrid>
        <w:gridCol w:w="1623"/>
        <w:gridCol w:w="5602"/>
        <w:gridCol w:w="2551"/>
      </w:tblGrid>
      <w:tr w:rsidR="001D1C40" w:rsidRPr="001D1C40" w14:paraId="3E2865BF" w14:textId="77777777" w:rsidTr="001571BC">
        <w:trPr>
          <w:trHeight w:val="20"/>
        </w:trPr>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E5EF7" w14:textId="77777777" w:rsidR="001D1C40" w:rsidRPr="00894056" w:rsidRDefault="001D1C40" w:rsidP="004C4D5D">
            <w:pPr>
              <w:pStyle w:val="TSYList"/>
              <w:keepNext/>
              <w:jc w:val="center"/>
              <w:rPr>
                <w:rFonts w:cs="Arial"/>
                <w:b/>
                <w:szCs w:val="22"/>
              </w:rPr>
            </w:pPr>
            <w:bookmarkStart w:id="1" w:name="_Hlk535239969"/>
            <w:r w:rsidRPr="00894056">
              <w:rPr>
                <w:rFonts w:cs="Arial"/>
                <w:szCs w:val="22"/>
              </w:rPr>
              <w:br w:type="page"/>
            </w:r>
            <w:r w:rsidRPr="00894056">
              <w:rPr>
                <w:rFonts w:cs="Arial"/>
                <w:b/>
                <w:bCs/>
                <w:szCs w:val="22"/>
              </w:rPr>
              <w:t>Topic</w:t>
            </w:r>
          </w:p>
        </w:tc>
        <w:tc>
          <w:tcPr>
            <w:tcW w:w="5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6DECCC" w14:textId="77777777" w:rsidR="001D1C40" w:rsidRPr="00894056" w:rsidRDefault="001D1C40" w:rsidP="004C4D5D">
            <w:pPr>
              <w:pStyle w:val="TSYList"/>
              <w:keepNext/>
              <w:jc w:val="center"/>
              <w:rPr>
                <w:rFonts w:cs="Arial"/>
                <w:b/>
                <w:szCs w:val="22"/>
              </w:rPr>
            </w:pPr>
            <w:r w:rsidRPr="00894056">
              <w:rPr>
                <w:rFonts w:cs="Arial"/>
                <w:b/>
                <w:bCs/>
                <w:szCs w:val="22"/>
              </w:rPr>
              <w:t>Summary of TWG recommendations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1F106" w14:textId="77777777" w:rsidR="001D1C40" w:rsidRPr="00894056" w:rsidRDefault="004A696F" w:rsidP="004C4D5D">
            <w:pPr>
              <w:pStyle w:val="TSYList"/>
              <w:keepNext/>
              <w:jc w:val="center"/>
              <w:rPr>
                <w:rFonts w:cs="Arial"/>
                <w:b/>
                <w:bCs/>
                <w:szCs w:val="22"/>
              </w:rPr>
            </w:pPr>
            <w:r w:rsidRPr="00894056">
              <w:rPr>
                <w:rFonts w:cs="Arial"/>
                <w:b/>
                <w:bCs/>
                <w:szCs w:val="22"/>
              </w:rPr>
              <w:t>Response</w:t>
            </w:r>
          </w:p>
        </w:tc>
      </w:tr>
      <w:tr w:rsidR="00F440EB" w:rsidRPr="001D1C40" w14:paraId="3BE261FA" w14:textId="77777777" w:rsidTr="001571BC">
        <w:trPr>
          <w:trHeight w:val="1078"/>
        </w:trPr>
        <w:tc>
          <w:tcPr>
            <w:tcW w:w="1623" w:type="dxa"/>
            <w:tcBorders>
              <w:top w:val="single" w:sz="4" w:space="0" w:color="auto"/>
              <w:left w:val="single" w:sz="4" w:space="0" w:color="auto"/>
              <w:right w:val="single" w:sz="4" w:space="0" w:color="auto"/>
            </w:tcBorders>
            <w:shd w:val="clear" w:color="auto" w:fill="auto"/>
            <w:vAlign w:val="center"/>
          </w:tcPr>
          <w:p w14:paraId="2ED42B6D" w14:textId="77777777" w:rsidR="00F440EB" w:rsidRPr="00894056" w:rsidRDefault="00F440EB" w:rsidP="00894056">
            <w:pPr>
              <w:pStyle w:val="TSYList"/>
              <w:spacing w:before="40" w:after="40"/>
              <w:jc w:val="left"/>
              <w:rPr>
                <w:rFonts w:cs="Arial"/>
              </w:rPr>
            </w:pPr>
            <w:r w:rsidRPr="00894056">
              <w:rPr>
                <w:rFonts w:cs="Arial"/>
              </w:rPr>
              <w:t xml:space="preserve">Capital </w:t>
            </w:r>
            <w:r w:rsidR="004232F2" w:rsidRPr="00894056">
              <w:rPr>
                <w:rFonts w:cs="Arial"/>
              </w:rPr>
              <w:t xml:space="preserve">gains </w:t>
            </w:r>
            <w:r w:rsidRPr="00894056">
              <w:rPr>
                <w:rFonts w:cs="Arial"/>
              </w:rPr>
              <w:t>taxation</w:t>
            </w:r>
          </w:p>
        </w:tc>
        <w:tc>
          <w:tcPr>
            <w:tcW w:w="5602" w:type="dxa"/>
            <w:tcBorders>
              <w:top w:val="single" w:sz="4" w:space="0" w:color="auto"/>
              <w:left w:val="single" w:sz="4" w:space="0" w:color="auto"/>
              <w:right w:val="single" w:sz="4" w:space="0" w:color="auto"/>
            </w:tcBorders>
            <w:vAlign w:val="center"/>
          </w:tcPr>
          <w:p w14:paraId="1C92C2AD" w14:textId="77777777" w:rsidR="00895477" w:rsidRPr="00894056" w:rsidRDefault="00895477" w:rsidP="00894056">
            <w:pPr>
              <w:pStyle w:val="TSYList"/>
              <w:spacing w:before="40" w:after="40"/>
              <w:jc w:val="left"/>
              <w:rPr>
                <w:rFonts w:cs="Arial"/>
              </w:rPr>
            </w:pPr>
            <w:r w:rsidRPr="00894056">
              <w:rPr>
                <w:rFonts w:cs="Arial"/>
              </w:rPr>
              <w:t>A majority of TWG members recommended that the Government tax capital gains at full marginal rates on a very broad range of assets.</w:t>
            </w:r>
            <w:r w:rsidR="00894056">
              <w:rPr>
                <w:rFonts w:cs="Arial"/>
              </w:rPr>
              <w:t xml:space="preserve"> </w:t>
            </w:r>
            <w:r w:rsidRPr="00894056">
              <w:rPr>
                <w:rFonts w:cs="Arial"/>
              </w:rPr>
              <w:t xml:space="preserve">A minority of TWG members recommended a more limited extension of capital </w:t>
            </w:r>
            <w:r w:rsidR="004232F2" w:rsidRPr="00894056">
              <w:rPr>
                <w:rFonts w:cs="Arial"/>
              </w:rPr>
              <w:t xml:space="preserve">gains </w:t>
            </w:r>
            <w:r w:rsidRPr="00894056">
              <w:rPr>
                <w:rFonts w:cs="Arial"/>
              </w:rPr>
              <w:t>taxation.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4324AA" w14:textId="2DF7509B" w:rsidR="00F440EB" w:rsidRPr="00894056" w:rsidRDefault="00493148" w:rsidP="00077DBB">
            <w:pPr>
              <w:pStyle w:val="TSYList"/>
              <w:spacing w:before="40" w:after="40"/>
              <w:jc w:val="left"/>
              <w:rPr>
                <w:rFonts w:cs="Arial"/>
              </w:rPr>
            </w:pPr>
            <w:r w:rsidRPr="00894056">
              <w:rPr>
                <w:rFonts w:cs="Arial"/>
              </w:rPr>
              <w:t xml:space="preserve">We propose </w:t>
            </w:r>
            <w:r>
              <w:rPr>
                <w:rFonts w:cs="Arial"/>
              </w:rPr>
              <w:t xml:space="preserve">to not adopt any of the recommendations on capital gains taxation. </w:t>
            </w:r>
            <w:proofErr w:type="gramStart"/>
            <w:r>
              <w:rPr>
                <w:rFonts w:cs="Arial"/>
              </w:rPr>
              <w:t>Consequently</w:t>
            </w:r>
            <w:proofErr w:type="gramEnd"/>
            <w:r>
              <w:rPr>
                <w:rFonts w:cs="Arial"/>
              </w:rPr>
              <w:t xml:space="preserve"> </w:t>
            </w:r>
            <w:r w:rsidRPr="00081601">
              <w:rPr>
                <w:rFonts w:cs="Arial"/>
                <w:b/>
              </w:rPr>
              <w:t>we agree no further work is necessary</w:t>
            </w:r>
            <w:r w:rsidR="00036AB1" w:rsidRPr="00B42D4C">
              <w:rPr>
                <w:rFonts w:cs="Arial"/>
              </w:rPr>
              <w:t>, but a review of the current rules for taxing land speculators should be considered as a high priority for inclusion on work programme (TPWP)</w:t>
            </w:r>
            <w:r w:rsidR="00077DBB">
              <w:rPr>
                <w:rFonts w:cs="Arial"/>
              </w:rPr>
              <w:t>. We also intend to explore options for taxing vacant land including as recommended by the TWG, directing the Productivity Commission to include vacant land taxes within its inquiry into local government funding and financing</w:t>
            </w:r>
            <w:r w:rsidRPr="00081601">
              <w:rPr>
                <w:rFonts w:cs="Arial"/>
                <w:b/>
              </w:rPr>
              <w:t xml:space="preserve">. </w:t>
            </w:r>
            <w:r>
              <w:rPr>
                <w:rFonts w:cs="Arial"/>
              </w:rPr>
              <w:t xml:space="preserve"> </w:t>
            </w:r>
          </w:p>
        </w:tc>
      </w:tr>
      <w:bookmarkEnd w:id="1"/>
      <w:tr w:rsidR="00AE46FC" w:rsidRPr="001D1C40" w14:paraId="426018C0" w14:textId="77777777" w:rsidTr="001571BC">
        <w:trPr>
          <w:trHeight w:val="656"/>
        </w:trPr>
        <w:tc>
          <w:tcPr>
            <w:tcW w:w="1623" w:type="dxa"/>
            <w:vMerge w:val="restart"/>
            <w:tcBorders>
              <w:top w:val="single" w:sz="4" w:space="0" w:color="auto"/>
              <w:left w:val="single" w:sz="4" w:space="0" w:color="auto"/>
              <w:right w:val="single" w:sz="4" w:space="0" w:color="auto"/>
            </w:tcBorders>
            <w:shd w:val="clear" w:color="auto" w:fill="auto"/>
            <w:vAlign w:val="center"/>
            <w:hideMark/>
          </w:tcPr>
          <w:p w14:paraId="76D593F3" w14:textId="77777777" w:rsidR="00AE46FC" w:rsidRPr="00894056" w:rsidRDefault="00AE46FC" w:rsidP="00894056">
            <w:pPr>
              <w:pStyle w:val="TSYList"/>
              <w:spacing w:before="40" w:after="40"/>
              <w:jc w:val="left"/>
              <w:rPr>
                <w:rFonts w:cs="Arial"/>
              </w:rPr>
            </w:pPr>
            <w:r w:rsidRPr="00894056">
              <w:rPr>
                <w:rFonts w:cs="Arial"/>
              </w:rPr>
              <w:t>Environmental and ecological outcomes</w:t>
            </w:r>
          </w:p>
        </w:tc>
        <w:tc>
          <w:tcPr>
            <w:tcW w:w="5602" w:type="dxa"/>
            <w:tcBorders>
              <w:top w:val="single" w:sz="4" w:space="0" w:color="auto"/>
              <w:left w:val="single" w:sz="4" w:space="0" w:color="auto"/>
              <w:right w:val="single" w:sz="4" w:space="0" w:color="auto"/>
            </w:tcBorders>
            <w:vAlign w:val="center"/>
            <w:hideMark/>
          </w:tcPr>
          <w:p w14:paraId="7A99D333" w14:textId="77777777" w:rsidR="00AE46FC" w:rsidRPr="00894056" w:rsidRDefault="00AE46FC" w:rsidP="00894056">
            <w:pPr>
              <w:pStyle w:val="TSYList"/>
              <w:spacing w:before="40" w:after="40"/>
              <w:rPr>
                <w:rFonts w:cs="Arial"/>
              </w:rPr>
            </w:pPr>
            <w:r w:rsidRPr="00894056">
              <w:rPr>
                <w:rFonts w:cs="Arial"/>
              </w:rPr>
              <w:t>Adopt the TWG’s framework for deciding when to use taxation as a tool to deal with negative environmental externalities.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4A87" w14:textId="77777777" w:rsidR="00AE46FC" w:rsidRPr="00894056" w:rsidRDefault="00080F7E" w:rsidP="00894056">
            <w:pPr>
              <w:pStyle w:val="TSYList"/>
              <w:spacing w:before="40" w:after="40"/>
              <w:jc w:val="left"/>
              <w:rPr>
                <w:rFonts w:cs="Arial"/>
              </w:rPr>
            </w:pPr>
            <w:r w:rsidRPr="00894056">
              <w:rPr>
                <w:rFonts w:cs="Arial"/>
              </w:rPr>
              <w:t xml:space="preserve">Consider </w:t>
            </w:r>
            <w:r w:rsidR="00D9036C" w:rsidRPr="00894056">
              <w:rPr>
                <w:rFonts w:cs="Arial"/>
              </w:rPr>
              <w:t>for</w:t>
            </w:r>
            <w:r w:rsidR="008763CA">
              <w:rPr>
                <w:rFonts w:cs="Arial"/>
              </w:rPr>
              <w:t xml:space="preserve"> inclusion on</w:t>
            </w:r>
            <w:r w:rsidRPr="00894056">
              <w:rPr>
                <w:rFonts w:cs="Arial"/>
              </w:rPr>
              <w:t xml:space="preserve"> </w:t>
            </w:r>
            <w:r w:rsidR="00F97F82" w:rsidRPr="00894056">
              <w:rPr>
                <w:rFonts w:cs="Arial"/>
              </w:rPr>
              <w:t>work programme (</w:t>
            </w:r>
            <w:r w:rsidRPr="00894056">
              <w:rPr>
                <w:rFonts w:cs="Arial"/>
              </w:rPr>
              <w:t xml:space="preserve">TPWP </w:t>
            </w:r>
            <w:r w:rsidR="00F97F82" w:rsidRPr="00894056">
              <w:rPr>
                <w:rFonts w:cs="Arial"/>
              </w:rPr>
              <w:t>and</w:t>
            </w:r>
            <w:r w:rsidRPr="00894056">
              <w:rPr>
                <w:rFonts w:cs="Arial"/>
              </w:rPr>
              <w:t xml:space="preserve"> other agenc</w:t>
            </w:r>
            <w:r w:rsidR="00F97F82" w:rsidRPr="00894056">
              <w:rPr>
                <w:rFonts w:cs="Arial"/>
              </w:rPr>
              <w:t>ies)</w:t>
            </w:r>
            <w:r w:rsidR="000623A4" w:rsidRPr="00894056">
              <w:rPr>
                <w:rFonts w:cs="Arial"/>
              </w:rPr>
              <w:t>.</w:t>
            </w:r>
          </w:p>
        </w:tc>
      </w:tr>
      <w:tr w:rsidR="00AE46FC" w:rsidRPr="001D1C40" w14:paraId="1ADBAD30" w14:textId="77777777" w:rsidTr="001571BC">
        <w:trPr>
          <w:trHeight w:val="570"/>
        </w:trPr>
        <w:tc>
          <w:tcPr>
            <w:tcW w:w="1623" w:type="dxa"/>
            <w:vMerge/>
            <w:tcBorders>
              <w:left w:val="single" w:sz="4" w:space="0" w:color="auto"/>
              <w:right w:val="single" w:sz="4" w:space="0" w:color="auto"/>
            </w:tcBorders>
            <w:shd w:val="clear" w:color="auto" w:fill="auto"/>
            <w:vAlign w:val="center"/>
          </w:tcPr>
          <w:p w14:paraId="7BA25364" w14:textId="77777777" w:rsidR="00AE46FC" w:rsidRPr="00894056" w:rsidRDefault="00AE46FC" w:rsidP="00894056">
            <w:pPr>
              <w:pStyle w:val="TSYList"/>
              <w:spacing w:before="40" w:after="40"/>
              <w:jc w:val="left"/>
              <w:rPr>
                <w:rFonts w:cs="Arial"/>
              </w:rPr>
            </w:pPr>
          </w:p>
        </w:tc>
        <w:tc>
          <w:tcPr>
            <w:tcW w:w="5602" w:type="dxa"/>
            <w:tcBorders>
              <w:left w:val="single" w:sz="4" w:space="0" w:color="auto"/>
              <w:bottom w:val="single" w:sz="4" w:space="0" w:color="auto"/>
              <w:right w:val="single" w:sz="4" w:space="0" w:color="auto"/>
            </w:tcBorders>
            <w:vAlign w:val="center"/>
          </w:tcPr>
          <w:p w14:paraId="1D6614C6" w14:textId="77777777" w:rsidR="00AE46FC" w:rsidRPr="00894056" w:rsidRDefault="00AE46FC" w:rsidP="00B76B3E">
            <w:pPr>
              <w:pStyle w:val="TSYList"/>
              <w:spacing w:before="40" w:after="40"/>
              <w:jc w:val="left"/>
              <w:rPr>
                <w:rFonts w:cs="Arial"/>
              </w:rPr>
            </w:pPr>
            <w:r w:rsidRPr="00894056">
              <w:rPr>
                <w:rFonts w:cs="Arial"/>
              </w:rPr>
              <w:t>In the short term, pursue opportunities to strengthen existing policies</w:t>
            </w:r>
            <w:r w:rsidR="00B76B3E">
              <w:rPr>
                <w:rFonts w:cs="Arial"/>
              </w:rPr>
              <w:t>.</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7037A3B4" w14:textId="77777777" w:rsidR="00A70F50" w:rsidRPr="00894056" w:rsidRDefault="00F97F82" w:rsidP="00894056">
            <w:pPr>
              <w:pStyle w:val="TSYList"/>
              <w:keepNext/>
              <w:spacing w:before="40" w:after="40"/>
              <w:jc w:val="left"/>
              <w:rPr>
                <w:rFonts w:cs="Arial"/>
              </w:rPr>
            </w:pPr>
            <w:r w:rsidRPr="00894056">
              <w:rPr>
                <w:rFonts w:cs="Arial"/>
              </w:rPr>
              <w:t>Note w</w:t>
            </w:r>
            <w:r w:rsidR="00AE46FC" w:rsidRPr="00894056">
              <w:rPr>
                <w:rFonts w:cs="Arial"/>
              </w:rPr>
              <w:t xml:space="preserve">ork </w:t>
            </w:r>
            <w:r w:rsidR="00635CED" w:rsidRPr="00894056">
              <w:rPr>
                <w:rFonts w:cs="Arial"/>
              </w:rPr>
              <w:t xml:space="preserve">already </w:t>
            </w:r>
            <w:r w:rsidR="00AE46FC" w:rsidRPr="00894056">
              <w:rPr>
                <w:rFonts w:cs="Arial"/>
              </w:rPr>
              <w:t>underway</w:t>
            </w:r>
            <w:r w:rsidR="00765260" w:rsidRPr="00894056">
              <w:rPr>
                <w:rFonts w:cs="Arial"/>
              </w:rPr>
              <w:t xml:space="preserve">. </w:t>
            </w:r>
          </w:p>
          <w:p w14:paraId="21901DF0" w14:textId="30D45F15" w:rsidR="00AE46FC" w:rsidRDefault="00077DBB" w:rsidP="002F1952">
            <w:pPr>
              <w:pStyle w:val="TSYList"/>
              <w:keepNext/>
              <w:spacing w:before="40" w:after="40"/>
              <w:jc w:val="left"/>
              <w:rPr>
                <w:rFonts w:cs="Arial"/>
              </w:rPr>
            </w:pPr>
            <w:r w:rsidRPr="00894056">
              <w:rPr>
                <w:rFonts w:cs="Arial"/>
              </w:rPr>
              <w:t xml:space="preserve">There </w:t>
            </w:r>
            <w:r>
              <w:rPr>
                <w:rFonts w:cs="Arial"/>
              </w:rPr>
              <w:t>are no plans in this term of Parliament to introduce</w:t>
            </w:r>
            <w:r w:rsidR="00D75722">
              <w:rPr>
                <w:rFonts w:cs="Arial"/>
              </w:rPr>
              <w:t xml:space="preserve"> resource rentals for water or </w:t>
            </w:r>
            <w:r>
              <w:rPr>
                <w:rFonts w:cs="Arial"/>
              </w:rPr>
              <w:t>input-based instruments, including on fertiliser (i.e. a fertiliser tax).</w:t>
            </w:r>
          </w:p>
          <w:p w14:paraId="30D9493E" w14:textId="4DCD33C1" w:rsidR="008410CB" w:rsidRPr="00894056" w:rsidRDefault="0031006F" w:rsidP="009520E8">
            <w:pPr>
              <w:pStyle w:val="TSYList"/>
              <w:keepNext/>
              <w:spacing w:before="40" w:after="40"/>
              <w:jc w:val="left"/>
              <w:rPr>
                <w:rFonts w:cs="Arial"/>
              </w:rPr>
            </w:pPr>
            <w:r>
              <w:rPr>
                <w:rFonts w:cs="Arial"/>
              </w:rPr>
              <w:t>The</w:t>
            </w:r>
            <w:r w:rsidR="0019502E">
              <w:rPr>
                <w:rFonts w:cs="Arial"/>
              </w:rPr>
              <w:t xml:space="preserve"> Government will not be advancing new environmental tax proposals beyond current work programmes.</w:t>
            </w:r>
          </w:p>
        </w:tc>
      </w:tr>
      <w:tr w:rsidR="00AE46FC" w:rsidRPr="001D1C40" w14:paraId="52F8E671" w14:textId="77777777" w:rsidTr="001571BC">
        <w:trPr>
          <w:trHeight w:val="411"/>
        </w:trPr>
        <w:tc>
          <w:tcPr>
            <w:tcW w:w="1623" w:type="dxa"/>
            <w:vMerge/>
            <w:tcBorders>
              <w:left w:val="single" w:sz="4" w:space="0" w:color="auto"/>
              <w:bottom w:val="single" w:sz="4" w:space="0" w:color="auto"/>
              <w:right w:val="single" w:sz="4" w:space="0" w:color="auto"/>
            </w:tcBorders>
            <w:shd w:val="clear" w:color="auto" w:fill="auto"/>
            <w:vAlign w:val="center"/>
          </w:tcPr>
          <w:p w14:paraId="788FBFDC" w14:textId="77777777" w:rsidR="00AE46FC" w:rsidRPr="00894056" w:rsidRDefault="00AE46FC" w:rsidP="00894056">
            <w:pPr>
              <w:pStyle w:val="TSYList"/>
              <w:spacing w:before="40" w:after="40"/>
              <w:jc w:val="left"/>
              <w:rPr>
                <w:rFonts w:cs="Arial"/>
              </w:rPr>
            </w:pPr>
          </w:p>
        </w:tc>
        <w:tc>
          <w:tcPr>
            <w:tcW w:w="5602" w:type="dxa"/>
            <w:tcBorders>
              <w:left w:val="single" w:sz="4" w:space="0" w:color="auto"/>
              <w:bottom w:val="single" w:sz="4" w:space="0" w:color="auto"/>
              <w:right w:val="single" w:sz="4" w:space="0" w:color="auto"/>
            </w:tcBorders>
            <w:vAlign w:val="center"/>
          </w:tcPr>
          <w:p w14:paraId="3DC04851" w14:textId="77777777" w:rsidR="00AE46FC" w:rsidRPr="00894056" w:rsidRDefault="00AE46FC" w:rsidP="00894056">
            <w:pPr>
              <w:pStyle w:val="TSYList"/>
              <w:spacing w:before="40" w:after="40"/>
              <w:rPr>
                <w:rFonts w:cs="Arial"/>
              </w:rPr>
            </w:pPr>
            <w:r w:rsidRPr="00894056">
              <w:rPr>
                <w:rFonts w:cs="Arial"/>
              </w:rPr>
              <w:t>In the medium-to-long term, consider broader opportunities for environmental taxation</w:t>
            </w:r>
            <w:r w:rsidR="00765260" w:rsidRPr="00894056">
              <w:rPr>
                <w:rFonts w:cs="Arial"/>
              </w:rPr>
              <w:t>.</w:t>
            </w:r>
          </w:p>
        </w:tc>
        <w:tc>
          <w:tcPr>
            <w:tcW w:w="2551" w:type="dxa"/>
            <w:vMerge/>
            <w:tcBorders>
              <w:left w:val="single" w:sz="4" w:space="0" w:color="auto"/>
              <w:bottom w:val="single" w:sz="4" w:space="0" w:color="auto"/>
              <w:right w:val="single" w:sz="4" w:space="0" w:color="auto"/>
            </w:tcBorders>
            <w:shd w:val="clear" w:color="auto" w:fill="auto"/>
            <w:vAlign w:val="center"/>
          </w:tcPr>
          <w:p w14:paraId="14A32CC3" w14:textId="77777777" w:rsidR="00AE46FC" w:rsidRPr="00894056" w:rsidRDefault="00AE46FC" w:rsidP="00894056">
            <w:pPr>
              <w:pStyle w:val="TSYList"/>
              <w:keepNext/>
              <w:spacing w:before="40" w:after="40"/>
              <w:jc w:val="left"/>
              <w:rPr>
                <w:rFonts w:cs="Arial"/>
              </w:rPr>
            </w:pPr>
          </w:p>
        </w:tc>
      </w:tr>
      <w:tr w:rsidR="00894056" w:rsidRPr="001D1C40" w14:paraId="5E77FB55" w14:textId="77777777" w:rsidTr="001571BC">
        <w:trPr>
          <w:trHeight w:val="699"/>
        </w:trPr>
        <w:tc>
          <w:tcPr>
            <w:tcW w:w="1623" w:type="dxa"/>
            <w:vMerge w:val="restart"/>
            <w:tcBorders>
              <w:top w:val="single" w:sz="4" w:space="0" w:color="auto"/>
              <w:left w:val="single" w:sz="4" w:space="0" w:color="auto"/>
              <w:right w:val="single" w:sz="4" w:space="0" w:color="auto"/>
            </w:tcBorders>
            <w:vAlign w:val="center"/>
            <w:hideMark/>
          </w:tcPr>
          <w:p w14:paraId="31AD6055" w14:textId="77777777" w:rsidR="00894056" w:rsidRPr="00894056" w:rsidRDefault="00894056" w:rsidP="00894056">
            <w:pPr>
              <w:pStyle w:val="TSYList"/>
              <w:keepNext/>
              <w:spacing w:before="40" w:after="40"/>
              <w:jc w:val="left"/>
              <w:rPr>
                <w:rFonts w:cs="Arial"/>
              </w:rPr>
            </w:pPr>
            <w:r w:rsidRPr="00894056">
              <w:rPr>
                <w:rFonts w:cs="Arial"/>
              </w:rPr>
              <w:t>The taxation of business</w:t>
            </w:r>
          </w:p>
          <w:p w14:paraId="63556A34" w14:textId="77777777" w:rsidR="00894056" w:rsidRPr="00894056" w:rsidRDefault="00894056" w:rsidP="00894056">
            <w:pPr>
              <w:pStyle w:val="TSYList"/>
              <w:spacing w:before="40" w:after="40"/>
              <w:jc w:val="left"/>
              <w:rPr>
                <w:rFonts w:cs="Arial"/>
              </w:rPr>
            </w:pPr>
          </w:p>
        </w:tc>
        <w:tc>
          <w:tcPr>
            <w:tcW w:w="5602" w:type="dxa"/>
            <w:tcBorders>
              <w:top w:val="single" w:sz="4" w:space="0" w:color="auto"/>
              <w:left w:val="single" w:sz="4" w:space="0" w:color="auto"/>
              <w:right w:val="single" w:sz="4" w:space="0" w:color="auto"/>
            </w:tcBorders>
            <w:vAlign w:val="center"/>
            <w:hideMark/>
          </w:tcPr>
          <w:p w14:paraId="5ED8381D" w14:textId="77777777" w:rsidR="00894056" w:rsidRPr="00894056" w:rsidRDefault="00894056" w:rsidP="007336CE">
            <w:pPr>
              <w:pStyle w:val="TSYList"/>
              <w:spacing w:before="40" w:after="40"/>
              <w:jc w:val="left"/>
              <w:rPr>
                <w:rFonts w:cs="Arial"/>
              </w:rPr>
            </w:pPr>
            <w:r w:rsidRPr="00894056">
              <w:rPr>
                <w:rFonts w:cs="Arial"/>
              </w:rPr>
              <w:t xml:space="preserve">The current approach to the taxation of business is largely sound. Accordingly, </w:t>
            </w:r>
            <w:r w:rsidR="007336CE">
              <w:rPr>
                <w:rFonts w:cs="Arial"/>
              </w:rPr>
              <w:t xml:space="preserve">the </w:t>
            </w:r>
            <w:r w:rsidRPr="00894056">
              <w:rPr>
                <w:rFonts w:cs="Arial"/>
              </w:rPr>
              <w:t>TWG recommended that</w:t>
            </w:r>
            <w:r w:rsidR="007336CE">
              <w:rPr>
                <w:rFonts w:cs="Arial"/>
              </w:rPr>
              <w:t xml:space="preserve"> the</w:t>
            </w:r>
            <w:r w:rsidRPr="00894056">
              <w:rPr>
                <w:rFonts w:cs="Arial"/>
              </w:rPr>
              <w:t xml:space="preserve"> Government retain the</w:t>
            </w:r>
            <w:r w:rsidR="007336CE">
              <w:rPr>
                <w:rFonts w:cs="Arial"/>
              </w:rPr>
              <w:t xml:space="preserve"> imputation system</w:t>
            </w:r>
            <w:r w:rsidRPr="00894056">
              <w:rPr>
                <w:rFonts w:cs="Arial"/>
              </w:rPr>
              <w:t xml:space="preserve"> and</w:t>
            </w:r>
            <w:r w:rsidR="007336CE">
              <w:rPr>
                <w:rFonts w:cs="Arial"/>
              </w:rPr>
              <w:t xml:space="preserve"> the </w:t>
            </w:r>
            <w:r w:rsidRPr="00894056">
              <w:rPr>
                <w:rFonts w:cs="Arial"/>
              </w:rPr>
              <w:t>existing company tax rate.</w:t>
            </w:r>
          </w:p>
        </w:tc>
        <w:tc>
          <w:tcPr>
            <w:tcW w:w="2551" w:type="dxa"/>
            <w:tcBorders>
              <w:top w:val="single" w:sz="4" w:space="0" w:color="auto"/>
              <w:left w:val="single" w:sz="4" w:space="0" w:color="auto"/>
              <w:right w:val="single" w:sz="4" w:space="0" w:color="auto"/>
            </w:tcBorders>
            <w:shd w:val="clear" w:color="auto" w:fill="auto"/>
            <w:vAlign w:val="center"/>
          </w:tcPr>
          <w:p w14:paraId="27ED879B" w14:textId="77777777" w:rsidR="00894056" w:rsidRPr="00894056" w:rsidRDefault="00894056" w:rsidP="00894056">
            <w:pPr>
              <w:pStyle w:val="TSYList"/>
              <w:spacing w:before="40" w:after="40"/>
              <w:jc w:val="left"/>
              <w:rPr>
                <w:rFonts w:cs="Arial"/>
              </w:rPr>
            </w:pPr>
            <w:r w:rsidRPr="00894056">
              <w:rPr>
                <w:rFonts w:cs="Arial"/>
              </w:rPr>
              <w:t>Endorse the TWG recommendation.</w:t>
            </w:r>
          </w:p>
        </w:tc>
      </w:tr>
      <w:tr w:rsidR="00894056" w:rsidRPr="001D1C40" w14:paraId="2D229448" w14:textId="77777777" w:rsidTr="00674EA8">
        <w:trPr>
          <w:trHeight w:val="132"/>
        </w:trPr>
        <w:tc>
          <w:tcPr>
            <w:tcW w:w="1623" w:type="dxa"/>
            <w:vMerge/>
            <w:tcBorders>
              <w:left w:val="single" w:sz="4" w:space="0" w:color="auto"/>
              <w:right w:val="single" w:sz="4" w:space="0" w:color="auto"/>
            </w:tcBorders>
            <w:vAlign w:val="center"/>
            <w:hideMark/>
          </w:tcPr>
          <w:p w14:paraId="3BF1C44B" w14:textId="77777777" w:rsidR="00894056" w:rsidRPr="00894056" w:rsidRDefault="00894056" w:rsidP="00894056">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hideMark/>
          </w:tcPr>
          <w:p w14:paraId="450457F9" w14:textId="77777777" w:rsidR="00894056" w:rsidRPr="00894056" w:rsidRDefault="00894056" w:rsidP="00894056">
            <w:pPr>
              <w:pStyle w:val="TSYList"/>
              <w:spacing w:before="40" w:after="40"/>
              <w:rPr>
                <w:rFonts w:cs="Arial"/>
              </w:rPr>
            </w:pPr>
            <w:r w:rsidRPr="00894056">
              <w:rPr>
                <w:rFonts w:cs="Arial"/>
              </w:rPr>
              <w:t>Consider measures to support businesses and enhance productivity. These include:</w:t>
            </w:r>
          </w:p>
          <w:p w14:paraId="52AFC66B" w14:textId="77777777" w:rsidR="00894056" w:rsidRPr="00894056" w:rsidRDefault="00894056" w:rsidP="00894056">
            <w:pPr>
              <w:pStyle w:val="TSYList"/>
              <w:numPr>
                <w:ilvl w:val="0"/>
                <w:numId w:val="14"/>
              </w:numPr>
              <w:spacing w:before="40" w:after="40"/>
              <w:ind w:left="389" w:hanging="357"/>
              <w:rPr>
                <w:rFonts w:cs="Arial"/>
              </w:rPr>
            </w:pPr>
            <w:r w:rsidRPr="00894056">
              <w:rPr>
                <w:rFonts w:cs="Arial"/>
              </w:rPr>
              <w:t xml:space="preserve">reform of the loss continuity rules; </w:t>
            </w:r>
          </w:p>
          <w:p w14:paraId="3C5BE458" w14:textId="77777777" w:rsidR="00894056" w:rsidRPr="00894056" w:rsidRDefault="00894056" w:rsidP="00894056">
            <w:pPr>
              <w:pStyle w:val="TSYList"/>
              <w:numPr>
                <w:ilvl w:val="0"/>
                <w:numId w:val="14"/>
              </w:numPr>
              <w:spacing w:before="40" w:after="40"/>
              <w:ind w:left="389" w:hanging="357"/>
              <w:rPr>
                <w:rFonts w:cs="Arial"/>
              </w:rPr>
            </w:pPr>
            <w:r w:rsidRPr="00894056">
              <w:rPr>
                <w:rFonts w:cs="Arial"/>
              </w:rPr>
              <w:t>reform of the treatment of black hole expenditure; and</w:t>
            </w:r>
          </w:p>
          <w:p w14:paraId="2C53C5E8" w14:textId="77777777" w:rsidR="00894056" w:rsidRPr="00894056" w:rsidRDefault="00894056" w:rsidP="00894056">
            <w:pPr>
              <w:pStyle w:val="TSYList"/>
              <w:numPr>
                <w:ilvl w:val="0"/>
                <w:numId w:val="23"/>
              </w:numPr>
              <w:spacing w:before="40" w:after="40"/>
              <w:ind w:left="385" w:hanging="357"/>
              <w:rPr>
                <w:rFonts w:cs="Arial"/>
              </w:rPr>
            </w:pPr>
            <w:r w:rsidRPr="00894056">
              <w:rPr>
                <w:rFonts w:cs="Arial"/>
              </w:rPr>
              <w:t>compliance cost measures.</w:t>
            </w:r>
          </w:p>
        </w:tc>
        <w:tc>
          <w:tcPr>
            <w:tcW w:w="2551" w:type="dxa"/>
            <w:tcBorders>
              <w:top w:val="single" w:sz="4" w:space="0" w:color="auto"/>
              <w:left w:val="single" w:sz="4" w:space="0" w:color="auto"/>
              <w:right w:val="single" w:sz="4" w:space="0" w:color="auto"/>
            </w:tcBorders>
            <w:shd w:val="clear" w:color="auto" w:fill="auto"/>
            <w:vAlign w:val="center"/>
            <w:hideMark/>
          </w:tcPr>
          <w:p w14:paraId="24DC2921" w14:textId="77777777" w:rsidR="00894056" w:rsidRPr="00894056" w:rsidRDefault="00894056" w:rsidP="00894056">
            <w:pPr>
              <w:pStyle w:val="TSYList"/>
              <w:spacing w:before="40" w:after="40"/>
              <w:jc w:val="left"/>
              <w:rPr>
                <w:rFonts w:cs="Arial"/>
              </w:rPr>
            </w:pPr>
            <w:r w:rsidRPr="00894056">
              <w:rPr>
                <w:rFonts w:cs="Arial"/>
              </w:rPr>
              <w:t xml:space="preserve">Consider for </w:t>
            </w:r>
            <w:r w:rsidR="008763CA">
              <w:rPr>
                <w:rFonts w:cs="Arial"/>
              </w:rPr>
              <w:t xml:space="preserve">inclusion on </w:t>
            </w:r>
            <w:r w:rsidRPr="00894056">
              <w:rPr>
                <w:rFonts w:cs="Arial"/>
              </w:rPr>
              <w:t>work programme (TPWP).</w:t>
            </w:r>
          </w:p>
        </w:tc>
      </w:tr>
      <w:tr w:rsidR="00894056" w:rsidRPr="001D1C40" w14:paraId="75EB7030" w14:textId="77777777" w:rsidTr="001571BC">
        <w:trPr>
          <w:trHeight w:val="539"/>
        </w:trPr>
        <w:tc>
          <w:tcPr>
            <w:tcW w:w="1623" w:type="dxa"/>
            <w:vMerge/>
            <w:tcBorders>
              <w:left w:val="single" w:sz="4" w:space="0" w:color="auto"/>
              <w:right w:val="single" w:sz="4" w:space="0" w:color="auto"/>
            </w:tcBorders>
            <w:vAlign w:val="center"/>
          </w:tcPr>
          <w:p w14:paraId="229F57F6" w14:textId="77777777" w:rsidR="00894056" w:rsidRPr="00894056" w:rsidRDefault="00894056" w:rsidP="00894056">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55FE4EFC" w14:textId="77777777" w:rsidR="00894056" w:rsidRPr="00894056" w:rsidRDefault="00894056" w:rsidP="00AA0BCF">
            <w:pPr>
              <w:pStyle w:val="TSYList"/>
              <w:spacing w:before="40" w:after="40"/>
              <w:rPr>
                <w:rFonts w:cs="Arial"/>
              </w:rPr>
            </w:pPr>
            <w:r w:rsidRPr="00894056">
              <w:rPr>
                <w:rFonts w:cs="Arial"/>
              </w:rPr>
              <w:t>The reinstatement of building depreciation deductions</w:t>
            </w:r>
            <w:r w:rsidR="00AA0BCF">
              <w:rPr>
                <w:rFonts w:cs="Arial"/>
              </w:rPr>
              <w:t xml:space="preserve"> including the treatment of seismic strengthening costs</w:t>
            </w:r>
          </w:p>
        </w:tc>
        <w:tc>
          <w:tcPr>
            <w:tcW w:w="2551" w:type="dxa"/>
            <w:tcBorders>
              <w:left w:val="single" w:sz="4" w:space="0" w:color="auto"/>
              <w:bottom w:val="single" w:sz="4" w:space="0" w:color="auto"/>
              <w:right w:val="single" w:sz="4" w:space="0" w:color="auto"/>
            </w:tcBorders>
            <w:shd w:val="clear" w:color="auto" w:fill="auto"/>
            <w:vAlign w:val="center"/>
          </w:tcPr>
          <w:p w14:paraId="1828F27D" w14:textId="54474AB4" w:rsidR="00AA0BCF" w:rsidRPr="00894056" w:rsidRDefault="00894056" w:rsidP="006744F6">
            <w:pPr>
              <w:pStyle w:val="TSYList"/>
              <w:spacing w:before="40" w:after="40"/>
              <w:jc w:val="left"/>
              <w:rPr>
                <w:rFonts w:cs="Arial"/>
              </w:rPr>
            </w:pPr>
            <w:r w:rsidRPr="00894056">
              <w:rPr>
                <w:rFonts w:cs="Arial"/>
              </w:rPr>
              <w:t xml:space="preserve">Consider for </w:t>
            </w:r>
            <w:r w:rsidR="008763CA">
              <w:rPr>
                <w:rFonts w:cs="Arial"/>
              </w:rPr>
              <w:t xml:space="preserve">inclusion on </w:t>
            </w:r>
            <w:r w:rsidRPr="00894056">
              <w:rPr>
                <w:rFonts w:cs="Arial"/>
              </w:rPr>
              <w:t>work programme (TPWP)</w:t>
            </w:r>
            <w:r w:rsidR="00AA0BCF">
              <w:rPr>
                <w:rFonts w:cs="Arial"/>
              </w:rPr>
              <w:t xml:space="preserve"> </w:t>
            </w:r>
            <w:r w:rsidR="006744F6">
              <w:rPr>
                <w:rFonts w:cs="Arial"/>
              </w:rPr>
              <w:t xml:space="preserve">with the </w:t>
            </w:r>
            <w:r w:rsidR="00AA0BCF">
              <w:rPr>
                <w:rFonts w:cs="Arial"/>
              </w:rPr>
              <w:t xml:space="preserve">seismic strengthening work </w:t>
            </w:r>
            <w:r w:rsidR="006744F6">
              <w:rPr>
                <w:rFonts w:cs="Arial"/>
              </w:rPr>
              <w:t xml:space="preserve">considered </w:t>
            </w:r>
            <w:r w:rsidR="00AA0BCF">
              <w:rPr>
                <w:rFonts w:cs="Arial"/>
              </w:rPr>
              <w:t>a high priority for inclusion on the work programme.</w:t>
            </w:r>
          </w:p>
        </w:tc>
      </w:tr>
      <w:tr w:rsidR="00894056" w:rsidRPr="001D1C40" w14:paraId="67C742AB" w14:textId="77777777" w:rsidTr="001571BC">
        <w:trPr>
          <w:trHeight w:val="782"/>
        </w:trPr>
        <w:tc>
          <w:tcPr>
            <w:tcW w:w="1623" w:type="dxa"/>
            <w:vMerge/>
            <w:tcBorders>
              <w:left w:val="single" w:sz="4" w:space="0" w:color="auto"/>
              <w:bottom w:val="single" w:sz="4" w:space="0" w:color="auto"/>
              <w:right w:val="single" w:sz="4" w:space="0" w:color="auto"/>
            </w:tcBorders>
            <w:vAlign w:val="center"/>
          </w:tcPr>
          <w:p w14:paraId="643BC5EA" w14:textId="77777777" w:rsidR="00894056" w:rsidRPr="00894056" w:rsidRDefault="00894056" w:rsidP="00894056">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6424922C" w14:textId="77777777" w:rsidR="00894056" w:rsidRPr="00894056" w:rsidRDefault="00894056" w:rsidP="00894056">
            <w:pPr>
              <w:pStyle w:val="TSYList"/>
              <w:spacing w:before="40" w:after="40"/>
              <w:rPr>
                <w:rFonts w:cs="Arial"/>
              </w:rPr>
            </w:pPr>
            <w:r w:rsidRPr="00894056">
              <w:rPr>
                <w:rFonts w:cs="Arial"/>
              </w:rPr>
              <w:t>Develop a regime that encourages investment into nationally-significant infrastructure projects.</w:t>
            </w:r>
          </w:p>
        </w:tc>
        <w:tc>
          <w:tcPr>
            <w:tcW w:w="2551" w:type="dxa"/>
            <w:tcBorders>
              <w:left w:val="single" w:sz="4" w:space="0" w:color="auto"/>
              <w:bottom w:val="single" w:sz="4" w:space="0" w:color="auto"/>
              <w:right w:val="single" w:sz="4" w:space="0" w:color="auto"/>
            </w:tcBorders>
            <w:shd w:val="clear" w:color="auto" w:fill="auto"/>
            <w:vAlign w:val="center"/>
          </w:tcPr>
          <w:p w14:paraId="6A089EF6" w14:textId="77777777" w:rsidR="00894056" w:rsidRPr="00894056" w:rsidRDefault="00894056" w:rsidP="00894056">
            <w:pPr>
              <w:pStyle w:val="TSYList"/>
              <w:spacing w:before="40" w:after="40"/>
              <w:jc w:val="left"/>
              <w:rPr>
                <w:rFonts w:cs="Arial"/>
              </w:rPr>
            </w:pPr>
            <w:r w:rsidRPr="00894056">
              <w:rPr>
                <w:rFonts w:cs="Arial"/>
              </w:rPr>
              <w:t xml:space="preserve">Consider as high priority for </w:t>
            </w:r>
            <w:r w:rsidR="008763CA">
              <w:rPr>
                <w:rFonts w:cs="Arial"/>
              </w:rPr>
              <w:t xml:space="preserve">inclusion on </w:t>
            </w:r>
            <w:r w:rsidRPr="00894056">
              <w:rPr>
                <w:rFonts w:cs="Arial"/>
              </w:rPr>
              <w:t>work programme (TPWP).</w:t>
            </w:r>
          </w:p>
        </w:tc>
      </w:tr>
      <w:tr w:rsidR="00655D67" w:rsidRPr="001D1C40" w14:paraId="21E81E78" w14:textId="77777777" w:rsidTr="001571BC">
        <w:trPr>
          <w:trHeight w:val="569"/>
        </w:trPr>
        <w:tc>
          <w:tcPr>
            <w:tcW w:w="1623" w:type="dxa"/>
            <w:tcBorders>
              <w:top w:val="single" w:sz="4" w:space="0" w:color="auto"/>
              <w:left w:val="single" w:sz="4" w:space="0" w:color="auto"/>
              <w:bottom w:val="single" w:sz="4" w:space="0" w:color="auto"/>
              <w:right w:val="single" w:sz="4" w:space="0" w:color="auto"/>
            </w:tcBorders>
            <w:vAlign w:val="center"/>
            <w:hideMark/>
          </w:tcPr>
          <w:p w14:paraId="62558B43" w14:textId="77777777" w:rsidR="00655D67" w:rsidRPr="00894056" w:rsidRDefault="00655D67" w:rsidP="00894056">
            <w:pPr>
              <w:spacing w:before="40" w:after="40"/>
              <w:rPr>
                <w:rFonts w:ascii="Arial" w:hAnsi="Arial" w:cs="Arial"/>
                <w:lang w:eastAsia="en-US"/>
              </w:rPr>
            </w:pPr>
            <w:r w:rsidRPr="00894056">
              <w:rPr>
                <w:rFonts w:ascii="Arial" w:hAnsi="Arial" w:cs="Arial"/>
              </w:rPr>
              <w:t>International income taxation</w:t>
            </w:r>
          </w:p>
        </w:tc>
        <w:tc>
          <w:tcPr>
            <w:tcW w:w="5602" w:type="dxa"/>
            <w:tcBorders>
              <w:top w:val="single" w:sz="4" w:space="0" w:color="auto"/>
              <w:left w:val="single" w:sz="4" w:space="0" w:color="auto"/>
              <w:bottom w:val="single" w:sz="4" w:space="0" w:color="auto"/>
              <w:right w:val="single" w:sz="4" w:space="0" w:color="auto"/>
            </w:tcBorders>
            <w:vAlign w:val="center"/>
            <w:hideMark/>
          </w:tcPr>
          <w:p w14:paraId="06CC6DD3" w14:textId="77777777" w:rsidR="00655D67" w:rsidRPr="00894056" w:rsidRDefault="00AE46FC" w:rsidP="00894056">
            <w:pPr>
              <w:pStyle w:val="TSYList"/>
              <w:spacing w:before="40" w:after="40"/>
              <w:rPr>
                <w:rFonts w:cs="Arial"/>
              </w:rPr>
            </w:pPr>
            <w:r w:rsidRPr="00894056">
              <w:rPr>
                <w:rFonts w:cs="Arial"/>
              </w:rPr>
              <w:t>Continue to participate in multilateral discussions on the future of</w:t>
            </w:r>
            <w:r w:rsidR="00635CED" w:rsidRPr="00894056">
              <w:rPr>
                <w:rFonts w:cs="Arial"/>
              </w:rPr>
              <w:t xml:space="preserve"> the</w:t>
            </w:r>
            <w:r w:rsidRPr="00894056">
              <w:rPr>
                <w:rFonts w:cs="Arial"/>
              </w:rPr>
              <w:t xml:space="preserve"> international income tax </w:t>
            </w:r>
            <w:proofErr w:type="gramStart"/>
            <w:r w:rsidR="00A14D5D" w:rsidRPr="00894056">
              <w:rPr>
                <w:rFonts w:cs="Arial"/>
              </w:rPr>
              <w:t>framework</w:t>
            </w:r>
            <w:r w:rsidR="00B41536" w:rsidRPr="00894056">
              <w:rPr>
                <w:rFonts w:cs="Arial"/>
              </w:rPr>
              <w:t>,</w:t>
            </w:r>
            <w:r w:rsidR="00A14D5D" w:rsidRPr="00894056">
              <w:rPr>
                <w:rFonts w:cs="Arial"/>
              </w:rPr>
              <w:t xml:space="preserve"> but</w:t>
            </w:r>
            <w:proofErr w:type="gramEnd"/>
            <w:r w:rsidRPr="00894056">
              <w:rPr>
                <w:rFonts w:cs="Arial"/>
              </w:rPr>
              <w:t xml:space="preserve"> stand ready to implement a digital services tax if </w:t>
            </w:r>
            <w:r w:rsidR="00F439E8" w:rsidRPr="00894056">
              <w:rPr>
                <w:rFonts w:cs="Arial"/>
              </w:rPr>
              <w:t>necessary</w:t>
            </w:r>
            <w:r w:rsidRPr="00894056">
              <w:rPr>
                <w:rFonts w:cs="Arial"/>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DB04" w14:textId="502710D5" w:rsidR="00655D67" w:rsidRPr="00894056" w:rsidRDefault="00765260" w:rsidP="00423D38">
            <w:pPr>
              <w:pStyle w:val="TSYList"/>
              <w:spacing w:before="40" w:after="40"/>
              <w:jc w:val="left"/>
              <w:rPr>
                <w:rFonts w:cs="Arial"/>
              </w:rPr>
            </w:pPr>
            <w:r w:rsidRPr="00894056">
              <w:rPr>
                <w:rFonts w:cs="Arial"/>
              </w:rPr>
              <w:t xml:space="preserve">The Government </w:t>
            </w:r>
            <w:r w:rsidR="00E636A5" w:rsidRPr="00894056">
              <w:rPr>
                <w:rFonts w:cs="Arial"/>
              </w:rPr>
              <w:t xml:space="preserve">has </w:t>
            </w:r>
            <w:r w:rsidR="00077F03">
              <w:rPr>
                <w:rFonts w:cs="Arial"/>
              </w:rPr>
              <w:t xml:space="preserve">directed officials to draft a discussion document </w:t>
            </w:r>
            <w:r w:rsidRPr="00894056">
              <w:rPr>
                <w:rFonts w:cs="Arial"/>
              </w:rPr>
              <w:t xml:space="preserve">on </w:t>
            </w:r>
            <w:r w:rsidR="00077F03">
              <w:rPr>
                <w:rFonts w:cs="Arial"/>
              </w:rPr>
              <w:t xml:space="preserve">the </w:t>
            </w:r>
            <w:r w:rsidRPr="00894056">
              <w:rPr>
                <w:rFonts w:cs="Arial"/>
              </w:rPr>
              <w:t>options for taxing the digital economy, including a digital services tax.</w:t>
            </w:r>
            <w:r w:rsidR="00077F03">
              <w:rPr>
                <w:rFonts w:cs="Arial"/>
              </w:rPr>
              <w:t xml:space="preserve"> We will report back to Cabinet with a draft of the discussion document in May.</w:t>
            </w:r>
          </w:p>
        </w:tc>
      </w:tr>
      <w:tr w:rsidR="00655D67" w:rsidRPr="001D1C40" w14:paraId="19A244A2" w14:textId="77777777" w:rsidTr="001571B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985D" w14:textId="77777777" w:rsidR="00655D67" w:rsidRPr="00894056" w:rsidRDefault="00655D67" w:rsidP="00894056">
            <w:pPr>
              <w:pStyle w:val="TSYList"/>
              <w:spacing w:before="40" w:after="40"/>
              <w:jc w:val="left"/>
              <w:rPr>
                <w:rFonts w:cs="Arial"/>
              </w:rPr>
            </w:pPr>
            <w:r w:rsidRPr="00894056">
              <w:rPr>
                <w:rFonts w:cs="Arial"/>
              </w:rPr>
              <w:t>Retirement savings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63131F85" w14:textId="77777777" w:rsidR="00655D67" w:rsidRPr="00894056" w:rsidRDefault="00AE46FC" w:rsidP="00894056">
            <w:pPr>
              <w:pStyle w:val="TSYList"/>
              <w:spacing w:before="40" w:after="40"/>
              <w:jc w:val="left"/>
              <w:rPr>
                <w:rFonts w:cs="Arial"/>
              </w:rPr>
            </w:pPr>
            <w:r w:rsidRPr="00894056">
              <w:rPr>
                <w:rFonts w:cs="Arial"/>
              </w:rPr>
              <w:t>Increase the incentive</w:t>
            </w:r>
            <w:r w:rsidR="00F439E8" w:rsidRPr="00894056">
              <w:rPr>
                <w:rFonts w:cs="Arial"/>
              </w:rPr>
              <w:t>s</w:t>
            </w:r>
            <w:r w:rsidRPr="00894056">
              <w:rPr>
                <w:rFonts w:cs="Arial"/>
              </w:rPr>
              <w:t xml:space="preserve"> for low income-earners to save through </w:t>
            </w:r>
            <w:proofErr w:type="spellStart"/>
            <w:r w:rsidRPr="00894056">
              <w:rPr>
                <w:rFonts w:cs="Arial"/>
              </w:rPr>
              <w:t>KiwiSaver</w:t>
            </w:r>
            <w:proofErr w:type="spellEnd"/>
            <w:r w:rsidRPr="00894056">
              <w:rPr>
                <w:rFonts w:cs="Arial"/>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D1531" w14:textId="77777777" w:rsidR="00655D67" w:rsidRPr="00894056" w:rsidRDefault="00CA2D40" w:rsidP="00894056">
            <w:pPr>
              <w:pStyle w:val="TSYList"/>
              <w:spacing w:before="40" w:after="40"/>
              <w:jc w:val="left"/>
              <w:rPr>
                <w:rFonts w:cs="Arial"/>
              </w:rPr>
            </w:pPr>
            <w:r w:rsidRPr="00894056">
              <w:rPr>
                <w:rFonts w:cs="Arial"/>
              </w:rPr>
              <w:t xml:space="preserve">Consider for </w:t>
            </w:r>
            <w:r w:rsidR="008763CA">
              <w:rPr>
                <w:rFonts w:cs="Arial"/>
              </w:rPr>
              <w:t xml:space="preserve">inclusion on </w:t>
            </w:r>
            <w:r w:rsidRPr="00894056">
              <w:rPr>
                <w:rFonts w:cs="Arial"/>
              </w:rPr>
              <w:t>work programme (TPWP)</w:t>
            </w:r>
            <w:r w:rsidR="000623A4" w:rsidRPr="00894056">
              <w:rPr>
                <w:rFonts w:cs="Arial"/>
              </w:rPr>
              <w:t>.</w:t>
            </w:r>
          </w:p>
          <w:p w14:paraId="5E12FDDF" w14:textId="154AAA57" w:rsidR="000623A4" w:rsidRPr="0058152D" w:rsidRDefault="00077F03" w:rsidP="00F448D5">
            <w:pPr>
              <w:spacing w:after="240"/>
              <w:jc w:val="both"/>
              <w:rPr>
                <w:rFonts w:cs="Arial"/>
              </w:rPr>
            </w:pPr>
            <w:r w:rsidRPr="00F448D5">
              <w:rPr>
                <w:rFonts w:ascii="Arial" w:eastAsiaTheme="minorHAnsi" w:hAnsi="Arial" w:cs="Arial"/>
                <w:szCs w:val="22"/>
              </w:rPr>
              <w:t xml:space="preserve">This work would sit alongside the Government’s broader work on </w:t>
            </w:r>
            <w:proofErr w:type="spellStart"/>
            <w:r w:rsidRPr="00F448D5">
              <w:rPr>
                <w:rFonts w:ascii="Arial" w:eastAsiaTheme="minorHAnsi" w:hAnsi="Arial" w:cs="Arial"/>
                <w:szCs w:val="22"/>
              </w:rPr>
              <w:t>KiwiSaver</w:t>
            </w:r>
            <w:proofErr w:type="spellEnd"/>
            <w:r w:rsidRPr="00F448D5">
              <w:rPr>
                <w:rFonts w:ascii="Arial" w:eastAsiaTheme="minorHAnsi" w:hAnsi="Arial" w:cs="Arial"/>
                <w:szCs w:val="22"/>
              </w:rPr>
              <w:t xml:space="preserve">, which includes the default provider review and a consideration of options to increase </w:t>
            </w:r>
            <w:proofErr w:type="spellStart"/>
            <w:r w:rsidRPr="00F448D5">
              <w:rPr>
                <w:rFonts w:ascii="Arial" w:eastAsiaTheme="minorHAnsi" w:hAnsi="Arial" w:cs="Arial"/>
                <w:szCs w:val="22"/>
              </w:rPr>
              <w:t>KiwiSaver</w:t>
            </w:r>
            <w:proofErr w:type="spellEnd"/>
            <w:r w:rsidRPr="00F448D5">
              <w:rPr>
                <w:rFonts w:ascii="Arial" w:eastAsiaTheme="minorHAnsi" w:hAnsi="Arial" w:cs="Arial"/>
                <w:szCs w:val="22"/>
              </w:rPr>
              <w:t xml:space="preserve"> uptake and contributions.</w:t>
            </w:r>
          </w:p>
        </w:tc>
      </w:tr>
      <w:tr w:rsidR="00AE46FC" w:rsidRPr="001D1C40" w14:paraId="456E3F5A" w14:textId="77777777" w:rsidTr="001571BC">
        <w:trPr>
          <w:trHeight w:val="359"/>
        </w:trPr>
        <w:tc>
          <w:tcPr>
            <w:tcW w:w="1623" w:type="dxa"/>
            <w:tcBorders>
              <w:top w:val="single" w:sz="4" w:space="0" w:color="auto"/>
              <w:left w:val="single" w:sz="4" w:space="0" w:color="auto"/>
              <w:right w:val="single" w:sz="4" w:space="0" w:color="auto"/>
            </w:tcBorders>
            <w:shd w:val="clear" w:color="auto" w:fill="auto"/>
            <w:vAlign w:val="center"/>
            <w:hideMark/>
          </w:tcPr>
          <w:p w14:paraId="012FAE8E" w14:textId="77777777" w:rsidR="00AE46FC" w:rsidRPr="00894056" w:rsidRDefault="00AE46FC" w:rsidP="00894056">
            <w:pPr>
              <w:pStyle w:val="TSYList"/>
              <w:spacing w:before="40" w:after="40"/>
              <w:jc w:val="left"/>
              <w:rPr>
                <w:rFonts w:cs="Arial"/>
              </w:rPr>
            </w:pPr>
            <w:r w:rsidRPr="00894056">
              <w:rPr>
                <w:rFonts w:cs="Arial"/>
              </w:rPr>
              <w:t>Future of work</w:t>
            </w:r>
          </w:p>
        </w:tc>
        <w:tc>
          <w:tcPr>
            <w:tcW w:w="5602" w:type="dxa"/>
            <w:tcBorders>
              <w:top w:val="single" w:sz="4" w:space="0" w:color="auto"/>
              <w:left w:val="single" w:sz="4" w:space="0" w:color="auto"/>
              <w:right w:val="single" w:sz="4" w:space="0" w:color="auto"/>
            </w:tcBorders>
            <w:vAlign w:val="center"/>
            <w:hideMark/>
          </w:tcPr>
          <w:p w14:paraId="1D483DCD" w14:textId="77777777" w:rsidR="00AE46FC" w:rsidRPr="00894056" w:rsidRDefault="00F439E8" w:rsidP="00894056">
            <w:pPr>
              <w:pStyle w:val="TSYList"/>
              <w:spacing w:before="40" w:after="40"/>
              <w:jc w:val="left"/>
              <w:rPr>
                <w:rFonts w:cs="Arial"/>
              </w:rPr>
            </w:pPr>
            <w:r w:rsidRPr="00894056">
              <w:rPr>
                <w:rFonts w:cs="Arial"/>
              </w:rPr>
              <w:t>Ensure</w:t>
            </w:r>
            <w:r w:rsidR="00AE46FC" w:rsidRPr="00894056">
              <w:rPr>
                <w:rFonts w:cs="Arial"/>
              </w:rPr>
              <w:t xml:space="preserve"> the tax system remains fit-for-purpose as technology and other forces reshape the labour market.</w:t>
            </w:r>
          </w:p>
        </w:tc>
        <w:tc>
          <w:tcPr>
            <w:tcW w:w="2551" w:type="dxa"/>
            <w:tcBorders>
              <w:top w:val="single" w:sz="4" w:space="0" w:color="auto"/>
              <w:left w:val="single" w:sz="4" w:space="0" w:color="auto"/>
              <w:right w:val="single" w:sz="4" w:space="0" w:color="auto"/>
            </w:tcBorders>
            <w:shd w:val="clear" w:color="auto" w:fill="auto"/>
            <w:vAlign w:val="center"/>
            <w:hideMark/>
          </w:tcPr>
          <w:p w14:paraId="7777AE7F" w14:textId="77777777" w:rsidR="00AE46FC" w:rsidRPr="00894056" w:rsidRDefault="00F97F82" w:rsidP="00894056">
            <w:pPr>
              <w:pStyle w:val="TSYList"/>
              <w:spacing w:before="40" w:after="40"/>
              <w:jc w:val="left"/>
              <w:rPr>
                <w:rFonts w:cs="Arial"/>
              </w:rPr>
            </w:pPr>
            <w:r w:rsidRPr="00894056">
              <w:rPr>
                <w:rFonts w:cs="Arial"/>
              </w:rPr>
              <w:t>Note w</w:t>
            </w:r>
            <w:r w:rsidR="00AE46FC" w:rsidRPr="00894056">
              <w:rPr>
                <w:rFonts w:cs="Arial"/>
              </w:rPr>
              <w:t>ork</w:t>
            </w:r>
            <w:r w:rsidR="00635CED" w:rsidRPr="00894056">
              <w:rPr>
                <w:rFonts w:cs="Arial"/>
              </w:rPr>
              <w:t xml:space="preserve"> already</w:t>
            </w:r>
            <w:r w:rsidR="00AE46FC" w:rsidRPr="00894056">
              <w:rPr>
                <w:rFonts w:cs="Arial"/>
              </w:rPr>
              <w:t xml:space="preserve"> underway</w:t>
            </w:r>
            <w:r w:rsidR="000623A4" w:rsidRPr="00894056">
              <w:rPr>
                <w:rFonts w:cs="Arial"/>
              </w:rPr>
              <w:t>.</w:t>
            </w:r>
          </w:p>
        </w:tc>
      </w:tr>
      <w:tr w:rsidR="00655D67" w:rsidRPr="001D1C40" w14:paraId="19AAE263" w14:textId="77777777" w:rsidTr="001571B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2FA5" w14:textId="77777777" w:rsidR="00655D67" w:rsidRPr="00894056" w:rsidRDefault="00655D67" w:rsidP="00894056">
            <w:pPr>
              <w:pStyle w:val="TSYList"/>
              <w:spacing w:before="40" w:after="40"/>
              <w:jc w:val="left"/>
              <w:rPr>
                <w:rFonts w:cs="Arial"/>
              </w:rPr>
            </w:pPr>
            <w:r w:rsidRPr="00894056">
              <w:rPr>
                <w:rFonts w:cs="Arial"/>
              </w:rPr>
              <w:t>Integrity of the tax system</w:t>
            </w:r>
          </w:p>
        </w:tc>
        <w:tc>
          <w:tcPr>
            <w:tcW w:w="5602" w:type="dxa"/>
            <w:tcBorders>
              <w:top w:val="single" w:sz="4" w:space="0" w:color="auto"/>
              <w:left w:val="single" w:sz="4" w:space="0" w:color="auto"/>
              <w:bottom w:val="single" w:sz="4" w:space="0" w:color="auto"/>
              <w:right w:val="single" w:sz="4" w:space="0" w:color="auto"/>
            </w:tcBorders>
            <w:vAlign w:val="center"/>
            <w:hideMark/>
          </w:tcPr>
          <w:p w14:paraId="440D9F83" w14:textId="77777777" w:rsidR="00635CED" w:rsidRPr="00894056" w:rsidRDefault="00550C3D" w:rsidP="00894056">
            <w:pPr>
              <w:pStyle w:val="TSYList"/>
              <w:spacing w:before="40" w:after="40"/>
              <w:jc w:val="left"/>
              <w:rPr>
                <w:rFonts w:cs="Arial"/>
              </w:rPr>
            </w:pPr>
            <w:r w:rsidRPr="00894056">
              <w:rPr>
                <w:rFonts w:cs="Arial"/>
              </w:rPr>
              <w:t xml:space="preserve">Adopt a suite of measures to improve compliance and enhance </w:t>
            </w:r>
            <w:r w:rsidR="00635CED" w:rsidRPr="00894056">
              <w:rPr>
                <w:rFonts w:cs="Arial"/>
              </w:rPr>
              <w:t xml:space="preserve">tax </w:t>
            </w:r>
            <w:r w:rsidRPr="00894056">
              <w:rPr>
                <w:rFonts w:cs="Arial"/>
              </w:rPr>
              <w:t>collection. These include</w:t>
            </w:r>
            <w:r w:rsidR="00635CED" w:rsidRPr="00894056">
              <w:rPr>
                <w:rFonts w:cs="Arial"/>
              </w:rPr>
              <w:t>:</w:t>
            </w:r>
          </w:p>
          <w:p w14:paraId="59AD44DF" w14:textId="77777777" w:rsidR="00635CED" w:rsidRPr="00894056" w:rsidRDefault="007951C0" w:rsidP="00894056">
            <w:pPr>
              <w:pStyle w:val="TSYList"/>
              <w:numPr>
                <w:ilvl w:val="0"/>
                <w:numId w:val="14"/>
              </w:numPr>
              <w:spacing w:before="40" w:after="40"/>
              <w:ind w:left="389" w:hanging="357"/>
              <w:jc w:val="left"/>
              <w:rPr>
                <w:rFonts w:cs="Arial"/>
              </w:rPr>
            </w:pPr>
            <w:r w:rsidRPr="00894056">
              <w:rPr>
                <w:rFonts w:cs="Arial"/>
              </w:rPr>
              <w:t>a</w:t>
            </w:r>
            <w:r w:rsidR="00550C3D" w:rsidRPr="00894056">
              <w:rPr>
                <w:rFonts w:cs="Arial"/>
              </w:rPr>
              <w:t xml:space="preserve"> review of the loss-trading rules</w:t>
            </w:r>
            <w:r w:rsidR="00635CED" w:rsidRPr="00894056">
              <w:rPr>
                <w:rFonts w:cs="Arial"/>
              </w:rPr>
              <w:t>;</w:t>
            </w:r>
          </w:p>
          <w:p w14:paraId="67380882" w14:textId="77777777" w:rsidR="00635CED" w:rsidRPr="00894056" w:rsidRDefault="007951C0" w:rsidP="00894056">
            <w:pPr>
              <w:pStyle w:val="TSYList"/>
              <w:numPr>
                <w:ilvl w:val="0"/>
                <w:numId w:val="14"/>
              </w:numPr>
              <w:spacing w:before="40" w:after="40"/>
              <w:ind w:left="389" w:hanging="357"/>
              <w:jc w:val="left"/>
              <w:rPr>
                <w:rFonts w:cs="Arial"/>
              </w:rPr>
            </w:pPr>
            <w:r w:rsidRPr="00894056">
              <w:rPr>
                <w:rFonts w:cs="Arial"/>
              </w:rPr>
              <w:t>t</w:t>
            </w:r>
            <w:r w:rsidR="00550C3D" w:rsidRPr="00894056">
              <w:rPr>
                <w:rFonts w:cs="Arial"/>
              </w:rPr>
              <w:t>ighter requirements on shareholders in closely-held companies</w:t>
            </w:r>
            <w:r w:rsidR="00635CED" w:rsidRPr="00894056">
              <w:rPr>
                <w:rFonts w:cs="Arial"/>
              </w:rPr>
              <w:t xml:space="preserve">; </w:t>
            </w:r>
            <w:r w:rsidRPr="00894056">
              <w:rPr>
                <w:rFonts w:cs="Arial"/>
              </w:rPr>
              <w:t>and</w:t>
            </w:r>
          </w:p>
          <w:p w14:paraId="6BAB59D6" w14:textId="77777777" w:rsidR="00655D67" w:rsidRPr="00894056" w:rsidRDefault="007951C0" w:rsidP="00894056">
            <w:pPr>
              <w:pStyle w:val="TSYList"/>
              <w:numPr>
                <w:ilvl w:val="0"/>
                <w:numId w:val="14"/>
              </w:numPr>
              <w:spacing w:before="40" w:after="40"/>
              <w:ind w:left="391" w:hanging="357"/>
              <w:jc w:val="left"/>
              <w:rPr>
                <w:rFonts w:cs="Arial"/>
              </w:rPr>
            </w:pPr>
            <w:r w:rsidRPr="00894056">
              <w:rPr>
                <w:rFonts w:cs="Arial"/>
              </w:rPr>
              <w:t>f</w:t>
            </w:r>
            <w:r w:rsidR="00550C3D" w:rsidRPr="00894056">
              <w:rPr>
                <w:rFonts w:cs="Arial"/>
              </w:rPr>
              <w:t xml:space="preserve">urther action to discourage under-the-counter transactions.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5530" w14:textId="77777777" w:rsidR="00655D67" w:rsidRPr="00894056" w:rsidRDefault="003A03F9" w:rsidP="00894056">
            <w:pPr>
              <w:pStyle w:val="TSYList"/>
              <w:spacing w:before="40" w:after="40"/>
              <w:jc w:val="left"/>
              <w:rPr>
                <w:rFonts w:cs="Arial"/>
              </w:rPr>
            </w:pPr>
            <w:r w:rsidRPr="00894056">
              <w:rPr>
                <w:rFonts w:cs="Arial"/>
              </w:rPr>
              <w:t>Consider a</w:t>
            </w:r>
            <w:r w:rsidR="00AC56AD" w:rsidRPr="00894056">
              <w:rPr>
                <w:rFonts w:cs="Arial"/>
              </w:rPr>
              <w:t>s</w:t>
            </w:r>
            <w:r w:rsidRPr="00894056">
              <w:rPr>
                <w:rFonts w:cs="Arial"/>
              </w:rPr>
              <w:t xml:space="preserve"> high p</w:t>
            </w:r>
            <w:r w:rsidR="00F97F82" w:rsidRPr="00894056">
              <w:rPr>
                <w:rFonts w:cs="Arial"/>
              </w:rPr>
              <w:t>riorit</w:t>
            </w:r>
            <w:r w:rsidRPr="00894056">
              <w:rPr>
                <w:rFonts w:cs="Arial"/>
              </w:rPr>
              <w:t xml:space="preserve">y </w:t>
            </w:r>
            <w:r w:rsidR="00F97F82" w:rsidRPr="00894056">
              <w:rPr>
                <w:rFonts w:cs="Arial"/>
              </w:rPr>
              <w:t xml:space="preserve">for </w:t>
            </w:r>
            <w:r w:rsidR="008763CA">
              <w:rPr>
                <w:rFonts w:cs="Arial"/>
              </w:rPr>
              <w:t xml:space="preserve">inclusion on </w:t>
            </w:r>
            <w:r w:rsidR="00F97F82" w:rsidRPr="00894056">
              <w:rPr>
                <w:rFonts w:cs="Arial"/>
              </w:rPr>
              <w:t>work programme (TPWP)</w:t>
            </w:r>
            <w:r w:rsidR="000623A4" w:rsidRPr="00894056">
              <w:rPr>
                <w:rFonts w:cs="Arial"/>
              </w:rPr>
              <w:t>.</w:t>
            </w:r>
          </w:p>
        </w:tc>
      </w:tr>
      <w:tr w:rsidR="00CA6007" w:rsidRPr="001D1C40" w14:paraId="4360B8F5" w14:textId="77777777" w:rsidTr="001571BC">
        <w:trPr>
          <w:trHeight w:val="326"/>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C289" w14:textId="77777777" w:rsidR="00CA6007" w:rsidRPr="00894056" w:rsidRDefault="00CA6007" w:rsidP="00CA6007">
            <w:pPr>
              <w:pStyle w:val="TSYList"/>
              <w:spacing w:before="40" w:after="40"/>
              <w:jc w:val="left"/>
              <w:rPr>
                <w:rFonts w:cs="Arial"/>
              </w:rPr>
            </w:pPr>
            <w:r w:rsidRPr="00894056">
              <w:rPr>
                <w:rFonts w:cs="Arial"/>
              </w:rPr>
              <w:t>Personal income tax</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D22E20D" w14:textId="77777777" w:rsidR="00CA6007" w:rsidRPr="00894056" w:rsidRDefault="00CA6007" w:rsidP="00CA6007">
            <w:pPr>
              <w:pStyle w:val="TSYList"/>
              <w:spacing w:before="40" w:after="40"/>
              <w:jc w:val="left"/>
              <w:rPr>
                <w:rFonts w:cs="Arial"/>
              </w:rPr>
            </w:pPr>
            <w:r w:rsidRPr="00894056">
              <w:rPr>
                <w:rFonts w:cs="Arial"/>
              </w:rPr>
              <w:t>Consider changes to income tax and/or benefits to increase progressivity. The TWG advised against a reduction in the top rate of personal income tax rate.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F639" w14:textId="77777777" w:rsidR="00CA6007" w:rsidRPr="00894056" w:rsidRDefault="00CA6007" w:rsidP="00CA6007">
            <w:pPr>
              <w:pStyle w:val="TSYList"/>
              <w:spacing w:before="40" w:after="40"/>
              <w:jc w:val="left"/>
              <w:rPr>
                <w:rFonts w:cs="Arial"/>
              </w:rPr>
            </w:pPr>
            <w:r w:rsidRPr="00894056">
              <w:rPr>
                <w:rFonts w:cs="Arial"/>
              </w:rPr>
              <w:t xml:space="preserve">We propose </w:t>
            </w:r>
            <w:r>
              <w:rPr>
                <w:rFonts w:cs="Arial"/>
              </w:rPr>
              <w:t xml:space="preserve">to not adopt any of the recommendations on capital gains taxation. As a </w:t>
            </w:r>
            <w:proofErr w:type="gramStart"/>
            <w:r>
              <w:rPr>
                <w:rFonts w:cs="Arial"/>
              </w:rPr>
              <w:t>result</w:t>
            </w:r>
            <w:proofErr w:type="gramEnd"/>
            <w:r>
              <w:rPr>
                <w:rFonts w:cs="Arial"/>
              </w:rPr>
              <w:t xml:space="preserve"> there is no revenue to recycle. </w:t>
            </w:r>
            <w:proofErr w:type="gramStart"/>
            <w:r>
              <w:rPr>
                <w:rFonts w:cs="Arial"/>
              </w:rPr>
              <w:t>Consequently</w:t>
            </w:r>
            <w:proofErr w:type="gramEnd"/>
            <w:r>
              <w:rPr>
                <w:rFonts w:cs="Arial"/>
              </w:rPr>
              <w:t xml:space="preserve"> </w:t>
            </w:r>
            <w:r w:rsidRPr="00081601">
              <w:rPr>
                <w:rFonts w:cs="Arial"/>
                <w:b/>
              </w:rPr>
              <w:t>we agree no further work is necessary.</w:t>
            </w:r>
          </w:p>
        </w:tc>
      </w:tr>
      <w:tr w:rsidR="00CA6007" w:rsidRPr="001D1C40" w14:paraId="77B0A7B5" w14:textId="77777777" w:rsidTr="001571BC">
        <w:trPr>
          <w:trHeight w:val="551"/>
        </w:trPr>
        <w:tc>
          <w:tcPr>
            <w:tcW w:w="1623" w:type="dxa"/>
            <w:vMerge w:val="restart"/>
            <w:tcBorders>
              <w:top w:val="single" w:sz="4" w:space="0" w:color="auto"/>
              <w:left w:val="single" w:sz="4" w:space="0" w:color="auto"/>
              <w:right w:val="single" w:sz="4" w:space="0" w:color="auto"/>
            </w:tcBorders>
            <w:shd w:val="clear" w:color="auto" w:fill="auto"/>
            <w:vAlign w:val="center"/>
            <w:hideMark/>
          </w:tcPr>
          <w:p w14:paraId="70A45715" w14:textId="77777777" w:rsidR="00CA6007" w:rsidRPr="00894056" w:rsidRDefault="00CA6007" w:rsidP="00CA6007">
            <w:pPr>
              <w:pStyle w:val="TSYList"/>
              <w:spacing w:before="40" w:after="40"/>
              <w:jc w:val="left"/>
              <w:rPr>
                <w:rFonts w:cs="Arial"/>
              </w:rPr>
            </w:pPr>
            <w:r w:rsidRPr="00894056">
              <w:rPr>
                <w:rFonts w:cs="Arial"/>
              </w:rPr>
              <w:t>Administration of the tax system</w:t>
            </w:r>
          </w:p>
        </w:tc>
        <w:tc>
          <w:tcPr>
            <w:tcW w:w="5602" w:type="dxa"/>
            <w:tcBorders>
              <w:top w:val="single" w:sz="4" w:space="0" w:color="auto"/>
              <w:left w:val="single" w:sz="4" w:space="0" w:color="auto"/>
              <w:bottom w:val="single" w:sz="4" w:space="0" w:color="auto"/>
              <w:right w:val="single" w:sz="4" w:space="0" w:color="auto"/>
            </w:tcBorders>
            <w:vAlign w:val="center"/>
            <w:hideMark/>
          </w:tcPr>
          <w:p w14:paraId="6BADB6CA" w14:textId="77777777" w:rsidR="00CA6007" w:rsidRPr="00894056" w:rsidRDefault="00CA6007" w:rsidP="00CA6007">
            <w:pPr>
              <w:pStyle w:val="TSYList"/>
              <w:spacing w:before="40" w:after="40"/>
              <w:jc w:val="left"/>
              <w:rPr>
                <w:rFonts w:cs="Arial"/>
              </w:rPr>
            </w:pPr>
            <w:r w:rsidRPr="00894056">
              <w:rPr>
                <w:rFonts w:cs="Arial"/>
              </w:rPr>
              <w:t xml:space="preserve">Provide greater public access to data and information about the tax system. </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14:paraId="024A4E76" w14:textId="77777777" w:rsidR="00CA6007" w:rsidRPr="00894056" w:rsidRDefault="00CA6007" w:rsidP="00CA6007">
            <w:pPr>
              <w:pStyle w:val="TSYList"/>
              <w:spacing w:before="40" w:after="40"/>
              <w:jc w:val="left"/>
              <w:rPr>
                <w:rFonts w:cs="Arial"/>
              </w:rPr>
            </w:pPr>
            <w:r w:rsidRPr="00894056">
              <w:rPr>
                <w:rFonts w:cs="Arial"/>
              </w:rPr>
              <w:t xml:space="preserve">Consider for </w:t>
            </w:r>
            <w:r w:rsidR="008763CA">
              <w:rPr>
                <w:rFonts w:cs="Arial"/>
              </w:rPr>
              <w:t xml:space="preserve">inclusion on </w:t>
            </w:r>
            <w:r w:rsidRPr="00894056">
              <w:rPr>
                <w:rFonts w:cs="Arial"/>
              </w:rPr>
              <w:t>work programme (TPWP).</w:t>
            </w:r>
          </w:p>
        </w:tc>
      </w:tr>
      <w:tr w:rsidR="00CA6007" w:rsidRPr="001D1C40" w14:paraId="5602D8F3" w14:textId="77777777" w:rsidTr="001571BC">
        <w:trPr>
          <w:trHeight w:val="308"/>
        </w:trPr>
        <w:tc>
          <w:tcPr>
            <w:tcW w:w="1623" w:type="dxa"/>
            <w:vMerge/>
            <w:tcBorders>
              <w:left w:val="single" w:sz="4" w:space="0" w:color="auto"/>
              <w:bottom w:val="single" w:sz="4" w:space="0" w:color="auto"/>
              <w:right w:val="single" w:sz="4" w:space="0" w:color="auto"/>
            </w:tcBorders>
            <w:shd w:val="clear" w:color="auto" w:fill="auto"/>
            <w:vAlign w:val="center"/>
          </w:tcPr>
          <w:p w14:paraId="4F1EB65A" w14:textId="77777777" w:rsidR="00CA6007" w:rsidRPr="00894056" w:rsidRDefault="00CA6007" w:rsidP="00CA6007">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68468551" w14:textId="77777777" w:rsidR="00CA6007" w:rsidRPr="00894056" w:rsidRDefault="00CA6007" w:rsidP="00CA6007">
            <w:pPr>
              <w:pStyle w:val="TSYList"/>
              <w:spacing w:before="40" w:after="40"/>
              <w:jc w:val="left"/>
              <w:rPr>
                <w:rFonts w:cs="Arial"/>
              </w:rPr>
            </w:pPr>
            <w:r w:rsidRPr="00894056">
              <w:rPr>
                <w:rFonts w:cs="Arial"/>
              </w:rPr>
              <w:t>Improve the process for resolving tax disputes.</w:t>
            </w:r>
          </w:p>
        </w:tc>
        <w:tc>
          <w:tcPr>
            <w:tcW w:w="2551" w:type="dxa"/>
            <w:vMerge/>
            <w:tcBorders>
              <w:left w:val="single" w:sz="4" w:space="0" w:color="auto"/>
              <w:bottom w:val="single" w:sz="4" w:space="0" w:color="auto"/>
              <w:right w:val="single" w:sz="4" w:space="0" w:color="auto"/>
            </w:tcBorders>
            <w:shd w:val="clear" w:color="auto" w:fill="auto"/>
            <w:vAlign w:val="center"/>
          </w:tcPr>
          <w:p w14:paraId="74756078" w14:textId="77777777" w:rsidR="00CA6007" w:rsidRPr="00894056" w:rsidRDefault="00CA6007" w:rsidP="00CA6007">
            <w:pPr>
              <w:pStyle w:val="TSYList"/>
              <w:spacing w:before="40" w:after="40"/>
              <w:jc w:val="left"/>
              <w:rPr>
                <w:rFonts w:cs="Arial"/>
              </w:rPr>
            </w:pPr>
          </w:p>
        </w:tc>
      </w:tr>
      <w:tr w:rsidR="00CA6007" w:rsidRPr="001D1C40" w14:paraId="06052C6E" w14:textId="77777777" w:rsidTr="001571B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B7C5" w14:textId="77777777" w:rsidR="00CA6007" w:rsidRPr="00894056" w:rsidRDefault="00CA6007" w:rsidP="00CA6007">
            <w:pPr>
              <w:pStyle w:val="TSYList"/>
              <w:spacing w:before="40" w:after="40"/>
              <w:jc w:val="left"/>
              <w:rPr>
                <w:rFonts w:cs="Arial"/>
              </w:rPr>
            </w:pPr>
            <w:r w:rsidRPr="00894056">
              <w:rPr>
                <w:rFonts w:cs="Arial"/>
              </w:rPr>
              <w:t>Charities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151BE413" w14:textId="77777777" w:rsidR="00CA6007" w:rsidRPr="00894056" w:rsidRDefault="00CA6007" w:rsidP="00CA6007">
            <w:pPr>
              <w:pStyle w:val="TSYList"/>
              <w:spacing w:before="40" w:after="40"/>
              <w:jc w:val="left"/>
              <w:rPr>
                <w:rFonts w:cs="Arial"/>
              </w:rPr>
            </w:pPr>
            <w:r w:rsidRPr="00894056">
              <w:rPr>
                <w:rFonts w:cs="Arial"/>
              </w:rPr>
              <w:t>Conduct a periodic review of the charitable sector’s use of what would otherwise be tax revenue, to verify that tax exempt status for charities and their business activities is achieving its intended objectives.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68C5" w14:textId="77777777" w:rsidR="00CA6007" w:rsidRPr="00894056" w:rsidRDefault="00CA6007" w:rsidP="00CA6007">
            <w:pPr>
              <w:pStyle w:val="TSYList"/>
              <w:spacing w:before="40" w:after="40"/>
              <w:jc w:val="left"/>
              <w:rPr>
                <w:rFonts w:cs="Arial"/>
              </w:rPr>
            </w:pPr>
            <w:r w:rsidRPr="00894056">
              <w:rPr>
                <w:rFonts w:cs="Arial"/>
              </w:rPr>
              <w:t>Note work already underway.</w:t>
            </w:r>
          </w:p>
        </w:tc>
      </w:tr>
      <w:tr w:rsidR="00CA6007" w:rsidRPr="001D1C40" w14:paraId="3A7CB054" w14:textId="77777777" w:rsidTr="001571BC">
        <w:tc>
          <w:tcPr>
            <w:tcW w:w="1623" w:type="dxa"/>
            <w:vMerge w:val="restart"/>
            <w:tcBorders>
              <w:top w:val="single" w:sz="4" w:space="0" w:color="auto"/>
              <w:left w:val="single" w:sz="4" w:space="0" w:color="auto"/>
              <w:right w:val="single" w:sz="4" w:space="0" w:color="auto"/>
            </w:tcBorders>
            <w:shd w:val="clear" w:color="auto" w:fill="auto"/>
            <w:vAlign w:val="center"/>
            <w:hideMark/>
          </w:tcPr>
          <w:p w14:paraId="0F8629CB" w14:textId="77777777" w:rsidR="00CA6007" w:rsidRPr="00894056" w:rsidRDefault="00CA6007" w:rsidP="00CA6007">
            <w:pPr>
              <w:pStyle w:val="TSYList"/>
              <w:spacing w:before="40" w:after="40"/>
              <w:jc w:val="left"/>
              <w:rPr>
                <w:rFonts w:cs="Arial"/>
              </w:rPr>
            </w:pPr>
            <w:r w:rsidRPr="00894056">
              <w:rPr>
                <w:rFonts w:cs="Arial"/>
              </w:rPr>
              <w:t>Goods and Services Tax (GST)</w:t>
            </w:r>
          </w:p>
        </w:tc>
        <w:tc>
          <w:tcPr>
            <w:tcW w:w="5602" w:type="dxa"/>
            <w:tcBorders>
              <w:top w:val="single" w:sz="4" w:space="0" w:color="auto"/>
              <w:left w:val="single" w:sz="4" w:space="0" w:color="auto"/>
              <w:bottom w:val="single" w:sz="4" w:space="0" w:color="auto"/>
              <w:right w:val="single" w:sz="4" w:space="0" w:color="auto"/>
            </w:tcBorders>
            <w:vAlign w:val="center"/>
            <w:hideMark/>
          </w:tcPr>
          <w:p w14:paraId="28FDFC35" w14:textId="77777777" w:rsidR="00CA6007" w:rsidRPr="00894056" w:rsidRDefault="00CA6007" w:rsidP="00CA6007">
            <w:pPr>
              <w:pStyle w:val="TSYList"/>
              <w:spacing w:before="40" w:after="40"/>
              <w:jc w:val="left"/>
              <w:rPr>
                <w:rFonts w:cs="Arial"/>
              </w:rPr>
            </w:pPr>
            <w:r w:rsidRPr="00894056">
              <w:rPr>
                <w:rFonts w:cs="Arial"/>
              </w:rPr>
              <w:t>The TWG advised against any changes to GST.</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14:paraId="32C13E38" w14:textId="77777777" w:rsidR="00CA6007" w:rsidRPr="00894056" w:rsidRDefault="00CA6007" w:rsidP="00CA6007">
            <w:pPr>
              <w:pStyle w:val="TSYList"/>
              <w:spacing w:before="40" w:after="40"/>
              <w:jc w:val="left"/>
              <w:rPr>
                <w:rFonts w:cs="Arial"/>
              </w:rPr>
            </w:pPr>
            <w:r w:rsidRPr="00894056">
              <w:rPr>
                <w:rFonts w:cs="Arial"/>
              </w:rPr>
              <w:t>Endorse the TWG recommendation.</w:t>
            </w:r>
          </w:p>
        </w:tc>
      </w:tr>
      <w:tr w:rsidR="00CA6007" w:rsidRPr="001D1C40" w14:paraId="3C00714A" w14:textId="77777777" w:rsidTr="001571BC">
        <w:tc>
          <w:tcPr>
            <w:tcW w:w="1623" w:type="dxa"/>
            <w:vMerge/>
            <w:tcBorders>
              <w:left w:val="single" w:sz="4" w:space="0" w:color="auto"/>
              <w:bottom w:val="single" w:sz="4" w:space="0" w:color="auto"/>
              <w:right w:val="single" w:sz="4" w:space="0" w:color="auto"/>
            </w:tcBorders>
            <w:shd w:val="clear" w:color="auto" w:fill="auto"/>
            <w:vAlign w:val="center"/>
          </w:tcPr>
          <w:p w14:paraId="5C855304" w14:textId="77777777" w:rsidR="00CA6007" w:rsidRPr="00894056" w:rsidRDefault="00CA6007" w:rsidP="00CA6007">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01CEABC1" w14:textId="77777777" w:rsidR="00CA6007" w:rsidRPr="00894056" w:rsidRDefault="00CA6007" w:rsidP="00CA6007">
            <w:pPr>
              <w:pStyle w:val="TSYList"/>
              <w:spacing w:before="40" w:after="40"/>
              <w:jc w:val="left"/>
              <w:rPr>
                <w:rFonts w:cs="Arial"/>
              </w:rPr>
            </w:pPr>
            <w:r w:rsidRPr="00894056">
              <w:rPr>
                <w:rFonts w:cs="Arial"/>
              </w:rPr>
              <w:t>The TWG advised against the introduction of a financial transactions tax. The Government should monitor international developments regarding GST on financial services.</w:t>
            </w:r>
          </w:p>
        </w:tc>
        <w:tc>
          <w:tcPr>
            <w:tcW w:w="2551" w:type="dxa"/>
            <w:vMerge/>
            <w:tcBorders>
              <w:left w:val="single" w:sz="4" w:space="0" w:color="auto"/>
              <w:bottom w:val="single" w:sz="4" w:space="0" w:color="auto"/>
              <w:right w:val="single" w:sz="4" w:space="0" w:color="auto"/>
            </w:tcBorders>
            <w:shd w:val="clear" w:color="auto" w:fill="auto"/>
            <w:vAlign w:val="center"/>
          </w:tcPr>
          <w:p w14:paraId="709FC2C8" w14:textId="77777777" w:rsidR="00CA6007" w:rsidRPr="00894056" w:rsidRDefault="00CA6007" w:rsidP="00CA6007">
            <w:pPr>
              <w:pStyle w:val="TSYList"/>
              <w:spacing w:before="40" w:after="40"/>
              <w:jc w:val="left"/>
              <w:rPr>
                <w:rFonts w:cs="Arial"/>
              </w:rPr>
            </w:pPr>
          </w:p>
        </w:tc>
      </w:tr>
      <w:tr w:rsidR="00CA6007" w:rsidRPr="001D1C40" w14:paraId="21076C03" w14:textId="77777777" w:rsidTr="001571BC">
        <w:trPr>
          <w:trHeight w:val="439"/>
        </w:trPr>
        <w:tc>
          <w:tcPr>
            <w:tcW w:w="1623" w:type="dxa"/>
            <w:vMerge w:val="restart"/>
            <w:tcBorders>
              <w:top w:val="single" w:sz="4" w:space="0" w:color="auto"/>
              <w:left w:val="single" w:sz="4" w:space="0" w:color="auto"/>
              <w:right w:val="single" w:sz="4" w:space="0" w:color="auto"/>
            </w:tcBorders>
            <w:shd w:val="clear" w:color="auto" w:fill="auto"/>
            <w:vAlign w:val="center"/>
            <w:hideMark/>
          </w:tcPr>
          <w:p w14:paraId="7806ED62" w14:textId="77777777" w:rsidR="00CA6007" w:rsidRPr="00894056" w:rsidRDefault="00CA6007" w:rsidP="00CA6007">
            <w:pPr>
              <w:pStyle w:val="TSYList"/>
              <w:spacing w:before="40" w:after="40"/>
              <w:jc w:val="left"/>
              <w:rPr>
                <w:rFonts w:cs="Arial"/>
              </w:rPr>
            </w:pPr>
            <w:r w:rsidRPr="00894056">
              <w:rPr>
                <w:rFonts w:cs="Arial"/>
              </w:rPr>
              <w:t>Corrective taxes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3CCDD013" w14:textId="77777777" w:rsidR="00CA6007" w:rsidRPr="00894056" w:rsidRDefault="00CA6007" w:rsidP="00CA6007">
            <w:pPr>
              <w:pStyle w:val="TSYList"/>
              <w:spacing w:before="40" w:after="40"/>
              <w:jc w:val="left"/>
              <w:rPr>
                <w:rFonts w:cs="Arial"/>
              </w:rPr>
            </w:pPr>
            <w:r w:rsidRPr="00894056">
              <w:rPr>
                <w:rFonts w:cs="Arial"/>
                <w:u w:val="single"/>
              </w:rPr>
              <w:t>Tobacco</w:t>
            </w:r>
            <w:r w:rsidRPr="00894056">
              <w:rPr>
                <w:rFonts w:cs="Arial"/>
              </w:rPr>
              <w:t>: Prioritise non-tax levers over further increases to tobacco excise (beyond those already contemplated).</w:t>
            </w:r>
          </w:p>
        </w:tc>
        <w:tc>
          <w:tcPr>
            <w:tcW w:w="2551" w:type="dxa"/>
            <w:tcBorders>
              <w:top w:val="single" w:sz="4" w:space="0" w:color="auto"/>
              <w:left w:val="single" w:sz="4" w:space="0" w:color="auto"/>
              <w:right w:val="single" w:sz="4" w:space="0" w:color="auto"/>
            </w:tcBorders>
            <w:shd w:val="clear" w:color="auto" w:fill="auto"/>
            <w:vAlign w:val="center"/>
            <w:hideMark/>
          </w:tcPr>
          <w:p w14:paraId="3EB42BF7" w14:textId="77777777" w:rsidR="00CA6007" w:rsidRPr="00894056" w:rsidRDefault="00CA6007" w:rsidP="00CA6007">
            <w:pPr>
              <w:pStyle w:val="TSYList"/>
              <w:spacing w:before="40" w:after="40"/>
              <w:jc w:val="left"/>
              <w:rPr>
                <w:rFonts w:cs="Arial"/>
              </w:rPr>
            </w:pPr>
            <w:r w:rsidRPr="00894056">
              <w:rPr>
                <w:rFonts w:cs="Arial"/>
              </w:rPr>
              <w:t>Note work already underway.</w:t>
            </w:r>
          </w:p>
        </w:tc>
      </w:tr>
      <w:tr w:rsidR="00CA6007" w:rsidRPr="001D1C40" w14:paraId="6CF5D358" w14:textId="77777777" w:rsidTr="001571BC">
        <w:trPr>
          <w:trHeight w:val="477"/>
        </w:trPr>
        <w:tc>
          <w:tcPr>
            <w:tcW w:w="1623" w:type="dxa"/>
            <w:vMerge/>
            <w:tcBorders>
              <w:left w:val="single" w:sz="4" w:space="0" w:color="auto"/>
              <w:right w:val="single" w:sz="4" w:space="0" w:color="auto"/>
            </w:tcBorders>
            <w:shd w:val="clear" w:color="auto" w:fill="auto"/>
            <w:vAlign w:val="center"/>
          </w:tcPr>
          <w:p w14:paraId="34C77B4B" w14:textId="77777777" w:rsidR="00CA6007" w:rsidRPr="00894056" w:rsidRDefault="00CA6007" w:rsidP="00CA6007">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63D1BBAB" w14:textId="77777777" w:rsidR="00CA6007" w:rsidRPr="00894056" w:rsidRDefault="00CA6007" w:rsidP="00CA6007">
            <w:pPr>
              <w:pStyle w:val="TSYList"/>
              <w:spacing w:before="40" w:after="40"/>
              <w:jc w:val="left"/>
              <w:rPr>
                <w:rFonts w:cs="Arial"/>
              </w:rPr>
            </w:pPr>
            <w:r w:rsidRPr="00894056">
              <w:rPr>
                <w:rFonts w:cs="Arial"/>
                <w:u w:val="single"/>
              </w:rPr>
              <w:t>Alcohol</w:t>
            </w:r>
            <w:r w:rsidRPr="00894056">
              <w:rPr>
                <w:rFonts w:cs="Arial"/>
              </w:rPr>
              <w:t>: Simplify the rate structure of alcohol excise.</w:t>
            </w:r>
          </w:p>
        </w:tc>
        <w:tc>
          <w:tcPr>
            <w:tcW w:w="2551" w:type="dxa"/>
            <w:vMerge w:val="restart"/>
            <w:tcBorders>
              <w:left w:val="single" w:sz="4" w:space="0" w:color="auto"/>
              <w:right w:val="single" w:sz="4" w:space="0" w:color="auto"/>
            </w:tcBorders>
            <w:shd w:val="clear" w:color="auto" w:fill="auto"/>
            <w:vAlign w:val="center"/>
          </w:tcPr>
          <w:p w14:paraId="00197DA5" w14:textId="77777777" w:rsidR="00CA6007" w:rsidRPr="00894056" w:rsidRDefault="00CA6007" w:rsidP="00CA6007">
            <w:pPr>
              <w:pStyle w:val="TSYList"/>
              <w:spacing w:before="40" w:after="40"/>
              <w:jc w:val="left"/>
              <w:rPr>
                <w:rFonts w:cs="Arial"/>
              </w:rPr>
            </w:pPr>
            <w:r>
              <w:rPr>
                <w:rFonts w:cs="Arial"/>
              </w:rPr>
              <w:t>The Government has no intention to progress these changes in the current parliamentary term.</w:t>
            </w:r>
          </w:p>
        </w:tc>
      </w:tr>
      <w:tr w:rsidR="00CA6007" w:rsidRPr="001D1C40" w14:paraId="4DC09CEA" w14:textId="77777777" w:rsidTr="001571BC">
        <w:trPr>
          <w:trHeight w:val="372"/>
        </w:trPr>
        <w:tc>
          <w:tcPr>
            <w:tcW w:w="1623" w:type="dxa"/>
            <w:vMerge/>
            <w:tcBorders>
              <w:left w:val="single" w:sz="4" w:space="0" w:color="auto"/>
              <w:bottom w:val="single" w:sz="4" w:space="0" w:color="auto"/>
              <w:right w:val="single" w:sz="4" w:space="0" w:color="auto"/>
            </w:tcBorders>
            <w:shd w:val="clear" w:color="auto" w:fill="auto"/>
            <w:vAlign w:val="center"/>
          </w:tcPr>
          <w:p w14:paraId="2DB9BDD9" w14:textId="77777777" w:rsidR="00CA6007" w:rsidRPr="00894056" w:rsidRDefault="00CA6007" w:rsidP="00CA6007">
            <w:pPr>
              <w:pStyle w:val="TSYList"/>
              <w:spacing w:before="40" w:after="40"/>
              <w:jc w:val="left"/>
              <w:rPr>
                <w:rFonts w:cs="Arial"/>
              </w:rPr>
            </w:pPr>
          </w:p>
        </w:tc>
        <w:tc>
          <w:tcPr>
            <w:tcW w:w="5602" w:type="dxa"/>
            <w:tcBorders>
              <w:top w:val="single" w:sz="4" w:space="0" w:color="auto"/>
              <w:left w:val="single" w:sz="4" w:space="0" w:color="auto"/>
              <w:bottom w:val="single" w:sz="4" w:space="0" w:color="auto"/>
              <w:right w:val="single" w:sz="4" w:space="0" w:color="auto"/>
            </w:tcBorders>
            <w:vAlign w:val="center"/>
          </w:tcPr>
          <w:p w14:paraId="49B4FE14" w14:textId="77777777" w:rsidR="00CA6007" w:rsidRPr="00894056" w:rsidRDefault="00CA6007" w:rsidP="00CA6007">
            <w:pPr>
              <w:pStyle w:val="TSYList"/>
              <w:spacing w:before="40" w:after="40"/>
              <w:jc w:val="left"/>
              <w:rPr>
                <w:rFonts w:cs="Arial"/>
              </w:rPr>
            </w:pPr>
            <w:r w:rsidRPr="00894056">
              <w:rPr>
                <w:rFonts w:cs="Arial"/>
                <w:u w:val="single"/>
              </w:rPr>
              <w:t>Sugar and gambling taxes</w:t>
            </w:r>
            <w:r w:rsidRPr="00894056">
              <w:rPr>
                <w:rFonts w:cs="Arial"/>
              </w:rPr>
              <w:t>: The Government should develop a clearer articulation of its goals in these areas.</w:t>
            </w:r>
          </w:p>
        </w:tc>
        <w:tc>
          <w:tcPr>
            <w:tcW w:w="2551" w:type="dxa"/>
            <w:vMerge/>
            <w:tcBorders>
              <w:left w:val="single" w:sz="4" w:space="0" w:color="auto"/>
              <w:bottom w:val="single" w:sz="4" w:space="0" w:color="auto"/>
              <w:right w:val="single" w:sz="4" w:space="0" w:color="auto"/>
            </w:tcBorders>
            <w:shd w:val="clear" w:color="auto" w:fill="auto"/>
            <w:vAlign w:val="center"/>
          </w:tcPr>
          <w:p w14:paraId="3F8433B6" w14:textId="77777777" w:rsidR="00CA6007" w:rsidRPr="00894056" w:rsidRDefault="00CA6007" w:rsidP="00CA6007">
            <w:pPr>
              <w:pStyle w:val="TSYList"/>
              <w:spacing w:before="40" w:after="40"/>
              <w:jc w:val="left"/>
              <w:rPr>
                <w:rFonts w:cs="Arial"/>
              </w:rPr>
            </w:pPr>
          </w:p>
        </w:tc>
      </w:tr>
      <w:tr w:rsidR="00CA6007" w:rsidRPr="001D1C40" w14:paraId="76BB5424" w14:textId="77777777" w:rsidTr="001571BC">
        <w:trPr>
          <w:trHeight w:val="410"/>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A801" w14:textId="77777777" w:rsidR="00CA6007" w:rsidRPr="00894056" w:rsidRDefault="00CA6007" w:rsidP="00CA6007">
            <w:pPr>
              <w:pStyle w:val="TSYList"/>
              <w:spacing w:before="40" w:after="40"/>
              <w:jc w:val="left"/>
              <w:rPr>
                <w:rFonts w:cs="Arial"/>
              </w:rPr>
            </w:pPr>
            <w:r w:rsidRPr="00894056">
              <w:rPr>
                <w:rFonts w:cs="Arial"/>
              </w:rPr>
              <w:t>Housing</w:t>
            </w:r>
          </w:p>
        </w:tc>
        <w:tc>
          <w:tcPr>
            <w:tcW w:w="5602" w:type="dxa"/>
            <w:tcBorders>
              <w:top w:val="single" w:sz="4" w:space="0" w:color="auto"/>
              <w:left w:val="single" w:sz="4" w:space="0" w:color="auto"/>
              <w:bottom w:val="single" w:sz="4" w:space="0" w:color="auto"/>
              <w:right w:val="single" w:sz="4" w:space="0" w:color="auto"/>
            </w:tcBorders>
            <w:vAlign w:val="center"/>
            <w:hideMark/>
          </w:tcPr>
          <w:p w14:paraId="3E4A16E4" w14:textId="77777777" w:rsidR="00CA6007" w:rsidRPr="00894056" w:rsidRDefault="00CA6007" w:rsidP="00CA6007">
            <w:pPr>
              <w:pStyle w:val="TSYList"/>
              <w:spacing w:before="40" w:after="40"/>
              <w:jc w:val="left"/>
              <w:rPr>
                <w:rFonts w:cs="Arial"/>
              </w:rPr>
            </w:pPr>
            <w:r w:rsidRPr="00894056">
              <w:rPr>
                <w:rFonts w:cs="Arial"/>
              </w:rPr>
              <w:t>Some measures (such as vacant land taxes) may help at the margin.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EB4A" w14:textId="00375E8B" w:rsidR="00CA6007" w:rsidRPr="00894056" w:rsidRDefault="00CA6007" w:rsidP="008C0730">
            <w:pPr>
              <w:pStyle w:val="TSYList"/>
              <w:spacing w:before="40" w:after="40"/>
              <w:jc w:val="left"/>
              <w:rPr>
                <w:rFonts w:cs="Arial"/>
              </w:rPr>
            </w:pPr>
            <w:r>
              <w:rPr>
                <w:rFonts w:cs="Arial"/>
              </w:rPr>
              <w:t>Consider</w:t>
            </w:r>
            <w:r w:rsidRPr="007153E9">
              <w:rPr>
                <w:rFonts w:cs="Arial"/>
              </w:rPr>
              <w:t xml:space="preserve"> options for taxing vacant land held by land-bankers</w:t>
            </w:r>
            <w:r>
              <w:rPr>
                <w:rFonts w:cs="Arial"/>
              </w:rPr>
              <w:t xml:space="preserve"> </w:t>
            </w:r>
            <w:r w:rsidR="008763CA">
              <w:rPr>
                <w:rFonts w:cs="Arial"/>
              </w:rPr>
              <w:t xml:space="preserve">as a high priority </w:t>
            </w:r>
            <w:r>
              <w:rPr>
                <w:rFonts w:cs="Arial"/>
              </w:rPr>
              <w:t xml:space="preserve">for </w:t>
            </w:r>
            <w:r w:rsidR="008763CA">
              <w:rPr>
                <w:rFonts w:cs="Arial"/>
              </w:rPr>
              <w:t xml:space="preserve">inclusion on </w:t>
            </w:r>
            <w:r>
              <w:rPr>
                <w:rFonts w:cs="Arial"/>
              </w:rPr>
              <w:t>work programme (TPWP)</w:t>
            </w:r>
            <w:r w:rsidR="008C0730">
              <w:rPr>
                <w:rFonts w:cs="Arial"/>
              </w:rPr>
              <w:t xml:space="preserve">. </w:t>
            </w:r>
            <w:r w:rsidR="00F66762">
              <w:rPr>
                <w:rFonts w:cs="Arial"/>
              </w:rPr>
              <w:t>We also intend to explore options for taxing vacant land including as recommended by the TWG, directing the Productivity Commission to include vacant land taxes within its inquiry into local government funding and financing</w:t>
            </w:r>
            <w:r w:rsidR="00F66762" w:rsidRPr="00081601">
              <w:rPr>
                <w:rFonts w:cs="Arial"/>
                <w:b/>
              </w:rPr>
              <w:t xml:space="preserve">. </w:t>
            </w:r>
            <w:r w:rsidR="00F66762">
              <w:rPr>
                <w:rFonts w:cs="Arial"/>
              </w:rPr>
              <w:t xml:space="preserve"> </w:t>
            </w:r>
          </w:p>
        </w:tc>
      </w:tr>
    </w:tbl>
    <w:p w14:paraId="0B97D641" w14:textId="77777777" w:rsidR="00655D67" w:rsidRDefault="001D1C40" w:rsidP="008C0B1C">
      <w:pPr>
        <w:pStyle w:val="Heading2"/>
        <w:numPr>
          <w:ilvl w:val="0"/>
          <w:numId w:val="0"/>
        </w:numPr>
        <w:spacing w:after="0"/>
      </w:pPr>
      <w:r w:rsidRPr="00DF0347">
        <w:t xml:space="preserve"> </w:t>
      </w:r>
    </w:p>
    <w:p w14:paraId="5B0321C0" w14:textId="77777777" w:rsidR="00436D62" w:rsidRPr="009A67B1" w:rsidRDefault="00436D62" w:rsidP="00C8578E">
      <w:pPr>
        <w:pStyle w:val="ListParagraph"/>
        <w:numPr>
          <w:ilvl w:val="0"/>
          <w:numId w:val="1"/>
        </w:numPr>
        <w:spacing w:after="240" w:line="240" w:lineRule="auto"/>
        <w:ind w:left="709" w:hanging="709"/>
        <w:contextualSpacing w:val="0"/>
        <w:jc w:val="both"/>
        <w:rPr>
          <w:rFonts w:ascii="Arial" w:hAnsi="Arial" w:cs="Arial"/>
          <w:sz w:val="24"/>
          <w:szCs w:val="24"/>
        </w:rPr>
      </w:pPr>
      <w:r w:rsidRPr="009A67B1">
        <w:rPr>
          <w:rFonts w:ascii="Arial" w:hAnsi="Arial" w:cs="Arial"/>
          <w:sz w:val="24"/>
          <w:szCs w:val="24"/>
        </w:rPr>
        <w:t>Th</w:t>
      </w:r>
      <w:r w:rsidR="009A6A5F">
        <w:rPr>
          <w:rFonts w:ascii="Arial" w:hAnsi="Arial" w:cs="Arial"/>
          <w:sz w:val="24"/>
          <w:szCs w:val="24"/>
        </w:rPr>
        <w:t xml:space="preserve">is paper </w:t>
      </w:r>
      <w:r>
        <w:rPr>
          <w:rFonts w:ascii="Arial" w:hAnsi="Arial" w:cs="Arial"/>
          <w:sz w:val="24"/>
          <w:szCs w:val="24"/>
        </w:rPr>
        <w:t xml:space="preserve">also </w:t>
      </w:r>
      <w:r w:rsidR="009A6A5F">
        <w:rPr>
          <w:rFonts w:ascii="Arial" w:hAnsi="Arial" w:cs="Arial"/>
          <w:sz w:val="24"/>
          <w:szCs w:val="24"/>
        </w:rPr>
        <w:t>outlines</w:t>
      </w:r>
      <w:r>
        <w:rPr>
          <w:rFonts w:ascii="Arial" w:hAnsi="Arial" w:cs="Arial"/>
          <w:sz w:val="24"/>
          <w:szCs w:val="24"/>
        </w:rPr>
        <w:t xml:space="preserve"> how the </w:t>
      </w:r>
      <w:r w:rsidR="00894056">
        <w:rPr>
          <w:rFonts w:ascii="Arial" w:hAnsi="Arial" w:cs="Arial"/>
          <w:sz w:val="24"/>
          <w:szCs w:val="24"/>
        </w:rPr>
        <w:t>TWG</w:t>
      </w:r>
      <w:r>
        <w:rPr>
          <w:rFonts w:ascii="Arial" w:hAnsi="Arial" w:cs="Arial"/>
          <w:sz w:val="24"/>
          <w:szCs w:val="24"/>
        </w:rPr>
        <w:t xml:space="preserve">’s work on </w:t>
      </w:r>
      <w:r w:rsidRPr="00C8578E">
        <w:rPr>
          <w:rFonts w:ascii="Arial" w:hAnsi="Arial" w:cs="Arial"/>
          <w:sz w:val="24"/>
          <w:szCs w:val="24"/>
        </w:rPr>
        <w:t xml:space="preserve">He Ara </w:t>
      </w:r>
      <w:proofErr w:type="spellStart"/>
      <w:r w:rsidRPr="00C8578E">
        <w:rPr>
          <w:rFonts w:ascii="Arial" w:hAnsi="Arial" w:cs="Arial"/>
          <w:sz w:val="24"/>
          <w:szCs w:val="24"/>
        </w:rPr>
        <w:t>Waiora</w:t>
      </w:r>
      <w:proofErr w:type="spellEnd"/>
      <w:r w:rsidRPr="00C8578E">
        <w:rPr>
          <w:rFonts w:ascii="Arial" w:hAnsi="Arial" w:cs="Arial"/>
          <w:sz w:val="24"/>
          <w:szCs w:val="24"/>
        </w:rPr>
        <w:t xml:space="preserve"> / A Pathway Towards Wellbeing</w:t>
      </w:r>
      <w:r>
        <w:rPr>
          <w:rFonts w:ascii="Arial" w:hAnsi="Arial" w:cs="Arial"/>
          <w:sz w:val="24"/>
          <w:szCs w:val="24"/>
        </w:rPr>
        <w:t xml:space="preserve"> is being progressed. </w:t>
      </w:r>
    </w:p>
    <w:p w14:paraId="2232AE0D" w14:textId="77777777" w:rsidR="004B6934" w:rsidRPr="00DF0347" w:rsidRDefault="004B6934" w:rsidP="00C8578E">
      <w:pPr>
        <w:pStyle w:val="Heading2"/>
        <w:keepLines w:val="0"/>
        <w:numPr>
          <w:ilvl w:val="0"/>
          <w:numId w:val="0"/>
        </w:numPr>
      </w:pPr>
      <w:r w:rsidRPr="00DF0347">
        <w:t>Background</w:t>
      </w:r>
    </w:p>
    <w:p w14:paraId="0D4BE066" w14:textId="77777777" w:rsidR="0063750C" w:rsidRDefault="00FB0846" w:rsidP="00C8578E">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On 23 November 2017, the Government established the TWG </w:t>
      </w:r>
      <w:r w:rsidR="00C46970">
        <w:rPr>
          <w:rFonts w:ascii="Arial" w:hAnsi="Arial" w:cs="Arial"/>
          <w:sz w:val="24"/>
          <w:szCs w:val="24"/>
        </w:rPr>
        <w:t>to consider measures to</w:t>
      </w:r>
      <w:r w:rsidRPr="00FB0846">
        <w:rPr>
          <w:rFonts w:ascii="Arial" w:hAnsi="Arial" w:cs="Arial"/>
          <w:sz w:val="24"/>
          <w:szCs w:val="24"/>
        </w:rPr>
        <w:t xml:space="preserve"> improve the structure, fairness and balance of the tax system.</w:t>
      </w:r>
      <w:r>
        <w:rPr>
          <w:rFonts w:ascii="Arial" w:hAnsi="Arial" w:cs="Arial"/>
          <w:sz w:val="24"/>
          <w:szCs w:val="24"/>
        </w:rPr>
        <w:t xml:space="preserve"> </w:t>
      </w:r>
      <w:r w:rsidRPr="00FB0846">
        <w:rPr>
          <w:rFonts w:ascii="Arial" w:hAnsi="Arial" w:cs="Arial"/>
          <w:sz w:val="24"/>
          <w:szCs w:val="24"/>
        </w:rPr>
        <w:t xml:space="preserve">The </w:t>
      </w:r>
      <w:r w:rsidR="00521771">
        <w:rPr>
          <w:rFonts w:ascii="Arial" w:hAnsi="Arial" w:cs="Arial"/>
          <w:sz w:val="24"/>
          <w:szCs w:val="24"/>
        </w:rPr>
        <w:t>TWG</w:t>
      </w:r>
      <w:r w:rsidRPr="00FB0846">
        <w:rPr>
          <w:rFonts w:ascii="Arial" w:hAnsi="Arial" w:cs="Arial"/>
          <w:sz w:val="24"/>
          <w:szCs w:val="24"/>
        </w:rPr>
        <w:t xml:space="preserve"> </w:t>
      </w:r>
      <w:r>
        <w:rPr>
          <w:rFonts w:ascii="Arial" w:hAnsi="Arial" w:cs="Arial"/>
          <w:sz w:val="24"/>
          <w:szCs w:val="24"/>
        </w:rPr>
        <w:t>was asked to</w:t>
      </w:r>
      <w:r w:rsidRPr="00FB0846">
        <w:rPr>
          <w:rFonts w:ascii="Arial" w:hAnsi="Arial" w:cs="Arial"/>
          <w:sz w:val="24"/>
          <w:szCs w:val="24"/>
        </w:rPr>
        <w:t xml:space="preserve"> report to the Government on</w:t>
      </w:r>
      <w:r w:rsidR="00C46970">
        <w:rPr>
          <w:rFonts w:ascii="Arial" w:hAnsi="Arial" w:cs="Arial"/>
          <w:sz w:val="24"/>
          <w:szCs w:val="24"/>
        </w:rPr>
        <w:t xml:space="preserve"> whether</w:t>
      </w:r>
      <w:r w:rsidRPr="00FB0846">
        <w:rPr>
          <w:rFonts w:ascii="Arial" w:hAnsi="Arial" w:cs="Arial"/>
          <w:sz w:val="24"/>
          <w:szCs w:val="24"/>
        </w:rPr>
        <w:t>:</w:t>
      </w:r>
    </w:p>
    <w:p w14:paraId="32EC5AF5" w14:textId="77777777" w:rsidR="0063750C" w:rsidRPr="0063750C" w:rsidRDefault="00FB0846" w:rsidP="00C8578E">
      <w:pPr>
        <w:pStyle w:val="ListParagraph"/>
        <w:keepNext/>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tax system operates fairly in relation to taxpayers, income, assets and wealth</w:t>
      </w:r>
      <w:r w:rsidR="007951C0">
        <w:rPr>
          <w:rFonts w:ascii="Arial" w:hAnsi="Arial" w:cs="Arial"/>
          <w:sz w:val="24"/>
          <w:szCs w:val="24"/>
        </w:rPr>
        <w:t>;</w:t>
      </w:r>
    </w:p>
    <w:p w14:paraId="306A41CC" w14:textId="77777777" w:rsidR="0063750C" w:rsidRPr="0063750C" w:rsidRDefault="00FB0846"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tax system promotes the right balance between supporting the productive economy and the speculative economy</w:t>
      </w:r>
      <w:r w:rsidR="007951C0">
        <w:rPr>
          <w:rFonts w:ascii="Arial" w:hAnsi="Arial" w:cs="Arial"/>
          <w:sz w:val="24"/>
          <w:szCs w:val="24"/>
        </w:rPr>
        <w:t>;</w:t>
      </w:r>
    </w:p>
    <w:p w14:paraId="776AEBF3" w14:textId="77777777" w:rsidR="0063750C" w:rsidRPr="0063750C" w:rsidRDefault="00FB0846"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there are changes to the tax system which would make it more fair, balanced and efficient</w:t>
      </w:r>
      <w:r w:rsidR="007951C0">
        <w:rPr>
          <w:rFonts w:ascii="Arial" w:hAnsi="Arial" w:cs="Arial"/>
          <w:sz w:val="24"/>
          <w:szCs w:val="24"/>
        </w:rPr>
        <w:t>;</w:t>
      </w:r>
      <w:r w:rsidRPr="0063750C">
        <w:rPr>
          <w:rFonts w:ascii="Arial" w:hAnsi="Arial" w:cs="Arial"/>
          <w:sz w:val="24"/>
          <w:szCs w:val="24"/>
        </w:rPr>
        <w:t xml:space="preserve"> and</w:t>
      </w:r>
    </w:p>
    <w:p w14:paraId="5BEAB5FF" w14:textId="77777777" w:rsidR="00FB0846" w:rsidRPr="0063750C" w:rsidRDefault="00FB0846"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there are other changes which would support the integrity of the income tax system, having regard to the interaction of the systems for taxing companies, trusts, and individuals.</w:t>
      </w:r>
    </w:p>
    <w:p w14:paraId="5654E70E" w14:textId="77777777" w:rsidR="000F1A80" w:rsidRPr="00187A91" w:rsidRDefault="000F1A80" w:rsidP="00187A91">
      <w:pPr>
        <w:pStyle w:val="ListParagraph"/>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The Group was also asked to consider, in particular, whether a system of taxing capital gains or land (not applying to the family home or the land under it), or other housing tax measures, would improve the tax system.</w:t>
      </w:r>
    </w:p>
    <w:p w14:paraId="1230E1C0" w14:textId="77777777" w:rsidR="00973671" w:rsidRPr="00187A91" w:rsidRDefault="007775D4" w:rsidP="00187A91">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The TWG deliver</w:t>
      </w:r>
      <w:r w:rsidR="00FB0846">
        <w:rPr>
          <w:rFonts w:ascii="Arial" w:hAnsi="Arial" w:cs="Arial"/>
          <w:sz w:val="24"/>
          <w:szCs w:val="24"/>
        </w:rPr>
        <w:t>ed</w:t>
      </w:r>
      <w:r>
        <w:rPr>
          <w:rFonts w:ascii="Arial" w:hAnsi="Arial" w:cs="Arial"/>
          <w:sz w:val="24"/>
          <w:szCs w:val="24"/>
        </w:rPr>
        <w:t xml:space="preserve"> its </w:t>
      </w:r>
      <w:r w:rsidR="004C4D5D">
        <w:rPr>
          <w:rFonts w:ascii="Arial" w:hAnsi="Arial" w:cs="Arial"/>
          <w:sz w:val="24"/>
          <w:szCs w:val="24"/>
        </w:rPr>
        <w:t>F</w:t>
      </w:r>
      <w:r>
        <w:rPr>
          <w:rFonts w:ascii="Arial" w:hAnsi="Arial" w:cs="Arial"/>
          <w:sz w:val="24"/>
          <w:szCs w:val="24"/>
        </w:rPr>
        <w:t xml:space="preserve">inal </w:t>
      </w:r>
      <w:r w:rsidR="004C4D5D">
        <w:rPr>
          <w:rFonts w:ascii="Arial" w:hAnsi="Arial" w:cs="Arial"/>
          <w:sz w:val="24"/>
          <w:szCs w:val="24"/>
        </w:rPr>
        <w:t>R</w:t>
      </w:r>
      <w:r>
        <w:rPr>
          <w:rFonts w:ascii="Arial" w:hAnsi="Arial" w:cs="Arial"/>
          <w:sz w:val="24"/>
          <w:szCs w:val="24"/>
        </w:rPr>
        <w:t xml:space="preserve">eport to </w:t>
      </w:r>
      <w:r w:rsidR="00521771">
        <w:rPr>
          <w:rFonts w:ascii="Arial" w:hAnsi="Arial" w:cs="Arial"/>
          <w:sz w:val="24"/>
          <w:szCs w:val="24"/>
        </w:rPr>
        <w:t xml:space="preserve">the </w:t>
      </w:r>
      <w:r>
        <w:rPr>
          <w:rFonts w:ascii="Arial" w:hAnsi="Arial" w:cs="Arial"/>
          <w:sz w:val="24"/>
          <w:szCs w:val="24"/>
        </w:rPr>
        <w:t>Government on 21 February</w:t>
      </w:r>
      <w:r w:rsidR="00FB0846">
        <w:rPr>
          <w:rFonts w:ascii="Arial" w:hAnsi="Arial" w:cs="Arial"/>
          <w:sz w:val="24"/>
          <w:szCs w:val="24"/>
        </w:rPr>
        <w:t xml:space="preserve"> 2019</w:t>
      </w:r>
      <w:r>
        <w:rPr>
          <w:rFonts w:ascii="Arial" w:hAnsi="Arial" w:cs="Arial"/>
          <w:sz w:val="24"/>
          <w:szCs w:val="24"/>
        </w:rPr>
        <w:t xml:space="preserve">. The </w:t>
      </w:r>
      <w:r w:rsidR="00401D12">
        <w:rPr>
          <w:rFonts w:ascii="Arial" w:hAnsi="Arial" w:cs="Arial"/>
          <w:sz w:val="24"/>
          <w:szCs w:val="24"/>
        </w:rPr>
        <w:t xml:space="preserve">report contains </w:t>
      </w:r>
      <w:r>
        <w:rPr>
          <w:rFonts w:ascii="Arial" w:hAnsi="Arial" w:cs="Arial"/>
          <w:sz w:val="24"/>
          <w:szCs w:val="24"/>
        </w:rPr>
        <w:t>99 recommendations</w:t>
      </w:r>
      <w:r w:rsidR="00FB0846">
        <w:rPr>
          <w:rFonts w:ascii="Arial" w:hAnsi="Arial" w:cs="Arial"/>
          <w:sz w:val="24"/>
          <w:szCs w:val="24"/>
        </w:rPr>
        <w:t xml:space="preserve">. </w:t>
      </w:r>
      <w:r w:rsidR="00973671" w:rsidRPr="00187A91">
        <w:rPr>
          <w:rFonts w:ascii="Arial" w:hAnsi="Arial" w:cs="Arial"/>
          <w:sz w:val="24"/>
          <w:szCs w:val="24"/>
        </w:rPr>
        <w:t>The recommendations cover a broad range of areas</w:t>
      </w:r>
      <w:r w:rsidR="004C4D5D" w:rsidRPr="00187A91">
        <w:rPr>
          <w:rFonts w:ascii="Arial" w:hAnsi="Arial" w:cs="Arial"/>
          <w:sz w:val="24"/>
          <w:szCs w:val="24"/>
        </w:rPr>
        <w:t>, including:</w:t>
      </w:r>
    </w:p>
    <w:p w14:paraId="7851382C" w14:textId="77777777" w:rsidR="000F1A80" w:rsidRPr="00187A91" w:rsidRDefault="000F1A80" w:rsidP="00FC0E02">
      <w:pPr>
        <w:pStyle w:val="ListParagraph"/>
        <w:keepLines/>
        <w:numPr>
          <w:ilvl w:val="1"/>
          <w:numId w:val="1"/>
        </w:numPr>
        <w:ind w:left="1418" w:hanging="709"/>
        <w:contextualSpacing w:val="0"/>
        <w:jc w:val="both"/>
        <w:rPr>
          <w:rFonts w:ascii="Arial" w:hAnsi="Arial" w:cs="Arial"/>
          <w:sz w:val="24"/>
          <w:szCs w:val="24"/>
        </w:rPr>
      </w:pPr>
      <w:r>
        <w:rPr>
          <w:rFonts w:ascii="Arial" w:hAnsi="Arial" w:cs="Arial"/>
          <w:i/>
          <w:sz w:val="24"/>
          <w:szCs w:val="24"/>
        </w:rPr>
        <w:t xml:space="preserve">Capital </w:t>
      </w:r>
      <w:r w:rsidR="004232F2">
        <w:rPr>
          <w:rFonts w:ascii="Arial" w:hAnsi="Arial" w:cs="Arial"/>
          <w:i/>
          <w:sz w:val="24"/>
          <w:szCs w:val="24"/>
        </w:rPr>
        <w:t xml:space="preserve">gains </w:t>
      </w:r>
      <w:r>
        <w:rPr>
          <w:rFonts w:ascii="Arial" w:hAnsi="Arial" w:cs="Arial"/>
          <w:i/>
          <w:sz w:val="24"/>
          <w:szCs w:val="24"/>
        </w:rPr>
        <w:t xml:space="preserve">taxation </w:t>
      </w:r>
      <w:r w:rsidR="00862AF1">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the majority of the TWG recommended </w:t>
      </w:r>
      <w:r w:rsidR="00F505B0">
        <w:rPr>
          <w:rFonts w:ascii="Arial" w:hAnsi="Arial" w:cs="Arial"/>
          <w:sz w:val="24"/>
          <w:szCs w:val="24"/>
        </w:rPr>
        <w:t>a broad extension to the taxation of capital gains</w:t>
      </w:r>
      <w:r>
        <w:rPr>
          <w:rFonts w:ascii="Arial" w:hAnsi="Arial" w:cs="Arial"/>
          <w:sz w:val="24"/>
          <w:szCs w:val="24"/>
        </w:rPr>
        <w:t xml:space="preserve">. </w:t>
      </w:r>
      <w:r w:rsidR="00F505B0">
        <w:rPr>
          <w:rFonts w:ascii="Arial" w:hAnsi="Arial" w:cs="Arial"/>
          <w:sz w:val="24"/>
          <w:szCs w:val="24"/>
        </w:rPr>
        <w:t xml:space="preserve">A minority recommended a more limited approach. </w:t>
      </w:r>
      <w:r>
        <w:rPr>
          <w:rFonts w:ascii="Arial" w:hAnsi="Arial" w:cs="Arial"/>
          <w:sz w:val="24"/>
          <w:szCs w:val="24"/>
        </w:rPr>
        <w:t>The revenue collected could then be used to offset tax in other areas, including lowering personal income tax</w:t>
      </w:r>
      <w:r w:rsidR="009801F9">
        <w:rPr>
          <w:rFonts w:ascii="Arial" w:hAnsi="Arial" w:cs="Arial"/>
          <w:sz w:val="24"/>
          <w:szCs w:val="24"/>
        </w:rPr>
        <w:t>;</w:t>
      </w:r>
    </w:p>
    <w:p w14:paraId="5EE4DD61" w14:textId="77777777" w:rsidR="00973671" w:rsidRPr="0063750C" w:rsidRDefault="009736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i/>
          <w:sz w:val="24"/>
          <w:szCs w:val="24"/>
        </w:rPr>
        <w:t>Environmental and corrective tax</w:t>
      </w:r>
      <w:r w:rsidRPr="0063750C">
        <w:rPr>
          <w:rFonts w:ascii="Arial" w:hAnsi="Arial" w:cs="Arial"/>
          <w:sz w:val="24"/>
          <w:szCs w:val="24"/>
        </w:rPr>
        <w:t xml:space="preserve">– the </w:t>
      </w:r>
      <w:r w:rsidR="00584213" w:rsidRPr="0063750C">
        <w:rPr>
          <w:rFonts w:ascii="Arial" w:hAnsi="Arial" w:cs="Arial"/>
          <w:sz w:val="24"/>
          <w:szCs w:val="24"/>
        </w:rPr>
        <w:t>TWG</w:t>
      </w:r>
      <w:r w:rsidRPr="0063750C">
        <w:rPr>
          <w:rFonts w:ascii="Arial" w:hAnsi="Arial" w:cs="Arial"/>
          <w:sz w:val="24"/>
          <w:szCs w:val="24"/>
        </w:rPr>
        <w:t xml:space="preserve"> recommended the Government make better use of taxes to discourage activities that cause negative impacts. </w:t>
      </w:r>
      <w:r w:rsidR="00C46970" w:rsidRPr="0063750C">
        <w:rPr>
          <w:rFonts w:ascii="Arial" w:hAnsi="Arial" w:cs="Arial"/>
          <w:sz w:val="24"/>
          <w:szCs w:val="24"/>
        </w:rPr>
        <w:t>The TWG</w:t>
      </w:r>
      <w:r w:rsidRPr="0063750C">
        <w:rPr>
          <w:rFonts w:ascii="Arial" w:hAnsi="Arial" w:cs="Arial"/>
          <w:sz w:val="24"/>
          <w:szCs w:val="24"/>
        </w:rPr>
        <w:t xml:space="preserve"> developed a framework for deciding when such taxes can be best applied</w:t>
      </w:r>
      <w:r w:rsidR="009801F9">
        <w:rPr>
          <w:rFonts w:ascii="Arial" w:hAnsi="Arial" w:cs="Arial"/>
          <w:sz w:val="24"/>
          <w:szCs w:val="24"/>
        </w:rPr>
        <w:t>;</w:t>
      </w:r>
    </w:p>
    <w:p w14:paraId="0D0DB393" w14:textId="77777777" w:rsidR="00973671" w:rsidRPr="0063750C" w:rsidRDefault="009736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i/>
          <w:sz w:val="24"/>
          <w:szCs w:val="24"/>
        </w:rPr>
        <w:t>International income taxation</w:t>
      </w:r>
      <w:r w:rsidRPr="0063750C">
        <w:rPr>
          <w:rFonts w:ascii="Arial" w:hAnsi="Arial" w:cs="Arial"/>
          <w:sz w:val="24"/>
          <w:szCs w:val="24"/>
        </w:rPr>
        <w:t xml:space="preserve"> – the</w:t>
      </w:r>
      <w:r w:rsidR="00584213" w:rsidRPr="0063750C">
        <w:rPr>
          <w:rFonts w:ascii="Arial" w:hAnsi="Arial" w:cs="Arial"/>
          <w:sz w:val="24"/>
          <w:szCs w:val="24"/>
        </w:rPr>
        <w:t xml:space="preserve"> TWG recommended the</w:t>
      </w:r>
      <w:r w:rsidRPr="0063750C">
        <w:rPr>
          <w:rFonts w:ascii="Arial" w:hAnsi="Arial" w:cs="Arial"/>
          <w:sz w:val="24"/>
          <w:szCs w:val="24"/>
        </w:rPr>
        <w:t xml:space="preserve"> Government stand ready to implement an equalisation tax on digital services if a critical mass of other countries move in that direction</w:t>
      </w:r>
      <w:r w:rsidR="009801F9">
        <w:rPr>
          <w:rFonts w:ascii="Arial" w:hAnsi="Arial" w:cs="Arial"/>
          <w:sz w:val="24"/>
          <w:szCs w:val="24"/>
        </w:rPr>
        <w:t>;</w:t>
      </w:r>
    </w:p>
    <w:p w14:paraId="61AEC001" w14:textId="77777777" w:rsidR="00973671" w:rsidRPr="0063750C" w:rsidRDefault="009736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i/>
          <w:sz w:val="24"/>
          <w:szCs w:val="24"/>
        </w:rPr>
        <w:t>Future of work</w:t>
      </w:r>
      <w:r w:rsidRPr="0063750C">
        <w:rPr>
          <w:rFonts w:ascii="Arial" w:hAnsi="Arial" w:cs="Arial"/>
          <w:sz w:val="24"/>
          <w:szCs w:val="24"/>
        </w:rPr>
        <w:t xml:space="preserve"> – </w:t>
      </w:r>
      <w:r w:rsidR="00584213" w:rsidRPr="0063750C">
        <w:rPr>
          <w:rFonts w:ascii="Arial" w:hAnsi="Arial" w:cs="Arial"/>
          <w:sz w:val="24"/>
          <w:szCs w:val="24"/>
        </w:rPr>
        <w:t xml:space="preserve">the TWG </w:t>
      </w:r>
      <w:r w:rsidR="00C46970" w:rsidRPr="0063750C">
        <w:rPr>
          <w:rFonts w:ascii="Arial" w:hAnsi="Arial" w:cs="Arial"/>
          <w:sz w:val="24"/>
          <w:szCs w:val="24"/>
        </w:rPr>
        <w:t>was</w:t>
      </w:r>
      <w:r w:rsidR="00584213" w:rsidRPr="0063750C">
        <w:rPr>
          <w:rFonts w:ascii="Arial" w:hAnsi="Arial" w:cs="Arial"/>
          <w:sz w:val="24"/>
          <w:szCs w:val="24"/>
        </w:rPr>
        <w:t xml:space="preserve"> concerned about changes in the labour market and recommended current withholding taxes be extended as far as practicable to increase compliance</w:t>
      </w:r>
      <w:r w:rsidR="009801F9">
        <w:rPr>
          <w:rFonts w:ascii="Arial" w:hAnsi="Arial" w:cs="Arial"/>
          <w:sz w:val="24"/>
          <w:szCs w:val="24"/>
        </w:rPr>
        <w:t>;</w:t>
      </w:r>
    </w:p>
    <w:p w14:paraId="0808C9A6" w14:textId="77777777" w:rsidR="00973671" w:rsidRPr="0063750C" w:rsidRDefault="009736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i/>
          <w:sz w:val="24"/>
          <w:szCs w:val="24"/>
        </w:rPr>
        <w:t>Integrity of the tax system</w:t>
      </w:r>
      <w:r w:rsidRPr="0063750C">
        <w:rPr>
          <w:rFonts w:ascii="Arial" w:hAnsi="Arial" w:cs="Arial"/>
          <w:sz w:val="24"/>
          <w:szCs w:val="24"/>
        </w:rPr>
        <w:t xml:space="preserve"> – </w:t>
      </w:r>
      <w:r w:rsidR="00584213" w:rsidRPr="0063750C">
        <w:rPr>
          <w:rFonts w:ascii="Arial" w:hAnsi="Arial" w:cs="Arial"/>
          <w:sz w:val="24"/>
          <w:szCs w:val="24"/>
        </w:rPr>
        <w:t xml:space="preserve">the TWG </w:t>
      </w:r>
      <w:r w:rsidR="00C46970" w:rsidRPr="0063750C">
        <w:rPr>
          <w:rFonts w:ascii="Arial" w:hAnsi="Arial" w:cs="Arial"/>
          <w:sz w:val="24"/>
          <w:szCs w:val="24"/>
        </w:rPr>
        <w:t>was</w:t>
      </w:r>
      <w:r w:rsidR="00584213" w:rsidRPr="0063750C">
        <w:rPr>
          <w:rFonts w:ascii="Arial" w:hAnsi="Arial" w:cs="Arial"/>
          <w:sz w:val="24"/>
          <w:szCs w:val="24"/>
        </w:rPr>
        <w:t xml:space="preserve"> concerned about integrity risks associated with the use of closely held companies and recommended i</w:t>
      </w:r>
      <w:r w:rsidRPr="0063750C">
        <w:rPr>
          <w:rFonts w:ascii="Arial" w:hAnsi="Arial" w:cs="Arial"/>
          <w:sz w:val="24"/>
          <w:szCs w:val="24"/>
        </w:rPr>
        <w:t xml:space="preserve">ncreased enforcement </w:t>
      </w:r>
      <w:r w:rsidR="00584213" w:rsidRPr="0063750C">
        <w:rPr>
          <w:rFonts w:ascii="Arial" w:hAnsi="Arial" w:cs="Arial"/>
          <w:sz w:val="24"/>
          <w:szCs w:val="24"/>
        </w:rPr>
        <w:t>to address these risks</w:t>
      </w:r>
      <w:r w:rsidR="009801F9">
        <w:rPr>
          <w:rFonts w:ascii="Arial" w:hAnsi="Arial" w:cs="Arial"/>
          <w:sz w:val="24"/>
          <w:szCs w:val="24"/>
        </w:rPr>
        <w:t>;</w:t>
      </w:r>
    </w:p>
    <w:p w14:paraId="542C8C44" w14:textId="77777777" w:rsidR="00973671" w:rsidRPr="0063750C" w:rsidRDefault="009736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i/>
          <w:sz w:val="24"/>
          <w:szCs w:val="24"/>
        </w:rPr>
        <w:t>Charities</w:t>
      </w:r>
      <w:r w:rsidRPr="0063750C">
        <w:rPr>
          <w:rFonts w:ascii="Arial" w:hAnsi="Arial" w:cs="Arial"/>
          <w:sz w:val="24"/>
          <w:szCs w:val="24"/>
        </w:rPr>
        <w:t xml:space="preserve"> – </w:t>
      </w:r>
      <w:r w:rsidR="00584213" w:rsidRPr="0063750C">
        <w:rPr>
          <w:rFonts w:ascii="Arial" w:hAnsi="Arial" w:cs="Arial"/>
          <w:sz w:val="24"/>
          <w:szCs w:val="24"/>
        </w:rPr>
        <w:t>the TWG recommended r</w:t>
      </w:r>
      <w:r w:rsidRPr="0063750C">
        <w:rPr>
          <w:rFonts w:ascii="Arial" w:hAnsi="Arial" w:cs="Arial"/>
          <w:sz w:val="24"/>
          <w:szCs w:val="24"/>
        </w:rPr>
        <w:t>egular reviews of the charitable sector to ensure the tax concessions enjoyed by the businesses they run are being put towards the intended social outcomes.</w:t>
      </w:r>
    </w:p>
    <w:p w14:paraId="4C0DF7ED" w14:textId="77777777" w:rsidR="00973671" w:rsidRDefault="00C46970"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T</w:t>
      </w:r>
      <w:r w:rsidR="00973671">
        <w:rPr>
          <w:rFonts w:ascii="Arial" w:hAnsi="Arial" w:cs="Arial"/>
          <w:sz w:val="24"/>
          <w:szCs w:val="24"/>
        </w:rPr>
        <w:t xml:space="preserve">he </w:t>
      </w:r>
      <w:r w:rsidR="00584213">
        <w:rPr>
          <w:rFonts w:ascii="Arial" w:hAnsi="Arial" w:cs="Arial"/>
          <w:sz w:val="24"/>
          <w:szCs w:val="24"/>
        </w:rPr>
        <w:t>TWG</w:t>
      </w:r>
      <w:r w:rsidR="00973671">
        <w:rPr>
          <w:rFonts w:ascii="Arial" w:hAnsi="Arial" w:cs="Arial"/>
          <w:sz w:val="24"/>
          <w:szCs w:val="24"/>
        </w:rPr>
        <w:t xml:space="preserve"> considered the current tax settings</w:t>
      </w:r>
      <w:r>
        <w:rPr>
          <w:rFonts w:ascii="Arial" w:hAnsi="Arial" w:cs="Arial"/>
          <w:sz w:val="24"/>
          <w:szCs w:val="24"/>
        </w:rPr>
        <w:t xml:space="preserve"> in a number of areas to be</w:t>
      </w:r>
      <w:r w:rsidR="00973671">
        <w:rPr>
          <w:rFonts w:ascii="Arial" w:hAnsi="Arial" w:cs="Arial"/>
          <w:sz w:val="24"/>
          <w:szCs w:val="24"/>
        </w:rPr>
        <w:t xml:space="preserve"> largely sound</w:t>
      </w:r>
      <w:r w:rsidR="00584213">
        <w:rPr>
          <w:rFonts w:ascii="Arial" w:hAnsi="Arial" w:cs="Arial"/>
          <w:sz w:val="24"/>
          <w:szCs w:val="24"/>
        </w:rPr>
        <w:t xml:space="preserve"> and therefore no further action is required at this time</w:t>
      </w:r>
      <w:r w:rsidR="004C4D5D">
        <w:rPr>
          <w:rFonts w:ascii="Arial" w:hAnsi="Arial" w:cs="Arial"/>
          <w:sz w:val="24"/>
          <w:szCs w:val="24"/>
        </w:rPr>
        <w:t>.</w:t>
      </w:r>
      <w:r w:rsidR="00584213">
        <w:rPr>
          <w:rFonts w:ascii="Arial" w:hAnsi="Arial" w:cs="Arial"/>
          <w:sz w:val="24"/>
          <w:szCs w:val="24"/>
        </w:rPr>
        <w:t xml:space="preserve"> The</w:t>
      </w:r>
      <w:r w:rsidR="004C4D5D">
        <w:rPr>
          <w:rFonts w:ascii="Arial" w:hAnsi="Arial" w:cs="Arial"/>
          <w:sz w:val="24"/>
          <w:szCs w:val="24"/>
        </w:rPr>
        <w:t>se</w:t>
      </w:r>
      <w:r w:rsidR="00584213">
        <w:rPr>
          <w:rFonts w:ascii="Arial" w:hAnsi="Arial" w:cs="Arial"/>
          <w:sz w:val="24"/>
          <w:szCs w:val="24"/>
        </w:rPr>
        <w:t xml:space="preserve"> areas</w:t>
      </w:r>
      <w:r w:rsidR="00973671">
        <w:rPr>
          <w:rFonts w:ascii="Arial" w:hAnsi="Arial" w:cs="Arial"/>
          <w:sz w:val="24"/>
          <w:szCs w:val="24"/>
        </w:rPr>
        <w:t xml:space="preserve"> includ</w:t>
      </w:r>
      <w:r w:rsidR="007E1200">
        <w:rPr>
          <w:rFonts w:ascii="Arial" w:hAnsi="Arial" w:cs="Arial"/>
          <w:sz w:val="24"/>
          <w:szCs w:val="24"/>
        </w:rPr>
        <w:t>e</w:t>
      </w:r>
      <w:r w:rsidR="00973671">
        <w:rPr>
          <w:rFonts w:ascii="Arial" w:hAnsi="Arial" w:cs="Arial"/>
          <w:sz w:val="24"/>
          <w:szCs w:val="24"/>
        </w:rPr>
        <w:t>:</w:t>
      </w:r>
    </w:p>
    <w:p w14:paraId="4EED162A" w14:textId="77777777" w:rsidR="004C4D5D" w:rsidRPr="0063750C" w:rsidRDefault="004C4D5D" w:rsidP="0063750C">
      <w:pPr>
        <w:pStyle w:val="ListParagraph"/>
        <w:numPr>
          <w:ilvl w:val="1"/>
          <w:numId w:val="1"/>
        </w:numPr>
        <w:ind w:left="1418" w:hanging="709"/>
        <w:contextualSpacing w:val="0"/>
        <w:jc w:val="both"/>
        <w:rPr>
          <w:rFonts w:ascii="Arial" w:hAnsi="Arial" w:cs="Arial"/>
          <w:i/>
          <w:sz w:val="24"/>
          <w:szCs w:val="24"/>
        </w:rPr>
      </w:pPr>
      <w:r w:rsidRPr="0063750C">
        <w:rPr>
          <w:rFonts w:ascii="Arial" w:hAnsi="Arial" w:cs="Arial"/>
          <w:i/>
          <w:sz w:val="24"/>
          <w:szCs w:val="24"/>
        </w:rPr>
        <w:t xml:space="preserve">Capital and wealth – </w:t>
      </w:r>
      <w:r w:rsidRPr="0063750C">
        <w:rPr>
          <w:rFonts w:ascii="Arial" w:hAnsi="Arial" w:cs="Arial"/>
          <w:sz w:val="24"/>
          <w:szCs w:val="24"/>
        </w:rPr>
        <w:t>the TWG recommended against introducing a wealth or land tax</w:t>
      </w:r>
      <w:r w:rsidR="009801F9">
        <w:rPr>
          <w:rFonts w:ascii="Arial" w:hAnsi="Arial" w:cs="Arial"/>
          <w:sz w:val="24"/>
          <w:szCs w:val="24"/>
        </w:rPr>
        <w:t>;</w:t>
      </w:r>
    </w:p>
    <w:p w14:paraId="787825A4" w14:textId="77777777" w:rsidR="00973671" w:rsidRPr="0063750C" w:rsidRDefault="00973671" w:rsidP="0063750C">
      <w:pPr>
        <w:pStyle w:val="ListParagraph"/>
        <w:numPr>
          <w:ilvl w:val="1"/>
          <w:numId w:val="1"/>
        </w:numPr>
        <w:ind w:left="1418" w:hanging="709"/>
        <w:contextualSpacing w:val="0"/>
        <w:jc w:val="both"/>
        <w:rPr>
          <w:rFonts w:ascii="Arial" w:hAnsi="Arial" w:cs="Arial"/>
          <w:i/>
          <w:sz w:val="24"/>
          <w:szCs w:val="24"/>
        </w:rPr>
      </w:pPr>
      <w:r w:rsidRPr="0063750C">
        <w:rPr>
          <w:rFonts w:ascii="Arial" w:hAnsi="Arial" w:cs="Arial"/>
          <w:i/>
          <w:sz w:val="24"/>
          <w:szCs w:val="24"/>
        </w:rPr>
        <w:t xml:space="preserve">The taxation of business – </w:t>
      </w:r>
      <w:r w:rsidRPr="0063750C">
        <w:rPr>
          <w:rFonts w:ascii="Arial" w:hAnsi="Arial" w:cs="Arial"/>
          <w:sz w:val="24"/>
          <w:szCs w:val="24"/>
        </w:rPr>
        <w:t xml:space="preserve">the </w:t>
      </w:r>
      <w:r w:rsidR="00584213" w:rsidRPr="0063750C">
        <w:rPr>
          <w:rFonts w:ascii="Arial" w:hAnsi="Arial" w:cs="Arial"/>
          <w:sz w:val="24"/>
          <w:szCs w:val="24"/>
        </w:rPr>
        <w:t>TWG</w:t>
      </w:r>
      <w:r w:rsidRPr="0063750C">
        <w:rPr>
          <w:rFonts w:ascii="Arial" w:hAnsi="Arial" w:cs="Arial"/>
          <w:sz w:val="24"/>
          <w:szCs w:val="24"/>
        </w:rPr>
        <w:t xml:space="preserve"> recommend</w:t>
      </w:r>
      <w:r w:rsidR="004C4D5D" w:rsidRPr="0063750C">
        <w:rPr>
          <w:rFonts w:ascii="Arial" w:hAnsi="Arial" w:cs="Arial"/>
          <w:sz w:val="24"/>
          <w:szCs w:val="24"/>
        </w:rPr>
        <w:t>ed against</w:t>
      </w:r>
      <w:r w:rsidRPr="0063750C">
        <w:rPr>
          <w:rFonts w:ascii="Arial" w:hAnsi="Arial" w:cs="Arial"/>
          <w:sz w:val="24"/>
          <w:szCs w:val="24"/>
        </w:rPr>
        <w:t xml:space="preserve"> moving away from the imputation system, reducing the company tax rate</w:t>
      </w:r>
      <w:r w:rsidR="00871897">
        <w:rPr>
          <w:rFonts w:ascii="Arial" w:hAnsi="Arial" w:cs="Arial"/>
          <w:sz w:val="24"/>
          <w:szCs w:val="24"/>
        </w:rPr>
        <w:t>,</w:t>
      </w:r>
      <w:r w:rsidRPr="0063750C">
        <w:rPr>
          <w:rFonts w:ascii="Arial" w:hAnsi="Arial" w:cs="Arial"/>
          <w:sz w:val="24"/>
          <w:szCs w:val="24"/>
        </w:rPr>
        <w:t xml:space="preserve"> or considering an alternative method of taxing small businesses</w:t>
      </w:r>
      <w:r w:rsidR="009801F9">
        <w:rPr>
          <w:rFonts w:ascii="Arial" w:hAnsi="Arial" w:cs="Arial"/>
          <w:sz w:val="24"/>
          <w:szCs w:val="24"/>
        </w:rPr>
        <w:t>;</w:t>
      </w:r>
    </w:p>
    <w:p w14:paraId="3449035C" w14:textId="77777777" w:rsidR="00973671" w:rsidRPr="0063750C" w:rsidRDefault="00973671" w:rsidP="0063750C">
      <w:pPr>
        <w:pStyle w:val="ListParagraph"/>
        <w:numPr>
          <w:ilvl w:val="1"/>
          <w:numId w:val="1"/>
        </w:numPr>
        <w:ind w:left="1418" w:hanging="709"/>
        <w:contextualSpacing w:val="0"/>
        <w:jc w:val="both"/>
        <w:rPr>
          <w:rFonts w:ascii="Arial" w:hAnsi="Arial" w:cs="Arial"/>
          <w:i/>
          <w:sz w:val="24"/>
          <w:szCs w:val="24"/>
        </w:rPr>
      </w:pPr>
      <w:r w:rsidRPr="0063750C">
        <w:rPr>
          <w:rFonts w:ascii="Arial" w:hAnsi="Arial" w:cs="Arial"/>
          <w:i/>
          <w:sz w:val="24"/>
          <w:szCs w:val="24"/>
        </w:rPr>
        <w:t xml:space="preserve">GST and financial transactions tax – </w:t>
      </w:r>
      <w:r w:rsidR="00335BD7" w:rsidRPr="0063750C">
        <w:rPr>
          <w:rFonts w:ascii="Arial" w:hAnsi="Arial" w:cs="Arial"/>
          <w:sz w:val="24"/>
          <w:szCs w:val="24"/>
        </w:rPr>
        <w:t xml:space="preserve">the </w:t>
      </w:r>
      <w:r w:rsidR="00584213" w:rsidRPr="0063750C">
        <w:rPr>
          <w:rFonts w:ascii="Arial" w:hAnsi="Arial" w:cs="Arial"/>
          <w:sz w:val="24"/>
          <w:szCs w:val="24"/>
        </w:rPr>
        <w:t>TWG</w:t>
      </w:r>
      <w:r w:rsidR="00335BD7" w:rsidRPr="0063750C">
        <w:rPr>
          <w:rFonts w:ascii="Arial" w:hAnsi="Arial" w:cs="Arial"/>
          <w:sz w:val="24"/>
          <w:szCs w:val="24"/>
        </w:rPr>
        <w:t xml:space="preserve"> recommend</w:t>
      </w:r>
      <w:r w:rsidR="004C4D5D" w:rsidRPr="0063750C">
        <w:rPr>
          <w:rFonts w:ascii="Arial" w:hAnsi="Arial" w:cs="Arial"/>
          <w:sz w:val="24"/>
          <w:szCs w:val="24"/>
        </w:rPr>
        <w:t>ed against</w:t>
      </w:r>
      <w:r w:rsidR="00335BD7" w:rsidRPr="0063750C">
        <w:rPr>
          <w:rFonts w:ascii="Arial" w:hAnsi="Arial" w:cs="Arial"/>
          <w:sz w:val="24"/>
          <w:szCs w:val="24"/>
        </w:rPr>
        <w:t xml:space="preserve"> red</w:t>
      </w:r>
      <w:r w:rsidR="00584213" w:rsidRPr="0063750C">
        <w:rPr>
          <w:rFonts w:ascii="Arial" w:hAnsi="Arial" w:cs="Arial"/>
          <w:sz w:val="24"/>
          <w:szCs w:val="24"/>
        </w:rPr>
        <w:t>uc</w:t>
      </w:r>
      <w:r w:rsidR="00335BD7" w:rsidRPr="0063750C">
        <w:rPr>
          <w:rFonts w:ascii="Arial" w:hAnsi="Arial" w:cs="Arial"/>
          <w:sz w:val="24"/>
          <w:szCs w:val="24"/>
        </w:rPr>
        <w:t>ing the GST rate or introducing any new GST exemptions.</w:t>
      </w:r>
      <w:r w:rsidR="00335BD7" w:rsidRPr="0063750C">
        <w:rPr>
          <w:rFonts w:ascii="Arial" w:hAnsi="Arial" w:cs="Arial"/>
          <w:i/>
          <w:sz w:val="24"/>
          <w:szCs w:val="24"/>
        </w:rPr>
        <w:t xml:space="preserve"> </w:t>
      </w:r>
    </w:p>
    <w:p w14:paraId="7012A0C8" w14:textId="77777777" w:rsidR="004B6934" w:rsidRPr="00D9036C" w:rsidRDefault="00335BD7" w:rsidP="00D9036C">
      <w:pPr>
        <w:pStyle w:val="CabStandard"/>
        <w:rPr>
          <w:rFonts w:ascii="Arial" w:hAnsi="Arial" w:cs="Arial"/>
          <w:b/>
          <w:szCs w:val="24"/>
        </w:rPr>
      </w:pPr>
      <w:r w:rsidRPr="00D9036C">
        <w:rPr>
          <w:rFonts w:ascii="Arial" w:hAnsi="Arial" w:cs="Arial"/>
          <w:b/>
          <w:szCs w:val="24"/>
        </w:rPr>
        <w:t>The Ta</w:t>
      </w:r>
      <w:r w:rsidR="00467C7D" w:rsidRPr="00D9036C">
        <w:rPr>
          <w:rFonts w:ascii="Arial" w:hAnsi="Arial" w:cs="Arial"/>
          <w:b/>
          <w:szCs w:val="24"/>
        </w:rPr>
        <w:t>x</w:t>
      </w:r>
      <w:r w:rsidRPr="00D9036C">
        <w:rPr>
          <w:rFonts w:ascii="Arial" w:hAnsi="Arial" w:cs="Arial"/>
          <w:b/>
          <w:szCs w:val="24"/>
        </w:rPr>
        <w:t xml:space="preserve"> Working Group </w:t>
      </w:r>
      <w:r w:rsidR="004C4D5D" w:rsidRPr="00D9036C">
        <w:rPr>
          <w:rFonts w:ascii="Arial" w:hAnsi="Arial" w:cs="Arial"/>
          <w:b/>
          <w:szCs w:val="24"/>
        </w:rPr>
        <w:t>r</w:t>
      </w:r>
      <w:r w:rsidRPr="00D9036C">
        <w:rPr>
          <w:rFonts w:ascii="Arial" w:hAnsi="Arial" w:cs="Arial"/>
          <w:b/>
          <w:szCs w:val="24"/>
        </w:rPr>
        <w:t>ecommendations</w:t>
      </w:r>
    </w:p>
    <w:p w14:paraId="15AF19FC" w14:textId="77777777" w:rsidR="00655D67" w:rsidRDefault="00335BD7"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w:t>
      </w:r>
      <w:r w:rsidR="004C4D5D">
        <w:rPr>
          <w:rFonts w:ascii="Arial" w:hAnsi="Arial" w:cs="Arial"/>
          <w:sz w:val="24"/>
          <w:szCs w:val="24"/>
        </w:rPr>
        <w:t>’s</w:t>
      </w:r>
      <w:r w:rsidRPr="00335BD7">
        <w:rPr>
          <w:rFonts w:ascii="Arial" w:hAnsi="Arial" w:cs="Arial"/>
          <w:sz w:val="24"/>
          <w:szCs w:val="24"/>
        </w:rPr>
        <w:t xml:space="preserve"> recommendations can be broadly categorised into </w:t>
      </w:r>
      <w:r w:rsidR="006169DD">
        <w:rPr>
          <w:rFonts w:ascii="Arial" w:hAnsi="Arial" w:cs="Arial"/>
          <w:sz w:val="24"/>
          <w:szCs w:val="24"/>
        </w:rPr>
        <w:t>thirteen</w:t>
      </w:r>
      <w:r w:rsidRPr="00335BD7">
        <w:rPr>
          <w:rFonts w:ascii="Arial" w:hAnsi="Arial" w:cs="Arial"/>
          <w:sz w:val="24"/>
          <w:szCs w:val="24"/>
        </w:rPr>
        <w:t xml:space="preserve"> areas. This section of the paper outlines at a high-level the </w:t>
      </w:r>
      <w:r w:rsidR="006169DD">
        <w:rPr>
          <w:rFonts w:ascii="Arial" w:hAnsi="Arial" w:cs="Arial"/>
          <w:sz w:val="24"/>
          <w:szCs w:val="24"/>
        </w:rPr>
        <w:t>thirteen</w:t>
      </w:r>
      <w:r w:rsidRPr="00335BD7">
        <w:rPr>
          <w:rFonts w:ascii="Arial" w:hAnsi="Arial" w:cs="Arial"/>
          <w:sz w:val="24"/>
          <w:szCs w:val="24"/>
        </w:rPr>
        <w:t xml:space="preserve"> areas</w:t>
      </w:r>
      <w:r w:rsidR="0017794E">
        <w:rPr>
          <w:rFonts w:ascii="Arial" w:hAnsi="Arial" w:cs="Arial"/>
          <w:sz w:val="24"/>
          <w:szCs w:val="24"/>
        </w:rPr>
        <w:t xml:space="preserve"> and the proposed Government response</w:t>
      </w:r>
      <w:r w:rsidRPr="00335BD7">
        <w:rPr>
          <w:rFonts w:ascii="Arial" w:hAnsi="Arial" w:cs="Arial"/>
          <w:sz w:val="24"/>
          <w:szCs w:val="24"/>
        </w:rPr>
        <w:t>.</w:t>
      </w:r>
      <w:r w:rsidR="004C4D5D">
        <w:rPr>
          <w:rFonts w:ascii="Arial" w:hAnsi="Arial" w:cs="Arial"/>
          <w:sz w:val="24"/>
          <w:szCs w:val="24"/>
        </w:rPr>
        <w:t xml:space="preserve"> The full list of recommendations </w:t>
      </w:r>
      <w:r w:rsidR="00216E6B">
        <w:rPr>
          <w:rFonts w:ascii="Arial" w:hAnsi="Arial" w:cs="Arial"/>
          <w:sz w:val="24"/>
          <w:szCs w:val="24"/>
        </w:rPr>
        <w:t xml:space="preserve">and the proposed </w:t>
      </w:r>
      <w:r w:rsidR="00521771">
        <w:rPr>
          <w:rFonts w:ascii="Arial" w:hAnsi="Arial" w:cs="Arial"/>
          <w:sz w:val="24"/>
          <w:szCs w:val="24"/>
        </w:rPr>
        <w:t xml:space="preserve">Government </w:t>
      </w:r>
      <w:r w:rsidR="00216E6B">
        <w:rPr>
          <w:rFonts w:ascii="Arial" w:hAnsi="Arial" w:cs="Arial"/>
          <w:sz w:val="24"/>
          <w:szCs w:val="24"/>
        </w:rPr>
        <w:t xml:space="preserve">response </w:t>
      </w:r>
      <w:r w:rsidR="004C4D5D">
        <w:rPr>
          <w:rFonts w:ascii="Arial" w:hAnsi="Arial" w:cs="Arial"/>
          <w:sz w:val="24"/>
          <w:szCs w:val="24"/>
        </w:rPr>
        <w:t xml:space="preserve">is outlined in </w:t>
      </w:r>
      <w:r w:rsidR="00DE18CC">
        <w:rPr>
          <w:rFonts w:ascii="Arial" w:hAnsi="Arial" w:cs="Arial"/>
          <w:sz w:val="24"/>
          <w:szCs w:val="24"/>
        </w:rPr>
        <w:t>the t</w:t>
      </w:r>
      <w:r w:rsidR="004C4D5D" w:rsidRPr="00655D67">
        <w:rPr>
          <w:rFonts w:ascii="Arial" w:hAnsi="Arial" w:cs="Arial"/>
          <w:sz w:val="24"/>
          <w:szCs w:val="24"/>
        </w:rPr>
        <w:t>able in the appendix</w:t>
      </w:r>
      <w:r w:rsidR="004C4D5D">
        <w:rPr>
          <w:rFonts w:ascii="Arial" w:hAnsi="Arial" w:cs="Arial"/>
          <w:sz w:val="24"/>
          <w:szCs w:val="24"/>
        </w:rPr>
        <w:t>.</w:t>
      </w:r>
    </w:p>
    <w:p w14:paraId="79849FCD" w14:textId="77777777" w:rsidR="00267CC2" w:rsidRDefault="00267CC2"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The proposed responses are categorised as follows:</w:t>
      </w:r>
    </w:p>
    <w:p w14:paraId="6FF371B5" w14:textId="77777777" w:rsidR="00F97F82" w:rsidRPr="0063750C" w:rsidRDefault="00F97F82" w:rsidP="00F97F82">
      <w:pPr>
        <w:pStyle w:val="ListParagraph"/>
        <w:numPr>
          <w:ilvl w:val="1"/>
          <w:numId w:val="1"/>
        </w:numPr>
        <w:ind w:left="1418" w:hanging="709"/>
        <w:contextualSpacing w:val="0"/>
        <w:jc w:val="both"/>
        <w:rPr>
          <w:rFonts w:ascii="Arial" w:hAnsi="Arial" w:cs="Arial"/>
          <w:sz w:val="28"/>
          <w:szCs w:val="24"/>
        </w:rPr>
      </w:pPr>
      <w:bookmarkStart w:id="2" w:name="_Hlk3281058"/>
      <w:r w:rsidRPr="0063750C">
        <w:rPr>
          <w:rFonts w:ascii="Arial" w:hAnsi="Arial" w:cs="Arial"/>
          <w:i/>
          <w:sz w:val="24"/>
          <w:szCs w:val="24"/>
        </w:rPr>
        <w:t>Endorse the TWG recommendation:</w:t>
      </w:r>
      <w:r w:rsidRPr="0063750C">
        <w:rPr>
          <w:rFonts w:ascii="Arial" w:hAnsi="Arial" w:cs="Arial"/>
          <w:sz w:val="24"/>
          <w:szCs w:val="24"/>
        </w:rPr>
        <w:t xml:space="preserve"> The TWG recommended retaining the current tax settings and we agree with this recommendation</w:t>
      </w:r>
      <w:r w:rsidR="009801F9">
        <w:rPr>
          <w:rFonts w:ascii="Arial" w:hAnsi="Arial" w:cs="Arial"/>
          <w:sz w:val="24"/>
          <w:szCs w:val="24"/>
        </w:rPr>
        <w:t>;</w:t>
      </w:r>
      <w:r w:rsidR="009801F9" w:rsidRPr="0063750C">
        <w:rPr>
          <w:rFonts w:ascii="Arial" w:hAnsi="Arial" w:cs="Arial"/>
          <w:sz w:val="24"/>
          <w:szCs w:val="24"/>
        </w:rPr>
        <w:t xml:space="preserve"> </w:t>
      </w:r>
    </w:p>
    <w:p w14:paraId="695E1EDE" w14:textId="77777777" w:rsidR="00F97F82" w:rsidRPr="0063750C" w:rsidRDefault="00F97F82" w:rsidP="00F97F82">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Agree n</w:t>
      </w:r>
      <w:r w:rsidRPr="0063750C">
        <w:rPr>
          <w:rFonts w:ascii="Arial" w:hAnsi="Arial" w:cs="Arial"/>
          <w:i/>
          <w:sz w:val="24"/>
          <w:szCs w:val="24"/>
        </w:rPr>
        <w:t>o further work necessary:</w:t>
      </w:r>
      <w:r w:rsidRPr="0063750C">
        <w:rPr>
          <w:rFonts w:ascii="Arial" w:hAnsi="Arial" w:cs="Arial"/>
          <w:sz w:val="24"/>
          <w:szCs w:val="24"/>
        </w:rPr>
        <w:t xml:space="preserve"> We consider no further work is necessary</w:t>
      </w:r>
      <w:r w:rsidR="009801F9">
        <w:rPr>
          <w:rFonts w:ascii="Arial" w:hAnsi="Arial" w:cs="Arial"/>
          <w:sz w:val="24"/>
          <w:szCs w:val="24"/>
        </w:rPr>
        <w:t>;</w:t>
      </w:r>
    </w:p>
    <w:p w14:paraId="5AD31D10" w14:textId="77777777" w:rsidR="00F97F82" w:rsidRPr="0063750C" w:rsidRDefault="00F97F82" w:rsidP="00F97F82">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Note w</w:t>
      </w:r>
      <w:r w:rsidRPr="0063750C">
        <w:rPr>
          <w:rFonts w:ascii="Arial" w:hAnsi="Arial" w:cs="Arial"/>
          <w:i/>
          <w:sz w:val="24"/>
          <w:szCs w:val="24"/>
        </w:rPr>
        <w:t>ork already underway</w:t>
      </w:r>
      <w:r w:rsidRPr="0063750C">
        <w:rPr>
          <w:rFonts w:ascii="Arial" w:hAnsi="Arial" w:cs="Arial"/>
          <w:sz w:val="24"/>
          <w:szCs w:val="24"/>
        </w:rPr>
        <w:t>: Work is already underway within Government to consider the recommendation</w:t>
      </w:r>
      <w:r w:rsidR="009801F9">
        <w:rPr>
          <w:rFonts w:ascii="Arial" w:hAnsi="Arial" w:cs="Arial"/>
          <w:sz w:val="24"/>
          <w:szCs w:val="24"/>
        </w:rPr>
        <w:t>;</w:t>
      </w:r>
      <w:r w:rsidRPr="0063750C">
        <w:rPr>
          <w:rFonts w:ascii="Arial" w:hAnsi="Arial" w:cs="Arial"/>
          <w:sz w:val="24"/>
          <w:szCs w:val="24"/>
        </w:rPr>
        <w:t xml:space="preserve"> </w:t>
      </w:r>
    </w:p>
    <w:p w14:paraId="700ED6A9" w14:textId="77777777" w:rsidR="00F97F82" w:rsidRPr="0063750C" w:rsidRDefault="00F97F82" w:rsidP="00F97F82">
      <w:pPr>
        <w:pStyle w:val="ListParagraph"/>
        <w:numPr>
          <w:ilvl w:val="1"/>
          <w:numId w:val="1"/>
        </w:numPr>
        <w:ind w:left="1418" w:hanging="709"/>
        <w:contextualSpacing w:val="0"/>
        <w:jc w:val="both"/>
        <w:rPr>
          <w:rFonts w:ascii="Arial" w:hAnsi="Arial" w:cs="Arial"/>
          <w:sz w:val="28"/>
          <w:szCs w:val="24"/>
        </w:rPr>
      </w:pPr>
      <w:r w:rsidRPr="0063750C">
        <w:rPr>
          <w:rFonts w:ascii="Arial" w:hAnsi="Arial" w:cs="Arial"/>
          <w:i/>
          <w:sz w:val="24"/>
          <w:szCs w:val="24"/>
        </w:rPr>
        <w:t xml:space="preserve">Consider for </w:t>
      </w:r>
      <w:r w:rsidR="004A3E41">
        <w:rPr>
          <w:rFonts w:ascii="Arial" w:hAnsi="Arial" w:cs="Arial"/>
          <w:i/>
          <w:sz w:val="24"/>
          <w:szCs w:val="24"/>
        </w:rPr>
        <w:t xml:space="preserve">inclusion on </w:t>
      </w:r>
      <w:r>
        <w:rPr>
          <w:rFonts w:ascii="Arial" w:hAnsi="Arial" w:cs="Arial"/>
          <w:i/>
          <w:sz w:val="24"/>
          <w:szCs w:val="24"/>
        </w:rPr>
        <w:t>w</w:t>
      </w:r>
      <w:r w:rsidRPr="0063750C">
        <w:rPr>
          <w:rFonts w:ascii="Arial" w:hAnsi="Arial" w:cs="Arial"/>
          <w:i/>
          <w:sz w:val="24"/>
          <w:szCs w:val="24"/>
        </w:rPr>
        <w:t xml:space="preserve">ork </w:t>
      </w:r>
      <w:r>
        <w:rPr>
          <w:rFonts w:ascii="Arial" w:hAnsi="Arial" w:cs="Arial"/>
          <w:i/>
          <w:sz w:val="24"/>
          <w:szCs w:val="24"/>
        </w:rPr>
        <w:t>p</w:t>
      </w:r>
      <w:r w:rsidRPr="0063750C">
        <w:rPr>
          <w:rFonts w:ascii="Arial" w:hAnsi="Arial" w:cs="Arial"/>
          <w:i/>
          <w:sz w:val="24"/>
          <w:szCs w:val="24"/>
        </w:rPr>
        <w:t>rogramme:</w:t>
      </w:r>
      <w:r w:rsidRPr="0063750C">
        <w:rPr>
          <w:rFonts w:ascii="Arial" w:hAnsi="Arial" w:cs="Arial"/>
          <w:sz w:val="24"/>
          <w:szCs w:val="24"/>
        </w:rPr>
        <w:t xml:space="preserve"> The recommendation should be considered for inclusion in the 2019/20 </w:t>
      </w:r>
      <w:r>
        <w:rPr>
          <w:rFonts w:ascii="Arial" w:hAnsi="Arial" w:cs="Arial"/>
          <w:sz w:val="24"/>
          <w:szCs w:val="24"/>
        </w:rPr>
        <w:t xml:space="preserve">TPWP </w:t>
      </w:r>
      <w:r w:rsidR="002F7C0E">
        <w:rPr>
          <w:rFonts w:ascii="Arial" w:hAnsi="Arial" w:cs="Arial"/>
          <w:sz w:val="24"/>
          <w:szCs w:val="24"/>
        </w:rPr>
        <w:t>and/</w:t>
      </w:r>
      <w:r w:rsidRPr="0063750C">
        <w:rPr>
          <w:rFonts w:ascii="Arial" w:hAnsi="Arial" w:cs="Arial"/>
          <w:sz w:val="24"/>
          <w:szCs w:val="24"/>
        </w:rPr>
        <w:t>or other agency work programme</w:t>
      </w:r>
      <w:r w:rsidR="003B6083">
        <w:rPr>
          <w:rFonts w:ascii="Arial" w:hAnsi="Arial" w:cs="Arial"/>
          <w:sz w:val="24"/>
          <w:szCs w:val="24"/>
        </w:rPr>
        <w:t>s</w:t>
      </w:r>
      <w:r w:rsidR="009801F9">
        <w:rPr>
          <w:rFonts w:ascii="Arial" w:hAnsi="Arial" w:cs="Arial"/>
          <w:sz w:val="24"/>
          <w:szCs w:val="24"/>
        </w:rPr>
        <w:t>;</w:t>
      </w:r>
    </w:p>
    <w:p w14:paraId="044E0829" w14:textId="77777777" w:rsidR="00F97F82" w:rsidRPr="00504ABC" w:rsidRDefault="003A03F9" w:rsidP="00F97F82">
      <w:pPr>
        <w:pStyle w:val="ListParagraph"/>
        <w:numPr>
          <w:ilvl w:val="1"/>
          <w:numId w:val="1"/>
        </w:numPr>
        <w:ind w:left="1418" w:hanging="709"/>
        <w:contextualSpacing w:val="0"/>
        <w:jc w:val="both"/>
        <w:rPr>
          <w:rFonts w:ascii="Arial" w:hAnsi="Arial" w:cs="Arial"/>
          <w:sz w:val="28"/>
          <w:szCs w:val="24"/>
        </w:rPr>
      </w:pPr>
      <w:r>
        <w:rPr>
          <w:rFonts w:ascii="Arial" w:hAnsi="Arial" w:cs="Arial"/>
          <w:i/>
          <w:sz w:val="24"/>
          <w:szCs w:val="24"/>
        </w:rPr>
        <w:t>Consider as a high p</w:t>
      </w:r>
      <w:r w:rsidRPr="0063750C">
        <w:rPr>
          <w:rFonts w:ascii="Arial" w:hAnsi="Arial" w:cs="Arial"/>
          <w:i/>
          <w:sz w:val="24"/>
          <w:szCs w:val="24"/>
        </w:rPr>
        <w:t>riorit</w:t>
      </w:r>
      <w:r>
        <w:rPr>
          <w:rFonts w:ascii="Arial" w:hAnsi="Arial" w:cs="Arial"/>
          <w:i/>
          <w:sz w:val="24"/>
          <w:szCs w:val="24"/>
        </w:rPr>
        <w:t xml:space="preserve">y </w:t>
      </w:r>
      <w:r w:rsidR="00F97F82">
        <w:rPr>
          <w:rFonts w:ascii="Arial" w:hAnsi="Arial" w:cs="Arial"/>
          <w:i/>
          <w:sz w:val="24"/>
          <w:szCs w:val="24"/>
        </w:rPr>
        <w:t xml:space="preserve">for </w:t>
      </w:r>
      <w:r w:rsidR="004A3E41">
        <w:rPr>
          <w:rFonts w:ascii="Arial" w:hAnsi="Arial" w:cs="Arial"/>
          <w:i/>
          <w:sz w:val="24"/>
          <w:szCs w:val="24"/>
        </w:rPr>
        <w:t xml:space="preserve">inclusion on </w:t>
      </w:r>
      <w:r w:rsidR="00F97F82" w:rsidRPr="0063750C">
        <w:rPr>
          <w:rFonts w:ascii="Arial" w:hAnsi="Arial" w:cs="Arial"/>
          <w:i/>
          <w:sz w:val="24"/>
          <w:szCs w:val="24"/>
        </w:rPr>
        <w:t>work programme:</w:t>
      </w:r>
      <w:r w:rsidR="00F97F82" w:rsidRPr="0063750C">
        <w:rPr>
          <w:rFonts w:ascii="Arial" w:hAnsi="Arial" w:cs="Arial"/>
          <w:sz w:val="24"/>
          <w:szCs w:val="24"/>
        </w:rPr>
        <w:t xml:space="preserve"> </w:t>
      </w:r>
      <w:r w:rsidRPr="003A03F9">
        <w:rPr>
          <w:rFonts w:ascii="Arial" w:hAnsi="Arial" w:cs="Arial"/>
          <w:sz w:val="24"/>
          <w:szCs w:val="24"/>
        </w:rPr>
        <w:t xml:space="preserve">The recommendation should be considered as a high priority for progression in the 2019/20 TPWP, or </w:t>
      </w:r>
      <w:proofErr w:type="gramStart"/>
      <w:r w:rsidRPr="003A03F9">
        <w:rPr>
          <w:rFonts w:ascii="Arial" w:hAnsi="Arial" w:cs="Arial"/>
          <w:sz w:val="24"/>
          <w:szCs w:val="24"/>
        </w:rPr>
        <w:t>other</w:t>
      </w:r>
      <w:proofErr w:type="gramEnd"/>
      <w:r w:rsidRPr="003A03F9">
        <w:rPr>
          <w:rFonts w:ascii="Arial" w:hAnsi="Arial" w:cs="Arial"/>
          <w:sz w:val="24"/>
          <w:szCs w:val="24"/>
        </w:rPr>
        <w:t xml:space="preserve"> agency work programme.</w:t>
      </w:r>
    </w:p>
    <w:p w14:paraId="409BBCA0" w14:textId="77777777" w:rsidR="00CA2D40" w:rsidRDefault="007D35C0" w:rsidP="00187A91">
      <w:pPr>
        <w:pStyle w:val="ListParagraph"/>
        <w:keepNext/>
        <w:numPr>
          <w:ilvl w:val="0"/>
          <w:numId w:val="1"/>
        </w:numPr>
        <w:spacing w:after="240" w:line="240" w:lineRule="auto"/>
        <w:ind w:left="709" w:hanging="709"/>
        <w:contextualSpacing w:val="0"/>
        <w:jc w:val="both"/>
        <w:rPr>
          <w:rFonts w:ascii="Arial" w:hAnsi="Arial" w:cs="Arial"/>
          <w:b/>
          <w:bCs/>
          <w:sz w:val="24"/>
          <w:szCs w:val="24"/>
        </w:rPr>
      </w:pPr>
      <w:r>
        <w:rPr>
          <w:rFonts w:ascii="Arial" w:hAnsi="Arial" w:cs="Arial"/>
          <w:sz w:val="24"/>
          <w:szCs w:val="24"/>
        </w:rPr>
        <w:t>A number of recommendations are proposed to be considered as part of the</w:t>
      </w:r>
      <w:r w:rsidR="007E0C29">
        <w:rPr>
          <w:rFonts w:ascii="Arial" w:hAnsi="Arial" w:cs="Arial"/>
          <w:sz w:val="24"/>
          <w:szCs w:val="24"/>
        </w:rPr>
        <w:t xml:space="preserve"> upcoming refresh of the 2019/20</w:t>
      </w:r>
      <w:r>
        <w:rPr>
          <w:rFonts w:ascii="Arial" w:hAnsi="Arial" w:cs="Arial"/>
          <w:sz w:val="24"/>
          <w:szCs w:val="24"/>
        </w:rPr>
        <w:t xml:space="preserve"> TPWP, or other agency work programme</w:t>
      </w:r>
      <w:r w:rsidR="00685BF5">
        <w:rPr>
          <w:rFonts w:ascii="Arial" w:hAnsi="Arial" w:cs="Arial"/>
          <w:sz w:val="24"/>
          <w:szCs w:val="24"/>
        </w:rPr>
        <w:t>s</w:t>
      </w:r>
      <w:r>
        <w:rPr>
          <w:rFonts w:ascii="Arial" w:hAnsi="Arial" w:cs="Arial"/>
          <w:sz w:val="24"/>
          <w:szCs w:val="24"/>
        </w:rPr>
        <w:t>. This is appropriate – as the Final Report notes, many of the TWG’s recommendations should be read as opportunities to improve the tax system, not detailed proposals, and should therefore be progressed through the TPWP and the Generic Tax Policy Process.</w:t>
      </w:r>
    </w:p>
    <w:p w14:paraId="31A014A7" w14:textId="77777777" w:rsidR="007D35C0" w:rsidRPr="00187A91" w:rsidRDefault="004A3E41" w:rsidP="00187A91">
      <w:pPr>
        <w:pStyle w:val="ListParagraph"/>
        <w:numPr>
          <w:ilvl w:val="0"/>
          <w:numId w:val="1"/>
        </w:numPr>
        <w:spacing w:after="240" w:line="240" w:lineRule="auto"/>
        <w:ind w:left="709" w:hanging="709"/>
        <w:contextualSpacing w:val="0"/>
        <w:jc w:val="both"/>
        <w:rPr>
          <w:b/>
          <w:bCs/>
        </w:rPr>
      </w:pPr>
      <w:r>
        <w:rPr>
          <w:rFonts w:ascii="Arial" w:hAnsi="Arial" w:cs="Arial"/>
          <w:sz w:val="24"/>
          <w:szCs w:val="24"/>
        </w:rPr>
        <w:t xml:space="preserve">We have identified a number of recommendations which should be given high priority for consideration in the upcoming refresh of the 2019/20 TPWP. The recommendations include measures to strengthen </w:t>
      </w:r>
      <w:r w:rsidR="00AC1480">
        <w:rPr>
          <w:rFonts w:ascii="Arial" w:hAnsi="Arial" w:cs="Arial"/>
          <w:sz w:val="24"/>
          <w:szCs w:val="24"/>
        </w:rPr>
        <w:t xml:space="preserve">the </w:t>
      </w:r>
      <w:r>
        <w:rPr>
          <w:rFonts w:ascii="Arial" w:hAnsi="Arial" w:cs="Arial"/>
          <w:sz w:val="24"/>
          <w:szCs w:val="24"/>
        </w:rPr>
        <w:t>integrity</w:t>
      </w:r>
      <w:r w:rsidR="00AC1480">
        <w:rPr>
          <w:rFonts w:ascii="Arial" w:hAnsi="Arial" w:cs="Arial"/>
          <w:sz w:val="24"/>
          <w:szCs w:val="24"/>
        </w:rPr>
        <w:t xml:space="preserve"> of the tax system</w:t>
      </w:r>
      <w:r>
        <w:rPr>
          <w:rFonts w:ascii="Arial" w:hAnsi="Arial" w:cs="Arial"/>
          <w:sz w:val="24"/>
          <w:szCs w:val="24"/>
        </w:rPr>
        <w:t xml:space="preserve"> and encourage investment into nationally-significant infrastructure projects. </w:t>
      </w:r>
      <w:r w:rsidR="007D35C0" w:rsidRPr="00187A91">
        <w:rPr>
          <w:rFonts w:ascii="Arial" w:hAnsi="Arial" w:cs="Arial"/>
          <w:sz w:val="24"/>
          <w:szCs w:val="24"/>
        </w:rPr>
        <w:t xml:space="preserve"> </w:t>
      </w:r>
    </w:p>
    <w:p w14:paraId="65450BEE" w14:textId="77777777" w:rsidR="000F1A80" w:rsidRDefault="000F1A80" w:rsidP="00187A91">
      <w:pPr>
        <w:keepNext/>
        <w:spacing w:after="240" w:line="240" w:lineRule="auto"/>
        <w:jc w:val="both"/>
        <w:rPr>
          <w:rFonts w:ascii="Arial" w:hAnsi="Arial" w:cs="Arial"/>
          <w:b/>
          <w:i/>
          <w:sz w:val="24"/>
          <w:szCs w:val="24"/>
        </w:rPr>
      </w:pPr>
      <w:r>
        <w:rPr>
          <w:rFonts w:ascii="Arial" w:hAnsi="Arial" w:cs="Arial"/>
          <w:b/>
          <w:i/>
          <w:sz w:val="24"/>
          <w:szCs w:val="24"/>
        </w:rPr>
        <w:t xml:space="preserve">Capital </w:t>
      </w:r>
      <w:r w:rsidR="004232F2">
        <w:rPr>
          <w:rFonts w:ascii="Arial" w:hAnsi="Arial" w:cs="Arial"/>
          <w:b/>
          <w:i/>
          <w:sz w:val="24"/>
          <w:szCs w:val="24"/>
        </w:rPr>
        <w:t xml:space="preserve">gains </w:t>
      </w:r>
      <w:r>
        <w:rPr>
          <w:rFonts w:ascii="Arial" w:hAnsi="Arial" w:cs="Arial"/>
          <w:b/>
          <w:i/>
          <w:sz w:val="24"/>
          <w:szCs w:val="24"/>
        </w:rPr>
        <w:t>taxation</w:t>
      </w:r>
    </w:p>
    <w:p w14:paraId="24E78B52" w14:textId="77777777" w:rsidR="00187A91" w:rsidRPr="00187A91" w:rsidRDefault="00187A91" w:rsidP="00187A91">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 xml:space="preserve">The majority of the </w:t>
      </w:r>
      <w:r w:rsidR="00130C73">
        <w:rPr>
          <w:rFonts w:ascii="Arial" w:hAnsi="Arial" w:cs="Arial"/>
          <w:sz w:val="24"/>
          <w:szCs w:val="24"/>
        </w:rPr>
        <w:t>TWG</w:t>
      </w:r>
      <w:r w:rsidRPr="00187A91">
        <w:rPr>
          <w:rFonts w:ascii="Arial" w:hAnsi="Arial" w:cs="Arial"/>
          <w:sz w:val="24"/>
          <w:szCs w:val="24"/>
        </w:rPr>
        <w:t xml:space="preserve"> (eight members) recommended </w:t>
      </w:r>
      <w:r w:rsidR="00877C6B">
        <w:rPr>
          <w:rFonts w:ascii="Arial" w:hAnsi="Arial" w:cs="Arial"/>
          <w:sz w:val="24"/>
          <w:szCs w:val="24"/>
        </w:rPr>
        <w:t>a broad extension to</w:t>
      </w:r>
      <w:r w:rsidRPr="00187A91">
        <w:rPr>
          <w:rFonts w:ascii="Arial" w:hAnsi="Arial" w:cs="Arial"/>
          <w:sz w:val="24"/>
          <w:szCs w:val="24"/>
        </w:rPr>
        <w:t xml:space="preserve"> the taxation of capital gains. </w:t>
      </w:r>
      <w:r w:rsidR="00742F4D">
        <w:rPr>
          <w:rFonts w:ascii="Arial" w:hAnsi="Arial" w:cs="Arial"/>
          <w:sz w:val="24"/>
          <w:szCs w:val="24"/>
        </w:rPr>
        <w:t>All members support an approach that</w:t>
      </w:r>
      <w:r w:rsidR="00677DC6">
        <w:rPr>
          <w:rFonts w:ascii="Arial" w:hAnsi="Arial" w:cs="Arial"/>
          <w:sz w:val="24"/>
          <w:szCs w:val="24"/>
        </w:rPr>
        <w:t xml:space="preserve"> tax</w:t>
      </w:r>
      <w:r w:rsidR="00861932">
        <w:rPr>
          <w:rFonts w:ascii="Arial" w:hAnsi="Arial" w:cs="Arial"/>
          <w:sz w:val="24"/>
          <w:szCs w:val="24"/>
        </w:rPr>
        <w:t>es</w:t>
      </w:r>
      <w:r w:rsidR="00677DC6">
        <w:rPr>
          <w:rFonts w:ascii="Arial" w:hAnsi="Arial" w:cs="Arial"/>
          <w:sz w:val="24"/>
          <w:szCs w:val="24"/>
        </w:rPr>
        <w:t xml:space="preserve"> gains from residential property</w:t>
      </w:r>
      <w:r w:rsidR="00742F4D">
        <w:rPr>
          <w:rFonts w:ascii="Arial" w:hAnsi="Arial" w:cs="Arial"/>
          <w:sz w:val="24"/>
          <w:szCs w:val="24"/>
        </w:rPr>
        <w:t>:</w:t>
      </w:r>
    </w:p>
    <w:p w14:paraId="61D884CE" w14:textId="77777777" w:rsidR="00187A91" w:rsidRPr="00187A91" w:rsidRDefault="00187A91" w:rsidP="000A4ECF">
      <w:pPr>
        <w:pStyle w:val="ListParagraph"/>
        <w:numPr>
          <w:ilvl w:val="1"/>
          <w:numId w:val="1"/>
        </w:numPr>
        <w:ind w:left="1418" w:hanging="709"/>
        <w:contextualSpacing w:val="0"/>
        <w:jc w:val="both"/>
        <w:rPr>
          <w:rFonts w:ascii="Arial" w:hAnsi="Arial" w:cs="Arial"/>
          <w:sz w:val="24"/>
          <w:szCs w:val="24"/>
        </w:rPr>
      </w:pPr>
      <w:r w:rsidRPr="00187A91">
        <w:rPr>
          <w:rFonts w:ascii="Arial" w:hAnsi="Arial" w:cs="Arial"/>
          <w:sz w:val="24"/>
          <w:szCs w:val="24"/>
        </w:rPr>
        <w:t>The majority recommendation involves a tax on capital gains at full marginal rates on a very broad range of assets. This includes gains from all types of land and improvements (except for the family home), as well as gains from shares, intangible assets, and business assets. Gains on personal assets (such as cars, boats or other household durables) would not be included</w:t>
      </w:r>
      <w:r w:rsidR="00D875C3">
        <w:rPr>
          <w:rFonts w:ascii="Arial" w:hAnsi="Arial" w:cs="Arial"/>
          <w:sz w:val="24"/>
          <w:szCs w:val="24"/>
        </w:rPr>
        <w:t xml:space="preserve">, on the basis that these types of personal assets </w:t>
      </w:r>
      <w:r w:rsidR="00BF2097">
        <w:rPr>
          <w:rFonts w:ascii="Arial" w:hAnsi="Arial" w:cs="Arial"/>
          <w:sz w:val="24"/>
          <w:szCs w:val="24"/>
        </w:rPr>
        <w:t>generally decline in value and the loss on sale represents the cost of private consumption</w:t>
      </w:r>
      <w:r w:rsidR="00742F4D">
        <w:rPr>
          <w:rFonts w:ascii="Arial" w:hAnsi="Arial" w:cs="Arial"/>
          <w:sz w:val="24"/>
          <w:szCs w:val="24"/>
        </w:rPr>
        <w:t>;</w:t>
      </w:r>
    </w:p>
    <w:p w14:paraId="4A6BBFA2" w14:textId="77777777" w:rsidR="00187A91" w:rsidRPr="00187A91" w:rsidRDefault="00187A91" w:rsidP="000A4ECF">
      <w:pPr>
        <w:pStyle w:val="ListParagraph"/>
        <w:numPr>
          <w:ilvl w:val="1"/>
          <w:numId w:val="1"/>
        </w:numPr>
        <w:ind w:left="1418" w:hanging="709"/>
        <w:contextualSpacing w:val="0"/>
        <w:jc w:val="both"/>
        <w:rPr>
          <w:rFonts w:ascii="Arial" w:hAnsi="Arial" w:cs="Arial"/>
          <w:sz w:val="24"/>
          <w:szCs w:val="24"/>
        </w:rPr>
      </w:pPr>
      <w:r w:rsidRPr="00187A91">
        <w:rPr>
          <w:rFonts w:ascii="Arial" w:hAnsi="Arial" w:cs="Arial"/>
          <w:sz w:val="24"/>
          <w:szCs w:val="24"/>
        </w:rPr>
        <w:t>The minority agreed that gains from residential</w:t>
      </w:r>
      <w:r w:rsidR="003D5363">
        <w:rPr>
          <w:rFonts w:ascii="Arial" w:hAnsi="Arial" w:cs="Arial"/>
          <w:sz w:val="24"/>
          <w:szCs w:val="24"/>
        </w:rPr>
        <w:t xml:space="preserve"> properties</w:t>
      </w:r>
      <w:r w:rsidRPr="00187A91">
        <w:rPr>
          <w:rFonts w:ascii="Arial" w:hAnsi="Arial" w:cs="Arial"/>
          <w:sz w:val="24"/>
          <w:szCs w:val="24"/>
        </w:rPr>
        <w:t xml:space="preserve"> should be taxed.</w:t>
      </w:r>
      <w:r w:rsidR="003D5363">
        <w:rPr>
          <w:rFonts w:ascii="Arial" w:hAnsi="Arial" w:cs="Arial"/>
          <w:sz w:val="24"/>
          <w:szCs w:val="24"/>
        </w:rPr>
        <w:t xml:space="preserve"> </w:t>
      </w:r>
      <w:r w:rsidR="00E108BA">
        <w:rPr>
          <w:rFonts w:ascii="Arial" w:hAnsi="Arial" w:cs="Arial"/>
          <w:sz w:val="24"/>
          <w:szCs w:val="24"/>
        </w:rPr>
        <w:t>(</w:t>
      </w:r>
      <w:r w:rsidR="00252D7A">
        <w:rPr>
          <w:rFonts w:ascii="Arial" w:hAnsi="Arial" w:cs="Arial"/>
          <w:sz w:val="24"/>
          <w:szCs w:val="24"/>
        </w:rPr>
        <w:t xml:space="preserve">One of the minority </w:t>
      </w:r>
      <w:r w:rsidR="00A937DC">
        <w:rPr>
          <w:rFonts w:ascii="Arial" w:hAnsi="Arial" w:cs="Arial"/>
          <w:sz w:val="24"/>
          <w:szCs w:val="24"/>
        </w:rPr>
        <w:t>would not tax gains from holiday homes or second homes</w:t>
      </w:r>
      <w:r w:rsidR="003D5363">
        <w:rPr>
          <w:rFonts w:ascii="Arial" w:hAnsi="Arial" w:cs="Arial"/>
          <w:sz w:val="24"/>
          <w:szCs w:val="24"/>
        </w:rPr>
        <w:t>.</w:t>
      </w:r>
      <w:r w:rsidR="00E108BA">
        <w:rPr>
          <w:rFonts w:ascii="Arial" w:hAnsi="Arial" w:cs="Arial"/>
          <w:sz w:val="24"/>
          <w:szCs w:val="24"/>
        </w:rPr>
        <w:t>)</w:t>
      </w:r>
    </w:p>
    <w:p w14:paraId="22A379CD" w14:textId="77777777" w:rsidR="00187A91" w:rsidRPr="00187A91" w:rsidRDefault="00187A91" w:rsidP="00187A91">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 xml:space="preserve">The key benefits of broad capital gains </w:t>
      </w:r>
      <w:r w:rsidR="001946C9">
        <w:rPr>
          <w:rFonts w:ascii="Arial" w:hAnsi="Arial" w:cs="Arial"/>
          <w:sz w:val="24"/>
          <w:szCs w:val="24"/>
        </w:rPr>
        <w:t>taxation identified by the TWG</w:t>
      </w:r>
      <w:r w:rsidRPr="00187A91">
        <w:rPr>
          <w:rFonts w:ascii="Arial" w:hAnsi="Arial" w:cs="Arial"/>
          <w:sz w:val="24"/>
          <w:szCs w:val="24"/>
        </w:rPr>
        <w:t xml:space="preserve"> are:</w:t>
      </w:r>
    </w:p>
    <w:p w14:paraId="7484800A" w14:textId="77777777" w:rsidR="00187A91" w:rsidRPr="007C5CDD" w:rsidRDefault="00187A91" w:rsidP="00187A91">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Improvements to</w:t>
      </w:r>
      <w:r w:rsidRPr="007C5CDD">
        <w:rPr>
          <w:rFonts w:ascii="Arial" w:hAnsi="Arial" w:cs="Arial"/>
          <w:sz w:val="24"/>
          <w:szCs w:val="24"/>
        </w:rPr>
        <w:t xml:space="preserve"> the fairness and pr</w:t>
      </w:r>
      <w:r>
        <w:rPr>
          <w:rFonts w:ascii="Arial" w:hAnsi="Arial" w:cs="Arial"/>
          <w:sz w:val="24"/>
          <w:szCs w:val="24"/>
        </w:rPr>
        <w:t xml:space="preserve">ogressivity of the tax system. </w:t>
      </w:r>
      <w:r w:rsidRPr="007C5CDD">
        <w:rPr>
          <w:rFonts w:ascii="Arial" w:hAnsi="Arial" w:cs="Arial"/>
          <w:sz w:val="24"/>
          <w:szCs w:val="24"/>
        </w:rPr>
        <w:t xml:space="preserve">The tax </w:t>
      </w:r>
      <w:r>
        <w:rPr>
          <w:rFonts w:ascii="Arial" w:hAnsi="Arial" w:cs="Arial"/>
          <w:sz w:val="24"/>
          <w:szCs w:val="24"/>
        </w:rPr>
        <w:t>would enhance</w:t>
      </w:r>
      <w:r w:rsidRPr="007C5CDD">
        <w:rPr>
          <w:rFonts w:ascii="Arial" w:hAnsi="Arial" w:cs="Arial"/>
          <w:sz w:val="24"/>
          <w:szCs w:val="24"/>
        </w:rPr>
        <w:t xml:space="preserve"> </w:t>
      </w:r>
      <w:r>
        <w:rPr>
          <w:rFonts w:ascii="Arial" w:hAnsi="Arial" w:cs="Arial"/>
          <w:sz w:val="24"/>
          <w:szCs w:val="24"/>
        </w:rPr>
        <w:t>fairness</w:t>
      </w:r>
      <w:r w:rsidRPr="007C5CDD">
        <w:rPr>
          <w:rFonts w:ascii="Arial" w:hAnsi="Arial" w:cs="Arial"/>
          <w:sz w:val="24"/>
          <w:szCs w:val="24"/>
        </w:rPr>
        <w:t xml:space="preserve"> by taxing different sources of income more equally</w:t>
      </w:r>
      <w:r>
        <w:rPr>
          <w:rFonts w:ascii="Arial" w:hAnsi="Arial" w:cs="Arial"/>
          <w:sz w:val="24"/>
          <w:szCs w:val="24"/>
        </w:rPr>
        <w:t>.</w:t>
      </w:r>
      <w:r w:rsidRPr="007C5CDD">
        <w:rPr>
          <w:rFonts w:ascii="Arial" w:hAnsi="Arial" w:cs="Arial"/>
          <w:sz w:val="24"/>
          <w:szCs w:val="24"/>
        </w:rPr>
        <w:t xml:space="preserve"> </w:t>
      </w:r>
      <w:r>
        <w:rPr>
          <w:rFonts w:ascii="Arial" w:hAnsi="Arial" w:cs="Arial"/>
          <w:sz w:val="24"/>
          <w:szCs w:val="24"/>
        </w:rPr>
        <w:t>It would</w:t>
      </w:r>
      <w:r w:rsidRPr="007C5CDD">
        <w:rPr>
          <w:rFonts w:ascii="Arial" w:hAnsi="Arial" w:cs="Arial"/>
          <w:sz w:val="24"/>
          <w:szCs w:val="24"/>
        </w:rPr>
        <w:t xml:space="preserve"> increase </w:t>
      </w:r>
      <w:r>
        <w:rPr>
          <w:rFonts w:ascii="Arial" w:hAnsi="Arial" w:cs="Arial"/>
          <w:sz w:val="24"/>
          <w:szCs w:val="24"/>
        </w:rPr>
        <w:t xml:space="preserve">the </w:t>
      </w:r>
      <w:r w:rsidRPr="007C5CDD">
        <w:rPr>
          <w:rFonts w:ascii="Arial" w:hAnsi="Arial" w:cs="Arial"/>
          <w:sz w:val="24"/>
          <w:szCs w:val="24"/>
        </w:rPr>
        <w:t>progressivity</w:t>
      </w:r>
      <w:r>
        <w:rPr>
          <w:rFonts w:ascii="Arial" w:hAnsi="Arial" w:cs="Arial"/>
          <w:sz w:val="24"/>
          <w:szCs w:val="24"/>
        </w:rPr>
        <w:t xml:space="preserve"> of the tax system</w:t>
      </w:r>
      <w:r w:rsidRPr="007C5CDD">
        <w:rPr>
          <w:rFonts w:ascii="Arial" w:hAnsi="Arial" w:cs="Arial"/>
          <w:sz w:val="24"/>
          <w:szCs w:val="24"/>
        </w:rPr>
        <w:t xml:space="preserve"> because </w:t>
      </w:r>
      <w:r>
        <w:rPr>
          <w:rFonts w:ascii="Arial" w:hAnsi="Arial" w:cs="Arial"/>
          <w:sz w:val="24"/>
          <w:szCs w:val="24"/>
        </w:rPr>
        <w:t xml:space="preserve">capital </w:t>
      </w:r>
      <w:r w:rsidRPr="007C5CDD">
        <w:rPr>
          <w:rFonts w:ascii="Arial" w:hAnsi="Arial" w:cs="Arial"/>
          <w:sz w:val="24"/>
          <w:szCs w:val="24"/>
        </w:rPr>
        <w:t xml:space="preserve">gains are earned predominantly by the </w:t>
      </w:r>
      <w:r w:rsidR="00D13C1E">
        <w:rPr>
          <w:rFonts w:ascii="Arial" w:hAnsi="Arial" w:cs="Arial"/>
          <w:sz w:val="24"/>
          <w:szCs w:val="24"/>
        </w:rPr>
        <w:t>wealthiest households</w:t>
      </w:r>
      <w:r w:rsidRPr="007C5CDD">
        <w:rPr>
          <w:rFonts w:ascii="Arial" w:hAnsi="Arial" w:cs="Arial"/>
          <w:sz w:val="24"/>
          <w:szCs w:val="24"/>
        </w:rPr>
        <w:t>;</w:t>
      </w:r>
    </w:p>
    <w:p w14:paraId="1A310648"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Greater integrity and revenue sustainability.</w:t>
      </w:r>
      <w:r w:rsidRPr="00132FF4">
        <w:rPr>
          <w:rFonts w:ascii="Arial" w:hAnsi="Arial" w:cs="Arial"/>
          <w:sz w:val="24"/>
          <w:szCs w:val="24"/>
        </w:rPr>
        <w:t xml:space="preserve"> </w:t>
      </w:r>
      <w:r w:rsidR="00366519">
        <w:rPr>
          <w:rFonts w:ascii="Arial" w:hAnsi="Arial" w:cs="Arial"/>
          <w:sz w:val="24"/>
          <w:szCs w:val="24"/>
        </w:rPr>
        <w:t>Without taxing</w:t>
      </w:r>
      <w:r>
        <w:rPr>
          <w:rFonts w:ascii="Arial" w:hAnsi="Arial" w:cs="Arial"/>
          <w:sz w:val="24"/>
          <w:szCs w:val="24"/>
        </w:rPr>
        <w:t xml:space="preserve"> capital gains, i</w:t>
      </w:r>
      <w:r w:rsidRPr="00132FF4">
        <w:rPr>
          <w:rFonts w:ascii="Arial" w:hAnsi="Arial" w:cs="Arial"/>
          <w:sz w:val="24"/>
          <w:szCs w:val="24"/>
        </w:rPr>
        <w:t xml:space="preserve">t is difficult to protect </w:t>
      </w:r>
      <w:r>
        <w:rPr>
          <w:rFonts w:ascii="Arial" w:hAnsi="Arial" w:cs="Arial"/>
          <w:sz w:val="24"/>
          <w:szCs w:val="24"/>
        </w:rPr>
        <w:t xml:space="preserve">the </w:t>
      </w:r>
      <w:r w:rsidRPr="00132FF4">
        <w:rPr>
          <w:rFonts w:ascii="Arial" w:hAnsi="Arial" w:cs="Arial"/>
          <w:sz w:val="24"/>
          <w:szCs w:val="24"/>
        </w:rPr>
        <w:t xml:space="preserve">integrity </w:t>
      </w:r>
      <w:r>
        <w:rPr>
          <w:rFonts w:ascii="Arial" w:hAnsi="Arial" w:cs="Arial"/>
          <w:sz w:val="24"/>
          <w:szCs w:val="24"/>
        </w:rPr>
        <w:t xml:space="preserve">of the tax system </w:t>
      </w:r>
      <w:r w:rsidRPr="00132FF4">
        <w:rPr>
          <w:rFonts w:ascii="Arial" w:hAnsi="Arial" w:cs="Arial"/>
          <w:sz w:val="24"/>
          <w:szCs w:val="24"/>
        </w:rPr>
        <w:t xml:space="preserve">if there is a </w:t>
      </w:r>
      <w:r>
        <w:rPr>
          <w:rFonts w:ascii="Arial" w:hAnsi="Arial" w:cs="Arial"/>
          <w:sz w:val="24"/>
          <w:szCs w:val="24"/>
        </w:rPr>
        <w:t>large</w:t>
      </w:r>
      <w:r w:rsidRPr="00132FF4">
        <w:rPr>
          <w:rFonts w:ascii="Arial" w:hAnsi="Arial" w:cs="Arial"/>
          <w:sz w:val="24"/>
          <w:szCs w:val="24"/>
        </w:rPr>
        <w:t xml:space="preserve"> gap between the company tax rate and the top personal rate;</w:t>
      </w:r>
    </w:p>
    <w:p w14:paraId="65CABB5D"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Greater</w:t>
      </w:r>
      <w:r w:rsidRPr="00132FF4">
        <w:rPr>
          <w:rFonts w:ascii="Arial" w:hAnsi="Arial" w:cs="Arial"/>
          <w:sz w:val="24"/>
          <w:szCs w:val="24"/>
        </w:rPr>
        <w:t xml:space="preserve"> neutrali</w:t>
      </w:r>
      <w:r>
        <w:rPr>
          <w:rFonts w:ascii="Arial" w:hAnsi="Arial" w:cs="Arial"/>
          <w:sz w:val="24"/>
          <w:szCs w:val="24"/>
        </w:rPr>
        <w:t>ty in the treatment of investment decisions; and</w:t>
      </w:r>
    </w:p>
    <w:p w14:paraId="2D82DC5E"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sidRPr="00132FF4">
        <w:rPr>
          <w:rFonts w:ascii="Arial" w:hAnsi="Arial" w:cs="Arial"/>
          <w:sz w:val="24"/>
          <w:szCs w:val="24"/>
        </w:rPr>
        <w:t>A</w:t>
      </w:r>
      <w:r>
        <w:rPr>
          <w:rFonts w:ascii="Arial" w:hAnsi="Arial" w:cs="Arial"/>
          <w:sz w:val="24"/>
          <w:szCs w:val="24"/>
        </w:rPr>
        <w:t>n additional</w:t>
      </w:r>
      <w:r w:rsidRPr="00132FF4">
        <w:rPr>
          <w:rFonts w:ascii="Arial" w:hAnsi="Arial" w:cs="Arial"/>
          <w:sz w:val="24"/>
          <w:szCs w:val="24"/>
        </w:rPr>
        <w:t xml:space="preserve"> source of revenue to f</w:t>
      </w:r>
      <w:r>
        <w:rPr>
          <w:rFonts w:ascii="Arial" w:hAnsi="Arial" w:cs="Arial"/>
          <w:sz w:val="24"/>
          <w:szCs w:val="24"/>
        </w:rPr>
        <w:t>und</w:t>
      </w:r>
      <w:r w:rsidRPr="00132FF4">
        <w:rPr>
          <w:rFonts w:ascii="Arial" w:hAnsi="Arial" w:cs="Arial"/>
          <w:sz w:val="24"/>
          <w:szCs w:val="24"/>
        </w:rPr>
        <w:t xml:space="preserve"> measures that promote Government priorities.</w:t>
      </w:r>
    </w:p>
    <w:p w14:paraId="104CC61D" w14:textId="77777777" w:rsidR="00187A91" w:rsidRPr="00187A91" w:rsidRDefault="00187A91" w:rsidP="00187A91">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The key costs identified were:</w:t>
      </w:r>
    </w:p>
    <w:p w14:paraId="6C58F058"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sidRPr="00132FF4">
        <w:rPr>
          <w:rFonts w:ascii="Arial" w:hAnsi="Arial" w:cs="Arial"/>
          <w:sz w:val="24"/>
          <w:szCs w:val="24"/>
        </w:rPr>
        <w:t>Higher taxes on savings and investment;</w:t>
      </w:r>
    </w:p>
    <w:p w14:paraId="2B094772"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sidRPr="00132FF4">
        <w:rPr>
          <w:rFonts w:ascii="Arial" w:hAnsi="Arial" w:cs="Arial"/>
          <w:sz w:val="24"/>
          <w:szCs w:val="24"/>
        </w:rPr>
        <w:t xml:space="preserve">Distortionary costs associated with taxing on a realisation basis </w:t>
      </w:r>
      <w:r>
        <w:rPr>
          <w:rFonts w:ascii="Arial" w:hAnsi="Arial" w:cs="Arial"/>
          <w:sz w:val="24"/>
          <w:szCs w:val="24"/>
        </w:rPr>
        <w:t>(</w:t>
      </w:r>
      <w:r w:rsidRPr="00132FF4">
        <w:rPr>
          <w:rFonts w:ascii="Arial" w:hAnsi="Arial" w:cs="Arial"/>
          <w:sz w:val="24"/>
          <w:szCs w:val="24"/>
        </w:rPr>
        <w:t xml:space="preserve">especially </w:t>
      </w:r>
      <w:r>
        <w:rPr>
          <w:rFonts w:ascii="Arial" w:hAnsi="Arial" w:cs="Arial"/>
          <w:sz w:val="24"/>
          <w:szCs w:val="24"/>
        </w:rPr>
        <w:t>‘</w:t>
      </w:r>
      <w:r w:rsidRPr="00132FF4">
        <w:rPr>
          <w:rFonts w:ascii="Arial" w:hAnsi="Arial" w:cs="Arial"/>
          <w:sz w:val="24"/>
          <w:szCs w:val="24"/>
        </w:rPr>
        <w:t>lock-in</w:t>
      </w:r>
      <w:r>
        <w:rPr>
          <w:rFonts w:ascii="Arial" w:hAnsi="Arial" w:cs="Arial"/>
          <w:sz w:val="24"/>
          <w:szCs w:val="24"/>
        </w:rPr>
        <w:t>,’ which occurs when asset-holders defer the sale or disposal of assets to avoid the realisation of their tax obligations); and</w:t>
      </w:r>
    </w:p>
    <w:p w14:paraId="1E06B469"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sidRPr="00132FF4">
        <w:rPr>
          <w:rFonts w:ascii="Arial" w:hAnsi="Arial" w:cs="Arial"/>
          <w:sz w:val="24"/>
          <w:szCs w:val="24"/>
        </w:rPr>
        <w:t>Complexity and administration and compliance costs.</w:t>
      </w:r>
    </w:p>
    <w:p w14:paraId="0243EB60" w14:textId="77777777" w:rsidR="00187A91" w:rsidRPr="00187A91" w:rsidRDefault="00187A91" w:rsidP="00187A91">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 xml:space="preserve">In comparison, the minority recommendation </w:t>
      </w:r>
      <w:r w:rsidR="005A175F">
        <w:rPr>
          <w:rFonts w:ascii="Arial" w:hAnsi="Arial" w:cs="Arial"/>
          <w:sz w:val="24"/>
          <w:szCs w:val="24"/>
        </w:rPr>
        <w:t xml:space="preserve">to tax gains from residential property only </w:t>
      </w:r>
      <w:r w:rsidRPr="00187A91">
        <w:rPr>
          <w:rFonts w:ascii="Arial" w:hAnsi="Arial" w:cs="Arial"/>
          <w:sz w:val="24"/>
          <w:szCs w:val="24"/>
        </w:rPr>
        <w:t>would have a more limited effect. It would:</w:t>
      </w:r>
    </w:p>
    <w:p w14:paraId="02A98371"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sidRPr="00132FF4">
        <w:rPr>
          <w:rFonts w:ascii="Arial" w:hAnsi="Arial" w:cs="Arial"/>
          <w:sz w:val="24"/>
          <w:szCs w:val="24"/>
        </w:rPr>
        <w:t>Improve</w:t>
      </w:r>
      <w:r w:rsidR="005A175F">
        <w:rPr>
          <w:rFonts w:ascii="Arial" w:hAnsi="Arial" w:cs="Arial"/>
          <w:sz w:val="24"/>
          <w:szCs w:val="24"/>
        </w:rPr>
        <w:t xml:space="preserve"> the</w:t>
      </w:r>
      <w:r w:rsidRPr="00132FF4">
        <w:rPr>
          <w:rFonts w:ascii="Arial" w:hAnsi="Arial" w:cs="Arial"/>
          <w:sz w:val="24"/>
          <w:szCs w:val="24"/>
        </w:rPr>
        <w:t xml:space="preserve"> fairness</w:t>
      </w:r>
      <w:r>
        <w:rPr>
          <w:rFonts w:ascii="Arial" w:hAnsi="Arial" w:cs="Arial"/>
          <w:sz w:val="24"/>
          <w:szCs w:val="24"/>
        </w:rPr>
        <w:t xml:space="preserve"> and progressivity</w:t>
      </w:r>
      <w:r w:rsidR="005A175F">
        <w:rPr>
          <w:rFonts w:ascii="Arial" w:hAnsi="Arial" w:cs="Arial"/>
          <w:sz w:val="24"/>
          <w:szCs w:val="24"/>
        </w:rPr>
        <w:t xml:space="preserve"> of the tax system</w:t>
      </w:r>
      <w:r w:rsidRPr="00132FF4">
        <w:rPr>
          <w:rFonts w:ascii="Arial" w:hAnsi="Arial" w:cs="Arial"/>
          <w:sz w:val="24"/>
          <w:szCs w:val="24"/>
        </w:rPr>
        <w:t>;</w:t>
      </w:r>
    </w:p>
    <w:p w14:paraId="3C24370F"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L</w:t>
      </w:r>
      <w:r w:rsidRPr="00132FF4">
        <w:rPr>
          <w:rFonts w:ascii="Arial" w:hAnsi="Arial" w:cs="Arial"/>
          <w:sz w:val="24"/>
          <w:szCs w:val="24"/>
        </w:rPr>
        <w:t xml:space="preserve">eave most of the economy unaffected, so </w:t>
      </w:r>
      <w:r>
        <w:rPr>
          <w:rFonts w:ascii="Arial" w:hAnsi="Arial" w:cs="Arial"/>
          <w:sz w:val="24"/>
          <w:szCs w:val="24"/>
        </w:rPr>
        <w:t xml:space="preserve">there </w:t>
      </w:r>
      <w:r w:rsidRPr="00132FF4">
        <w:rPr>
          <w:rFonts w:ascii="Arial" w:hAnsi="Arial" w:cs="Arial"/>
          <w:sz w:val="24"/>
          <w:szCs w:val="24"/>
        </w:rPr>
        <w:t>would</w:t>
      </w:r>
      <w:r>
        <w:rPr>
          <w:rFonts w:ascii="Arial" w:hAnsi="Arial" w:cs="Arial"/>
          <w:sz w:val="24"/>
          <w:szCs w:val="24"/>
        </w:rPr>
        <w:t xml:space="preserve"> be smaller</w:t>
      </w:r>
      <w:r w:rsidRPr="00132FF4">
        <w:rPr>
          <w:rFonts w:ascii="Arial" w:hAnsi="Arial" w:cs="Arial"/>
          <w:sz w:val="24"/>
          <w:szCs w:val="24"/>
        </w:rPr>
        <w:t xml:space="preserve"> </w:t>
      </w:r>
      <w:r>
        <w:rPr>
          <w:rFonts w:ascii="Arial" w:hAnsi="Arial" w:cs="Arial"/>
          <w:sz w:val="24"/>
          <w:szCs w:val="24"/>
        </w:rPr>
        <w:t xml:space="preserve">aggregate </w:t>
      </w:r>
      <w:r w:rsidRPr="00132FF4">
        <w:rPr>
          <w:rFonts w:ascii="Arial" w:hAnsi="Arial" w:cs="Arial"/>
          <w:sz w:val="24"/>
          <w:szCs w:val="24"/>
        </w:rPr>
        <w:t>impact</w:t>
      </w:r>
      <w:r>
        <w:rPr>
          <w:rFonts w:ascii="Arial" w:hAnsi="Arial" w:cs="Arial"/>
          <w:sz w:val="24"/>
          <w:szCs w:val="24"/>
        </w:rPr>
        <w:t>s (positive and negative)</w:t>
      </w:r>
      <w:r w:rsidRPr="00132FF4">
        <w:rPr>
          <w:rFonts w:ascii="Arial" w:hAnsi="Arial" w:cs="Arial"/>
          <w:sz w:val="24"/>
          <w:szCs w:val="24"/>
        </w:rPr>
        <w:t xml:space="preserve"> on efficiency and productivity;</w:t>
      </w:r>
      <w:r>
        <w:rPr>
          <w:rFonts w:ascii="Arial" w:hAnsi="Arial" w:cs="Arial"/>
          <w:sz w:val="24"/>
          <w:szCs w:val="24"/>
        </w:rPr>
        <w:t xml:space="preserve"> and</w:t>
      </w:r>
    </w:p>
    <w:p w14:paraId="5460FCFB" w14:textId="77777777" w:rsidR="00187A91" w:rsidRPr="00132FF4" w:rsidRDefault="00187A91" w:rsidP="00187A91">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B</w:t>
      </w:r>
      <w:r w:rsidRPr="00132FF4">
        <w:rPr>
          <w:rFonts w:ascii="Arial" w:hAnsi="Arial" w:cs="Arial"/>
          <w:sz w:val="24"/>
          <w:szCs w:val="24"/>
        </w:rPr>
        <w:t>e substantially less complex than</w:t>
      </w:r>
      <w:r>
        <w:rPr>
          <w:rFonts w:ascii="Arial" w:hAnsi="Arial" w:cs="Arial"/>
          <w:sz w:val="24"/>
          <w:szCs w:val="24"/>
        </w:rPr>
        <w:t xml:space="preserve"> </w:t>
      </w:r>
      <w:r w:rsidRPr="00132FF4">
        <w:rPr>
          <w:rFonts w:ascii="Arial" w:hAnsi="Arial" w:cs="Arial"/>
          <w:sz w:val="24"/>
          <w:szCs w:val="24"/>
        </w:rPr>
        <w:t>broad capital gains tax</w:t>
      </w:r>
      <w:r w:rsidR="005B7E4F">
        <w:rPr>
          <w:rFonts w:ascii="Arial" w:hAnsi="Arial" w:cs="Arial"/>
          <w:sz w:val="24"/>
          <w:szCs w:val="24"/>
        </w:rPr>
        <w:t>ation</w:t>
      </w:r>
      <w:r w:rsidRPr="00132FF4">
        <w:rPr>
          <w:rFonts w:ascii="Arial" w:hAnsi="Arial" w:cs="Arial"/>
          <w:sz w:val="24"/>
          <w:szCs w:val="24"/>
        </w:rPr>
        <w:t>.</w:t>
      </w:r>
    </w:p>
    <w:p w14:paraId="27D606C5" w14:textId="77777777" w:rsidR="00187A91" w:rsidRPr="00187A91" w:rsidRDefault="00E447A6" w:rsidP="00187A91">
      <w:pPr>
        <w:keepNext/>
        <w:spacing w:after="240" w:line="240" w:lineRule="auto"/>
        <w:jc w:val="both"/>
        <w:rPr>
          <w:rFonts w:ascii="Arial" w:hAnsi="Arial" w:cs="Arial"/>
          <w:i/>
          <w:sz w:val="24"/>
          <w:szCs w:val="24"/>
        </w:rPr>
      </w:pPr>
      <w:r>
        <w:rPr>
          <w:rFonts w:ascii="Arial" w:hAnsi="Arial" w:cs="Arial"/>
          <w:i/>
          <w:sz w:val="24"/>
          <w:szCs w:val="24"/>
        </w:rPr>
        <w:t>Government response</w:t>
      </w:r>
    </w:p>
    <w:p w14:paraId="58CE8862" w14:textId="05BD8BB5" w:rsidR="006E7529" w:rsidRDefault="00DD16CB" w:rsidP="0032648C">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 xml:space="preserve">We have carefully considered the recommendations made by the members of the </w:t>
      </w:r>
      <w:r>
        <w:rPr>
          <w:rFonts w:ascii="Arial" w:hAnsi="Arial" w:cs="Arial"/>
          <w:sz w:val="24"/>
          <w:szCs w:val="24"/>
        </w:rPr>
        <w:t>TWG</w:t>
      </w:r>
      <w:r w:rsidRPr="00187A91">
        <w:rPr>
          <w:rFonts w:ascii="Arial" w:hAnsi="Arial" w:cs="Arial"/>
          <w:sz w:val="24"/>
          <w:szCs w:val="24"/>
        </w:rPr>
        <w:t xml:space="preserve">. We note that the </w:t>
      </w:r>
      <w:r>
        <w:rPr>
          <w:rFonts w:ascii="Arial" w:hAnsi="Arial" w:cs="Arial"/>
          <w:sz w:val="24"/>
          <w:szCs w:val="24"/>
        </w:rPr>
        <w:t>TWG</w:t>
      </w:r>
      <w:r w:rsidRPr="00187A91">
        <w:rPr>
          <w:rFonts w:ascii="Arial" w:hAnsi="Arial" w:cs="Arial"/>
          <w:sz w:val="24"/>
          <w:szCs w:val="24"/>
        </w:rPr>
        <w:t xml:space="preserve"> did not achieve consensus on the merits of progressing broad capital gains tax</w:t>
      </w:r>
      <w:r>
        <w:rPr>
          <w:rFonts w:ascii="Arial" w:hAnsi="Arial" w:cs="Arial"/>
          <w:sz w:val="24"/>
          <w:szCs w:val="24"/>
        </w:rPr>
        <w:t>ation</w:t>
      </w:r>
      <w:r w:rsidRPr="00187A91">
        <w:rPr>
          <w:rFonts w:ascii="Arial" w:hAnsi="Arial" w:cs="Arial"/>
          <w:sz w:val="24"/>
          <w:szCs w:val="24"/>
        </w:rPr>
        <w:t xml:space="preserve">. </w:t>
      </w:r>
      <w:r>
        <w:rPr>
          <w:rFonts w:ascii="Arial" w:hAnsi="Arial" w:cs="Arial"/>
          <w:sz w:val="24"/>
          <w:szCs w:val="24"/>
        </w:rPr>
        <w:t xml:space="preserve">After extensive consultation with coalition partners, the Government has been unable to reach </w:t>
      </w:r>
      <w:r w:rsidR="00D75722">
        <w:rPr>
          <w:rFonts w:ascii="Arial" w:hAnsi="Arial" w:cs="Arial"/>
          <w:sz w:val="24"/>
          <w:szCs w:val="24"/>
        </w:rPr>
        <w:t>consensus</w:t>
      </w:r>
      <w:r>
        <w:rPr>
          <w:rFonts w:ascii="Arial" w:hAnsi="Arial" w:cs="Arial"/>
          <w:sz w:val="24"/>
          <w:szCs w:val="24"/>
        </w:rPr>
        <w:t xml:space="preserve"> on its response to the TWG’s recommendations on capital gains taxation.  </w:t>
      </w:r>
      <w:proofErr w:type="gramStart"/>
      <w:r>
        <w:rPr>
          <w:rFonts w:ascii="Arial" w:hAnsi="Arial" w:cs="Arial"/>
          <w:sz w:val="24"/>
          <w:szCs w:val="24"/>
        </w:rPr>
        <w:t>Consequently</w:t>
      </w:r>
      <w:proofErr w:type="gramEnd"/>
      <w:r>
        <w:rPr>
          <w:rFonts w:ascii="Arial" w:hAnsi="Arial" w:cs="Arial"/>
          <w:sz w:val="24"/>
          <w:szCs w:val="24"/>
        </w:rPr>
        <w:t xml:space="preserve"> the Government is not proposing to adopt any of the TWG’s recommendation</w:t>
      </w:r>
      <w:r w:rsidR="000010D7">
        <w:rPr>
          <w:rFonts w:ascii="Arial" w:hAnsi="Arial" w:cs="Arial"/>
          <w:sz w:val="24"/>
          <w:szCs w:val="24"/>
        </w:rPr>
        <w:t>s</w:t>
      </w:r>
      <w:r>
        <w:rPr>
          <w:rFonts w:ascii="Arial" w:hAnsi="Arial" w:cs="Arial"/>
          <w:sz w:val="24"/>
          <w:szCs w:val="24"/>
        </w:rPr>
        <w:t xml:space="preserve"> on capital gains taxation.  This means there will no changes to the taxation rules on taxing capital income as a result of </w:t>
      </w:r>
      <w:r w:rsidR="006E7529">
        <w:rPr>
          <w:rFonts w:ascii="Arial" w:hAnsi="Arial" w:cs="Arial"/>
          <w:sz w:val="24"/>
          <w:szCs w:val="24"/>
        </w:rPr>
        <w:t xml:space="preserve">the </w:t>
      </w:r>
      <w:r w:rsidR="00685208">
        <w:rPr>
          <w:rFonts w:ascii="Arial" w:hAnsi="Arial" w:cs="Arial"/>
          <w:sz w:val="24"/>
          <w:szCs w:val="24"/>
        </w:rPr>
        <w:t xml:space="preserve">capital gains taxation recommendations in the </w:t>
      </w:r>
      <w:r>
        <w:rPr>
          <w:rFonts w:ascii="Arial" w:hAnsi="Arial" w:cs="Arial"/>
          <w:sz w:val="24"/>
          <w:szCs w:val="24"/>
        </w:rPr>
        <w:t xml:space="preserve">TWG report and no further work is necessary. </w:t>
      </w:r>
    </w:p>
    <w:p w14:paraId="0653091F" w14:textId="53A54770" w:rsidR="001B3993" w:rsidRPr="0032648C" w:rsidRDefault="0096247D" w:rsidP="0032648C">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32648C">
        <w:rPr>
          <w:rFonts w:ascii="Arial" w:hAnsi="Arial" w:cs="Arial"/>
          <w:sz w:val="24"/>
          <w:szCs w:val="24"/>
        </w:rPr>
        <w:t>T</w:t>
      </w:r>
      <w:r w:rsidR="001B3993" w:rsidRPr="0032648C">
        <w:rPr>
          <w:rFonts w:ascii="Arial" w:hAnsi="Arial" w:cs="Arial"/>
          <w:sz w:val="24"/>
          <w:szCs w:val="24"/>
        </w:rPr>
        <w:t xml:space="preserve">he Government </w:t>
      </w:r>
      <w:bookmarkStart w:id="3" w:name="_Hlk5951684"/>
      <w:r w:rsidR="001B3993" w:rsidRPr="0032648C">
        <w:rPr>
          <w:rFonts w:ascii="Arial" w:hAnsi="Arial" w:cs="Arial"/>
          <w:sz w:val="24"/>
          <w:szCs w:val="24"/>
        </w:rPr>
        <w:t xml:space="preserve">intends to explore options for taxing vacant land </w:t>
      </w:r>
      <w:r w:rsidRPr="0032648C">
        <w:rPr>
          <w:rFonts w:ascii="Arial" w:hAnsi="Arial" w:cs="Arial"/>
          <w:sz w:val="24"/>
          <w:szCs w:val="24"/>
        </w:rPr>
        <w:t xml:space="preserve">(discussed separately below) </w:t>
      </w:r>
      <w:r w:rsidR="001B3993" w:rsidRPr="0032648C">
        <w:rPr>
          <w:rFonts w:ascii="Arial" w:hAnsi="Arial" w:cs="Arial"/>
          <w:sz w:val="24"/>
          <w:szCs w:val="24"/>
        </w:rPr>
        <w:t xml:space="preserve">and </w:t>
      </w:r>
      <w:r w:rsidRPr="0032648C">
        <w:rPr>
          <w:rFonts w:ascii="Arial" w:hAnsi="Arial" w:cs="Arial"/>
          <w:sz w:val="24"/>
          <w:szCs w:val="24"/>
        </w:rPr>
        <w:t xml:space="preserve">to </w:t>
      </w:r>
      <w:r w:rsidR="001B3993" w:rsidRPr="0032648C">
        <w:rPr>
          <w:rFonts w:ascii="Arial" w:hAnsi="Arial" w:cs="Arial"/>
          <w:sz w:val="24"/>
          <w:szCs w:val="24"/>
        </w:rPr>
        <w:t>seek a</w:t>
      </w:r>
      <w:r w:rsidR="007A330F" w:rsidRPr="0032648C">
        <w:rPr>
          <w:rFonts w:ascii="Arial" w:hAnsi="Arial" w:cs="Arial"/>
          <w:sz w:val="24"/>
          <w:szCs w:val="24"/>
        </w:rPr>
        <w:t xml:space="preserve"> </w:t>
      </w:r>
      <w:r w:rsidR="001B3993" w:rsidRPr="0032648C">
        <w:rPr>
          <w:rFonts w:ascii="Arial" w:hAnsi="Arial" w:cs="Arial"/>
          <w:sz w:val="24"/>
          <w:szCs w:val="24"/>
        </w:rPr>
        <w:t xml:space="preserve">review </w:t>
      </w:r>
      <w:r w:rsidR="007A330F" w:rsidRPr="0032648C">
        <w:rPr>
          <w:rFonts w:ascii="Arial" w:hAnsi="Arial" w:cs="Arial"/>
          <w:sz w:val="24"/>
          <w:szCs w:val="24"/>
        </w:rPr>
        <w:t xml:space="preserve">of </w:t>
      </w:r>
      <w:r w:rsidR="001B3993" w:rsidRPr="0032648C">
        <w:rPr>
          <w:rFonts w:ascii="Arial" w:hAnsi="Arial" w:cs="Arial"/>
          <w:sz w:val="24"/>
          <w:szCs w:val="24"/>
        </w:rPr>
        <w:t>the current rules for taxing land speculators</w:t>
      </w:r>
      <w:r w:rsidRPr="0032648C">
        <w:rPr>
          <w:rFonts w:ascii="Arial" w:hAnsi="Arial" w:cs="Arial"/>
          <w:sz w:val="24"/>
          <w:szCs w:val="24"/>
        </w:rPr>
        <w:t xml:space="preserve"> with a view to tightening these rules</w:t>
      </w:r>
      <w:r w:rsidR="001B3993" w:rsidRPr="0032648C">
        <w:rPr>
          <w:rFonts w:ascii="Arial" w:hAnsi="Arial" w:cs="Arial"/>
          <w:sz w:val="24"/>
          <w:szCs w:val="24"/>
        </w:rPr>
        <w:t xml:space="preserve">.  </w:t>
      </w:r>
      <w:bookmarkEnd w:id="3"/>
      <w:r w:rsidR="001B3993" w:rsidRPr="0032648C">
        <w:rPr>
          <w:rFonts w:ascii="Arial" w:hAnsi="Arial" w:cs="Arial"/>
          <w:sz w:val="24"/>
          <w:szCs w:val="24"/>
        </w:rPr>
        <w:t xml:space="preserve">We have asked that this be considered as a high priority for the TPWP. </w:t>
      </w:r>
    </w:p>
    <w:p w14:paraId="3A91A4DB" w14:textId="77777777" w:rsidR="00335BD7" w:rsidRPr="00D9036C" w:rsidRDefault="00335BD7" w:rsidP="00AD1F73">
      <w:pPr>
        <w:keepNext/>
        <w:spacing w:after="240" w:line="240" w:lineRule="auto"/>
        <w:jc w:val="both"/>
        <w:rPr>
          <w:rFonts w:ascii="Arial" w:hAnsi="Arial" w:cs="Arial"/>
          <w:b/>
          <w:i/>
          <w:sz w:val="24"/>
          <w:szCs w:val="24"/>
        </w:rPr>
      </w:pPr>
      <w:r w:rsidRPr="00D9036C">
        <w:rPr>
          <w:rFonts w:ascii="Arial" w:hAnsi="Arial" w:cs="Arial"/>
          <w:b/>
          <w:i/>
          <w:sz w:val="24"/>
          <w:szCs w:val="24"/>
        </w:rPr>
        <w:t>Environmental and ecological outcomes</w:t>
      </w:r>
    </w:p>
    <w:p w14:paraId="006E410D" w14:textId="77777777" w:rsidR="00335BD7" w:rsidRPr="0063750C" w:rsidRDefault="00335BD7" w:rsidP="004C0FEE">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considered there is significant scope for the tax system to play a greater role in sustaining and enhancing New Zealand's natural capital – alongside re</w:t>
      </w:r>
      <w:r w:rsidR="004C0FEE">
        <w:rPr>
          <w:rFonts w:ascii="Arial" w:hAnsi="Arial" w:cs="Arial"/>
          <w:sz w:val="24"/>
          <w:szCs w:val="24"/>
        </w:rPr>
        <w:t>gulation and spending measures.</w:t>
      </w:r>
    </w:p>
    <w:p w14:paraId="20C23AE2" w14:textId="77777777" w:rsidR="00335BD7" w:rsidRPr="00335BD7" w:rsidRDefault="00335BD7" w:rsidP="004C0FEE">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As an initial step, the TWG developed a framework for deciding when to apply taxes to address negative environmental externalities, and recommended the Government build its environmental tax capabilities.</w:t>
      </w:r>
    </w:p>
    <w:p w14:paraId="5659BB8E" w14:textId="77777777" w:rsidR="00335BD7" w:rsidRPr="00D9036C" w:rsidRDefault="009528B9" w:rsidP="00080F7E">
      <w:pPr>
        <w:keepNext/>
        <w:spacing w:after="240" w:line="240" w:lineRule="auto"/>
        <w:jc w:val="both"/>
        <w:rPr>
          <w:rFonts w:ascii="Arial" w:hAnsi="Arial" w:cs="Arial"/>
          <w:i/>
          <w:sz w:val="24"/>
          <w:szCs w:val="24"/>
        </w:rPr>
      </w:pPr>
      <w:r>
        <w:rPr>
          <w:rFonts w:ascii="Arial" w:hAnsi="Arial" w:cs="Arial"/>
          <w:i/>
          <w:sz w:val="24"/>
          <w:szCs w:val="24"/>
        </w:rPr>
        <w:t>Government response</w:t>
      </w:r>
    </w:p>
    <w:p w14:paraId="4B7D188E" w14:textId="77777777" w:rsidR="00F129D0" w:rsidRDefault="009A6A5F"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477C79">
        <w:rPr>
          <w:rFonts w:ascii="Arial" w:hAnsi="Arial" w:cs="Arial"/>
          <w:sz w:val="24"/>
          <w:szCs w:val="24"/>
        </w:rPr>
        <w:t xml:space="preserve"> welcome the TWG’s </w:t>
      </w:r>
      <w:r w:rsidR="00AA3AD3">
        <w:rPr>
          <w:rFonts w:ascii="Arial" w:hAnsi="Arial" w:cs="Arial"/>
          <w:sz w:val="24"/>
          <w:szCs w:val="24"/>
        </w:rPr>
        <w:t xml:space="preserve">work </w:t>
      </w:r>
      <w:r w:rsidR="00477C79">
        <w:rPr>
          <w:rFonts w:ascii="Arial" w:hAnsi="Arial" w:cs="Arial"/>
          <w:sz w:val="24"/>
          <w:szCs w:val="24"/>
        </w:rPr>
        <w:t>on the environment. Tax instruments can be an effective and efficient tool for addre</w:t>
      </w:r>
      <w:r w:rsidR="00F129D0">
        <w:rPr>
          <w:rFonts w:ascii="Arial" w:hAnsi="Arial" w:cs="Arial"/>
          <w:sz w:val="24"/>
          <w:szCs w:val="24"/>
        </w:rPr>
        <w:t xml:space="preserve">ssing environmental challenges. </w:t>
      </w:r>
    </w:p>
    <w:p w14:paraId="1923D934" w14:textId="77777777" w:rsidR="009C1A98" w:rsidRPr="00D60935" w:rsidRDefault="00F129D0" w:rsidP="00D60935">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As the TWG notes, environmental tax should not be considered in isolation </w:t>
      </w:r>
      <w:r w:rsidR="00C46970">
        <w:rPr>
          <w:rFonts w:ascii="Arial" w:hAnsi="Arial" w:cs="Arial"/>
          <w:sz w:val="24"/>
          <w:szCs w:val="24"/>
        </w:rPr>
        <w:t>from</w:t>
      </w:r>
      <w:r>
        <w:rPr>
          <w:rFonts w:ascii="Arial" w:hAnsi="Arial" w:cs="Arial"/>
          <w:sz w:val="24"/>
          <w:szCs w:val="24"/>
        </w:rPr>
        <w:t xml:space="preserve"> other environmental regulatory measures. T</w:t>
      </w:r>
      <w:r w:rsidR="00477C79">
        <w:rPr>
          <w:rFonts w:ascii="Arial" w:hAnsi="Arial" w:cs="Arial"/>
          <w:sz w:val="24"/>
          <w:szCs w:val="24"/>
        </w:rPr>
        <w:t>h</w:t>
      </w:r>
      <w:r w:rsidR="00521771">
        <w:rPr>
          <w:rFonts w:ascii="Arial" w:hAnsi="Arial" w:cs="Arial"/>
          <w:sz w:val="24"/>
          <w:szCs w:val="24"/>
        </w:rPr>
        <w:t>e</w:t>
      </w:r>
      <w:r w:rsidR="00477C79">
        <w:rPr>
          <w:rFonts w:ascii="Arial" w:hAnsi="Arial" w:cs="Arial"/>
          <w:sz w:val="24"/>
          <w:szCs w:val="24"/>
        </w:rPr>
        <w:t xml:space="preserve"> </w:t>
      </w:r>
      <w:r w:rsidR="00477C79" w:rsidRPr="00477C79">
        <w:rPr>
          <w:rFonts w:ascii="Arial" w:hAnsi="Arial" w:cs="Arial"/>
          <w:sz w:val="24"/>
          <w:szCs w:val="24"/>
        </w:rPr>
        <w:t xml:space="preserve">Government is progressing </w:t>
      </w:r>
      <w:r w:rsidR="007E1200">
        <w:rPr>
          <w:rFonts w:ascii="Arial" w:hAnsi="Arial" w:cs="Arial"/>
          <w:sz w:val="24"/>
          <w:szCs w:val="24"/>
        </w:rPr>
        <w:t>several</w:t>
      </w:r>
      <w:r w:rsidR="00477C79" w:rsidRPr="00477C79">
        <w:rPr>
          <w:rFonts w:ascii="Arial" w:hAnsi="Arial" w:cs="Arial"/>
          <w:sz w:val="24"/>
          <w:szCs w:val="24"/>
        </w:rPr>
        <w:t xml:space="preserve"> initiatives </w:t>
      </w:r>
      <w:r w:rsidR="00477C79">
        <w:rPr>
          <w:rFonts w:ascii="Arial" w:hAnsi="Arial" w:cs="Arial"/>
          <w:sz w:val="24"/>
          <w:szCs w:val="24"/>
        </w:rPr>
        <w:t xml:space="preserve">to ensure </w:t>
      </w:r>
      <w:r>
        <w:rPr>
          <w:rFonts w:ascii="Arial" w:hAnsi="Arial" w:cs="Arial"/>
          <w:sz w:val="24"/>
          <w:szCs w:val="24"/>
        </w:rPr>
        <w:t>tax</w:t>
      </w:r>
      <w:r w:rsidR="00477C79">
        <w:rPr>
          <w:rFonts w:ascii="Arial" w:hAnsi="Arial" w:cs="Arial"/>
          <w:sz w:val="24"/>
          <w:szCs w:val="24"/>
        </w:rPr>
        <w:t xml:space="preserve"> </w:t>
      </w:r>
      <w:r>
        <w:rPr>
          <w:rFonts w:ascii="Arial" w:hAnsi="Arial" w:cs="Arial"/>
          <w:sz w:val="24"/>
          <w:szCs w:val="24"/>
        </w:rPr>
        <w:t xml:space="preserve">is </w:t>
      </w:r>
      <w:r w:rsidR="00477C79">
        <w:rPr>
          <w:rFonts w:ascii="Arial" w:hAnsi="Arial" w:cs="Arial"/>
          <w:sz w:val="24"/>
          <w:szCs w:val="24"/>
        </w:rPr>
        <w:t>appropriately used</w:t>
      </w:r>
      <w:r>
        <w:rPr>
          <w:rFonts w:ascii="Arial" w:hAnsi="Arial" w:cs="Arial"/>
          <w:sz w:val="24"/>
          <w:szCs w:val="24"/>
        </w:rPr>
        <w:t>, complementing</w:t>
      </w:r>
      <w:r w:rsidR="007F698B">
        <w:rPr>
          <w:rFonts w:ascii="Arial" w:hAnsi="Arial" w:cs="Arial"/>
          <w:sz w:val="24"/>
          <w:szCs w:val="24"/>
        </w:rPr>
        <w:t xml:space="preserve"> </w:t>
      </w:r>
      <w:r>
        <w:rPr>
          <w:rFonts w:ascii="Arial" w:hAnsi="Arial" w:cs="Arial"/>
          <w:sz w:val="24"/>
          <w:szCs w:val="24"/>
        </w:rPr>
        <w:t xml:space="preserve">other </w:t>
      </w:r>
      <w:r w:rsidR="007F698B">
        <w:rPr>
          <w:rFonts w:ascii="Arial" w:hAnsi="Arial" w:cs="Arial"/>
          <w:sz w:val="24"/>
          <w:szCs w:val="24"/>
        </w:rPr>
        <w:t xml:space="preserve">regulatory </w:t>
      </w:r>
      <w:r>
        <w:rPr>
          <w:rFonts w:ascii="Arial" w:hAnsi="Arial" w:cs="Arial"/>
          <w:sz w:val="24"/>
          <w:szCs w:val="24"/>
        </w:rPr>
        <w:t>responses</w:t>
      </w:r>
      <w:r w:rsidR="00477C79">
        <w:rPr>
          <w:rFonts w:ascii="Arial" w:hAnsi="Arial" w:cs="Arial"/>
          <w:sz w:val="24"/>
          <w:szCs w:val="24"/>
        </w:rPr>
        <w:t>:</w:t>
      </w:r>
    </w:p>
    <w:p w14:paraId="0F505CA9" w14:textId="77777777" w:rsidR="00477C79" w:rsidRPr="0063750C" w:rsidRDefault="006161D7" w:rsidP="0063750C">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Emissions Trading Scheme (</w:t>
      </w:r>
      <w:r w:rsidR="00335BD7" w:rsidRPr="0063750C">
        <w:rPr>
          <w:rFonts w:ascii="Arial" w:hAnsi="Arial" w:cs="Arial"/>
          <w:sz w:val="24"/>
          <w:szCs w:val="24"/>
        </w:rPr>
        <w:t>ETS</w:t>
      </w:r>
      <w:r>
        <w:rPr>
          <w:rFonts w:ascii="Arial" w:hAnsi="Arial" w:cs="Arial"/>
          <w:sz w:val="24"/>
          <w:szCs w:val="24"/>
        </w:rPr>
        <w:t>)</w:t>
      </w:r>
      <w:r w:rsidR="00335BD7" w:rsidRPr="0063750C">
        <w:rPr>
          <w:rFonts w:ascii="Arial" w:hAnsi="Arial" w:cs="Arial"/>
          <w:sz w:val="24"/>
          <w:szCs w:val="24"/>
        </w:rPr>
        <w:t xml:space="preserve"> reforms are currently being considered as part of the Climate Change Response Act Amendment Bill.</w:t>
      </w:r>
      <w:r w:rsidR="00477C79" w:rsidRPr="0063750C">
        <w:rPr>
          <w:rFonts w:ascii="Arial" w:hAnsi="Arial" w:cs="Arial"/>
          <w:sz w:val="24"/>
          <w:szCs w:val="24"/>
        </w:rPr>
        <w:t xml:space="preserve"> The Interim Committee on Climate Change is also considering the treatment of agricultural emissions.</w:t>
      </w:r>
    </w:p>
    <w:p w14:paraId="18FF7EC9" w14:textId="77777777" w:rsidR="007F698B"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Water Taskforce is working to achieve improvements in water quality as well as efficient and fair allocation of freshwater and nutrient discharges.</w:t>
      </w:r>
    </w:p>
    <w:p w14:paraId="1CAFB220" w14:textId="77777777" w:rsidR="007F698B" w:rsidRPr="0063750C" w:rsidRDefault="007F698B"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Government has already invested an addi</w:t>
      </w:r>
      <w:r w:rsidR="004C5F91">
        <w:rPr>
          <w:rFonts w:ascii="Arial" w:hAnsi="Arial" w:cs="Arial"/>
          <w:sz w:val="24"/>
          <w:szCs w:val="24"/>
        </w:rPr>
        <w:t>tional $5 million into OVERSEER</w:t>
      </w:r>
      <w:r w:rsidRPr="0063750C">
        <w:rPr>
          <w:rFonts w:ascii="Arial" w:hAnsi="Arial" w:cs="Arial"/>
          <w:sz w:val="24"/>
          <w:szCs w:val="24"/>
        </w:rPr>
        <w:t xml:space="preserve"> to improve the scope and accuracy of estimated discharges into water.</w:t>
      </w:r>
    </w:p>
    <w:p w14:paraId="1B512595"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The Ministry for the Environment is currently reviewing the </w:t>
      </w:r>
      <w:r w:rsidR="00477C79" w:rsidRPr="0063750C">
        <w:rPr>
          <w:rFonts w:ascii="Arial" w:hAnsi="Arial" w:cs="Arial"/>
          <w:sz w:val="24"/>
          <w:szCs w:val="24"/>
        </w:rPr>
        <w:t xml:space="preserve">scope and rate of the </w:t>
      </w:r>
      <w:r w:rsidRPr="0063750C">
        <w:rPr>
          <w:rFonts w:ascii="Arial" w:hAnsi="Arial" w:cs="Arial"/>
          <w:sz w:val="24"/>
          <w:szCs w:val="24"/>
        </w:rPr>
        <w:t>Waste Disposal Levy.</w:t>
      </w:r>
    </w:p>
    <w:p w14:paraId="131B8233" w14:textId="3566E251" w:rsidR="00B45D74" w:rsidRDefault="00B45D74" w:rsidP="00B45D74">
      <w:pPr>
        <w:pStyle w:val="ListParagraph"/>
        <w:numPr>
          <w:ilvl w:val="1"/>
          <w:numId w:val="1"/>
        </w:numPr>
        <w:ind w:left="1418" w:hanging="709"/>
        <w:contextualSpacing w:val="0"/>
        <w:jc w:val="both"/>
        <w:rPr>
          <w:rFonts w:ascii="Arial" w:hAnsi="Arial" w:cs="Arial"/>
          <w:sz w:val="24"/>
          <w:szCs w:val="24"/>
        </w:rPr>
      </w:pPr>
      <w:r w:rsidRPr="006936DB">
        <w:rPr>
          <w:rFonts w:ascii="Arial" w:hAnsi="Arial" w:cs="Arial"/>
          <w:sz w:val="24"/>
          <w:szCs w:val="24"/>
        </w:rPr>
        <w:t xml:space="preserve">There is ongoing work </w:t>
      </w:r>
      <w:r w:rsidR="006161D7">
        <w:rPr>
          <w:rFonts w:ascii="Arial" w:hAnsi="Arial" w:cs="Arial"/>
          <w:sz w:val="24"/>
          <w:szCs w:val="24"/>
        </w:rPr>
        <w:t xml:space="preserve">to </w:t>
      </w:r>
      <w:r w:rsidR="006161D7" w:rsidRPr="008B77F6">
        <w:rPr>
          <w:rFonts w:ascii="Arial" w:hAnsi="Arial" w:cs="Arial"/>
          <w:sz w:val="24"/>
          <w:szCs w:val="24"/>
        </w:rPr>
        <w:t xml:space="preserve">consider certain </w:t>
      </w:r>
      <w:r w:rsidRPr="006936DB">
        <w:rPr>
          <w:rFonts w:ascii="Arial" w:hAnsi="Arial" w:cs="Arial"/>
          <w:sz w:val="24"/>
          <w:szCs w:val="24"/>
        </w:rPr>
        <w:t xml:space="preserve">tax measures </w:t>
      </w:r>
      <w:r w:rsidR="006161D7">
        <w:rPr>
          <w:rFonts w:ascii="Arial" w:hAnsi="Arial" w:cs="Arial"/>
          <w:sz w:val="24"/>
          <w:szCs w:val="24"/>
        </w:rPr>
        <w:t xml:space="preserve">in place </w:t>
      </w:r>
      <w:r w:rsidRPr="006936DB">
        <w:rPr>
          <w:rFonts w:ascii="Arial" w:hAnsi="Arial" w:cs="Arial"/>
          <w:sz w:val="24"/>
          <w:szCs w:val="24"/>
        </w:rPr>
        <w:t xml:space="preserve">in New Zealand – the Ministry of Business, Innovation and Employment (MBIE) and Inland Revenue are currently providing advice on the </w:t>
      </w:r>
      <w:proofErr w:type="gramStart"/>
      <w:r w:rsidRPr="006936DB">
        <w:rPr>
          <w:rFonts w:ascii="Arial" w:hAnsi="Arial" w:cs="Arial"/>
          <w:sz w:val="24"/>
          <w:szCs w:val="24"/>
        </w:rPr>
        <w:t>7 year</w:t>
      </w:r>
      <w:proofErr w:type="gramEnd"/>
      <w:r w:rsidRPr="006936DB">
        <w:rPr>
          <w:rFonts w:ascii="Arial" w:hAnsi="Arial" w:cs="Arial"/>
          <w:sz w:val="24"/>
          <w:szCs w:val="24"/>
        </w:rPr>
        <w:t xml:space="preserve"> spreading provision for petroleum development expenditure.</w:t>
      </w:r>
    </w:p>
    <w:p w14:paraId="470514CB" w14:textId="53F53856" w:rsidR="00077F03" w:rsidRPr="006936DB" w:rsidRDefault="00077F03" w:rsidP="00B45D74">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There is a</w:t>
      </w:r>
      <w:r w:rsidR="00D75722">
        <w:rPr>
          <w:rFonts w:ascii="Arial" w:hAnsi="Arial" w:cs="Arial"/>
          <w:sz w:val="24"/>
          <w:szCs w:val="24"/>
        </w:rPr>
        <w:t>n</w:t>
      </w:r>
      <w:r>
        <w:rPr>
          <w:rFonts w:ascii="Arial" w:hAnsi="Arial" w:cs="Arial"/>
          <w:sz w:val="24"/>
          <w:szCs w:val="24"/>
        </w:rPr>
        <w:t xml:space="preserve"> </w:t>
      </w:r>
      <w:r w:rsidR="00D75722">
        <w:rPr>
          <w:rFonts w:ascii="Arial" w:hAnsi="Arial" w:cs="Arial"/>
          <w:sz w:val="24"/>
          <w:szCs w:val="24"/>
        </w:rPr>
        <w:t xml:space="preserve">existing </w:t>
      </w:r>
      <w:r>
        <w:rPr>
          <w:rFonts w:ascii="Arial" w:hAnsi="Arial" w:cs="Arial"/>
          <w:sz w:val="24"/>
          <w:szCs w:val="24"/>
        </w:rPr>
        <w:t>project (“The Congestion Question”) between Government and Auckland Council to investigate whether or not to introduce congestion pricing in Auckland.</w:t>
      </w:r>
    </w:p>
    <w:p w14:paraId="215E936E" w14:textId="77777777" w:rsidR="007F698B" w:rsidRDefault="00335BD7"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question of what role the tax system should play to address environmental issues is an area where further cross-agency work is </w:t>
      </w:r>
      <w:r w:rsidR="00365245" w:rsidRPr="00335BD7">
        <w:rPr>
          <w:rFonts w:ascii="Arial" w:hAnsi="Arial" w:cs="Arial"/>
          <w:sz w:val="24"/>
          <w:szCs w:val="24"/>
        </w:rPr>
        <w:t>required</w:t>
      </w:r>
      <w:r w:rsidR="00365245">
        <w:rPr>
          <w:rFonts w:ascii="Arial" w:hAnsi="Arial" w:cs="Arial"/>
          <w:sz w:val="24"/>
          <w:szCs w:val="24"/>
        </w:rPr>
        <w:t xml:space="preserve"> and</w:t>
      </w:r>
      <w:r w:rsidR="001D1C40">
        <w:rPr>
          <w:rFonts w:ascii="Arial" w:hAnsi="Arial" w:cs="Arial"/>
          <w:sz w:val="24"/>
          <w:szCs w:val="24"/>
        </w:rPr>
        <w:t xml:space="preserve"> will be </w:t>
      </w:r>
      <w:r w:rsidRPr="00335BD7">
        <w:rPr>
          <w:rFonts w:ascii="Arial" w:hAnsi="Arial" w:cs="Arial"/>
          <w:sz w:val="24"/>
          <w:szCs w:val="24"/>
        </w:rPr>
        <w:t>considered for the TPWP</w:t>
      </w:r>
      <w:r w:rsidR="001D1C40">
        <w:rPr>
          <w:rFonts w:ascii="Arial" w:hAnsi="Arial" w:cs="Arial"/>
          <w:sz w:val="24"/>
          <w:szCs w:val="24"/>
        </w:rPr>
        <w:t xml:space="preserve"> (</w:t>
      </w:r>
      <w:r w:rsidRPr="00335BD7">
        <w:rPr>
          <w:rFonts w:ascii="Arial" w:hAnsi="Arial" w:cs="Arial"/>
          <w:sz w:val="24"/>
          <w:szCs w:val="24"/>
        </w:rPr>
        <w:t>alongside other specific environmental recommendations made by the TWG</w:t>
      </w:r>
      <w:r w:rsidR="001D1C40">
        <w:rPr>
          <w:rFonts w:ascii="Arial" w:hAnsi="Arial" w:cs="Arial"/>
          <w:sz w:val="24"/>
          <w:szCs w:val="24"/>
        </w:rPr>
        <w:t>)</w:t>
      </w:r>
      <w:r w:rsidRPr="00335BD7">
        <w:rPr>
          <w:rFonts w:ascii="Arial" w:hAnsi="Arial" w:cs="Arial"/>
          <w:sz w:val="24"/>
          <w:szCs w:val="24"/>
        </w:rPr>
        <w:t>.</w:t>
      </w:r>
      <w:r w:rsidR="001D1C40">
        <w:rPr>
          <w:rFonts w:ascii="Arial" w:hAnsi="Arial" w:cs="Arial"/>
          <w:sz w:val="24"/>
          <w:szCs w:val="24"/>
        </w:rPr>
        <w:t xml:space="preserve"> T</w:t>
      </w:r>
      <w:r w:rsidR="001D1C40" w:rsidRPr="001D1C40">
        <w:rPr>
          <w:rFonts w:ascii="Arial" w:hAnsi="Arial" w:cs="Arial"/>
          <w:sz w:val="24"/>
          <w:szCs w:val="24"/>
        </w:rPr>
        <w:t xml:space="preserve">he Government will </w:t>
      </w:r>
      <w:r w:rsidR="001D1C40">
        <w:rPr>
          <w:rFonts w:ascii="Arial" w:hAnsi="Arial" w:cs="Arial"/>
          <w:sz w:val="24"/>
          <w:szCs w:val="24"/>
        </w:rPr>
        <w:t xml:space="preserve">also </w:t>
      </w:r>
      <w:r w:rsidR="001D1C40" w:rsidRPr="001D1C40">
        <w:rPr>
          <w:rFonts w:ascii="Arial" w:hAnsi="Arial" w:cs="Arial"/>
          <w:sz w:val="24"/>
          <w:szCs w:val="24"/>
        </w:rPr>
        <w:t>consider the merits of revenue recycling in future policy work on environmental taxation</w:t>
      </w:r>
      <w:r w:rsidR="001D1C40">
        <w:rPr>
          <w:rFonts w:ascii="Arial" w:hAnsi="Arial" w:cs="Arial"/>
          <w:sz w:val="24"/>
          <w:szCs w:val="24"/>
        </w:rPr>
        <w:t>.</w:t>
      </w:r>
      <w:bookmarkEnd w:id="2"/>
      <w:r w:rsidR="007F698B" w:rsidRPr="007F698B">
        <w:rPr>
          <w:rFonts w:ascii="Arial" w:hAnsi="Arial" w:cs="Arial"/>
          <w:sz w:val="24"/>
          <w:szCs w:val="24"/>
        </w:rPr>
        <w:t xml:space="preserve"> </w:t>
      </w:r>
    </w:p>
    <w:p w14:paraId="444A9F94" w14:textId="2AC2E9C4" w:rsidR="00B45D74" w:rsidRPr="006936DB" w:rsidRDefault="00B45D74" w:rsidP="00B45D74">
      <w:pPr>
        <w:pStyle w:val="ListParagraph"/>
        <w:numPr>
          <w:ilvl w:val="0"/>
          <w:numId w:val="1"/>
        </w:numPr>
        <w:spacing w:after="240" w:line="240" w:lineRule="auto"/>
        <w:ind w:left="709" w:hanging="709"/>
        <w:contextualSpacing w:val="0"/>
        <w:jc w:val="both"/>
        <w:rPr>
          <w:rFonts w:ascii="Arial" w:hAnsi="Arial" w:cs="Arial"/>
          <w:sz w:val="24"/>
          <w:szCs w:val="24"/>
        </w:rPr>
      </w:pPr>
      <w:r w:rsidRPr="006936DB">
        <w:rPr>
          <w:rFonts w:ascii="Arial" w:hAnsi="Arial" w:cs="Arial"/>
          <w:sz w:val="24"/>
          <w:szCs w:val="24"/>
        </w:rPr>
        <w:t>This Government will not be advancing new environmental tax proposals beyond current work programmes. The Government remains committed to the Coalition Agreement, and therefore does not propose to introduce resource rentals for water</w:t>
      </w:r>
      <w:r w:rsidR="009520E8">
        <w:rPr>
          <w:rFonts w:ascii="Arial" w:hAnsi="Arial" w:cs="Arial"/>
          <w:sz w:val="24"/>
          <w:szCs w:val="24"/>
        </w:rPr>
        <w:t xml:space="preserve"> in this term of Parliament</w:t>
      </w:r>
      <w:r w:rsidRPr="006936DB">
        <w:rPr>
          <w:rFonts w:ascii="Arial" w:hAnsi="Arial" w:cs="Arial"/>
          <w:sz w:val="24"/>
          <w:szCs w:val="24"/>
        </w:rPr>
        <w:t xml:space="preserve">.  We also have no plans to </w:t>
      </w:r>
      <w:r w:rsidR="00D75722">
        <w:rPr>
          <w:rFonts w:ascii="Arial" w:hAnsi="Arial" w:cs="Arial"/>
          <w:sz w:val="24"/>
          <w:szCs w:val="24"/>
        </w:rPr>
        <w:t>introduce this term input-based instruments, including on fertiliser (i.e. a fertiliser tax)</w:t>
      </w:r>
      <w:r w:rsidRPr="006936DB">
        <w:rPr>
          <w:rFonts w:ascii="Arial" w:hAnsi="Arial" w:cs="Arial"/>
          <w:sz w:val="24"/>
          <w:szCs w:val="24"/>
        </w:rPr>
        <w:t>.</w:t>
      </w:r>
    </w:p>
    <w:p w14:paraId="7DD8C894" w14:textId="77777777" w:rsidR="00335BD7" w:rsidRPr="00D9036C" w:rsidRDefault="00335BD7" w:rsidP="00FD6590">
      <w:pPr>
        <w:keepNext/>
        <w:spacing w:after="240" w:line="240" w:lineRule="auto"/>
        <w:jc w:val="both"/>
        <w:rPr>
          <w:rFonts w:ascii="Arial" w:hAnsi="Arial" w:cs="Arial"/>
          <w:b/>
          <w:i/>
          <w:sz w:val="24"/>
          <w:szCs w:val="24"/>
        </w:rPr>
      </w:pPr>
      <w:r w:rsidRPr="00D9036C">
        <w:rPr>
          <w:rFonts w:ascii="Arial" w:hAnsi="Arial" w:cs="Arial"/>
          <w:b/>
          <w:i/>
          <w:sz w:val="24"/>
          <w:szCs w:val="24"/>
        </w:rPr>
        <w:t>The taxation of business</w:t>
      </w:r>
    </w:p>
    <w:p w14:paraId="0093D17A" w14:textId="77777777" w:rsidR="009C1A98" w:rsidRPr="00D60935" w:rsidRDefault="00335BD7" w:rsidP="00D60935">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considered that the current approach to the taxation of business is largely sound. The TWG </w:t>
      </w:r>
      <w:r w:rsidRPr="00FD6590">
        <w:rPr>
          <w:rFonts w:ascii="Arial" w:hAnsi="Arial" w:cs="Arial"/>
          <w:sz w:val="24"/>
          <w:szCs w:val="24"/>
        </w:rPr>
        <w:t xml:space="preserve">did </w:t>
      </w:r>
      <w:r w:rsidRPr="00FD6590">
        <w:rPr>
          <w:rFonts w:ascii="Arial" w:hAnsi="Arial" w:cs="Arial"/>
          <w:sz w:val="24"/>
          <w:szCs w:val="24"/>
          <w:u w:val="single"/>
        </w:rPr>
        <w:t>not</w:t>
      </w:r>
      <w:r w:rsidRPr="00335BD7">
        <w:rPr>
          <w:rFonts w:ascii="Arial" w:hAnsi="Arial" w:cs="Arial"/>
          <w:sz w:val="24"/>
          <w:szCs w:val="24"/>
        </w:rPr>
        <w:t xml:space="preserve"> see a case to:</w:t>
      </w:r>
    </w:p>
    <w:p w14:paraId="41D7E49A"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move away from the imputation system</w:t>
      </w:r>
      <w:r w:rsidR="00C46E40">
        <w:rPr>
          <w:rFonts w:ascii="Arial" w:hAnsi="Arial" w:cs="Arial"/>
          <w:sz w:val="24"/>
          <w:szCs w:val="24"/>
        </w:rPr>
        <w:t>;</w:t>
      </w:r>
    </w:p>
    <w:p w14:paraId="1269B307"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reduce the company</w:t>
      </w:r>
      <w:r w:rsidR="00585530">
        <w:rPr>
          <w:rFonts w:ascii="Arial" w:hAnsi="Arial" w:cs="Arial"/>
          <w:sz w:val="24"/>
          <w:szCs w:val="24"/>
        </w:rPr>
        <w:t xml:space="preserve"> tax</w:t>
      </w:r>
      <w:r w:rsidRPr="0063750C">
        <w:rPr>
          <w:rFonts w:ascii="Arial" w:hAnsi="Arial" w:cs="Arial"/>
          <w:sz w:val="24"/>
          <w:szCs w:val="24"/>
        </w:rPr>
        <w:t xml:space="preserve"> rate</w:t>
      </w:r>
      <w:r w:rsidR="00C46E40">
        <w:rPr>
          <w:rFonts w:ascii="Arial" w:hAnsi="Arial" w:cs="Arial"/>
          <w:sz w:val="24"/>
          <w:szCs w:val="24"/>
        </w:rPr>
        <w:t>;</w:t>
      </w:r>
    </w:p>
    <w:p w14:paraId="7C05D2A1"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introduce a progressive company tax</w:t>
      </w:r>
      <w:r w:rsidR="00C46E40">
        <w:rPr>
          <w:rFonts w:ascii="Arial" w:hAnsi="Arial" w:cs="Arial"/>
          <w:sz w:val="24"/>
          <w:szCs w:val="24"/>
        </w:rPr>
        <w:t>;</w:t>
      </w:r>
      <w:r w:rsidRPr="0063750C">
        <w:rPr>
          <w:rFonts w:ascii="Arial" w:hAnsi="Arial" w:cs="Arial"/>
          <w:sz w:val="24"/>
          <w:szCs w:val="24"/>
        </w:rPr>
        <w:t xml:space="preserve"> or</w:t>
      </w:r>
    </w:p>
    <w:p w14:paraId="066E6872"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introduce an alternative basis of taxation for smaller businesses, such as cash flow or turnover taxes.</w:t>
      </w:r>
    </w:p>
    <w:p w14:paraId="54A99DED" w14:textId="77777777" w:rsidR="00335BD7" w:rsidRPr="00335BD7" w:rsidRDefault="00335BD7"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w:t>
      </w:r>
      <w:r w:rsidR="00E83E4A">
        <w:rPr>
          <w:rFonts w:ascii="Arial" w:hAnsi="Arial" w:cs="Arial"/>
          <w:sz w:val="24"/>
          <w:szCs w:val="24"/>
        </w:rPr>
        <w:t xml:space="preserve"> also</w:t>
      </w:r>
      <w:r w:rsidRPr="00335BD7">
        <w:rPr>
          <w:rFonts w:ascii="Arial" w:hAnsi="Arial" w:cs="Arial"/>
          <w:sz w:val="24"/>
          <w:szCs w:val="24"/>
        </w:rPr>
        <w:t xml:space="preserve"> recommended a number of tax measures that could </w:t>
      </w:r>
      <w:r w:rsidR="00E83E4A">
        <w:rPr>
          <w:rFonts w:ascii="Arial" w:hAnsi="Arial" w:cs="Arial"/>
          <w:sz w:val="24"/>
          <w:szCs w:val="24"/>
        </w:rPr>
        <w:t>lower compliance costs and enhance productivity for businesses</w:t>
      </w:r>
      <w:r w:rsidRPr="00335BD7">
        <w:rPr>
          <w:rFonts w:ascii="Arial" w:hAnsi="Arial" w:cs="Arial"/>
          <w:sz w:val="24"/>
          <w:szCs w:val="24"/>
        </w:rPr>
        <w:t>. These</w:t>
      </w:r>
      <w:r w:rsidR="00E83E4A">
        <w:rPr>
          <w:rFonts w:ascii="Arial" w:hAnsi="Arial" w:cs="Arial"/>
          <w:sz w:val="24"/>
          <w:szCs w:val="24"/>
        </w:rPr>
        <w:t xml:space="preserve"> recommendations</w:t>
      </w:r>
      <w:r w:rsidRPr="00335BD7">
        <w:rPr>
          <w:rFonts w:ascii="Arial" w:hAnsi="Arial" w:cs="Arial"/>
          <w:sz w:val="24"/>
          <w:szCs w:val="24"/>
        </w:rPr>
        <w:t xml:space="preserve"> include changes to the loss</w:t>
      </w:r>
      <w:r w:rsidR="00521771">
        <w:rPr>
          <w:rFonts w:ascii="Arial" w:hAnsi="Arial" w:cs="Arial"/>
          <w:sz w:val="24"/>
          <w:szCs w:val="24"/>
        </w:rPr>
        <w:t xml:space="preserve"> </w:t>
      </w:r>
      <w:r w:rsidRPr="00335BD7">
        <w:rPr>
          <w:rFonts w:ascii="Arial" w:hAnsi="Arial" w:cs="Arial"/>
          <w:sz w:val="24"/>
          <w:szCs w:val="24"/>
        </w:rPr>
        <w:t>continuity rules, expanding deductions for ‘black-hole' expenditure, restoring building depreciation deductions</w:t>
      </w:r>
      <w:r w:rsidR="00521771">
        <w:rPr>
          <w:rFonts w:ascii="Arial" w:hAnsi="Arial" w:cs="Arial"/>
          <w:sz w:val="24"/>
          <w:szCs w:val="24"/>
        </w:rPr>
        <w:t xml:space="preserve">, and </w:t>
      </w:r>
      <w:r w:rsidR="008E64F0" w:rsidRPr="00521771">
        <w:rPr>
          <w:rFonts w:ascii="Arial" w:hAnsi="Arial" w:cs="Arial"/>
          <w:sz w:val="24"/>
          <w:szCs w:val="24"/>
        </w:rPr>
        <w:t>align</w:t>
      </w:r>
      <w:r w:rsidR="00286F5C">
        <w:rPr>
          <w:rFonts w:ascii="Arial" w:hAnsi="Arial" w:cs="Arial"/>
          <w:sz w:val="24"/>
          <w:szCs w:val="24"/>
        </w:rPr>
        <w:t>ing</w:t>
      </w:r>
      <w:r w:rsidR="00A676A6" w:rsidRPr="00521771">
        <w:rPr>
          <w:rFonts w:ascii="Arial" w:hAnsi="Arial" w:cs="Arial"/>
          <w:sz w:val="24"/>
          <w:szCs w:val="24"/>
        </w:rPr>
        <w:t xml:space="preserve"> </w:t>
      </w:r>
      <w:r w:rsidR="008E64F0" w:rsidRPr="00521771">
        <w:rPr>
          <w:rFonts w:ascii="Arial" w:hAnsi="Arial" w:cs="Arial"/>
          <w:sz w:val="24"/>
          <w:szCs w:val="24"/>
        </w:rPr>
        <w:t>the Māori authority rate for wholly-owned subsidiaries of Māori authorities</w:t>
      </w:r>
      <w:r w:rsidR="00521771" w:rsidRPr="00521771">
        <w:rPr>
          <w:rFonts w:ascii="Arial" w:hAnsi="Arial" w:cs="Arial"/>
          <w:sz w:val="24"/>
          <w:szCs w:val="24"/>
        </w:rPr>
        <w:t>.</w:t>
      </w:r>
    </w:p>
    <w:p w14:paraId="0A1C7600" w14:textId="77777777" w:rsidR="00335BD7" w:rsidRPr="00D9036C" w:rsidRDefault="009528B9" w:rsidP="00216E6B">
      <w:pPr>
        <w:spacing w:after="240" w:line="240" w:lineRule="auto"/>
        <w:jc w:val="both"/>
        <w:rPr>
          <w:rFonts w:ascii="Arial" w:hAnsi="Arial" w:cs="Arial"/>
          <w:i/>
          <w:sz w:val="24"/>
          <w:szCs w:val="24"/>
        </w:rPr>
      </w:pPr>
      <w:r>
        <w:rPr>
          <w:rFonts w:ascii="Arial" w:hAnsi="Arial" w:cs="Arial"/>
          <w:i/>
          <w:sz w:val="24"/>
          <w:szCs w:val="24"/>
        </w:rPr>
        <w:t>Government response</w:t>
      </w:r>
    </w:p>
    <w:p w14:paraId="00E79CDE" w14:textId="77777777" w:rsidR="006C22EC" w:rsidRDefault="006C22EC" w:rsidP="006C22EC">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We endorse the TWG recommendation </w:t>
      </w:r>
      <w:r w:rsidR="00F63903">
        <w:rPr>
          <w:rFonts w:ascii="Arial" w:hAnsi="Arial" w:cs="Arial"/>
          <w:sz w:val="24"/>
          <w:szCs w:val="24"/>
        </w:rPr>
        <w:t>to broadly retain the current settings for the taxation of business</w:t>
      </w:r>
      <w:r w:rsidRPr="00335BD7">
        <w:rPr>
          <w:rFonts w:ascii="Arial" w:hAnsi="Arial" w:cs="Arial"/>
          <w:sz w:val="24"/>
          <w:szCs w:val="24"/>
        </w:rPr>
        <w:t>.</w:t>
      </w:r>
    </w:p>
    <w:p w14:paraId="5079B355" w14:textId="77777777" w:rsidR="006C22EC" w:rsidRPr="00FC7786" w:rsidRDefault="006C22EC" w:rsidP="00FC7786">
      <w:pPr>
        <w:pStyle w:val="ListParagraph"/>
        <w:numPr>
          <w:ilvl w:val="0"/>
          <w:numId w:val="1"/>
        </w:numPr>
        <w:spacing w:after="240" w:line="240" w:lineRule="auto"/>
        <w:ind w:left="709" w:hanging="709"/>
        <w:contextualSpacing w:val="0"/>
        <w:jc w:val="both"/>
        <w:rPr>
          <w:rFonts w:ascii="Arial" w:hAnsi="Arial" w:cs="Arial"/>
          <w:sz w:val="24"/>
          <w:szCs w:val="24"/>
        </w:rPr>
      </w:pPr>
      <w:r w:rsidRPr="00FC7786">
        <w:rPr>
          <w:rFonts w:ascii="Arial" w:hAnsi="Arial" w:cs="Arial"/>
          <w:sz w:val="24"/>
          <w:szCs w:val="24"/>
        </w:rPr>
        <w:t xml:space="preserve">We propose that a number of the recommendations </w:t>
      </w:r>
      <w:r w:rsidR="00335BD7" w:rsidRPr="00FC7786">
        <w:rPr>
          <w:rFonts w:ascii="Arial" w:hAnsi="Arial" w:cs="Arial"/>
          <w:sz w:val="24"/>
          <w:szCs w:val="24"/>
        </w:rPr>
        <w:t xml:space="preserve">targeted at </w:t>
      </w:r>
      <w:r w:rsidR="00E83E4A" w:rsidRPr="00FC7786">
        <w:rPr>
          <w:rFonts w:ascii="Arial" w:hAnsi="Arial" w:cs="Arial"/>
          <w:sz w:val="24"/>
          <w:szCs w:val="24"/>
        </w:rPr>
        <w:t xml:space="preserve">lowering compliance costs and </w:t>
      </w:r>
      <w:r w:rsidR="00335BD7" w:rsidRPr="00FC7786">
        <w:rPr>
          <w:rFonts w:ascii="Arial" w:hAnsi="Arial" w:cs="Arial"/>
          <w:sz w:val="24"/>
          <w:szCs w:val="24"/>
        </w:rPr>
        <w:t xml:space="preserve">enhancing productivity </w:t>
      </w:r>
      <w:r w:rsidRPr="00FC7786">
        <w:rPr>
          <w:rFonts w:ascii="Arial" w:hAnsi="Arial" w:cs="Arial"/>
          <w:sz w:val="24"/>
          <w:szCs w:val="24"/>
        </w:rPr>
        <w:t xml:space="preserve">be </w:t>
      </w:r>
      <w:r w:rsidR="00AC1480">
        <w:rPr>
          <w:rFonts w:ascii="Arial" w:hAnsi="Arial" w:cs="Arial"/>
          <w:sz w:val="24"/>
          <w:szCs w:val="24"/>
        </w:rPr>
        <w:t>considered for</w:t>
      </w:r>
      <w:r w:rsidRPr="006C22EC">
        <w:rPr>
          <w:rFonts w:ascii="Arial" w:hAnsi="Arial" w:cs="Arial"/>
          <w:sz w:val="24"/>
          <w:szCs w:val="24"/>
        </w:rPr>
        <w:t xml:space="preserve"> the TPWP</w:t>
      </w:r>
      <w:r w:rsidRPr="00FC7786">
        <w:rPr>
          <w:rFonts w:ascii="Arial" w:hAnsi="Arial" w:cs="Arial"/>
          <w:sz w:val="24"/>
          <w:szCs w:val="24"/>
        </w:rPr>
        <w:t xml:space="preserve">. </w:t>
      </w:r>
      <w:r w:rsidRPr="006C22EC">
        <w:rPr>
          <w:rFonts w:ascii="Arial" w:hAnsi="Arial" w:cs="Arial"/>
          <w:sz w:val="24"/>
          <w:szCs w:val="24"/>
        </w:rPr>
        <w:t>These include:</w:t>
      </w:r>
    </w:p>
    <w:p w14:paraId="67E1B70B" w14:textId="77777777" w:rsidR="006C22EC" w:rsidRPr="006C22EC" w:rsidRDefault="006C22EC" w:rsidP="00FC7786">
      <w:pPr>
        <w:pStyle w:val="ListParagraph"/>
        <w:numPr>
          <w:ilvl w:val="1"/>
          <w:numId w:val="1"/>
        </w:numPr>
        <w:ind w:left="1418" w:hanging="709"/>
        <w:contextualSpacing w:val="0"/>
        <w:jc w:val="both"/>
        <w:rPr>
          <w:rFonts w:ascii="Arial" w:hAnsi="Arial" w:cs="Arial"/>
          <w:sz w:val="24"/>
          <w:szCs w:val="24"/>
        </w:rPr>
      </w:pPr>
      <w:r w:rsidRPr="00FC7786">
        <w:rPr>
          <w:rFonts w:ascii="Arial" w:hAnsi="Arial" w:cs="Arial"/>
          <w:i/>
          <w:sz w:val="24"/>
          <w:szCs w:val="24"/>
        </w:rPr>
        <w:t>compliance saving measures</w:t>
      </w:r>
      <w:r w:rsidRPr="006C22EC">
        <w:rPr>
          <w:rFonts w:ascii="Arial" w:hAnsi="Arial" w:cs="Arial"/>
          <w:sz w:val="24"/>
          <w:szCs w:val="24"/>
        </w:rPr>
        <w:t>, such as increasing the threshold for paying provisional tax and assisting businesses to use cloud-based software to improve their business</w:t>
      </w:r>
      <w:r w:rsidR="00976B09">
        <w:rPr>
          <w:rFonts w:ascii="Arial" w:hAnsi="Arial" w:cs="Arial"/>
          <w:sz w:val="24"/>
          <w:szCs w:val="24"/>
        </w:rPr>
        <w:t>;</w:t>
      </w:r>
      <w:r w:rsidRPr="006C22EC">
        <w:rPr>
          <w:rFonts w:ascii="Arial" w:hAnsi="Arial" w:cs="Arial"/>
          <w:sz w:val="24"/>
          <w:szCs w:val="24"/>
        </w:rPr>
        <w:t xml:space="preserve"> </w:t>
      </w:r>
    </w:p>
    <w:p w14:paraId="59380D44" w14:textId="77777777" w:rsidR="00976B09" w:rsidRDefault="006C22EC" w:rsidP="006C22EC">
      <w:pPr>
        <w:pStyle w:val="ListParagraph"/>
        <w:numPr>
          <w:ilvl w:val="1"/>
          <w:numId w:val="1"/>
        </w:numPr>
        <w:ind w:left="1418" w:hanging="709"/>
        <w:contextualSpacing w:val="0"/>
        <w:jc w:val="both"/>
        <w:rPr>
          <w:rFonts w:ascii="Arial" w:hAnsi="Arial" w:cs="Arial"/>
          <w:sz w:val="24"/>
          <w:szCs w:val="24"/>
        </w:rPr>
      </w:pPr>
      <w:proofErr w:type="gramStart"/>
      <w:r w:rsidRPr="00FC7786">
        <w:rPr>
          <w:rFonts w:ascii="Arial" w:hAnsi="Arial" w:cs="Arial"/>
          <w:i/>
          <w:sz w:val="24"/>
          <w:szCs w:val="24"/>
        </w:rPr>
        <w:t>removing  a</w:t>
      </w:r>
      <w:proofErr w:type="gramEnd"/>
      <w:r w:rsidRPr="00FC7786">
        <w:rPr>
          <w:rFonts w:ascii="Arial" w:hAnsi="Arial" w:cs="Arial"/>
          <w:i/>
          <w:sz w:val="24"/>
          <w:szCs w:val="24"/>
        </w:rPr>
        <w:t xml:space="preserve"> number of requirements that impose costs on businesses for little benefit</w:t>
      </w:r>
      <w:r w:rsidRPr="006C22EC">
        <w:rPr>
          <w:rFonts w:ascii="Arial" w:hAnsi="Arial" w:cs="Arial"/>
          <w:sz w:val="24"/>
          <w:szCs w:val="24"/>
        </w:rPr>
        <w:t>, such as removing the requirement to obtain approval to issue GST buyer created invoices</w:t>
      </w:r>
      <w:r w:rsidR="00976B09">
        <w:rPr>
          <w:rFonts w:ascii="Arial" w:hAnsi="Arial" w:cs="Arial"/>
          <w:sz w:val="24"/>
          <w:szCs w:val="24"/>
        </w:rPr>
        <w:t>;</w:t>
      </w:r>
      <w:r w:rsidR="00976B09" w:rsidRPr="00976B09">
        <w:rPr>
          <w:rFonts w:ascii="Arial" w:hAnsi="Arial" w:cs="Arial"/>
          <w:sz w:val="24"/>
          <w:szCs w:val="24"/>
        </w:rPr>
        <w:t xml:space="preserve"> </w:t>
      </w:r>
      <w:r w:rsidR="00976B09" w:rsidRPr="006C22EC">
        <w:rPr>
          <w:rFonts w:ascii="Arial" w:hAnsi="Arial" w:cs="Arial"/>
          <w:sz w:val="24"/>
          <w:szCs w:val="24"/>
        </w:rPr>
        <w:t>and</w:t>
      </w:r>
    </w:p>
    <w:p w14:paraId="5661D599" w14:textId="77777777" w:rsidR="00335BD7" w:rsidRPr="00FC7786" w:rsidRDefault="00E835C3" w:rsidP="00FC7786">
      <w:pPr>
        <w:pStyle w:val="ListParagraph"/>
        <w:numPr>
          <w:ilvl w:val="1"/>
          <w:numId w:val="1"/>
        </w:numPr>
        <w:ind w:left="1418" w:hanging="709"/>
        <w:contextualSpacing w:val="0"/>
        <w:jc w:val="both"/>
        <w:rPr>
          <w:rFonts w:ascii="Arial" w:hAnsi="Arial" w:cs="Arial"/>
          <w:sz w:val="24"/>
          <w:szCs w:val="24"/>
        </w:rPr>
      </w:pPr>
      <w:r>
        <w:rPr>
          <w:rFonts w:ascii="Arial" w:hAnsi="Arial" w:cs="Arial"/>
          <w:i/>
          <w:sz w:val="24"/>
          <w:szCs w:val="24"/>
        </w:rPr>
        <w:t xml:space="preserve">measures to </w:t>
      </w:r>
      <w:r w:rsidR="00976B09">
        <w:rPr>
          <w:rFonts w:ascii="Arial" w:hAnsi="Arial" w:cs="Arial"/>
          <w:i/>
          <w:sz w:val="24"/>
          <w:szCs w:val="24"/>
        </w:rPr>
        <w:t>improve productivity</w:t>
      </w:r>
      <w:r w:rsidR="005C61C0">
        <w:rPr>
          <w:rFonts w:ascii="Arial" w:hAnsi="Arial" w:cs="Arial"/>
          <w:i/>
          <w:sz w:val="24"/>
          <w:szCs w:val="24"/>
        </w:rPr>
        <w:t xml:space="preserve"> and encourage entrepreneurship</w:t>
      </w:r>
      <w:r w:rsidR="00976B09">
        <w:rPr>
          <w:rFonts w:ascii="Arial" w:hAnsi="Arial" w:cs="Arial"/>
          <w:i/>
          <w:sz w:val="24"/>
          <w:szCs w:val="24"/>
        </w:rPr>
        <w:t xml:space="preserve">, </w:t>
      </w:r>
      <w:r w:rsidR="00976B09" w:rsidRPr="00FC7786">
        <w:rPr>
          <w:rFonts w:ascii="Arial" w:hAnsi="Arial" w:cs="Arial"/>
          <w:sz w:val="24"/>
          <w:szCs w:val="24"/>
        </w:rPr>
        <w:t>such as</w:t>
      </w:r>
      <w:r w:rsidR="006C22EC">
        <w:rPr>
          <w:rFonts w:ascii="Arial" w:hAnsi="Arial" w:cs="Arial"/>
          <w:sz w:val="24"/>
          <w:szCs w:val="24"/>
        </w:rPr>
        <w:t xml:space="preserve"> </w:t>
      </w:r>
      <w:r w:rsidR="00976B09">
        <w:rPr>
          <w:rFonts w:ascii="Arial" w:hAnsi="Arial" w:cs="Arial"/>
          <w:sz w:val="24"/>
          <w:szCs w:val="24"/>
        </w:rPr>
        <w:t>review</w:t>
      </w:r>
      <w:r>
        <w:rPr>
          <w:rFonts w:ascii="Arial" w:hAnsi="Arial" w:cs="Arial"/>
          <w:sz w:val="24"/>
          <w:szCs w:val="24"/>
        </w:rPr>
        <w:t>ing the</w:t>
      </w:r>
      <w:r w:rsidR="00976B09">
        <w:rPr>
          <w:rFonts w:ascii="Arial" w:hAnsi="Arial" w:cs="Arial"/>
          <w:sz w:val="24"/>
          <w:szCs w:val="24"/>
        </w:rPr>
        <w:t xml:space="preserve"> </w:t>
      </w:r>
      <w:r w:rsidR="00976B09" w:rsidRPr="00335BD7">
        <w:rPr>
          <w:rFonts w:ascii="Arial" w:hAnsi="Arial" w:cs="Arial"/>
          <w:sz w:val="24"/>
          <w:szCs w:val="24"/>
        </w:rPr>
        <w:t>loss</w:t>
      </w:r>
      <w:r w:rsidR="00976B09">
        <w:rPr>
          <w:rFonts w:ascii="Arial" w:hAnsi="Arial" w:cs="Arial"/>
          <w:sz w:val="24"/>
          <w:szCs w:val="24"/>
        </w:rPr>
        <w:t xml:space="preserve"> </w:t>
      </w:r>
      <w:r w:rsidR="00976B09" w:rsidRPr="00335BD7">
        <w:rPr>
          <w:rFonts w:ascii="Arial" w:hAnsi="Arial" w:cs="Arial"/>
          <w:sz w:val="24"/>
          <w:szCs w:val="24"/>
        </w:rPr>
        <w:t>continuity rules</w:t>
      </w:r>
      <w:r w:rsidR="00CA484A">
        <w:rPr>
          <w:rFonts w:ascii="Arial" w:hAnsi="Arial" w:cs="Arial"/>
          <w:sz w:val="24"/>
          <w:szCs w:val="24"/>
        </w:rPr>
        <w:t xml:space="preserve"> and the treatment of black-hole </w:t>
      </w:r>
      <w:proofErr w:type="gramStart"/>
      <w:r w:rsidR="00CA484A">
        <w:rPr>
          <w:rFonts w:ascii="Arial" w:hAnsi="Arial" w:cs="Arial"/>
          <w:sz w:val="24"/>
          <w:szCs w:val="24"/>
        </w:rPr>
        <w:t>expenditure,</w:t>
      </w:r>
      <w:r w:rsidR="00976B09" w:rsidRPr="00521771">
        <w:rPr>
          <w:rFonts w:ascii="Arial" w:hAnsi="Arial" w:cs="Arial"/>
          <w:sz w:val="24"/>
          <w:szCs w:val="24"/>
        </w:rPr>
        <w:t xml:space="preserve"> </w:t>
      </w:r>
      <w:r w:rsidR="00976B09">
        <w:rPr>
          <w:rFonts w:ascii="Arial" w:hAnsi="Arial" w:cs="Arial"/>
          <w:sz w:val="24"/>
          <w:szCs w:val="24"/>
        </w:rPr>
        <w:t>and</w:t>
      </w:r>
      <w:proofErr w:type="gramEnd"/>
      <w:r w:rsidR="00976B09">
        <w:rPr>
          <w:rFonts w:ascii="Arial" w:hAnsi="Arial" w:cs="Arial"/>
          <w:sz w:val="24"/>
          <w:szCs w:val="24"/>
        </w:rPr>
        <w:t xml:space="preserve"> </w:t>
      </w:r>
      <w:r w:rsidR="006C22EC" w:rsidRPr="00521771">
        <w:rPr>
          <w:rFonts w:ascii="Arial" w:hAnsi="Arial" w:cs="Arial"/>
          <w:sz w:val="24"/>
          <w:szCs w:val="24"/>
        </w:rPr>
        <w:t>align</w:t>
      </w:r>
      <w:r>
        <w:rPr>
          <w:rFonts w:ascii="Arial" w:hAnsi="Arial" w:cs="Arial"/>
          <w:sz w:val="24"/>
          <w:szCs w:val="24"/>
        </w:rPr>
        <w:t>ing</w:t>
      </w:r>
      <w:r w:rsidR="006C22EC" w:rsidRPr="00521771">
        <w:rPr>
          <w:rFonts w:ascii="Arial" w:hAnsi="Arial" w:cs="Arial"/>
          <w:sz w:val="24"/>
          <w:szCs w:val="24"/>
        </w:rPr>
        <w:t xml:space="preserve"> the Māori authority rate for wholly-owned subsidiaries of Māori authoriti</w:t>
      </w:r>
      <w:r w:rsidR="006C22EC" w:rsidRPr="006C22EC">
        <w:rPr>
          <w:rFonts w:ascii="Arial" w:hAnsi="Arial" w:cs="Arial"/>
          <w:sz w:val="24"/>
          <w:szCs w:val="24"/>
        </w:rPr>
        <w:t>es</w:t>
      </w:r>
      <w:r w:rsidR="006C22EC" w:rsidRPr="00FC7786">
        <w:rPr>
          <w:rFonts w:ascii="Arial" w:hAnsi="Arial" w:cs="Arial"/>
          <w:sz w:val="24"/>
          <w:szCs w:val="24"/>
        </w:rPr>
        <w:t>.</w:t>
      </w:r>
    </w:p>
    <w:p w14:paraId="024C3E01" w14:textId="77777777" w:rsidR="005C61C0" w:rsidRDefault="005C61C0" w:rsidP="005C61C0">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These measure</w:t>
      </w:r>
      <w:r w:rsidR="00FA2B1D">
        <w:rPr>
          <w:rFonts w:ascii="Arial" w:hAnsi="Arial" w:cs="Arial"/>
          <w:sz w:val="24"/>
          <w:szCs w:val="24"/>
        </w:rPr>
        <w:t>s</w:t>
      </w:r>
      <w:r>
        <w:rPr>
          <w:rFonts w:ascii="Arial" w:hAnsi="Arial" w:cs="Arial"/>
          <w:sz w:val="24"/>
          <w:szCs w:val="24"/>
        </w:rPr>
        <w:t xml:space="preserve"> could complement existing TPWP initiatives, such as consideration of the removal of incremental penalties, which could benefit thousands of small businesses.</w:t>
      </w:r>
    </w:p>
    <w:p w14:paraId="41F363A9" w14:textId="77777777" w:rsidR="005C61C0" w:rsidRDefault="005C61C0" w:rsidP="005C61C0">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Pr="00335BD7">
        <w:rPr>
          <w:rFonts w:ascii="Arial" w:hAnsi="Arial" w:cs="Arial"/>
          <w:sz w:val="24"/>
          <w:szCs w:val="24"/>
        </w:rPr>
        <w:t xml:space="preserve"> propose that </w:t>
      </w:r>
      <w:r>
        <w:rPr>
          <w:rFonts w:ascii="Arial" w:hAnsi="Arial" w:cs="Arial"/>
          <w:sz w:val="24"/>
          <w:szCs w:val="24"/>
        </w:rPr>
        <w:t xml:space="preserve">the </w:t>
      </w:r>
      <w:r w:rsidRPr="00335BD7">
        <w:rPr>
          <w:rFonts w:ascii="Arial" w:hAnsi="Arial" w:cs="Arial"/>
          <w:sz w:val="24"/>
          <w:szCs w:val="24"/>
        </w:rPr>
        <w:t xml:space="preserve">other recommendations, such as considering </w:t>
      </w:r>
      <w:r>
        <w:rPr>
          <w:rFonts w:ascii="Arial" w:hAnsi="Arial" w:cs="Arial"/>
          <w:sz w:val="24"/>
          <w:szCs w:val="24"/>
        </w:rPr>
        <w:t xml:space="preserve">depreciation deductions for buildings will </w:t>
      </w:r>
      <w:r w:rsidRPr="00335BD7">
        <w:rPr>
          <w:rFonts w:ascii="Arial" w:hAnsi="Arial" w:cs="Arial"/>
          <w:sz w:val="24"/>
          <w:szCs w:val="24"/>
        </w:rPr>
        <w:t>be considered for inclusion in the TPWP.</w:t>
      </w:r>
      <w:r w:rsidR="00A976DF">
        <w:rPr>
          <w:rFonts w:ascii="Arial" w:hAnsi="Arial" w:cs="Arial"/>
          <w:sz w:val="24"/>
          <w:szCs w:val="24"/>
        </w:rPr>
        <w:t xml:space="preserve"> The issue of seismic strengthening will be a high priority for us.</w:t>
      </w:r>
    </w:p>
    <w:p w14:paraId="3143262F" w14:textId="77777777" w:rsidR="00CD3110" w:rsidRPr="00CD3110" w:rsidRDefault="00CD3110" w:rsidP="00CD3110">
      <w:pPr>
        <w:pStyle w:val="ListParagraph"/>
        <w:numPr>
          <w:ilvl w:val="0"/>
          <w:numId w:val="1"/>
        </w:numPr>
        <w:spacing w:after="240" w:line="240" w:lineRule="auto"/>
        <w:ind w:left="709" w:hanging="709"/>
        <w:contextualSpacing w:val="0"/>
        <w:jc w:val="both"/>
        <w:rPr>
          <w:rFonts w:ascii="Arial" w:hAnsi="Arial" w:cs="Arial"/>
          <w:sz w:val="28"/>
          <w:szCs w:val="24"/>
        </w:rPr>
      </w:pPr>
      <w:r>
        <w:rPr>
          <w:rFonts w:ascii="Arial" w:hAnsi="Arial" w:cs="Arial"/>
          <w:sz w:val="24"/>
          <w:szCs w:val="24"/>
        </w:rPr>
        <w:t>Beyond this work, w</w:t>
      </w:r>
      <w:r w:rsidRPr="00681A5E">
        <w:rPr>
          <w:rFonts w:ascii="Arial" w:hAnsi="Arial" w:cs="Arial"/>
          <w:sz w:val="24"/>
        </w:rPr>
        <w:t xml:space="preserve">e </w:t>
      </w:r>
      <w:r>
        <w:rPr>
          <w:rFonts w:ascii="Arial" w:hAnsi="Arial" w:cs="Arial"/>
          <w:sz w:val="24"/>
        </w:rPr>
        <w:t xml:space="preserve">will </w:t>
      </w:r>
      <w:r w:rsidRPr="00681A5E">
        <w:rPr>
          <w:rFonts w:ascii="Arial" w:hAnsi="Arial" w:cs="Arial"/>
          <w:sz w:val="24"/>
        </w:rPr>
        <w:t>consider</w:t>
      </w:r>
      <w:r>
        <w:rPr>
          <w:rFonts w:ascii="Arial" w:hAnsi="Arial" w:cs="Arial"/>
          <w:sz w:val="24"/>
        </w:rPr>
        <w:t xml:space="preserve"> as a high priority the</w:t>
      </w:r>
      <w:r w:rsidRPr="00681A5E">
        <w:rPr>
          <w:rFonts w:ascii="Arial" w:hAnsi="Arial" w:cs="Arial"/>
          <w:sz w:val="24"/>
        </w:rPr>
        <w:t xml:space="preserve"> develop</w:t>
      </w:r>
      <w:r>
        <w:rPr>
          <w:rFonts w:ascii="Arial" w:hAnsi="Arial" w:cs="Arial"/>
          <w:sz w:val="24"/>
        </w:rPr>
        <w:t>ment of</w:t>
      </w:r>
      <w:r w:rsidRPr="00681A5E">
        <w:rPr>
          <w:rFonts w:ascii="Arial" w:hAnsi="Arial" w:cs="Arial"/>
          <w:sz w:val="24"/>
        </w:rPr>
        <w:t xml:space="preserve"> a tax regime that encourage</w:t>
      </w:r>
      <w:r>
        <w:rPr>
          <w:rFonts w:ascii="Arial" w:hAnsi="Arial" w:cs="Arial"/>
          <w:sz w:val="24"/>
        </w:rPr>
        <w:t>s</w:t>
      </w:r>
      <w:r w:rsidRPr="00681A5E">
        <w:rPr>
          <w:rFonts w:ascii="Arial" w:hAnsi="Arial" w:cs="Arial"/>
          <w:sz w:val="24"/>
        </w:rPr>
        <w:t xml:space="preserve"> investment into nationally-signif</w:t>
      </w:r>
      <w:r>
        <w:rPr>
          <w:rFonts w:ascii="Arial" w:hAnsi="Arial" w:cs="Arial"/>
          <w:sz w:val="24"/>
        </w:rPr>
        <w:t>icant infrastructure projects.</w:t>
      </w:r>
    </w:p>
    <w:p w14:paraId="781CB71B" w14:textId="77777777" w:rsidR="00335BD7" w:rsidRPr="00D9036C" w:rsidRDefault="00335BD7" w:rsidP="00FC7786">
      <w:pPr>
        <w:keepNext/>
        <w:spacing w:after="240" w:line="240" w:lineRule="auto"/>
        <w:jc w:val="both"/>
        <w:rPr>
          <w:rFonts w:ascii="Arial" w:hAnsi="Arial" w:cs="Arial"/>
          <w:b/>
          <w:i/>
          <w:sz w:val="24"/>
          <w:szCs w:val="24"/>
        </w:rPr>
      </w:pPr>
      <w:bookmarkStart w:id="4" w:name="_Hlk3284466"/>
      <w:bookmarkStart w:id="5" w:name="_Hlk3366807"/>
      <w:r w:rsidRPr="00D9036C">
        <w:rPr>
          <w:rFonts w:ascii="Arial" w:hAnsi="Arial" w:cs="Arial"/>
          <w:b/>
          <w:i/>
          <w:sz w:val="24"/>
          <w:szCs w:val="24"/>
        </w:rPr>
        <w:t>International income taxation</w:t>
      </w:r>
    </w:p>
    <w:bookmarkEnd w:id="4"/>
    <w:bookmarkEnd w:id="5"/>
    <w:p w14:paraId="00A98571" w14:textId="77777777" w:rsidR="002F2A43" w:rsidRPr="002F2A43" w:rsidRDefault="002F2A43" w:rsidP="00FC7786">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2F2A43">
        <w:rPr>
          <w:rFonts w:ascii="Arial" w:hAnsi="Arial" w:cs="Arial"/>
          <w:sz w:val="24"/>
          <w:szCs w:val="24"/>
        </w:rPr>
        <w:t xml:space="preserve">The TWG noted that New Zealand is currently participating in discussions at the Organisation for Economic Co-operation and Development (OECD) on the future of the international tax framework. In its final report, the TWG concluded that New Zealand should continue to participate in OECD discussions on changing the international tax </w:t>
      </w:r>
      <w:proofErr w:type="gramStart"/>
      <w:r w:rsidRPr="002F2A43">
        <w:rPr>
          <w:rFonts w:ascii="Arial" w:hAnsi="Arial" w:cs="Arial"/>
          <w:sz w:val="24"/>
          <w:szCs w:val="24"/>
        </w:rPr>
        <w:t>framework, but</w:t>
      </w:r>
      <w:proofErr w:type="gramEnd"/>
      <w:r w:rsidRPr="002F2A43">
        <w:rPr>
          <w:rFonts w:ascii="Arial" w:hAnsi="Arial" w:cs="Arial"/>
          <w:sz w:val="24"/>
          <w:szCs w:val="24"/>
        </w:rPr>
        <w:t xml:space="preserve"> should also stand ready to implement a </w:t>
      </w:r>
      <w:r>
        <w:rPr>
          <w:rFonts w:ascii="Arial" w:hAnsi="Arial" w:cs="Arial"/>
          <w:sz w:val="24"/>
          <w:szCs w:val="24"/>
        </w:rPr>
        <w:t>Digital Service Tax (</w:t>
      </w:r>
      <w:r w:rsidRPr="002F2A43">
        <w:rPr>
          <w:rFonts w:ascii="Arial" w:hAnsi="Arial" w:cs="Arial"/>
          <w:sz w:val="24"/>
          <w:szCs w:val="24"/>
        </w:rPr>
        <w:t>DST</w:t>
      </w:r>
      <w:r>
        <w:rPr>
          <w:rFonts w:ascii="Arial" w:hAnsi="Arial" w:cs="Arial"/>
          <w:sz w:val="24"/>
          <w:szCs w:val="24"/>
        </w:rPr>
        <w:t>)</w:t>
      </w:r>
      <w:r w:rsidRPr="002F2A43">
        <w:rPr>
          <w:rFonts w:ascii="Arial" w:hAnsi="Arial" w:cs="Arial"/>
          <w:sz w:val="24"/>
          <w:szCs w:val="24"/>
        </w:rPr>
        <w:t xml:space="preserve"> if a critical mass of other countries move in that direction, and it is reasonably certain th</w:t>
      </w:r>
      <w:r w:rsidR="00EF1F51">
        <w:rPr>
          <w:rFonts w:ascii="Arial" w:hAnsi="Arial" w:cs="Arial"/>
          <w:sz w:val="24"/>
          <w:szCs w:val="24"/>
        </w:rPr>
        <w:t>at</w:t>
      </w:r>
      <w:r w:rsidRPr="002F2A43">
        <w:rPr>
          <w:rFonts w:ascii="Arial" w:hAnsi="Arial" w:cs="Arial"/>
          <w:sz w:val="24"/>
          <w:szCs w:val="24"/>
        </w:rPr>
        <w:t xml:space="preserve"> New Zealand’s export industries will not be materially impacted by any </w:t>
      </w:r>
      <w:r w:rsidR="00A451B9">
        <w:rPr>
          <w:rFonts w:ascii="Arial" w:hAnsi="Arial" w:cs="Arial"/>
          <w:sz w:val="24"/>
          <w:szCs w:val="24"/>
        </w:rPr>
        <w:t>reciprocal</w:t>
      </w:r>
      <w:r w:rsidR="00A451B9" w:rsidRPr="002F2A43">
        <w:rPr>
          <w:rFonts w:ascii="Arial" w:hAnsi="Arial" w:cs="Arial"/>
          <w:sz w:val="24"/>
          <w:szCs w:val="24"/>
        </w:rPr>
        <w:t xml:space="preserve"> </w:t>
      </w:r>
      <w:r w:rsidRPr="002F2A43">
        <w:rPr>
          <w:rFonts w:ascii="Arial" w:hAnsi="Arial" w:cs="Arial"/>
          <w:sz w:val="24"/>
          <w:szCs w:val="24"/>
        </w:rPr>
        <w:t>measures.</w:t>
      </w:r>
    </w:p>
    <w:p w14:paraId="0270F2A2" w14:textId="77777777" w:rsidR="002F2A43" w:rsidRPr="002F2A43" w:rsidRDefault="009528B9" w:rsidP="002F2A43">
      <w:pPr>
        <w:keepNext/>
        <w:spacing w:after="240" w:line="240" w:lineRule="auto"/>
        <w:jc w:val="both"/>
        <w:rPr>
          <w:rFonts w:ascii="Arial" w:hAnsi="Arial" w:cs="Arial"/>
          <w:i/>
          <w:sz w:val="24"/>
          <w:szCs w:val="24"/>
        </w:rPr>
      </w:pPr>
      <w:r>
        <w:rPr>
          <w:rFonts w:ascii="Arial" w:hAnsi="Arial" w:cs="Arial"/>
          <w:i/>
          <w:sz w:val="24"/>
          <w:szCs w:val="24"/>
        </w:rPr>
        <w:t>Government response</w:t>
      </w:r>
    </w:p>
    <w:p w14:paraId="4218D545" w14:textId="77777777" w:rsidR="002F2A43" w:rsidRPr="002F2A43" w:rsidRDefault="002F2A43" w:rsidP="002F2A43">
      <w:pPr>
        <w:pStyle w:val="ListParagraph"/>
        <w:numPr>
          <w:ilvl w:val="0"/>
          <w:numId w:val="1"/>
        </w:numPr>
        <w:spacing w:after="240" w:line="240" w:lineRule="auto"/>
        <w:ind w:left="709" w:hanging="709"/>
        <w:contextualSpacing w:val="0"/>
        <w:jc w:val="both"/>
        <w:rPr>
          <w:rFonts w:ascii="Arial" w:hAnsi="Arial" w:cs="Arial"/>
          <w:sz w:val="24"/>
          <w:szCs w:val="24"/>
        </w:rPr>
      </w:pPr>
      <w:r w:rsidRPr="002F2A43">
        <w:rPr>
          <w:rFonts w:ascii="Arial" w:hAnsi="Arial" w:cs="Arial"/>
          <w:sz w:val="24"/>
          <w:szCs w:val="24"/>
        </w:rPr>
        <w:t>There is a problem with the current taxation of the digital economy, both in New Zealand and internationally.</w:t>
      </w:r>
      <w:r>
        <w:rPr>
          <w:rFonts w:ascii="Arial" w:hAnsi="Arial" w:cs="Arial"/>
          <w:sz w:val="24"/>
          <w:szCs w:val="24"/>
        </w:rPr>
        <w:t xml:space="preserve"> </w:t>
      </w:r>
      <w:r w:rsidR="00765260">
        <w:rPr>
          <w:rFonts w:ascii="Arial" w:hAnsi="Arial" w:cs="Arial"/>
          <w:sz w:val="24"/>
          <w:szCs w:val="24"/>
        </w:rPr>
        <w:t>We</w:t>
      </w:r>
      <w:r w:rsidRPr="002F2A43">
        <w:rPr>
          <w:rFonts w:ascii="Arial" w:hAnsi="Arial" w:cs="Arial"/>
          <w:sz w:val="24"/>
          <w:szCs w:val="24"/>
        </w:rPr>
        <w:t xml:space="preserve"> agree with the TWG that New Zealand should continue to participate in the OECD discussions on the taxation of the digital economy, with a view to supporting a long-term solution (bearing in mind its effect on our exporters).</w:t>
      </w:r>
    </w:p>
    <w:p w14:paraId="4DBA81AE" w14:textId="77777777" w:rsidR="002F2A43" w:rsidRPr="002F2A43" w:rsidRDefault="009A6A5F" w:rsidP="002F2A43">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2F2A43" w:rsidRPr="002F2A43">
        <w:rPr>
          <w:rFonts w:ascii="Arial" w:hAnsi="Arial" w:cs="Arial"/>
          <w:sz w:val="24"/>
          <w:szCs w:val="24"/>
        </w:rPr>
        <w:t xml:space="preserve"> also agree that the Government should actively consider a possible DST as an option for taxing the digital economy, in case the OECD </w:t>
      </w:r>
      <w:r w:rsidR="007E1200">
        <w:rPr>
          <w:rFonts w:ascii="Arial" w:hAnsi="Arial" w:cs="Arial"/>
          <w:sz w:val="24"/>
          <w:szCs w:val="24"/>
        </w:rPr>
        <w:t>cannot</w:t>
      </w:r>
      <w:r w:rsidR="002F2A43" w:rsidRPr="002F2A43">
        <w:rPr>
          <w:rFonts w:ascii="Arial" w:hAnsi="Arial" w:cs="Arial"/>
          <w:sz w:val="24"/>
          <w:szCs w:val="24"/>
        </w:rPr>
        <w:t xml:space="preserve"> achieve sufficient progress this year.</w:t>
      </w:r>
    </w:p>
    <w:p w14:paraId="070DD7FE" w14:textId="77777777" w:rsidR="002F2A43" w:rsidRPr="002F2A43" w:rsidRDefault="009A6A5F" w:rsidP="002F2A43">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2F2A43" w:rsidRPr="002F2A43">
        <w:rPr>
          <w:rFonts w:ascii="Arial" w:hAnsi="Arial" w:cs="Arial"/>
          <w:sz w:val="24"/>
          <w:szCs w:val="24"/>
        </w:rPr>
        <w:t xml:space="preserve"> reported to Cabinet on this in February 2019.  Following Cabinet approval, </w:t>
      </w:r>
      <w:r w:rsidR="00093B5A">
        <w:rPr>
          <w:rFonts w:ascii="Arial" w:hAnsi="Arial" w:cs="Arial"/>
          <w:sz w:val="24"/>
          <w:szCs w:val="24"/>
        </w:rPr>
        <w:t>we</w:t>
      </w:r>
      <w:r w:rsidR="002F2A43" w:rsidRPr="002F2A43">
        <w:rPr>
          <w:rFonts w:ascii="Arial" w:hAnsi="Arial" w:cs="Arial"/>
          <w:sz w:val="24"/>
          <w:szCs w:val="24"/>
        </w:rPr>
        <w:t xml:space="preserve"> have directed officials to draft a discussion document to get public feedback on the options for taxing the digital economy (being the international solution being discussed at the OECD and the DST). Feedback from the discussion document will be used to help formulate the best policy for taxing the digital economy.</w:t>
      </w:r>
    </w:p>
    <w:p w14:paraId="3923CE57" w14:textId="0DA700A5" w:rsidR="002F2A43" w:rsidRPr="002F2A43" w:rsidRDefault="009A6A5F" w:rsidP="002F2A43">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2F2A43" w:rsidRPr="002F2A43">
        <w:rPr>
          <w:rFonts w:ascii="Arial" w:hAnsi="Arial" w:cs="Arial"/>
          <w:sz w:val="24"/>
          <w:szCs w:val="24"/>
        </w:rPr>
        <w:t xml:space="preserve"> will report back to Cabinet </w:t>
      </w:r>
      <w:r w:rsidR="00896E06">
        <w:rPr>
          <w:rFonts w:ascii="Arial" w:hAnsi="Arial" w:cs="Arial"/>
          <w:sz w:val="24"/>
          <w:szCs w:val="24"/>
        </w:rPr>
        <w:t xml:space="preserve">in May </w:t>
      </w:r>
      <w:r w:rsidR="002F2A43" w:rsidRPr="002F2A43">
        <w:rPr>
          <w:rFonts w:ascii="Arial" w:hAnsi="Arial" w:cs="Arial"/>
          <w:sz w:val="24"/>
          <w:szCs w:val="24"/>
        </w:rPr>
        <w:t>with a draft of the discussion document.</w:t>
      </w:r>
    </w:p>
    <w:p w14:paraId="2DAFB9BF" w14:textId="77777777" w:rsidR="00335BD7" w:rsidRPr="00D9036C" w:rsidRDefault="00335BD7" w:rsidP="002F1409">
      <w:pPr>
        <w:keepNext/>
        <w:spacing w:after="240" w:line="240" w:lineRule="auto"/>
        <w:jc w:val="both"/>
        <w:rPr>
          <w:rFonts w:ascii="Arial" w:hAnsi="Arial" w:cs="Arial"/>
          <w:b/>
          <w:i/>
          <w:sz w:val="24"/>
          <w:szCs w:val="24"/>
        </w:rPr>
      </w:pPr>
      <w:r w:rsidRPr="00D9036C">
        <w:rPr>
          <w:rFonts w:ascii="Arial" w:hAnsi="Arial" w:cs="Arial"/>
          <w:b/>
          <w:i/>
          <w:sz w:val="24"/>
          <w:szCs w:val="24"/>
        </w:rPr>
        <w:t>Retirement savings</w:t>
      </w:r>
    </w:p>
    <w:p w14:paraId="49759B91" w14:textId="77777777" w:rsidR="00335BD7" w:rsidRDefault="00335BD7" w:rsidP="002F1409">
      <w:pPr>
        <w:pStyle w:val="ListParagraph"/>
        <w:keepLines/>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noted that New Zealand offers few tax incentives for retirement </w:t>
      </w:r>
      <w:r w:rsidR="00197828" w:rsidRPr="00335BD7">
        <w:rPr>
          <w:rFonts w:ascii="Arial" w:hAnsi="Arial" w:cs="Arial"/>
          <w:sz w:val="24"/>
          <w:szCs w:val="24"/>
        </w:rPr>
        <w:t>savings but</w:t>
      </w:r>
      <w:r w:rsidRPr="00335BD7">
        <w:rPr>
          <w:rFonts w:ascii="Arial" w:hAnsi="Arial" w:cs="Arial"/>
          <w:sz w:val="24"/>
          <w:szCs w:val="24"/>
        </w:rPr>
        <w:t xml:space="preserve"> does not see a case to </w:t>
      </w:r>
      <w:r w:rsidR="007E1200">
        <w:rPr>
          <w:rFonts w:ascii="Arial" w:hAnsi="Arial" w:cs="Arial"/>
          <w:sz w:val="24"/>
          <w:szCs w:val="24"/>
        </w:rPr>
        <w:t xml:space="preserve">significantly </w:t>
      </w:r>
      <w:r w:rsidRPr="00335BD7">
        <w:rPr>
          <w:rFonts w:ascii="Arial" w:hAnsi="Arial" w:cs="Arial"/>
          <w:sz w:val="24"/>
          <w:szCs w:val="24"/>
        </w:rPr>
        <w:t xml:space="preserve">reform the taxation of retirement savings. Despite this, the TWG recommended an increase in the tax benefits for low and middle-income earners provided through </w:t>
      </w:r>
      <w:proofErr w:type="spellStart"/>
      <w:r w:rsidRPr="00335BD7">
        <w:rPr>
          <w:rFonts w:ascii="Arial" w:hAnsi="Arial" w:cs="Arial"/>
          <w:sz w:val="24"/>
          <w:szCs w:val="24"/>
        </w:rPr>
        <w:t>KiwiSaver</w:t>
      </w:r>
      <w:proofErr w:type="spellEnd"/>
      <w:r w:rsidRPr="00335BD7">
        <w:rPr>
          <w:rFonts w:ascii="Arial" w:hAnsi="Arial" w:cs="Arial"/>
          <w:sz w:val="24"/>
          <w:szCs w:val="24"/>
        </w:rPr>
        <w:t xml:space="preserve"> to encourage people to put more away for their retirement. </w:t>
      </w:r>
    </w:p>
    <w:p w14:paraId="3FDDF8F2" w14:textId="77777777" w:rsidR="009C1A98" w:rsidRPr="00D60935" w:rsidRDefault="00335BD7" w:rsidP="00D60935">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also recommended that:</w:t>
      </w:r>
    </w:p>
    <w:p w14:paraId="41A42BA3"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there is a case to exempt the New Zealand Superannuation Fund </w:t>
      </w:r>
      <w:r w:rsidR="009720F3" w:rsidRPr="0063750C">
        <w:rPr>
          <w:rFonts w:ascii="Arial" w:hAnsi="Arial" w:cs="Arial"/>
          <w:sz w:val="24"/>
          <w:szCs w:val="24"/>
        </w:rPr>
        <w:t xml:space="preserve">(NZSF) </w:t>
      </w:r>
      <w:r w:rsidRPr="0063750C">
        <w:rPr>
          <w:rFonts w:ascii="Arial" w:hAnsi="Arial" w:cs="Arial"/>
          <w:sz w:val="24"/>
          <w:szCs w:val="24"/>
        </w:rPr>
        <w:t>from New Zealand tax obligations</w:t>
      </w:r>
      <w:r w:rsidR="004C4D5D" w:rsidRPr="0063750C">
        <w:rPr>
          <w:rFonts w:ascii="Arial" w:hAnsi="Arial" w:cs="Arial"/>
          <w:sz w:val="24"/>
          <w:szCs w:val="24"/>
        </w:rPr>
        <w:t>, and</w:t>
      </w:r>
    </w:p>
    <w:p w14:paraId="522AF03E" w14:textId="77777777" w:rsidR="00335BD7" w:rsidRPr="0063750C" w:rsidRDefault="00286F5C" w:rsidP="0063750C">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 xml:space="preserve">the Government should </w:t>
      </w:r>
      <w:r w:rsidR="00335BD7" w:rsidRPr="0063750C">
        <w:rPr>
          <w:rFonts w:ascii="Arial" w:hAnsi="Arial" w:cs="Arial"/>
          <w:sz w:val="24"/>
          <w:szCs w:val="24"/>
        </w:rPr>
        <w:t xml:space="preserve">simplify the </w:t>
      </w:r>
      <w:r w:rsidR="003A03F9">
        <w:rPr>
          <w:rFonts w:ascii="Arial" w:hAnsi="Arial" w:cs="Arial"/>
          <w:sz w:val="24"/>
          <w:szCs w:val="24"/>
        </w:rPr>
        <w:t xml:space="preserve">determination of </w:t>
      </w:r>
      <w:r w:rsidR="00335BD7" w:rsidRPr="0063750C">
        <w:rPr>
          <w:rFonts w:ascii="Arial" w:hAnsi="Arial" w:cs="Arial"/>
          <w:sz w:val="24"/>
          <w:szCs w:val="24"/>
        </w:rPr>
        <w:t>P</w:t>
      </w:r>
      <w:r w:rsidR="007A7FC5">
        <w:rPr>
          <w:rFonts w:ascii="Arial" w:hAnsi="Arial" w:cs="Arial"/>
          <w:sz w:val="24"/>
          <w:szCs w:val="24"/>
        </w:rPr>
        <w:t xml:space="preserve">ortfolio </w:t>
      </w:r>
      <w:r w:rsidR="00335BD7" w:rsidRPr="0063750C">
        <w:rPr>
          <w:rFonts w:ascii="Arial" w:hAnsi="Arial" w:cs="Arial"/>
          <w:sz w:val="24"/>
          <w:szCs w:val="24"/>
        </w:rPr>
        <w:t>I</w:t>
      </w:r>
      <w:r w:rsidR="007A7FC5">
        <w:rPr>
          <w:rFonts w:ascii="Arial" w:hAnsi="Arial" w:cs="Arial"/>
          <w:sz w:val="24"/>
          <w:szCs w:val="24"/>
        </w:rPr>
        <w:t xml:space="preserve">nvestment </w:t>
      </w:r>
      <w:r w:rsidR="00335BD7" w:rsidRPr="0063750C">
        <w:rPr>
          <w:rFonts w:ascii="Arial" w:hAnsi="Arial" w:cs="Arial"/>
          <w:sz w:val="24"/>
          <w:szCs w:val="24"/>
        </w:rPr>
        <w:t>E</w:t>
      </w:r>
      <w:r w:rsidR="007A7FC5">
        <w:rPr>
          <w:rFonts w:ascii="Arial" w:hAnsi="Arial" w:cs="Arial"/>
          <w:sz w:val="24"/>
          <w:szCs w:val="24"/>
        </w:rPr>
        <w:t>ntity (PIE)</w:t>
      </w:r>
      <w:r w:rsidR="00335BD7" w:rsidRPr="0063750C">
        <w:rPr>
          <w:rFonts w:ascii="Arial" w:hAnsi="Arial" w:cs="Arial"/>
          <w:sz w:val="24"/>
          <w:szCs w:val="24"/>
        </w:rPr>
        <w:t xml:space="preserve"> rates (which would apply to </w:t>
      </w:r>
      <w:proofErr w:type="spellStart"/>
      <w:r w:rsidR="00335BD7" w:rsidRPr="0063750C">
        <w:rPr>
          <w:rFonts w:ascii="Arial" w:hAnsi="Arial" w:cs="Arial"/>
          <w:sz w:val="24"/>
          <w:szCs w:val="24"/>
        </w:rPr>
        <w:t>KiwiSaver</w:t>
      </w:r>
      <w:proofErr w:type="spellEnd"/>
      <w:r w:rsidR="00335BD7" w:rsidRPr="0063750C">
        <w:rPr>
          <w:rFonts w:ascii="Arial" w:hAnsi="Arial" w:cs="Arial"/>
          <w:sz w:val="24"/>
          <w:szCs w:val="24"/>
        </w:rPr>
        <w:t>).</w:t>
      </w:r>
    </w:p>
    <w:p w14:paraId="544F672B" w14:textId="77777777" w:rsidR="00335BD7" w:rsidRPr="00D9036C" w:rsidRDefault="00414026" w:rsidP="000C1797">
      <w:pPr>
        <w:keepNext/>
        <w:spacing w:after="240" w:line="240" w:lineRule="auto"/>
        <w:jc w:val="both"/>
        <w:rPr>
          <w:rFonts w:ascii="Arial" w:hAnsi="Arial" w:cs="Arial"/>
          <w:i/>
          <w:sz w:val="24"/>
          <w:szCs w:val="24"/>
        </w:rPr>
      </w:pPr>
      <w:r>
        <w:rPr>
          <w:rFonts w:ascii="Arial" w:hAnsi="Arial" w:cs="Arial"/>
          <w:i/>
          <w:sz w:val="24"/>
          <w:szCs w:val="24"/>
        </w:rPr>
        <w:t>Government response</w:t>
      </w:r>
    </w:p>
    <w:p w14:paraId="0535C500" w14:textId="77777777" w:rsidR="00442A55" w:rsidRDefault="00442A55" w:rsidP="0079185A">
      <w:pPr>
        <w:pStyle w:val="ListParagraph"/>
        <w:numPr>
          <w:ilvl w:val="0"/>
          <w:numId w:val="1"/>
        </w:numPr>
        <w:spacing w:after="240" w:line="240" w:lineRule="auto"/>
        <w:ind w:left="709" w:hanging="709"/>
        <w:contextualSpacing w:val="0"/>
        <w:jc w:val="both"/>
        <w:rPr>
          <w:rFonts w:ascii="Arial" w:hAnsi="Arial" w:cs="Arial"/>
          <w:sz w:val="24"/>
          <w:szCs w:val="24"/>
        </w:rPr>
      </w:pPr>
      <w:r w:rsidRPr="00187A91">
        <w:rPr>
          <w:rFonts w:ascii="Arial" w:hAnsi="Arial" w:cs="Arial"/>
          <w:sz w:val="24"/>
          <w:szCs w:val="24"/>
        </w:rPr>
        <w:t xml:space="preserve">We propose to </w:t>
      </w:r>
      <w:r w:rsidR="00EE6B35">
        <w:rPr>
          <w:rFonts w:ascii="Arial" w:hAnsi="Arial" w:cs="Arial"/>
          <w:sz w:val="24"/>
          <w:szCs w:val="24"/>
        </w:rPr>
        <w:t xml:space="preserve">consider </w:t>
      </w:r>
      <w:r w:rsidRPr="00187A91">
        <w:rPr>
          <w:rFonts w:ascii="Arial" w:hAnsi="Arial" w:cs="Arial"/>
          <w:sz w:val="24"/>
          <w:szCs w:val="24"/>
        </w:rPr>
        <w:t xml:space="preserve">the simplification of the determination of PIE rates for inclusion in the TPWP. Many </w:t>
      </w:r>
      <w:proofErr w:type="spellStart"/>
      <w:r w:rsidRPr="00187A91">
        <w:rPr>
          <w:rFonts w:ascii="Arial" w:hAnsi="Arial" w:cs="Arial"/>
          <w:sz w:val="24"/>
          <w:szCs w:val="24"/>
        </w:rPr>
        <w:t>KiwiSaver</w:t>
      </w:r>
      <w:proofErr w:type="spellEnd"/>
      <w:r w:rsidRPr="00187A91">
        <w:rPr>
          <w:rFonts w:ascii="Arial" w:hAnsi="Arial" w:cs="Arial"/>
          <w:sz w:val="24"/>
          <w:szCs w:val="24"/>
        </w:rPr>
        <w:t xml:space="preserve"> members are on an incorrect PIE rate, typically the default rate of 28%. As part of its Business Transformation programme, Inland Revenue will start to receive more frequent income information. This information could be used to help ensure </w:t>
      </w:r>
      <w:r>
        <w:rPr>
          <w:rFonts w:ascii="Arial" w:hAnsi="Arial" w:cs="Arial"/>
          <w:sz w:val="24"/>
          <w:szCs w:val="24"/>
        </w:rPr>
        <w:t>taxpayers are using</w:t>
      </w:r>
      <w:r w:rsidRPr="00CA2D40">
        <w:rPr>
          <w:rFonts w:ascii="Arial" w:hAnsi="Arial" w:cs="Arial"/>
          <w:sz w:val="24"/>
          <w:szCs w:val="24"/>
        </w:rPr>
        <w:t xml:space="preserve"> the correct PIE rate. </w:t>
      </w:r>
    </w:p>
    <w:p w14:paraId="7AD34572" w14:textId="77777777" w:rsidR="00F04F98" w:rsidRPr="00187A91" w:rsidRDefault="00F04F98" w:rsidP="0079185A">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This work would sit alongside the Government’s broader work on </w:t>
      </w:r>
      <w:proofErr w:type="spellStart"/>
      <w:r>
        <w:rPr>
          <w:rFonts w:ascii="Arial" w:hAnsi="Arial" w:cs="Arial"/>
          <w:sz w:val="24"/>
          <w:szCs w:val="24"/>
        </w:rPr>
        <w:t>KiwiSaver</w:t>
      </w:r>
      <w:proofErr w:type="spellEnd"/>
      <w:r>
        <w:rPr>
          <w:rFonts w:ascii="Arial" w:hAnsi="Arial" w:cs="Arial"/>
          <w:sz w:val="24"/>
          <w:szCs w:val="24"/>
        </w:rPr>
        <w:t xml:space="preserve">, which includes the default provider review and a consideration of options to increase </w:t>
      </w:r>
      <w:proofErr w:type="spellStart"/>
      <w:r>
        <w:rPr>
          <w:rFonts w:ascii="Arial" w:hAnsi="Arial" w:cs="Arial"/>
          <w:sz w:val="24"/>
          <w:szCs w:val="24"/>
        </w:rPr>
        <w:t>KiwiSaver</w:t>
      </w:r>
      <w:proofErr w:type="spellEnd"/>
      <w:r>
        <w:rPr>
          <w:rFonts w:ascii="Arial" w:hAnsi="Arial" w:cs="Arial"/>
          <w:sz w:val="24"/>
          <w:szCs w:val="24"/>
        </w:rPr>
        <w:t xml:space="preserve"> uptake and contributions.</w:t>
      </w:r>
    </w:p>
    <w:p w14:paraId="161C2C50" w14:textId="77777777" w:rsidR="00442A55" w:rsidRPr="002F1409" w:rsidRDefault="00442A55" w:rsidP="002F1409">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Pr="00335BD7">
        <w:rPr>
          <w:rFonts w:ascii="Arial" w:hAnsi="Arial" w:cs="Arial"/>
          <w:sz w:val="24"/>
          <w:szCs w:val="24"/>
        </w:rPr>
        <w:t xml:space="preserve"> propose </w:t>
      </w:r>
      <w:r>
        <w:rPr>
          <w:rFonts w:ascii="Arial" w:hAnsi="Arial" w:cs="Arial"/>
          <w:sz w:val="24"/>
          <w:szCs w:val="24"/>
        </w:rPr>
        <w:t>to consider the recommendation</w:t>
      </w:r>
      <w:r w:rsidRPr="00335BD7">
        <w:rPr>
          <w:rFonts w:ascii="Arial" w:hAnsi="Arial" w:cs="Arial"/>
          <w:sz w:val="24"/>
          <w:szCs w:val="24"/>
        </w:rPr>
        <w:t xml:space="preserve"> </w:t>
      </w:r>
      <w:r>
        <w:rPr>
          <w:rFonts w:ascii="Arial" w:hAnsi="Arial" w:cs="Arial"/>
          <w:sz w:val="24"/>
          <w:szCs w:val="24"/>
        </w:rPr>
        <w:t xml:space="preserve">to exempt the NZSF </w:t>
      </w:r>
      <w:r w:rsidRPr="00335BD7">
        <w:rPr>
          <w:rFonts w:ascii="Arial" w:hAnsi="Arial" w:cs="Arial"/>
          <w:sz w:val="24"/>
          <w:szCs w:val="24"/>
        </w:rPr>
        <w:t>in the TPWP.</w:t>
      </w:r>
      <w:r>
        <w:rPr>
          <w:rFonts w:ascii="Arial" w:hAnsi="Arial" w:cs="Arial"/>
          <w:sz w:val="24"/>
          <w:szCs w:val="24"/>
        </w:rPr>
        <w:t xml:space="preserve"> The economic and fiscal impact</w:t>
      </w:r>
      <w:r w:rsidR="0057043D">
        <w:rPr>
          <w:rFonts w:ascii="Arial" w:hAnsi="Arial" w:cs="Arial"/>
          <w:sz w:val="24"/>
          <w:szCs w:val="24"/>
        </w:rPr>
        <w:t>s</w:t>
      </w:r>
      <w:r>
        <w:rPr>
          <w:rFonts w:ascii="Arial" w:hAnsi="Arial" w:cs="Arial"/>
          <w:sz w:val="24"/>
          <w:szCs w:val="24"/>
        </w:rPr>
        <w:t xml:space="preserve"> of these measures</w:t>
      </w:r>
      <w:r w:rsidR="00437EB9">
        <w:rPr>
          <w:rFonts w:ascii="Arial" w:hAnsi="Arial" w:cs="Arial"/>
          <w:sz w:val="24"/>
          <w:szCs w:val="24"/>
        </w:rPr>
        <w:t xml:space="preserve"> would be significant, but</w:t>
      </w:r>
      <w:r>
        <w:rPr>
          <w:rFonts w:ascii="Arial" w:hAnsi="Arial" w:cs="Arial"/>
          <w:sz w:val="24"/>
          <w:szCs w:val="24"/>
        </w:rPr>
        <w:t xml:space="preserve"> have not yet been estimated</w:t>
      </w:r>
      <w:r w:rsidR="0057043D">
        <w:rPr>
          <w:rFonts w:ascii="Arial" w:hAnsi="Arial" w:cs="Arial"/>
          <w:sz w:val="24"/>
          <w:szCs w:val="24"/>
        </w:rPr>
        <w:t>,</w:t>
      </w:r>
      <w:r>
        <w:rPr>
          <w:rFonts w:ascii="Arial" w:hAnsi="Arial" w:cs="Arial"/>
          <w:sz w:val="24"/>
          <w:szCs w:val="24"/>
        </w:rPr>
        <w:t xml:space="preserve"> and should be a factor in further consideration of the </w:t>
      </w:r>
      <w:r w:rsidR="0057043D">
        <w:rPr>
          <w:rFonts w:ascii="Arial" w:hAnsi="Arial" w:cs="Arial"/>
          <w:sz w:val="24"/>
          <w:szCs w:val="24"/>
        </w:rPr>
        <w:t>recommendation</w:t>
      </w:r>
      <w:r>
        <w:rPr>
          <w:rFonts w:ascii="Arial" w:hAnsi="Arial" w:cs="Arial"/>
          <w:sz w:val="24"/>
          <w:szCs w:val="24"/>
        </w:rPr>
        <w:t>.</w:t>
      </w:r>
    </w:p>
    <w:p w14:paraId="51DCC351" w14:textId="77777777" w:rsidR="00335BD7" w:rsidRPr="008C0B1C" w:rsidRDefault="00335BD7" w:rsidP="00286F5C">
      <w:pPr>
        <w:keepNext/>
        <w:spacing w:after="240" w:line="240" w:lineRule="auto"/>
        <w:jc w:val="both"/>
        <w:rPr>
          <w:rFonts w:ascii="Arial" w:hAnsi="Arial" w:cs="Arial"/>
          <w:b/>
          <w:i/>
          <w:sz w:val="24"/>
          <w:szCs w:val="24"/>
        </w:rPr>
      </w:pPr>
      <w:bookmarkStart w:id="6" w:name="_Hlk3368987"/>
      <w:r w:rsidRPr="008C0B1C">
        <w:rPr>
          <w:rFonts w:ascii="Arial" w:hAnsi="Arial" w:cs="Arial"/>
          <w:b/>
          <w:i/>
          <w:sz w:val="24"/>
          <w:szCs w:val="24"/>
        </w:rPr>
        <w:t>Future of work</w:t>
      </w:r>
    </w:p>
    <w:p w14:paraId="1D3DD47E" w14:textId="77777777" w:rsidR="00335BD7" w:rsidRDefault="00335BD7" w:rsidP="00D6256D">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was concerned that the effectiveness of the pay</w:t>
      </w:r>
      <w:r w:rsidR="006B3A56">
        <w:rPr>
          <w:rFonts w:ascii="Arial" w:hAnsi="Arial" w:cs="Arial"/>
          <w:sz w:val="24"/>
          <w:szCs w:val="24"/>
        </w:rPr>
        <w:t>-</w:t>
      </w:r>
      <w:r w:rsidRPr="00335BD7">
        <w:rPr>
          <w:rFonts w:ascii="Arial" w:hAnsi="Arial" w:cs="Arial"/>
          <w:sz w:val="24"/>
          <w:szCs w:val="24"/>
        </w:rPr>
        <w:t>as</w:t>
      </w:r>
      <w:r w:rsidR="006B3A56">
        <w:rPr>
          <w:rFonts w:ascii="Arial" w:hAnsi="Arial" w:cs="Arial"/>
          <w:sz w:val="24"/>
          <w:szCs w:val="24"/>
        </w:rPr>
        <w:t>-</w:t>
      </w:r>
      <w:r w:rsidRPr="00335BD7">
        <w:rPr>
          <w:rFonts w:ascii="Arial" w:hAnsi="Arial" w:cs="Arial"/>
          <w:sz w:val="24"/>
          <w:szCs w:val="24"/>
        </w:rPr>
        <w:t>you</w:t>
      </w:r>
      <w:r w:rsidR="006B3A56">
        <w:rPr>
          <w:rFonts w:ascii="Arial" w:hAnsi="Arial" w:cs="Arial"/>
          <w:sz w:val="24"/>
          <w:szCs w:val="24"/>
        </w:rPr>
        <w:t>-</w:t>
      </w:r>
      <w:r w:rsidRPr="00335BD7">
        <w:rPr>
          <w:rFonts w:ascii="Arial" w:hAnsi="Arial" w:cs="Arial"/>
          <w:sz w:val="24"/>
          <w:szCs w:val="24"/>
        </w:rPr>
        <w:t>earn (PAYE) withholding system will reduce if labour market changes increase the proportion of self-employed workers in the future. Therefore, the TWG supported expanding the use of withholding taxes to increase compliance and recommended that withholding be extended as far as practicable (including to platform service providers) so long as this does not impose unreasonable compliance costs.</w:t>
      </w:r>
    </w:p>
    <w:p w14:paraId="680DA5FC" w14:textId="77777777" w:rsidR="001503F0" w:rsidRPr="00D9036C" w:rsidRDefault="00E07B34" w:rsidP="00D6256D">
      <w:pPr>
        <w:keepNext/>
        <w:spacing w:after="240" w:line="240" w:lineRule="auto"/>
        <w:jc w:val="both"/>
        <w:rPr>
          <w:rFonts w:ascii="Arial" w:hAnsi="Arial" w:cs="Arial"/>
          <w:i/>
          <w:sz w:val="24"/>
          <w:szCs w:val="24"/>
        </w:rPr>
      </w:pPr>
      <w:r>
        <w:rPr>
          <w:rFonts w:ascii="Arial" w:hAnsi="Arial" w:cs="Arial"/>
          <w:i/>
          <w:sz w:val="24"/>
          <w:szCs w:val="24"/>
        </w:rPr>
        <w:t>Government response</w:t>
      </w:r>
    </w:p>
    <w:p w14:paraId="6EA5A7EF" w14:textId="77777777" w:rsidR="009A6A5F" w:rsidRPr="009A6A5F" w:rsidRDefault="00551765" w:rsidP="00D6256D">
      <w:pPr>
        <w:pStyle w:val="ListParagraph"/>
        <w:numPr>
          <w:ilvl w:val="0"/>
          <w:numId w:val="1"/>
        </w:numPr>
        <w:spacing w:after="240" w:line="240" w:lineRule="auto"/>
        <w:ind w:left="709" w:hanging="709"/>
        <w:contextualSpacing w:val="0"/>
        <w:jc w:val="both"/>
        <w:rPr>
          <w:rFonts w:ascii="Arial" w:hAnsi="Arial" w:cs="Arial"/>
          <w:sz w:val="24"/>
          <w:szCs w:val="24"/>
        </w:rPr>
      </w:pPr>
      <w:bookmarkStart w:id="7" w:name="_Hlk3368777"/>
      <w:bookmarkEnd w:id="6"/>
      <w:r>
        <w:rPr>
          <w:rFonts w:ascii="Arial" w:hAnsi="Arial" w:cs="Arial"/>
          <w:sz w:val="24"/>
          <w:szCs w:val="24"/>
        </w:rPr>
        <w:t>T</w:t>
      </w:r>
      <w:r w:rsidR="009A6A5F" w:rsidRPr="009A6A5F">
        <w:rPr>
          <w:rFonts w:ascii="Arial" w:hAnsi="Arial" w:cs="Arial"/>
          <w:sz w:val="24"/>
          <w:szCs w:val="24"/>
        </w:rPr>
        <w:t>he nature of work is changing in New Zealand, with new technology already having a</w:t>
      </w:r>
      <w:r>
        <w:rPr>
          <w:rFonts w:ascii="Arial" w:hAnsi="Arial" w:cs="Arial"/>
          <w:sz w:val="24"/>
          <w:szCs w:val="24"/>
        </w:rPr>
        <w:t>n</w:t>
      </w:r>
      <w:r w:rsidR="009A6A5F" w:rsidRPr="009A6A5F">
        <w:rPr>
          <w:rFonts w:ascii="Arial" w:hAnsi="Arial" w:cs="Arial"/>
          <w:sz w:val="24"/>
          <w:szCs w:val="24"/>
        </w:rPr>
        <w:t xml:space="preserve"> impact across many industries. It is important that the tax system continues to evolve</w:t>
      </w:r>
      <w:r w:rsidR="00355982">
        <w:rPr>
          <w:rFonts w:ascii="Arial" w:hAnsi="Arial" w:cs="Arial"/>
          <w:sz w:val="24"/>
          <w:szCs w:val="24"/>
        </w:rPr>
        <w:t>,</w:t>
      </w:r>
      <w:r w:rsidR="009A6A5F" w:rsidRPr="009A6A5F">
        <w:rPr>
          <w:rFonts w:ascii="Arial" w:hAnsi="Arial" w:cs="Arial"/>
          <w:sz w:val="24"/>
          <w:szCs w:val="24"/>
        </w:rPr>
        <w:t xml:space="preserve"> so it remains fair and equitable in the future. </w:t>
      </w:r>
    </w:p>
    <w:p w14:paraId="64287189" w14:textId="77777777" w:rsidR="009A6A5F" w:rsidRPr="009A6A5F" w:rsidRDefault="009A6A5F" w:rsidP="007D35C0">
      <w:pPr>
        <w:pStyle w:val="ListParagraph"/>
        <w:numPr>
          <w:ilvl w:val="0"/>
          <w:numId w:val="1"/>
        </w:numPr>
        <w:spacing w:after="240" w:line="240" w:lineRule="auto"/>
        <w:ind w:left="709" w:hanging="709"/>
        <w:contextualSpacing w:val="0"/>
        <w:jc w:val="both"/>
        <w:rPr>
          <w:rFonts w:ascii="Arial" w:hAnsi="Arial" w:cs="Arial"/>
          <w:sz w:val="24"/>
          <w:szCs w:val="24"/>
        </w:rPr>
      </w:pPr>
      <w:r w:rsidRPr="009A6A5F">
        <w:rPr>
          <w:rFonts w:ascii="Arial" w:hAnsi="Arial" w:cs="Arial"/>
          <w:sz w:val="24"/>
          <w:szCs w:val="24"/>
        </w:rPr>
        <w:t xml:space="preserve">Work across multiple government agencies is currently underway, with Inland Revenue officials undertaking targeted consultation on a number of proposals to expand the scope of the </w:t>
      </w:r>
      <w:r w:rsidR="00521771">
        <w:rPr>
          <w:rFonts w:ascii="Arial" w:hAnsi="Arial" w:cs="Arial"/>
          <w:sz w:val="24"/>
          <w:szCs w:val="24"/>
        </w:rPr>
        <w:t>s</w:t>
      </w:r>
      <w:r w:rsidRPr="009A6A5F">
        <w:rPr>
          <w:rFonts w:ascii="Arial" w:hAnsi="Arial" w:cs="Arial"/>
          <w:sz w:val="24"/>
          <w:szCs w:val="24"/>
        </w:rPr>
        <w:t xml:space="preserve">chedular </w:t>
      </w:r>
      <w:r w:rsidR="00521771">
        <w:rPr>
          <w:rFonts w:ascii="Arial" w:hAnsi="Arial" w:cs="Arial"/>
          <w:sz w:val="24"/>
          <w:szCs w:val="24"/>
        </w:rPr>
        <w:t>p</w:t>
      </w:r>
      <w:r w:rsidRPr="009A6A5F">
        <w:rPr>
          <w:rFonts w:ascii="Arial" w:hAnsi="Arial" w:cs="Arial"/>
          <w:sz w:val="24"/>
          <w:szCs w:val="24"/>
        </w:rPr>
        <w:t xml:space="preserve">ayments rules and address non-compliance </w:t>
      </w:r>
      <w:r w:rsidR="009E4270">
        <w:rPr>
          <w:rFonts w:ascii="Arial" w:hAnsi="Arial" w:cs="Arial"/>
          <w:sz w:val="24"/>
          <w:szCs w:val="24"/>
        </w:rPr>
        <w:t>by</w:t>
      </w:r>
      <w:r w:rsidR="009E4270" w:rsidRPr="009A6A5F">
        <w:rPr>
          <w:rFonts w:ascii="Arial" w:hAnsi="Arial" w:cs="Arial"/>
          <w:sz w:val="24"/>
          <w:szCs w:val="24"/>
        </w:rPr>
        <w:t xml:space="preserve"> </w:t>
      </w:r>
      <w:r w:rsidRPr="009A6A5F">
        <w:rPr>
          <w:rFonts w:ascii="Arial" w:hAnsi="Arial" w:cs="Arial"/>
          <w:sz w:val="24"/>
          <w:szCs w:val="24"/>
        </w:rPr>
        <w:t>self-employed worker</w:t>
      </w:r>
      <w:r w:rsidR="00C552E6">
        <w:rPr>
          <w:rFonts w:ascii="Arial" w:hAnsi="Arial" w:cs="Arial"/>
          <w:sz w:val="24"/>
          <w:szCs w:val="24"/>
        </w:rPr>
        <w:t>s.</w:t>
      </w:r>
      <w:r w:rsidRPr="009A6A5F">
        <w:rPr>
          <w:rFonts w:ascii="Arial" w:hAnsi="Arial" w:cs="Arial"/>
          <w:sz w:val="24"/>
          <w:szCs w:val="24"/>
        </w:rPr>
        <w:t xml:space="preserve"> The TWG support</w:t>
      </w:r>
      <w:r w:rsidR="007E1200">
        <w:rPr>
          <w:rFonts w:ascii="Arial" w:hAnsi="Arial" w:cs="Arial"/>
          <w:sz w:val="24"/>
          <w:szCs w:val="24"/>
        </w:rPr>
        <w:t>ed</w:t>
      </w:r>
      <w:r w:rsidRPr="009A6A5F">
        <w:rPr>
          <w:rFonts w:ascii="Arial" w:hAnsi="Arial" w:cs="Arial"/>
          <w:sz w:val="24"/>
          <w:szCs w:val="24"/>
        </w:rPr>
        <w:t xml:space="preserve"> this work. </w:t>
      </w:r>
      <w:r>
        <w:rPr>
          <w:rFonts w:ascii="Arial" w:hAnsi="Arial" w:cs="Arial"/>
          <w:sz w:val="24"/>
          <w:szCs w:val="24"/>
        </w:rPr>
        <w:t>We</w:t>
      </w:r>
      <w:r w:rsidRPr="009A6A5F">
        <w:rPr>
          <w:rFonts w:ascii="Arial" w:hAnsi="Arial" w:cs="Arial"/>
          <w:sz w:val="24"/>
          <w:szCs w:val="24"/>
        </w:rPr>
        <w:t xml:space="preserve"> will receive an update on this work in the second half of 2019. </w:t>
      </w:r>
    </w:p>
    <w:p w14:paraId="7E987C64" w14:textId="77777777" w:rsidR="00335BD7" w:rsidRPr="00D9036C" w:rsidRDefault="00335BD7" w:rsidP="009A6A5F">
      <w:pPr>
        <w:keepNext/>
        <w:spacing w:after="240" w:line="240" w:lineRule="auto"/>
        <w:jc w:val="both"/>
        <w:rPr>
          <w:rFonts w:ascii="Arial" w:hAnsi="Arial" w:cs="Arial"/>
          <w:b/>
          <w:i/>
          <w:sz w:val="24"/>
          <w:szCs w:val="24"/>
        </w:rPr>
      </w:pPr>
      <w:r w:rsidRPr="00D9036C">
        <w:rPr>
          <w:rFonts w:ascii="Arial" w:hAnsi="Arial" w:cs="Arial"/>
          <w:b/>
          <w:i/>
          <w:sz w:val="24"/>
          <w:szCs w:val="24"/>
        </w:rPr>
        <w:t>Integrity of the tax system</w:t>
      </w:r>
    </w:p>
    <w:p w14:paraId="3AE9108C" w14:textId="77777777" w:rsidR="00335BD7" w:rsidRPr="00335BD7" w:rsidRDefault="00335BD7"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noted that the integrity of the tax system requires constant vigilance. Tax avoidance not only erodes social capital, but is also fundamentally unfair, as compliant taxpayers must pay more to make up for the lost revenue.</w:t>
      </w:r>
    </w:p>
    <w:p w14:paraId="1A2CAD65" w14:textId="0265A109" w:rsidR="00335BD7" w:rsidRPr="00335BD7" w:rsidRDefault="00335BD7" w:rsidP="000C1797">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raised some specific integrity risks and recommended measures to address these risks</w:t>
      </w:r>
      <w:r w:rsidR="00B829E4">
        <w:rPr>
          <w:rFonts w:ascii="Arial" w:hAnsi="Arial" w:cs="Arial"/>
          <w:sz w:val="24"/>
          <w:szCs w:val="24"/>
        </w:rPr>
        <w:t xml:space="preserve"> including</w:t>
      </w:r>
      <w:r w:rsidRPr="00335BD7">
        <w:rPr>
          <w:rFonts w:ascii="Arial" w:hAnsi="Arial" w:cs="Arial"/>
          <w:sz w:val="24"/>
          <w:szCs w:val="24"/>
        </w:rPr>
        <w:t>:</w:t>
      </w:r>
    </w:p>
    <w:p w14:paraId="3F04A9B3"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286F5C">
        <w:rPr>
          <w:rFonts w:ascii="Arial" w:hAnsi="Arial" w:cs="Arial"/>
          <w:i/>
          <w:sz w:val="24"/>
          <w:szCs w:val="24"/>
        </w:rPr>
        <w:t>The misalignment of the company and top personal tax rates</w:t>
      </w:r>
      <w:r w:rsidR="00286F5C">
        <w:rPr>
          <w:rFonts w:ascii="Arial" w:hAnsi="Arial" w:cs="Arial"/>
          <w:sz w:val="24"/>
          <w:szCs w:val="24"/>
        </w:rPr>
        <w:t>:</w:t>
      </w:r>
      <w:r w:rsidRPr="0063750C">
        <w:rPr>
          <w:rFonts w:ascii="Arial" w:hAnsi="Arial" w:cs="Arial"/>
          <w:sz w:val="24"/>
          <w:szCs w:val="24"/>
        </w:rPr>
        <w:t xml:space="preserve"> The TWG recommended there is a need to strengthen enforcement of the rules for closely</w:t>
      </w:r>
      <w:r w:rsidR="000919A8">
        <w:rPr>
          <w:rFonts w:ascii="Arial" w:hAnsi="Arial" w:cs="Arial"/>
          <w:sz w:val="24"/>
          <w:szCs w:val="24"/>
        </w:rPr>
        <w:t>-</w:t>
      </w:r>
      <w:r w:rsidRPr="0063750C">
        <w:rPr>
          <w:rFonts w:ascii="Arial" w:hAnsi="Arial" w:cs="Arial"/>
          <w:sz w:val="24"/>
          <w:szCs w:val="24"/>
        </w:rPr>
        <w:t>held companies.</w:t>
      </w:r>
    </w:p>
    <w:p w14:paraId="30EEFFBC" w14:textId="77777777" w:rsidR="00612221" w:rsidRPr="00612221" w:rsidRDefault="00612221" w:rsidP="0063750C">
      <w:pPr>
        <w:pStyle w:val="ListParagraph"/>
        <w:numPr>
          <w:ilvl w:val="1"/>
          <w:numId w:val="1"/>
        </w:numPr>
        <w:ind w:left="1418" w:hanging="709"/>
        <w:contextualSpacing w:val="0"/>
        <w:jc w:val="both"/>
        <w:rPr>
          <w:rFonts w:ascii="Arial" w:hAnsi="Arial" w:cs="Arial"/>
          <w:i/>
          <w:sz w:val="24"/>
          <w:szCs w:val="24"/>
        </w:rPr>
      </w:pPr>
      <w:r>
        <w:rPr>
          <w:rFonts w:ascii="Arial" w:hAnsi="Arial" w:cs="Arial"/>
          <w:i/>
          <w:sz w:val="24"/>
          <w:szCs w:val="24"/>
        </w:rPr>
        <w:t>A review of the loss-trading rules</w:t>
      </w:r>
      <w:r>
        <w:rPr>
          <w:rFonts w:ascii="Arial" w:hAnsi="Arial" w:cs="Arial"/>
          <w:sz w:val="24"/>
          <w:szCs w:val="24"/>
        </w:rPr>
        <w:t>,</w:t>
      </w:r>
      <w:r>
        <w:rPr>
          <w:rFonts w:ascii="Arial" w:hAnsi="Arial" w:cs="Arial"/>
          <w:i/>
          <w:sz w:val="24"/>
          <w:szCs w:val="24"/>
        </w:rPr>
        <w:t xml:space="preserve"> </w:t>
      </w:r>
      <w:r w:rsidRPr="00612221">
        <w:rPr>
          <w:rFonts w:ascii="Arial" w:hAnsi="Arial" w:cs="Arial"/>
          <w:sz w:val="24"/>
          <w:szCs w:val="24"/>
        </w:rPr>
        <w:t>potentially in tandem with a review of the loss continuity rules for companies.</w:t>
      </w:r>
    </w:p>
    <w:p w14:paraId="5BD5A29E"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286F5C">
        <w:rPr>
          <w:rFonts w:ascii="Arial" w:hAnsi="Arial" w:cs="Arial"/>
          <w:i/>
          <w:sz w:val="24"/>
          <w:szCs w:val="24"/>
        </w:rPr>
        <w:t>Undeclared and cash-in-hand transactions (sometimes known as the ‘hidden economy</w:t>
      </w:r>
      <w:r w:rsidR="00E9440F">
        <w:rPr>
          <w:rFonts w:ascii="Arial" w:hAnsi="Arial" w:cs="Arial"/>
          <w:i/>
          <w:sz w:val="24"/>
          <w:szCs w:val="24"/>
        </w:rPr>
        <w:t>’</w:t>
      </w:r>
      <w:r w:rsidRPr="00286F5C">
        <w:rPr>
          <w:rFonts w:ascii="Arial" w:hAnsi="Arial" w:cs="Arial"/>
          <w:i/>
          <w:sz w:val="24"/>
          <w:szCs w:val="24"/>
        </w:rPr>
        <w:t>)</w:t>
      </w:r>
      <w:r w:rsidR="00286F5C">
        <w:rPr>
          <w:rFonts w:ascii="Arial" w:hAnsi="Arial" w:cs="Arial"/>
          <w:i/>
          <w:sz w:val="24"/>
          <w:szCs w:val="24"/>
        </w:rPr>
        <w:t>:</w:t>
      </w:r>
      <w:r w:rsidRPr="0063750C">
        <w:rPr>
          <w:rFonts w:ascii="Arial" w:hAnsi="Arial" w:cs="Arial"/>
          <w:sz w:val="24"/>
          <w:szCs w:val="24"/>
        </w:rPr>
        <w:t xml:space="preserve"> The TWG recommended to increase the reporting of labour income and even the removal of tax deductibility if a taxpayer has not followed labour income withholding or reporting rules.</w:t>
      </w:r>
    </w:p>
    <w:p w14:paraId="2DCC60A4" w14:textId="77777777" w:rsidR="009C1A98" w:rsidRPr="0063750C" w:rsidRDefault="00335BD7" w:rsidP="0063750C">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also recommended that tax collection could be enhanced by increasing the remedies available to the Commissioner of Inland Revenue, specifically:</w:t>
      </w:r>
    </w:p>
    <w:p w14:paraId="14A433DF"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use of departure prohibition orders</w:t>
      </w:r>
      <w:r w:rsidR="007E1200">
        <w:rPr>
          <w:rFonts w:ascii="Arial" w:hAnsi="Arial" w:cs="Arial"/>
          <w:sz w:val="24"/>
          <w:szCs w:val="24"/>
        </w:rPr>
        <w:t>;</w:t>
      </w:r>
      <w:r w:rsidR="008C0B1C" w:rsidRPr="0063750C">
        <w:rPr>
          <w:rFonts w:ascii="Arial" w:hAnsi="Arial" w:cs="Arial"/>
          <w:sz w:val="24"/>
          <w:szCs w:val="24"/>
        </w:rPr>
        <w:t xml:space="preserve"> and</w:t>
      </w:r>
    </w:p>
    <w:p w14:paraId="7A669FA4" w14:textId="77777777" w:rsidR="00335BD7" w:rsidRPr="0063750C" w:rsidRDefault="00C46970"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the </w:t>
      </w:r>
      <w:r w:rsidR="00335BD7" w:rsidRPr="0063750C">
        <w:rPr>
          <w:rFonts w:ascii="Arial" w:hAnsi="Arial" w:cs="Arial"/>
          <w:sz w:val="24"/>
          <w:szCs w:val="24"/>
        </w:rPr>
        <w:t>introduc</w:t>
      </w:r>
      <w:r w:rsidRPr="0063750C">
        <w:rPr>
          <w:rFonts w:ascii="Arial" w:hAnsi="Arial" w:cs="Arial"/>
          <w:sz w:val="24"/>
          <w:szCs w:val="24"/>
        </w:rPr>
        <w:t xml:space="preserve">tion of a </w:t>
      </w:r>
      <w:r w:rsidR="00335BD7" w:rsidRPr="0063750C">
        <w:rPr>
          <w:rFonts w:ascii="Arial" w:hAnsi="Arial" w:cs="Arial"/>
          <w:sz w:val="24"/>
          <w:szCs w:val="24"/>
        </w:rPr>
        <w:t xml:space="preserve">similar </w:t>
      </w:r>
      <w:r w:rsidRPr="0063750C">
        <w:rPr>
          <w:rFonts w:ascii="Arial" w:hAnsi="Arial" w:cs="Arial"/>
          <w:sz w:val="24"/>
          <w:szCs w:val="24"/>
        </w:rPr>
        <w:t xml:space="preserve">regime </w:t>
      </w:r>
      <w:r w:rsidR="00335BD7" w:rsidRPr="0063750C">
        <w:rPr>
          <w:rFonts w:ascii="Arial" w:hAnsi="Arial" w:cs="Arial"/>
          <w:sz w:val="24"/>
          <w:szCs w:val="24"/>
        </w:rPr>
        <w:t>to Australia's Director Penalty Notice for serious cases, where the directors are the economic owners of the business and there has been persistent or intentional non-compliance.</w:t>
      </w:r>
    </w:p>
    <w:bookmarkEnd w:id="7"/>
    <w:p w14:paraId="4E07482B" w14:textId="77777777" w:rsidR="00335BD7" w:rsidRPr="00335BD7" w:rsidRDefault="00335BD7" w:rsidP="000C1797">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also recommended </w:t>
      </w:r>
      <w:r w:rsidR="00C46970">
        <w:rPr>
          <w:rFonts w:ascii="Arial" w:hAnsi="Arial" w:cs="Arial"/>
          <w:sz w:val="24"/>
          <w:szCs w:val="24"/>
        </w:rPr>
        <w:t xml:space="preserve">the creation of </w:t>
      </w:r>
      <w:r w:rsidRPr="00335BD7">
        <w:rPr>
          <w:rFonts w:ascii="Arial" w:hAnsi="Arial" w:cs="Arial"/>
          <w:sz w:val="24"/>
          <w:szCs w:val="24"/>
        </w:rPr>
        <w:t xml:space="preserve">a single Crown debt collection agency, to achieve economies of scale and more equitable outcomes across all Crown debtors. </w:t>
      </w:r>
    </w:p>
    <w:p w14:paraId="0868818D" w14:textId="77777777" w:rsidR="00335BD7" w:rsidRPr="00D9036C" w:rsidRDefault="004304ED" w:rsidP="001503F0">
      <w:pPr>
        <w:keepNext/>
        <w:spacing w:after="240" w:line="240" w:lineRule="auto"/>
        <w:jc w:val="both"/>
        <w:rPr>
          <w:rFonts w:ascii="Arial" w:hAnsi="Arial" w:cs="Arial"/>
          <w:i/>
          <w:sz w:val="24"/>
          <w:szCs w:val="24"/>
        </w:rPr>
      </w:pPr>
      <w:r>
        <w:rPr>
          <w:rFonts w:ascii="Arial" w:hAnsi="Arial" w:cs="Arial"/>
          <w:i/>
          <w:sz w:val="24"/>
          <w:szCs w:val="24"/>
        </w:rPr>
        <w:t>Government response</w:t>
      </w:r>
    </w:p>
    <w:p w14:paraId="2C3EAF3A" w14:textId="77777777" w:rsidR="00CF30D4" w:rsidRPr="00CF30D4" w:rsidRDefault="00CF30D4"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 agree with the TWG that the issue of integrity should be a priority for the Government.</w:t>
      </w:r>
    </w:p>
    <w:p w14:paraId="7BD515F7" w14:textId="77777777" w:rsidR="00335BD7" w:rsidRPr="00CF30D4" w:rsidRDefault="00495371" w:rsidP="000C1797">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CF30D4">
        <w:rPr>
          <w:rFonts w:ascii="Arial" w:hAnsi="Arial" w:cs="Arial"/>
          <w:sz w:val="24"/>
          <w:szCs w:val="24"/>
        </w:rPr>
        <w:t xml:space="preserve">Tackling the hidden economy continues to be a focus for Inland Revenue, with </w:t>
      </w:r>
      <w:r w:rsidR="00A13637">
        <w:rPr>
          <w:rFonts w:ascii="Arial" w:hAnsi="Arial" w:cs="Arial"/>
          <w:sz w:val="24"/>
          <w:szCs w:val="24"/>
        </w:rPr>
        <w:t>time-limited</w:t>
      </w:r>
      <w:r w:rsidR="00A13637" w:rsidRPr="00CF30D4">
        <w:rPr>
          <w:rFonts w:ascii="Arial" w:hAnsi="Arial" w:cs="Arial"/>
          <w:sz w:val="24"/>
          <w:szCs w:val="24"/>
        </w:rPr>
        <w:t xml:space="preserve"> </w:t>
      </w:r>
      <w:r w:rsidRPr="00CF30D4">
        <w:rPr>
          <w:rFonts w:ascii="Arial" w:hAnsi="Arial" w:cs="Arial"/>
          <w:sz w:val="24"/>
          <w:szCs w:val="24"/>
        </w:rPr>
        <w:t xml:space="preserve">operational funding being put towards </w:t>
      </w:r>
      <w:r w:rsidR="00C46970" w:rsidRPr="00CF30D4">
        <w:rPr>
          <w:rFonts w:ascii="Arial" w:hAnsi="Arial" w:cs="Arial"/>
          <w:sz w:val="24"/>
          <w:szCs w:val="24"/>
        </w:rPr>
        <w:t>increasing</w:t>
      </w:r>
      <w:r w:rsidRPr="00CF30D4">
        <w:rPr>
          <w:rFonts w:ascii="Arial" w:hAnsi="Arial" w:cs="Arial"/>
          <w:sz w:val="24"/>
          <w:szCs w:val="24"/>
        </w:rPr>
        <w:t xml:space="preserve"> investigations capability, public awareness campaigns, and new policy initiatives. Australia has recently introduced new policy initiatives</w:t>
      </w:r>
      <w:r w:rsidR="00C46970" w:rsidRPr="00CF30D4">
        <w:rPr>
          <w:rFonts w:ascii="Arial" w:hAnsi="Arial" w:cs="Arial"/>
          <w:sz w:val="24"/>
          <w:szCs w:val="24"/>
        </w:rPr>
        <w:t xml:space="preserve"> to combat the hidden economy, including</w:t>
      </w:r>
      <w:r w:rsidRPr="00CF30D4">
        <w:rPr>
          <w:rFonts w:ascii="Arial" w:hAnsi="Arial" w:cs="Arial"/>
          <w:sz w:val="24"/>
          <w:szCs w:val="24"/>
        </w:rPr>
        <w:t xml:space="preserve"> removing tax deductibility </w:t>
      </w:r>
      <w:r w:rsidR="00C46970" w:rsidRPr="00CF30D4">
        <w:rPr>
          <w:rFonts w:ascii="Arial" w:hAnsi="Arial" w:cs="Arial"/>
          <w:sz w:val="24"/>
          <w:szCs w:val="24"/>
        </w:rPr>
        <w:t>from</w:t>
      </w:r>
      <w:r w:rsidRPr="00CF30D4">
        <w:rPr>
          <w:rFonts w:ascii="Arial" w:hAnsi="Arial" w:cs="Arial"/>
          <w:sz w:val="24"/>
          <w:szCs w:val="24"/>
        </w:rPr>
        <w:t xml:space="preserve"> non-compliant taxpayers</w:t>
      </w:r>
      <w:r w:rsidR="00C46970" w:rsidRPr="00CF30D4">
        <w:rPr>
          <w:rFonts w:ascii="Arial" w:hAnsi="Arial" w:cs="Arial"/>
          <w:sz w:val="24"/>
          <w:szCs w:val="24"/>
        </w:rPr>
        <w:t>. O</w:t>
      </w:r>
      <w:r w:rsidRPr="00CF30D4">
        <w:rPr>
          <w:rFonts w:ascii="Arial" w:hAnsi="Arial" w:cs="Arial"/>
          <w:sz w:val="24"/>
          <w:szCs w:val="24"/>
        </w:rPr>
        <w:t xml:space="preserve">fficials are monitoring the progress of these initiatives and the impact on the Australian </w:t>
      </w:r>
      <w:r w:rsidR="00C46970" w:rsidRPr="00CF30D4">
        <w:rPr>
          <w:rFonts w:ascii="Arial" w:hAnsi="Arial" w:cs="Arial"/>
          <w:sz w:val="24"/>
          <w:szCs w:val="24"/>
        </w:rPr>
        <w:t>hidden</w:t>
      </w:r>
      <w:r w:rsidRPr="00CF30D4">
        <w:rPr>
          <w:rFonts w:ascii="Arial" w:hAnsi="Arial" w:cs="Arial"/>
          <w:sz w:val="24"/>
          <w:szCs w:val="24"/>
        </w:rPr>
        <w:t xml:space="preserve"> economy.</w:t>
      </w:r>
    </w:p>
    <w:p w14:paraId="38B89307" w14:textId="77777777" w:rsidR="009C1A98" w:rsidRPr="00CF30D4" w:rsidRDefault="003A03F9" w:rsidP="0063750C">
      <w:pPr>
        <w:pStyle w:val="ListParagraph"/>
        <w:numPr>
          <w:ilvl w:val="0"/>
          <w:numId w:val="1"/>
        </w:numPr>
        <w:spacing w:after="240" w:line="240" w:lineRule="auto"/>
        <w:ind w:left="709" w:hanging="709"/>
        <w:contextualSpacing w:val="0"/>
        <w:jc w:val="both"/>
        <w:rPr>
          <w:rFonts w:ascii="Arial" w:hAnsi="Arial" w:cs="Arial"/>
          <w:sz w:val="24"/>
          <w:szCs w:val="24"/>
        </w:rPr>
      </w:pPr>
      <w:r w:rsidRPr="00CF30D4">
        <w:rPr>
          <w:rFonts w:ascii="Arial" w:hAnsi="Arial" w:cs="Arial"/>
          <w:sz w:val="24"/>
          <w:szCs w:val="24"/>
        </w:rPr>
        <w:t>We also note that</w:t>
      </w:r>
      <w:r w:rsidR="004C4D5D" w:rsidRPr="00CF30D4">
        <w:rPr>
          <w:rFonts w:ascii="Arial" w:hAnsi="Arial" w:cs="Arial"/>
          <w:sz w:val="24"/>
          <w:szCs w:val="24"/>
        </w:rPr>
        <w:t>:</w:t>
      </w:r>
    </w:p>
    <w:p w14:paraId="1BED3568" w14:textId="77777777" w:rsidR="000A529C" w:rsidRPr="00CF30D4" w:rsidRDefault="000A529C" w:rsidP="0063750C">
      <w:pPr>
        <w:pStyle w:val="ListParagraph"/>
        <w:numPr>
          <w:ilvl w:val="1"/>
          <w:numId w:val="1"/>
        </w:numPr>
        <w:ind w:left="1418" w:hanging="709"/>
        <w:contextualSpacing w:val="0"/>
        <w:jc w:val="both"/>
        <w:rPr>
          <w:rFonts w:ascii="Arial" w:hAnsi="Arial" w:cs="Arial"/>
          <w:sz w:val="24"/>
          <w:szCs w:val="24"/>
        </w:rPr>
      </w:pPr>
      <w:r w:rsidRPr="00CF30D4">
        <w:rPr>
          <w:rFonts w:ascii="Arial" w:hAnsi="Arial" w:cs="Arial"/>
          <w:sz w:val="24"/>
          <w:szCs w:val="24"/>
        </w:rPr>
        <w:t>T</w:t>
      </w:r>
      <w:r w:rsidR="00495371" w:rsidRPr="00CF30D4">
        <w:rPr>
          <w:rFonts w:ascii="Arial" w:hAnsi="Arial" w:cs="Arial"/>
          <w:sz w:val="24"/>
          <w:szCs w:val="24"/>
        </w:rPr>
        <w:t xml:space="preserve">he expanded use of departure prohibition orders needs to be carefully considered to ensure </w:t>
      </w:r>
      <w:r w:rsidR="00E61ED2" w:rsidRPr="00CF30D4">
        <w:rPr>
          <w:rFonts w:ascii="Arial" w:hAnsi="Arial" w:cs="Arial"/>
          <w:sz w:val="24"/>
          <w:szCs w:val="24"/>
        </w:rPr>
        <w:t>they are used</w:t>
      </w:r>
      <w:r w:rsidR="00495371" w:rsidRPr="00CF30D4">
        <w:rPr>
          <w:rFonts w:ascii="Arial" w:hAnsi="Arial" w:cs="Arial"/>
          <w:sz w:val="24"/>
          <w:szCs w:val="24"/>
        </w:rPr>
        <w:t xml:space="preserve"> as a tool of last resort.</w:t>
      </w:r>
    </w:p>
    <w:p w14:paraId="7626A3A8" w14:textId="77777777" w:rsidR="00DF0110" w:rsidRPr="00CF30D4" w:rsidRDefault="00DF0110" w:rsidP="0063750C">
      <w:pPr>
        <w:pStyle w:val="ListParagraph"/>
        <w:numPr>
          <w:ilvl w:val="1"/>
          <w:numId w:val="1"/>
        </w:numPr>
        <w:ind w:left="1418" w:hanging="709"/>
        <w:contextualSpacing w:val="0"/>
        <w:jc w:val="both"/>
        <w:rPr>
          <w:rFonts w:ascii="Arial" w:hAnsi="Arial" w:cs="Arial"/>
          <w:sz w:val="24"/>
          <w:szCs w:val="24"/>
        </w:rPr>
      </w:pPr>
      <w:bookmarkStart w:id="8" w:name="_Hlk3368411"/>
      <w:r w:rsidRPr="00CF30D4">
        <w:rPr>
          <w:rFonts w:ascii="Arial" w:hAnsi="Arial" w:cs="Arial"/>
          <w:sz w:val="24"/>
          <w:szCs w:val="24"/>
        </w:rPr>
        <w:t>While having the ability to pierce the corporate veil and impose personal liability on directors may result in more tax debt being collected</w:t>
      </w:r>
      <w:r w:rsidR="000A2E54" w:rsidRPr="00CF30D4">
        <w:rPr>
          <w:rFonts w:ascii="Arial" w:hAnsi="Arial" w:cs="Arial"/>
          <w:sz w:val="24"/>
          <w:szCs w:val="24"/>
        </w:rPr>
        <w:t>,</w:t>
      </w:r>
      <w:r w:rsidRPr="00CF30D4">
        <w:rPr>
          <w:rFonts w:ascii="Arial" w:hAnsi="Arial" w:cs="Arial"/>
          <w:sz w:val="24"/>
          <w:szCs w:val="24"/>
        </w:rPr>
        <w:t xml:space="preserve"> it may adversely impact on individuals choosing to establish a business or</w:t>
      </w:r>
      <w:r w:rsidR="00C46970" w:rsidRPr="00CF30D4">
        <w:rPr>
          <w:rFonts w:ascii="Arial" w:hAnsi="Arial" w:cs="Arial"/>
          <w:sz w:val="24"/>
          <w:szCs w:val="24"/>
        </w:rPr>
        <w:t xml:space="preserve"> who</w:t>
      </w:r>
      <w:r w:rsidRPr="00CF30D4">
        <w:rPr>
          <w:rFonts w:ascii="Arial" w:hAnsi="Arial" w:cs="Arial"/>
          <w:sz w:val="24"/>
          <w:szCs w:val="24"/>
        </w:rPr>
        <w:t xml:space="preserve"> elect to be</w:t>
      </w:r>
      <w:r w:rsidR="00C46970" w:rsidRPr="00CF30D4">
        <w:rPr>
          <w:rFonts w:ascii="Arial" w:hAnsi="Arial" w:cs="Arial"/>
          <w:sz w:val="24"/>
          <w:szCs w:val="24"/>
        </w:rPr>
        <w:t>come</w:t>
      </w:r>
      <w:r w:rsidR="0007531E" w:rsidRPr="00CF30D4">
        <w:rPr>
          <w:rFonts w:ascii="Arial" w:hAnsi="Arial" w:cs="Arial"/>
          <w:sz w:val="24"/>
          <w:szCs w:val="24"/>
        </w:rPr>
        <w:t xml:space="preserve"> an independent director.</w:t>
      </w:r>
      <w:r w:rsidRPr="00CF30D4">
        <w:rPr>
          <w:rFonts w:ascii="Arial" w:hAnsi="Arial" w:cs="Arial"/>
          <w:sz w:val="24"/>
          <w:szCs w:val="24"/>
        </w:rPr>
        <w:t xml:space="preserve"> These and other potential trade-offs</w:t>
      </w:r>
      <w:r w:rsidR="00C46970" w:rsidRPr="00CF30D4">
        <w:rPr>
          <w:rFonts w:ascii="Arial" w:hAnsi="Arial" w:cs="Arial"/>
          <w:sz w:val="24"/>
          <w:szCs w:val="24"/>
        </w:rPr>
        <w:t xml:space="preserve"> will</w:t>
      </w:r>
      <w:r w:rsidRPr="00CF30D4">
        <w:rPr>
          <w:rFonts w:ascii="Arial" w:hAnsi="Arial" w:cs="Arial"/>
          <w:sz w:val="24"/>
          <w:szCs w:val="24"/>
        </w:rPr>
        <w:t xml:space="preserve"> need to be worked through before this measure can be progressed. </w:t>
      </w:r>
    </w:p>
    <w:p w14:paraId="43614BCF" w14:textId="77777777" w:rsidR="003A03F9" w:rsidRPr="00CF30D4" w:rsidRDefault="003A03F9" w:rsidP="003A03F9">
      <w:pPr>
        <w:pStyle w:val="ListParagraph"/>
        <w:numPr>
          <w:ilvl w:val="0"/>
          <w:numId w:val="1"/>
        </w:numPr>
        <w:spacing w:after="240" w:line="240" w:lineRule="auto"/>
        <w:ind w:left="709" w:hanging="709"/>
        <w:contextualSpacing w:val="0"/>
        <w:jc w:val="both"/>
        <w:rPr>
          <w:rFonts w:ascii="Arial" w:hAnsi="Arial" w:cs="Arial"/>
          <w:sz w:val="24"/>
          <w:szCs w:val="24"/>
        </w:rPr>
      </w:pPr>
      <w:r w:rsidRPr="00CF30D4">
        <w:rPr>
          <w:rFonts w:ascii="Arial" w:hAnsi="Arial" w:cs="Arial"/>
          <w:sz w:val="24"/>
          <w:szCs w:val="24"/>
        </w:rPr>
        <w:t>We propose that the integrity measures recommended by the TWG be considered as a high priority for inclusion in the TPWP.</w:t>
      </w:r>
      <w:r w:rsidR="00CF30D4">
        <w:rPr>
          <w:rFonts w:ascii="Arial" w:hAnsi="Arial" w:cs="Arial"/>
          <w:sz w:val="24"/>
          <w:szCs w:val="24"/>
        </w:rPr>
        <w:t xml:space="preserve"> We will need to consider the merits of progressing these recommendations alongside other opportunities for enhancing the integrity of the tax system.</w:t>
      </w:r>
    </w:p>
    <w:p w14:paraId="06A60DB5" w14:textId="77777777" w:rsidR="00064AD2" w:rsidRPr="00CF30D4" w:rsidRDefault="00EE1B21" w:rsidP="000C1797">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 have also noted the TWG’s recommendation for</w:t>
      </w:r>
      <w:r w:rsidR="00335BD7" w:rsidRPr="00CF30D4">
        <w:rPr>
          <w:rFonts w:ascii="Arial" w:hAnsi="Arial" w:cs="Arial"/>
          <w:sz w:val="24"/>
          <w:szCs w:val="24"/>
        </w:rPr>
        <w:t xml:space="preserve"> a single Crown debt collection agency</w:t>
      </w:r>
      <w:r w:rsidR="00D801A8" w:rsidRPr="00CF30D4">
        <w:rPr>
          <w:rFonts w:ascii="Arial" w:hAnsi="Arial" w:cs="Arial"/>
          <w:sz w:val="24"/>
          <w:szCs w:val="24"/>
        </w:rPr>
        <w:t>.</w:t>
      </w:r>
      <w:r>
        <w:rPr>
          <w:rFonts w:ascii="Arial" w:hAnsi="Arial" w:cs="Arial"/>
          <w:sz w:val="24"/>
          <w:szCs w:val="24"/>
        </w:rPr>
        <w:t xml:space="preserve"> </w:t>
      </w:r>
      <w:r w:rsidR="000D2BBD">
        <w:rPr>
          <w:rFonts w:ascii="Arial" w:hAnsi="Arial" w:cs="Arial"/>
          <w:sz w:val="24"/>
          <w:szCs w:val="24"/>
        </w:rPr>
        <w:t>The objectives of a single agency may be better achieved through greater alignment of agency policies on debt prevention and collection. Further cross-agency advice would need to be sought on how this could be developed.</w:t>
      </w:r>
    </w:p>
    <w:p w14:paraId="2B689380" w14:textId="77777777" w:rsidR="00E675D5" w:rsidRPr="00D9036C" w:rsidRDefault="00E675D5" w:rsidP="00E675D5">
      <w:pPr>
        <w:keepNext/>
        <w:spacing w:after="240" w:line="240" w:lineRule="auto"/>
        <w:jc w:val="both"/>
        <w:rPr>
          <w:rFonts w:ascii="Arial" w:hAnsi="Arial" w:cs="Arial"/>
          <w:b/>
          <w:i/>
          <w:sz w:val="24"/>
          <w:szCs w:val="24"/>
        </w:rPr>
      </w:pPr>
      <w:bookmarkStart w:id="9" w:name="_Hlk3213702"/>
      <w:bookmarkStart w:id="10" w:name="_Hlk3215359"/>
      <w:bookmarkEnd w:id="8"/>
      <w:r w:rsidRPr="00D9036C">
        <w:rPr>
          <w:rFonts w:ascii="Arial" w:hAnsi="Arial" w:cs="Arial"/>
          <w:b/>
          <w:i/>
          <w:sz w:val="24"/>
          <w:szCs w:val="24"/>
        </w:rPr>
        <w:t>Personal income tax</w:t>
      </w:r>
    </w:p>
    <w:p w14:paraId="65EF588F" w14:textId="77777777" w:rsidR="00E675D5" w:rsidRPr="00D60935" w:rsidRDefault="00E675D5" w:rsidP="00E675D5">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noted that any changes to personal income taxation will need to reflect the objectives of the Government</w:t>
      </w:r>
      <w:r>
        <w:rPr>
          <w:rFonts w:ascii="Arial" w:hAnsi="Arial" w:cs="Arial"/>
          <w:sz w:val="24"/>
          <w:szCs w:val="24"/>
        </w:rPr>
        <w:t>:</w:t>
      </w:r>
    </w:p>
    <w:p w14:paraId="2A255598" w14:textId="77777777" w:rsidR="00E675D5" w:rsidRPr="0063750C" w:rsidRDefault="00E675D5" w:rsidP="00E675D5">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I</w:t>
      </w:r>
      <w:r w:rsidRPr="0063750C">
        <w:rPr>
          <w:rFonts w:ascii="Arial" w:hAnsi="Arial" w:cs="Arial"/>
          <w:sz w:val="24"/>
          <w:szCs w:val="24"/>
        </w:rPr>
        <w:t xml:space="preserve">f </w:t>
      </w:r>
      <w:r w:rsidRPr="00335BD7">
        <w:rPr>
          <w:rFonts w:ascii="Arial" w:hAnsi="Arial" w:cs="Arial"/>
          <w:sz w:val="24"/>
          <w:szCs w:val="24"/>
        </w:rPr>
        <w:t>the Government</w:t>
      </w:r>
      <w:r w:rsidRPr="0063750C">
        <w:rPr>
          <w:rFonts w:ascii="Arial" w:hAnsi="Arial" w:cs="Arial"/>
          <w:sz w:val="24"/>
          <w:szCs w:val="24"/>
        </w:rPr>
        <w:t xml:space="preserve"> wishes to improve incomes for very low-income households, the best means of doing so will be through welfare transfers.</w:t>
      </w:r>
    </w:p>
    <w:p w14:paraId="7551746B" w14:textId="77777777" w:rsidR="00E675D5" w:rsidRPr="0063750C" w:rsidRDefault="00E675D5" w:rsidP="00E675D5">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I</w:t>
      </w:r>
      <w:r w:rsidRPr="0063750C">
        <w:rPr>
          <w:rFonts w:ascii="Arial" w:hAnsi="Arial" w:cs="Arial"/>
          <w:sz w:val="24"/>
          <w:szCs w:val="24"/>
        </w:rPr>
        <w:t xml:space="preserve">f </w:t>
      </w:r>
      <w:r w:rsidRPr="00335BD7">
        <w:rPr>
          <w:rFonts w:ascii="Arial" w:hAnsi="Arial" w:cs="Arial"/>
          <w:sz w:val="24"/>
          <w:szCs w:val="24"/>
        </w:rPr>
        <w:t>the Government</w:t>
      </w:r>
      <w:r w:rsidRPr="0063750C">
        <w:rPr>
          <w:rFonts w:ascii="Arial" w:hAnsi="Arial" w:cs="Arial"/>
          <w:sz w:val="24"/>
          <w:szCs w:val="24"/>
        </w:rPr>
        <w:t xml:space="preserve"> wishes to improve incomes for certain groups of low</w:t>
      </w:r>
      <w:r>
        <w:rPr>
          <w:rFonts w:ascii="Arial" w:hAnsi="Arial" w:cs="Arial"/>
          <w:sz w:val="24"/>
          <w:szCs w:val="24"/>
        </w:rPr>
        <w:t>-</w:t>
      </w:r>
      <w:r w:rsidRPr="0063750C">
        <w:rPr>
          <w:rFonts w:ascii="Arial" w:hAnsi="Arial" w:cs="Arial"/>
          <w:sz w:val="24"/>
          <w:szCs w:val="24"/>
        </w:rPr>
        <w:t>to</w:t>
      </w:r>
      <w:r>
        <w:rPr>
          <w:rFonts w:ascii="Arial" w:hAnsi="Arial" w:cs="Arial"/>
          <w:sz w:val="24"/>
          <w:szCs w:val="24"/>
        </w:rPr>
        <w:t>-</w:t>
      </w:r>
      <w:r w:rsidRPr="0063750C">
        <w:rPr>
          <w:rFonts w:ascii="Arial" w:hAnsi="Arial" w:cs="Arial"/>
          <w:sz w:val="24"/>
          <w:szCs w:val="24"/>
        </w:rPr>
        <w:t>middle</w:t>
      </w:r>
      <w:r>
        <w:rPr>
          <w:rFonts w:ascii="Arial" w:hAnsi="Arial" w:cs="Arial"/>
          <w:sz w:val="24"/>
          <w:szCs w:val="24"/>
        </w:rPr>
        <w:t>-</w:t>
      </w:r>
      <w:r w:rsidRPr="0063750C">
        <w:rPr>
          <w:rFonts w:ascii="Arial" w:hAnsi="Arial" w:cs="Arial"/>
          <w:sz w:val="24"/>
          <w:szCs w:val="24"/>
        </w:rPr>
        <w:t>income earners</w:t>
      </w:r>
      <w:r>
        <w:rPr>
          <w:rFonts w:ascii="Arial" w:hAnsi="Arial" w:cs="Arial"/>
          <w:sz w:val="24"/>
          <w:szCs w:val="24"/>
        </w:rPr>
        <w:t xml:space="preserve"> (</w:t>
      </w:r>
      <w:r w:rsidRPr="0063750C">
        <w:rPr>
          <w:rFonts w:ascii="Arial" w:hAnsi="Arial" w:cs="Arial"/>
          <w:sz w:val="24"/>
          <w:szCs w:val="24"/>
        </w:rPr>
        <w:t>such as full-time workers on the minimum wage</w:t>
      </w:r>
      <w:r>
        <w:rPr>
          <w:rFonts w:ascii="Arial" w:hAnsi="Arial" w:cs="Arial"/>
          <w:sz w:val="24"/>
          <w:szCs w:val="24"/>
        </w:rPr>
        <w:t>),</w:t>
      </w:r>
      <w:r w:rsidRPr="0063750C">
        <w:rPr>
          <w:rFonts w:ascii="Arial" w:hAnsi="Arial" w:cs="Arial"/>
          <w:sz w:val="24"/>
          <w:szCs w:val="24"/>
        </w:rPr>
        <w:t xml:space="preserve"> then changes to personal income taxation may be a better option.</w:t>
      </w:r>
    </w:p>
    <w:p w14:paraId="50EC22A8" w14:textId="77777777" w:rsidR="00E675D5" w:rsidRDefault="00E675D5" w:rsidP="00E675D5">
      <w:pPr>
        <w:pStyle w:val="ListParagraph"/>
        <w:numPr>
          <w:ilvl w:val="0"/>
          <w:numId w:val="1"/>
        </w:numPr>
        <w:spacing w:after="240" w:line="240" w:lineRule="auto"/>
        <w:ind w:left="709" w:hanging="709"/>
        <w:contextualSpacing w:val="0"/>
        <w:jc w:val="both"/>
        <w:rPr>
          <w:rFonts w:ascii="Arial" w:hAnsi="Arial" w:cs="Arial"/>
          <w:sz w:val="24"/>
          <w:szCs w:val="24"/>
        </w:rPr>
      </w:pPr>
      <w:r w:rsidRPr="004C4D5D">
        <w:rPr>
          <w:rFonts w:ascii="Arial" w:hAnsi="Arial" w:cs="Arial"/>
          <w:sz w:val="24"/>
          <w:szCs w:val="24"/>
        </w:rPr>
        <w:t xml:space="preserve">The </w:t>
      </w:r>
      <w:r>
        <w:rPr>
          <w:rFonts w:ascii="Arial" w:hAnsi="Arial" w:cs="Arial"/>
          <w:sz w:val="24"/>
          <w:szCs w:val="24"/>
        </w:rPr>
        <w:t>TWG’s</w:t>
      </w:r>
      <w:r w:rsidRPr="004C4D5D">
        <w:rPr>
          <w:rFonts w:ascii="Arial" w:hAnsi="Arial" w:cs="Arial"/>
          <w:sz w:val="24"/>
          <w:szCs w:val="24"/>
        </w:rPr>
        <w:t xml:space="preserve"> preferred approach </w:t>
      </w:r>
      <w:r>
        <w:rPr>
          <w:rFonts w:ascii="Arial" w:hAnsi="Arial" w:cs="Arial"/>
          <w:sz w:val="24"/>
          <w:szCs w:val="24"/>
        </w:rPr>
        <w:t>wa</w:t>
      </w:r>
      <w:r w:rsidRPr="004C4D5D">
        <w:rPr>
          <w:rFonts w:ascii="Arial" w:hAnsi="Arial" w:cs="Arial"/>
          <w:sz w:val="24"/>
          <w:szCs w:val="24"/>
        </w:rPr>
        <w:t>s to increase the bottom tax threshold</w:t>
      </w:r>
      <w:r>
        <w:rPr>
          <w:rFonts w:ascii="Arial" w:hAnsi="Arial" w:cs="Arial"/>
          <w:sz w:val="24"/>
          <w:szCs w:val="24"/>
        </w:rPr>
        <w:t xml:space="preserve">, which </w:t>
      </w:r>
      <w:r w:rsidRPr="004C4D5D">
        <w:rPr>
          <w:rFonts w:ascii="Arial" w:hAnsi="Arial" w:cs="Arial"/>
          <w:sz w:val="24"/>
          <w:szCs w:val="24"/>
        </w:rPr>
        <w:t>could potentially be combined with an increase in the second marginal tax rate</w:t>
      </w:r>
      <w:r>
        <w:rPr>
          <w:rFonts w:ascii="Arial" w:hAnsi="Arial" w:cs="Arial"/>
          <w:sz w:val="24"/>
          <w:szCs w:val="24"/>
        </w:rPr>
        <w:t xml:space="preserve">. </w:t>
      </w:r>
      <w:r w:rsidRPr="004C4D5D">
        <w:rPr>
          <w:rFonts w:ascii="Arial" w:hAnsi="Arial" w:cs="Arial"/>
          <w:sz w:val="24"/>
          <w:szCs w:val="24"/>
        </w:rPr>
        <w:t xml:space="preserve">Alongside these tax changes, the </w:t>
      </w:r>
      <w:r>
        <w:rPr>
          <w:rFonts w:ascii="Arial" w:hAnsi="Arial" w:cs="Arial"/>
          <w:sz w:val="24"/>
          <w:szCs w:val="24"/>
        </w:rPr>
        <w:t>TWG recommended</w:t>
      </w:r>
      <w:r w:rsidRPr="004C4D5D">
        <w:rPr>
          <w:rFonts w:ascii="Arial" w:hAnsi="Arial" w:cs="Arial"/>
          <w:sz w:val="24"/>
          <w:szCs w:val="24"/>
        </w:rPr>
        <w:t xml:space="preserve"> increasing net benefit payments to ensure beneficiaries </w:t>
      </w:r>
      <w:r>
        <w:rPr>
          <w:rFonts w:ascii="Arial" w:hAnsi="Arial" w:cs="Arial"/>
          <w:sz w:val="24"/>
          <w:szCs w:val="24"/>
        </w:rPr>
        <w:t xml:space="preserve">would </w:t>
      </w:r>
      <w:r w:rsidRPr="004C4D5D">
        <w:rPr>
          <w:rFonts w:ascii="Arial" w:hAnsi="Arial" w:cs="Arial"/>
          <w:sz w:val="24"/>
          <w:szCs w:val="24"/>
        </w:rPr>
        <w:t>receive the same post tax increase as other people on the same income.</w:t>
      </w:r>
    </w:p>
    <w:p w14:paraId="0DFA758E" w14:textId="77777777" w:rsidR="00E675D5" w:rsidRPr="00335BD7" w:rsidRDefault="00E675D5" w:rsidP="00E675D5">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noted that many submissions called for increasing </w:t>
      </w:r>
      <w:r>
        <w:rPr>
          <w:rFonts w:ascii="Arial" w:hAnsi="Arial" w:cs="Arial"/>
          <w:sz w:val="24"/>
          <w:szCs w:val="24"/>
        </w:rPr>
        <w:t xml:space="preserve">the </w:t>
      </w:r>
      <w:r w:rsidRPr="00335BD7">
        <w:rPr>
          <w:rFonts w:ascii="Arial" w:hAnsi="Arial" w:cs="Arial"/>
          <w:sz w:val="24"/>
          <w:szCs w:val="24"/>
        </w:rPr>
        <w:t>t</w:t>
      </w:r>
      <w:r>
        <w:rPr>
          <w:rFonts w:ascii="Arial" w:hAnsi="Arial" w:cs="Arial"/>
          <w:sz w:val="24"/>
          <w:szCs w:val="24"/>
        </w:rPr>
        <w:t>op</w:t>
      </w:r>
      <w:r w:rsidRPr="00335BD7">
        <w:rPr>
          <w:rFonts w:ascii="Arial" w:hAnsi="Arial" w:cs="Arial"/>
          <w:sz w:val="24"/>
          <w:szCs w:val="24"/>
        </w:rPr>
        <w:t xml:space="preserve"> personal tax rate to make a material reduction in income equality through the personal tax system.  However, consideration of such an increase was precluded by the TWG’s Terms of reference and the</w:t>
      </w:r>
      <w:r>
        <w:rPr>
          <w:rFonts w:ascii="Arial" w:hAnsi="Arial" w:cs="Arial"/>
          <w:sz w:val="24"/>
          <w:szCs w:val="24"/>
        </w:rPr>
        <w:t>refore</w:t>
      </w:r>
      <w:r w:rsidRPr="00335BD7">
        <w:rPr>
          <w:rFonts w:ascii="Arial" w:hAnsi="Arial" w:cs="Arial"/>
          <w:sz w:val="24"/>
          <w:szCs w:val="24"/>
        </w:rPr>
        <w:t xml:space="preserve"> </w:t>
      </w:r>
      <w:r>
        <w:rPr>
          <w:rFonts w:ascii="Arial" w:hAnsi="Arial" w:cs="Arial"/>
          <w:sz w:val="24"/>
          <w:szCs w:val="24"/>
        </w:rPr>
        <w:t xml:space="preserve">the </w:t>
      </w:r>
      <w:r w:rsidRPr="00335BD7">
        <w:rPr>
          <w:rFonts w:ascii="Arial" w:hAnsi="Arial" w:cs="Arial"/>
          <w:sz w:val="24"/>
          <w:szCs w:val="24"/>
        </w:rPr>
        <w:t>TWG did not undertake an</w:t>
      </w:r>
      <w:r>
        <w:rPr>
          <w:rFonts w:ascii="Arial" w:hAnsi="Arial" w:cs="Arial"/>
          <w:sz w:val="24"/>
          <w:szCs w:val="24"/>
        </w:rPr>
        <w:t>y further</w:t>
      </w:r>
      <w:r w:rsidRPr="00335BD7">
        <w:rPr>
          <w:rFonts w:ascii="Arial" w:hAnsi="Arial" w:cs="Arial"/>
          <w:sz w:val="24"/>
          <w:szCs w:val="24"/>
        </w:rPr>
        <w:t xml:space="preserve"> analysis.  </w:t>
      </w:r>
    </w:p>
    <w:p w14:paraId="5C7C78FD" w14:textId="77777777" w:rsidR="00E675D5" w:rsidRPr="00C46970" w:rsidRDefault="00E675D5" w:rsidP="00E675D5">
      <w:pPr>
        <w:keepNext/>
        <w:spacing w:after="240" w:line="240" w:lineRule="auto"/>
        <w:jc w:val="both"/>
        <w:rPr>
          <w:rFonts w:ascii="Arial" w:hAnsi="Arial" w:cs="Arial"/>
          <w:i/>
          <w:sz w:val="24"/>
          <w:szCs w:val="24"/>
        </w:rPr>
      </w:pPr>
      <w:r>
        <w:rPr>
          <w:rFonts w:ascii="Arial" w:hAnsi="Arial" w:cs="Arial"/>
          <w:i/>
          <w:sz w:val="24"/>
          <w:szCs w:val="24"/>
        </w:rPr>
        <w:t>Government response</w:t>
      </w:r>
    </w:p>
    <w:p w14:paraId="2E3A68CA" w14:textId="77777777" w:rsidR="00210FE3" w:rsidRDefault="004304B2" w:rsidP="00685E64">
      <w:pPr>
        <w:keepNext/>
        <w:spacing w:after="240" w:line="240" w:lineRule="auto"/>
        <w:jc w:val="both"/>
        <w:rPr>
          <w:rFonts w:ascii="Arial" w:hAnsi="Arial" w:cs="Arial"/>
          <w:sz w:val="24"/>
          <w:szCs w:val="24"/>
        </w:rPr>
      </w:pPr>
      <w:r w:rsidRPr="00081601">
        <w:rPr>
          <w:rFonts w:ascii="Arial" w:hAnsi="Arial" w:cs="Arial"/>
          <w:sz w:val="24"/>
          <w:szCs w:val="24"/>
        </w:rPr>
        <w:t xml:space="preserve">We propose to not adopt any of the recommendations on capital gains taxation. </w:t>
      </w:r>
      <w:r>
        <w:rPr>
          <w:rFonts w:ascii="Arial" w:hAnsi="Arial" w:cs="Arial"/>
          <w:sz w:val="24"/>
          <w:szCs w:val="24"/>
        </w:rPr>
        <w:t xml:space="preserve">As a result, there is no revenue to recycle. </w:t>
      </w:r>
      <w:proofErr w:type="gramStart"/>
      <w:r w:rsidRPr="00081601">
        <w:rPr>
          <w:rFonts w:ascii="Arial" w:hAnsi="Arial" w:cs="Arial"/>
          <w:sz w:val="24"/>
          <w:szCs w:val="24"/>
        </w:rPr>
        <w:t>Consequently</w:t>
      </w:r>
      <w:proofErr w:type="gramEnd"/>
      <w:r w:rsidRPr="00081601">
        <w:rPr>
          <w:rFonts w:ascii="Arial" w:hAnsi="Arial" w:cs="Arial"/>
          <w:sz w:val="24"/>
          <w:szCs w:val="24"/>
        </w:rPr>
        <w:t xml:space="preserve"> we </w:t>
      </w:r>
      <w:r>
        <w:rPr>
          <w:rFonts w:ascii="Arial" w:hAnsi="Arial" w:cs="Arial"/>
          <w:sz w:val="24"/>
          <w:szCs w:val="24"/>
        </w:rPr>
        <w:t>propose that</w:t>
      </w:r>
      <w:r w:rsidRPr="00081601">
        <w:rPr>
          <w:rFonts w:ascii="Arial" w:hAnsi="Arial" w:cs="Arial"/>
          <w:sz w:val="24"/>
          <w:szCs w:val="24"/>
        </w:rPr>
        <w:t xml:space="preserve"> no further work is necessary. </w:t>
      </w:r>
    </w:p>
    <w:p w14:paraId="11D2CFEC" w14:textId="77777777" w:rsidR="00335BD7" w:rsidRPr="008C0B1C" w:rsidRDefault="00335BD7" w:rsidP="00685E64">
      <w:pPr>
        <w:keepNext/>
        <w:spacing w:after="240" w:line="240" w:lineRule="auto"/>
        <w:jc w:val="both"/>
        <w:rPr>
          <w:rFonts w:ascii="Arial" w:hAnsi="Arial" w:cs="Arial"/>
          <w:b/>
          <w:i/>
          <w:sz w:val="24"/>
          <w:szCs w:val="24"/>
        </w:rPr>
      </w:pPr>
      <w:r w:rsidRPr="008C0B1C">
        <w:rPr>
          <w:rFonts w:ascii="Arial" w:hAnsi="Arial" w:cs="Arial"/>
          <w:b/>
          <w:i/>
          <w:sz w:val="24"/>
          <w:szCs w:val="24"/>
        </w:rPr>
        <w:t>Administration of the tax system</w:t>
      </w:r>
      <w:bookmarkEnd w:id="9"/>
    </w:p>
    <w:p w14:paraId="5F7F4F99" w14:textId="78BAA930" w:rsidR="009C1A98" w:rsidRPr="0063750C" w:rsidRDefault="00335BD7" w:rsidP="0063750C">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made </w:t>
      </w:r>
      <w:r w:rsidR="007E1200" w:rsidRPr="00335BD7">
        <w:rPr>
          <w:rFonts w:ascii="Arial" w:hAnsi="Arial" w:cs="Arial"/>
          <w:sz w:val="24"/>
          <w:szCs w:val="24"/>
        </w:rPr>
        <w:t>several</w:t>
      </w:r>
      <w:r w:rsidRPr="00335BD7">
        <w:rPr>
          <w:rFonts w:ascii="Arial" w:hAnsi="Arial" w:cs="Arial"/>
          <w:sz w:val="24"/>
          <w:szCs w:val="24"/>
        </w:rPr>
        <w:t xml:space="preserve"> recommendations with regard to the administration of the tax system</w:t>
      </w:r>
      <w:r w:rsidR="00C46970">
        <w:rPr>
          <w:rFonts w:ascii="Arial" w:hAnsi="Arial" w:cs="Arial"/>
          <w:sz w:val="24"/>
          <w:szCs w:val="24"/>
        </w:rPr>
        <w:t>. The</w:t>
      </w:r>
      <w:r w:rsidR="00C706BF">
        <w:rPr>
          <w:rFonts w:ascii="Arial" w:hAnsi="Arial" w:cs="Arial"/>
          <w:sz w:val="24"/>
          <w:szCs w:val="24"/>
        </w:rPr>
        <w:t>se recommendations included</w:t>
      </w:r>
      <w:r w:rsidR="00C46970" w:rsidRPr="00335BD7">
        <w:rPr>
          <w:rFonts w:ascii="Arial" w:hAnsi="Arial" w:cs="Arial"/>
          <w:sz w:val="24"/>
          <w:szCs w:val="24"/>
        </w:rPr>
        <w:t>:</w:t>
      </w:r>
    </w:p>
    <w:p w14:paraId="321D89A2" w14:textId="2BF9965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provid</w:t>
      </w:r>
      <w:r w:rsidR="00C706BF">
        <w:rPr>
          <w:rFonts w:ascii="Arial" w:hAnsi="Arial" w:cs="Arial"/>
          <w:sz w:val="24"/>
          <w:szCs w:val="24"/>
        </w:rPr>
        <w:t>ing</w:t>
      </w:r>
      <w:r w:rsidRPr="0063750C">
        <w:rPr>
          <w:rFonts w:ascii="Arial" w:hAnsi="Arial" w:cs="Arial"/>
          <w:sz w:val="24"/>
          <w:szCs w:val="24"/>
        </w:rPr>
        <w:t xml:space="preserve"> greater public access to data and information about the tax system</w:t>
      </w:r>
      <w:r w:rsidR="007E1200">
        <w:rPr>
          <w:rFonts w:ascii="Arial" w:hAnsi="Arial" w:cs="Arial"/>
          <w:sz w:val="24"/>
          <w:szCs w:val="24"/>
        </w:rPr>
        <w:t>;</w:t>
      </w:r>
    </w:p>
    <w:p w14:paraId="3235D8A7" w14:textId="608E140A"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establish</w:t>
      </w:r>
      <w:r w:rsidR="00C706BF">
        <w:rPr>
          <w:rFonts w:ascii="Arial" w:hAnsi="Arial" w:cs="Arial"/>
          <w:sz w:val="24"/>
          <w:szCs w:val="24"/>
        </w:rPr>
        <w:t>ing</w:t>
      </w:r>
      <w:r w:rsidRPr="0063750C">
        <w:rPr>
          <w:rFonts w:ascii="Arial" w:hAnsi="Arial" w:cs="Arial"/>
          <w:sz w:val="24"/>
          <w:szCs w:val="24"/>
        </w:rPr>
        <w:t xml:space="preserve"> a</w:t>
      </w:r>
      <w:r w:rsidR="00521771">
        <w:rPr>
          <w:rFonts w:ascii="Arial" w:hAnsi="Arial" w:cs="Arial"/>
          <w:sz w:val="24"/>
          <w:szCs w:val="24"/>
        </w:rPr>
        <w:t xml:space="preserve">n independent </w:t>
      </w:r>
      <w:r w:rsidRPr="0063750C">
        <w:rPr>
          <w:rFonts w:ascii="Arial" w:hAnsi="Arial" w:cs="Arial"/>
          <w:sz w:val="24"/>
          <w:szCs w:val="24"/>
        </w:rPr>
        <w:t>taxpayer advocacy service and a truncated tax disputes process to assist taxpayers in disputes with Inland Revenue</w:t>
      </w:r>
      <w:r w:rsidR="007E1200">
        <w:rPr>
          <w:rFonts w:ascii="Arial" w:hAnsi="Arial" w:cs="Arial"/>
          <w:sz w:val="24"/>
          <w:szCs w:val="24"/>
        </w:rPr>
        <w:t>;</w:t>
      </w:r>
      <w:r w:rsidRPr="0063750C">
        <w:rPr>
          <w:rFonts w:ascii="Arial" w:hAnsi="Arial" w:cs="Arial"/>
          <w:sz w:val="24"/>
          <w:szCs w:val="24"/>
        </w:rPr>
        <w:t xml:space="preserve"> </w:t>
      </w:r>
    </w:p>
    <w:p w14:paraId="56C55F79" w14:textId="210963D8"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continu</w:t>
      </w:r>
      <w:r w:rsidR="00C706BF">
        <w:rPr>
          <w:rFonts w:ascii="Arial" w:hAnsi="Arial" w:cs="Arial"/>
          <w:sz w:val="24"/>
          <w:szCs w:val="24"/>
        </w:rPr>
        <w:t>ing</w:t>
      </w:r>
      <w:r w:rsidRPr="0063750C">
        <w:rPr>
          <w:rFonts w:ascii="Arial" w:hAnsi="Arial" w:cs="Arial"/>
          <w:sz w:val="24"/>
          <w:szCs w:val="24"/>
        </w:rPr>
        <w:t xml:space="preserve"> to invest in the technical and investigatory skills of Inland Revenue staff </w:t>
      </w:r>
      <w:r w:rsidR="001503F0" w:rsidRPr="0063750C">
        <w:rPr>
          <w:rFonts w:ascii="Arial" w:hAnsi="Arial" w:cs="Arial"/>
          <w:sz w:val="24"/>
          <w:szCs w:val="24"/>
        </w:rPr>
        <w:t>and for</w:t>
      </w:r>
      <w:r w:rsidR="00C46970" w:rsidRPr="0063750C">
        <w:rPr>
          <w:rFonts w:ascii="Arial" w:hAnsi="Arial" w:cs="Arial"/>
          <w:sz w:val="24"/>
          <w:szCs w:val="24"/>
        </w:rPr>
        <w:t xml:space="preserve"> the</w:t>
      </w:r>
      <w:r w:rsidRPr="0063750C">
        <w:rPr>
          <w:rFonts w:ascii="Arial" w:hAnsi="Arial" w:cs="Arial"/>
          <w:sz w:val="24"/>
          <w:szCs w:val="24"/>
        </w:rPr>
        <w:t xml:space="preserve"> Treasury </w:t>
      </w:r>
      <w:r w:rsidR="00C46970" w:rsidRPr="0063750C">
        <w:rPr>
          <w:rFonts w:ascii="Arial" w:hAnsi="Arial" w:cs="Arial"/>
          <w:sz w:val="24"/>
          <w:szCs w:val="24"/>
        </w:rPr>
        <w:t>to play</w:t>
      </w:r>
      <w:r w:rsidRPr="0063750C">
        <w:rPr>
          <w:rFonts w:ascii="Arial" w:hAnsi="Arial" w:cs="Arial"/>
          <w:sz w:val="24"/>
          <w:szCs w:val="24"/>
        </w:rPr>
        <w:t xml:space="preserve"> a strong role in the development of tax policy</w:t>
      </w:r>
      <w:r w:rsidR="007E1200">
        <w:rPr>
          <w:rFonts w:ascii="Arial" w:hAnsi="Arial" w:cs="Arial"/>
          <w:sz w:val="24"/>
          <w:szCs w:val="24"/>
        </w:rPr>
        <w:t>;</w:t>
      </w:r>
      <w:r w:rsidRPr="0063750C">
        <w:rPr>
          <w:rFonts w:ascii="Arial" w:hAnsi="Arial" w:cs="Arial"/>
          <w:sz w:val="24"/>
          <w:szCs w:val="24"/>
        </w:rPr>
        <w:t xml:space="preserve"> and</w:t>
      </w:r>
    </w:p>
    <w:p w14:paraId="6CEC98DE" w14:textId="0FCBDE8F"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follow</w:t>
      </w:r>
      <w:r w:rsidR="00C706BF">
        <w:rPr>
          <w:rFonts w:ascii="Arial" w:hAnsi="Arial" w:cs="Arial"/>
          <w:sz w:val="24"/>
          <w:szCs w:val="24"/>
        </w:rPr>
        <w:t>ing</w:t>
      </w:r>
      <w:r w:rsidRPr="0063750C">
        <w:rPr>
          <w:rFonts w:ascii="Arial" w:hAnsi="Arial" w:cs="Arial"/>
          <w:sz w:val="24"/>
          <w:szCs w:val="24"/>
        </w:rPr>
        <w:t xml:space="preserve"> a set of principles with regards to public engagement (engage with a wider range of stakeholders and with a great variety of methods, engage earlier and more frequently, greater transparency and accountable, and engage in good faith).</w:t>
      </w:r>
    </w:p>
    <w:p w14:paraId="4BB17CC7" w14:textId="77777777" w:rsidR="00335BD7" w:rsidRPr="008C0B1C" w:rsidRDefault="001B7832" w:rsidP="00216E6B">
      <w:pPr>
        <w:keepNext/>
        <w:spacing w:after="240" w:line="240" w:lineRule="auto"/>
        <w:jc w:val="both"/>
        <w:rPr>
          <w:rFonts w:ascii="Arial" w:hAnsi="Arial" w:cs="Arial"/>
          <w:i/>
          <w:sz w:val="24"/>
          <w:szCs w:val="24"/>
        </w:rPr>
      </w:pPr>
      <w:r>
        <w:rPr>
          <w:rFonts w:ascii="Arial" w:hAnsi="Arial" w:cs="Arial"/>
          <w:i/>
          <w:sz w:val="24"/>
          <w:szCs w:val="24"/>
        </w:rPr>
        <w:t>Government response</w:t>
      </w:r>
    </w:p>
    <w:p w14:paraId="730CA925" w14:textId="77777777" w:rsidR="00CE30C5" w:rsidRPr="00CE30C5" w:rsidRDefault="00CE30C5" w:rsidP="000C1797">
      <w:pPr>
        <w:pStyle w:val="ListParagraph"/>
        <w:numPr>
          <w:ilvl w:val="0"/>
          <w:numId w:val="1"/>
        </w:numPr>
        <w:spacing w:after="240" w:line="240" w:lineRule="auto"/>
        <w:ind w:left="709" w:hanging="709"/>
        <w:contextualSpacing w:val="0"/>
        <w:jc w:val="both"/>
        <w:rPr>
          <w:rFonts w:ascii="Arial" w:hAnsi="Arial" w:cs="Arial"/>
          <w:sz w:val="24"/>
          <w:szCs w:val="24"/>
        </w:rPr>
      </w:pPr>
      <w:r w:rsidRPr="00CE30C5">
        <w:rPr>
          <w:rFonts w:ascii="Arial" w:hAnsi="Arial" w:cs="Arial"/>
          <w:sz w:val="24"/>
          <w:szCs w:val="24"/>
        </w:rPr>
        <w:t>There is a significant amount of anonymised tax information available through Stat</w:t>
      </w:r>
      <w:r>
        <w:rPr>
          <w:rFonts w:ascii="Arial" w:hAnsi="Arial" w:cs="Arial"/>
          <w:sz w:val="24"/>
          <w:szCs w:val="24"/>
        </w:rPr>
        <w:t xml:space="preserve">istics New </w:t>
      </w:r>
      <w:r w:rsidRPr="00CE30C5">
        <w:rPr>
          <w:rFonts w:ascii="Arial" w:hAnsi="Arial" w:cs="Arial"/>
          <w:sz w:val="24"/>
          <w:szCs w:val="24"/>
        </w:rPr>
        <w:t>Z</w:t>
      </w:r>
      <w:r>
        <w:rPr>
          <w:rFonts w:ascii="Arial" w:hAnsi="Arial" w:cs="Arial"/>
          <w:sz w:val="24"/>
          <w:szCs w:val="24"/>
        </w:rPr>
        <w:t>ealand</w:t>
      </w:r>
      <w:r w:rsidRPr="00CE30C5">
        <w:rPr>
          <w:rFonts w:ascii="Arial" w:hAnsi="Arial" w:cs="Arial"/>
          <w:sz w:val="24"/>
          <w:szCs w:val="24"/>
        </w:rPr>
        <w:t>’s integrated data infrastructure (IDI)</w:t>
      </w:r>
      <w:r w:rsidR="00B24F5F">
        <w:rPr>
          <w:rFonts w:ascii="Arial" w:hAnsi="Arial" w:cs="Arial"/>
          <w:sz w:val="24"/>
          <w:szCs w:val="24"/>
        </w:rPr>
        <w:t>,</w:t>
      </w:r>
      <w:r w:rsidRPr="00CE30C5">
        <w:rPr>
          <w:rFonts w:ascii="Arial" w:hAnsi="Arial" w:cs="Arial"/>
          <w:sz w:val="24"/>
          <w:szCs w:val="24"/>
        </w:rPr>
        <w:t xml:space="preserve"> which can be used by resear</w:t>
      </w:r>
      <w:r w:rsidR="00B24F5F">
        <w:rPr>
          <w:rFonts w:ascii="Arial" w:hAnsi="Arial" w:cs="Arial"/>
          <w:sz w:val="24"/>
          <w:szCs w:val="24"/>
        </w:rPr>
        <w:t>chers in certain circumstances.</w:t>
      </w:r>
      <w:r w:rsidRPr="00CE30C5">
        <w:rPr>
          <w:rFonts w:ascii="Arial" w:hAnsi="Arial" w:cs="Arial"/>
          <w:sz w:val="24"/>
          <w:szCs w:val="24"/>
        </w:rPr>
        <w:t xml:space="preserve"> A number of the areas the TWG suggested more information would be helpful to researchers are not currently collected by Inland Revenue on a regular basis, such as information around wealth. </w:t>
      </w:r>
      <w:r w:rsidR="007E1200">
        <w:rPr>
          <w:rFonts w:ascii="Arial" w:hAnsi="Arial" w:cs="Arial"/>
          <w:sz w:val="24"/>
          <w:szCs w:val="24"/>
        </w:rPr>
        <w:t xml:space="preserve">Inland Revenue’s </w:t>
      </w:r>
      <w:r w:rsidRPr="00CE30C5">
        <w:rPr>
          <w:rFonts w:ascii="Arial" w:hAnsi="Arial" w:cs="Arial"/>
          <w:sz w:val="24"/>
          <w:szCs w:val="24"/>
        </w:rPr>
        <w:t xml:space="preserve">Business Transformation </w:t>
      </w:r>
      <w:r w:rsidR="007E1200">
        <w:rPr>
          <w:rFonts w:ascii="Arial" w:hAnsi="Arial" w:cs="Arial"/>
          <w:sz w:val="24"/>
          <w:szCs w:val="24"/>
        </w:rPr>
        <w:t xml:space="preserve">programme </w:t>
      </w:r>
      <w:r w:rsidRPr="00CE30C5">
        <w:rPr>
          <w:rFonts w:ascii="Arial" w:hAnsi="Arial" w:cs="Arial"/>
          <w:sz w:val="24"/>
          <w:szCs w:val="24"/>
        </w:rPr>
        <w:t xml:space="preserve">is </w:t>
      </w:r>
      <w:r w:rsidR="001503F0">
        <w:rPr>
          <w:rFonts w:ascii="Arial" w:hAnsi="Arial" w:cs="Arial"/>
          <w:sz w:val="24"/>
          <w:szCs w:val="24"/>
        </w:rPr>
        <w:t>expanding</w:t>
      </w:r>
      <w:r w:rsidRPr="00CE30C5">
        <w:rPr>
          <w:rFonts w:ascii="Arial" w:hAnsi="Arial" w:cs="Arial"/>
          <w:sz w:val="24"/>
          <w:szCs w:val="24"/>
        </w:rPr>
        <w:t xml:space="preserve"> the extent and type of information collected. This information </w:t>
      </w:r>
      <w:r w:rsidR="001503F0">
        <w:rPr>
          <w:rFonts w:ascii="Arial" w:hAnsi="Arial" w:cs="Arial"/>
          <w:sz w:val="24"/>
          <w:szCs w:val="24"/>
        </w:rPr>
        <w:t>could</w:t>
      </w:r>
      <w:r w:rsidRPr="00CE30C5">
        <w:rPr>
          <w:rFonts w:ascii="Arial" w:hAnsi="Arial" w:cs="Arial"/>
          <w:sz w:val="24"/>
          <w:szCs w:val="24"/>
        </w:rPr>
        <w:t xml:space="preserve"> potentially be contributed to the IDI.</w:t>
      </w:r>
    </w:p>
    <w:p w14:paraId="47C1DBE3" w14:textId="77777777" w:rsidR="00CE30C5" w:rsidRPr="00C46970" w:rsidRDefault="00CE30C5"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C46970">
        <w:rPr>
          <w:rFonts w:ascii="Arial" w:hAnsi="Arial" w:cs="Arial"/>
          <w:sz w:val="24"/>
          <w:szCs w:val="24"/>
        </w:rPr>
        <w:t>Officials have</w:t>
      </w:r>
      <w:r>
        <w:rPr>
          <w:rFonts w:ascii="Arial" w:hAnsi="Arial" w:cs="Arial"/>
          <w:sz w:val="24"/>
          <w:szCs w:val="24"/>
        </w:rPr>
        <w:t xml:space="preserve"> </w:t>
      </w:r>
      <w:r w:rsidRPr="00C46970">
        <w:rPr>
          <w:rFonts w:ascii="Arial" w:hAnsi="Arial" w:cs="Arial"/>
          <w:sz w:val="24"/>
          <w:szCs w:val="24"/>
        </w:rPr>
        <w:t xml:space="preserve">provided </w:t>
      </w:r>
      <w:r w:rsidR="00765260">
        <w:rPr>
          <w:rFonts w:ascii="Arial" w:hAnsi="Arial" w:cs="Arial"/>
          <w:sz w:val="24"/>
          <w:szCs w:val="24"/>
        </w:rPr>
        <w:t>us</w:t>
      </w:r>
      <w:r w:rsidRPr="00C46970">
        <w:rPr>
          <w:rFonts w:ascii="Arial" w:hAnsi="Arial" w:cs="Arial"/>
          <w:sz w:val="24"/>
          <w:szCs w:val="24"/>
        </w:rPr>
        <w:t xml:space="preserve"> with some initial advice on an independent</w:t>
      </w:r>
      <w:r w:rsidR="001503F0">
        <w:rPr>
          <w:rFonts w:ascii="Arial" w:hAnsi="Arial" w:cs="Arial"/>
          <w:sz w:val="24"/>
          <w:szCs w:val="24"/>
        </w:rPr>
        <w:t xml:space="preserve"> tax</w:t>
      </w:r>
      <w:r w:rsidRPr="00C46970">
        <w:rPr>
          <w:rFonts w:ascii="Arial" w:hAnsi="Arial" w:cs="Arial"/>
          <w:sz w:val="24"/>
          <w:szCs w:val="24"/>
        </w:rPr>
        <w:t xml:space="preserve"> advocate service as suggested by the TWG.  At this stage</w:t>
      </w:r>
      <w:r>
        <w:rPr>
          <w:rFonts w:ascii="Arial" w:hAnsi="Arial" w:cs="Arial"/>
          <w:sz w:val="24"/>
          <w:szCs w:val="24"/>
        </w:rPr>
        <w:t>,</w:t>
      </w:r>
      <w:r w:rsidRPr="00C46970">
        <w:rPr>
          <w:rFonts w:ascii="Arial" w:hAnsi="Arial" w:cs="Arial"/>
          <w:sz w:val="24"/>
          <w:szCs w:val="24"/>
        </w:rPr>
        <w:t xml:space="preserve"> </w:t>
      </w:r>
      <w:r w:rsidR="00355A52">
        <w:rPr>
          <w:rFonts w:ascii="Arial" w:hAnsi="Arial" w:cs="Arial"/>
          <w:sz w:val="24"/>
          <w:szCs w:val="24"/>
        </w:rPr>
        <w:t>we</w:t>
      </w:r>
      <w:r w:rsidRPr="00C46970">
        <w:rPr>
          <w:rFonts w:ascii="Arial" w:hAnsi="Arial" w:cs="Arial"/>
          <w:sz w:val="24"/>
          <w:szCs w:val="24"/>
        </w:rPr>
        <w:t xml:space="preserve"> do not propose any further work on the issue</w:t>
      </w:r>
      <w:r w:rsidR="00EF4E71">
        <w:rPr>
          <w:rFonts w:ascii="Arial" w:hAnsi="Arial" w:cs="Arial"/>
          <w:sz w:val="24"/>
          <w:szCs w:val="24"/>
        </w:rPr>
        <w:t>,</w:t>
      </w:r>
      <w:r w:rsidRPr="00C46970">
        <w:rPr>
          <w:rFonts w:ascii="Arial" w:hAnsi="Arial" w:cs="Arial"/>
          <w:sz w:val="24"/>
          <w:szCs w:val="24"/>
        </w:rPr>
        <w:t xml:space="preserve"> as it is not clear how such a service would resolve the matters raised by the TWG. A truncated disputes process would require further work to consider any issues with the current processes before recommending any changes. This work could be considered for inclusion on </w:t>
      </w:r>
      <w:r>
        <w:rPr>
          <w:rFonts w:ascii="Arial" w:hAnsi="Arial" w:cs="Arial"/>
          <w:sz w:val="24"/>
          <w:szCs w:val="24"/>
        </w:rPr>
        <w:t>the TPWP</w:t>
      </w:r>
      <w:r w:rsidRPr="00C46970">
        <w:rPr>
          <w:rFonts w:ascii="Arial" w:hAnsi="Arial" w:cs="Arial"/>
          <w:sz w:val="24"/>
          <w:szCs w:val="24"/>
        </w:rPr>
        <w:t>.</w:t>
      </w:r>
    </w:p>
    <w:p w14:paraId="731D7F95" w14:textId="77777777" w:rsidR="003977A3" w:rsidRPr="00C46970" w:rsidRDefault="003977A3" w:rsidP="008E04AF">
      <w:pPr>
        <w:pStyle w:val="ListParagraph"/>
        <w:keepLines/>
        <w:numPr>
          <w:ilvl w:val="0"/>
          <w:numId w:val="1"/>
        </w:numPr>
        <w:spacing w:after="240" w:line="240" w:lineRule="auto"/>
        <w:ind w:left="709" w:hanging="709"/>
        <w:contextualSpacing w:val="0"/>
        <w:jc w:val="both"/>
        <w:rPr>
          <w:rFonts w:ascii="Arial" w:hAnsi="Arial" w:cs="Arial"/>
          <w:sz w:val="24"/>
          <w:szCs w:val="24"/>
        </w:rPr>
      </w:pPr>
      <w:bookmarkStart w:id="11" w:name="_Hlk4491528"/>
      <w:r w:rsidRPr="00C46970">
        <w:rPr>
          <w:rFonts w:ascii="Arial" w:hAnsi="Arial" w:cs="Arial"/>
          <w:sz w:val="24"/>
          <w:szCs w:val="24"/>
        </w:rPr>
        <w:t xml:space="preserve">Officials have </w:t>
      </w:r>
      <w:r w:rsidR="00CE30C5">
        <w:rPr>
          <w:rFonts w:ascii="Arial" w:hAnsi="Arial" w:cs="Arial"/>
          <w:sz w:val="24"/>
          <w:szCs w:val="24"/>
        </w:rPr>
        <w:t xml:space="preserve">also </w:t>
      </w:r>
      <w:r w:rsidRPr="00C46970">
        <w:rPr>
          <w:rFonts w:ascii="Arial" w:hAnsi="Arial" w:cs="Arial"/>
          <w:sz w:val="24"/>
          <w:szCs w:val="24"/>
        </w:rPr>
        <w:t xml:space="preserve">provided </w:t>
      </w:r>
      <w:r w:rsidR="00765260">
        <w:rPr>
          <w:rFonts w:ascii="Arial" w:hAnsi="Arial" w:cs="Arial"/>
          <w:sz w:val="24"/>
          <w:szCs w:val="24"/>
        </w:rPr>
        <w:t>us</w:t>
      </w:r>
      <w:r w:rsidRPr="00C46970">
        <w:rPr>
          <w:rFonts w:ascii="Arial" w:hAnsi="Arial" w:cs="Arial"/>
          <w:sz w:val="24"/>
          <w:szCs w:val="24"/>
        </w:rPr>
        <w:t xml:space="preserve"> with a public engagement framework which incorporates the principles recommended by the TWG. </w:t>
      </w:r>
      <w:r w:rsidR="001503F0">
        <w:rPr>
          <w:rFonts w:ascii="Arial" w:hAnsi="Arial" w:cs="Arial"/>
          <w:sz w:val="24"/>
          <w:szCs w:val="24"/>
        </w:rPr>
        <w:t>Following</w:t>
      </w:r>
      <w:r w:rsidRPr="00C46970">
        <w:rPr>
          <w:rFonts w:ascii="Arial" w:hAnsi="Arial" w:cs="Arial"/>
          <w:sz w:val="24"/>
          <w:szCs w:val="24"/>
        </w:rPr>
        <w:t xml:space="preserve"> decisions on the Crown/Māori Engagement Framework by Cabinet in September 2018, officials will work with </w:t>
      </w:r>
      <w:proofErr w:type="spellStart"/>
      <w:r w:rsidRPr="00C46970">
        <w:rPr>
          <w:rFonts w:ascii="Arial" w:hAnsi="Arial" w:cs="Arial"/>
          <w:sz w:val="24"/>
          <w:szCs w:val="24"/>
        </w:rPr>
        <w:t>Te</w:t>
      </w:r>
      <w:proofErr w:type="spellEnd"/>
      <w:r w:rsidRPr="00C46970">
        <w:rPr>
          <w:rFonts w:ascii="Arial" w:hAnsi="Arial" w:cs="Arial"/>
          <w:sz w:val="24"/>
          <w:szCs w:val="24"/>
        </w:rPr>
        <w:t xml:space="preserve"> </w:t>
      </w:r>
      <w:proofErr w:type="spellStart"/>
      <w:r w:rsidRPr="00C46970">
        <w:rPr>
          <w:rFonts w:ascii="Arial" w:hAnsi="Arial" w:cs="Arial"/>
          <w:sz w:val="24"/>
          <w:szCs w:val="24"/>
        </w:rPr>
        <w:t>Arawhiti</w:t>
      </w:r>
      <w:proofErr w:type="spellEnd"/>
      <w:r w:rsidRPr="00C46970">
        <w:rPr>
          <w:rFonts w:ascii="Arial" w:hAnsi="Arial" w:cs="Arial"/>
          <w:sz w:val="24"/>
          <w:szCs w:val="24"/>
        </w:rPr>
        <w:t xml:space="preserve"> to ensure </w:t>
      </w:r>
      <w:r w:rsidR="0001698B">
        <w:rPr>
          <w:rFonts w:ascii="Arial" w:hAnsi="Arial" w:cs="Arial"/>
          <w:sz w:val="24"/>
          <w:szCs w:val="24"/>
        </w:rPr>
        <w:t>the framework reflects the s</w:t>
      </w:r>
      <w:r w:rsidR="0001698B" w:rsidRPr="0001698B">
        <w:rPr>
          <w:rFonts w:ascii="Arial" w:hAnsi="Arial" w:cs="Arial"/>
          <w:sz w:val="24"/>
          <w:szCs w:val="24"/>
        </w:rPr>
        <w:t>pecial Māori-Crown relationship</w:t>
      </w:r>
      <w:r w:rsidR="0001698B">
        <w:rPr>
          <w:rFonts w:ascii="Arial" w:hAnsi="Arial" w:cs="Arial"/>
          <w:sz w:val="24"/>
          <w:szCs w:val="24"/>
        </w:rPr>
        <w:t xml:space="preserve"> in its approach to</w:t>
      </w:r>
      <w:r w:rsidR="0001698B" w:rsidRPr="00C46970">
        <w:rPr>
          <w:rFonts w:ascii="Arial" w:hAnsi="Arial" w:cs="Arial"/>
          <w:sz w:val="24"/>
          <w:szCs w:val="24"/>
        </w:rPr>
        <w:t xml:space="preserve"> engagement</w:t>
      </w:r>
      <w:r w:rsidRPr="00C46970">
        <w:rPr>
          <w:rFonts w:ascii="Arial" w:hAnsi="Arial" w:cs="Arial"/>
          <w:sz w:val="24"/>
          <w:szCs w:val="24"/>
        </w:rPr>
        <w:t xml:space="preserve">. </w:t>
      </w:r>
      <w:r w:rsidR="00355A52">
        <w:rPr>
          <w:rFonts w:ascii="Arial" w:hAnsi="Arial" w:cs="Arial"/>
          <w:sz w:val="24"/>
          <w:szCs w:val="24"/>
        </w:rPr>
        <w:t>We</w:t>
      </w:r>
      <w:r w:rsidRPr="00C46970">
        <w:rPr>
          <w:rFonts w:ascii="Arial" w:hAnsi="Arial" w:cs="Arial"/>
          <w:sz w:val="24"/>
          <w:szCs w:val="24"/>
        </w:rPr>
        <w:t xml:space="preserve"> will then explore release of the tax engagement framework</w:t>
      </w:r>
      <w:r w:rsidR="001503F0">
        <w:rPr>
          <w:rFonts w:ascii="Arial" w:hAnsi="Arial" w:cs="Arial"/>
          <w:sz w:val="24"/>
          <w:szCs w:val="24"/>
        </w:rPr>
        <w:t>.</w:t>
      </w:r>
    </w:p>
    <w:bookmarkEnd w:id="11"/>
    <w:p w14:paraId="4DB47B74" w14:textId="77777777" w:rsidR="00CE30C5" w:rsidRPr="00CE30C5" w:rsidRDefault="00CE30C5"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CE30C5">
        <w:rPr>
          <w:rFonts w:ascii="Arial" w:hAnsi="Arial" w:cs="Arial"/>
          <w:sz w:val="24"/>
          <w:szCs w:val="24"/>
        </w:rPr>
        <w:t xml:space="preserve">Inland Revenue continues to be committed to investing in the technical skills and capability of </w:t>
      </w:r>
      <w:r w:rsidR="007E1200">
        <w:rPr>
          <w:rFonts w:ascii="Arial" w:hAnsi="Arial" w:cs="Arial"/>
          <w:sz w:val="24"/>
          <w:szCs w:val="24"/>
        </w:rPr>
        <w:t>its</w:t>
      </w:r>
      <w:r w:rsidRPr="00CE30C5">
        <w:rPr>
          <w:rFonts w:ascii="Arial" w:hAnsi="Arial" w:cs="Arial"/>
          <w:sz w:val="24"/>
          <w:szCs w:val="24"/>
        </w:rPr>
        <w:t xml:space="preserve"> investigation</w:t>
      </w:r>
      <w:r w:rsidR="00521771">
        <w:rPr>
          <w:rFonts w:ascii="Arial" w:hAnsi="Arial" w:cs="Arial"/>
          <w:sz w:val="24"/>
          <w:szCs w:val="24"/>
        </w:rPr>
        <w:t>s</w:t>
      </w:r>
      <w:r w:rsidRPr="00CE30C5">
        <w:rPr>
          <w:rFonts w:ascii="Arial" w:hAnsi="Arial" w:cs="Arial"/>
          <w:sz w:val="24"/>
          <w:szCs w:val="24"/>
        </w:rPr>
        <w:t xml:space="preserve"> staff.</w:t>
      </w:r>
      <w:r>
        <w:rPr>
          <w:rFonts w:ascii="Arial" w:hAnsi="Arial" w:cs="Arial"/>
          <w:sz w:val="24"/>
          <w:szCs w:val="24"/>
        </w:rPr>
        <w:t xml:space="preserve"> </w:t>
      </w:r>
      <w:r w:rsidRPr="00CE30C5">
        <w:rPr>
          <w:rFonts w:ascii="Arial" w:hAnsi="Arial" w:cs="Arial"/>
          <w:sz w:val="24"/>
          <w:szCs w:val="24"/>
        </w:rPr>
        <w:t xml:space="preserve">The Business Transformation programme will also </w:t>
      </w:r>
      <w:r w:rsidR="00521771">
        <w:rPr>
          <w:rFonts w:ascii="Arial" w:hAnsi="Arial" w:cs="Arial"/>
          <w:sz w:val="24"/>
          <w:szCs w:val="24"/>
        </w:rPr>
        <w:t>help</w:t>
      </w:r>
      <w:r w:rsidRPr="00CE30C5">
        <w:rPr>
          <w:rFonts w:ascii="Arial" w:hAnsi="Arial" w:cs="Arial"/>
          <w:sz w:val="24"/>
          <w:szCs w:val="24"/>
        </w:rPr>
        <w:t xml:space="preserve"> to free more Inland Revenue staff from transactional work to focus on identifying non-compliance.</w:t>
      </w:r>
      <w:r>
        <w:rPr>
          <w:rFonts w:ascii="Arial" w:hAnsi="Arial" w:cs="Arial"/>
          <w:sz w:val="24"/>
          <w:szCs w:val="24"/>
        </w:rPr>
        <w:t xml:space="preserve"> </w:t>
      </w:r>
    </w:p>
    <w:bookmarkEnd w:id="10"/>
    <w:p w14:paraId="1FF0E297" w14:textId="77777777" w:rsidR="00495371" w:rsidRPr="008C0B1C" w:rsidRDefault="00D25848" w:rsidP="00AD1F73">
      <w:pPr>
        <w:keepNext/>
        <w:spacing w:after="240"/>
        <w:jc w:val="both"/>
        <w:rPr>
          <w:rFonts w:ascii="Arial" w:hAnsi="Arial" w:cs="Arial"/>
          <w:b/>
          <w:i/>
          <w:iCs/>
          <w:sz w:val="24"/>
          <w:szCs w:val="24"/>
        </w:rPr>
      </w:pPr>
      <w:r>
        <w:rPr>
          <w:rFonts w:ascii="Arial" w:hAnsi="Arial" w:cs="Arial"/>
          <w:b/>
          <w:i/>
          <w:iCs/>
          <w:sz w:val="24"/>
          <w:szCs w:val="24"/>
        </w:rPr>
        <w:t>Charities</w:t>
      </w:r>
    </w:p>
    <w:p w14:paraId="77317F56" w14:textId="77777777" w:rsidR="00495371" w:rsidRPr="00495371" w:rsidRDefault="00495371"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495371">
        <w:rPr>
          <w:rFonts w:ascii="Arial" w:hAnsi="Arial" w:cs="Arial"/>
          <w:sz w:val="24"/>
          <w:szCs w:val="24"/>
        </w:rPr>
        <w:t>The TWG raised four areas of concern in respect of charities and the not-for-profit sector</w:t>
      </w:r>
      <w:r>
        <w:rPr>
          <w:rFonts w:ascii="Arial" w:hAnsi="Arial" w:cs="Arial"/>
          <w:sz w:val="24"/>
          <w:szCs w:val="24"/>
        </w:rPr>
        <w:t>:</w:t>
      </w:r>
    </w:p>
    <w:p w14:paraId="40EF0732" w14:textId="77777777" w:rsidR="00495371" w:rsidRPr="0063750C" w:rsidRDefault="004953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The first area of concern involved business activity in the tax-exempt charitable sector. The TWG was concerned about the extent to which charities are distributing or applying the surpluses from their activities for the benefit of their charitable purposes. </w:t>
      </w:r>
      <w:r w:rsidR="007E1200">
        <w:rPr>
          <w:rFonts w:ascii="Arial" w:hAnsi="Arial" w:cs="Arial"/>
          <w:sz w:val="24"/>
          <w:szCs w:val="24"/>
        </w:rPr>
        <w:t>T</w:t>
      </w:r>
      <w:r w:rsidRPr="0063750C">
        <w:rPr>
          <w:rFonts w:ascii="Arial" w:hAnsi="Arial" w:cs="Arial"/>
          <w:sz w:val="24"/>
          <w:szCs w:val="24"/>
        </w:rPr>
        <w:t>he TWG recommended that the Government periodically review the charitable sector's use of what would otherwise be tax revenue to verify that the intended social outcomes are actually being achieved.</w:t>
      </w:r>
    </w:p>
    <w:p w14:paraId="2CF3D3DE" w14:textId="77777777" w:rsidR="00495371" w:rsidRPr="0063750C" w:rsidRDefault="004953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second area of concern involved the income tax treatment of private charitable foundations and trusts. The TWG recommended the Government consider whether to apply a distinction between privately controlled foundations and other charitable organisations, with a view to removing concessions for privately controlled foundations or trusts that do not have arm's length governance or distribution policies.</w:t>
      </w:r>
    </w:p>
    <w:p w14:paraId="2113C929" w14:textId="77777777" w:rsidR="00495371" w:rsidRPr="0063750C" w:rsidRDefault="00495371" w:rsidP="002604CD">
      <w:pPr>
        <w:pStyle w:val="ListParagraph"/>
        <w:keepLines/>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third area of concern involved the income tax rules for de</w:t>
      </w:r>
      <w:r w:rsidR="00C46970" w:rsidRPr="0063750C">
        <w:rPr>
          <w:rFonts w:ascii="Arial" w:hAnsi="Arial" w:cs="Arial"/>
          <w:sz w:val="24"/>
          <w:szCs w:val="24"/>
        </w:rPr>
        <w:t>-</w:t>
      </w:r>
      <w:r w:rsidRPr="0063750C">
        <w:rPr>
          <w:rFonts w:ascii="Arial" w:hAnsi="Arial" w:cs="Arial"/>
          <w:sz w:val="24"/>
          <w:szCs w:val="24"/>
        </w:rPr>
        <w:t>registered charities. The TWG recommended the Government consider whether to amend the de</w:t>
      </w:r>
      <w:r w:rsidR="00C46970" w:rsidRPr="0063750C">
        <w:rPr>
          <w:rFonts w:ascii="Arial" w:hAnsi="Arial" w:cs="Arial"/>
          <w:sz w:val="24"/>
          <w:szCs w:val="24"/>
        </w:rPr>
        <w:t>-</w:t>
      </w:r>
      <w:r w:rsidRPr="0063750C">
        <w:rPr>
          <w:rFonts w:ascii="Arial" w:hAnsi="Arial" w:cs="Arial"/>
          <w:sz w:val="24"/>
          <w:szCs w:val="24"/>
        </w:rPr>
        <w:t>registration tax rules to more effectively keep assets in the sector or to ensure there is no deferral benefit through the application of these rules.</w:t>
      </w:r>
    </w:p>
    <w:p w14:paraId="0F18F7C0" w14:textId="77777777" w:rsidR="00495371" w:rsidRPr="0063750C" w:rsidRDefault="004953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fourth area of concern involved the treatment of GST concessions fo</w:t>
      </w:r>
      <w:r w:rsidR="00614E8F">
        <w:rPr>
          <w:rFonts w:ascii="Arial" w:hAnsi="Arial" w:cs="Arial"/>
          <w:sz w:val="24"/>
          <w:szCs w:val="24"/>
        </w:rPr>
        <w:t>r not-for-profit organisations.</w:t>
      </w:r>
      <w:r w:rsidRPr="0063750C">
        <w:rPr>
          <w:rFonts w:ascii="Arial" w:hAnsi="Arial" w:cs="Arial"/>
          <w:sz w:val="24"/>
          <w:szCs w:val="24"/>
        </w:rPr>
        <w:t xml:space="preserve"> The TWG recommended the Government review whether it is appropriate to treat some not-for-profit organisations as if they were final consumers or, alternatively, to limit GST concessions to a smaller group of non-profit bodies, such as registered charities.</w:t>
      </w:r>
    </w:p>
    <w:p w14:paraId="4BE529A9" w14:textId="77777777" w:rsidR="00495371" w:rsidRPr="008C0B1C" w:rsidRDefault="0039120A" w:rsidP="00093B5A">
      <w:pPr>
        <w:keepNext/>
        <w:spacing w:after="240" w:line="240" w:lineRule="auto"/>
        <w:jc w:val="both"/>
        <w:rPr>
          <w:rFonts w:ascii="Arial" w:hAnsi="Arial" w:cs="Arial"/>
          <w:i/>
          <w:sz w:val="24"/>
          <w:szCs w:val="24"/>
        </w:rPr>
      </w:pPr>
      <w:r>
        <w:rPr>
          <w:rFonts w:ascii="Arial" w:hAnsi="Arial" w:cs="Arial"/>
          <w:i/>
          <w:sz w:val="24"/>
          <w:szCs w:val="24"/>
        </w:rPr>
        <w:t>Government response</w:t>
      </w:r>
    </w:p>
    <w:p w14:paraId="317C18FA" w14:textId="77777777" w:rsidR="00495371" w:rsidRPr="00495371" w:rsidRDefault="008763CA" w:rsidP="00093B5A">
      <w:pPr>
        <w:pStyle w:val="ListParagraph"/>
        <w:keepNext/>
        <w:numPr>
          <w:ilvl w:val="0"/>
          <w:numId w:val="1"/>
        </w:numPr>
        <w:spacing w:after="240" w:line="240" w:lineRule="auto"/>
        <w:ind w:left="709" w:hanging="709"/>
        <w:contextualSpacing w:val="0"/>
        <w:jc w:val="both"/>
        <w:rPr>
          <w:rFonts w:ascii="Arial" w:hAnsi="Arial" w:cs="Arial"/>
          <w:sz w:val="24"/>
          <w:szCs w:val="24"/>
        </w:rPr>
      </w:pPr>
      <w:r w:rsidRPr="00C46970">
        <w:rPr>
          <w:rFonts w:ascii="Arial" w:hAnsi="Arial" w:cs="Arial"/>
          <w:sz w:val="24"/>
          <w:szCs w:val="24"/>
        </w:rPr>
        <w:t>T</w:t>
      </w:r>
      <w:r>
        <w:rPr>
          <w:rFonts w:ascii="Arial" w:hAnsi="Arial" w:cs="Arial"/>
          <w:sz w:val="24"/>
          <w:szCs w:val="24"/>
        </w:rPr>
        <w:t>he Government has already commissioned t</w:t>
      </w:r>
      <w:r w:rsidRPr="00C46970">
        <w:rPr>
          <w:rFonts w:ascii="Arial" w:hAnsi="Arial" w:cs="Arial"/>
          <w:sz w:val="24"/>
          <w:szCs w:val="24"/>
        </w:rPr>
        <w:t xml:space="preserve">he Department of Internal Affairs (DIA), on behalf of the Minister for the Community and Voluntary Sector, </w:t>
      </w:r>
      <w:r>
        <w:rPr>
          <w:rFonts w:ascii="Arial" w:hAnsi="Arial" w:cs="Arial"/>
          <w:sz w:val="24"/>
          <w:szCs w:val="24"/>
        </w:rPr>
        <w:t>with modernising t</w:t>
      </w:r>
      <w:r w:rsidRPr="00C46970">
        <w:rPr>
          <w:rFonts w:ascii="Arial" w:hAnsi="Arial" w:cs="Arial"/>
          <w:sz w:val="24"/>
          <w:szCs w:val="24"/>
        </w:rPr>
        <w:t xml:space="preserve">he Charities Act 2005.  </w:t>
      </w:r>
      <w:r w:rsidR="00495371" w:rsidRPr="00495371">
        <w:rPr>
          <w:rFonts w:ascii="Arial" w:hAnsi="Arial" w:cs="Arial"/>
          <w:sz w:val="24"/>
          <w:szCs w:val="24"/>
        </w:rPr>
        <w:t xml:space="preserve">The Government </w:t>
      </w:r>
      <w:r>
        <w:rPr>
          <w:rFonts w:ascii="Arial" w:hAnsi="Arial" w:cs="Arial"/>
          <w:sz w:val="24"/>
          <w:szCs w:val="24"/>
        </w:rPr>
        <w:t xml:space="preserve">also </w:t>
      </w:r>
      <w:r w:rsidR="00495371" w:rsidRPr="00495371">
        <w:rPr>
          <w:rFonts w:ascii="Arial" w:hAnsi="Arial" w:cs="Arial"/>
          <w:sz w:val="24"/>
          <w:szCs w:val="24"/>
        </w:rPr>
        <w:t>added a review of charities and non-profit organisations to the Tax Policy Work Programme in 2018, which the TWG</w:t>
      </w:r>
      <w:r w:rsidR="007C7AAF">
        <w:rPr>
          <w:rFonts w:ascii="Arial" w:hAnsi="Arial" w:cs="Arial"/>
          <w:sz w:val="24"/>
          <w:szCs w:val="24"/>
        </w:rPr>
        <w:t xml:space="preserve"> supported in its final report.</w:t>
      </w:r>
      <w:r w:rsidR="00495371" w:rsidRPr="00495371">
        <w:rPr>
          <w:rFonts w:ascii="Arial" w:hAnsi="Arial" w:cs="Arial"/>
          <w:sz w:val="24"/>
          <w:szCs w:val="24"/>
        </w:rPr>
        <w:t xml:space="preserve"> That review is focussed on:</w:t>
      </w:r>
    </w:p>
    <w:p w14:paraId="00D70DD5" w14:textId="77777777" w:rsidR="00495371" w:rsidRPr="0063750C" w:rsidRDefault="004953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 appropriateness of the tax exemption for significant businesses associated with charities</w:t>
      </w:r>
      <w:r w:rsidR="007E1200">
        <w:rPr>
          <w:rFonts w:ascii="Arial" w:hAnsi="Arial" w:cs="Arial"/>
          <w:sz w:val="24"/>
          <w:szCs w:val="24"/>
        </w:rPr>
        <w:t>;</w:t>
      </w:r>
      <w:r w:rsidRPr="0063750C">
        <w:rPr>
          <w:rFonts w:ascii="Arial" w:hAnsi="Arial" w:cs="Arial"/>
          <w:sz w:val="24"/>
          <w:szCs w:val="24"/>
        </w:rPr>
        <w:t xml:space="preserve"> and </w:t>
      </w:r>
    </w:p>
    <w:p w14:paraId="553A6424" w14:textId="77777777" w:rsidR="00495371" w:rsidRPr="0063750C" w:rsidRDefault="00495371"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the</w:t>
      </w:r>
      <w:r w:rsidR="00C46970" w:rsidRPr="0063750C">
        <w:rPr>
          <w:rFonts w:ascii="Arial" w:hAnsi="Arial" w:cs="Arial"/>
          <w:sz w:val="24"/>
          <w:szCs w:val="24"/>
        </w:rPr>
        <w:t xml:space="preserve"> level of</w:t>
      </w:r>
      <w:r w:rsidRPr="0063750C">
        <w:rPr>
          <w:rFonts w:ascii="Arial" w:hAnsi="Arial" w:cs="Arial"/>
          <w:sz w:val="24"/>
          <w:szCs w:val="24"/>
        </w:rPr>
        <w:t xml:space="preserve"> compliance costs experienced by small charities.</w:t>
      </w:r>
    </w:p>
    <w:p w14:paraId="3C20A906" w14:textId="77777777" w:rsidR="00495371" w:rsidRPr="00495371" w:rsidRDefault="00495371"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495371">
        <w:rPr>
          <w:rFonts w:ascii="Arial" w:hAnsi="Arial" w:cs="Arial"/>
          <w:sz w:val="24"/>
          <w:szCs w:val="24"/>
        </w:rPr>
        <w:t xml:space="preserve">Some remedial measures to reduce compliance costs experienced by small charities have been made </w:t>
      </w:r>
      <w:r w:rsidR="00521771">
        <w:rPr>
          <w:rFonts w:ascii="Arial" w:hAnsi="Arial" w:cs="Arial"/>
          <w:sz w:val="24"/>
          <w:szCs w:val="24"/>
        </w:rPr>
        <w:t>by</w:t>
      </w:r>
      <w:r w:rsidRPr="00495371">
        <w:rPr>
          <w:rFonts w:ascii="Arial" w:hAnsi="Arial" w:cs="Arial"/>
          <w:sz w:val="24"/>
          <w:szCs w:val="24"/>
        </w:rPr>
        <w:t xml:space="preserve"> the Taxation (Annual Rates for 2018–19, Modernising Tax Administration, and Remedial Matters) </w:t>
      </w:r>
      <w:r w:rsidR="00521771">
        <w:rPr>
          <w:rFonts w:ascii="Arial" w:hAnsi="Arial" w:cs="Arial"/>
          <w:sz w:val="24"/>
          <w:szCs w:val="24"/>
        </w:rPr>
        <w:t>Act 2019</w:t>
      </w:r>
      <w:r w:rsidRPr="00495371">
        <w:rPr>
          <w:rFonts w:ascii="Arial" w:hAnsi="Arial" w:cs="Arial"/>
          <w:sz w:val="24"/>
          <w:szCs w:val="24"/>
        </w:rPr>
        <w:t xml:space="preserve">.  </w:t>
      </w:r>
      <w:r>
        <w:rPr>
          <w:rFonts w:ascii="Arial" w:hAnsi="Arial" w:cs="Arial"/>
          <w:sz w:val="24"/>
          <w:szCs w:val="24"/>
        </w:rPr>
        <w:t>Further</w:t>
      </w:r>
      <w:r w:rsidRPr="00495371">
        <w:rPr>
          <w:rFonts w:ascii="Arial" w:hAnsi="Arial" w:cs="Arial"/>
          <w:sz w:val="24"/>
          <w:szCs w:val="24"/>
        </w:rPr>
        <w:t xml:space="preserve"> remedial measures will be included in a 2019 omnibus tax bill.</w:t>
      </w:r>
    </w:p>
    <w:p w14:paraId="4C01185B" w14:textId="77777777" w:rsidR="00C46970" w:rsidRPr="00C46970" w:rsidRDefault="008763CA" w:rsidP="00D11C7B">
      <w:pPr>
        <w:pStyle w:val="ListParagraph"/>
        <w:numPr>
          <w:ilvl w:val="0"/>
          <w:numId w:val="1"/>
        </w:numPr>
        <w:spacing w:after="240" w:line="240" w:lineRule="auto"/>
        <w:ind w:left="709" w:hanging="709"/>
        <w:contextualSpacing w:val="0"/>
        <w:jc w:val="both"/>
      </w:pPr>
      <w:r w:rsidRPr="00C46970">
        <w:rPr>
          <w:rFonts w:ascii="Arial" w:hAnsi="Arial" w:cs="Arial"/>
          <w:sz w:val="24"/>
          <w:szCs w:val="24"/>
        </w:rPr>
        <w:t>Th</w:t>
      </w:r>
      <w:r>
        <w:rPr>
          <w:rFonts w:ascii="Arial" w:hAnsi="Arial" w:cs="Arial"/>
          <w:sz w:val="24"/>
          <w:szCs w:val="24"/>
        </w:rPr>
        <w:t>e ongoing DIA</w:t>
      </w:r>
      <w:r w:rsidRPr="00C46970">
        <w:rPr>
          <w:rFonts w:ascii="Arial" w:hAnsi="Arial" w:cs="Arial"/>
          <w:sz w:val="24"/>
          <w:szCs w:val="24"/>
        </w:rPr>
        <w:t xml:space="preserve"> </w:t>
      </w:r>
      <w:r w:rsidR="00C46970" w:rsidRPr="00C46970">
        <w:rPr>
          <w:rFonts w:ascii="Arial" w:hAnsi="Arial" w:cs="Arial"/>
          <w:sz w:val="24"/>
          <w:szCs w:val="24"/>
        </w:rPr>
        <w:t>work will shed further light on the issues of accumulation and distribution</w:t>
      </w:r>
      <w:r w:rsidR="00606E6F">
        <w:rPr>
          <w:rFonts w:ascii="Arial" w:hAnsi="Arial" w:cs="Arial"/>
          <w:sz w:val="24"/>
          <w:szCs w:val="24"/>
        </w:rPr>
        <w:t xml:space="preserve"> within the charitable sector. </w:t>
      </w:r>
      <w:r w:rsidR="00C46970" w:rsidRPr="00C46970">
        <w:rPr>
          <w:rFonts w:ascii="Arial" w:hAnsi="Arial" w:cs="Arial"/>
          <w:sz w:val="24"/>
          <w:szCs w:val="24"/>
        </w:rPr>
        <w:t>DIA’s findings will be relevant when considering whether the charitable tax exemption for businesses, private charitable foundations and trusts are appropriate.</w:t>
      </w:r>
    </w:p>
    <w:p w14:paraId="61103858" w14:textId="77777777" w:rsidR="00094DF8" w:rsidRPr="00094DF8" w:rsidRDefault="00495371" w:rsidP="00D11C7B">
      <w:pPr>
        <w:pStyle w:val="ListParagraph"/>
        <w:numPr>
          <w:ilvl w:val="0"/>
          <w:numId w:val="1"/>
        </w:numPr>
        <w:spacing w:after="240" w:line="240" w:lineRule="auto"/>
        <w:ind w:left="709" w:hanging="709"/>
        <w:contextualSpacing w:val="0"/>
        <w:jc w:val="both"/>
      </w:pPr>
      <w:r w:rsidRPr="00495371">
        <w:rPr>
          <w:rFonts w:ascii="Arial" w:hAnsi="Arial" w:cs="Arial"/>
          <w:sz w:val="24"/>
          <w:szCs w:val="24"/>
        </w:rPr>
        <w:t xml:space="preserve">Tax policy officials will continue to </w:t>
      </w:r>
      <w:r w:rsidR="007E1200" w:rsidRPr="00495371">
        <w:rPr>
          <w:rFonts w:ascii="Arial" w:hAnsi="Arial" w:cs="Arial"/>
          <w:sz w:val="24"/>
          <w:szCs w:val="24"/>
        </w:rPr>
        <w:t xml:space="preserve">liaise with DIA </w:t>
      </w:r>
      <w:r w:rsidRPr="00495371">
        <w:rPr>
          <w:rFonts w:ascii="Arial" w:hAnsi="Arial" w:cs="Arial"/>
          <w:sz w:val="24"/>
          <w:szCs w:val="24"/>
        </w:rPr>
        <w:t>throughout their consultation and policy process. At the conclusion of DIA’s review, which is expected to be late 2019, officials will report on the related tax issues</w:t>
      </w:r>
      <w:r w:rsidR="00835209">
        <w:rPr>
          <w:rFonts w:ascii="Arial" w:hAnsi="Arial" w:cs="Arial"/>
          <w:sz w:val="24"/>
          <w:szCs w:val="24"/>
        </w:rPr>
        <w:t xml:space="preserve"> (including any interactions with the TWG’s recommendations)</w:t>
      </w:r>
      <w:r w:rsidRPr="00495371">
        <w:rPr>
          <w:rFonts w:ascii="Arial" w:hAnsi="Arial" w:cs="Arial"/>
          <w:sz w:val="24"/>
          <w:szCs w:val="24"/>
        </w:rPr>
        <w:t>.</w:t>
      </w:r>
    </w:p>
    <w:p w14:paraId="464E6747" w14:textId="77777777" w:rsidR="00335BD7" w:rsidRPr="008C0B1C" w:rsidRDefault="00335BD7" w:rsidP="00AD1F73">
      <w:pPr>
        <w:keepNext/>
        <w:spacing w:after="240" w:line="240" w:lineRule="auto"/>
        <w:jc w:val="both"/>
        <w:rPr>
          <w:rFonts w:ascii="Arial" w:hAnsi="Arial" w:cs="Arial"/>
          <w:b/>
          <w:i/>
          <w:sz w:val="24"/>
          <w:szCs w:val="24"/>
        </w:rPr>
      </w:pPr>
      <w:r w:rsidRPr="008C0B1C">
        <w:rPr>
          <w:rFonts w:ascii="Arial" w:hAnsi="Arial" w:cs="Arial"/>
          <w:b/>
          <w:i/>
          <w:sz w:val="24"/>
          <w:szCs w:val="24"/>
        </w:rPr>
        <w:t>GST and financial transactions tax</w:t>
      </w:r>
    </w:p>
    <w:p w14:paraId="48DCEA6E" w14:textId="77777777" w:rsidR="00335BD7" w:rsidRPr="00335BD7" w:rsidRDefault="00335BD7"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received many submissions calling for a reduction in the GST rate</w:t>
      </w:r>
      <w:r w:rsidR="00521771">
        <w:rPr>
          <w:rFonts w:ascii="Arial" w:hAnsi="Arial" w:cs="Arial"/>
          <w:sz w:val="24"/>
          <w:szCs w:val="24"/>
        </w:rPr>
        <w:t>,</w:t>
      </w:r>
      <w:r w:rsidRPr="00335BD7">
        <w:rPr>
          <w:rFonts w:ascii="Arial" w:hAnsi="Arial" w:cs="Arial"/>
          <w:sz w:val="24"/>
          <w:szCs w:val="24"/>
        </w:rPr>
        <w:t xml:space="preserve"> or for the introduction of new GST exceptions</w:t>
      </w:r>
      <w:r w:rsidR="00521771">
        <w:rPr>
          <w:rFonts w:ascii="Arial" w:hAnsi="Arial" w:cs="Arial"/>
          <w:sz w:val="24"/>
          <w:szCs w:val="24"/>
        </w:rPr>
        <w:t>,</w:t>
      </w:r>
      <w:r w:rsidRPr="00335BD7">
        <w:rPr>
          <w:rFonts w:ascii="Arial" w:hAnsi="Arial" w:cs="Arial"/>
          <w:sz w:val="24"/>
          <w:szCs w:val="24"/>
        </w:rPr>
        <w:t xml:space="preserve"> to reduce the impact of GST on lower-income households.</w:t>
      </w:r>
    </w:p>
    <w:p w14:paraId="5E1A5D6B" w14:textId="77777777" w:rsidR="00335BD7" w:rsidRPr="00335BD7" w:rsidRDefault="00335BD7"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acknowledged the public concern about the regressive nature of GST but decided not to recommend a reduction in the GST rate</w:t>
      </w:r>
      <w:r w:rsidR="00621F1B">
        <w:rPr>
          <w:rFonts w:ascii="Arial" w:hAnsi="Arial" w:cs="Arial"/>
          <w:sz w:val="24"/>
          <w:szCs w:val="24"/>
        </w:rPr>
        <w:t>,</w:t>
      </w:r>
      <w:r w:rsidRPr="00335BD7">
        <w:rPr>
          <w:rFonts w:ascii="Arial" w:hAnsi="Arial" w:cs="Arial"/>
          <w:sz w:val="24"/>
          <w:szCs w:val="24"/>
        </w:rPr>
        <w:t xml:space="preserve"> or the introduction of new GST exceptions. This is because other </w:t>
      </w:r>
      <w:r w:rsidR="00C46970">
        <w:rPr>
          <w:rFonts w:ascii="Arial" w:hAnsi="Arial" w:cs="Arial"/>
          <w:sz w:val="24"/>
          <w:szCs w:val="24"/>
        </w:rPr>
        <w:t xml:space="preserve">more targeted </w:t>
      </w:r>
      <w:r w:rsidRPr="00335BD7">
        <w:rPr>
          <w:rFonts w:ascii="Arial" w:hAnsi="Arial" w:cs="Arial"/>
          <w:sz w:val="24"/>
          <w:szCs w:val="24"/>
        </w:rPr>
        <w:t>measures, such as increases in transfers or changes to the personal tax system, will increase progressivity more effectively than reductions to GST.</w:t>
      </w:r>
    </w:p>
    <w:p w14:paraId="347EBB72" w14:textId="77777777" w:rsidR="00335BD7" w:rsidRPr="00335BD7" w:rsidRDefault="00605659" w:rsidP="002604CD">
      <w:pPr>
        <w:pStyle w:val="ListParagraph"/>
        <w:keepLines/>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The TWG also considered whether to remove the GST exemption on</w:t>
      </w:r>
      <w:r w:rsidR="00335BD7" w:rsidRPr="00335BD7">
        <w:rPr>
          <w:rFonts w:ascii="Arial" w:hAnsi="Arial" w:cs="Arial"/>
          <w:sz w:val="24"/>
          <w:szCs w:val="24"/>
        </w:rPr>
        <w:t xml:space="preserve"> financial services. The TWG considered a number of options for taxing the consumption of financial </w:t>
      </w:r>
      <w:proofErr w:type="gramStart"/>
      <w:r w:rsidR="00335BD7" w:rsidRPr="00335BD7">
        <w:rPr>
          <w:rFonts w:ascii="Arial" w:hAnsi="Arial" w:cs="Arial"/>
          <w:sz w:val="24"/>
          <w:szCs w:val="24"/>
        </w:rPr>
        <w:t>services</w:t>
      </w:r>
      <w:r w:rsidR="00D96EC7">
        <w:rPr>
          <w:rFonts w:ascii="Arial" w:hAnsi="Arial" w:cs="Arial"/>
          <w:sz w:val="24"/>
          <w:szCs w:val="24"/>
        </w:rPr>
        <w:t>,</w:t>
      </w:r>
      <w:r w:rsidR="00335BD7" w:rsidRPr="00335BD7">
        <w:rPr>
          <w:rFonts w:ascii="Arial" w:hAnsi="Arial" w:cs="Arial"/>
          <w:sz w:val="24"/>
          <w:szCs w:val="24"/>
        </w:rPr>
        <w:t xml:space="preserve"> but</w:t>
      </w:r>
      <w:proofErr w:type="gramEnd"/>
      <w:r w:rsidR="00335BD7" w:rsidRPr="00335BD7">
        <w:rPr>
          <w:rFonts w:ascii="Arial" w:hAnsi="Arial" w:cs="Arial"/>
          <w:sz w:val="24"/>
          <w:szCs w:val="24"/>
        </w:rPr>
        <w:t xml:space="preserve"> has not been able to identify a means of doing so that is both feasible and efficient. However, </w:t>
      </w:r>
      <w:r w:rsidR="00C46970">
        <w:rPr>
          <w:rFonts w:ascii="Arial" w:hAnsi="Arial" w:cs="Arial"/>
          <w:sz w:val="24"/>
          <w:szCs w:val="24"/>
        </w:rPr>
        <w:t xml:space="preserve">the TWG </w:t>
      </w:r>
      <w:r w:rsidR="00335BD7" w:rsidRPr="00335BD7">
        <w:rPr>
          <w:rFonts w:ascii="Arial" w:hAnsi="Arial" w:cs="Arial"/>
          <w:sz w:val="24"/>
          <w:szCs w:val="24"/>
        </w:rPr>
        <w:t>recommended that the Government monitor international developments in this area.</w:t>
      </w:r>
    </w:p>
    <w:p w14:paraId="7CE9DBA1" w14:textId="77777777" w:rsidR="00335BD7" w:rsidRPr="00335BD7" w:rsidRDefault="00335BD7"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 xml:space="preserve">The TWG also did not recommend </w:t>
      </w:r>
      <w:r w:rsidR="00513956">
        <w:rPr>
          <w:rFonts w:ascii="Arial" w:hAnsi="Arial" w:cs="Arial"/>
          <w:sz w:val="24"/>
          <w:szCs w:val="24"/>
        </w:rPr>
        <w:t xml:space="preserve">the </w:t>
      </w:r>
      <w:r w:rsidRPr="00335BD7">
        <w:rPr>
          <w:rFonts w:ascii="Arial" w:hAnsi="Arial" w:cs="Arial"/>
          <w:sz w:val="24"/>
          <w:szCs w:val="24"/>
        </w:rPr>
        <w:t>introduc</w:t>
      </w:r>
      <w:r w:rsidR="00513956">
        <w:rPr>
          <w:rFonts w:ascii="Arial" w:hAnsi="Arial" w:cs="Arial"/>
          <w:sz w:val="24"/>
          <w:szCs w:val="24"/>
        </w:rPr>
        <w:t>t</w:t>
      </w:r>
      <w:r w:rsidRPr="00335BD7">
        <w:rPr>
          <w:rFonts w:ascii="Arial" w:hAnsi="Arial" w:cs="Arial"/>
          <w:sz w:val="24"/>
          <w:szCs w:val="24"/>
        </w:rPr>
        <w:t>i</w:t>
      </w:r>
      <w:r w:rsidR="00513956">
        <w:rPr>
          <w:rFonts w:ascii="Arial" w:hAnsi="Arial" w:cs="Arial"/>
          <w:sz w:val="24"/>
          <w:szCs w:val="24"/>
        </w:rPr>
        <w:t>o</w:t>
      </w:r>
      <w:r w:rsidRPr="00335BD7">
        <w:rPr>
          <w:rFonts w:ascii="Arial" w:hAnsi="Arial" w:cs="Arial"/>
          <w:sz w:val="24"/>
          <w:szCs w:val="24"/>
        </w:rPr>
        <w:t>n</w:t>
      </w:r>
      <w:r w:rsidR="00513956">
        <w:rPr>
          <w:rFonts w:ascii="Arial" w:hAnsi="Arial" w:cs="Arial"/>
          <w:sz w:val="24"/>
          <w:szCs w:val="24"/>
        </w:rPr>
        <w:t xml:space="preserve"> of</w:t>
      </w:r>
      <w:r w:rsidRPr="00335BD7">
        <w:rPr>
          <w:rFonts w:ascii="Arial" w:hAnsi="Arial" w:cs="Arial"/>
          <w:sz w:val="24"/>
          <w:szCs w:val="24"/>
        </w:rPr>
        <w:t xml:space="preserve"> a financial transactions tax</w:t>
      </w:r>
      <w:r w:rsidR="00605659">
        <w:rPr>
          <w:rFonts w:ascii="Arial" w:hAnsi="Arial" w:cs="Arial"/>
          <w:sz w:val="24"/>
          <w:szCs w:val="24"/>
        </w:rPr>
        <w:t>.</w:t>
      </w:r>
    </w:p>
    <w:p w14:paraId="329B99D0" w14:textId="77777777" w:rsidR="00335BD7" w:rsidRPr="008C0B1C" w:rsidRDefault="00C14CCE" w:rsidP="001571BC">
      <w:pPr>
        <w:keepNext/>
        <w:spacing w:after="240" w:line="240" w:lineRule="auto"/>
        <w:jc w:val="both"/>
        <w:rPr>
          <w:rFonts w:ascii="Arial" w:hAnsi="Arial" w:cs="Arial"/>
          <w:i/>
          <w:sz w:val="24"/>
          <w:szCs w:val="24"/>
        </w:rPr>
      </w:pPr>
      <w:r>
        <w:rPr>
          <w:rFonts w:ascii="Arial" w:hAnsi="Arial" w:cs="Arial"/>
          <w:i/>
          <w:sz w:val="24"/>
          <w:szCs w:val="24"/>
        </w:rPr>
        <w:t>Government response</w:t>
      </w:r>
    </w:p>
    <w:p w14:paraId="166890D0" w14:textId="77777777" w:rsidR="00335BD7" w:rsidRPr="00335BD7" w:rsidRDefault="00355A52"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C46970">
        <w:rPr>
          <w:rFonts w:ascii="Arial" w:hAnsi="Arial" w:cs="Arial"/>
          <w:sz w:val="24"/>
          <w:szCs w:val="24"/>
        </w:rPr>
        <w:t xml:space="preserve"> consider</w:t>
      </w:r>
      <w:r w:rsidR="00335BD7" w:rsidRPr="00335BD7">
        <w:rPr>
          <w:rFonts w:ascii="Arial" w:hAnsi="Arial" w:cs="Arial"/>
          <w:sz w:val="24"/>
          <w:szCs w:val="24"/>
        </w:rPr>
        <w:t xml:space="preserve"> that no further work is required at this time in relation to GST</w:t>
      </w:r>
      <w:r w:rsidR="004C4D5D">
        <w:rPr>
          <w:rFonts w:ascii="Arial" w:hAnsi="Arial" w:cs="Arial"/>
          <w:sz w:val="24"/>
          <w:szCs w:val="24"/>
        </w:rPr>
        <w:t xml:space="preserve"> or </w:t>
      </w:r>
      <w:r w:rsidR="004C4D5D" w:rsidRPr="00335BD7">
        <w:rPr>
          <w:rFonts w:ascii="Arial" w:hAnsi="Arial" w:cs="Arial"/>
          <w:sz w:val="24"/>
          <w:szCs w:val="24"/>
        </w:rPr>
        <w:t>financial transactions tax</w:t>
      </w:r>
      <w:r w:rsidR="003B1BFD">
        <w:rPr>
          <w:rFonts w:ascii="Arial" w:hAnsi="Arial" w:cs="Arial"/>
          <w:sz w:val="24"/>
          <w:szCs w:val="24"/>
        </w:rPr>
        <w:t>es</w:t>
      </w:r>
      <w:r w:rsidR="004C4D5D">
        <w:rPr>
          <w:rFonts w:ascii="Arial" w:hAnsi="Arial" w:cs="Arial"/>
          <w:sz w:val="24"/>
          <w:szCs w:val="24"/>
        </w:rPr>
        <w:t>, other than monitoring international developments on taxing financial services</w:t>
      </w:r>
      <w:r w:rsidR="00335BD7" w:rsidRPr="00335BD7">
        <w:rPr>
          <w:rFonts w:ascii="Arial" w:hAnsi="Arial" w:cs="Arial"/>
          <w:sz w:val="24"/>
          <w:szCs w:val="24"/>
        </w:rPr>
        <w:t>.</w:t>
      </w:r>
    </w:p>
    <w:p w14:paraId="448843A5" w14:textId="77777777" w:rsidR="00335BD7" w:rsidRPr="008C0B1C" w:rsidRDefault="00335BD7" w:rsidP="00216E6B">
      <w:pPr>
        <w:keepNext/>
        <w:spacing w:after="240" w:line="240" w:lineRule="auto"/>
        <w:jc w:val="both"/>
        <w:rPr>
          <w:rFonts w:ascii="Arial" w:hAnsi="Arial" w:cs="Arial"/>
          <w:b/>
          <w:i/>
          <w:sz w:val="24"/>
          <w:szCs w:val="24"/>
        </w:rPr>
      </w:pPr>
      <w:r w:rsidRPr="008C0B1C">
        <w:rPr>
          <w:rFonts w:ascii="Arial" w:hAnsi="Arial" w:cs="Arial"/>
          <w:b/>
          <w:i/>
          <w:sz w:val="24"/>
          <w:szCs w:val="24"/>
        </w:rPr>
        <w:t>Corrective taxes</w:t>
      </w:r>
    </w:p>
    <w:p w14:paraId="3A97E0BE" w14:textId="77777777" w:rsidR="00335BD7" w:rsidRPr="00335BD7" w:rsidRDefault="00335BD7" w:rsidP="008E04AF">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A corrective tax is a tax that is intended to influence behaviour and lead to better health and wellbeing outcomes for New Zealanders. Outside of the environmental sphere, New Zealand currently levies corrective taxes on alcohol and tobacco.</w:t>
      </w:r>
    </w:p>
    <w:p w14:paraId="6F959DA8" w14:textId="77777777" w:rsidR="009C1A98" w:rsidRPr="0063750C" w:rsidRDefault="00335BD7" w:rsidP="008E04AF">
      <w:pPr>
        <w:pStyle w:val="ListParagraph"/>
        <w:numPr>
          <w:ilvl w:val="0"/>
          <w:numId w:val="1"/>
        </w:numPr>
        <w:spacing w:after="240" w:line="240" w:lineRule="auto"/>
        <w:ind w:left="709" w:hanging="709"/>
        <w:contextualSpacing w:val="0"/>
        <w:jc w:val="both"/>
        <w:rPr>
          <w:rFonts w:ascii="Arial" w:hAnsi="Arial" w:cs="Arial"/>
          <w:sz w:val="24"/>
          <w:szCs w:val="24"/>
        </w:rPr>
      </w:pPr>
      <w:r w:rsidRPr="00335BD7">
        <w:rPr>
          <w:rFonts w:ascii="Arial" w:hAnsi="Arial" w:cs="Arial"/>
          <w:sz w:val="24"/>
          <w:szCs w:val="24"/>
        </w:rPr>
        <w:t>The TWG recommend</w:t>
      </w:r>
      <w:r w:rsidR="009A6CBB">
        <w:rPr>
          <w:rFonts w:ascii="Arial" w:hAnsi="Arial" w:cs="Arial"/>
          <w:sz w:val="24"/>
          <w:szCs w:val="24"/>
        </w:rPr>
        <w:t>ed</w:t>
      </w:r>
      <w:r w:rsidRPr="00335BD7">
        <w:rPr>
          <w:rFonts w:ascii="Arial" w:hAnsi="Arial" w:cs="Arial"/>
          <w:sz w:val="24"/>
          <w:szCs w:val="24"/>
        </w:rPr>
        <w:t xml:space="preserve"> that the Government:</w:t>
      </w:r>
    </w:p>
    <w:p w14:paraId="59CE1E8E"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develop a framework for deciding when to apply corrective taxes</w:t>
      </w:r>
      <w:r w:rsidR="00521771">
        <w:rPr>
          <w:rFonts w:ascii="Arial" w:hAnsi="Arial" w:cs="Arial"/>
          <w:sz w:val="24"/>
          <w:szCs w:val="24"/>
        </w:rPr>
        <w:t>;</w:t>
      </w:r>
    </w:p>
    <w:p w14:paraId="53771669"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simplify the schedule of </w:t>
      </w:r>
      <w:bookmarkStart w:id="12" w:name="_Hlk3540449"/>
      <w:bookmarkStart w:id="13" w:name="_Hlk3449798"/>
      <w:r w:rsidRPr="0063750C">
        <w:rPr>
          <w:rFonts w:ascii="Arial" w:hAnsi="Arial" w:cs="Arial"/>
          <w:sz w:val="24"/>
          <w:szCs w:val="24"/>
        </w:rPr>
        <w:t xml:space="preserve">alcohol excise </w:t>
      </w:r>
      <w:bookmarkEnd w:id="12"/>
      <w:r w:rsidRPr="0063750C">
        <w:rPr>
          <w:rFonts w:ascii="Arial" w:hAnsi="Arial" w:cs="Arial"/>
          <w:sz w:val="24"/>
          <w:szCs w:val="24"/>
        </w:rPr>
        <w:t>rates</w:t>
      </w:r>
      <w:bookmarkEnd w:id="13"/>
      <w:r w:rsidR="00521771">
        <w:rPr>
          <w:rFonts w:ascii="Arial" w:hAnsi="Arial" w:cs="Arial"/>
          <w:sz w:val="24"/>
          <w:szCs w:val="24"/>
        </w:rPr>
        <w:t>;</w:t>
      </w:r>
    </w:p>
    <w:p w14:paraId="1AA39868"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 xml:space="preserve">prioritise other measures to help people stop smoking before considering further large increases in the </w:t>
      </w:r>
      <w:bookmarkStart w:id="14" w:name="_Hlk3449808"/>
      <w:r w:rsidRPr="0063750C">
        <w:rPr>
          <w:rFonts w:ascii="Arial" w:hAnsi="Arial" w:cs="Arial"/>
          <w:sz w:val="24"/>
          <w:szCs w:val="24"/>
        </w:rPr>
        <w:t xml:space="preserve">tobacco excise rate </w:t>
      </w:r>
      <w:bookmarkEnd w:id="14"/>
      <w:r w:rsidRPr="0063750C">
        <w:rPr>
          <w:rFonts w:ascii="Arial" w:hAnsi="Arial" w:cs="Arial"/>
          <w:sz w:val="24"/>
          <w:szCs w:val="24"/>
        </w:rPr>
        <w:t>beyond the increases currently scheduled</w:t>
      </w:r>
      <w:r w:rsidR="00521771">
        <w:rPr>
          <w:rFonts w:ascii="Arial" w:hAnsi="Arial" w:cs="Arial"/>
          <w:sz w:val="24"/>
          <w:szCs w:val="24"/>
        </w:rPr>
        <w:t>;</w:t>
      </w:r>
      <w:r w:rsidR="00605659" w:rsidRPr="0063750C">
        <w:rPr>
          <w:rFonts w:ascii="Arial" w:hAnsi="Arial" w:cs="Arial"/>
          <w:sz w:val="24"/>
          <w:szCs w:val="24"/>
        </w:rPr>
        <w:t xml:space="preserve"> and</w:t>
      </w:r>
    </w:p>
    <w:p w14:paraId="111A9497" w14:textId="77777777" w:rsidR="00335BD7" w:rsidRPr="0063750C" w:rsidRDefault="00335BD7"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develop a clearer articulation of the Government’s goals regarding sugar consumption and gambling activity.</w:t>
      </w:r>
    </w:p>
    <w:p w14:paraId="43C33148" w14:textId="77777777" w:rsidR="00335BD7" w:rsidRPr="008C0B1C" w:rsidRDefault="00C14CCE" w:rsidP="00AD1F73">
      <w:pPr>
        <w:keepNext/>
        <w:spacing w:after="240" w:line="240" w:lineRule="auto"/>
        <w:jc w:val="both"/>
        <w:rPr>
          <w:rFonts w:ascii="Arial" w:hAnsi="Arial" w:cs="Arial"/>
          <w:i/>
          <w:sz w:val="24"/>
          <w:szCs w:val="24"/>
        </w:rPr>
      </w:pPr>
      <w:r>
        <w:rPr>
          <w:rFonts w:ascii="Arial" w:hAnsi="Arial" w:cs="Arial"/>
          <w:i/>
          <w:sz w:val="24"/>
          <w:szCs w:val="24"/>
        </w:rPr>
        <w:t>Government response</w:t>
      </w:r>
    </w:p>
    <w:p w14:paraId="32467B7D" w14:textId="77777777" w:rsidR="00335BD7" w:rsidRDefault="00F129D0"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Following the release of the Interim Report, </w:t>
      </w:r>
      <w:r w:rsidR="00355A52">
        <w:rPr>
          <w:rFonts w:ascii="Arial" w:hAnsi="Arial" w:cs="Arial"/>
          <w:sz w:val="24"/>
          <w:szCs w:val="24"/>
        </w:rPr>
        <w:t>we</w:t>
      </w:r>
      <w:r>
        <w:rPr>
          <w:rFonts w:ascii="Arial" w:hAnsi="Arial" w:cs="Arial"/>
          <w:sz w:val="24"/>
          <w:szCs w:val="24"/>
        </w:rPr>
        <w:t xml:space="preserve"> wrote to the relevant agencies drawing their attention to the TWG’s findings for their policy work programmes.</w:t>
      </w:r>
    </w:p>
    <w:p w14:paraId="54FC2634" w14:textId="77777777" w:rsidR="006C588A" w:rsidRPr="006C588A" w:rsidRDefault="006C588A"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Work is already underway to progress some of these measures. The Ministry of Health is leading cross</w:t>
      </w:r>
      <w:r w:rsidR="007E1200">
        <w:rPr>
          <w:rFonts w:ascii="Arial" w:hAnsi="Arial" w:cs="Arial"/>
          <w:sz w:val="24"/>
          <w:szCs w:val="24"/>
        </w:rPr>
        <w:t>-</w:t>
      </w:r>
      <w:r>
        <w:rPr>
          <w:rFonts w:ascii="Arial" w:hAnsi="Arial" w:cs="Arial"/>
          <w:sz w:val="24"/>
          <w:szCs w:val="24"/>
        </w:rPr>
        <w:t xml:space="preserve">agency work on tobacco policy, including follow up to a 2018 </w:t>
      </w:r>
      <w:r w:rsidR="00B61015">
        <w:rPr>
          <w:rFonts w:ascii="Arial" w:hAnsi="Arial" w:cs="Arial"/>
          <w:sz w:val="24"/>
          <w:szCs w:val="24"/>
        </w:rPr>
        <w:t>EY</w:t>
      </w:r>
      <w:r w:rsidR="007176B5">
        <w:rPr>
          <w:rFonts w:ascii="Arial" w:hAnsi="Arial" w:cs="Arial"/>
          <w:sz w:val="24"/>
          <w:szCs w:val="24"/>
        </w:rPr>
        <w:t xml:space="preserve"> report</w:t>
      </w:r>
      <w:r>
        <w:rPr>
          <w:rFonts w:ascii="Arial" w:hAnsi="Arial" w:cs="Arial"/>
          <w:sz w:val="24"/>
          <w:szCs w:val="24"/>
        </w:rPr>
        <w:t xml:space="preserve"> </w:t>
      </w:r>
      <w:r w:rsidR="00B61015">
        <w:rPr>
          <w:rFonts w:ascii="Arial" w:hAnsi="Arial" w:cs="Arial"/>
          <w:sz w:val="24"/>
          <w:szCs w:val="24"/>
        </w:rPr>
        <w:t>(</w:t>
      </w:r>
      <w:r w:rsidR="007176B5" w:rsidRPr="007176B5">
        <w:rPr>
          <w:rFonts w:ascii="Arial" w:hAnsi="Arial" w:cs="Arial"/>
          <w:i/>
          <w:sz w:val="24"/>
          <w:szCs w:val="24"/>
        </w:rPr>
        <w:t xml:space="preserve">Evaluation of the tobacco excise increases as a contributor to </w:t>
      </w:r>
      <w:proofErr w:type="spellStart"/>
      <w:r w:rsidR="007176B5" w:rsidRPr="007176B5">
        <w:rPr>
          <w:rFonts w:ascii="Arial" w:hAnsi="Arial" w:cs="Arial"/>
          <w:i/>
          <w:sz w:val="24"/>
          <w:szCs w:val="24"/>
        </w:rPr>
        <w:t>Smokefree</w:t>
      </w:r>
      <w:proofErr w:type="spellEnd"/>
      <w:r w:rsidR="007A54AE">
        <w:rPr>
          <w:rFonts w:ascii="Arial" w:hAnsi="Arial" w:cs="Arial"/>
          <w:i/>
          <w:sz w:val="24"/>
          <w:szCs w:val="24"/>
        </w:rPr>
        <w:t xml:space="preserve"> Aotearoa</w:t>
      </w:r>
      <w:r w:rsidR="007176B5" w:rsidRPr="007176B5">
        <w:rPr>
          <w:rFonts w:ascii="Arial" w:hAnsi="Arial" w:cs="Arial"/>
          <w:i/>
          <w:sz w:val="24"/>
          <w:szCs w:val="24"/>
        </w:rPr>
        <w:t xml:space="preserve"> 2025</w:t>
      </w:r>
      <w:r w:rsidR="00B61015">
        <w:rPr>
          <w:rFonts w:ascii="Arial" w:hAnsi="Arial" w:cs="Arial"/>
          <w:sz w:val="24"/>
          <w:szCs w:val="24"/>
        </w:rPr>
        <w:t>)</w:t>
      </w:r>
      <w:r>
        <w:rPr>
          <w:rFonts w:ascii="Arial" w:hAnsi="Arial" w:cs="Arial"/>
          <w:sz w:val="24"/>
          <w:szCs w:val="24"/>
        </w:rPr>
        <w:t xml:space="preserve">. This work is looking at both tax and non-tax measures to support </w:t>
      </w:r>
      <w:proofErr w:type="spellStart"/>
      <w:r>
        <w:rPr>
          <w:rFonts w:ascii="Arial" w:hAnsi="Arial" w:cs="Arial"/>
          <w:sz w:val="24"/>
          <w:szCs w:val="24"/>
        </w:rPr>
        <w:t>Smokefree</w:t>
      </w:r>
      <w:proofErr w:type="spellEnd"/>
      <w:r>
        <w:rPr>
          <w:rFonts w:ascii="Arial" w:hAnsi="Arial" w:cs="Arial"/>
          <w:sz w:val="24"/>
          <w:szCs w:val="24"/>
        </w:rPr>
        <w:t xml:space="preserve"> Aotearoa 2025</w:t>
      </w:r>
      <w:r w:rsidR="003A2713">
        <w:rPr>
          <w:rFonts w:ascii="Arial" w:hAnsi="Arial" w:cs="Arial"/>
          <w:sz w:val="24"/>
          <w:szCs w:val="24"/>
        </w:rPr>
        <w:t>, and the TWG’s recommendations on tobacco will be considered in this context.</w:t>
      </w:r>
      <w:r w:rsidR="007176B5">
        <w:rPr>
          <w:rFonts w:ascii="Arial" w:hAnsi="Arial" w:cs="Arial"/>
          <w:sz w:val="24"/>
          <w:szCs w:val="24"/>
        </w:rPr>
        <w:t xml:space="preserve"> </w:t>
      </w:r>
      <w:r w:rsidR="003A2713">
        <w:rPr>
          <w:rFonts w:ascii="Arial" w:hAnsi="Arial" w:cs="Arial"/>
          <w:sz w:val="24"/>
          <w:szCs w:val="24"/>
        </w:rPr>
        <w:t>Officials will</w:t>
      </w:r>
      <w:r w:rsidR="007176B5">
        <w:rPr>
          <w:rFonts w:ascii="Arial" w:hAnsi="Arial" w:cs="Arial"/>
          <w:sz w:val="24"/>
          <w:szCs w:val="24"/>
        </w:rPr>
        <w:t xml:space="preserve"> report back</w:t>
      </w:r>
      <w:r w:rsidR="003A2713">
        <w:rPr>
          <w:rFonts w:ascii="Arial" w:hAnsi="Arial" w:cs="Arial"/>
          <w:sz w:val="24"/>
          <w:szCs w:val="24"/>
        </w:rPr>
        <w:t xml:space="preserve"> to Cabinet on these issues </w:t>
      </w:r>
      <w:r w:rsidR="007176B5">
        <w:rPr>
          <w:rFonts w:ascii="Arial" w:hAnsi="Arial" w:cs="Arial"/>
          <w:sz w:val="24"/>
          <w:szCs w:val="24"/>
        </w:rPr>
        <w:t>in June 2019.</w:t>
      </w:r>
      <w:r>
        <w:t xml:space="preserve"> </w:t>
      </w:r>
    </w:p>
    <w:p w14:paraId="685270C8" w14:textId="77777777" w:rsidR="00BB0AFB" w:rsidRPr="00BB0AFB" w:rsidRDefault="00C433D1"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 do not intend to progress the TWG’s recommendations on alcohol excise, sugar taxes and gambling taxes in the current parliamentary term.</w:t>
      </w:r>
    </w:p>
    <w:p w14:paraId="3DBD84F8" w14:textId="77777777" w:rsidR="00335BD7" w:rsidRPr="008C0B1C" w:rsidRDefault="00335BD7" w:rsidP="00681A5E">
      <w:pPr>
        <w:keepNext/>
        <w:spacing w:after="240" w:line="240" w:lineRule="auto"/>
        <w:jc w:val="both"/>
        <w:rPr>
          <w:rFonts w:ascii="Arial" w:hAnsi="Arial" w:cs="Arial"/>
          <w:b/>
          <w:i/>
          <w:sz w:val="24"/>
          <w:szCs w:val="24"/>
        </w:rPr>
      </w:pPr>
      <w:bookmarkStart w:id="15" w:name="_Hlk3301126"/>
      <w:r w:rsidRPr="008C0B1C">
        <w:rPr>
          <w:rFonts w:ascii="Arial" w:hAnsi="Arial" w:cs="Arial"/>
          <w:b/>
          <w:i/>
          <w:sz w:val="24"/>
          <w:szCs w:val="24"/>
        </w:rPr>
        <w:t>Housing</w:t>
      </w:r>
    </w:p>
    <w:p w14:paraId="2AA2EF8B" w14:textId="77777777" w:rsidR="009C1A98" w:rsidRPr="0063750C" w:rsidRDefault="004C4D5D" w:rsidP="0063750C">
      <w:pPr>
        <w:pStyle w:val="ListParagraph"/>
        <w:numPr>
          <w:ilvl w:val="0"/>
          <w:numId w:val="1"/>
        </w:numPr>
        <w:spacing w:after="240" w:line="240" w:lineRule="auto"/>
        <w:ind w:left="709" w:hanging="709"/>
        <w:contextualSpacing w:val="0"/>
        <w:jc w:val="both"/>
        <w:rPr>
          <w:rFonts w:ascii="Arial" w:hAnsi="Arial" w:cs="Arial"/>
          <w:sz w:val="24"/>
          <w:szCs w:val="24"/>
        </w:rPr>
      </w:pPr>
      <w:r w:rsidRPr="004C4D5D">
        <w:rPr>
          <w:rFonts w:ascii="Arial" w:hAnsi="Arial" w:cs="Arial"/>
          <w:sz w:val="24"/>
          <w:szCs w:val="24"/>
        </w:rPr>
        <w:t xml:space="preserve">The TWG found that tax is not the primary driver of house prices (although aspects of the tax system have probably exacerbated the house price cycle). </w:t>
      </w:r>
      <w:r w:rsidR="00957FF9">
        <w:rPr>
          <w:rFonts w:ascii="Arial" w:hAnsi="Arial" w:cs="Arial"/>
          <w:sz w:val="24"/>
          <w:szCs w:val="24"/>
        </w:rPr>
        <w:t>Within this context, however</w:t>
      </w:r>
      <w:r>
        <w:rPr>
          <w:rFonts w:ascii="Arial" w:hAnsi="Arial" w:cs="Arial"/>
          <w:sz w:val="24"/>
          <w:szCs w:val="24"/>
        </w:rPr>
        <w:t>, the TWG recommended:</w:t>
      </w:r>
    </w:p>
    <w:p w14:paraId="47CC6BFB" w14:textId="77777777" w:rsidR="00335BD7" w:rsidRPr="0063750C" w:rsidRDefault="004C4D5D"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t</w:t>
      </w:r>
      <w:r w:rsidR="00335BD7" w:rsidRPr="0063750C">
        <w:rPr>
          <w:rFonts w:ascii="Arial" w:hAnsi="Arial" w:cs="Arial"/>
          <w:sz w:val="24"/>
          <w:szCs w:val="24"/>
        </w:rPr>
        <w:t>hat the Productivity Commission include vacant land taxes within its review of local government body financing</w:t>
      </w:r>
      <w:r w:rsidR="00C46970" w:rsidRPr="0063750C">
        <w:rPr>
          <w:rFonts w:ascii="Arial" w:hAnsi="Arial" w:cs="Arial"/>
          <w:sz w:val="24"/>
          <w:szCs w:val="24"/>
        </w:rPr>
        <w:t>. The TWG’s view is that</w:t>
      </w:r>
      <w:r w:rsidR="00335BD7" w:rsidRPr="0063750C">
        <w:rPr>
          <w:rFonts w:ascii="Arial" w:hAnsi="Arial" w:cs="Arial"/>
          <w:sz w:val="24"/>
          <w:szCs w:val="24"/>
        </w:rPr>
        <w:t xml:space="preserve"> vacant land taxes are best levied at the local rather than the national level</w:t>
      </w:r>
      <w:r w:rsidR="00521771">
        <w:rPr>
          <w:rFonts w:ascii="Arial" w:hAnsi="Arial" w:cs="Arial"/>
          <w:sz w:val="24"/>
          <w:szCs w:val="24"/>
        </w:rPr>
        <w:t>;</w:t>
      </w:r>
    </w:p>
    <w:p w14:paraId="085756C7" w14:textId="77777777" w:rsidR="00335BD7" w:rsidRPr="0063750C" w:rsidRDefault="00CE4D17" w:rsidP="0063750C">
      <w:pPr>
        <w:pStyle w:val="ListParagraph"/>
        <w:numPr>
          <w:ilvl w:val="1"/>
          <w:numId w:val="1"/>
        </w:numPr>
        <w:ind w:left="1418" w:hanging="709"/>
        <w:contextualSpacing w:val="0"/>
        <w:jc w:val="both"/>
        <w:rPr>
          <w:rFonts w:ascii="Arial" w:hAnsi="Arial" w:cs="Arial"/>
          <w:sz w:val="24"/>
          <w:szCs w:val="24"/>
        </w:rPr>
      </w:pPr>
      <w:r>
        <w:rPr>
          <w:rFonts w:ascii="Arial" w:hAnsi="Arial" w:cs="Arial"/>
          <w:sz w:val="24"/>
          <w:szCs w:val="24"/>
        </w:rPr>
        <w:t>the</w:t>
      </w:r>
      <w:r w:rsidR="004C4D5D" w:rsidRPr="0063750C">
        <w:rPr>
          <w:rFonts w:ascii="Arial" w:hAnsi="Arial" w:cs="Arial"/>
          <w:sz w:val="24"/>
          <w:szCs w:val="24"/>
        </w:rPr>
        <w:t xml:space="preserve"> r</w:t>
      </w:r>
      <w:r w:rsidR="00335BD7" w:rsidRPr="0063750C">
        <w:rPr>
          <w:rFonts w:ascii="Arial" w:hAnsi="Arial" w:cs="Arial"/>
          <w:sz w:val="24"/>
          <w:szCs w:val="24"/>
        </w:rPr>
        <w:t xml:space="preserve">epeal </w:t>
      </w:r>
      <w:r>
        <w:rPr>
          <w:rFonts w:ascii="Arial" w:hAnsi="Arial" w:cs="Arial"/>
          <w:sz w:val="24"/>
          <w:szCs w:val="24"/>
        </w:rPr>
        <w:t xml:space="preserve">of </w:t>
      </w:r>
      <w:r w:rsidR="00335BD7" w:rsidRPr="0063750C">
        <w:rPr>
          <w:rFonts w:ascii="Arial" w:hAnsi="Arial" w:cs="Arial"/>
          <w:sz w:val="24"/>
          <w:szCs w:val="24"/>
        </w:rPr>
        <w:t>the</w:t>
      </w:r>
      <w:r w:rsidR="00E01967">
        <w:rPr>
          <w:rFonts w:ascii="Arial" w:hAnsi="Arial" w:cs="Arial"/>
          <w:sz w:val="24"/>
          <w:szCs w:val="24"/>
        </w:rPr>
        <w:t xml:space="preserve"> time limit in the</w:t>
      </w:r>
      <w:r w:rsidR="00335BD7" w:rsidRPr="0063750C">
        <w:rPr>
          <w:rFonts w:ascii="Arial" w:hAnsi="Arial" w:cs="Arial"/>
          <w:sz w:val="24"/>
          <w:szCs w:val="24"/>
        </w:rPr>
        <w:t xml:space="preserve"> ten-year rule regarding selling for a gain </w:t>
      </w:r>
      <w:r w:rsidR="00A07A45">
        <w:rPr>
          <w:rFonts w:ascii="Arial" w:hAnsi="Arial" w:cs="Arial"/>
          <w:sz w:val="24"/>
          <w:szCs w:val="24"/>
        </w:rPr>
        <w:t>contributed to</w:t>
      </w:r>
      <w:r w:rsidR="00A07A45" w:rsidRPr="0063750C">
        <w:rPr>
          <w:rFonts w:ascii="Arial" w:hAnsi="Arial" w:cs="Arial"/>
          <w:sz w:val="24"/>
          <w:szCs w:val="24"/>
        </w:rPr>
        <w:t xml:space="preserve"> </w:t>
      </w:r>
      <w:r w:rsidR="00335BD7" w:rsidRPr="0063750C">
        <w:rPr>
          <w:rFonts w:ascii="Arial" w:hAnsi="Arial" w:cs="Arial"/>
          <w:sz w:val="24"/>
          <w:szCs w:val="24"/>
        </w:rPr>
        <w:t>by changes in land use regulation</w:t>
      </w:r>
      <w:r w:rsidR="00521771">
        <w:rPr>
          <w:rFonts w:ascii="Arial" w:hAnsi="Arial" w:cs="Arial"/>
          <w:sz w:val="24"/>
          <w:szCs w:val="24"/>
        </w:rPr>
        <w:t>;</w:t>
      </w:r>
      <w:r w:rsidR="004C4D5D" w:rsidRPr="0063750C">
        <w:rPr>
          <w:rFonts w:ascii="Arial" w:hAnsi="Arial" w:cs="Arial"/>
          <w:sz w:val="24"/>
          <w:szCs w:val="24"/>
        </w:rPr>
        <w:t xml:space="preserve"> and</w:t>
      </w:r>
    </w:p>
    <w:p w14:paraId="19A8B490" w14:textId="77777777" w:rsidR="00335BD7" w:rsidRPr="0063750C" w:rsidRDefault="004C4D5D" w:rsidP="0063750C">
      <w:pPr>
        <w:pStyle w:val="ListParagraph"/>
        <w:numPr>
          <w:ilvl w:val="1"/>
          <w:numId w:val="1"/>
        </w:numPr>
        <w:ind w:left="1418" w:hanging="709"/>
        <w:contextualSpacing w:val="0"/>
        <w:jc w:val="both"/>
        <w:rPr>
          <w:rFonts w:ascii="Arial" w:hAnsi="Arial" w:cs="Arial"/>
          <w:sz w:val="24"/>
          <w:szCs w:val="24"/>
        </w:rPr>
      </w:pPr>
      <w:r w:rsidRPr="0063750C">
        <w:rPr>
          <w:rFonts w:ascii="Arial" w:hAnsi="Arial" w:cs="Arial"/>
          <w:sz w:val="24"/>
          <w:szCs w:val="24"/>
        </w:rPr>
        <w:t>r</w:t>
      </w:r>
      <w:r w:rsidR="00CE4D17">
        <w:rPr>
          <w:rFonts w:ascii="Arial" w:hAnsi="Arial" w:cs="Arial"/>
          <w:sz w:val="24"/>
          <w:szCs w:val="24"/>
        </w:rPr>
        <w:t>equiring</w:t>
      </w:r>
      <w:r w:rsidR="00335BD7" w:rsidRPr="0063750C">
        <w:rPr>
          <w:rFonts w:ascii="Arial" w:hAnsi="Arial" w:cs="Arial"/>
          <w:sz w:val="24"/>
          <w:szCs w:val="24"/>
        </w:rPr>
        <w:t xml:space="preserve"> disclosure of the IRD number on the Land Transfer Tax Statement when </w:t>
      </w:r>
      <w:r w:rsidR="00FC48B3">
        <w:rPr>
          <w:rFonts w:ascii="Arial" w:hAnsi="Arial" w:cs="Arial"/>
          <w:sz w:val="24"/>
          <w:szCs w:val="24"/>
        </w:rPr>
        <w:t>transferring</w:t>
      </w:r>
      <w:r w:rsidR="00FC48B3" w:rsidRPr="0063750C">
        <w:rPr>
          <w:rFonts w:ascii="Arial" w:hAnsi="Arial" w:cs="Arial"/>
          <w:sz w:val="24"/>
          <w:szCs w:val="24"/>
        </w:rPr>
        <w:t xml:space="preserve"> </w:t>
      </w:r>
      <w:r w:rsidR="00335BD7" w:rsidRPr="0063750C">
        <w:rPr>
          <w:rFonts w:ascii="Arial" w:hAnsi="Arial" w:cs="Arial"/>
          <w:sz w:val="24"/>
          <w:szCs w:val="24"/>
        </w:rPr>
        <w:t>a main home.</w:t>
      </w:r>
    </w:p>
    <w:p w14:paraId="7823A87D" w14:textId="77777777" w:rsidR="00335BD7" w:rsidRPr="008C0B1C" w:rsidRDefault="00C72D64" w:rsidP="00216E6B">
      <w:pPr>
        <w:keepNext/>
        <w:spacing w:after="240" w:line="240" w:lineRule="auto"/>
        <w:jc w:val="both"/>
        <w:rPr>
          <w:rFonts w:ascii="Arial" w:hAnsi="Arial" w:cs="Arial"/>
          <w:i/>
          <w:sz w:val="24"/>
          <w:szCs w:val="24"/>
        </w:rPr>
      </w:pPr>
      <w:r>
        <w:rPr>
          <w:rFonts w:ascii="Arial" w:hAnsi="Arial" w:cs="Arial"/>
          <w:i/>
          <w:sz w:val="24"/>
          <w:szCs w:val="24"/>
        </w:rPr>
        <w:t>Government response</w:t>
      </w:r>
    </w:p>
    <w:p w14:paraId="0B03BBC0" w14:textId="7CE1A719" w:rsidR="00E617A6" w:rsidRDefault="008D3D27" w:rsidP="00853040">
      <w:pPr>
        <w:pStyle w:val="ListParagraph"/>
        <w:keepNext/>
        <w:numPr>
          <w:ilvl w:val="0"/>
          <w:numId w:val="1"/>
        </w:numPr>
        <w:spacing w:after="240" w:line="240" w:lineRule="auto"/>
        <w:ind w:left="709" w:hanging="709"/>
        <w:contextualSpacing w:val="0"/>
        <w:jc w:val="both"/>
        <w:rPr>
          <w:rFonts w:ascii="Arial" w:hAnsi="Arial" w:cs="Arial"/>
          <w:sz w:val="24"/>
          <w:szCs w:val="24"/>
        </w:rPr>
      </w:pPr>
      <w:bookmarkStart w:id="16" w:name="_Hlk3301748"/>
      <w:r w:rsidRPr="00853040">
        <w:rPr>
          <w:rFonts w:ascii="Arial" w:hAnsi="Arial" w:cs="Arial"/>
          <w:sz w:val="24"/>
          <w:szCs w:val="24"/>
        </w:rPr>
        <w:t>We intend to explore options for taxing vacant land held by land-bankers</w:t>
      </w:r>
      <w:r w:rsidR="00685208" w:rsidRPr="00AA0BCF">
        <w:rPr>
          <w:rFonts w:ascii="Arial" w:hAnsi="Arial" w:cs="Arial"/>
          <w:sz w:val="24"/>
          <w:szCs w:val="24"/>
        </w:rPr>
        <w:t>.  We</w:t>
      </w:r>
      <w:r w:rsidR="006E7529" w:rsidRPr="00AA0BCF">
        <w:rPr>
          <w:rFonts w:ascii="Arial" w:hAnsi="Arial" w:cs="Arial"/>
          <w:sz w:val="24"/>
          <w:szCs w:val="24"/>
        </w:rPr>
        <w:t xml:space="preserve"> have asked that this be considered a</w:t>
      </w:r>
      <w:r w:rsidR="00685208" w:rsidRPr="009520E8">
        <w:rPr>
          <w:rFonts w:ascii="Arial" w:hAnsi="Arial" w:cs="Arial"/>
          <w:sz w:val="24"/>
          <w:szCs w:val="24"/>
        </w:rPr>
        <w:t>s a</w:t>
      </w:r>
      <w:r w:rsidR="006E7529" w:rsidRPr="009520E8">
        <w:rPr>
          <w:rFonts w:ascii="Arial" w:hAnsi="Arial" w:cs="Arial"/>
          <w:sz w:val="24"/>
          <w:szCs w:val="24"/>
        </w:rPr>
        <w:t xml:space="preserve"> high priority for the TPWP</w:t>
      </w:r>
      <w:r w:rsidR="000B23FC" w:rsidRPr="009520E8">
        <w:rPr>
          <w:rFonts w:ascii="Arial" w:hAnsi="Arial" w:cs="Arial"/>
          <w:sz w:val="24"/>
          <w:szCs w:val="24"/>
        </w:rPr>
        <w:t>.</w:t>
      </w:r>
      <w:r w:rsidR="00853040" w:rsidRPr="009520E8">
        <w:rPr>
          <w:rFonts w:ascii="Arial" w:hAnsi="Arial" w:cs="Arial"/>
          <w:sz w:val="24"/>
          <w:szCs w:val="24"/>
        </w:rPr>
        <w:t xml:space="preserve">  </w:t>
      </w:r>
    </w:p>
    <w:p w14:paraId="29465D70" w14:textId="481D5757" w:rsidR="008D3D27" w:rsidRPr="00896E06" w:rsidRDefault="006744F6" w:rsidP="00853040">
      <w:pPr>
        <w:pStyle w:val="ListParagraph"/>
        <w:keepNext/>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as part of this work, </w:t>
      </w:r>
      <w:r w:rsidR="00D75722">
        <w:rPr>
          <w:rFonts w:ascii="Arial" w:hAnsi="Arial" w:cs="Arial"/>
          <w:sz w:val="24"/>
          <w:szCs w:val="24"/>
        </w:rPr>
        <w:t>w</w:t>
      </w:r>
      <w:r w:rsidR="00E617A6" w:rsidRPr="00896E06">
        <w:rPr>
          <w:rFonts w:ascii="Arial" w:hAnsi="Arial" w:cs="Arial"/>
          <w:sz w:val="24"/>
          <w:szCs w:val="24"/>
        </w:rPr>
        <w:t xml:space="preserve">e </w:t>
      </w:r>
      <w:r w:rsidR="00D75722">
        <w:rPr>
          <w:rFonts w:ascii="Arial" w:hAnsi="Arial" w:cs="Arial"/>
          <w:sz w:val="24"/>
          <w:szCs w:val="24"/>
        </w:rPr>
        <w:t xml:space="preserve">accept the recommendations of the TWG and </w:t>
      </w:r>
      <w:r w:rsidR="00E617A6" w:rsidRPr="00896E06">
        <w:rPr>
          <w:rFonts w:ascii="Arial" w:hAnsi="Arial" w:cs="Arial"/>
          <w:sz w:val="24"/>
          <w:szCs w:val="24"/>
        </w:rPr>
        <w:t xml:space="preserve">intend to </w:t>
      </w:r>
      <w:r w:rsidR="00B829E4">
        <w:rPr>
          <w:rFonts w:ascii="Arial" w:hAnsi="Arial" w:cs="Arial"/>
          <w:sz w:val="24"/>
          <w:szCs w:val="24"/>
        </w:rPr>
        <w:t>direct</w:t>
      </w:r>
      <w:r w:rsidR="00E617A6" w:rsidRPr="00896E06">
        <w:rPr>
          <w:rFonts w:ascii="Arial" w:hAnsi="Arial" w:cs="Arial"/>
          <w:sz w:val="24"/>
          <w:szCs w:val="24"/>
        </w:rPr>
        <w:t xml:space="preserve"> the Productivity Commission to specifically consider the issue of vacant land taxes as part of its inquiry</w:t>
      </w:r>
      <w:r w:rsidR="00E617A6">
        <w:rPr>
          <w:rFonts w:ascii="Arial" w:hAnsi="Arial" w:cs="Arial"/>
          <w:sz w:val="24"/>
          <w:szCs w:val="24"/>
        </w:rPr>
        <w:t xml:space="preserve"> </w:t>
      </w:r>
      <w:r w:rsidR="00853040" w:rsidRPr="009520E8">
        <w:rPr>
          <w:rFonts w:ascii="Arial" w:hAnsi="Arial" w:cs="Arial"/>
          <w:sz w:val="24"/>
          <w:szCs w:val="24"/>
        </w:rPr>
        <w:t>into local government funding an</w:t>
      </w:r>
      <w:r w:rsidR="00853040" w:rsidRPr="00896E06">
        <w:rPr>
          <w:rFonts w:ascii="Arial" w:hAnsi="Arial" w:cs="Arial"/>
          <w:sz w:val="24"/>
          <w:szCs w:val="24"/>
        </w:rPr>
        <w:t xml:space="preserve">d financing. The Commission is due to report back to Government on its findings in November 2019.  </w:t>
      </w:r>
    </w:p>
    <w:p w14:paraId="0B7B5D5E" w14:textId="77777777" w:rsidR="003F727B" w:rsidRDefault="00D60C00" w:rsidP="00D11C7B">
      <w:pPr>
        <w:pStyle w:val="ListParagraph"/>
        <w:numPr>
          <w:ilvl w:val="0"/>
          <w:numId w:val="1"/>
        </w:numPr>
        <w:spacing w:after="240" w:line="240" w:lineRule="auto"/>
        <w:ind w:left="709" w:hanging="709"/>
        <w:contextualSpacing w:val="0"/>
        <w:jc w:val="both"/>
        <w:rPr>
          <w:rFonts w:ascii="Arial" w:hAnsi="Arial" w:cs="Arial"/>
          <w:sz w:val="24"/>
          <w:szCs w:val="24"/>
        </w:rPr>
      </w:pPr>
      <w:bookmarkStart w:id="17" w:name="_Hlk3304204"/>
      <w:bookmarkEnd w:id="16"/>
      <w:r w:rsidRPr="00D60C00">
        <w:rPr>
          <w:rFonts w:ascii="Arial" w:hAnsi="Arial" w:cs="Arial"/>
          <w:sz w:val="24"/>
          <w:szCs w:val="24"/>
        </w:rPr>
        <w:t>Repeal</w:t>
      </w:r>
      <w:r>
        <w:rPr>
          <w:rFonts w:ascii="Arial" w:hAnsi="Arial" w:cs="Arial"/>
          <w:sz w:val="24"/>
          <w:szCs w:val="24"/>
        </w:rPr>
        <w:t>ing</w:t>
      </w:r>
      <w:r w:rsidRPr="00D60C00">
        <w:rPr>
          <w:rFonts w:ascii="Arial" w:hAnsi="Arial" w:cs="Arial"/>
          <w:sz w:val="24"/>
          <w:szCs w:val="24"/>
        </w:rPr>
        <w:t xml:space="preserve"> the</w:t>
      </w:r>
      <w:r w:rsidR="00874958">
        <w:rPr>
          <w:rFonts w:ascii="Arial" w:hAnsi="Arial" w:cs="Arial"/>
          <w:sz w:val="24"/>
          <w:szCs w:val="24"/>
        </w:rPr>
        <w:t xml:space="preserve"> time limit in the</w:t>
      </w:r>
      <w:r w:rsidRPr="00D60C00">
        <w:rPr>
          <w:rFonts w:ascii="Arial" w:hAnsi="Arial" w:cs="Arial"/>
          <w:sz w:val="24"/>
          <w:szCs w:val="24"/>
        </w:rPr>
        <w:t xml:space="preserve"> ten-year </w:t>
      </w:r>
      <w:proofErr w:type="gramStart"/>
      <w:r w:rsidRPr="00D60C00">
        <w:rPr>
          <w:rFonts w:ascii="Arial" w:hAnsi="Arial" w:cs="Arial"/>
          <w:sz w:val="24"/>
          <w:szCs w:val="24"/>
        </w:rPr>
        <w:t>rule</w:t>
      </w:r>
      <w:r w:rsidR="00874958">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r</w:t>
      </w:r>
      <w:r w:rsidRPr="00D60C00">
        <w:rPr>
          <w:rFonts w:ascii="Arial" w:hAnsi="Arial" w:cs="Arial"/>
          <w:sz w:val="24"/>
          <w:szCs w:val="24"/>
        </w:rPr>
        <w:t>equir</w:t>
      </w:r>
      <w:r>
        <w:rPr>
          <w:rFonts w:ascii="Arial" w:hAnsi="Arial" w:cs="Arial"/>
          <w:sz w:val="24"/>
          <w:szCs w:val="24"/>
        </w:rPr>
        <w:t>ing the</w:t>
      </w:r>
      <w:r w:rsidRPr="00D60C00">
        <w:rPr>
          <w:rFonts w:ascii="Arial" w:hAnsi="Arial" w:cs="Arial"/>
          <w:sz w:val="24"/>
          <w:szCs w:val="24"/>
        </w:rPr>
        <w:t xml:space="preserve"> disclosure of the IRD number</w:t>
      </w:r>
      <w:r w:rsidR="00FC48B3">
        <w:rPr>
          <w:rFonts w:ascii="Arial" w:hAnsi="Arial" w:cs="Arial"/>
          <w:sz w:val="24"/>
          <w:szCs w:val="24"/>
        </w:rPr>
        <w:t>s of transacting parties</w:t>
      </w:r>
      <w:r w:rsidR="00874958">
        <w:rPr>
          <w:rFonts w:ascii="Arial" w:hAnsi="Arial" w:cs="Arial"/>
          <w:sz w:val="24"/>
          <w:szCs w:val="24"/>
        </w:rPr>
        <w:t>,</w:t>
      </w:r>
      <w:r w:rsidRPr="00335BD7">
        <w:rPr>
          <w:rFonts w:ascii="Arial" w:hAnsi="Arial" w:cs="Arial"/>
          <w:sz w:val="24"/>
          <w:szCs w:val="24"/>
        </w:rPr>
        <w:t xml:space="preserve"> </w:t>
      </w:r>
      <w:r>
        <w:rPr>
          <w:rFonts w:ascii="Arial" w:hAnsi="Arial" w:cs="Arial"/>
          <w:sz w:val="24"/>
          <w:szCs w:val="24"/>
        </w:rPr>
        <w:t xml:space="preserve">will </w:t>
      </w:r>
      <w:r w:rsidR="008D3D27">
        <w:rPr>
          <w:rFonts w:ascii="Arial" w:hAnsi="Arial" w:cs="Arial"/>
          <w:sz w:val="24"/>
          <w:szCs w:val="24"/>
        </w:rPr>
        <w:t xml:space="preserve">also </w:t>
      </w:r>
      <w:r>
        <w:rPr>
          <w:rFonts w:ascii="Arial" w:hAnsi="Arial" w:cs="Arial"/>
          <w:sz w:val="24"/>
          <w:szCs w:val="24"/>
        </w:rPr>
        <w:t xml:space="preserve">be considered </w:t>
      </w:r>
      <w:r w:rsidR="002417AD">
        <w:rPr>
          <w:rFonts w:ascii="Arial" w:hAnsi="Arial" w:cs="Arial"/>
          <w:sz w:val="24"/>
          <w:szCs w:val="24"/>
        </w:rPr>
        <w:t xml:space="preserve">as a high priority </w:t>
      </w:r>
      <w:r w:rsidR="003A03F9">
        <w:rPr>
          <w:rFonts w:ascii="Arial" w:hAnsi="Arial" w:cs="Arial"/>
          <w:sz w:val="24"/>
          <w:szCs w:val="24"/>
        </w:rPr>
        <w:t>for the TPWP</w:t>
      </w:r>
      <w:r w:rsidR="006E7529">
        <w:rPr>
          <w:rFonts w:ascii="Arial" w:hAnsi="Arial" w:cs="Arial"/>
          <w:sz w:val="24"/>
          <w:szCs w:val="24"/>
        </w:rPr>
        <w:t xml:space="preserve">. </w:t>
      </w:r>
    </w:p>
    <w:bookmarkEnd w:id="15"/>
    <w:bookmarkEnd w:id="17"/>
    <w:p w14:paraId="16B9A429" w14:textId="77777777" w:rsidR="000C32DC" w:rsidRPr="000C32DC" w:rsidRDefault="003F727B" w:rsidP="000C32DC">
      <w:pPr>
        <w:pStyle w:val="ListParagraph"/>
        <w:numPr>
          <w:ilvl w:val="0"/>
          <w:numId w:val="1"/>
        </w:numPr>
        <w:spacing w:after="240" w:line="240" w:lineRule="auto"/>
        <w:ind w:left="709" w:hanging="709"/>
        <w:contextualSpacing w:val="0"/>
        <w:jc w:val="both"/>
      </w:pPr>
      <w:r>
        <w:rPr>
          <w:rFonts w:ascii="Arial" w:hAnsi="Arial" w:cs="Arial"/>
          <w:sz w:val="24"/>
          <w:szCs w:val="24"/>
        </w:rPr>
        <w:t>Housing-related infrastructure is another priority for the Government.</w:t>
      </w:r>
      <w:r w:rsidR="000C32DC">
        <w:rPr>
          <w:rFonts w:ascii="Arial" w:hAnsi="Arial" w:cs="Arial"/>
          <w:sz w:val="24"/>
          <w:szCs w:val="24"/>
        </w:rPr>
        <w:t xml:space="preserve"> </w:t>
      </w:r>
      <w:r w:rsidR="008D3D27" w:rsidRPr="000C32DC">
        <w:rPr>
          <w:rFonts w:ascii="Arial" w:hAnsi="Arial" w:cs="Arial"/>
          <w:sz w:val="24"/>
          <w:szCs w:val="24"/>
        </w:rPr>
        <w:t xml:space="preserve">Treasury and </w:t>
      </w:r>
      <w:r w:rsidR="00DE682B">
        <w:rPr>
          <w:rFonts w:ascii="Arial" w:hAnsi="Arial" w:cs="Arial"/>
          <w:sz w:val="24"/>
          <w:szCs w:val="24"/>
        </w:rPr>
        <w:t>DIA</w:t>
      </w:r>
      <w:r w:rsidR="008D3D27" w:rsidRPr="000C32DC">
        <w:rPr>
          <w:rFonts w:ascii="Arial" w:hAnsi="Arial" w:cs="Arial"/>
          <w:sz w:val="24"/>
          <w:szCs w:val="24"/>
        </w:rPr>
        <w:t xml:space="preserve"> are</w:t>
      </w:r>
      <w:r w:rsidR="00DE682B">
        <w:rPr>
          <w:rFonts w:ascii="Arial" w:hAnsi="Arial" w:cs="Arial"/>
          <w:sz w:val="24"/>
          <w:szCs w:val="24"/>
        </w:rPr>
        <w:t xml:space="preserve"> already</w:t>
      </w:r>
      <w:r w:rsidR="008D3D27" w:rsidRPr="000C32DC">
        <w:rPr>
          <w:rFonts w:ascii="Arial" w:hAnsi="Arial" w:cs="Arial"/>
          <w:sz w:val="24"/>
          <w:szCs w:val="24"/>
        </w:rPr>
        <w:t xml:space="preserve"> leading </w:t>
      </w:r>
      <w:r w:rsidRPr="000C32DC">
        <w:rPr>
          <w:rFonts w:ascii="Arial" w:hAnsi="Arial" w:cs="Arial"/>
          <w:sz w:val="24"/>
          <w:szCs w:val="24"/>
        </w:rPr>
        <w:t xml:space="preserve">a programme of work </w:t>
      </w:r>
      <w:r w:rsidR="003A03F9" w:rsidRPr="000C32DC">
        <w:rPr>
          <w:rFonts w:ascii="Arial" w:hAnsi="Arial" w:cs="Arial"/>
          <w:sz w:val="24"/>
          <w:szCs w:val="24"/>
        </w:rPr>
        <w:t>on infrastructure funding and financing</w:t>
      </w:r>
      <w:r w:rsidR="000C32DC">
        <w:rPr>
          <w:rFonts w:ascii="Arial" w:hAnsi="Arial" w:cs="Arial"/>
          <w:sz w:val="24"/>
          <w:szCs w:val="24"/>
        </w:rPr>
        <w:t xml:space="preserve"> within the Urban Growth Agenda</w:t>
      </w:r>
      <w:r w:rsidR="003A03F9" w:rsidRPr="000C32DC">
        <w:rPr>
          <w:rFonts w:ascii="Arial" w:hAnsi="Arial" w:cs="Arial"/>
          <w:sz w:val="24"/>
          <w:szCs w:val="24"/>
        </w:rPr>
        <w:t>.</w:t>
      </w:r>
      <w:r w:rsidRPr="000C32DC">
        <w:rPr>
          <w:rFonts w:ascii="Arial" w:hAnsi="Arial" w:cs="Arial"/>
          <w:sz w:val="24"/>
          <w:szCs w:val="24"/>
        </w:rPr>
        <w:t xml:space="preserve"> The aim is to improve housing affordability by enabling responsive</w:t>
      </w:r>
      <w:r w:rsidR="008D3D27" w:rsidRPr="000C32DC">
        <w:rPr>
          <w:rFonts w:ascii="Arial" w:hAnsi="Arial" w:cs="Arial"/>
          <w:sz w:val="24"/>
          <w:szCs w:val="24"/>
        </w:rPr>
        <w:t xml:space="preserve"> </w:t>
      </w:r>
      <w:r w:rsidRPr="000C32DC">
        <w:rPr>
          <w:rFonts w:ascii="Arial" w:hAnsi="Arial" w:cs="Arial"/>
          <w:sz w:val="24"/>
          <w:szCs w:val="24"/>
        </w:rPr>
        <w:t xml:space="preserve">infrastructure provision and appropriate cost allocation. </w:t>
      </w:r>
      <w:r w:rsidR="000C32DC">
        <w:rPr>
          <w:rFonts w:ascii="Arial" w:hAnsi="Arial" w:cs="Arial"/>
          <w:sz w:val="24"/>
          <w:szCs w:val="24"/>
        </w:rPr>
        <w:t>This programme</w:t>
      </w:r>
      <w:r w:rsidRPr="000C32DC">
        <w:rPr>
          <w:rFonts w:ascii="Arial" w:hAnsi="Arial" w:cs="Arial"/>
          <w:sz w:val="24"/>
          <w:szCs w:val="24"/>
        </w:rPr>
        <w:t xml:space="preserve"> involves the investigation of alternative funding and financing models that will enable access to capital and better align charges for infrastructure with the beneficiaries of that infrastructure. </w:t>
      </w:r>
      <w:r w:rsidR="009A241E">
        <w:rPr>
          <w:rFonts w:ascii="Arial" w:hAnsi="Arial" w:cs="Arial"/>
          <w:sz w:val="24"/>
          <w:szCs w:val="24"/>
        </w:rPr>
        <w:t>It may ultimately</w:t>
      </w:r>
      <w:r w:rsidRPr="000C32DC">
        <w:rPr>
          <w:rFonts w:ascii="Arial" w:hAnsi="Arial" w:cs="Arial"/>
          <w:sz w:val="24"/>
          <w:szCs w:val="24"/>
        </w:rPr>
        <w:t xml:space="preserve"> involve the use of new special purpose vehicles with the abilit</w:t>
      </w:r>
      <w:r w:rsidR="002B3995" w:rsidRPr="000C32DC">
        <w:rPr>
          <w:rFonts w:ascii="Arial" w:hAnsi="Arial" w:cs="Arial"/>
          <w:sz w:val="24"/>
          <w:szCs w:val="24"/>
        </w:rPr>
        <w:t>y</w:t>
      </w:r>
      <w:r w:rsidRPr="000C32DC">
        <w:rPr>
          <w:rFonts w:ascii="Arial" w:hAnsi="Arial" w:cs="Arial"/>
          <w:sz w:val="24"/>
          <w:szCs w:val="24"/>
        </w:rPr>
        <w:t xml:space="preserve"> to set charges and raise finance</w:t>
      </w:r>
      <w:r w:rsidR="00F56B2C">
        <w:rPr>
          <w:rFonts w:ascii="Arial" w:hAnsi="Arial" w:cs="Arial"/>
          <w:sz w:val="24"/>
          <w:szCs w:val="24"/>
        </w:rPr>
        <w:t>.</w:t>
      </w:r>
      <w:r w:rsidR="008D3D27" w:rsidRPr="000C32DC">
        <w:rPr>
          <w:rFonts w:ascii="Arial" w:hAnsi="Arial" w:cs="Arial"/>
          <w:sz w:val="24"/>
          <w:szCs w:val="24"/>
        </w:rPr>
        <w:t xml:space="preserve"> </w:t>
      </w:r>
    </w:p>
    <w:p w14:paraId="008596EB" w14:textId="77777777" w:rsidR="00436D62" w:rsidRPr="00436D62" w:rsidRDefault="00436D62" w:rsidP="00AD1F73">
      <w:pPr>
        <w:keepNext/>
        <w:spacing w:after="240" w:line="240" w:lineRule="auto"/>
        <w:jc w:val="both"/>
        <w:rPr>
          <w:rFonts w:ascii="Arial" w:hAnsi="Arial" w:cs="Arial"/>
          <w:b/>
          <w:i/>
          <w:sz w:val="24"/>
          <w:szCs w:val="24"/>
        </w:rPr>
      </w:pPr>
      <w:r w:rsidRPr="00436D62">
        <w:rPr>
          <w:rFonts w:ascii="Arial" w:hAnsi="Arial" w:cs="Arial"/>
          <w:b/>
          <w:i/>
          <w:sz w:val="24"/>
          <w:szCs w:val="24"/>
        </w:rPr>
        <w:t xml:space="preserve">He Ara </w:t>
      </w:r>
      <w:proofErr w:type="spellStart"/>
      <w:r w:rsidRPr="00436D62">
        <w:rPr>
          <w:rFonts w:ascii="Arial" w:hAnsi="Arial" w:cs="Arial"/>
          <w:b/>
          <w:i/>
          <w:sz w:val="24"/>
          <w:szCs w:val="24"/>
        </w:rPr>
        <w:t>Waiora</w:t>
      </w:r>
      <w:proofErr w:type="spellEnd"/>
      <w:r w:rsidRPr="00436D62">
        <w:rPr>
          <w:rFonts w:ascii="Arial" w:hAnsi="Arial" w:cs="Arial"/>
          <w:b/>
          <w:i/>
          <w:sz w:val="24"/>
          <w:szCs w:val="24"/>
        </w:rPr>
        <w:t xml:space="preserve"> / A Pathway Towards Wellbeing</w:t>
      </w:r>
    </w:p>
    <w:p w14:paraId="1FFB6840" w14:textId="77777777" w:rsidR="00537B2D" w:rsidRDefault="00537B2D" w:rsidP="000C32DC">
      <w:pPr>
        <w:pStyle w:val="ListParagraph"/>
        <w:keepLines/>
        <w:numPr>
          <w:ilvl w:val="0"/>
          <w:numId w:val="1"/>
        </w:numPr>
        <w:spacing w:after="240" w:line="240" w:lineRule="auto"/>
        <w:ind w:left="709" w:hanging="709"/>
        <w:contextualSpacing w:val="0"/>
        <w:jc w:val="both"/>
      </w:pPr>
      <w:r>
        <w:rPr>
          <w:rFonts w:ascii="Arial" w:hAnsi="Arial" w:cs="Arial"/>
          <w:sz w:val="24"/>
          <w:szCs w:val="24"/>
        </w:rPr>
        <w:t>Through a planned engagement approach with M</w:t>
      </w:r>
      <w:r>
        <w:rPr>
          <w:rFonts w:ascii="Arial" w:hAnsi="Arial" w:cs="Arial"/>
          <w:sz w:val="24"/>
          <w:szCs w:val="24"/>
          <w:lang w:val="mi-NZ"/>
        </w:rPr>
        <w:t xml:space="preserve">āori, </w:t>
      </w:r>
      <w:r>
        <w:rPr>
          <w:rFonts w:ascii="Arial" w:hAnsi="Arial" w:cs="Arial"/>
          <w:sz w:val="24"/>
          <w:szCs w:val="24"/>
        </w:rPr>
        <w:t xml:space="preserve">the </w:t>
      </w:r>
      <w:r w:rsidR="008F7215">
        <w:rPr>
          <w:rFonts w:ascii="Arial" w:hAnsi="Arial" w:cs="Arial"/>
          <w:sz w:val="24"/>
          <w:szCs w:val="24"/>
        </w:rPr>
        <w:t>TWG</w:t>
      </w:r>
      <w:r>
        <w:rPr>
          <w:rFonts w:ascii="Arial" w:hAnsi="Arial" w:cs="Arial"/>
          <w:sz w:val="24"/>
          <w:szCs w:val="24"/>
        </w:rPr>
        <w:t xml:space="preserve"> developed a framework drawing on principles from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Ao</w:t>
      </w:r>
      <w:proofErr w:type="spellEnd"/>
      <w:r>
        <w:rPr>
          <w:rFonts w:ascii="Arial" w:hAnsi="Arial" w:cs="Arial"/>
          <w:sz w:val="24"/>
          <w:szCs w:val="24"/>
        </w:rPr>
        <w:t xml:space="preserve"> Māori to inform a more holistic view of wellbeing in tax policy development. This work, </w:t>
      </w:r>
      <w:r>
        <w:rPr>
          <w:rFonts w:ascii="Arial" w:hAnsi="Arial" w:cs="Arial"/>
          <w:i/>
          <w:iCs/>
          <w:sz w:val="24"/>
          <w:szCs w:val="24"/>
        </w:rPr>
        <w:t xml:space="preserve">He Ara </w:t>
      </w:r>
      <w:proofErr w:type="spellStart"/>
      <w:r>
        <w:rPr>
          <w:rFonts w:ascii="Arial" w:hAnsi="Arial" w:cs="Arial"/>
          <w:i/>
          <w:iCs/>
          <w:sz w:val="24"/>
          <w:szCs w:val="24"/>
        </w:rPr>
        <w:t>Waiora</w:t>
      </w:r>
      <w:proofErr w:type="spellEnd"/>
      <w:r>
        <w:rPr>
          <w:rFonts w:ascii="Arial" w:hAnsi="Arial" w:cs="Arial"/>
          <w:i/>
          <w:iCs/>
          <w:sz w:val="24"/>
          <w:szCs w:val="24"/>
        </w:rPr>
        <w:t xml:space="preserve"> / A Pathway Towards Wellbeing</w:t>
      </w:r>
      <w:r>
        <w:rPr>
          <w:rFonts w:ascii="Arial" w:hAnsi="Arial" w:cs="Arial"/>
          <w:sz w:val="24"/>
          <w:szCs w:val="24"/>
        </w:rPr>
        <w:t>, was co-designed through a series of wānanga with Māori which included submitters, academics, iwi leaders, and industry leaders, and received broad support through the Māori engagement process. The Group heard in a consolidated response from this process that the intent of </w:t>
      </w:r>
      <w:proofErr w:type="spellStart"/>
      <w:r>
        <w:rPr>
          <w:rFonts w:ascii="Arial" w:hAnsi="Arial" w:cs="Arial"/>
          <w:i/>
          <w:iCs/>
          <w:sz w:val="24"/>
          <w:szCs w:val="24"/>
        </w:rPr>
        <w:t>He</w:t>
      </w:r>
      <w:proofErr w:type="spellEnd"/>
      <w:r>
        <w:rPr>
          <w:rFonts w:ascii="Arial" w:hAnsi="Arial" w:cs="Arial"/>
          <w:i/>
          <w:iCs/>
          <w:sz w:val="24"/>
          <w:szCs w:val="24"/>
        </w:rPr>
        <w:t xml:space="preserve"> Ara </w:t>
      </w:r>
      <w:proofErr w:type="spellStart"/>
      <w:r>
        <w:rPr>
          <w:rFonts w:ascii="Arial" w:hAnsi="Arial" w:cs="Arial"/>
          <w:i/>
          <w:iCs/>
          <w:sz w:val="24"/>
          <w:szCs w:val="24"/>
        </w:rPr>
        <w:t>Waiora</w:t>
      </w:r>
      <w:proofErr w:type="spellEnd"/>
      <w:r>
        <w:rPr>
          <w:rFonts w:ascii="Arial" w:hAnsi="Arial" w:cs="Arial"/>
          <w:sz w:val="24"/>
          <w:szCs w:val="24"/>
        </w:rPr>
        <w:t xml:space="preserve"> represented a meaningful reflection of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Tiriti</w:t>
      </w:r>
      <w:proofErr w:type="spellEnd"/>
      <w:r>
        <w:rPr>
          <w:rFonts w:ascii="Arial" w:hAnsi="Arial" w:cs="Arial"/>
          <w:sz w:val="24"/>
          <w:szCs w:val="24"/>
        </w:rPr>
        <w:t xml:space="preserve"> o Waitangi, reflecting our continuing maturation as a nation. </w:t>
      </w:r>
    </w:p>
    <w:p w14:paraId="0ADB1F8B" w14:textId="77777777" w:rsidR="00537B2D" w:rsidRDefault="00537B2D" w:rsidP="005B097D">
      <w:pPr>
        <w:pStyle w:val="ListParagraph"/>
        <w:numPr>
          <w:ilvl w:val="0"/>
          <w:numId w:val="1"/>
        </w:numPr>
        <w:spacing w:after="240" w:line="240" w:lineRule="auto"/>
        <w:ind w:left="709" w:hanging="709"/>
        <w:contextualSpacing w:val="0"/>
        <w:jc w:val="both"/>
        <w:rPr>
          <w:rFonts w:ascii="Calibri" w:hAnsi="Calibri" w:cs="Calibri"/>
        </w:rPr>
      </w:pPr>
      <w:r>
        <w:rPr>
          <w:rFonts w:ascii="Arial" w:hAnsi="Arial" w:cs="Arial"/>
          <w:sz w:val="24"/>
          <w:szCs w:val="24"/>
        </w:rPr>
        <w:t xml:space="preserve">The view was also expressed that a tikanga framework should have a broad ambit, rather than just focus on tax, and could appropriately be progressed by the Treasury in the context of the Living Standards Framework. The Treasury is continuing to work with some of the Māori academics, iwi leaders, and industry leaders that helped inform the framework, and are exploring how </w:t>
      </w:r>
      <w:r>
        <w:rPr>
          <w:rFonts w:ascii="Arial" w:hAnsi="Arial" w:cs="Arial"/>
          <w:i/>
          <w:iCs/>
          <w:sz w:val="24"/>
          <w:szCs w:val="24"/>
        </w:rPr>
        <w:t xml:space="preserve">He Ara </w:t>
      </w:r>
      <w:proofErr w:type="spellStart"/>
      <w:r>
        <w:rPr>
          <w:rFonts w:ascii="Arial" w:hAnsi="Arial" w:cs="Arial"/>
          <w:i/>
          <w:iCs/>
          <w:sz w:val="24"/>
          <w:szCs w:val="24"/>
        </w:rPr>
        <w:t>Waiora</w:t>
      </w:r>
      <w:proofErr w:type="spellEnd"/>
      <w:r>
        <w:rPr>
          <w:rFonts w:ascii="Arial" w:hAnsi="Arial" w:cs="Arial"/>
          <w:sz w:val="24"/>
          <w:szCs w:val="24"/>
        </w:rPr>
        <w:t xml:space="preserve"> could inform the ongoing evolution of the Living Standards Framework. This work will also be developed in consultation with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Puni</w:t>
      </w:r>
      <w:proofErr w:type="spellEnd"/>
      <w:r>
        <w:rPr>
          <w:rFonts w:ascii="Arial" w:hAnsi="Arial" w:cs="Arial"/>
          <w:sz w:val="24"/>
          <w:szCs w:val="24"/>
        </w:rPr>
        <w:t xml:space="preserve"> </w:t>
      </w:r>
      <w:proofErr w:type="spellStart"/>
      <w:r>
        <w:rPr>
          <w:rFonts w:ascii="Arial" w:hAnsi="Arial" w:cs="Arial"/>
          <w:sz w:val="24"/>
          <w:szCs w:val="24"/>
        </w:rPr>
        <w:t>Kōkiri</w:t>
      </w:r>
      <w:proofErr w:type="spellEnd"/>
      <w:r>
        <w:rPr>
          <w:rFonts w:ascii="Arial" w:hAnsi="Arial" w:cs="Arial"/>
          <w:sz w:val="24"/>
          <w:szCs w:val="24"/>
        </w:rPr>
        <w:t xml:space="preserve"> and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Arawhiti</w:t>
      </w:r>
      <w:proofErr w:type="spellEnd"/>
      <w:r>
        <w:rPr>
          <w:rFonts w:ascii="Arial" w:hAnsi="Arial" w:cs="Arial"/>
          <w:sz w:val="24"/>
          <w:szCs w:val="24"/>
        </w:rPr>
        <w:t>.</w:t>
      </w:r>
    </w:p>
    <w:p w14:paraId="1355D0A2" w14:textId="77777777" w:rsidR="007951C0" w:rsidRPr="007D35C0" w:rsidRDefault="007951C0" w:rsidP="007D35C0">
      <w:pPr>
        <w:pStyle w:val="Heading2"/>
        <w:numPr>
          <w:ilvl w:val="0"/>
          <w:numId w:val="0"/>
        </w:numPr>
        <w:jc w:val="both"/>
      </w:pPr>
      <w:bookmarkStart w:id="18" w:name="_Hlk4494183"/>
      <w:bookmarkStart w:id="19" w:name="_Hlk4482800"/>
      <w:r w:rsidRPr="007D35C0">
        <w:t>Engagement with Māori</w:t>
      </w:r>
    </w:p>
    <w:p w14:paraId="5E318A5D" w14:textId="77777777" w:rsidR="007951C0" w:rsidRPr="00E24D25" w:rsidRDefault="008763CA" w:rsidP="007951C0">
      <w:pPr>
        <w:pStyle w:val="ListParagraph"/>
        <w:numPr>
          <w:ilvl w:val="0"/>
          <w:numId w:val="1"/>
        </w:numPr>
        <w:spacing w:after="240" w:line="240" w:lineRule="auto"/>
        <w:ind w:left="709" w:hanging="709"/>
        <w:contextualSpacing w:val="0"/>
        <w:jc w:val="both"/>
        <w:rPr>
          <w:rFonts w:ascii="Arial" w:hAnsi="Arial" w:cs="Arial"/>
          <w:sz w:val="24"/>
          <w:szCs w:val="24"/>
        </w:rPr>
      </w:pPr>
      <w:bookmarkStart w:id="20" w:name="_Hlk4494237"/>
      <w:bookmarkEnd w:id="18"/>
      <w:r>
        <w:rPr>
          <w:rFonts w:ascii="Arial" w:hAnsi="Arial" w:cs="Arial"/>
          <w:sz w:val="24"/>
          <w:szCs w:val="24"/>
        </w:rPr>
        <w:t xml:space="preserve">Elements of any future TPWP will be </w:t>
      </w:r>
      <w:r w:rsidR="007702B8" w:rsidRPr="00E24D25">
        <w:rPr>
          <w:rFonts w:ascii="Arial" w:hAnsi="Arial" w:cs="Arial"/>
          <w:sz w:val="24"/>
          <w:szCs w:val="24"/>
        </w:rPr>
        <w:t>of interest to Māori</w:t>
      </w:r>
      <w:r w:rsidR="008E73BD" w:rsidRPr="00E24D25">
        <w:rPr>
          <w:rFonts w:ascii="Arial" w:hAnsi="Arial" w:cs="Arial"/>
          <w:sz w:val="24"/>
          <w:szCs w:val="24"/>
        </w:rPr>
        <w:t xml:space="preserve">. </w:t>
      </w:r>
      <w:r w:rsidR="007702B8" w:rsidRPr="00E24D25">
        <w:rPr>
          <w:rFonts w:ascii="Arial" w:hAnsi="Arial" w:cs="Arial"/>
          <w:sz w:val="24"/>
          <w:szCs w:val="24"/>
        </w:rPr>
        <w:t xml:space="preserve">Officials will work with </w:t>
      </w:r>
      <w:proofErr w:type="spellStart"/>
      <w:r w:rsidR="009478BE">
        <w:rPr>
          <w:rFonts w:ascii="Arial" w:hAnsi="Arial" w:cs="Arial"/>
          <w:sz w:val="24"/>
          <w:szCs w:val="24"/>
        </w:rPr>
        <w:t>Te</w:t>
      </w:r>
      <w:proofErr w:type="spellEnd"/>
      <w:r w:rsidR="009478BE">
        <w:rPr>
          <w:rFonts w:ascii="Arial" w:hAnsi="Arial" w:cs="Arial"/>
          <w:sz w:val="24"/>
          <w:szCs w:val="24"/>
        </w:rPr>
        <w:t xml:space="preserve"> </w:t>
      </w:r>
      <w:proofErr w:type="spellStart"/>
      <w:r w:rsidR="009478BE">
        <w:rPr>
          <w:rFonts w:ascii="Arial" w:hAnsi="Arial" w:cs="Arial"/>
          <w:sz w:val="24"/>
          <w:szCs w:val="24"/>
        </w:rPr>
        <w:t>Puni</w:t>
      </w:r>
      <w:proofErr w:type="spellEnd"/>
      <w:r w:rsidR="009478BE">
        <w:rPr>
          <w:rFonts w:ascii="Arial" w:hAnsi="Arial" w:cs="Arial"/>
          <w:sz w:val="24"/>
          <w:szCs w:val="24"/>
        </w:rPr>
        <w:t xml:space="preserve"> </w:t>
      </w:r>
      <w:proofErr w:type="spellStart"/>
      <w:r w:rsidR="009478BE">
        <w:rPr>
          <w:rFonts w:ascii="Arial" w:hAnsi="Arial" w:cs="Arial"/>
          <w:sz w:val="24"/>
          <w:szCs w:val="24"/>
        </w:rPr>
        <w:t>Kōkiri</w:t>
      </w:r>
      <w:proofErr w:type="spellEnd"/>
      <w:r w:rsidR="009478BE">
        <w:rPr>
          <w:rFonts w:ascii="Arial" w:hAnsi="Arial" w:cs="Arial"/>
          <w:sz w:val="24"/>
          <w:szCs w:val="24"/>
        </w:rPr>
        <w:t xml:space="preserve"> and </w:t>
      </w:r>
      <w:proofErr w:type="spellStart"/>
      <w:r w:rsidR="007702B8" w:rsidRPr="00E24D25">
        <w:rPr>
          <w:rFonts w:ascii="Arial" w:hAnsi="Arial" w:cs="Arial"/>
          <w:sz w:val="24"/>
          <w:szCs w:val="24"/>
        </w:rPr>
        <w:t>Te</w:t>
      </w:r>
      <w:proofErr w:type="spellEnd"/>
      <w:r w:rsidR="007702B8" w:rsidRPr="00E24D25">
        <w:rPr>
          <w:rFonts w:ascii="Arial" w:hAnsi="Arial" w:cs="Arial"/>
          <w:sz w:val="24"/>
          <w:szCs w:val="24"/>
        </w:rPr>
        <w:t xml:space="preserve"> </w:t>
      </w:r>
      <w:proofErr w:type="spellStart"/>
      <w:r w:rsidR="007702B8" w:rsidRPr="00E24D25">
        <w:rPr>
          <w:rFonts w:ascii="Arial" w:hAnsi="Arial" w:cs="Arial"/>
          <w:sz w:val="24"/>
          <w:szCs w:val="24"/>
        </w:rPr>
        <w:t>Arawhiti</w:t>
      </w:r>
      <w:proofErr w:type="spellEnd"/>
      <w:r w:rsidR="007702B8" w:rsidRPr="00E24D25">
        <w:rPr>
          <w:rFonts w:ascii="Arial" w:hAnsi="Arial" w:cs="Arial"/>
          <w:sz w:val="24"/>
          <w:szCs w:val="24"/>
        </w:rPr>
        <w:t xml:space="preserve"> on how to </w:t>
      </w:r>
      <w:r w:rsidR="008E73BD" w:rsidRPr="00E24D25">
        <w:rPr>
          <w:rFonts w:ascii="Arial" w:hAnsi="Arial" w:cs="Arial"/>
          <w:sz w:val="24"/>
          <w:szCs w:val="24"/>
        </w:rPr>
        <w:t>develop</w:t>
      </w:r>
      <w:r w:rsidR="007702B8" w:rsidRPr="00E24D25">
        <w:rPr>
          <w:rFonts w:ascii="Arial" w:hAnsi="Arial" w:cs="Arial"/>
          <w:sz w:val="24"/>
          <w:szCs w:val="24"/>
        </w:rPr>
        <w:t xml:space="preserve"> an appropriate engagement strategy, including how to approach engagement </w:t>
      </w:r>
      <w:r w:rsidR="00521771" w:rsidRPr="00E24D25">
        <w:rPr>
          <w:rFonts w:ascii="Arial" w:hAnsi="Arial" w:cs="Arial"/>
          <w:sz w:val="24"/>
          <w:szCs w:val="24"/>
        </w:rPr>
        <w:t>may be</w:t>
      </w:r>
      <w:r w:rsidR="007702B8" w:rsidRPr="00E24D25">
        <w:rPr>
          <w:rFonts w:ascii="Arial" w:hAnsi="Arial" w:cs="Arial"/>
          <w:sz w:val="24"/>
          <w:szCs w:val="24"/>
        </w:rPr>
        <w:t xml:space="preserve"> led by different agencies.</w:t>
      </w:r>
    </w:p>
    <w:bookmarkEnd w:id="20"/>
    <w:p w14:paraId="2D95FA20" w14:textId="77777777" w:rsidR="004B6934" w:rsidRPr="008C0B1C" w:rsidRDefault="004B6934" w:rsidP="008C0B1C">
      <w:pPr>
        <w:pStyle w:val="Heading2"/>
        <w:numPr>
          <w:ilvl w:val="0"/>
          <w:numId w:val="0"/>
        </w:numPr>
        <w:jc w:val="both"/>
      </w:pPr>
      <w:r w:rsidRPr="008C0B1C">
        <w:t>Consultation</w:t>
      </w:r>
      <w:bookmarkEnd w:id="19"/>
    </w:p>
    <w:p w14:paraId="6DA961CF" w14:textId="77777777" w:rsidR="004B6934" w:rsidRDefault="008C0B1C" w:rsidP="003A1A15">
      <w:pPr>
        <w:pStyle w:val="ListParagraph"/>
        <w:keepLines/>
        <w:numPr>
          <w:ilvl w:val="0"/>
          <w:numId w:val="1"/>
        </w:numPr>
        <w:spacing w:after="240" w:line="240" w:lineRule="auto"/>
        <w:ind w:left="709" w:hanging="709"/>
        <w:contextualSpacing w:val="0"/>
        <w:jc w:val="both"/>
        <w:rPr>
          <w:rFonts w:ascii="Arial" w:hAnsi="Arial" w:cs="Arial"/>
          <w:sz w:val="24"/>
          <w:szCs w:val="24"/>
        </w:rPr>
      </w:pPr>
      <w:bookmarkStart w:id="21" w:name="_Hlk4482788"/>
      <w:r w:rsidRPr="008C0B1C">
        <w:rPr>
          <w:rFonts w:ascii="Arial" w:hAnsi="Arial" w:cs="Arial"/>
          <w:sz w:val="24"/>
          <w:szCs w:val="24"/>
        </w:rPr>
        <w:t>The following agencies have been consulted</w:t>
      </w:r>
      <w:r w:rsidR="00D96949">
        <w:rPr>
          <w:rFonts w:ascii="Arial" w:hAnsi="Arial" w:cs="Arial"/>
          <w:sz w:val="24"/>
          <w:szCs w:val="24"/>
        </w:rPr>
        <w:t xml:space="preserve"> on TWG recommendations 3-99</w:t>
      </w:r>
      <w:r w:rsidR="00FD12CF">
        <w:rPr>
          <w:rFonts w:ascii="Arial" w:hAnsi="Arial" w:cs="Arial"/>
          <w:sz w:val="24"/>
          <w:szCs w:val="24"/>
        </w:rPr>
        <w:t>:</w:t>
      </w:r>
      <w:r w:rsidRPr="008C0B1C">
        <w:rPr>
          <w:rFonts w:ascii="Arial" w:hAnsi="Arial" w:cs="Arial"/>
          <w:sz w:val="24"/>
          <w:szCs w:val="24"/>
        </w:rPr>
        <w:t xml:space="preserve"> Department of the Prime Minister and Cabinet, Ministry for the Environment, Ministry of Housing and Urban Development, </w:t>
      </w:r>
      <w:r>
        <w:rPr>
          <w:rFonts w:ascii="Arial" w:hAnsi="Arial" w:cs="Arial"/>
          <w:sz w:val="24"/>
          <w:szCs w:val="24"/>
        </w:rPr>
        <w:t>New Zealand Customs</w:t>
      </w:r>
      <w:r w:rsidR="000B4509">
        <w:rPr>
          <w:rFonts w:ascii="Arial" w:hAnsi="Arial" w:cs="Arial"/>
          <w:sz w:val="24"/>
          <w:szCs w:val="24"/>
        </w:rPr>
        <w:t xml:space="preserve"> Service</w:t>
      </w:r>
      <w:r>
        <w:rPr>
          <w:rFonts w:ascii="Arial" w:hAnsi="Arial" w:cs="Arial"/>
          <w:sz w:val="24"/>
          <w:szCs w:val="24"/>
        </w:rPr>
        <w:t xml:space="preserve">, </w:t>
      </w:r>
      <w:r w:rsidRPr="008C0B1C">
        <w:rPr>
          <w:rFonts w:ascii="Arial" w:hAnsi="Arial" w:cs="Arial"/>
          <w:sz w:val="24"/>
          <w:szCs w:val="24"/>
        </w:rPr>
        <w:t>Ministry for Primary Industries</w:t>
      </w:r>
      <w:r>
        <w:rPr>
          <w:rFonts w:ascii="Arial" w:hAnsi="Arial" w:cs="Arial"/>
          <w:sz w:val="24"/>
          <w:szCs w:val="24"/>
        </w:rPr>
        <w:t xml:space="preserve">, </w:t>
      </w:r>
      <w:r w:rsidR="003A1A15">
        <w:rPr>
          <w:rFonts w:ascii="Arial" w:hAnsi="Arial" w:cs="Arial"/>
          <w:sz w:val="24"/>
          <w:szCs w:val="24"/>
        </w:rPr>
        <w:t>Ministry of Business, Innovation and Employment</w:t>
      </w:r>
      <w:r w:rsidR="000B4509">
        <w:rPr>
          <w:rFonts w:ascii="Arial" w:hAnsi="Arial" w:cs="Arial"/>
          <w:sz w:val="24"/>
          <w:szCs w:val="24"/>
        </w:rPr>
        <w:t xml:space="preserve">, </w:t>
      </w:r>
      <w:r w:rsidR="003A1A15">
        <w:rPr>
          <w:rFonts w:ascii="Arial" w:hAnsi="Arial" w:cs="Arial"/>
          <w:sz w:val="24"/>
          <w:szCs w:val="24"/>
        </w:rPr>
        <w:t>Department of Internal Affairs</w:t>
      </w:r>
      <w:r w:rsidR="009E0E2A">
        <w:rPr>
          <w:rFonts w:ascii="Arial" w:hAnsi="Arial" w:cs="Arial"/>
          <w:sz w:val="24"/>
          <w:szCs w:val="24"/>
        </w:rPr>
        <w:t xml:space="preserve">, </w:t>
      </w:r>
      <w:proofErr w:type="spellStart"/>
      <w:r w:rsidR="000B4509" w:rsidRPr="000B4509">
        <w:rPr>
          <w:rFonts w:ascii="Arial" w:hAnsi="Arial" w:cs="Arial"/>
          <w:sz w:val="24"/>
          <w:szCs w:val="24"/>
        </w:rPr>
        <w:t>Te</w:t>
      </w:r>
      <w:proofErr w:type="spellEnd"/>
      <w:r w:rsidR="000B4509" w:rsidRPr="000B4509">
        <w:rPr>
          <w:rFonts w:ascii="Arial" w:hAnsi="Arial" w:cs="Arial"/>
          <w:sz w:val="24"/>
          <w:szCs w:val="24"/>
        </w:rPr>
        <w:t xml:space="preserve"> </w:t>
      </w:r>
      <w:proofErr w:type="spellStart"/>
      <w:r w:rsidR="000B4509" w:rsidRPr="000B4509">
        <w:rPr>
          <w:rFonts w:ascii="Arial" w:hAnsi="Arial" w:cs="Arial"/>
          <w:sz w:val="24"/>
          <w:szCs w:val="24"/>
        </w:rPr>
        <w:t>Puni</w:t>
      </w:r>
      <w:proofErr w:type="spellEnd"/>
      <w:r w:rsidR="000B4509" w:rsidRPr="000B4509">
        <w:rPr>
          <w:rFonts w:ascii="Arial" w:hAnsi="Arial" w:cs="Arial"/>
          <w:sz w:val="24"/>
          <w:szCs w:val="24"/>
        </w:rPr>
        <w:t xml:space="preserve"> </w:t>
      </w:r>
      <w:proofErr w:type="spellStart"/>
      <w:r w:rsidR="000B4509" w:rsidRPr="000B4509">
        <w:rPr>
          <w:rFonts w:ascii="Arial" w:hAnsi="Arial" w:cs="Arial"/>
          <w:sz w:val="24"/>
          <w:szCs w:val="24"/>
        </w:rPr>
        <w:t>Kōkiri</w:t>
      </w:r>
      <w:proofErr w:type="spellEnd"/>
      <w:r w:rsidR="000813C8">
        <w:rPr>
          <w:rFonts w:ascii="Arial" w:hAnsi="Arial" w:cs="Arial"/>
          <w:sz w:val="24"/>
          <w:szCs w:val="24"/>
        </w:rPr>
        <w:t>,</w:t>
      </w:r>
      <w:r w:rsidR="009E0E2A">
        <w:rPr>
          <w:rFonts w:ascii="Arial" w:hAnsi="Arial" w:cs="Arial"/>
          <w:sz w:val="24"/>
          <w:szCs w:val="24"/>
        </w:rPr>
        <w:t xml:space="preserve"> </w:t>
      </w:r>
      <w:r w:rsidR="009E0E2A" w:rsidRPr="00973EC9">
        <w:rPr>
          <w:rFonts w:ascii="Arial" w:hAnsi="Arial" w:cs="Arial"/>
          <w:sz w:val="24"/>
          <w:szCs w:val="24"/>
        </w:rPr>
        <w:t xml:space="preserve">and </w:t>
      </w:r>
      <w:proofErr w:type="spellStart"/>
      <w:r w:rsidR="009E0E2A" w:rsidRPr="00973EC9">
        <w:rPr>
          <w:rFonts w:ascii="Arial" w:hAnsi="Arial" w:cs="Arial"/>
          <w:sz w:val="24"/>
          <w:szCs w:val="24"/>
        </w:rPr>
        <w:t>Te</w:t>
      </w:r>
      <w:proofErr w:type="spellEnd"/>
      <w:r w:rsidR="009E0E2A" w:rsidRPr="00973EC9">
        <w:rPr>
          <w:rFonts w:ascii="Arial" w:hAnsi="Arial" w:cs="Arial"/>
          <w:sz w:val="24"/>
          <w:szCs w:val="24"/>
        </w:rPr>
        <w:t xml:space="preserve"> </w:t>
      </w:r>
      <w:proofErr w:type="spellStart"/>
      <w:r w:rsidR="009E0E2A" w:rsidRPr="00973EC9">
        <w:rPr>
          <w:rFonts w:ascii="Arial" w:hAnsi="Arial" w:cs="Arial"/>
          <w:sz w:val="24"/>
          <w:szCs w:val="24"/>
        </w:rPr>
        <w:t>Arawhiti</w:t>
      </w:r>
      <w:proofErr w:type="spellEnd"/>
      <w:r w:rsidR="000B4509">
        <w:rPr>
          <w:rFonts w:ascii="Arial" w:hAnsi="Arial" w:cs="Arial"/>
          <w:sz w:val="24"/>
          <w:szCs w:val="24"/>
        </w:rPr>
        <w:t>.</w:t>
      </w:r>
    </w:p>
    <w:p w14:paraId="161A2748" w14:textId="77777777" w:rsidR="00342D7C" w:rsidRPr="008C0B1C" w:rsidRDefault="00F44BE0"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As recommendations progress, ongoing engagement with agencies</w:t>
      </w:r>
      <w:r w:rsidR="007702B8">
        <w:rPr>
          <w:rFonts w:ascii="Arial" w:hAnsi="Arial" w:cs="Arial"/>
          <w:sz w:val="24"/>
          <w:szCs w:val="24"/>
        </w:rPr>
        <w:t xml:space="preserve"> </w:t>
      </w:r>
      <w:r>
        <w:rPr>
          <w:rFonts w:ascii="Arial" w:hAnsi="Arial" w:cs="Arial"/>
          <w:sz w:val="24"/>
          <w:szCs w:val="24"/>
        </w:rPr>
        <w:t>and public stakeholders will be required.</w:t>
      </w:r>
    </w:p>
    <w:p w14:paraId="0461A9FC" w14:textId="77777777" w:rsidR="004B6934" w:rsidRPr="005D421C" w:rsidRDefault="004B6934" w:rsidP="008C0B1C">
      <w:pPr>
        <w:pStyle w:val="Heading2"/>
        <w:numPr>
          <w:ilvl w:val="0"/>
          <w:numId w:val="0"/>
        </w:numPr>
        <w:jc w:val="both"/>
      </w:pPr>
      <w:bookmarkStart w:id="22" w:name="_Hlk3879440"/>
      <w:bookmarkEnd w:id="21"/>
      <w:r w:rsidRPr="005D421C">
        <w:t xml:space="preserve">Financial </w:t>
      </w:r>
      <w:r w:rsidR="00990EF9">
        <w:t>i</w:t>
      </w:r>
      <w:r w:rsidRPr="005D421C">
        <w:t>mplications</w:t>
      </w:r>
    </w:p>
    <w:p w14:paraId="31C2DE32" w14:textId="77777777" w:rsidR="002A03BF" w:rsidRPr="00146B87" w:rsidRDefault="002A03BF" w:rsidP="00146B87">
      <w:pPr>
        <w:pStyle w:val="ListParagraph"/>
        <w:numPr>
          <w:ilvl w:val="0"/>
          <w:numId w:val="1"/>
        </w:numPr>
        <w:spacing w:after="240" w:line="240" w:lineRule="auto"/>
        <w:ind w:left="709" w:hanging="709"/>
        <w:contextualSpacing w:val="0"/>
        <w:jc w:val="both"/>
        <w:rPr>
          <w:rFonts w:ascii="Arial" w:hAnsi="Arial" w:cs="Arial"/>
        </w:rPr>
      </w:pPr>
      <w:r w:rsidRPr="00146B87">
        <w:rPr>
          <w:rFonts w:ascii="Arial" w:hAnsi="Arial" w:cs="Arial"/>
          <w:sz w:val="24"/>
          <w:szCs w:val="24"/>
        </w:rPr>
        <w:t>Recommendations progressed on the TPWP and other Government work programmes may have financial implications. These implications will be reported to Cabinet separately as they progress.</w:t>
      </w:r>
    </w:p>
    <w:p w14:paraId="1BD3001B" w14:textId="77777777" w:rsidR="002A03BF" w:rsidRPr="00146B87" w:rsidRDefault="00C5004D" w:rsidP="00146B87">
      <w:pPr>
        <w:rPr>
          <w:rFonts w:ascii="Arial" w:hAnsi="Arial" w:cs="Arial"/>
          <w:i/>
          <w:sz w:val="24"/>
        </w:rPr>
      </w:pPr>
      <w:r w:rsidRPr="00146B87">
        <w:rPr>
          <w:rFonts w:ascii="Arial" w:hAnsi="Arial" w:cs="Arial"/>
          <w:i/>
          <w:sz w:val="24"/>
        </w:rPr>
        <w:t>Inland Revenue comment</w:t>
      </w:r>
    </w:p>
    <w:p w14:paraId="08B7BA6B" w14:textId="77777777" w:rsidR="002A03BF" w:rsidRPr="00EF33E8" w:rsidRDefault="002A03BF" w:rsidP="00146B87">
      <w:pPr>
        <w:pStyle w:val="ListParagraph"/>
        <w:numPr>
          <w:ilvl w:val="0"/>
          <w:numId w:val="1"/>
        </w:numPr>
        <w:spacing w:after="240" w:line="240" w:lineRule="auto"/>
        <w:ind w:left="709" w:hanging="709"/>
        <w:contextualSpacing w:val="0"/>
        <w:jc w:val="both"/>
        <w:rPr>
          <w:rFonts w:ascii="Arial" w:hAnsi="Arial" w:cs="Arial"/>
          <w:sz w:val="24"/>
          <w:szCs w:val="24"/>
        </w:rPr>
      </w:pPr>
      <w:r w:rsidRPr="00EF33E8">
        <w:rPr>
          <w:rFonts w:ascii="Arial" w:hAnsi="Arial" w:cs="Arial"/>
          <w:sz w:val="24"/>
          <w:szCs w:val="24"/>
        </w:rPr>
        <w:t xml:space="preserve">Given the likelihood that Ministers will decide to include the priority TWG recommendations in the current </w:t>
      </w:r>
      <w:r w:rsidR="0012215F">
        <w:rPr>
          <w:rFonts w:ascii="Arial" w:hAnsi="Arial" w:cs="Arial"/>
          <w:sz w:val="24"/>
          <w:szCs w:val="24"/>
        </w:rPr>
        <w:t>TPWP</w:t>
      </w:r>
      <w:r w:rsidR="0000449A" w:rsidRPr="00EF33E8">
        <w:rPr>
          <w:rFonts w:ascii="Arial" w:hAnsi="Arial" w:cs="Arial"/>
          <w:sz w:val="24"/>
          <w:szCs w:val="24"/>
        </w:rPr>
        <w:t>,</w:t>
      </w:r>
      <w:r w:rsidRPr="00EF33E8">
        <w:rPr>
          <w:rFonts w:ascii="Arial" w:hAnsi="Arial" w:cs="Arial"/>
          <w:sz w:val="24"/>
          <w:szCs w:val="24"/>
        </w:rPr>
        <w:t xml:space="preserve"> and</w:t>
      </w:r>
      <w:r w:rsidR="0000449A" w:rsidRPr="00EF33E8">
        <w:rPr>
          <w:rFonts w:ascii="Arial" w:hAnsi="Arial" w:cs="Arial"/>
          <w:sz w:val="24"/>
          <w:szCs w:val="24"/>
        </w:rPr>
        <w:t xml:space="preserve"> that</w:t>
      </w:r>
      <w:r w:rsidRPr="00EF33E8">
        <w:rPr>
          <w:rFonts w:ascii="Arial" w:hAnsi="Arial" w:cs="Arial"/>
          <w:sz w:val="24"/>
          <w:szCs w:val="24"/>
        </w:rPr>
        <w:t xml:space="preserve"> additional tax policy advice resources will be required to deliver a much </w:t>
      </w:r>
      <w:r w:rsidR="00E1197E">
        <w:rPr>
          <w:rFonts w:ascii="Arial" w:hAnsi="Arial" w:cs="Arial"/>
          <w:sz w:val="24"/>
          <w:szCs w:val="24"/>
        </w:rPr>
        <w:t>lar</w:t>
      </w:r>
      <w:r w:rsidRPr="00EF33E8">
        <w:rPr>
          <w:rFonts w:ascii="Arial" w:hAnsi="Arial" w:cs="Arial"/>
          <w:sz w:val="24"/>
          <w:szCs w:val="24"/>
        </w:rPr>
        <w:t>ger work programme, Inland Revenue recommend that a tagged contingency to fund this additional tax policy advice be set up now to allow funding to be drawn down when such recommendations are added to the work programme.</w:t>
      </w:r>
      <w:r w:rsidR="00036AB1">
        <w:rPr>
          <w:rFonts w:ascii="Arial" w:hAnsi="Arial" w:cs="Arial"/>
          <w:sz w:val="24"/>
          <w:szCs w:val="24"/>
        </w:rPr>
        <w:t xml:space="preserve">  If funding is not provided, reprioritisation of the existing TPWP will need to occur.</w:t>
      </w:r>
    </w:p>
    <w:bookmarkEnd w:id="22"/>
    <w:p w14:paraId="0B774D9A" w14:textId="77777777" w:rsidR="004B6934" w:rsidRPr="00605659" w:rsidRDefault="004B6934" w:rsidP="008C0B1C">
      <w:pPr>
        <w:pStyle w:val="Heading2"/>
        <w:numPr>
          <w:ilvl w:val="0"/>
          <w:numId w:val="0"/>
        </w:numPr>
        <w:jc w:val="both"/>
      </w:pPr>
      <w:r w:rsidRPr="005D421C">
        <w:t>Legislative Implications</w:t>
      </w:r>
    </w:p>
    <w:p w14:paraId="7AE8BF4B" w14:textId="77777777" w:rsidR="00605659" w:rsidRPr="004C4D5D" w:rsidRDefault="004B6934" w:rsidP="00D11C7B">
      <w:pPr>
        <w:pStyle w:val="ListParagraph"/>
        <w:numPr>
          <w:ilvl w:val="0"/>
          <w:numId w:val="1"/>
        </w:numPr>
        <w:spacing w:after="240" w:line="240" w:lineRule="auto"/>
        <w:ind w:left="709" w:hanging="709"/>
        <w:contextualSpacing w:val="0"/>
        <w:jc w:val="both"/>
      </w:pPr>
      <w:r w:rsidRPr="004C4D5D">
        <w:rPr>
          <w:rFonts w:ascii="Arial" w:hAnsi="Arial" w:cs="Arial"/>
          <w:sz w:val="24"/>
          <w:szCs w:val="24"/>
        </w:rPr>
        <w:t>Th</w:t>
      </w:r>
      <w:r w:rsidR="00605659" w:rsidRPr="004C4D5D">
        <w:rPr>
          <w:rFonts w:ascii="Arial" w:hAnsi="Arial" w:cs="Arial"/>
          <w:sz w:val="24"/>
          <w:szCs w:val="24"/>
        </w:rPr>
        <w:t>ere are no immediate legislative implications.</w:t>
      </w:r>
      <w:r w:rsidR="00112416">
        <w:rPr>
          <w:rFonts w:ascii="Arial" w:hAnsi="Arial" w:cs="Arial"/>
          <w:sz w:val="24"/>
          <w:szCs w:val="24"/>
        </w:rPr>
        <w:t xml:space="preserve"> </w:t>
      </w:r>
    </w:p>
    <w:p w14:paraId="4DFFA2D8" w14:textId="77777777" w:rsidR="005138FE" w:rsidRPr="005D421C" w:rsidRDefault="005138FE" w:rsidP="008C0B1C">
      <w:pPr>
        <w:pStyle w:val="Heading2"/>
        <w:numPr>
          <w:ilvl w:val="0"/>
          <w:numId w:val="0"/>
        </w:numPr>
        <w:jc w:val="both"/>
      </w:pPr>
      <w:r w:rsidRPr="005D421C">
        <w:t>Impact Analysis</w:t>
      </w:r>
    </w:p>
    <w:p w14:paraId="63172962" w14:textId="77777777" w:rsidR="00342D7C" w:rsidRPr="00681A5E" w:rsidRDefault="00A5396D" w:rsidP="00342D7C">
      <w:pPr>
        <w:pStyle w:val="ListParagraph"/>
        <w:numPr>
          <w:ilvl w:val="0"/>
          <w:numId w:val="1"/>
        </w:numPr>
        <w:spacing w:after="240" w:line="240" w:lineRule="auto"/>
        <w:ind w:left="709" w:hanging="709"/>
        <w:contextualSpacing w:val="0"/>
        <w:jc w:val="both"/>
        <w:rPr>
          <w:rFonts w:ascii="Arial" w:hAnsi="Arial" w:cs="Arial"/>
          <w:b/>
          <w:sz w:val="24"/>
          <w:szCs w:val="24"/>
        </w:rPr>
      </w:pPr>
      <w:r w:rsidRPr="00B42D4C">
        <w:rPr>
          <w:rFonts w:ascii="Arial" w:hAnsi="Arial" w:cs="Arial"/>
          <w:sz w:val="24"/>
          <w:szCs w:val="24"/>
        </w:rPr>
        <w:t>A regulatory impact assessment is not required for this Cabinet paper as it does not contain regulatory proposals</w:t>
      </w:r>
    </w:p>
    <w:p w14:paraId="0A9B8A8B" w14:textId="77777777" w:rsidR="004B6934" w:rsidRPr="005D421C" w:rsidRDefault="004B6934" w:rsidP="008C0B1C">
      <w:pPr>
        <w:pStyle w:val="Heading2"/>
        <w:numPr>
          <w:ilvl w:val="0"/>
          <w:numId w:val="0"/>
        </w:numPr>
        <w:jc w:val="both"/>
      </w:pPr>
      <w:r w:rsidRPr="005D421C">
        <w:t>Human Rights</w:t>
      </w:r>
    </w:p>
    <w:p w14:paraId="0C1EA63B" w14:textId="77777777" w:rsidR="004B6934" w:rsidRPr="000B4509" w:rsidRDefault="00D60C00"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0B4509">
        <w:rPr>
          <w:rFonts w:ascii="Arial" w:hAnsi="Arial" w:cs="Arial"/>
          <w:sz w:val="24"/>
          <w:szCs w:val="24"/>
        </w:rPr>
        <w:t>There are no human rights implications</w:t>
      </w:r>
      <w:r w:rsidR="000B4509" w:rsidRPr="000B4509">
        <w:t xml:space="preserve"> </w:t>
      </w:r>
      <w:r w:rsidR="000B4509" w:rsidRPr="000B4509">
        <w:rPr>
          <w:rFonts w:ascii="Arial" w:hAnsi="Arial" w:cs="Arial"/>
          <w:sz w:val="24"/>
          <w:szCs w:val="24"/>
        </w:rPr>
        <w:t>associated with this paper.</w:t>
      </w:r>
    </w:p>
    <w:p w14:paraId="0EDBCD99" w14:textId="77777777" w:rsidR="004B6934" w:rsidRPr="005D421C" w:rsidRDefault="004B6934" w:rsidP="008C0B1C">
      <w:pPr>
        <w:pStyle w:val="Heading2"/>
        <w:numPr>
          <w:ilvl w:val="0"/>
          <w:numId w:val="0"/>
        </w:numPr>
        <w:jc w:val="both"/>
      </w:pPr>
      <w:r w:rsidRPr="005D421C">
        <w:t>Gender Implications</w:t>
      </w:r>
    </w:p>
    <w:p w14:paraId="216B27D9" w14:textId="77777777" w:rsidR="000B4509" w:rsidRPr="000B4509" w:rsidRDefault="000B4509"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0B4509">
        <w:rPr>
          <w:rFonts w:ascii="Arial" w:hAnsi="Arial" w:cs="Arial"/>
          <w:sz w:val="24"/>
          <w:szCs w:val="24"/>
        </w:rPr>
        <w:t>There are no gender implications associated with this paper.</w:t>
      </w:r>
    </w:p>
    <w:p w14:paraId="26E46B54" w14:textId="77777777" w:rsidR="004B6934" w:rsidRPr="005D421C" w:rsidRDefault="004B6934" w:rsidP="008C0B1C">
      <w:pPr>
        <w:pStyle w:val="Heading2"/>
        <w:numPr>
          <w:ilvl w:val="0"/>
          <w:numId w:val="0"/>
        </w:numPr>
        <w:jc w:val="both"/>
      </w:pPr>
      <w:r w:rsidRPr="005D421C">
        <w:t>Disability Perspective</w:t>
      </w:r>
    </w:p>
    <w:p w14:paraId="23F63189" w14:textId="77777777" w:rsidR="004C4D5D" w:rsidRPr="000B4509" w:rsidRDefault="004C4D5D" w:rsidP="00D11C7B">
      <w:pPr>
        <w:pStyle w:val="ListParagraph"/>
        <w:numPr>
          <w:ilvl w:val="0"/>
          <w:numId w:val="1"/>
        </w:numPr>
        <w:spacing w:after="240" w:line="240" w:lineRule="auto"/>
        <w:ind w:left="709" w:hanging="709"/>
        <w:contextualSpacing w:val="0"/>
        <w:jc w:val="both"/>
        <w:rPr>
          <w:rFonts w:ascii="Arial" w:hAnsi="Arial" w:cs="Arial"/>
          <w:sz w:val="24"/>
          <w:szCs w:val="24"/>
        </w:rPr>
      </w:pPr>
      <w:r w:rsidRPr="000B4509">
        <w:rPr>
          <w:rFonts w:ascii="Arial" w:hAnsi="Arial" w:cs="Arial"/>
          <w:sz w:val="24"/>
          <w:szCs w:val="24"/>
        </w:rPr>
        <w:t>There are no disability implications</w:t>
      </w:r>
      <w:r w:rsidR="000B4509" w:rsidRPr="000B4509">
        <w:rPr>
          <w:rFonts w:ascii="Arial" w:hAnsi="Arial" w:cs="Arial"/>
          <w:sz w:val="24"/>
          <w:szCs w:val="24"/>
        </w:rPr>
        <w:t xml:space="preserve"> associated with this paper.</w:t>
      </w:r>
    </w:p>
    <w:p w14:paraId="36D71B34" w14:textId="77777777" w:rsidR="004B6934" w:rsidRPr="005D421C" w:rsidRDefault="004B6934" w:rsidP="008C0B1C">
      <w:pPr>
        <w:pStyle w:val="Heading2"/>
        <w:numPr>
          <w:ilvl w:val="0"/>
          <w:numId w:val="0"/>
        </w:numPr>
        <w:jc w:val="both"/>
      </w:pPr>
      <w:bookmarkStart w:id="23" w:name="_Hlk4423102"/>
      <w:r w:rsidRPr="005D421C">
        <w:t>Publicity</w:t>
      </w:r>
    </w:p>
    <w:p w14:paraId="753B69D6" w14:textId="77777777" w:rsidR="004B6934" w:rsidRPr="001A3C9A" w:rsidRDefault="005000EC" w:rsidP="00D11C7B">
      <w:pPr>
        <w:pStyle w:val="ListParagraph"/>
        <w:numPr>
          <w:ilvl w:val="0"/>
          <w:numId w:val="1"/>
        </w:numPr>
        <w:spacing w:after="240" w:line="240" w:lineRule="auto"/>
        <w:ind w:left="709" w:hanging="709"/>
        <w:contextualSpacing w:val="0"/>
        <w:jc w:val="both"/>
        <w:rPr>
          <w:rFonts w:ascii="Arial" w:hAnsi="Arial" w:cs="Arial"/>
          <w:sz w:val="24"/>
          <w:szCs w:val="24"/>
        </w:rPr>
      </w:pPr>
      <w:bookmarkStart w:id="24" w:name="_Hlk4423032"/>
      <w:bookmarkEnd w:id="23"/>
      <w:r w:rsidRPr="001A3C9A">
        <w:rPr>
          <w:rFonts w:ascii="Arial" w:hAnsi="Arial" w:cs="Arial"/>
          <w:sz w:val="24"/>
          <w:szCs w:val="24"/>
        </w:rPr>
        <w:t>Th</w:t>
      </w:r>
      <w:r w:rsidR="00112416">
        <w:rPr>
          <w:rFonts w:ascii="Arial" w:hAnsi="Arial" w:cs="Arial"/>
          <w:sz w:val="24"/>
          <w:szCs w:val="24"/>
        </w:rPr>
        <w:t>e</w:t>
      </w:r>
      <w:r w:rsidRPr="001A3C9A">
        <w:rPr>
          <w:rFonts w:ascii="Arial" w:hAnsi="Arial" w:cs="Arial"/>
          <w:sz w:val="24"/>
          <w:szCs w:val="24"/>
        </w:rPr>
        <w:t xml:space="preserve"> Government has indicated that it will respond to the TWG recommendations in April</w:t>
      </w:r>
      <w:r w:rsidR="00DC56D1" w:rsidRPr="001A3C9A">
        <w:rPr>
          <w:rFonts w:ascii="Arial" w:hAnsi="Arial" w:cs="Arial"/>
          <w:sz w:val="24"/>
          <w:szCs w:val="24"/>
        </w:rPr>
        <w:t xml:space="preserve"> 2019. T</w:t>
      </w:r>
      <w:r w:rsidRPr="001A3C9A">
        <w:rPr>
          <w:rFonts w:ascii="Arial" w:hAnsi="Arial" w:cs="Arial"/>
          <w:sz w:val="24"/>
          <w:szCs w:val="24"/>
        </w:rPr>
        <w:t>his paper will form</w:t>
      </w:r>
      <w:r w:rsidR="001A3C9A" w:rsidRPr="001A3C9A">
        <w:rPr>
          <w:rFonts w:ascii="Arial" w:hAnsi="Arial" w:cs="Arial"/>
          <w:sz w:val="24"/>
          <w:szCs w:val="24"/>
        </w:rPr>
        <w:t xml:space="preserve"> the</w:t>
      </w:r>
      <w:r w:rsidRPr="001A3C9A">
        <w:rPr>
          <w:rFonts w:ascii="Arial" w:hAnsi="Arial" w:cs="Arial"/>
          <w:sz w:val="24"/>
          <w:szCs w:val="24"/>
        </w:rPr>
        <w:t xml:space="preserve"> basis of that response. </w:t>
      </w:r>
    </w:p>
    <w:bookmarkEnd w:id="24"/>
    <w:p w14:paraId="03582FAE" w14:textId="77777777" w:rsidR="004B6934" w:rsidRPr="005D421C" w:rsidRDefault="004B6934" w:rsidP="008C0B1C">
      <w:pPr>
        <w:pStyle w:val="Heading2"/>
        <w:numPr>
          <w:ilvl w:val="0"/>
          <w:numId w:val="0"/>
        </w:numPr>
        <w:jc w:val="both"/>
      </w:pPr>
      <w:r w:rsidRPr="005D421C">
        <w:t>Proactive Release</w:t>
      </w:r>
    </w:p>
    <w:p w14:paraId="6929E047" w14:textId="77777777" w:rsidR="004B6934" w:rsidRPr="000B4509" w:rsidRDefault="00551765"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5138FE" w:rsidRPr="000B4509">
        <w:rPr>
          <w:rFonts w:ascii="Arial" w:hAnsi="Arial" w:cs="Arial"/>
          <w:sz w:val="24"/>
          <w:szCs w:val="24"/>
        </w:rPr>
        <w:t xml:space="preserve"> propose to release th</w:t>
      </w:r>
      <w:r w:rsidR="00D60C00" w:rsidRPr="000B4509">
        <w:rPr>
          <w:rFonts w:ascii="Arial" w:hAnsi="Arial" w:cs="Arial"/>
          <w:sz w:val="24"/>
          <w:szCs w:val="24"/>
        </w:rPr>
        <w:t>is</w:t>
      </w:r>
      <w:r w:rsidR="005138FE" w:rsidRPr="000B4509">
        <w:rPr>
          <w:rFonts w:ascii="Arial" w:hAnsi="Arial" w:cs="Arial"/>
          <w:sz w:val="24"/>
          <w:szCs w:val="24"/>
        </w:rPr>
        <w:t xml:space="preserve"> paper proactively </w:t>
      </w:r>
      <w:r w:rsidR="00D60C00" w:rsidRPr="000B4509">
        <w:rPr>
          <w:rFonts w:ascii="Arial" w:hAnsi="Arial" w:cs="Arial"/>
          <w:sz w:val="24"/>
          <w:szCs w:val="24"/>
        </w:rPr>
        <w:t>with</w:t>
      </w:r>
      <w:r w:rsidR="00FC39A1">
        <w:rPr>
          <w:rFonts w:ascii="Arial" w:hAnsi="Arial" w:cs="Arial"/>
          <w:sz w:val="24"/>
          <w:szCs w:val="24"/>
        </w:rPr>
        <w:t>in</w:t>
      </w:r>
      <w:r w:rsidR="00D60C00" w:rsidRPr="000B4509">
        <w:rPr>
          <w:rFonts w:ascii="Arial" w:hAnsi="Arial" w:cs="Arial"/>
          <w:sz w:val="24"/>
          <w:szCs w:val="24"/>
        </w:rPr>
        <w:t xml:space="preserve"> 30 business days</w:t>
      </w:r>
      <w:r w:rsidR="005138FE" w:rsidRPr="000B4509">
        <w:rPr>
          <w:rFonts w:ascii="Arial" w:hAnsi="Arial" w:cs="Arial"/>
          <w:sz w:val="24"/>
          <w:szCs w:val="24"/>
        </w:rPr>
        <w:t xml:space="preserve"> subject to redaction as appropriate under the Official Information Act 1982. </w:t>
      </w:r>
    </w:p>
    <w:p w14:paraId="068DFB3C" w14:textId="77777777" w:rsidR="004B6934" w:rsidRPr="005D421C" w:rsidRDefault="004B6934" w:rsidP="008C0B1C">
      <w:pPr>
        <w:pStyle w:val="Heading2"/>
        <w:numPr>
          <w:ilvl w:val="0"/>
          <w:numId w:val="0"/>
        </w:numPr>
        <w:jc w:val="both"/>
      </w:pPr>
      <w:r w:rsidRPr="005D421C">
        <w:t>Recommendations</w:t>
      </w:r>
    </w:p>
    <w:p w14:paraId="0FEBCE71" w14:textId="77777777" w:rsidR="00E72449" w:rsidRPr="00E72449" w:rsidRDefault="00355A52" w:rsidP="00D11C7B">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sz w:val="24"/>
          <w:szCs w:val="24"/>
        </w:rPr>
        <w:t>We</w:t>
      </w:r>
      <w:r w:rsidR="00E72449">
        <w:rPr>
          <w:rFonts w:ascii="Arial" w:hAnsi="Arial" w:cs="Arial"/>
          <w:sz w:val="24"/>
          <w:szCs w:val="24"/>
        </w:rPr>
        <w:t xml:space="preserve"> recommend the Committee:</w:t>
      </w:r>
    </w:p>
    <w:p w14:paraId="645B8DE1" w14:textId="77777777" w:rsidR="00E72449" w:rsidRDefault="00E72449" w:rsidP="00D11C7B">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n</w:t>
      </w:r>
      <w:r w:rsidR="004F562C" w:rsidRPr="004F562C">
        <w:rPr>
          <w:rFonts w:ascii="Arial" w:hAnsi="Arial" w:cs="Arial"/>
          <w:b/>
          <w:sz w:val="24"/>
          <w:szCs w:val="24"/>
        </w:rPr>
        <w:t>ote</w:t>
      </w:r>
      <w:r w:rsidR="004F562C">
        <w:rPr>
          <w:rFonts w:ascii="Arial" w:hAnsi="Arial" w:cs="Arial"/>
          <w:sz w:val="24"/>
          <w:szCs w:val="24"/>
        </w:rPr>
        <w:t xml:space="preserve"> that th</w:t>
      </w:r>
      <w:r>
        <w:rPr>
          <w:rFonts w:ascii="Arial" w:hAnsi="Arial" w:cs="Arial"/>
          <w:sz w:val="24"/>
          <w:szCs w:val="24"/>
        </w:rPr>
        <w:t>is paper reports to Cabinet on the recommendations made in the Tax</w:t>
      </w:r>
      <w:r w:rsidR="004F562C">
        <w:rPr>
          <w:rFonts w:ascii="Arial" w:hAnsi="Arial" w:cs="Arial"/>
          <w:sz w:val="24"/>
          <w:szCs w:val="24"/>
        </w:rPr>
        <w:t xml:space="preserve"> </w:t>
      </w:r>
      <w:r>
        <w:rPr>
          <w:rFonts w:ascii="Arial" w:hAnsi="Arial" w:cs="Arial"/>
          <w:sz w:val="24"/>
          <w:szCs w:val="24"/>
        </w:rPr>
        <w:t>Working Group Final Report provided to Government on 21 February 2019</w:t>
      </w:r>
      <w:r w:rsidR="00B679F5">
        <w:rPr>
          <w:rFonts w:ascii="Arial" w:hAnsi="Arial" w:cs="Arial"/>
          <w:sz w:val="24"/>
          <w:szCs w:val="24"/>
        </w:rPr>
        <w:t>;</w:t>
      </w:r>
    </w:p>
    <w:p w14:paraId="275EDFDC" w14:textId="77777777" w:rsidR="001B500D" w:rsidRDefault="00E72449" w:rsidP="00D11C7B">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n</w:t>
      </w:r>
      <w:r w:rsidR="001B500D">
        <w:rPr>
          <w:rFonts w:ascii="Arial" w:hAnsi="Arial" w:cs="Arial"/>
          <w:b/>
          <w:sz w:val="24"/>
          <w:szCs w:val="24"/>
        </w:rPr>
        <w:t xml:space="preserve">ote </w:t>
      </w:r>
      <w:r w:rsidR="001B500D" w:rsidRPr="001B500D">
        <w:rPr>
          <w:rFonts w:ascii="Arial" w:hAnsi="Arial" w:cs="Arial"/>
          <w:sz w:val="24"/>
          <w:szCs w:val="24"/>
        </w:rPr>
        <w:t xml:space="preserve">the </w:t>
      </w:r>
      <w:r>
        <w:rPr>
          <w:rFonts w:ascii="Arial" w:hAnsi="Arial" w:cs="Arial"/>
          <w:sz w:val="24"/>
          <w:szCs w:val="24"/>
        </w:rPr>
        <w:t>appended</w:t>
      </w:r>
      <w:r w:rsidR="001B500D" w:rsidRPr="001B500D">
        <w:rPr>
          <w:rFonts w:ascii="Arial" w:hAnsi="Arial" w:cs="Arial"/>
          <w:sz w:val="24"/>
          <w:szCs w:val="24"/>
        </w:rPr>
        <w:t xml:space="preserve"> table outlining each </w:t>
      </w:r>
      <w:r>
        <w:rPr>
          <w:rFonts w:ascii="Arial" w:hAnsi="Arial" w:cs="Arial"/>
          <w:sz w:val="24"/>
          <w:szCs w:val="24"/>
        </w:rPr>
        <w:t xml:space="preserve">Tax Working Group </w:t>
      </w:r>
      <w:r w:rsidR="001B500D" w:rsidRPr="001B500D">
        <w:rPr>
          <w:rFonts w:ascii="Arial" w:hAnsi="Arial" w:cs="Arial"/>
          <w:sz w:val="24"/>
          <w:szCs w:val="24"/>
        </w:rPr>
        <w:t>recommendation and the proposed Government response</w:t>
      </w:r>
      <w:r w:rsidR="00B679F5">
        <w:rPr>
          <w:rFonts w:ascii="Arial" w:hAnsi="Arial" w:cs="Arial"/>
          <w:sz w:val="24"/>
          <w:szCs w:val="24"/>
        </w:rPr>
        <w:t>;</w:t>
      </w:r>
    </w:p>
    <w:p w14:paraId="7DBEBCB5" w14:textId="77777777" w:rsidR="00F452B6" w:rsidRPr="00146B87" w:rsidRDefault="00F452B6" w:rsidP="00146B87">
      <w:pPr>
        <w:spacing w:after="240" w:line="240" w:lineRule="auto"/>
        <w:ind w:left="720"/>
        <w:jc w:val="both"/>
        <w:rPr>
          <w:rFonts w:ascii="Arial" w:hAnsi="Arial" w:cs="Arial"/>
          <w:b/>
          <w:i/>
          <w:sz w:val="24"/>
          <w:szCs w:val="24"/>
        </w:rPr>
      </w:pPr>
      <w:r>
        <w:rPr>
          <w:rFonts w:ascii="Arial" w:hAnsi="Arial" w:cs="Arial"/>
          <w:b/>
          <w:i/>
          <w:sz w:val="24"/>
          <w:szCs w:val="24"/>
        </w:rPr>
        <w:t>Capital gains taxation</w:t>
      </w:r>
    </w:p>
    <w:p w14:paraId="195A5807" w14:textId="77777777" w:rsidR="00D14363" w:rsidRPr="00B42D4C" w:rsidRDefault="00D14363" w:rsidP="00D14363">
      <w:pPr>
        <w:pStyle w:val="ListParagraph"/>
        <w:numPr>
          <w:ilvl w:val="2"/>
          <w:numId w:val="18"/>
        </w:numPr>
        <w:spacing w:after="240" w:line="240" w:lineRule="auto"/>
        <w:contextualSpacing w:val="0"/>
        <w:jc w:val="both"/>
        <w:rPr>
          <w:rFonts w:ascii="Arial" w:hAnsi="Arial" w:cs="Arial"/>
          <w:b/>
          <w:sz w:val="24"/>
          <w:szCs w:val="24"/>
        </w:rPr>
      </w:pPr>
      <w:bookmarkStart w:id="25" w:name="_Hlk4751022"/>
      <w:r>
        <w:rPr>
          <w:rFonts w:ascii="Arial" w:hAnsi="Arial" w:cs="Arial"/>
          <w:b/>
          <w:sz w:val="24"/>
          <w:szCs w:val="24"/>
        </w:rPr>
        <w:t>a</w:t>
      </w:r>
      <w:r w:rsidRPr="002B3C84">
        <w:rPr>
          <w:rFonts w:ascii="Arial" w:hAnsi="Arial" w:cs="Arial"/>
          <w:b/>
          <w:sz w:val="24"/>
          <w:szCs w:val="24"/>
        </w:rPr>
        <w:t>gree</w:t>
      </w:r>
      <w:r>
        <w:rPr>
          <w:rFonts w:ascii="Arial" w:hAnsi="Arial" w:cs="Arial"/>
          <w:b/>
          <w:sz w:val="24"/>
          <w:szCs w:val="24"/>
        </w:rPr>
        <w:t xml:space="preserve"> </w:t>
      </w:r>
      <w:r>
        <w:rPr>
          <w:rFonts w:ascii="Arial" w:hAnsi="Arial" w:cs="Arial"/>
          <w:sz w:val="24"/>
          <w:szCs w:val="24"/>
        </w:rPr>
        <w:t>to</w:t>
      </w:r>
      <w:r w:rsidR="004C5D80">
        <w:rPr>
          <w:rFonts w:ascii="Arial" w:hAnsi="Arial" w:cs="Arial"/>
          <w:sz w:val="24"/>
          <w:szCs w:val="24"/>
        </w:rPr>
        <w:t xml:space="preserve"> not</w:t>
      </w:r>
      <w:r>
        <w:rPr>
          <w:rFonts w:ascii="Arial" w:hAnsi="Arial" w:cs="Arial"/>
          <w:sz w:val="24"/>
          <w:szCs w:val="24"/>
        </w:rPr>
        <w:t xml:space="preserve"> </w:t>
      </w:r>
      <w:r w:rsidRPr="005E4F6F">
        <w:rPr>
          <w:rFonts w:ascii="Arial" w:hAnsi="Arial" w:cs="Arial"/>
          <w:sz w:val="24"/>
          <w:szCs w:val="24"/>
        </w:rPr>
        <w:t>implement a</w:t>
      </w:r>
      <w:r>
        <w:rPr>
          <w:rFonts w:ascii="Arial" w:hAnsi="Arial" w:cs="Arial"/>
          <w:sz w:val="24"/>
          <w:szCs w:val="24"/>
        </w:rPr>
        <w:t>n</w:t>
      </w:r>
      <w:r w:rsidRPr="005E4F6F">
        <w:rPr>
          <w:rFonts w:ascii="Arial" w:hAnsi="Arial" w:cs="Arial"/>
          <w:sz w:val="24"/>
          <w:szCs w:val="24"/>
        </w:rPr>
        <w:t xml:space="preserve"> extension of capital </w:t>
      </w:r>
      <w:r>
        <w:rPr>
          <w:rFonts w:ascii="Arial" w:hAnsi="Arial" w:cs="Arial"/>
          <w:sz w:val="24"/>
          <w:szCs w:val="24"/>
        </w:rPr>
        <w:t>gains</w:t>
      </w:r>
      <w:r w:rsidRPr="005E4F6F">
        <w:rPr>
          <w:rFonts w:ascii="Arial" w:hAnsi="Arial" w:cs="Arial"/>
          <w:sz w:val="24"/>
          <w:szCs w:val="24"/>
        </w:rPr>
        <w:t xml:space="preserve"> taxation</w:t>
      </w:r>
      <w:r w:rsidR="006F5133">
        <w:rPr>
          <w:rFonts w:ascii="Arial" w:hAnsi="Arial" w:cs="Arial"/>
          <w:sz w:val="24"/>
          <w:szCs w:val="24"/>
        </w:rPr>
        <w:t>;</w:t>
      </w:r>
    </w:p>
    <w:p w14:paraId="39EFCA27" w14:textId="77777777" w:rsidR="006F5133" w:rsidRPr="00F66762" w:rsidRDefault="006F5133" w:rsidP="00D14363">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note</w:t>
      </w:r>
      <w:r>
        <w:rPr>
          <w:rFonts w:ascii="Arial" w:hAnsi="Arial" w:cs="Arial"/>
          <w:sz w:val="24"/>
          <w:szCs w:val="24"/>
        </w:rPr>
        <w:t xml:space="preserve"> that, consistent with the appended table, t</w:t>
      </w:r>
      <w:r w:rsidRPr="006F5133">
        <w:rPr>
          <w:rFonts w:ascii="Arial" w:hAnsi="Arial" w:cs="Arial"/>
          <w:sz w:val="24"/>
          <w:szCs w:val="24"/>
        </w:rPr>
        <w:t>he Government intends to explore options for taxing vacant land held by land-bankers and seek a review of the current rules of taxing land speculators as a high priority for the work programme (TPWP)</w:t>
      </w:r>
      <w:r>
        <w:rPr>
          <w:rFonts w:ascii="Arial" w:hAnsi="Arial" w:cs="Arial"/>
          <w:sz w:val="24"/>
          <w:szCs w:val="24"/>
        </w:rPr>
        <w:t>;</w:t>
      </w:r>
    </w:p>
    <w:p w14:paraId="7BF3C76B" w14:textId="28AC7980" w:rsidR="006744F6" w:rsidRPr="002B3C84" w:rsidRDefault="006744F6" w:rsidP="00D14363">
      <w:pPr>
        <w:pStyle w:val="ListParagraph"/>
        <w:numPr>
          <w:ilvl w:val="2"/>
          <w:numId w:val="18"/>
        </w:numPr>
        <w:spacing w:after="240" w:line="240" w:lineRule="auto"/>
        <w:contextualSpacing w:val="0"/>
        <w:jc w:val="both"/>
        <w:rPr>
          <w:rFonts w:ascii="Arial" w:hAnsi="Arial" w:cs="Arial"/>
          <w:b/>
          <w:sz w:val="24"/>
          <w:szCs w:val="24"/>
        </w:rPr>
      </w:pPr>
      <w:r>
        <w:rPr>
          <w:rFonts w:ascii="Arial" w:hAnsi="Arial" w:cs="Arial"/>
          <w:b/>
          <w:sz w:val="24"/>
          <w:szCs w:val="24"/>
        </w:rPr>
        <w:t xml:space="preserve">note </w:t>
      </w:r>
      <w:r>
        <w:rPr>
          <w:rFonts w:ascii="Arial" w:hAnsi="Arial" w:cs="Arial"/>
          <w:sz w:val="24"/>
          <w:szCs w:val="24"/>
        </w:rPr>
        <w:t>that as part of this work, we accept the recommendations of the TWG and intend to direct the Productivity Commission to consider the issue of vacant land taxes as part of its inquiry into local government funding and financing.</w:t>
      </w:r>
    </w:p>
    <w:bookmarkEnd w:id="25"/>
    <w:p w14:paraId="3F2B0A31" w14:textId="77777777" w:rsidR="00F452B6" w:rsidRPr="00146B87" w:rsidRDefault="00F452B6" w:rsidP="00146B87">
      <w:pPr>
        <w:spacing w:after="240" w:line="240" w:lineRule="auto"/>
        <w:ind w:left="720"/>
        <w:jc w:val="both"/>
        <w:rPr>
          <w:rFonts w:ascii="Arial" w:hAnsi="Arial" w:cs="Arial"/>
          <w:b/>
          <w:i/>
          <w:sz w:val="24"/>
          <w:szCs w:val="24"/>
        </w:rPr>
      </w:pPr>
      <w:r>
        <w:rPr>
          <w:rFonts w:ascii="Arial" w:hAnsi="Arial" w:cs="Arial"/>
          <w:b/>
          <w:i/>
          <w:sz w:val="24"/>
          <w:szCs w:val="24"/>
        </w:rPr>
        <w:t>Approach to other recommendations</w:t>
      </w:r>
    </w:p>
    <w:p w14:paraId="7132D356" w14:textId="77777777" w:rsidR="005B0A78" w:rsidRDefault="00E72449"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a</w:t>
      </w:r>
      <w:r w:rsidR="009F0342">
        <w:rPr>
          <w:rFonts w:ascii="Arial" w:hAnsi="Arial" w:cs="Arial"/>
          <w:b/>
          <w:sz w:val="24"/>
          <w:szCs w:val="24"/>
        </w:rPr>
        <w:t xml:space="preserve">gree </w:t>
      </w:r>
      <w:r w:rsidR="00355A52">
        <w:rPr>
          <w:rFonts w:ascii="Arial" w:hAnsi="Arial" w:cs="Arial"/>
          <w:sz w:val="24"/>
          <w:szCs w:val="24"/>
        </w:rPr>
        <w:t>to endorse t</w:t>
      </w:r>
      <w:r w:rsidR="00355A52" w:rsidRPr="005B0A78">
        <w:rPr>
          <w:rFonts w:ascii="Arial" w:hAnsi="Arial" w:cs="Arial"/>
          <w:sz w:val="24"/>
          <w:szCs w:val="24"/>
        </w:rPr>
        <w:t xml:space="preserve">he </w:t>
      </w:r>
      <w:r w:rsidR="00355A52">
        <w:rPr>
          <w:rFonts w:ascii="Arial" w:hAnsi="Arial" w:cs="Arial"/>
          <w:sz w:val="24"/>
          <w:szCs w:val="24"/>
        </w:rPr>
        <w:t xml:space="preserve">Tax Working Group </w:t>
      </w:r>
      <w:r w:rsidR="00355A52" w:rsidRPr="005B0A78">
        <w:rPr>
          <w:rFonts w:ascii="Arial" w:hAnsi="Arial" w:cs="Arial"/>
          <w:sz w:val="24"/>
          <w:szCs w:val="24"/>
        </w:rPr>
        <w:t>recomm</w:t>
      </w:r>
      <w:r w:rsidR="00355A52">
        <w:rPr>
          <w:rFonts w:ascii="Arial" w:hAnsi="Arial" w:cs="Arial"/>
          <w:sz w:val="24"/>
          <w:szCs w:val="24"/>
        </w:rPr>
        <w:t>endations</w:t>
      </w:r>
      <w:r w:rsidR="00551765">
        <w:rPr>
          <w:rFonts w:ascii="Arial" w:hAnsi="Arial" w:cs="Arial"/>
          <w:sz w:val="24"/>
          <w:szCs w:val="24"/>
        </w:rPr>
        <w:t xml:space="preserve"> where that is the proposed response </w:t>
      </w:r>
      <w:r w:rsidR="00C46970">
        <w:rPr>
          <w:rFonts w:ascii="Arial" w:hAnsi="Arial" w:cs="Arial"/>
          <w:sz w:val="24"/>
          <w:szCs w:val="24"/>
        </w:rPr>
        <w:t xml:space="preserve">indicated </w:t>
      </w:r>
      <w:r w:rsidR="00803FC5">
        <w:rPr>
          <w:rFonts w:ascii="Arial" w:hAnsi="Arial" w:cs="Arial"/>
          <w:sz w:val="24"/>
          <w:szCs w:val="24"/>
        </w:rPr>
        <w:t>in the appended table</w:t>
      </w:r>
      <w:r w:rsidR="002B3995">
        <w:rPr>
          <w:rFonts w:ascii="Arial" w:hAnsi="Arial" w:cs="Arial"/>
          <w:sz w:val="24"/>
          <w:szCs w:val="24"/>
        </w:rPr>
        <w:t>;</w:t>
      </w:r>
    </w:p>
    <w:p w14:paraId="45E28CC4" w14:textId="77777777" w:rsidR="00355A52" w:rsidRDefault="00355A52"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 xml:space="preserve">agree </w:t>
      </w:r>
      <w:r>
        <w:rPr>
          <w:rFonts w:ascii="Arial" w:hAnsi="Arial" w:cs="Arial"/>
          <w:sz w:val="24"/>
          <w:szCs w:val="24"/>
        </w:rPr>
        <w:t>that no further work is required on t</w:t>
      </w:r>
      <w:r w:rsidRPr="005B0A78">
        <w:rPr>
          <w:rFonts w:ascii="Arial" w:hAnsi="Arial" w:cs="Arial"/>
          <w:sz w:val="24"/>
          <w:szCs w:val="24"/>
        </w:rPr>
        <w:t xml:space="preserve">he </w:t>
      </w:r>
      <w:r>
        <w:rPr>
          <w:rFonts w:ascii="Arial" w:hAnsi="Arial" w:cs="Arial"/>
          <w:sz w:val="24"/>
          <w:szCs w:val="24"/>
        </w:rPr>
        <w:t xml:space="preserve">Tax Working Group </w:t>
      </w:r>
      <w:r w:rsidRPr="005B0A78">
        <w:rPr>
          <w:rFonts w:ascii="Arial" w:hAnsi="Arial" w:cs="Arial"/>
          <w:sz w:val="24"/>
          <w:szCs w:val="24"/>
        </w:rPr>
        <w:t>recomm</w:t>
      </w:r>
      <w:r>
        <w:rPr>
          <w:rFonts w:ascii="Arial" w:hAnsi="Arial" w:cs="Arial"/>
          <w:sz w:val="24"/>
          <w:szCs w:val="24"/>
        </w:rPr>
        <w:t xml:space="preserve">endations </w:t>
      </w:r>
      <w:r w:rsidR="00551765">
        <w:rPr>
          <w:rFonts w:ascii="Arial" w:hAnsi="Arial" w:cs="Arial"/>
          <w:sz w:val="24"/>
          <w:szCs w:val="24"/>
        </w:rPr>
        <w:t xml:space="preserve">where that is the proposed response </w:t>
      </w:r>
      <w:r>
        <w:rPr>
          <w:rFonts w:ascii="Arial" w:hAnsi="Arial" w:cs="Arial"/>
          <w:sz w:val="24"/>
          <w:szCs w:val="24"/>
        </w:rPr>
        <w:t>indicated in the appended table</w:t>
      </w:r>
      <w:r w:rsidR="002B3995">
        <w:rPr>
          <w:rFonts w:ascii="Arial" w:hAnsi="Arial" w:cs="Arial"/>
          <w:sz w:val="24"/>
          <w:szCs w:val="24"/>
        </w:rPr>
        <w:t>;</w:t>
      </w:r>
    </w:p>
    <w:p w14:paraId="1F3F253B" w14:textId="77777777" w:rsidR="00355A52" w:rsidRDefault="00355A52"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 xml:space="preserve">note </w:t>
      </w:r>
      <w:r>
        <w:rPr>
          <w:rFonts w:ascii="Arial" w:hAnsi="Arial" w:cs="Arial"/>
          <w:sz w:val="24"/>
          <w:szCs w:val="24"/>
        </w:rPr>
        <w:t>the</w:t>
      </w:r>
      <w:r>
        <w:rPr>
          <w:rFonts w:ascii="Arial" w:hAnsi="Arial" w:cs="Arial"/>
          <w:b/>
          <w:sz w:val="24"/>
          <w:szCs w:val="24"/>
        </w:rPr>
        <w:t xml:space="preserve"> </w:t>
      </w:r>
      <w:r w:rsidRPr="00355A52">
        <w:rPr>
          <w:rFonts w:ascii="Arial" w:hAnsi="Arial" w:cs="Arial"/>
          <w:sz w:val="24"/>
          <w:szCs w:val="24"/>
        </w:rPr>
        <w:t>work already underway</w:t>
      </w:r>
      <w:r>
        <w:rPr>
          <w:rFonts w:ascii="Arial" w:hAnsi="Arial" w:cs="Arial"/>
          <w:b/>
          <w:sz w:val="24"/>
          <w:szCs w:val="24"/>
        </w:rPr>
        <w:t xml:space="preserve"> </w:t>
      </w:r>
      <w:r>
        <w:rPr>
          <w:rFonts w:ascii="Arial" w:hAnsi="Arial" w:cs="Arial"/>
          <w:sz w:val="24"/>
          <w:szCs w:val="24"/>
        </w:rPr>
        <w:t>on t</w:t>
      </w:r>
      <w:r w:rsidRPr="005B0A78">
        <w:rPr>
          <w:rFonts w:ascii="Arial" w:hAnsi="Arial" w:cs="Arial"/>
          <w:sz w:val="24"/>
          <w:szCs w:val="24"/>
        </w:rPr>
        <w:t xml:space="preserve">he </w:t>
      </w:r>
      <w:r>
        <w:rPr>
          <w:rFonts w:ascii="Arial" w:hAnsi="Arial" w:cs="Arial"/>
          <w:sz w:val="24"/>
          <w:szCs w:val="24"/>
        </w:rPr>
        <w:t xml:space="preserve">Tax Working Group </w:t>
      </w:r>
      <w:r w:rsidRPr="005B0A78">
        <w:rPr>
          <w:rFonts w:ascii="Arial" w:hAnsi="Arial" w:cs="Arial"/>
          <w:sz w:val="24"/>
          <w:szCs w:val="24"/>
        </w:rPr>
        <w:t>recomm</w:t>
      </w:r>
      <w:r>
        <w:rPr>
          <w:rFonts w:ascii="Arial" w:hAnsi="Arial" w:cs="Arial"/>
          <w:sz w:val="24"/>
          <w:szCs w:val="24"/>
        </w:rPr>
        <w:t xml:space="preserve">endations </w:t>
      </w:r>
      <w:r w:rsidR="00551765">
        <w:rPr>
          <w:rFonts w:ascii="Arial" w:hAnsi="Arial" w:cs="Arial"/>
          <w:sz w:val="24"/>
          <w:szCs w:val="24"/>
        </w:rPr>
        <w:t xml:space="preserve">where that is the proposed response </w:t>
      </w:r>
      <w:r>
        <w:rPr>
          <w:rFonts w:ascii="Arial" w:hAnsi="Arial" w:cs="Arial"/>
          <w:sz w:val="24"/>
          <w:szCs w:val="24"/>
        </w:rPr>
        <w:t>indicated in the appended table</w:t>
      </w:r>
      <w:r w:rsidR="002B3995">
        <w:rPr>
          <w:rFonts w:ascii="Arial" w:hAnsi="Arial" w:cs="Arial"/>
          <w:sz w:val="24"/>
          <w:szCs w:val="24"/>
        </w:rPr>
        <w:t>;</w:t>
      </w:r>
    </w:p>
    <w:p w14:paraId="5483FCBC" w14:textId="77777777" w:rsidR="00355A52" w:rsidRDefault="00355A52"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 xml:space="preserve">agree </w:t>
      </w:r>
      <w:r w:rsidRPr="00355A52">
        <w:rPr>
          <w:rFonts w:ascii="Arial" w:hAnsi="Arial" w:cs="Arial"/>
          <w:sz w:val="24"/>
          <w:szCs w:val="24"/>
        </w:rPr>
        <w:t xml:space="preserve">to consider for </w:t>
      </w:r>
      <w:r>
        <w:rPr>
          <w:rFonts w:ascii="Arial" w:hAnsi="Arial" w:cs="Arial"/>
          <w:sz w:val="24"/>
          <w:szCs w:val="24"/>
        </w:rPr>
        <w:t xml:space="preserve">inclusion in the 2019/20 </w:t>
      </w:r>
      <w:r w:rsidRPr="00355A52">
        <w:rPr>
          <w:rFonts w:ascii="Arial" w:hAnsi="Arial" w:cs="Arial"/>
          <w:sz w:val="24"/>
          <w:szCs w:val="24"/>
        </w:rPr>
        <w:t>Tax Policy Work Programme</w:t>
      </w:r>
      <w:r w:rsidR="00785A68">
        <w:rPr>
          <w:rFonts w:ascii="Arial" w:hAnsi="Arial" w:cs="Arial"/>
          <w:sz w:val="24"/>
          <w:szCs w:val="24"/>
        </w:rPr>
        <w:t xml:space="preserve"> and/</w:t>
      </w:r>
      <w:r w:rsidR="00444F03">
        <w:rPr>
          <w:rFonts w:ascii="Arial" w:hAnsi="Arial" w:cs="Arial"/>
          <w:sz w:val="24"/>
          <w:szCs w:val="24"/>
        </w:rPr>
        <w:t>or other agency work programme</w:t>
      </w:r>
      <w:r w:rsidR="00403B5A">
        <w:rPr>
          <w:rFonts w:ascii="Arial" w:hAnsi="Arial" w:cs="Arial"/>
          <w:sz w:val="24"/>
          <w:szCs w:val="24"/>
        </w:rPr>
        <w:t>,</w:t>
      </w:r>
      <w:r w:rsidR="00444F03">
        <w:rPr>
          <w:rFonts w:ascii="Arial" w:hAnsi="Arial" w:cs="Arial"/>
          <w:sz w:val="24"/>
          <w:szCs w:val="24"/>
        </w:rPr>
        <w:t xml:space="preserve"> </w:t>
      </w:r>
      <w:r>
        <w:rPr>
          <w:rFonts w:ascii="Arial" w:hAnsi="Arial" w:cs="Arial"/>
          <w:sz w:val="24"/>
          <w:szCs w:val="24"/>
        </w:rPr>
        <w:t>t</w:t>
      </w:r>
      <w:r w:rsidRPr="005B0A78">
        <w:rPr>
          <w:rFonts w:ascii="Arial" w:hAnsi="Arial" w:cs="Arial"/>
          <w:sz w:val="24"/>
          <w:szCs w:val="24"/>
        </w:rPr>
        <w:t xml:space="preserve">he </w:t>
      </w:r>
      <w:r>
        <w:rPr>
          <w:rFonts w:ascii="Arial" w:hAnsi="Arial" w:cs="Arial"/>
          <w:sz w:val="24"/>
          <w:szCs w:val="24"/>
        </w:rPr>
        <w:t>Tax Working Group</w:t>
      </w:r>
      <w:r w:rsidR="00444F03">
        <w:rPr>
          <w:rFonts w:ascii="Arial" w:hAnsi="Arial" w:cs="Arial"/>
          <w:sz w:val="24"/>
          <w:szCs w:val="24"/>
        </w:rPr>
        <w:t xml:space="preserve"> </w:t>
      </w:r>
      <w:r w:rsidRPr="005B0A78">
        <w:rPr>
          <w:rFonts w:ascii="Arial" w:hAnsi="Arial" w:cs="Arial"/>
          <w:sz w:val="24"/>
          <w:szCs w:val="24"/>
        </w:rPr>
        <w:t>recomm</w:t>
      </w:r>
      <w:r>
        <w:rPr>
          <w:rFonts w:ascii="Arial" w:hAnsi="Arial" w:cs="Arial"/>
          <w:sz w:val="24"/>
          <w:szCs w:val="24"/>
        </w:rPr>
        <w:t xml:space="preserve">endations </w:t>
      </w:r>
      <w:r w:rsidR="00551765">
        <w:rPr>
          <w:rFonts w:ascii="Arial" w:hAnsi="Arial" w:cs="Arial"/>
          <w:sz w:val="24"/>
          <w:szCs w:val="24"/>
        </w:rPr>
        <w:t xml:space="preserve">where that is the proposed response </w:t>
      </w:r>
      <w:r>
        <w:rPr>
          <w:rFonts w:ascii="Arial" w:hAnsi="Arial" w:cs="Arial"/>
          <w:sz w:val="24"/>
          <w:szCs w:val="24"/>
        </w:rPr>
        <w:t>indicated in the appended table</w:t>
      </w:r>
      <w:r w:rsidR="002B3995">
        <w:rPr>
          <w:rFonts w:ascii="Arial" w:hAnsi="Arial" w:cs="Arial"/>
          <w:sz w:val="24"/>
          <w:szCs w:val="24"/>
        </w:rPr>
        <w:t>;</w:t>
      </w:r>
    </w:p>
    <w:p w14:paraId="668389E4" w14:textId="77777777" w:rsidR="00355A52" w:rsidRDefault="00355A52"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 xml:space="preserve">agree </w:t>
      </w:r>
      <w:r w:rsidR="00403B5A" w:rsidRPr="00355A52">
        <w:rPr>
          <w:rFonts w:ascii="Arial" w:hAnsi="Arial" w:cs="Arial"/>
          <w:sz w:val="24"/>
          <w:szCs w:val="24"/>
        </w:rPr>
        <w:t xml:space="preserve">to </w:t>
      </w:r>
      <w:r w:rsidR="003A03F9" w:rsidRPr="003A03F9">
        <w:rPr>
          <w:rFonts w:ascii="Arial" w:hAnsi="Arial" w:cs="Arial"/>
          <w:sz w:val="24"/>
          <w:szCs w:val="24"/>
        </w:rPr>
        <w:t>consider</w:t>
      </w:r>
      <w:r w:rsidR="003A03F9">
        <w:rPr>
          <w:rFonts w:ascii="Arial" w:hAnsi="Arial" w:cs="Arial"/>
          <w:sz w:val="24"/>
          <w:szCs w:val="24"/>
        </w:rPr>
        <w:t xml:space="preserve"> </w:t>
      </w:r>
      <w:r w:rsidR="003A03F9" w:rsidRPr="003A03F9">
        <w:rPr>
          <w:rFonts w:ascii="Arial" w:hAnsi="Arial" w:cs="Arial"/>
          <w:sz w:val="24"/>
          <w:szCs w:val="24"/>
        </w:rPr>
        <w:t xml:space="preserve">as a high priority </w:t>
      </w:r>
      <w:r w:rsidR="00403B5A" w:rsidRPr="00355A52">
        <w:rPr>
          <w:rFonts w:ascii="Arial" w:hAnsi="Arial" w:cs="Arial"/>
          <w:sz w:val="24"/>
          <w:szCs w:val="24"/>
        </w:rPr>
        <w:t xml:space="preserve">for </w:t>
      </w:r>
      <w:r w:rsidR="00403B5A">
        <w:rPr>
          <w:rFonts w:ascii="Arial" w:hAnsi="Arial" w:cs="Arial"/>
          <w:sz w:val="24"/>
          <w:szCs w:val="24"/>
        </w:rPr>
        <w:t xml:space="preserve">inclusion in the 2019/20 </w:t>
      </w:r>
      <w:r w:rsidR="00403B5A" w:rsidRPr="00355A52">
        <w:rPr>
          <w:rFonts w:ascii="Arial" w:hAnsi="Arial" w:cs="Arial"/>
          <w:sz w:val="24"/>
          <w:szCs w:val="24"/>
        </w:rPr>
        <w:t>Tax Policy Work Programme</w:t>
      </w:r>
      <w:r w:rsidR="00785A68">
        <w:rPr>
          <w:rFonts w:ascii="Arial" w:hAnsi="Arial" w:cs="Arial"/>
          <w:sz w:val="24"/>
          <w:szCs w:val="24"/>
        </w:rPr>
        <w:t xml:space="preserve"> and/</w:t>
      </w:r>
      <w:r w:rsidR="00403B5A">
        <w:rPr>
          <w:rFonts w:ascii="Arial" w:hAnsi="Arial" w:cs="Arial"/>
          <w:sz w:val="24"/>
          <w:szCs w:val="24"/>
        </w:rPr>
        <w:t>or other agency work programme, t</w:t>
      </w:r>
      <w:r w:rsidR="00403B5A" w:rsidRPr="005B0A78">
        <w:rPr>
          <w:rFonts w:ascii="Arial" w:hAnsi="Arial" w:cs="Arial"/>
          <w:sz w:val="24"/>
          <w:szCs w:val="24"/>
        </w:rPr>
        <w:t xml:space="preserve">he </w:t>
      </w:r>
      <w:r w:rsidR="00403B5A">
        <w:rPr>
          <w:rFonts w:ascii="Arial" w:hAnsi="Arial" w:cs="Arial"/>
          <w:sz w:val="24"/>
          <w:szCs w:val="24"/>
        </w:rPr>
        <w:t xml:space="preserve">Tax Working Group </w:t>
      </w:r>
      <w:r w:rsidR="00403B5A" w:rsidRPr="005B0A78">
        <w:rPr>
          <w:rFonts w:ascii="Arial" w:hAnsi="Arial" w:cs="Arial"/>
          <w:sz w:val="24"/>
          <w:szCs w:val="24"/>
        </w:rPr>
        <w:t>recomm</w:t>
      </w:r>
      <w:r w:rsidR="00403B5A">
        <w:rPr>
          <w:rFonts w:ascii="Arial" w:hAnsi="Arial" w:cs="Arial"/>
          <w:sz w:val="24"/>
          <w:szCs w:val="24"/>
        </w:rPr>
        <w:t>endations where that is the proposed response indicated in the appended table</w:t>
      </w:r>
      <w:r w:rsidR="002B3995">
        <w:rPr>
          <w:rFonts w:ascii="Arial" w:hAnsi="Arial" w:cs="Arial"/>
          <w:sz w:val="24"/>
          <w:szCs w:val="24"/>
        </w:rPr>
        <w:t>;</w:t>
      </w:r>
    </w:p>
    <w:p w14:paraId="5F4DE89C" w14:textId="77777777" w:rsidR="00036AB1" w:rsidRDefault="00036AB1" w:rsidP="00146B87">
      <w:pPr>
        <w:pStyle w:val="ListParagraph"/>
        <w:numPr>
          <w:ilvl w:val="2"/>
          <w:numId w:val="18"/>
        </w:numPr>
        <w:spacing w:after="240" w:line="240" w:lineRule="auto"/>
        <w:contextualSpacing w:val="0"/>
        <w:jc w:val="both"/>
        <w:rPr>
          <w:rFonts w:ascii="Arial" w:hAnsi="Arial" w:cs="Arial"/>
          <w:sz w:val="24"/>
          <w:szCs w:val="24"/>
        </w:rPr>
      </w:pPr>
      <w:r w:rsidRPr="00B42D4C">
        <w:rPr>
          <w:rFonts w:ascii="Arial" w:hAnsi="Arial" w:cs="Arial"/>
          <w:b/>
          <w:sz w:val="24"/>
          <w:szCs w:val="24"/>
        </w:rPr>
        <w:t>note</w:t>
      </w:r>
      <w:r>
        <w:rPr>
          <w:rFonts w:ascii="Arial" w:hAnsi="Arial" w:cs="Arial"/>
          <w:sz w:val="24"/>
          <w:szCs w:val="24"/>
        </w:rPr>
        <w:t xml:space="preserve"> that t</w:t>
      </w:r>
      <w:r w:rsidRPr="00036AB1">
        <w:rPr>
          <w:rFonts w:ascii="Arial" w:hAnsi="Arial" w:cs="Arial"/>
          <w:sz w:val="24"/>
          <w:szCs w:val="24"/>
        </w:rPr>
        <w:t>he tax policy work programme is jointly agreed by the Minister of Finance and the Minister of Revenue and this process includes taking the proposed programme to Cabinet</w:t>
      </w:r>
      <w:r>
        <w:rPr>
          <w:rFonts w:ascii="Arial" w:hAnsi="Arial" w:cs="Arial"/>
          <w:sz w:val="24"/>
          <w:szCs w:val="24"/>
        </w:rPr>
        <w:t>;</w:t>
      </w:r>
    </w:p>
    <w:p w14:paraId="4AE1A162" w14:textId="77777777" w:rsidR="00436D62" w:rsidRDefault="00436D62" w:rsidP="00146B87">
      <w:pPr>
        <w:pStyle w:val="ListParagraph"/>
        <w:numPr>
          <w:ilvl w:val="2"/>
          <w:numId w:val="18"/>
        </w:numPr>
        <w:spacing w:after="240" w:line="240" w:lineRule="auto"/>
        <w:contextualSpacing w:val="0"/>
        <w:jc w:val="both"/>
        <w:rPr>
          <w:rFonts w:ascii="Arial" w:hAnsi="Arial" w:cs="Arial"/>
          <w:sz w:val="24"/>
          <w:szCs w:val="24"/>
        </w:rPr>
      </w:pPr>
      <w:r>
        <w:rPr>
          <w:rFonts w:ascii="Arial" w:hAnsi="Arial" w:cs="Arial"/>
          <w:b/>
          <w:sz w:val="24"/>
          <w:szCs w:val="24"/>
        </w:rPr>
        <w:t>n</w:t>
      </w:r>
      <w:r w:rsidRPr="00436D62">
        <w:rPr>
          <w:rFonts w:ascii="Arial" w:hAnsi="Arial" w:cs="Arial"/>
          <w:b/>
          <w:sz w:val="24"/>
          <w:szCs w:val="24"/>
        </w:rPr>
        <w:t>ote</w:t>
      </w:r>
      <w:r w:rsidRPr="00436D62">
        <w:rPr>
          <w:rFonts w:ascii="Arial" w:hAnsi="Arial" w:cs="Arial"/>
          <w:sz w:val="24"/>
          <w:szCs w:val="24"/>
        </w:rPr>
        <w:t xml:space="preserve"> that He Ara </w:t>
      </w:r>
      <w:proofErr w:type="spellStart"/>
      <w:r w:rsidRPr="00436D62">
        <w:rPr>
          <w:rFonts w:ascii="Arial" w:hAnsi="Arial" w:cs="Arial"/>
          <w:sz w:val="24"/>
          <w:szCs w:val="24"/>
        </w:rPr>
        <w:t>Waiora</w:t>
      </w:r>
      <w:proofErr w:type="spellEnd"/>
      <w:r w:rsidRPr="00436D62">
        <w:rPr>
          <w:rFonts w:ascii="Arial" w:hAnsi="Arial" w:cs="Arial"/>
          <w:sz w:val="24"/>
          <w:szCs w:val="24"/>
        </w:rPr>
        <w:t xml:space="preserve"> / A Pathway Towards Wellbeing is being taken forward by The Treasury in the Living Standards Framework Programme, in consultation with </w:t>
      </w:r>
      <w:proofErr w:type="spellStart"/>
      <w:r w:rsidRPr="00436D62">
        <w:rPr>
          <w:rFonts w:ascii="Arial" w:hAnsi="Arial" w:cs="Arial"/>
          <w:sz w:val="24"/>
          <w:szCs w:val="24"/>
        </w:rPr>
        <w:t>Te</w:t>
      </w:r>
      <w:proofErr w:type="spellEnd"/>
      <w:r w:rsidRPr="00436D62">
        <w:rPr>
          <w:rFonts w:ascii="Arial" w:hAnsi="Arial" w:cs="Arial"/>
          <w:sz w:val="24"/>
          <w:szCs w:val="24"/>
        </w:rPr>
        <w:t xml:space="preserve"> </w:t>
      </w:r>
      <w:proofErr w:type="spellStart"/>
      <w:r w:rsidRPr="00436D62">
        <w:rPr>
          <w:rFonts w:ascii="Arial" w:hAnsi="Arial" w:cs="Arial"/>
          <w:sz w:val="24"/>
          <w:szCs w:val="24"/>
        </w:rPr>
        <w:t>Puni</w:t>
      </w:r>
      <w:proofErr w:type="spellEnd"/>
      <w:r w:rsidRPr="00436D62">
        <w:rPr>
          <w:rFonts w:ascii="Arial" w:hAnsi="Arial" w:cs="Arial"/>
          <w:sz w:val="24"/>
          <w:szCs w:val="24"/>
        </w:rPr>
        <w:t xml:space="preserve"> </w:t>
      </w:r>
      <w:proofErr w:type="spellStart"/>
      <w:r w:rsidRPr="00436D62">
        <w:rPr>
          <w:rFonts w:ascii="Arial" w:hAnsi="Arial" w:cs="Arial"/>
          <w:sz w:val="24"/>
          <w:szCs w:val="24"/>
        </w:rPr>
        <w:t>Kōkiri</w:t>
      </w:r>
      <w:proofErr w:type="spellEnd"/>
      <w:r w:rsidRPr="00436D62">
        <w:rPr>
          <w:rFonts w:ascii="Arial" w:hAnsi="Arial" w:cs="Arial"/>
          <w:sz w:val="24"/>
          <w:szCs w:val="24"/>
        </w:rPr>
        <w:t xml:space="preserve"> and </w:t>
      </w:r>
      <w:proofErr w:type="spellStart"/>
      <w:r w:rsidRPr="00436D62">
        <w:rPr>
          <w:rFonts w:ascii="Arial" w:hAnsi="Arial" w:cs="Arial"/>
          <w:sz w:val="24"/>
          <w:szCs w:val="24"/>
        </w:rPr>
        <w:t>Te</w:t>
      </w:r>
      <w:proofErr w:type="spellEnd"/>
      <w:r w:rsidRPr="00436D62">
        <w:rPr>
          <w:rFonts w:ascii="Arial" w:hAnsi="Arial" w:cs="Arial"/>
          <w:sz w:val="24"/>
          <w:szCs w:val="24"/>
        </w:rPr>
        <w:t xml:space="preserve"> </w:t>
      </w:r>
      <w:proofErr w:type="spellStart"/>
      <w:r w:rsidRPr="00436D62">
        <w:rPr>
          <w:rFonts w:ascii="Arial" w:hAnsi="Arial" w:cs="Arial"/>
          <w:sz w:val="24"/>
          <w:szCs w:val="24"/>
        </w:rPr>
        <w:t>Arawhiti</w:t>
      </w:r>
      <w:proofErr w:type="spellEnd"/>
      <w:r w:rsidR="00F452B6">
        <w:rPr>
          <w:rFonts w:ascii="Arial" w:hAnsi="Arial" w:cs="Arial"/>
          <w:sz w:val="24"/>
          <w:szCs w:val="24"/>
        </w:rPr>
        <w:t>;</w:t>
      </w:r>
    </w:p>
    <w:p w14:paraId="4CF8F7FB" w14:textId="77777777" w:rsidR="00F452B6" w:rsidRPr="00146B87" w:rsidRDefault="00F452B6" w:rsidP="00146B87">
      <w:pPr>
        <w:spacing w:after="240" w:line="240" w:lineRule="auto"/>
        <w:ind w:left="720"/>
        <w:jc w:val="both"/>
        <w:rPr>
          <w:rFonts w:ascii="Arial" w:hAnsi="Arial" w:cs="Arial"/>
          <w:b/>
          <w:i/>
          <w:sz w:val="24"/>
          <w:szCs w:val="24"/>
        </w:rPr>
      </w:pPr>
      <w:r>
        <w:rPr>
          <w:rFonts w:ascii="Arial" w:hAnsi="Arial" w:cs="Arial"/>
          <w:b/>
          <w:i/>
          <w:sz w:val="24"/>
          <w:szCs w:val="24"/>
        </w:rPr>
        <w:t>Administration and implementation</w:t>
      </w:r>
    </w:p>
    <w:p w14:paraId="064E27B0" w14:textId="77777777" w:rsidR="00EF33E8" w:rsidRPr="00146B87" w:rsidRDefault="00EF33E8" w:rsidP="00EF33E8">
      <w:pPr>
        <w:pStyle w:val="ListParagraph"/>
        <w:numPr>
          <w:ilvl w:val="2"/>
          <w:numId w:val="18"/>
        </w:numPr>
        <w:spacing w:after="240" w:line="240" w:lineRule="auto"/>
        <w:contextualSpacing w:val="0"/>
        <w:jc w:val="both"/>
        <w:rPr>
          <w:rFonts w:ascii="Arial" w:hAnsi="Arial" w:cs="Arial"/>
          <w:sz w:val="24"/>
          <w:szCs w:val="24"/>
        </w:rPr>
      </w:pPr>
      <w:r w:rsidRPr="00146B87">
        <w:rPr>
          <w:rFonts w:ascii="Arial" w:hAnsi="Arial" w:cs="Arial"/>
          <w:b/>
          <w:sz w:val="24"/>
          <w:szCs w:val="24"/>
        </w:rPr>
        <w:t>note</w:t>
      </w:r>
      <w:r w:rsidRPr="00146B87">
        <w:rPr>
          <w:rFonts w:ascii="Arial" w:hAnsi="Arial" w:cs="Arial"/>
          <w:sz w:val="24"/>
          <w:szCs w:val="24"/>
        </w:rPr>
        <w:t xml:space="preserve"> that if Ministers add extra Tax Working Group recommendation projects to the Tax Policy Work Programme</w:t>
      </w:r>
      <w:r>
        <w:rPr>
          <w:rFonts w:ascii="Arial" w:hAnsi="Arial" w:cs="Arial"/>
          <w:sz w:val="24"/>
          <w:szCs w:val="24"/>
        </w:rPr>
        <w:t>,</w:t>
      </w:r>
      <w:r w:rsidRPr="00146B87">
        <w:rPr>
          <w:rFonts w:ascii="Arial" w:hAnsi="Arial" w:cs="Arial"/>
          <w:sz w:val="24"/>
          <w:szCs w:val="24"/>
        </w:rPr>
        <w:t xml:space="preserve"> and no additional policy advice funding is received, there will be a significant impact on the current work programme, which may mean some projects will need to be reprioritised or put on hold</w:t>
      </w:r>
      <w:r>
        <w:rPr>
          <w:rFonts w:ascii="Arial" w:hAnsi="Arial" w:cs="Arial"/>
          <w:sz w:val="24"/>
          <w:szCs w:val="24"/>
        </w:rPr>
        <w:t>;</w:t>
      </w:r>
    </w:p>
    <w:p w14:paraId="7F5533B2" w14:textId="77777777" w:rsidR="00EF33E8" w:rsidRPr="00146B87" w:rsidRDefault="00EF33E8" w:rsidP="00EF33E8">
      <w:pPr>
        <w:pStyle w:val="ListParagraph"/>
        <w:numPr>
          <w:ilvl w:val="2"/>
          <w:numId w:val="18"/>
        </w:numPr>
        <w:spacing w:after="240" w:line="240" w:lineRule="auto"/>
        <w:contextualSpacing w:val="0"/>
        <w:jc w:val="both"/>
        <w:rPr>
          <w:rFonts w:ascii="Arial" w:hAnsi="Arial" w:cs="Arial"/>
          <w:sz w:val="24"/>
          <w:szCs w:val="24"/>
        </w:rPr>
      </w:pPr>
      <w:r w:rsidRPr="00146B87">
        <w:rPr>
          <w:rFonts w:ascii="Arial" w:hAnsi="Arial" w:cs="Arial"/>
          <w:b/>
          <w:sz w:val="24"/>
          <w:szCs w:val="24"/>
        </w:rPr>
        <w:t>note</w:t>
      </w:r>
      <w:r w:rsidRPr="00146B87">
        <w:rPr>
          <w:rFonts w:ascii="Arial" w:hAnsi="Arial" w:cs="Arial"/>
          <w:sz w:val="24"/>
          <w:szCs w:val="24"/>
        </w:rPr>
        <w:t xml:space="preserve"> that Inland Revenue will seek funding for additional tax policy advice as part of the 2019 Tax Policy Work Programme refresh</w:t>
      </w:r>
      <w:r>
        <w:rPr>
          <w:rFonts w:ascii="Arial" w:hAnsi="Arial" w:cs="Arial"/>
          <w:sz w:val="24"/>
          <w:szCs w:val="24"/>
        </w:rPr>
        <w:t>,</w:t>
      </w:r>
      <w:r w:rsidRPr="00146B87">
        <w:rPr>
          <w:rFonts w:ascii="Arial" w:hAnsi="Arial" w:cs="Arial"/>
          <w:sz w:val="24"/>
          <w:szCs w:val="24"/>
        </w:rPr>
        <w:t xml:space="preserve"> should Ministers wish to increase the amount of tax policy work undertaken.</w:t>
      </w:r>
    </w:p>
    <w:p w14:paraId="02AD2CAD" w14:textId="77777777" w:rsidR="00F452B6" w:rsidRPr="00146B87" w:rsidRDefault="00F452B6" w:rsidP="00146B87">
      <w:pPr>
        <w:spacing w:after="240" w:line="240" w:lineRule="auto"/>
        <w:jc w:val="both"/>
        <w:rPr>
          <w:rFonts w:ascii="Arial" w:hAnsi="Arial" w:cs="Arial"/>
          <w:sz w:val="24"/>
          <w:szCs w:val="24"/>
        </w:rPr>
      </w:pPr>
    </w:p>
    <w:p w14:paraId="4897A9CF" w14:textId="09ABB8B2" w:rsidR="00094DF8" w:rsidRDefault="00094DF8" w:rsidP="00895779">
      <w:pPr>
        <w:rPr>
          <w:rFonts w:ascii="Arial" w:hAnsi="Arial" w:cs="Arial"/>
          <w:sz w:val="24"/>
          <w:szCs w:val="24"/>
        </w:rPr>
      </w:pPr>
    </w:p>
    <w:p w14:paraId="7D5A568B" w14:textId="77777777" w:rsidR="00094DF8" w:rsidRDefault="00094DF8" w:rsidP="00895779">
      <w:pPr>
        <w:rPr>
          <w:rFonts w:ascii="Arial" w:hAnsi="Arial" w:cs="Arial"/>
          <w:sz w:val="24"/>
          <w:szCs w:val="24"/>
        </w:rPr>
      </w:pPr>
    </w:p>
    <w:p w14:paraId="0DB71C5E" w14:textId="77777777" w:rsidR="00094DF8" w:rsidRDefault="00094DF8" w:rsidP="00895779">
      <w:pPr>
        <w:rPr>
          <w:rFonts w:ascii="Arial" w:hAnsi="Arial" w:cs="Arial"/>
          <w:sz w:val="24"/>
          <w:szCs w:val="24"/>
        </w:rPr>
      </w:pPr>
    </w:p>
    <w:p w14:paraId="44C7FE04" w14:textId="77777777" w:rsidR="004B6934" w:rsidRPr="00895779" w:rsidRDefault="004B6934" w:rsidP="00895779">
      <w:pPr>
        <w:rPr>
          <w:rFonts w:ascii="Arial" w:hAnsi="Arial" w:cs="Arial"/>
          <w:sz w:val="24"/>
          <w:szCs w:val="24"/>
        </w:rPr>
      </w:pPr>
      <w:r w:rsidRPr="00895779">
        <w:rPr>
          <w:rFonts w:ascii="Arial" w:hAnsi="Arial" w:cs="Arial"/>
          <w:sz w:val="24"/>
          <w:szCs w:val="24"/>
        </w:rPr>
        <w:t>Authorised for lodgement</w:t>
      </w:r>
    </w:p>
    <w:p w14:paraId="4768BE50" w14:textId="77777777" w:rsidR="00D80FD3" w:rsidRDefault="00D80FD3" w:rsidP="00895779">
      <w:pPr>
        <w:rPr>
          <w:rFonts w:ascii="Arial" w:hAnsi="Arial" w:cs="Arial"/>
          <w:sz w:val="24"/>
          <w:szCs w:val="24"/>
        </w:rPr>
      </w:pPr>
    </w:p>
    <w:p w14:paraId="1859DB41" w14:textId="77777777" w:rsidR="00D80FD3" w:rsidRDefault="00D80FD3" w:rsidP="00895779">
      <w:pPr>
        <w:rPr>
          <w:rFonts w:ascii="Arial" w:hAnsi="Arial" w:cs="Arial"/>
          <w:sz w:val="24"/>
          <w:szCs w:val="24"/>
        </w:rPr>
      </w:pPr>
    </w:p>
    <w:p w14:paraId="4A3D1E6F" w14:textId="77777777" w:rsidR="00D80FD3" w:rsidRDefault="00D80FD3" w:rsidP="00895779">
      <w:pPr>
        <w:rPr>
          <w:rFonts w:ascii="Arial" w:hAnsi="Arial" w:cs="Arial"/>
          <w:sz w:val="24"/>
          <w:szCs w:val="24"/>
        </w:rPr>
      </w:pPr>
    </w:p>
    <w:p w14:paraId="25C56FA7" w14:textId="77777777" w:rsidR="00C46970" w:rsidRDefault="00C46970" w:rsidP="00895779">
      <w:pPr>
        <w:rPr>
          <w:rFonts w:ascii="Arial" w:hAnsi="Arial" w:cs="Arial"/>
          <w:sz w:val="24"/>
          <w:szCs w:val="24"/>
        </w:rPr>
      </w:pPr>
      <w:r w:rsidRPr="00C46970">
        <w:rPr>
          <w:rFonts w:ascii="Arial" w:hAnsi="Arial" w:cs="Arial"/>
          <w:sz w:val="24"/>
          <w:szCs w:val="24"/>
        </w:rPr>
        <w:t>Hon Grant Robertson</w:t>
      </w:r>
      <w:r>
        <w:rPr>
          <w:rFonts w:ascii="Arial" w:hAnsi="Arial" w:cs="Arial"/>
          <w:sz w:val="24"/>
          <w:szCs w:val="24"/>
        </w:rPr>
        <w:t xml:space="preserve"> </w:t>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t>Hon Stuart Nash</w:t>
      </w:r>
    </w:p>
    <w:p w14:paraId="22591FA7" w14:textId="77777777" w:rsidR="004B6934" w:rsidRDefault="004B6934" w:rsidP="00895779">
      <w:pPr>
        <w:rPr>
          <w:rFonts w:ascii="Arial" w:hAnsi="Arial" w:cs="Arial"/>
          <w:sz w:val="24"/>
          <w:szCs w:val="24"/>
        </w:rPr>
      </w:pPr>
      <w:r w:rsidRPr="00895779">
        <w:rPr>
          <w:rFonts w:ascii="Arial" w:hAnsi="Arial" w:cs="Arial"/>
          <w:sz w:val="24"/>
          <w:szCs w:val="24"/>
        </w:rPr>
        <w:t xml:space="preserve">Minister </w:t>
      </w:r>
      <w:r w:rsidR="00C46970">
        <w:rPr>
          <w:rFonts w:ascii="Arial" w:hAnsi="Arial" w:cs="Arial"/>
          <w:sz w:val="24"/>
          <w:szCs w:val="24"/>
        </w:rPr>
        <w:t>of Finance</w:t>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r>
      <w:r w:rsidR="00A50018">
        <w:rPr>
          <w:rFonts w:ascii="Arial" w:hAnsi="Arial" w:cs="Arial"/>
          <w:sz w:val="24"/>
          <w:szCs w:val="24"/>
        </w:rPr>
        <w:tab/>
        <w:t>Minister of Revenue</w:t>
      </w:r>
    </w:p>
    <w:p w14:paraId="5020162B" w14:textId="77777777" w:rsidR="00342E14" w:rsidRDefault="00342E14" w:rsidP="00895779">
      <w:pPr>
        <w:rPr>
          <w:rFonts w:ascii="Arial" w:hAnsi="Arial" w:cs="Arial"/>
          <w:sz w:val="24"/>
          <w:szCs w:val="24"/>
        </w:rPr>
      </w:pPr>
    </w:p>
    <w:p w14:paraId="79FF5AEA" w14:textId="77777777" w:rsidR="00216E6B" w:rsidRDefault="00216E6B">
      <w:pPr>
        <w:rPr>
          <w:rFonts w:ascii="Arial" w:eastAsia="Times New Roman" w:hAnsi="Arial" w:cs="Times New Roman"/>
          <w:b/>
          <w:szCs w:val="20"/>
        </w:rPr>
      </w:pPr>
      <w:r>
        <w:rPr>
          <w:b/>
        </w:rPr>
        <w:br w:type="page"/>
      </w:r>
    </w:p>
    <w:p w14:paraId="544FC768" w14:textId="77777777" w:rsidR="004C4D5D" w:rsidRDefault="004C4D5D" w:rsidP="00342E14">
      <w:pPr>
        <w:pStyle w:val="TSYList"/>
        <w:spacing w:before="0" w:after="0"/>
        <w:ind w:left="567" w:hanging="567"/>
        <w:rPr>
          <w:b/>
        </w:rPr>
      </w:pPr>
      <w:bookmarkStart w:id="26" w:name="_Hlk4421559"/>
      <w:r>
        <w:rPr>
          <w:b/>
        </w:rPr>
        <w:t>Appendix</w:t>
      </w:r>
    </w:p>
    <w:p w14:paraId="13A1B920" w14:textId="77777777" w:rsidR="004C4D5D" w:rsidRDefault="004C4D5D" w:rsidP="00342E14">
      <w:pPr>
        <w:pStyle w:val="TSYList"/>
        <w:spacing w:before="0" w:after="0"/>
        <w:ind w:left="567" w:hanging="567"/>
        <w:rPr>
          <w:b/>
        </w:rPr>
      </w:pPr>
    </w:p>
    <w:p w14:paraId="3E47BA05" w14:textId="77777777" w:rsidR="00342E14" w:rsidRDefault="000A529C" w:rsidP="00342E14">
      <w:pPr>
        <w:pStyle w:val="TSYList"/>
        <w:spacing w:before="0" w:after="0"/>
        <w:ind w:left="567" w:hanging="567"/>
        <w:rPr>
          <w:b/>
        </w:rPr>
      </w:pPr>
      <w:r>
        <w:rPr>
          <w:b/>
        </w:rPr>
        <w:t>R</w:t>
      </w:r>
      <w:r w:rsidRPr="001B5D5F">
        <w:rPr>
          <w:b/>
        </w:rPr>
        <w:t>ecommendations</w:t>
      </w:r>
      <w:r>
        <w:rPr>
          <w:b/>
        </w:rPr>
        <w:t xml:space="preserve"> of the Tax Working Group</w:t>
      </w:r>
      <w:r w:rsidR="00342D7C">
        <w:rPr>
          <w:b/>
        </w:rPr>
        <w:t xml:space="preserve"> and proposed response</w:t>
      </w:r>
    </w:p>
    <w:p w14:paraId="60B830E6" w14:textId="77777777" w:rsidR="00342E14" w:rsidRDefault="00342E14" w:rsidP="00342E14">
      <w:pPr>
        <w:pStyle w:val="TSYList"/>
        <w:spacing w:before="0" w:after="0"/>
        <w:ind w:left="567" w:hanging="567"/>
        <w:rPr>
          <w:b/>
        </w:rPr>
      </w:pPr>
    </w:p>
    <w:p w14:paraId="1538D4A7" w14:textId="77777777" w:rsidR="00342E14" w:rsidRPr="00342E14" w:rsidRDefault="00342E14" w:rsidP="00342E14">
      <w:pPr>
        <w:spacing w:after="240" w:line="240" w:lineRule="auto"/>
        <w:rPr>
          <w:rFonts w:ascii="Arial" w:hAnsi="Arial" w:cs="Arial"/>
          <w:sz w:val="24"/>
          <w:szCs w:val="24"/>
        </w:rPr>
      </w:pPr>
      <w:r w:rsidRPr="00342E14">
        <w:rPr>
          <w:rFonts w:ascii="Arial" w:hAnsi="Arial" w:cs="Arial"/>
          <w:sz w:val="24"/>
          <w:szCs w:val="24"/>
        </w:rPr>
        <w:t>The table below lists all 99 recommendations in the Tax Working Group’s Final Report</w:t>
      </w:r>
      <w:r>
        <w:rPr>
          <w:rFonts w:ascii="Arial" w:hAnsi="Arial" w:cs="Arial"/>
          <w:sz w:val="24"/>
          <w:szCs w:val="24"/>
        </w:rPr>
        <w:t xml:space="preserve"> and the proposed Government response.</w:t>
      </w:r>
    </w:p>
    <w:p w14:paraId="4042D020" w14:textId="77777777" w:rsidR="00342E14" w:rsidRPr="00A96348" w:rsidRDefault="00342E14" w:rsidP="00342E14">
      <w:pPr>
        <w:pStyle w:val="TSYList"/>
        <w:spacing w:before="0" w:after="120"/>
        <w:ind w:left="567" w:hanging="567"/>
        <w:rPr>
          <w:b/>
        </w:rPr>
      </w:pPr>
      <w:r>
        <w:rPr>
          <w:b/>
        </w:rPr>
        <w:t>Table k</w:t>
      </w:r>
      <w:r w:rsidRPr="00A96348">
        <w:rPr>
          <w:b/>
        </w:rPr>
        <w:t>ey</w:t>
      </w:r>
      <w:r>
        <w:rPr>
          <w:b/>
        </w:rPr>
        <w:t>:</w:t>
      </w:r>
    </w:p>
    <w:tbl>
      <w:tblPr>
        <w:tblStyle w:val="TableGrid"/>
        <w:tblW w:w="9351" w:type="dxa"/>
        <w:tblInd w:w="0" w:type="dxa"/>
        <w:tblLook w:val="04A0" w:firstRow="1" w:lastRow="0" w:firstColumn="1" w:lastColumn="0" w:noHBand="0" w:noVBand="1"/>
      </w:tblPr>
      <w:tblGrid>
        <w:gridCol w:w="2263"/>
        <w:gridCol w:w="7088"/>
      </w:tblGrid>
      <w:tr w:rsidR="00342E14" w14:paraId="48120AFD" w14:textId="77777777" w:rsidTr="00355A52">
        <w:trPr>
          <w:trHeight w:val="209"/>
        </w:trPr>
        <w:tc>
          <w:tcPr>
            <w:tcW w:w="2263" w:type="dxa"/>
            <w:tcBorders>
              <w:top w:val="single" w:sz="4" w:space="0" w:color="auto"/>
              <w:left w:val="single" w:sz="4" w:space="0" w:color="auto"/>
              <w:bottom w:val="single" w:sz="4" w:space="0" w:color="auto"/>
              <w:right w:val="single" w:sz="4" w:space="0" w:color="auto"/>
            </w:tcBorders>
            <w:shd w:val="clear" w:color="auto" w:fill="70AD47" w:themeFill="accent6"/>
          </w:tcPr>
          <w:p w14:paraId="5E374413" w14:textId="77777777" w:rsidR="00342E14" w:rsidRPr="00342E14" w:rsidRDefault="00355A52" w:rsidP="00342E14">
            <w:pPr>
              <w:pStyle w:val="TSYList"/>
              <w:spacing w:before="0" w:after="0"/>
              <w:jc w:val="left"/>
              <w:rPr>
                <w:rFonts w:eastAsiaTheme="minorHAnsi" w:cs="Arial"/>
                <w:sz w:val="24"/>
                <w:szCs w:val="24"/>
                <w:lang w:eastAsia="en-US"/>
              </w:rPr>
            </w:pPr>
            <w:r w:rsidRPr="00355A52">
              <w:rPr>
                <w:rFonts w:eastAsiaTheme="minorHAnsi" w:cs="Arial"/>
                <w:sz w:val="24"/>
                <w:szCs w:val="24"/>
                <w:lang w:eastAsia="en-US"/>
              </w:rPr>
              <w:t>Endorse the TWG recommendation</w:t>
            </w:r>
          </w:p>
        </w:tc>
        <w:tc>
          <w:tcPr>
            <w:tcW w:w="7088" w:type="dxa"/>
            <w:tcBorders>
              <w:top w:val="nil"/>
              <w:left w:val="single" w:sz="4" w:space="0" w:color="auto"/>
              <w:bottom w:val="nil"/>
              <w:right w:val="nil"/>
            </w:tcBorders>
          </w:tcPr>
          <w:p w14:paraId="093B6EB0" w14:textId="77777777" w:rsidR="00342E14" w:rsidRPr="00342E14" w:rsidRDefault="00355A52" w:rsidP="00342E14">
            <w:pPr>
              <w:pStyle w:val="TSYList"/>
              <w:spacing w:before="0" w:after="0"/>
              <w:rPr>
                <w:rFonts w:eastAsiaTheme="minorHAnsi" w:cs="Arial"/>
                <w:sz w:val="24"/>
                <w:szCs w:val="24"/>
                <w:lang w:eastAsia="en-US"/>
              </w:rPr>
            </w:pPr>
            <w:r w:rsidRPr="00355A52">
              <w:rPr>
                <w:rFonts w:eastAsiaTheme="minorHAnsi" w:cs="Arial"/>
                <w:sz w:val="24"/>
                <w:szCs w:val="24"/>
                <w:lang w:eastAsia="en-US"/>
              </w:rPr>
              <w:t xml:space="preserve">The TWG recommended retaining the current tax settings and we </w:t>
            </w:r>
            <w:r>
              <w:rPr>
                <w:rFonts w:eastAsiaTheme="minorHAnsi" w:cs="Arial"/>
                <w:sz w:val="24"/>
                <w:szCs w:val="24"/>
                <w:lang w:eastAsia="en-US"/>
              </w:rPr>
              <w:t xml:space="preserve">agree </w:t>
            </w:r>
            <w:r w:rsidRPr="00355A52">
              <w:rPr>
                <w:rFonts w:eastAsiaTheme="minorHAnsi" w:cs="Arial"/>
                <w:sz w:val="24"/>
                <w:szCs w:val="24"/>
                <w:lang w:eastAsia="en-US"/>
              </w:rPr>
              <w:t>with this recommendation.</w:t>
            </w:r>
          </w:p>
        </w:tc>
      </w:tr>
      <w:tr w:rsidR="00355A52" w14:paraId="164F0EBB" w14:textId="77777777" w:rsidTr="00355A52">
        <w:trPr>
          <w:trHeight w:val="135"/>
        </w:trPr>
        <w:tc>
          <w:tcPr>
            <w:tcW w:w="2263" w:type="dxa"/>
            <w:tcBorders>
              <w:top w:val="single" w:sz="4" w:space="0" w:color="auto"/>
              <w:left w:val="nil"/>
              <w:bottom w:val="single" w:sz="4" w:space="0" w:color="auto"/>
              <w:right w:val="nil"/>
            </w:tcBorders>
            <w:shd w:val="clear" w:color="auto" w:fill="auto"/>
          </w:tcPr>
          <w:p w14:paraId="773C5676" w14:textId="77777777" w:rsidR="00355A52" w:rsidRPr="00355A52" w:rsidRDefault="00355A52" w:rsidP="00342E14">
            <w:pPr>
              <w:pStyle w:val="TSYList"/>
              <w:spacing w:before="0" w:after="0"/>
              <w:jc w:val="left"/>
              <w:rPr>
                <w:rFonts w:eastAsiaTheme="minorHAnsi" w:cs="Arial"/>
                <w:sz w:val="24"/>
                <w:szCs w:val="24"/>
              </w:rPr>
            </w:pPr>
          </w:p>
        </w:tc>
        <w:tc>
          <w:tcPr>
            <w:tcW w:w="7088" w:type="dxa"/>
            <w:vMerge w:val="restart"/>
            <w:tcBorders>
              <w:top w:val="nil"/>
              <w:left w:val="nil"/>
              <w:bottom w:val="nil"/>
              <w:right w:val="nil"/>
            </w:tcBorders>
            <w:shd w:val="clear" w:color="auto" w:fill="auto"/>
            <w:vAlign w:val="center"/>
          </w:tcPr>
          <w:p w14:paraId="60CDE2CD" w14:textId="77777777" w:rsidR="00355A52" w:rsidRDefault="00355A52" w:rsidP="00355A52">
            <w:pPr>
              <w:pStyle w:val="TSYList"/>
              <w:spacing w:before="0" w:after="0"/>
              <w:jc w:val="left"/>
              <w:rPr>
                <w:rFonts w:eastAsiaTheme="minorHAnsi" w:cs="Arial"/>
                <w:sz w:val="24"/>
                <w:szCs w:val="24"/>
              </w:rPr>
            </w:pPr>
          </w:p>
          <w:p w14:paraId="5582CF14" w14:textId="77777777" w:rsidR="00355A52" w:rsidRPr="004C4D5D" w:rsidRDefault="00355A52" w:rsidP="00355A52">
            <w:pPr>
              <w:pStyle w:val="TSYList"/>
              <w:spacing w:before="0" w:after="0"/>
              <w:jc w:val="left"/>
              <w:rPr>
                <w:rFonts w:eastAsiaTheme="minorHAnsi" w:cs="Arial"/>
                <w:sz w:val="24"/>
                <w:szCs w:val="24"/>
              </w:rPr>
            </w:pPr>
            <w:r w:rsidRPr="00355A52">
              <w:rPr>
                <w:rFonts w:eastAsiaTheme="minorHAnsi" w:cs="Arial"/>
                <w:sz w:val="24"/>
                <w:szCs w:val="24"/>
              </w:rPr>
              <w:t>We consider no further work is necessary.</w:t>
            </w:r>
          </w:p>
        </w:tc>
      </w:tr>
      <w:tr w:rsidR="00355A52" w14:paraId="38DD873A" w14:textId="77777777" w:rsidTr="00551765">
        <w:trPr>
          <w:trHeight w:val="500"/>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F4D4F4" w14:textId="77777777" w:rsidR="00355A52" w:rsidRPr="00355A52" w:rsidRDefault="00286F5C" w:rsidP="00355A52">
            <w:pPr>
              <w:pStyle w:val="TSYList"/>
              <w:spacing w:before="0" w:after="0"/>
              <w:jc w:val="left"/>
              <w:rPr>
                <w:rFonts w:eastAsiaTheme="minorHAnsi" w:cs="Arial"/>
                <w:sz w:val="24"/>
                <w:szCs w:val="24"/>
              </w:rPr>
            </w:pPr>
            <w:r>
              <w:rPr>
                <w:rFonts w:eastAsiaTheme="minorHAnsi" w:cs="Arial"/>
                <w:sz w:val="24"/>
                <w:szCs w:val="24"/>
              </w:rPr>
              <w:t>Agree n</w:t>
            </w:r>
            <w:r w:rsidR="00355A52">
              <w:rPr>
                <w:rFonts w:eastAsiaTheme="minorHAnsi" w:cs="Arial"/>
                <w:sz w:val="24"/>
                <w:szCs w:val="24"/>
              </w:rPr>
              <w:t>o further work</w:t>
            </w:r>
          </w:p>
        </w:tc>
        <w:tc>
          <w:tcPr>
            <w:tcW w:w="7088" w:type="dxa"/>
            <w:vMerge/>
            <w:tcBorders>
              <w:top w:val="nil"/>
              <w:left w:val="single" w:sz="4" w:space="0" w:color="auto"/>
              <w:bottom w:val="nil"/>
              <w:right w:val="nil"/>
            </w:tcBorders>
          </w:tcPr>
          <w:p w14:paraId="589A773F" w14:textId="77777777" w:rsidR="00355A52" w:rsidRPr="004C4D5D" w:rsidRDefault="00355A52" w:rsidP="00342E14">
            <w:pPr>
              <w:pStyle w:val="TSYList"/>
              <w:spacing w:before="0" w:after="0"/>
              <w:rPr>
                <w:rFonts w:eastAsiaTheme="minorHAnsi" w:cs="Arial"/>
                <w:sz w:val="24"/>
                <w:szCs w:val="24"/>
              </w:rPr>
            </w:pPr>
          </w:p>
        </w:tc>
      </w:tr>
      <w:tr w:rsidR="00342E14" w14:paraId="0CC323BB" w14:textId="77777777" w:rsidTr="004C4D5D">
        <w:trPr>
          <w:trHeight w:val="209"/>
        </w:trPr>
        <w:tc>
          <w:tcPr>
            <w:tcW w:w="9351" w:type="dxa"/>
            <w:gridSpan w:val="2"/>
            <w:tcBorders>
              <w:top w:val="nil"/>
              <w:left w:val="nil"/>
              <w:bottom w:val="nil"/>
              <w:right w:val="nil"/>
            </w:tcBorders>
            <w:shd w:val="clear" w:color="auto" w:fill="auto"/>
          </w:tcPr>
          <w:p w14:paraId="25997FA8" w14:textId="77777777" w:rsidR="00355A52" w:rsidRPr="00342E14" w:rsidRDefault="00355A52" w:rsidP="00342E14">
            <w:pPr>
              <w:pStyle w:val="TSYList"/>
              <w:spacing w:before="0" w:after="0"/>
              <w:jc w:val="left"/>
              <w:rPr>
                <w:rFonts w:eastAsiaTheme="minorHAnsi" w:cs="Arial"/>
                <w:sz w:val="24"/>
                <w:szCs w:val="24"/>
                <w:lang w:eastAsia="en-US"/>
              </w:rPr>
            </w:pPr>
          </w:p>
        </w:tc>
      </w:tr>
      <w:tr w:rsidR="00342E14" w14:paraId="770E9453" w14:textId="77777777" w:rsidTr="00355A52">
        <w:tc>
          <w:tcPr>
            <w:tcW w:w="2263" w:type="dxa"/>
            <w:tcBorders>
              <w:top w:val="single" w:sz="4" w:space="0" w:color="auto"/>
              <w:left w:val="single" w:sz="4" w:space="0" w:color="auto"/>
              <w:bottom w:val="single" w:sz="4" w:space="0" w:color="auto"/>
              <w:right w:val="single" w:sz="4" w:space="0" w:color="auto"/>
            </w:tcBorders>
            <w:shd w:val="clear" w:color="auto" w:fill="5B9BD5" w:themeFill="accent1"/>
          </w:tcPr>
          <w:p w14:paraId="353E6C4A" w14:textId="77777777" w:rsidR="00342E14" w:rsidRPr="00342E14" w:rsidRDefault="00A20B1B" w:rsidP="00342E14">
            <w:pPr>
              <w:pStyle w:val="TSYList"/>
              <w:spacing w:before="0" w:after="0"/>
              <w:jc w:val="left"/>
              <w:rPr>
                <w:rFonts w:eastAsiaTheme="minorHAnsi" w:cs="Arial"/>
                <w:sz w:val="24"/>
                <w:szCs w:val="24"/>
                <w:lang w:eastAsia="en-US"/>
              </w:rPr>
            </w:pPr>
            <w:r>
              <w:rPr>
                <w:rFonts w:eastAsiaTheme="minorHAnsi" w:cs="Arial"/>
                <w:sz w:val="24"/>
                <w:szCs w:val="24"/>
                <w:lang w:eastAsia="en-US"/>
              </w:rPr>
              <w:t>Note w</w:t>
            </w:r>
            <w:r w:rsidR="00342E14" w:rsidRPr="00342E14">
              <w:rPr>
                <w:rFonts w:eastAsiaTheme="minorHAnsi" w:cs="Arial"/>
                <w:sz w:val="24"/>
                <w:szCs w:val="24"/>
                <w:lang w:eastAsia="en-US"/>
              </w:rPr>
              <w:t xml:space="preserve">ork </w:t>
            </w:r>
            <w:r w:rsidR="00286F5C">
              <w:rPr>
                <w:rFonts w:eastAsiaTheme="minorHAnsi" w:cs="Arial"/>
                <w:sz w:val="24"/>
                <w:szCs w:val="24"/>
                <w:lang w:eastAsia="en-US"/>
              </w:rPr>
              <w:t xml:space="preserve">already </w:t>
            </w:r>
            <w:r w:rsidR="00342E14" w:rsidRPr="00342E14">
              <w:rPr>
                <w:rFonts w:eastAsiaTheme="minorHAnsi" w:cs="Arial"/>
                <w:sz w:val="24"/>
                <w:szCs w:val="24"/>
                <w:lang w:eastAsia="en-US"/>
              </w:rPr>
              <w:t xml:space="preserve">underway </w:t>
            </w:r>
          </w:p>
        </w:tc>
        <w:tc>
          <w:tcPr>
            <w:tcW w:w="7088" w:type="dxa"/>
            <w:tcBorders>
              <w:top w:val="nil"/>
              <w:left w:val="single" w:sz="4" w:space="0" w:color="auto"/>
              <w:bottom w:val="nil"/>
              <w:right w:val="nil"/>
            </w:tcBorders>
          </w:tcPr>
          <w:p w14:paraId="36CD24EE" w14:textId="77777777" w:rsidR="00342E14" w:rsidRPr="00342E14" w:rsidRDefault="00A20B1B" w:rsidP="00342E14">
            <w:pPr>
              <w:pStyle w:val="TSYList"/>
              <w:spacing w:before="0" w:after="0"/>
              <w:rPr>
                <w:rFonts w:eastAsiaTheme="minorHAnsi" w:cs="Arial"/>
                <w:sz w:val="24"/>
                <w:szCs w:val="24"/>
                <w:lang w:eastAsia="en-US"/>
              </w:rPr>
            </w:pPr>
            <w:r>
              <w:rPr>
                <w:sz w:val="24"/>
                <w:szCs w:val="24"/>
              </w:rPr>
              <w:t>Work is already underway within Government to consider the recommendation.</w:t>
            </w:r>
          </w:p>
        </w:tc>
      </w:tr>
      <w:tr w:rsidR="00342E14" w14:paraId="649A0E33" w14:textId="77777777" w:rsidTr="004C4D5D">
        <w:tc>
          <w:tcPr>
            <w:tcW w:w="9351" w:type="dxa"/>
            <w:gridSpan w:val="2"/>
            <w:tcBorders>
              <w:top w:val="nil"/>
              <w:left w:val="nil"/>
              <w:bottom w:val="nil"/>
              <w:right w:val="nil"/>
            </w:tcBorders>
            <w:shd w:val="clear" w:color="auto" w:fill="auto"/>
          </w:tcPr>
          <w:p w14:paraId="055D3A81" w14:textId="77777777" w:rsidR="00342E14" w:rsidRPr="00342E14" w:rsidRDefault="00342E14" w:rsidP="00342E14">
            <w:pPr>
              <w:pStyle w:val="TSYList"/>
              <w:spacing w:before="0" w:after="0"/>
              <w:jc w:val="left"/>
              <w:rPr>
                <w:rFonts w:eastAsiaTheme="minorHAnsi" w:cs="Arial"/>
                <w:sz w:val="24"/>
                <w:szCs w:val="24"/>
                <w:lang w:eastAsia="en-US"/>
              </w:rPr>
            </w:pPr>
          </w:p>
        </w:tc>
      </w:tr>
      <w:tr w:rsidR="00342E14" w14:paraId="652DF673" w14:textId="77777777" w:rsidTr="00355A52">
        <w:tc>
          <w:tcPr>
            <w:tcW w:w="2263" w:type="dxa"/>
            <w:tcBorders>
              <w:top w:val="single" w:sz="4" w:space="0" w:color="auto"/>
              <w:left w:val="single" w:sz="4" w:space="0" w:color="auto"/>
              <w:bottom w:val="single" w:sz="4" w:space="0" w:color="auto"/>
              <w:right w:val="single" w:sz="4" w:space="0" w:color="auto"/>
            </w:tcBorders>
            <w:shd w:val="clear" w:color="auto" w:fill="FFC000" w:themeFill="accent4"/>
          </w:tcPr>
          <w:p w14:paraId="051FA23B" w14:textId="77777777" w:rsidR="00342E14" w:rsidRPr="00342E14" w:rsidRDefault="00A20B1B" w:rsidP="00342E14">
            <w:pPr>
              <w:pStyle w:val="TSYList"/>
              <w:spacing w:before="0" w:after="0"/>
              <w:jc w:val="left"/>
              <w:rPr>
                <w:rFonts w:eastAsiaTheme="minorHAnsi" w:cs="Arial"/>
                <w:sz w:val="24"/>
                <w:szCs w:val="24"/>
                <w:lang w:eastAsia="en-US"/>
              </w:rPr>
            </w:pPr>
            <w:r>
              <w:rPr>
                <w:rFonts w:eastAsiaTheme="minorHAnsi" w:cs="Arial"/>
                <w:sz w:val="24"/>
                <w:szCs w:val="24"/>
                <w:lang w:eastAsia="en-US"/>
              </w:rPr>
              <w:t>Consider for w</w:t>
            </w:r>
            <w:r w:rsidR="00342E14" w:rsidRPr="00342E14">
              <w:rPr>
                <w:rFonts w:eastAsiaTheme="minorHAnsi" w:cs="Arial"/>
                <w:sz w:val="24"/>
                <w:szCs w:val="24"/>
                <w:lang w:eastAsia="en-US"/>
              </w:rPr>
              <w:t xml:space="preserve">ork </w:t>
            </w:r>
            <w:r w:rsidR="00080F7E">
              <w:rPr>
                <w:rFonts w:eastAsiaTheme="minorHAnsi" w:cs="Arial"/>
                <w:sz w:val="24"/>
                <w:szCs w:val="24"/>
                <w:lang w:eastAsia="en-US"/>
              </w:rPr>
              <w:t>P</w:t>
            </w:r>
            <w:r w:rsidR="00342E14" w:rsidRPr="00342E14">
              <w:rPr>
                <w:rFonts w:eastAsiaTheme="minorHAnsi" w:cs="Arial"/>
                <w:sz w:val="24"/>
                <w:szCs w:val="24"/>
                <w:lang w:eastAsia="en-US"/>
              </w:rPr>
              <w:t xml:space="preserve">rogramme </w:t>
            </w:r>
          </w:p>
        </w:tc>
        <w:tc>
          <w:tcPr>
            <w:tcW w:w="7088" w:type="dxa"/>
            <w:tcBorders>
              <w:top w:val="nil"/>
              <w:left w:val="single" w:sz="4" w:space="0" w:color="auto"/>
              <w:bottom w:val="nil"/>
              <w:right w:val="nil"/>
            </w:tcBorders>
          </w:tcPr>
          <w:p w14:paraId="299F73E6" w14:textId="77777777" w:rsidR="00342E14" w:rsidRPr="00342E14" w:rsidRDefault="00A20B1B" w:rsidP="002F1409">
            <w:pPr>
              <w:pStyle w:val="TSYList"/>
              <w:spacing w:before="0" w:after="0"/>
              <w:rPr>
                <w:rFonts w:eastAsiaTheme="minorHAnsi" w:cs="Arial"/>
                <w:sz w:val="24"/>
                <w:szCs w:val="24"/>
                <w:lang w:eastAsia="en-US"/>
              </w:rPr>
            </w:pPr>
            <w:r>
              <w:rPr>
                <w:sz w:val="24"/>
                <w:szCs w:val="24"/>
              </w:rPr>
              <w:t xml:space="preserve">The recommendation should be considered for inclusion in the 2019/20 </w:t>
            </w:r>
            <w:r w:rsidR="00286F5C">
              <w:rPr>
                <w:sz w:val="24"/>
                <w:szCs w:val="24"/>
              </w:rPr>
              <w:t>TPWP</w:t>
            </w:r>
            <w:r w:rsidR="00785A68">
              <w:rPr>
                <w:sz w:val="24"/>
                <w:szCs w:val="24"/>
              </w:rPr>
              <w:t xml:space="preserve"> and/</w:t>
            </w:r>
            <w:r>
              <w:rPr>
                <w:sz w:val="24"/>
                <w:szCs w:val="24"/>
              </w:rPr>
              <w:t xml:space="preserve">or </w:t>
            </w:r>
            <w:proofErr w:type="gramStart"/>
            <w:r>
              <w:rPr>
                <w:sz w:val="24"/>
                <w:szCs w:val="24"/>
              </w:rPr>
              <w:t>other</w:t>
            </w:r>
            <w:proofErr w:type="gramEnd"/>
            <w:r>
              <w:rPr>
                <w:sz w:val="24"/>
                <w:szCs w:val="24"/>
              </w:rPr>
              <w:t xml:space="preserve"> agency work programme.</w:t>
            </w:r>
          </w:p>
        </w:tc>
      </w:tr>
      <w:tr w:rsidR="00342E14" w14:paraId="58C9E4B4" w14:textId="77777777" w:rsidTr="00080F7E">
        <w:trPr>
          <w:trHeight w:val="209"/>
        </w:trPr>
        <w:tc>
          <w:tcPr>
            <w:tcW w:w="9351" w:type="dxa"/>
            <w:gridSpan w:val="2"/>
            <w:tcBorders>
              <w:top w:val="nil"/>
              <w:left w:val="nil"/>
              <w:bottom w:val="nil"/>
              <w:right w:val="nil"/>
            </w:tcBorders>
            <w:shd w:val="clear" w:color="auto" w:fill="auto"/>
          </w:tcPr>
          <w:p w14:paraId="2F5486F3" w14:textId="77777777" w:rsidR="00342E14" w:rsidRPr="00342E14" w:rsidRDefault="00342E14" w:rsidP="00342E14">
            <w:pPr>
              <w:pStyle w:val="TSYList"/>
              <w:spacing w:before="0" w:after="0"/>
              <w:jc w:val="left"/>
              <w:rPr>
                <w:rFonts w:eastAsiaTheme="minorHAnsi" w:cs="Arial"/>
                <w:sz w:val="24"/>
                <w:szCs w:val="24"/>
                <w:lang w:eastAsia="en-US"/>
              </w:rPr>
            </w:pPr>
          </w:p>
        </w:tc>
      </w:tr>
      <w:tr w:rsidR="00080F7E" w14:paraId="7FA451E3" w14:textId="77777777" w:rsidTr="00355A52">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ED7D31" w:themeFill="accent2"/>
          </w:tcPr>
          <w:p w14:paraId="5457B1B8" w14:textId="77777777" w:rsidR="00080F7E" w:rsidRPr="00342E14" w:rsidRDefault="00F72ACB" w:rsidP="00342E14">
            <w:pPr>
              <w:pStyle w:val="TSYList"/>
              <w:spacing w:before="0" w:after="0"/>
              <w:jc w:val="left"/>
              <w:rPr>
                <w:rFonts w:eastAsiaTheme="minorHAnsi" w:cs="Arial"/>
                <w:sz w:val="24"/>
                <w:szCs w:val="24"/>
              </w:rPr>
            </w:pPr>
            <w:r>
              <w:rPr>
                <w:sz w:val="24"/>
                <w:szCs w:val="24"/>
              </w:rPr>
              <w:t>Consider as a high priority</w:t>
            </w:r>
            <w:r w:rsidR="00A20B1B">
              <w:rPr>
                <w:sz w:val="24"/>
                <w:szCs w:val="24"/>
              </w:rPr>
              <w:t xml:space="preserve"> for work programme</w:t>
            </w:r>
          </w:p>
        </w:tc>
        <w:tc>
          <w:tcPr>
            <w:tcW w:w="7088" w:type="dxa"/>
            <w:tcBorders>
              <w:top w:val="nil"/>
              <w:left w:val="single" w:sz="4" w:space="0" w:color="auto"/>
              <w:bottom w:val="nil"/>
              <w:right w:val="nil"/>
            </w:tcBorders>
            <w:shd w:val="clear" w:color="auto" w:fill="auto"/>
          </w:tcPr>
          <w:p w14:paraId="4349C200" w14:textId="77777777" w:rsidR="00080F7E" w:rsidRPr="00342E14" w:rsidRDefault="00A20B1B" w:rsidP="002F1409">
            <w:pPr>
              <w:pStyle w:val="TSYList"/>
              <w:spacing w:before="0" w:after="0"/>
              <w:jc w:val="left"/>
              <w:rPr>
                <w:rFonts w:eastAsiaTheme="minorHAnsi" w:cs="Arial"/>
                <w:sz w:val="24"/>
                <w:szCs w:val="24"/>
              </w:rPr>
            </w:pPr>
            <w:bookmarkStart w:id="27" w:name="_Hlk4510848"/>
            <w:r>
              <w:rPr>
                <w:sz w:val="24"/>
                <w:szCs w:val="24"/>
              </w:rPr>
              <w:t>The recommendation should be</w:t>
            </w:r>
            <w:r w:rsidR="00F72ACB">
              <w:rPr>
                <w:sz w:val="24"/>
                <w:szCs w:val="24"/>
              </w:rPr>
              <w:t xml:space="preserve"> considered as a high</w:t>
            </w:r>
            <w:r>
              <w:rPr>
                <w:sz w:val="24"/>
                <w:szCs w:val="24"/>
              </w:rPr>
              <w:t xml:space="preserve"> priorit</w:t>
            </w:r>
            <w:r w:rsidR="00F72ACB">
              <w:rPr>
                <w:sz w:val="24"/>
                <w:szCs w:val="24"/>
              </w:rPr>
              <w:t>y</w:t>
            </w:r>
            <w:r>
              <w:rPr>
                <w:sz w:val="24"/>
                <w:szCs w:val="24"/>
              </w:rPr>
              <w:t xml:space="preserve"> for progression in the 2019/20 </w:t>
            </w:r>
            <w:r w:rsidR="00286F5C">
              <w:rPr>
                <w:sz w:val="24"/>
                <w:szCs w:val="24"/>
              </w:rPr>
              <w:t>TPWP</w:t>
            </w:r>
            <w:r w:rsidR="00785A68">
              <w:rPr>
                <w:sz w:val="24"/>
                <w:szCs w:val="24"/>
              </w:rPr>
              <w:t xml:space="preserve"> and/</w:t>
            </w:r>
            <w:r>
              <w:rPr>
                <w:sz w:val="24"/>
                <w:szCs w:val="24"/>
              </w:rPr>
              <w:t xml:space="preserve">or </w:t>
            </w:r>
            <w:proofErr w:type="gramStart"/>
            <w:r>
              <w:rPr>
                <w:sz w:val="24"/>
                <w:szCs w:val="24"/>
              </w:rPr>
              <w:t>other</w:t>
            </w:r>
            <w:proofErr w:type="gramEnd"/>
            <w:r>
              <w:rPr>
                <w:sz w:val="24"/>
                <w:szCs w:val="24"/>
              </w:rPr>
              <w:t xml:space="preserve"> agency work programme.</w:t>
            </w:r>
            <w:bookmarkEnd w:id="27"/>
          </w:p>
        </w:tc>
      </w:tr>
    </w:tbl>
    <w:p w14:paraId="5DE67423" w14:textId="77777777" w:rsidR="004C4D5D" w:rsidRDefault="004C4D5D" w:rsidP="00895779">
      <w:pPr>
        <w:rPr>
          <w:rFonts w:ascii="Arial" w:hAnsi="Arial" w:cs="Arial"/>
          <w:sz w:val="24"/>
          <w:szCs w:val="24"/>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
        <w:gridCol w:w="552"/>
        <w:gridCol w:w="6520"/>
        <w:gridCol w:w="3105"/>
      </w:tblGrid>
      <w:tr w:rsidR="00DF0110" w:rsidRPr="006D32A5" w14:paraId="6ED46B38" w14:textId="77777777" w:rsidTr="00355A52">
        <w:trPr>
          <w:tblHeader/>
        </w:trPr>
        <w:tc>
          <w:tcPr>
            <w:tcW w:w="276" w:type="pct"/>
            <w:gridSpan w:val="2"/>
            <w:shd w:val="clear" w:color="auto" w:fill="D9D9D9"/>
          </w:tcPr>
          <w:p w14:paraId="6D025A86" w14:textId="77777777" w:rsidR="00DF0110" w:rsidRPr="00C46970" w:rsidRDefault="00DF0110" w:rsidP="00342E14">
            <w:pPr>
              <w:widowControl w:val="0"/>
              <w:spacing w:line="280" w:lineRule="atLeast"/>
              <w:rPr>
                <w:rFonts w:ascii="Arial" w:hAnsi="Arial" w:cs="Arial"/>
                <w:b/>
              </w:rPr>
            </w:pPr>
            <w:r w:rsidRPr="00C46970">
              <w:rPr>
                <w:rFonts w:ascii="Arial" w:hAnsi="Arial" w:cs="Arial"/>
                <w:b/>
              </w:rPr>
              <w:t>Rec</w:t>
            </w:r>
          </w:p>
        </w:tc>
        <w:tc>
          <w:tcPr>
            <w:tcW w:w="3200" w:type="pct"/>
            <w:shd w:val="clear" w:color="auto" w:fill="D9D9D9"/>
            <w:tcMar>
              <w:top w:w="0" w:type="dxa"/>
              <w:left w:w="108" w:type="dxa"/>
              <w:bottom w:w="0" w:type="dxa"/>
              <w:right w:w="108" w:type="dxa"/>
            </w:tcMar>
          </w:tcPr>
          <w:p w14:paraId="0E57B188" w14:textId="77777777" w:rsidR="00DF0110" w:rsidRPr="00C46970" w:rsidRDefault="00DF0110" w:rsidP="00342E14">
            <w:pPr>
              <w:widowControl w:val="0"/>
              <w:spacing w:line="280" w:lineRule="atLeast"/>
              <w:rPr>
                <w:rFonts w:ascii="Arial" w:hAnsi="Arial" w:cs="Arial"/>
                <w:b/>
              </w:rPr>
            </w:pPr>
            <w:r w:rsidRPr="00C46970">
              <w:rPr>
                <w:rFonts w:ascii="Arial" w:hAnsi="Arial" w:cs="Arial"/>
                <w:b/>
              </w:rPr>
              <w:t>TWG Final Report Recommendation</w:t>
            </w:r>
          </w:p>
        </w:tc>
        <w:tc>
          <w:tcPr>
            <w:tcW w:w="1524" w:type="pct"/>
            <w:shd w:val="clear" w:color="auto" w:fill="D9D9D9"/>
            <w:tcMar>
              <w:top w:w="0" w:type="dxa"/>
              <w:left w:w="108" w:type="dxa"/>
              <w:bottom w:w="0" w:type="dxa"/>
              <w:right w:w="108" w:type="dxa"/>
            </w:tcMar>
          </w:tcPr>
          <w:p w14:paraId="554262C8" w14:textId="77777777" w:rsidR="00DF0110" w:rsidRPr="00C46970" w:rsidRDefault="00247935" w:rsidP="00342E14">
            <w:pPr>
              <w:widowControl w:val="0"/>
              <w:rPr>
                <w:rFonts w:ascii="Arial" w:hAnsi="Arial" w:cs="Arial"/>
                <w:b/>
              </w:rPr>
            </w:pPr>
            <w:r w:rsidRPr="00C46970">
              <w:rPr>
                <w:rFonts w:ascii="Arial" w:hAnsi="Arial" w:cs="Arial"/>
                <w:b/>
              </w:rPr>
              <w:t>Response</w:t>
            </w:r>
          </w:p>
        </w:tc>
      </w:tr>
      <w:tr w:rsidR="00342E14" w:rsidRPr="006D32A5" w14:paraId="49CB7786" w14:textId="77777777" w:rsidTr="00DF0110">
        <w:trPr>
          <w:trHeight w:val="387"/>
        </w:trPr>
        <w:tc>
          <w:tcPr>
            <w:tcW w:w="5000" w:type="pct"/>
            <w:gridSpan w:val="4"/>
            <w:shd w:val="clear" w:color="auto" w:fill="000000" w:themeFill="text1"/>
          </w:tcPr>
          <w:p w14:paraId="66223801" w14:textId="77777777" w:rsidR="00342E14" w:rsidRPr="00C46970" w:rsidRDefault="004232F2" w:rsidP="00342E14">
            <w:pPr>
              <w:widowControl w:val="0"/>
              <w:spacing w:line="280" w:lineRule="atLeast"/>
              <w:ind w:left="94"/>
              <w:rPr>
                <w:rFonts w:ascii="Arial" w:hAnsi="Arial" w:cs="Arial"/>
                <w:b/>
                <w:color w:val="FFFFFF" w:themeColor="background1"/>
              </w:rPr>
            </w:pPr>
            <w:r>
              <w:rPr>
                <w:rFonts w:ascii="Arial" w:hAnsi="Arial" w:cs="Arial"/>
                <w:b/>
                <w:color w:val="FFFFFF" w:themeColor="background1"/>
              </w:rPr>
              <w:t>Capital gains taxation</w:t>
            </w:r>
          </w:p>
        </w:tc>
      </w:tr>
      <w:tr w:rsidR="006F5133" w:rsidRPr="006D32A5" w14:paraId="533EA5E3" w14:textId="77777777" w:rsidTr="003D08B3">
        <w:trPr>
          <w:trHeight w:val="1433"/>
        </w:trPr>
        <w:tc>
          <w:tcPr>
            <w:tcW w:w="276" w:type="pct"/>
            <w:gridSpan w:val="2"/>
            <w:vMerge w:val="restart"/>
            <w:shd w:val="clear" w:color="auto" w:fill="auto"/>
          </w:tcPr>
          <w:p w14:paraId="1DB51E82" w14:textId="77777777" w:rsidR="006F5133" w:rsidRPr="00C46970" w:rsidRDefault="006F5133" w:rsidP="00A82F8F">
            <w:pPr>
              <w:widowControl w:val="0"/>
              <w:spacing w:line="280" w:lineRule="atLeast"/>
              <w:rPr>
                <w:rFonts w:ascii="Arial" w:hAnsi="Arial" w:cs="Arial"/>
              </w:rPr>
            </w:pPr>
            <w:r w:rsidRPr="00C46970">
              <w:rPr>
                <w:rFonts w:ascii="Arial" w:hAnsi="Arial" w:cs="Arial"/>
              </w:rPr>
              <w:t>1</w:t>
            </w:r>
            <w:r>
              <w:rPr>
                <w:rFonts w:ascii="Arial" w:hAnsi="Arial" w:cs="Arial"/>
              </w:rPr>
              <w:t>, 2</w:t>
            </w:r>
          </w:p>
          <w:p w14:paraId="48601800" w14:textId="77777777" w:rsidR="006F5133" w:rsidRPr="00C46970" w:rsidRDefault="006F5133" w:rsidP="00342E14">
            <w:pPr>
              <w:widowControl w:val="0"/>
              <w:spacing w:line="280" w:lineRule="atLeast"/>
              <w:rPr>
                <w:rFonts w:ascii="Arial" w:hAnsi="Arial" w:cs="Arial"/>
              </w:rPr>
            </w:pPr>
          </w:p>
        </w:tc>
        <w:tc>
          <w:tcPr>
            <w:tcW w:w="3200" w:type="pct"/>
            <w:vMerge w:val="restart"/>
            <w:shd w:val="clear" w:color="auto" w:fill="auto"/>
            <w:tcMar>
              <w:top w:w="0" w:type="dxa"/>
              <w:left w:w="108" w:type="dxa"/>
              <w:bottom w:w="0" w:type="dxa"/>
              <w:right w:w="108" w:type="dxa"/>
            </w:tcMar>
          </w:tcPr>
          <w:p w14:paraId="29858960" w14:textId="77777777" w:rsidR="006F5133" w:rsidRPr="00C46970" w:rsidRDefault="006F5133" w:rsidP="00A82F8F">
            <w:pPr>
              <w:widowControl w:val="0"/>
              <w:spacing w:line="280" w:lineRule="atLeast"/>
              <w:rPr>
                <w:rFonts w:ascii="Arial" w:hAnsi="Arial" w:cs="Arial"/>
              </w:rPr>
            </w:pPr>
            <w:r w:rsidRPr="00C46970">
              <w:rPr>
                <w:rFonts w:ascii="Arial" w:hAnsi="Arial" w:cs="Arial"/>
              </w:rPr>
              <w:t>The majority of the TWG recommends a broad extension of the taxation of capital gains.</w:t>
            </w:r>
          </w:p>
          <w:p w14:paraId="02F3E565" w14:textId="77777777" w:rsidR="006F5133" w:rsidRPr="00C46970" w:rsidRDefault="006F5133" w:rsidP="00342E14">
            <w:pPr>
              <w:widowControl w:val="0"/>
              <w:spacing w:line="280" w:lineRule="atLeast"/>
              <w:rPr>
                <w:rFonts w:ascii="Arial" w:hAnsi="Arial" w:cs="Arial"/>
              </w:rPr>
            </w:pPr>
            <w:r w:rsidRPr="00C46970">
              <w:rPr>
                <w:rFonts w:ascii="Arial" w:hAnsi="Arial" w:cs="Arial"/>
              </w:rPr>
              <w:t xml:space="preserve">If a broad extension of capital gains taxation was adopted, the TWG recommends that it have the characteristics detailed in Volume II of </w:t>
            </w:r>
            <w:r>
              <w:rPr>
                <w:rFonts w:ascii="Arial" w:hAnsi="Arial" w:cs="Arial"/>
              </w:rPr>
              <w:t>the TWG</w:t>
            </w:r>
            <w:r w:rsidRPr="00C46970">
              <w:rPr>
                <w:rFonts w:ascii="Arial" w:hAnsi="Arial" w:cs="Arial"/>
              </w:rPr>
              <w:t xml:space="preserve"> report.</w:t>
            </w:r>
          </w:p>
        </w:tc>
        <w:tc>
          <w:tcPr>
            <w:tcW w:w="1524" w:type="pct"/>
            <w:shd w:val="clear" w:color="auto" w:fill="D0CECE" w:themeFill="background2" w:themeFillShade="E6"/>
            <w:tcMar>
              <w:top w:w="0" w:type="dxa"/>
              <w:left w:w="108" w:type="dxa"/>
              <w:bottom w:w="0" w:type="dxa"/>
              <w:right w:w="108" w:type="dxa"/>
            </w:tcMar>
          </w:tcPr>
          <w:p w14:paraId="61B40C09" w14:textId="77777777" w:rsidR="006F5133" w:rsidRPr="00C46970" w:rsidRDefault="006F5133" w:rsidP="0096247D">
            <w:pPr>
              <w:widowControl w:val="0"/>
              <w:rPr>
                <w:rFonts w:ascii="Arial" w:hAnsi="Arial" w:cs="Arial"/>
                <w:b/>
              </w:rPr>
            </w:pPr>
            <w:r>
              <w:rPr>
                <w:rFonts w:ascii="Arial" w:hAnsi="Arial" w:cs="Arial"/>
                <w:b/>
              </w:rPr>
              <w:t>Agree n</w:t>
            </w:r>
            <w:r w:rsidRPr="00093B5A">
              <w:rPr>
                <w:rFonts w:ascii="Arial" w:hAnsi="Arial" w:cs="Arial"/>
                <w:b/>
              </w:rPr>
              <w:t>o further work required</w:t>
            </w:r>
            <w:r>
              <w:rPr>
                <w:rFonts w:ascii="Arial" w:hAnsi="Arial" w:cs="Arial"/>
                <w:b/>
              </w:rPr>
              <w:t xml:space="preserve"> on these recommendations.  </w:t>
            </w:r>
          </w:p>
        </w:tc>
      </w:tr>
      <w:tr w:rsidR="006F5133" w:rsidRPr="006D32A5" w14:paraId="26FF56FC" w14:textId="77777777" w:rsidTr="00B42D4C">
        <w:tc>
          <w:tcPr>
            <w:tcW w:w="276" w:type="pct"/>
            <w:gridSpan w:val="2"/>
            <w:vMerge/>
            <w:shd w:val="clear" w:color="auto" w:fill="auto"/>
          </w:tcPr>
          <w:p w14:paraId="256EE689" w14:textId="77777777" w:rsidR="006F5133" w:rsidRPr="00C46970" w:rsidRDefault="006F5133" w:rsidP="00342E14">
            <w:pPr>
              <w:widowControl w:val="0"/>
              <w:spacing w:line="280" w:lineRule="atLeast"/>
              <w:rPr>
                <w:rFonts w:ascii="Arial" w:hAnsi="Arial" w:cs="Arial"/>
              </w:rPr>
            </w:pPr>
          </w:p>
        </w:tc>
        <w:tc>
          <w:tcPr>
            <w:tcW w:w="3200" w:type="pct"/>
            <w:vMerge/>
            <w:shd w:val="clear" w:color="auto" w:fill="auto"/>
            <w:tcMar>
              <w:top w:w="0" w:type="dxa"/>
              <w:left w:w="108" w:type="dxa"/>
              <w:bottom w:w="0" w:type="dxa"/>
              <w:right w:w="108" w:type="dxa"/>
            </w:tcMar>
          </w:tcPr>
          <w:p w14:paraId="2A8ECCEB" w14:textId="77777777" w:rsidR="006F5133" w:rsidRPr="00C46970" w:rsidRDefault="006F5133" w:rsidP="00342E14">
            <w:pPr>
              <w:widowControl w:val="0"/>
              <w:spacing w:line="280" w:lineRule="atLeast"/>
              <w:rPr>
                <w:rFonts w:ascii="Arial" w:hAnsi="Arial" w:cs="Arial"/>
              </w:rPr>
            </w:pPr>
          </w:p>
        </w:tc>
        <w:tc>
          <w:tcPr>
            <w:tcW w:w="1524" w:type="pct"/>
            <w:shd w:val="clear" w:color="auto" w:fill="ED7D31" w:themeFill="accent2"/>
            <w:tcMar>
              <w:top w:w="0" w:type="dxa"/>
              <w:left w:w="108" w:type="dxa"/>
              <w:bottom w:w="0" w:type="dxa"/>
              <w:right w:w="108" w:type="dxa"/>
            </w:tcMar>
          </w:tcPr>
          <w:p w14:paraId="43582139" w14:textId="749E3C7D" w:rsidR="006F5133" w:rsidRPr="00C46970" w:rsidRDefault="006F5133" w:rsidP="00EB401F">
            <w:pPr>
              <w:widowControl w:val="0"/>
              <w:rPr>
                <w:rFonts w:ascii="Arial" w:hAnsi="Arial" w:cs="Arial"/>
                <w:b/>
              </w:rPr>
            </w:pPr>
            <w:r>
              <w:rPr>
                <w:rFonts w:ascii="Arial" w:hAnsi="Arial" w:cs="Arial"/>
                <w:b/>
              </w:rPr>
              <w:t xml:space="preserve">The Government intends to explore options for taxing vacant land </w:t>
            </w:r>
            <w:r w:rsidR="00EB401F" w:rsidRPr="006744F6">
              <w:rPr>
                <w:rFonts w:ascii="Arial" w:hAnsi="Arial" w:cs="Arial"/>
              </w:rPr>
              <w:t>including as recommended by the TWG, directing the Productivity Commission to include vacant land taxes within its inquiry into local government funding and financing</w:t>
            </w:r>
            <w:r w:rsidR="00EB401F">
              <w:rPr>
                <w:rFonts w:ascii="Arial" w:hAnsi="Arial" w:cs="Arial"/>
              </w:rPr>
              <w:t xml:space="preserve"> </w:t>
            </w:r>
            <w:r>
              <w:rPr>
                <w:rFonts w:ascii="Arial" w:hAnsi="Arial" w:cs="Arial"/>
                <w:b/>
              </w:rPr>
              <w:t xml:space="preserve">and seek a review of the current rules of taxing land speculators as a high priority for the </w:t>
            </w:r>
            <w:r w:rsidRPr="006744F6">
              <w:rPr>
                <w:rFonts w:ascii="Arial" w:hAnsi="Arial" w:cs="Arial"/>
                <w:b/>
              </w:rPr>
              <w:t xml:space="preserve">work programme </w:t>
            </w:r>
            <w:r w:rsidRPr="00FA43D8">
              <w:rPr>
                <w:rFonts w:ascii="Arial" w:hAnsi="Arial" w:cs="Arial"/>
              </w:rPr>
              <w:t>(TPWP)</w:t>
            </w:r>
            <w:r w:rsidR="006744F6" w:rsidRPr="006744F6">
              <w:rPr>
                <w:rFonts w:ascii="Arial" w:hAnsi="Arial" w:cs="Arial"/>
              </w:rPr>
              <w:t xml:space="preserve">.  </w:t>
            </w:r>
            <w:r w:rsidR="00077F03">
              <w:rPr>
                <w:rFonts w:ascii="Arial" w:hAnsi="Arial" w:cs="Arial"/>
              </w:rPr>
              <w:t>(see response to recommendations 96 and 97)</w:t>
            </w:r>
            <w:r w:rsidRPr="00133987">
              <w:rPr>
                <w:rFonts w:ascii="Arial" w:hAnsi="Arial" w:cs="Arial"/>
              </w:rPr>
              <w:t>.</w:t>
            </w:r>
          </w:p>
        </w:tc>
      </w:tr>
      <w:tr w:rsidR="00342E14" w:rsidRPr="006D32A5" w14:paraId="46082D36" w14:textId="77777777" w:rsidTr="00DF0110">
        <w:trPr>
          <w:trHeight w:val="369"/>
        </w:trPr>
        <w:tc>
          <w:tcPr>
            <w:tcW w:w="5000" w:type="pct"/>
            <w:gridSpan w:val="4"/>
            <w:shd w:val="clear" w:color="auto" w:fill="000000" w:themeFill="text1"/>
            <w:vAlign w:val="center"/>
          </w:tcPr>
          <w:p w14:paraId="2CB8BBC5" w14:textId="77777777" w:rsidR="00342E14" w:rsidRPr="00C46970" w:rsidRDefault="00342E14" w:rsidP="00342E14">
            <w:pPr>
              <w:keepNext/>
              <w:widowControl w:val="0"/>
              <w:ind w:left="94"/>
              <w:rPr>
                <w:rFonts w:ascii="Arial" w:hAnsi="Arial" w:cs="Arial"/>
                <w:color w:val="FFFFFF" w:themeColor="background1"/>
                <w:highlight w:val="yellow"/>
              </w:rPr>
            </w:pPr>
            <w:r w:rsidRPr="00C46970">
              <w:rPr>
                <w:rFonts w:ascii="Arial" w:hAnsi="Arial" w:cs="Arial"/>
                <w:b/>
                <w:color w:val="FFFFFF" w:themeColor="background1"/>
              </w:rPr>
              <w:t>Capital and wealth</w:t>
            </w:r>
          </w:p>
        </w:tc>
      </w:tr>
      <w:tr w:rsidR="00DF0110" w:rsidRPr="006D32A5" w14:paraId="6D537923" w14:textId="77777777" w:rsidTr="00355A52">
        <w:trPr>
          <w:trHeight w:val="441"/>
        </w:trPr>
        <w:tc>
          <w:tcPr>
            <w:tcW w:w="276" w:type="pct"/>
            <w:gridSpan w:val="2"/>
            <w:shd w:val="clear" w:color="auto" w:fill="FFFFFF"/>
          </w:tcPr>
          <w:p w14:paraId="42BB56BF"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 xml:space="preserve">3  </w:t>
            </w:r>
          </w:p>
        </w:tc>
        <w:tc>
          <w:tcPr>
            <w:tcW w:w="3200" w:type="pct"/>
            <w:shd w:val="clear" w:color="auto" w:fill="FFFFFF"/>
            <w:tcMar>
              <w:top w:w="0" w:type="dxa"/>
              <w:left w:w="108" w:type="dxa"/>
              <w:bottom w:w="0" w:type="dxa"/>
              <w:right w:w="108" w:type="dxa"/>
            </w:tcMar>
          </w:tcPr>
          <w:p w14:paraId="27FBA6F8"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Do not introduce a wealth tax.</w:t>
            </w:r>
          </w:p>
        </w:tc>
        <w:tc>
          <w:tcPr>
            <w:tcW w:w="1524" w:type="pct"/>
            <w:shd w:val="clear" w:color="auto" w:fill="70AD47" w:themeFill="accent6"/>
            <w:tcMar>
              <w:top w:w="0" w:type="dxa"/>
              <w:left w:w="108" w:type="dxa"/>
              <w:bottom w:w="0" w:type="dxa"/>
              <w:right w:w="108" w:type="dxa"/>
            </w:tcMar>
          </w:tcPr>
          <w:p w14:paraId="7C4139CD" w14:textId="77777777" w:rsidR="00DF0110" w:rsidRPr="00355A52" w:rsidRDefault="00355A52" w:rsidP="00342E14">
            <w:pPr>
              <w:keepNext/>
              <w:widowControl w:val="0"/>
              <w:rPr>
                <w:rFonts w:ascii="Arial" w:hAnsi="Arial" w:cs="Arial"/>
                <w:b/>
              </w:rPr>
            </w:pPr>
            <w:r w:rsidRPr="00355A52">
              <w:rPr>
                <w:rFonts w:ascii="Arial" w:hAnsi="Arial" w:cs="Arial"/>
                <w:b/>
              </w:rPr>
              <w:t>Endorse the TWG recommendation</w:t>
            </w:r>
          </w:p>
        </w:tc>
      </w:tr>
      <w:tr w:rsidR="00DF0110" w:rsidRPr="006D32A5" w14:paraId="1B189549" w14:textId="77777777" w:rsidTr="00355A52">
        <w:trPr>
          <w:trHeight w:val="395"/>
        </w:trPr>
        <w:tc>
          <w:tcPr>
            <w:tcW w:w="276" w:type="pct"/>
            <w:gridSpan w:val="2"/>
            <w:shd w:val="clear" w:color="auto" w:fill="FFFFFF"/>
          </w:tcPr>
          <w:p w14:paraId="365B23BC"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4  </w:t>
            </w:r>
          </w:p>
        </w:tc>
        <w:tc>
          <w:tcPr>
            <w:tcW w:w="3200" w:type="pct"/>
            <w:shd w:val="clear" w:color="auto" w:fill="FFFFFF"/>
            <w:tcMar>
              <w:top w:w="0" w:type="dxa"/>
              <w:left w:w="108" w:type="dxa"/>
              <w:bottom w:w="0" w:type="dxa"/>
              <w:right w:w="108" w:type="dxa"/>
            </w:tcMar>
          </w:tcPr>
          <w:p w14:paraId="6176AC0D" w14:textId="77777777" w:rsidR="00DF0110" w:rsidRPr="00C46970" w:rsidRDefault="00DF0110" w:rsidP="00342E14">
            <w:pPr>
              <w:widowControl w:val="0"/>
              <w:spacing w:line="280" w:lineRule="atLeast"/>
              <w:rPr>
                <w:rFonts w:ascii="Arial" w:hAnsi="Arial" w:cs="Arial"/>
              </w:rPr>
            </w:pPr>
            <w:r w:rsidRPr="00C46970">
              <w:rPr>
                <w:rFonts w:ascii="Arial" w:hAnsi="Arial" w:cs="Arial"/>
              </w:rPr>
              <w:t>Do not introduce a land tax.</w:t>
            </w:r>
          </w:p>
        </w:tc>
        <w:tc>
          <w:tcPr>
            <w:tcW w:w="1524" w:type="pct"/>
            <w:shd w:val="clear" w:color="auto" w:fill="70AD47" w:themeFill="accent6"/>
            <w:tcMar>
              <w:top w:w="0" w:type="dxa"/>
              <w:left w:w="108" w:type="dxa"/>
              <w:bottom w:w="0" w:type="dxa"/>
              <w:right w:w="108" w:type="dxa"/>
            </w:tcMar>
          </w:tcPr>
          <w:p w14:paraId="20B356E0" w14:textId="77777777" w:rsidR="00DF0110" w:rsidRPr="00355A52" w:rsidRDefault="00355A52" w:rsidP="00342E14">
            <w:pPr>
              <w:widowControl w:val="0"/>
              <w:rPr>
                <w:rFonts w:ascii="Arial" w:hAnsi="Arial" w:cs="Arial"/>
                <w:b/>
              </w:rPr>
            </w:pPr>
            <w:r w:rsidRPr="00355A52">
              <w:rPr>
                <w:rFonts w:ascii="Arial" w:hAnsi="Arial" w:cs="Arial"/>
                <w:b/>
              </w:rPr>
              <w:t>Endorse the TWG recommendation</w:t>
            </w:r>
          </w:p>
        </w:tc>
      </w:tr>
      <w:tr w:rsidR="00342E14" w:rsidRPr="006D32A5" w14:paraId="0EFDFD25" w14:textId="77777777" w:rsidTr="00DF0110">
        <w:trPr>
          <w:trHeight w:val="386"/>
        </w:trPr>
        <w:tc>
          <w:tcPr>
            <w:tcW w:w="5000" w:type="pct"/>
            <w:gridSpan w:val="4"/>
            <w:shd w:val="clear" w:color="auto" w:fill="000000" w:themeFill="text1"/>
            <w:vAlign w:val="center"/>
          </w:tcPr>
          <w:p w14:paraId="1923D70E" w14:textId="77777777" w:rsidR="00342E14" w:rsidRPr="00C46970" w:rsidRDefault="00342E14" w:rsidP="00342E14">
            <w:pPr>
              <w:widowControl w:val="0"/>
              <w:ind w:left="94"/>
              <w:rPr>
                <w:rFonts w:ascii="Arial" w:hAnsi="Arial" w:cs="Arial"/>
                <w:color w:val="FFFFFF" w:themeColor="background1"/>
              </w:rPr>
            </w:pPr>
            <w:r w:rsidRPr="00C46970">
              <w:rPr>
                <w:rFonts w:ascii="Arial" w:hAnsi="Arial" w:cs="Arial"/>
                <w:b/>
                <w:color w:val="FFFFFF" w:themeColor="background1"/>
              </w:rPr>
              <w:t>Environmental and ecological outcomes</w:t>
            </w:r>
          </w:p>
        </w:tc>
      </w:tr>
      <w:tr w:rsidR="0031006F" w:rsidRPr="006D32A5" w14:paraId="34BB9588" w14:textId="77777777" w:rsidTr="00355A52">
        <w:tc>
          <w:tcPr>
            <w:tcW w:w="276" w:type="pct"/>
            <w:gridSpan w:val="2"/>
            <w:vMerge w:val="restart"/>
            <w:shd w:val="clear" w:color="auto" w:fill="FFFFFF"/>
          </w:tcPr>
          <w:p w14:paraId="40E52BBD" w14:textId="77777777" w:rsidR="0031006F" w:rsidRPr="00C46970" w:rsidRDefault="0031006F" w:rsidP="00342E14">
            <w:pPr>
              <w:widowControl w:val="0"/>
              <w:spacing w:line="280" w:lineRule="atLeast"/>
              <w:rPr>
                <w:rFonts w:ascii="Arial" w:hAnsi="Arial" w:cs="Arial"/>
              </w:rPr>
            </w:pPr>
            <w:r w:rsidRPr="00C46970">
              <w:rPr>
                <w:rFonts w:ascii="Arial" w:hAnsi="Arial" w:cs="Arial"/>
              </w:rPr>
              <w:t xml:space="preserve">5   </w:t>
            </w:r>
          </w:p>
        </w:tc>
        <w:tc>
          <w:tcPr>
            <w:tcW w:w="3200" w:type="pct"/>
            <w:vMerge w:val="restart"/>
            <w:shd w:val="clear" w:color="auto" w:fill="FFFFFF"/>
            <w:tcMar>
              <w:top w:w="0" w:type="dxa"/>
              <w:left w:w="108" w:type="dxa"/>
              <w:bottom w:w="0" w:type="dxa"/>
              <w:right w:w="108" w:type="dxa"/>
            </w:tcMar>
          </w:tcPr>
          <w:p w14:paraId="32CBCD73" w14:textId="77777777" w:rsidR="0031006F" w:rsidRPr="00C46970" w:rsidRDefault="0031006F" w:rsidP="00342E14">
            <w:pPr>
              <w:widowControl w:val="0"/>
              <w:spacing w:line="280" w:lineRule="atLeast"/>
              <w:rPr>
                <w:rFonts w:ascii="Arial" w:hAnsi="Arial" w:cs="Arial"/>
                <w:b/>
                <w:highlight w:val="yellow"/>
              </w:rPr>
            </w:pPr>
            <w:r w:rsidRPr="00C46970">
              <w:rPr>
                <w:rFonts w:ascii="Arial" w:hAnsi="Arial" w:cs="Arial"/>
              </w:rPr>
              <w:t>Adopt the TWG’s framework for taxing negative environmental externalities.</w:t>
            </w:r>
          </w:p>
        </w:tc>
        <w:tc>
          <w:tcPr>
            <w:tcW w:w="1524" w:type="pct"/>
            <w:shd w:val="clear" w:color="auto" w:fill="FFC000" w:themeFill="accent4"/>
            <w:tcMar>
              <w:top w:w="0" w:type="dxa"/>
              <w:left w:w="108" w:type="dxa"/>
              <w:bottom w:w="0" w:type="dxa"/>
              <w:right w:w="108" w:type="dxa"/>
            </w:tcMar>
          </w:tcPr>
          <w:p w14:paraId="4F957BCF" w14:textId="77777777" w:rsidR="0031006F" w:rsidRPr="00C46970" w:rsidRDefault="0031006F" w:rsidP="00342E14">
            <w:pPr>
              <w:widowControl w:val="0"/>
              <w:rPr>
                <w:rFonts w:ascii="Arial" w:hAnsi="Arial" w:cs="Arial"/>
              </w:rPr>
            </w:pPr>
            <w:r w:rsidRPr="00457A5C">
              <w:rPr>
                <w:rFonts w:ascii="Arial" w:hAnsi="Arial" w:cs="Arial"/>
                <w:b/>
              </w:rPr>
              <w:t xml:space="preserve">Consider for </w:t>
            </w:r>
            <w:r>
              <w:rPr>
                <w:rFonts w:ascii="Arial" w:hAnsi="Arial" w:cs="Arial"/>
                <w:b/>
              </w:rPr>
              <w:t xml:space="preserve">inclusion on </w:t>
            </w:r>
            <w:r w:rsidRPr="00457A5C">
              <w:rPr>
                <w:rFonts w:ascii="Arial" w:hAnsi="Arial" w:cs="Arial"/>
                <w:b/>
              </w:rPr>
              <w:t xml:space="preserve">work programme </w:t>
            </w:r>
            <w:r w:rsidRPr="00457A5C">
              <w:rPr>
                <w:rFonts w:ascii="Arial" w:hAnsi="Arial" w:cs="Arial"/>
              </w:rPr>
              <w:t>(</w:t>
            </w:r>
            <w:r>
              <w:rPr>
                <w:rFonts w:ascii="Arial" w:hAnsi="Arial" w:cs="Arial"/>
              </w:rPr>
              <w:t xml:space="preserve">TPWP and </w:t>
            </w:r>
            <w:r w:rsidRPr="00D9036C">
              <w:rPr>
                <w:rFonts w:ascii="Arial" w:hAnsi="Arial" w:cs="Arial"/>
                <w:szCs w:val="24"/>
              </w:rPr>
              <w:t>Ministry for the Environment</w:t>
            </w:r>
            <w:r>
              <w:rPr>
                <w:rFonts w:ascii="Arial" w:hAnsi="Arial" w:cs="Arial"/>
                <w:szCs w:val="24"/>
              </w:rPr>
              <w:t>)</w:t>
            </w:r>
          </w:p>
        </w:tc>
      </w:tr>
      <w:tr w:rsidR="0031006F" w:rsidRPr="006D32A5" w14:paraId="37C71108" w14:textId="77777777" w:rsidTr="00133987">
        <w:tc>
          <w:tcPr>
            <w:tcW w:w="276" w:type="pct"/>
            <w:gridSpan w:val="2"/>
            <w:vMerge/>
            <w:shd w:val="clear" w:color="auto" w:fill="FFFFFF"/>
          </w:tcPr>
          <w:p w14:paraId="7848E31E" w14:textId="77777777" w:rsidR="0031006F" w:rsidRPr="00C46970" w:rsidRDefault="0031006F" w:rsidP="00342E14">
            <w:pPr>
              <w:widowControl w:val="0"/>
              <w:spacing w:line="280" w:lineRule="atLeast"/>
              <w:rPr>
                <w:rFonts w:ascii="Arial" w:hAnsi="Arial" w:cs="Arial"/>
              </w:rPr>
            </w:pPr>
          </w:p>
        </w:tc>
        <w:tc>
          <w:tcPr>
            <w:tcW w:w="3200" w:type="pct"/>
            <w:vMerge/>
            <w:shd w:val="clear" w:color="auto" w:fill="FFFFFF"/>
            <w:tcMar>
              <w:top w:w="0" w:type="dxa"/>
              <w:left w:w="108" w:type="dxa"/>
              <w:bottom w:w="0" w:type="dxa"/>
              <w:right w:w="108" w:type="dxa"/>
            </w:tcMar>
          </w:tcPr>
          <w:p w14:paraId="1F3DF0B5" w14:textId="77777777" w:rsidR="0031006F" w:rsidRPr="00C46970" w:rsidRDefault="0031006F" w:rsidP="00342E14">
            <w:pPr>
              <w:widowControl w:val="0"/>
              <w:spacing w:line="280" w:lineRule="atLeast"/>
              <w:rPr>
                <w:rFonts w:ascii="Arial" w:hAnsi="Arial" w:cs="Arial"/>
              </w:rPr>
            </w:pPr>
          </w:p>
        </w:tc>
        <w:tc>
          <w:tcPr>
            <w:tcW w:w="1524" w:type="pct"/>
            <w:shd w:val="clear" w:color="auto" w:fill="D0CECE" w:themeFill="background2" w:themeFillShade="E6"/>
            <w:tcMar>
              <w:top w:w="0" w:type="dxa"/>
              <w:left w:w="108" w:type="dxa"/>
              <w:bottom w:w="0" w:type="dxa"/>
              <w:right w:w="108" w:type="dxa"/>
            </w:tcMar>
          </w:tcPr>
          <w:p w14:paraId="26481E81" w14:textId="5DE44718" w:rsidR="0031006F" w:rsidRPr="0031006F" w:rsidRDefault="0031006F" w:rsidP="0031006F">
            <w:pPr>
              <w:widowControl w:val="0"/>
              <w:rPr>
                <w:rFonts w:ascii="Arial" w:hAnsi="Arial" w:cs="Arial"/>
                <w:b/>
              </w:rPr>
            </w:pPr>
            <w:r w:rsidRPr="00133987">
              <w:rPr>
                <w:rFonts w:ascii="Arial" w:hAnsi="Arial" w:cs="Arial"/>
                <w:b/>
              </w:rPr>
              <w:t xml:space="preserve">Agree that the Government will not be advancing new environmental tax proposals beyond the current work programme. </w:t>
            </w:r>
            <w:r w:rsidRPr="00C706BF">
              <w:rPr>
                <w:rFonts w:ascii="Arial" w:hAnsi="Arial" w:cs="Arial"/>
                <w:b/>
              </w:rPr>
              <w:t xml:space="preserve"> </w:t>
            </w:r>
          </w:p>
        </w:tc>
      </w:tr>
      <w:tr w:rsidR="00DF0110" w:rsidRPr="006D32A5" w14:paraId="7F4D3646" w14:textId="77777777" w:rsidTr="00355A52">
        <w:trPr>
          <w:trHeight w:val="2520"/>
        </w:trPr>
        <w:tc>
          <w:tcPr>
            <w:tcW w:w="276" w:type="pct"/>
            <w:gridSpan w:val="2"/>
            <w:shd w:val="clear" w:color="auto" w:fill="FFFFFF"/>
          </w:tcPr>
          <w:p w14:paraId="1B645A60" w14:textId="77777777" w:rsidR="00DF0110" w:rsidRPr="00C46970" w:rsidRDefault="00DF0110" w:rsidP="00342E14">
            <w:pPr>
              <w:widowControl w:val="0"/>
              <w:spacing w:line="280" w:lineRule="atLeast"/>
              <w:rPr>
                <w:rFonts w:ascii="Arial" w:hAnsi="Arial" w:cs="Arial"/>
              </w:rPr>
            </w:pPr>
            <w:r w:rsidRPr="00C46970">
              <w:rPr>
                <w:rFonts w:ascii="Arial" w:hAnsi="Arial" w:cs="Arial"/>
              </w:rPr>
              <w:t>6-8</w:t>
            </w:r>
          </w:p>
        </w:tc>
        <w:tc>
          <w:tcPr>
            <w:tcW w:w="3200" w:type="pct"/>
            <w:shd w:val="clear" w:color="auto" w:fill="FFFFFF"/>
            <w:tcMar>
              <w:top w:w="0" w:type="dxa"/>
              <w:left w:w="108" w:type="dxa"/>
              <w:bottom w:w="0" w:type="dxa"/>
              <w:right w:w="108" w:type="dxa"/>
            </w:tcMar>
          </w:tcPr>
          <w:p w14:paraId="73EBD1CA" w14:textId="77777777" w:rsidR="00DF0110" w:rsidRPr="00C46970" w:rsidRDefault="00DF0110" w:rsidP="00342E14">
            <w:pPr>
              <w:widowControl w:val="0"/>
              <w:spacing w:line="280" w:lineRule="atLeast"/>
              <w:rPr>
                <w:rFonts w:ascii="Arial" w:hAnsi="Arial" w:cs="Arial"/>
                <w:b/>
                <w:i/>
              </w:rPr>
            </w:pPr>
            <w:r w:rsidRPr="00C46970">
              <w:rPr>
                <w:rFonts w:ascii="Arial" w:hAnsi="Arial" w:cs="Arial"/>
                <w:b/>
                <w:i/>
              </w:rPr>
              <w:t>Greenhouse gases</w:t>
            </w:r>
          </w:p>
          <w:p w14:paraId="38DC2613" w14:textId="77777777" w:rsidR="00DF0110" w:rsidRPr="00C46970" w:rsidRDefault="00DF0110" w:rsidP="00D11C7B">
            <w:pPr>
              <w:pStyle w:val="ListParagraph"/>
              <w:widowControl w:val="0"/>
              <w:numPr>
                <w:ilvl w:val="0"/>
                <w:numId w:val="10"/>
              </w:numPr>
              <w:spacing w:after="0" w:line="280" w:lineRule="atLeast"/>
              <w:rPr>
                <w:rFonts w:ascii="Arial" w:hAnsi="Arial" w:cs="Arial"/>
              </w:rPr>
            </w:pPr>
            <w:r w:rsidRPr="00C46970">
              <w:rPr>
                <w:rFonts w:ascii="Arial" w:hAnsi="Arial" w:cs="Arial"/>
              </w:rPr>
              <w:t>Support for a reformed Emissions Trading Scheme (ETS) as the centrepiece of emissions reduction efforts, but there should be greater guidance on price and auctioning emission</w:t>
            </w:r>
            <w:r w:rsidR="00D10F46">
              <w:rPr>
                <w:rFonts w:ascii="Arial" w:hAnsi="Arial" w:cs="Arial"/>
              </w:rPr>
              <w:t>s</w:t>
            </w:r>
            <w:r w:rsidRPr="00C46970">
              <w:rPr>
                <w:rFonts w:ascii="Arial" w:hAnsi="Arial" w:cs="Arial"/>
              </w:rPr>
              <w:t xml:space="preserve"> units to raise revenue. </w:t>
            </w:r>
          </w:p>
          <w:p w14:paraId="70AD6BC2" w14:textId="77777777" w:rsidR="00DF0110" w:rsidRPr="00C46970" w:rsidRDefault="00DF0110" w:rsidP="00D11C7B">
            <w:pPr>
              <w:pStyle w:val="ListParagraph"/>
              <w:widowControl w:val="0"/>
              <w:numPr>
                <w:ilvl w:val="0"/>
                <w:numId w:val="10"/>
              </w:numPr>
              <w:spacing w:after="0" w:line="280" w:lineRule="atLeast"/>
              <w:rPr>
                <w:rFonts w:ascii="Arial" w:hAnsi="Arial" w:cs="Arial"/>
              </w:rPr>
            </w:pPr>
            <w:r w:rsidRPr="00C46970">
              <w:rPr>
                <w:rFonts w:ascii="Arial" w:hAnsi="Arial" w:cs="Arial"/>
              </w:rPr>
              <w:t xml:space="preserve">Periodic reviews of the ETS to ensure it is fit for purpose.  </w:t>
            </w:r>
          </w:p>
          <w:p w14:paraId="480BEEE8" w14:textId="77777777" w:rsidR="00DF0110" w:rsidRPr="00C46970" w:rsidRDefault="00DF0110" w:rsidP="00D11C7B">
            <w:pPr>
              <w:pStyle w:val="ListParagraph"/>
              <w:widowControl w:val="0"/>
              <w:numPr>
                <w:ilvl w:val="0"/>
                <w:numId w:val="10"/>
              </w:numPr>
              <w:spacing w:after="0" w:line="280" w:lineRule="atLeast"/>
              <w:rPr>
                <w:rFonts w:ascii="Arial" w:hAnsi="Arial" w:cs="Arial"/>
              </w:rPr>
            </w:pPr>
            <w:r w:rsidRPr="00C46970">
              <w:rPr>
                <w:rFonts w:ascii="Arial" w:hAnsi="Arial" w:cs="Arial"/>
              </w:rPr>
              <w:t xml:space="preserve">Emissions should face a price, including from agriculture, either from ETS or a complementary system.      </w:t>
            </w:r>
          </w:p>
        </w:tc>
        <w:tc>
          <w:tcPr>
            <w:tcW w:w="1524" w:type="pct"/>
            <w:shd w:val="clear" w:color="auto" w:fill="5B9BD5" w:themeFill="accent1"/>
            <w:tcMar>
              <w:top w:w="0" w:type="dxa"/>
              <w:left w:w="108" w:type="dxa"/>
              <w:bottom w:w="0" w:type="dxa"/>
              <w:right w:w="108" w:type="dxa"/>
            </w:tcMar>
          </w:tcPr>
          <w:p w14:paraId="0CD916D2" w14:textId="77777777" w:rsidR="00DF0110" w:rsidRPr="00C46970" w:rsidRDefault="00286F5C" w:rsidP="00342E14">
            <w:pPr>
              <w:widowControl w:val="0"/>
              <w:rPr>
                <w:rFonts w:ascii="Arial" w:hAnsi="Arial" w:cs="Arial"/>
              </w:rPr>
            </w:pPr>
            <w:r>
              <w:rPr>
                <w:rFonts w:ascii="Arial" w:hAnsi="Arial" w:cs="Arial"/>
                <w:b/>
              </w:rPr>
              <w:t>Note w</w:t>
            </w:r>
            <w:r w:rsidR="00355A52" w:rsidRPr="00355A52">
              <w:rPr>
                <w:rFonts w:ascii="Arial" w:hAnsi="Arial" w:cs="Arial"/>
                <w:b/>
              </w:rPr>
              <w:t xml:space="preserve">ork </w:t>
            </w:r>
            <w:r>
              <w:rPr>
                <w:rFonts w:ascii="Arial" w:hAnsi="Arial" w:cs="Arial"/>
                <w:b/>
              </w:rPr>
              <w:t xml:space="preserve">already </w:t>
            </w:r>
            <w:r w:rsidR="00355A52" w:rsidRPr="00355A52">
              <w:rPr>
                <w:rFonts w:ascii="Arial" w:hAnsi="Arial" w:cs="Arial"/>
                <w:b/>
              </w:rPr>
              <w:t>underway</w:t>
            </w:r>
            <w:r w:rsidR="00355A52">
              <w:rPr>
                <w:rFonts w:ascii="Arial" w:hAnsi="Arial" w:cs="Arial"/>
              </w:rPr>
              <w:t xml:space="preserve"> – </w:t>
            </w:r>
            <w:r w:rsidR="00355A52" w:rsidRPr="00D9036C">
              <w:rPr>
                <w:rFonts w:ascii="Arial" w:hAnsi="Arial" w:cs="Arial"/>
                <w:szCs w:val="24"/>
              </w:rPr>
              <w:t>considered as part of the Climate Change Response Act Amendment Bill</w:t>
            </w:r>
            <w:r w:rsidR="00355A52">
              <w:rPr>
                <w:rFonts w:ascii="Arial" w:hAnsi="Arial" w:cs="Arial"/>
                <w:szCs w:val="24"/>
              </w:rPr>
              <w:t>.</w:t>
            </w:r>
            <w:r w:rsidR="00551765">
              <w:rPr>
                <w:rFonts w:ascii="Arial" w:hAnsi="Arial" w:cs="Arial"/>
                <w:szCs w:val="24"/>
              </w:rPr>
              <w:t xml:space="preserve"> </w:t>
            </w:r>
            <w:r w:rsidR="00551765" w:rsidRPr="00D9036C">
              <w:rPr>
                <w:rFonts w:ascii="Arial" w:hAnsi="Arial" w:cs="Arial"/>
                <w:szCs w:val="24"/>
              </w:rPr>
              <w:t>The Interim Committee on Climate Change is also considering the treatment of agricultural emissions.</w:t>
            </w:r>
          </w:p>
        </w:tc>
      </w:tr>
      <w:tr w:rsidR="00DF0110" w:rsidRPr="006D32A5" w14:paraId="19763816" w14:textId="77777777" w:rsidTr="00355A52">
        <w:trPr>
          <w:trHeight w:val="2042"/>
        </w:trPr>
        <w:tc>
          <w:tcPr>
            <w:tcW w:w="276" w:type="pct"/>
            <w:gridSpan w:val="2"/>
            <w:shd w:val="clear" w:color="auto" w:fill="FFFFFF"/>
          </w:tcPr>
          <w:p w14:paraId="50282047" w14:textId="77777777" w:rsidR="00DF0110" w:rsidRPr="00C46970" w:rsidRDefault="00DF0110" w:rsidP="00342E14">
            <w:pPr>
              <w:widowControl w:val="0"/>
              <w:spacing w:line="280" w:lineRule="atLeast"/>
              <w:rPr>
                <w:rFonts w:ascii="Arial" w:hAnsi="Arial" w:cs="Arial"/>
              </w:rPr>
            </w:pPr>
            <w:r w:rsidRPr="00C46970">
              <w:rPr>
                <w:rFonts w:ascii="Arial" w:hAnsi="Arial" w:cs="Arial"/>
              </w:rPr>
              <w:t>9-11</w:t>
            </w:r>
          </w:p>
        </w:tc>
        <w:tc>
          <w:tcPr>
            <w:tcW w:w="3200" w:type="pct"/>
            <w:shd w:val="clear" w:color="auto" w:fill="FFFFFF"/>
            <w:tcMar>
              <w:top w:w="0" w:type="dxa"/>
              <w:left w:w="108" w:type="dxa"/>
              <w:bottom w:w="0" w:type="dxa"/>
              <w:right w:w="108" w:type="dxa"/>
            </w:tcMar>
          </w:tcPr>
          <w:p w14:paraId="2E6B1F95" w14:textId="77777777" w:rsidR="00DF0110" w:rsidRPr="00C46970" w:rsidRDefault="00DF0110" w:rsidP="00342E14">
            <w:pPr>
              <w:widowControl w:val="0"/>
              <w:spacing w:line="280" w:lineRule="atLeast"/>
              <w:rPr>
                <w:rFonts w:ascii="Arial" w:hAnsi="Arial" w:cs="Arial"/>
                <w:b/>
                <w:i/>
              </w:rPr>
            </w:pPr>
            <w:r w:rsidRPr="00C46970">
              <w:rPr>
                <w:rFonts w:ascii="Arial" w:hAnsi="Arial" w:cs="Arial"/>
                <w:b/>
                <w:i/>
              </w:rPr>
              <w:t>Water abstraction and water pollution</w:t>
            </w:r>
          </w:p>
          <w:p w14:paraId="5EA75E29" w14:textId="77777777" w:rsidR="00DF0110" w:rsidRPr="00C46970" w:rsidRDefault="00DF0110" w:rsidP="00D11C7B">
            <w:pPr>
              <w:pStyle w:val="ListParagraph"/>
              <w:widowControl w:val="0"/>
              <w:numPr>
                <w:ilvl w:val="0"/>
                <w:numId w:val="13"/>
              </w:numPr>
              <w:spacing w:after="0" w:line="280" w:lineRule="atLeast"/>
              <w:rPr>
                <w:rFonts w:ascii="Arial" w:hAnsi="Arial" w:cs="Arial"/>
              </w:rPr>
            </w:pPr>
            <w:r w:rsidRPr="00C46970">
              <w:rPr>
                <w:rFonts w:ascii="Arial" w:hAnsi="Arial" w:cs="Arial"/>
              </w:rPr>
              <w:t xml:space="preserve">Tax instruments could be considered to address water pollution and water abstraction challenges. </w:t>
            </w:r>
          </w:p>
          <w:p w14:paraId="55D42C3A" w14:textId="77777777" w:rsidR="00DF0110" w:rsidRPr="00C46970" w:rsidRDefault="00DF0110" w:rsidP="00D11C7B">
            <w:pPr>
              <w:pStyle w:val="ListParagraph"/>
              <w:widowControl w:val="0"/>
              <w:numPr>
                <w:ilvl w:val="0"/>
                <w:numId w:val="13"/>
              </w:numPr>
              <w:spacing w:after="0" w:line="280" w:lineRule="atLeast"/>
              <w:rPr>
                <w:rFonts w:ascii="Arial" w:hAnsi="Arial" w:cs="Arial"/>
              </w:rPr>
            </w:pPr>
            <w:r w:rsidRPr="00C46970">
              <w:rPr>
                <w:rFonts w:ascii="Arial" w:hAnsi="Arial" w:cs="Arial"/>
              </w:rPr>
              <w:t xml:space="preserve">Further develop tools to estimate diffuse water pollution. </w:t>
            </w:r>
          </w:p>
          <w:p w14:paraId="47B18509" w14:textId="77777777" w:rsidR="00DF0110" w:rsidRPr="00C46970" w:rsidRDefault="00DF0110" w:rsidP="00D11C7B">
            <w:pPr>
              <w:pStyle w:val="ListParagraph"/>
              <w:widowControl w:val="0"/>
              <w:numPr>
                <w:ilvl w:val="0"/>
                <w:numId w:val="13"/>
              </w:numPr>
              <w:spacing w:after="0" w:line="280" w:lineRule="atLeast"/>
              <w:rPr>
                <w:rFonts w:ascii="Arial" w:hAnsi="Arial" w:cs="Arial"/>
              </w:rPr>
            </w:pPr>
            <w:r w:rsidRPr="00C46970">
              <w:rPr>
                <w:rFonts w:ascii="Arial" w:hAnsi="Arial" w:cs="Arial"/>
              </w:rPr>
              <w:t xml:space="preserve">Introduce input-based tax instruments, including on fertiliser, if significant progress is not made in the near term on output-based approaches.    </w:t>
            </w:r>
          </w:p>
        </w:tc>
        <w:tc>
          <w:tcPr>
            <w:tcW w:w="1524" w:type="pct"/>
            <w:shd w:val="clear" w:color="auto" w:fill="5B9BD5" w:themeFill="accent1"/>
            <w:tcMar>
              <w:top w:w="0" w:type="dxa"/>
              <w:left w:w="108" w:type="dxa"/>
              <w:bottom w:w="0" w:type="dxa"/>
              <w:right w:w="108" w:type="dxa"/>
            </w:tcMar>
          </w:tcPr>
          <w:p w14:paraId="00498D8E" w14:textId="77777777" w:rsidR="00DF0110" w:rsidRDefault="00286F5C" w:rsidP="00342E14">
            <w:pPr>
              <w:widowControl w:val="0"/>
              <w:rPr>
                <w:rFonts w:ascii="Arial" w:hAnsi="Arial" w:cs="Arial"/>
                <w:szCs w:val="24"/>
              </w:rPr>
            </w:pPr>
            <w:r>
              <w:rPr>
                <w:rFonts w:ascii="Arial" w:hAnsi="Arial" w:cs="Arial"/>
                <w:b/>
              </w:rPr>
              <w:t>Note w</w:t>
            </w:r>
            <w:r w:rsidRPr="00355A52">
              <w:rPr>
                <w:rFonts w:ascii="Arial" w:hAnsi="Arial" w:cs="Arial"/>
                <w:b/>
              </w:rPr>
              <w:t xml:space="preserve">ork </w:t>
            </w:r>
            <w:r>
              <w:rPr>
                <w:rFonts w:ascii="Arial" w:hAnsi="Arial" w:cs="Arial"/>
                <w:b/>
              </w:rPr>
              <w:t xml:space="preserve">already </w:t>
            </w:r>
            <w:r w:rsidRPr="00355A52">
              <w:rPr>
                <w:rFonts w:ascii="Arial" w:hAnsi="Arial" w:cs="Arial"/>
                <w:b/>
              </w:rPr>
              <w:t>underway</w:t>
            </w:r>
            <w:r>
              <w:rPr>
                <w:rFonts w:ascii="Arial" w:hAnsi="Arial" w:cs="Arial"/>
              </w:rPr>
              <w:t xml:space="preserve"> </w:t>
            </w:r>
            <w:r w:rsidR="00355A52">
              <w:rPr>
                <w:rFonts w:ascii="Arial" w:hAnsi="Arial" w:cs="Arial"/>
                <w:szCs w:val="24"/>
              </w:rPr>
              <w:t xml:space="preserve">– </w:t>
            </w:r>
            <w:r w:rsidR="00355A52" w:rsidRPr="00D9036C">
              <w:rPr>
                <w:rFonts w:ascii="Arial" w:hAnsi="Arial" w:cs="Arial"/>
                <w:szCs w:val="24"/>
              </w:rPr>
              <w:t>The Water Taskforce is working to achieve improvements in water quality</w:t>
            </w:r>
            <w:r w:rsidR="00355A52">
              <w:rPr>
                <w:rFonts w:ascii="Arial" w:hAnsi="Arial" w:cs="Arial"/>
                <w:szCs w:val="24"/>
              </w:rPr>
              <w:t>.</w:t>
            </w:r>
          </w:p>
          <w:p w14:paraId="20C8278D" w14:textId="367C2E08" w:rsidR="009876C8" w:rsidRDefault="009876C8" w:rsidP="009B2A4B">
            <w:pPr>
              <w:widowControl w:val="0"/>
              <w:rPr>
                <w:rFonts w:ascii="Arial" w:hAnsi="Arial" w:cs="Arial"/>
                <w:szCs w:val="24"/>
              </w:rPr>
            </w:pPr>
            <w:r>
              <w:rPr>
                <w:rFonts w:ascii="Arial" w:hAnsi="Arial" w:cs="Arial"/>
                <w:szCs w:val="24"/>
              </w:rPr>
              <w:t>There will be n</w:t>
            </w:r>
            <w:r w:rsidRPr="00DA2715">
              <w:rPr>
                <w:rFonts w:ascii="Arial" w:hAnsi="Arial" w:cs="Arial"/>
                <w:szCs w:val="24"/>
              </w:rPr>
              <w:t>o resource rentals for water in this term of Parliament</w:t>
            </w:r>
            <w:r w:rsidR="00423D38">
              <w:rPr>
                <w:rFonts w:ascii="Arial" w:hAnsi="Arial" w:cs="Arial"/>
                <w:szCs w:val="24"/>
              </w:rPr>
              <w:t xml:space="preserve"> as per the Coalition Agreement</w:t>
            </w:r>
            <w:r w:rsidRPr="00DA2715">
              <w:rPr>
                <w:rFonts w:ascii="Arial" w:hAnsi="Arial" w:cs="Arial"/>
                <w:szCs w:val="24"/>
              </w:rPr>
              <w:t>.</w:t>
            </w:r>
          </w:p>
          <w:p w14:paraId="39A21115" w14:textId="77777777" w:rsidR="005D3876" w:rsidRPr="00C46970" w:rsidRDefault="005D3876" w:rsidP="00B71B13">
            <w:pPr>
              <w:widowControl w:val="0"/>
              <w:rPr>
                <w:rFonts w:ascii="Arial" w:hAnsi="Arial" w:cs="Arial"/>
              </w:rPr>
            </w:pPr>
            <w:r w:rsidRPr="006B61D8">
              <w:rPr>
                <w:rFonts w:ascii="Arial" w:hAnsi="Arial" w:cs="Arial"/>
                <w:szCs w:val="24"/>
              </w:rPr>
              <w:t xml:space="preserve">These are no plans </w:t>
            </w:r>
            <w:r w:rsidR="002110ED">
              <w:rPr>
                <w:rFonts w:ascii="Arial" w:hAnsi="Arial" w:cs="Arial"/>
                <w:szCs w:val="24"/>
              </w:rPr>
              <w:t xml:space="preserve">in this term of Parliament </w:t>
            </w:r>
            <w:r w:rsidRPr="006B61D8">
              <w:rPr>
                <w:rFonts w:ascii="Arial" w:hAnsi="Arial" w:cs="Arial"/>
                <w:szCs w:val="24"/>
              </w:rPr>
              <w:t>to introduce input-based instruments, including on fertiliser</w:t>
            </w:r>
            <w:r w:rsidR="00036AB1">
              <w:rPr>
                <w:rFonts w:ascii="Arial" w:hAnsi="Arial" w:cs="Arial"/>
                <w:szCs w:val="24"/>
              </w:rPr>
              <w:t xml:space="preserve"> (i.e., a fertiliser tax)</w:t>
            </w:r>
            <w:r w:rsidRPr="00B71B13">
              <w:rPr>
                <w:rFonts w:ascii="Arial" w:hAnsi="Arial" w:cs="Arial"/>
                <w:szCs w:val="24"/>
              </w:rPr>
              <w:t>.</w:t>
            </w:r>
          </w:p>
        </w:tc>
      </w:tr>
      <w:tr w:rsidR="00DF0110" w:rsidRPr="006D32A5" w14:paraId="6B71BF09" w14:textId="77777777" w:rsidTr="00355A52">
        <w:tc>
          <w:tcPr>
            <w:tcW w:w="276" w:type="pct"/>
            <w:gridSpan w:val="2"/>
            <w:shd w:val="clear" w:color="auto" w:fill="FFFFFF"/>
          </w:tcPr>
          <w:p w14:paraId="67525538" w14:textId="77777777" w:rsidR="00DF0110" w:rsidRPr="00C46970" w:rsidRDefault="00DF0110" w:rsidP="00342E14">
            <w:pPr>
              <w:widowControl w:val="0"/>
              <w:spacing w:line="280" w:lineRule="atLeast"/>
              <w:rPr>
                <w:rFonts w:ascii="Arial" w:hAnsi="Arial" w:cs="Arial"/>
              </w:rPr>
            </w:pPr>
            <w:r w:rsidRPr="00C46970">
              <w:rPr>
                <w:rFonts w:ascii="Arial" w:hAnsi="Arial" w:cs="Arial"/>
              </w:rPr>
              <w:t>12-15</w:t>
            </w:r>
          </w:p>
        </w:tc>
        <w:tc>
          <w:tcPr>
            <w:tcW w:w="3200" w:type="pct"/>
            <w:shd w:val="clear" w:color="auto" w:fill="FFFFFF"/>
            <w:tcMar>
              <w:top w:w="0" w:type="dxa"/>
              <w:left w:w="108" w:type="dxa"/>
              <w:bottom w:w="0" w:type="dxa"/>
              <w:right w:w="108" w:type="dxa"/>
            </w:tcMar>
          </w:tcPr>
          <w:p w14:paraId="5C9C2C25" w14:textId="77777777" w:rsidR="00DF0110" w:rsidRPr="00C46970" w:rsidRDefault="00DF0110" w:rsidP="00342E14">
            <w:pPr>
              <w:widowControl w:val="0"/>
              <w:spacing w:line="280" w:lineRule="atLeast"/>
              <w:rPr>
                <w:rFonts w:ascii="Arial" w:hAnsi="Arial" w:cs="Arial"/>
              </w:rPr>
            </w:pPr>
            <w:r w:rsidRPr="00C46970">
              <w:rPr>
                <w:rFonts w:ascii="Arial" w:hAnsi="Arial" w:cs="Arial"/>
                <w:b/>
                <w:i/>
              </w:rPr>
              <w:t>Solid waste</w:t>
            </w:r>
          </w:p>
          <w:p w14:paraId="6E56695F" w14:textId="77777777" w:rsidR="00DF0110" w:rsidRPr="00C46970" w:rsidRDefault="00DF0110" w:rsidP="00D11C7B">
            <w:pPr>
              <w:pStyle w:val="ListParagraph"/>
              <w:widowControl w:val="0"/>
              <w:numPr>
                <w:ilvl w:val="0"/>
                <w:numId w:val="12"/>
              </w:numPr>
              <w:spacing w:after="0" w:line="280" w:lineRule="atLeast"/>
              <w:rPr>
                <w:rFonts w:ascii="Arial" w:hAnsi="Arial" w:cs="Arial"/>
              </w:rPr>
            </w:pPr>
            <w:r w:rsidRPr="00C46970">
              <w:rPr>
                <w:rFonts w:ascii="Arial" w:hAnsi="Arial" w:cs="Arial"/>
              </w:rPr>
              <w:t xml:space="preserve">Supports the Ministry for the Environment’s review of the rate and coverage of the Waste Disposal Levy.  </w:t>
            </w:r>
          </w:p>
          <w:p w14:paraId="04154ADD" w14:textId="77777777" w:rsidR="00DF0110" w:rsidRPr="00C46970" w:rsidRDefault="00DF0110" w:rsidP="00D11C7B">
            <w:pPr>
              <w:pStyle w:val="ListParagraph"/>
              <w:widowControl w:val="0"/>
              <w:numPr>
                <w:ilvl w:val="0"/>
                <w:numId w:val="12"/>
              </w:numPr>
              <w:spacing w:after="0" w:line="280" w:lineRule="atLeast"/>
              <w:rPr>
                <w:rFonts w:ascii="Arial" w:hAnsi="Arial" w:cs="Arial"/>
              </w:rPr>
            </w:pPr>
            <w:r w:rsidRPr="00C46970">
              <w:rPr>
                <w:rFonts w:ascii="Arial" w:hAnsi="Arial" w:cs="Arial"/>
              </w:rPr>
              <w:t xml:space="preserve">Expand the coverage of the Waste Disposal Levy.  </w:t>
            </w:r>
          </w:p>
          <w:p w14:paraId="3FE5C2BF" w14:textId="77777777" w:rsidR="00DF0110" w:rsidRPr="00C46970" w:rsidRDefault="00DF0110" w:rsidP="00D11C7B">
            <w:pPr>
              <w:pStyle w:val="ListParagraph"/>
              <w:widowControl w:val="0"/>
              <w:numPr>
                <w:ilvl w:val="0"/>
                <w:numId w:val="12"/>
              </w:numPr>
              <w:spacing w:after="0" w:line="280" w:lineRule="atLeast"/>
              <w:rPr>
                <w:rFonts w:ascii="Arial" w:hAnsi="Arial" w:cs="Arial"/>
              </w:rPr>
            </w:pPr>
            <w:r w:rsidRPr="00C46970">
              <w:rPr>
                <w:rFonts w:ascii="Arial" w:hAnsi="Arial" w:cs="Arial"/>
              </w:rPr>
              <w:t xml:space="preserve">Reassess the negative externalities associated with landfill disposal in New Zealand to ascertain if a higher levy is appropriate.  </w:t>
            </w:r>
          </w:p>
          <w:p w14:paraId="6C6CF7A5" w14:textId="77777777" w:rsidR="00DF0110" w:rsidRPr="00C46970" w:rsidRDefault="00DF0110" w:rsidP="00D11C7B">
            <w:pPr>
              <w:pStyle w:val="ListParagraph"/>
              <w:widowControl w:val="0"/>
              <w:numPr>
                <w:ilvl w:val="0"/>
                <w:numId w:val="12"/>
              </w:numPr>
              <w:spacing w:after="0" w:line="280" w:lineRule="atLeast"/>
              <w:rPr>
                <w:rFonts w:ascii="Arial" w:hAnsi="Arial" w:cs="Arial"/>
              </w:rPr>
            </w:pPr>
            <w:r w:rsidRPr="00C46970">
              <w:rPr>
                <w:rFonts w:ascii="Arial" w:hAnsi="Arial" w:cs="Arial"/>
              </w:rPr>
              <w:t xml:space="preserve">Review hypothecation of the Waste Disposal Levy to ensure funds are being used in the most effective way to move towards a more circular economy.  </w:t>
            </w:r>
          </w:p>
        </w:tc>
        <w:tc>
          <w:tcPr>
            <w:tcW w:w="1524" w:type="pct"/>
            <w:shd w:val="clear" w:color="auto" w:fill="5B9BD5" w:themeFill="accent1"/>
            <w:tcMar>
              <w:top w:w="0" w:type="dxa"/>
              <w:left w:w="108" w:type="dxa"/>
              <w:bottom w:w="0" w:type="dxa"/>
              <w:right w:w="108" w:type="dxa"/>
            </w:tcMar>
          </w:tcPr>
          <w:p w14:paraId="2B65621D" w14:textId="77777777" w:rsidR="00DF0110" w:rsidRPr="00C46970" w:rsidRDefault="00286F5C" w:rsidP="00342E14">
            <w:pPr>
              <w:widowControl w:val="0"/>
              <w:rPr>
                <w:rFonts w:ascii="Arial" w:hAnsi="Arial" w:cs="Arial"/>
              </w:rPr>
            </w:pPr>
            <w:r>
              <w:rPr>
                <w:rFonts w:ascii="Arial" w:hAnsi="Arial" w:cs="Arial"/>
                <w:b/>
              </w:rPr>
              <w:t>Note w</w:t>
            </w:r>
            <w:r w:rsidRPr="00355A52">
              <w:rPr>
                <w:rFonts w:ascii="Arial" w:hAnsi="Arial" w:cs="Arial"/>
                <w:b/>
              </w:rPr>
              <w:t xml:space="preserve">ork </w:t>
            </w:r>
            <w:r>
              <w:rPr>
                <w:rFonts w:ascii="Arial" w:hAnsi="Arial" w:cs="Arial"/>
                <w:b/>
              </w:rPr>
              <w:t xml:space="preserve">already </w:t>
            </w:r>
            <w:r w:rsidRPr="00355A52">
              <w:rPr>
                <w:rFonts w:ascii="Arial" w:hAnsi="Arial" w:cs="Arial"/>
                <w:b/>
              </w:rPr>
              <w:t>underway</w:t>
            </w:r>
            <w:r>
              <w:rPr>
                <w:rFonts w:ascii="Arial" w:hAnsi="Arial" w:cs="Arial"/>
              </w:rPr>
              <w:t xml:space="preserve"> </w:t>
            </w:r>
            <w:r w:rsidR="00355A52">
              <w:rPr>
                <w:rFonts w:ascii="Arial" w:hAnsi="Arial" w:cs="Arial"/>
              </w:rPr>
              <w:t xml:space="preserve">– </w:t>
            </w:r>
            <w:r w:rsidR="00355A52" w:rsidRPr="00355A52">
              <w:rPr>
                <w:rFonts w:ascii="Arial" w:hAnsi="Arial" w:cs="Arial"/>
              </w:rPr>
              <w:t>The Ministry for the Environment is currently reviewing the scope and rate of the Waste Disposal Levy.</w:t>
            </w:r>
          </w:p>
        </w:tc>
      </w:tr>
      <w:tr w:rsidR="00DF0110" w:rsidRPr="006D32A5" w14:paraId="59F2249B" w14:textId="77777777" w:rsidTr="00355A52">
        <w:tc>
          <w:tcPr>
            <w:tcW w:w="276" w:type="pct"/>
            <w:gridSpan w:val="2"/>
            <w:shd w:val="clear" w:color="auto" w:fill="FFFFFF"/>
          </w:tcPr>
          <w:p w14:paraId="05BAA792" w14:textId="77777777" w:rsidR="00DF0110" w:rsidRPr="00C46970" w:rsidRDefault="00DF0110" w:rsidP="00342E14">
            <w:pPr>
              <w:widowControl w:val="0"/>
              <w:spacing w:line="280" w:lineRule="atLeast"/>
              <w:rPr>
                <w:rFonts w:ascii="Arial" w:hAnsi="Arial" w:cs="Arial"/>
              </w:rPr>
            </w:pPr>
            <w:r w:rsidRPr="00C46970">
              <w:rPr>
                <w:rFonts w:ascii="Arial" w:hAnsi="Arial" w:cs="Arial"/>
              </w:rPr>
              <w:t>16</w:t>
            </w:r>
          </w:p>
        </w:tc>
        <w:tc>
          <w:tcPr>
            <w:tcW w:w="3200" w:type="pct"/>
            <w:shd w:val="clear" w:color="auto" w:fill="FFFFFF"/>
            <w:tcMar>
              <w:top w:w="0" w:type="dxa"/>
              <w:left w:w="108" w:type="dxa"/>
              <w:bottom w:w="0" w:type="dxa"/>
              <w:right w:w="108" w:type="dxa"/>
            </w:tcMar>
          </w:tcPr>
          <w:p w14:paraId="64BB43B5" w14:textId="77777777" w:rsidR="00DF0110" w:rsidRPr="00C46970" w:rsidRDefault="00DF0110" w:rsidP="00342E14">
            <w:pPr>
              <w:widowControl w:val="0"/>
              <w:spacing w:line="280" w:lineRule="atLeast"/>
              <w:rPr>
                <w:rFonts w:ascii="Arial" w:hAnsi="Arial" w:cs="Arial"/>
              </w:rPr>
            </w:pPr>
            <w:r w:rsidRPr="00C46970">
              <w:rPr>
                <w:rFonts w:ascii="Arial" w:hAnsi="Arial" w:cs="Arial"/>
                <w:b/>
                <w:i/>
              </w:rPr>
              <w:t>Transport</w:t>
            </w:r>
          </w:p>
          <w:p w14:paraId="7F217561"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Supports current reviews by the Government and Auckland Council into introducing congestion pricing.  </w:t>
            </w:r>
          </w:p>
        </w:tc>
        <w:tc>
          <w:tcPr>
            <w:tcW w:w="1524" w:type="pct"/>
            <w:shd w:val="clear" w:color="auto" w:fill="5B9BD5" w:themeFill="accent1"/>
            <w:tcMar>
              <w:top w:w="0" w:type="dxa"/>
              <w:left w:w="108" w:type="dxa"/>
              <w:bottom w:w="0" w:type="dxa"/>
              <w:right w:w="108" w:type="dxa"/>
            </w:tcMar>
          </w:tcPr>
          <w:p w14:paraId="41A10964" w14:textId="77777777" w:rsidR="00DF0110" w:rsidRPr="00C46970" w:rsidRDefault="00286F5C" w:rsidP="00342E14">
            <w:pPr>
              <w:widowControl w:val="0"/>
              <w:rPr>
                <w:rFonts w:ascii="Arial" w:hAnsi="Arial" w:cs="Arial"/>
              </w:rPr>
            </w:pPr>
            <w:r>
              <w:rPr>
                <w:rFonts w:ascii="Arial" w:hAnsi="Arial" w:cs="Arial"/>
                <w:b/>
              </w:rPr>
              <w:t>Note w</w:t>
            </w:r>
            <w:r w:rsidRPr="00355A52">
              <w:rPr>
                <w:rFonts w:ascii="Arial" w:hAnsi="Arial" w:cs="Arial"/>
                <w:b/>
              </w:rPr>
              <w:t xml:space="preserve">ork </w:t>
            </w:r>
            <w:r>
              <w:rPr>
                <w:rFonts w:ascii="Arial" w:hAnsi="Arial" w:cs="Arial"/>
                <w:b/>
              </w:rPr>
              <w:t xml:space="preserve">already </w:t>
            </w:r>
            <w:r w:rsidRPr="00355A52">
              <w:rPr>
                <w:rFonts w:ascii="Arial" w:hAnsi="Arial" w:cs="Arial"/>
                <w:b/>
              </w:rPr>
              <w:t>underway</w:t>
            </w:r>
            <w:r>
              <w:rPr>
                <w:rFonts w:ascii="Arial" w:hAnsi="Arial" w:cs="Arial"/>
              </w:rPr>
              <w:t xml:space="preserve"> </w:t>
            </w:r>
            <w:r w:rsidR="00355A52">
              <w:rPr>
                <w:rFonts w:ascii="Arial" w:hAnsi="Arial" w:cs="Arial"/>
              </w:rPr>
              <w:t xml:space="preserve">– </w:t>
            </w:r>
            <w:r w:rsidR="00355A52" w:rsidRPr="00D9036C">
              <w:rPr>
                <w:rFonts w:ascii="Arial" w:hAnsi="Arial" w:cs="Arial"/>
                <w:szCs w:val="24"/>
              </w:rPr>
              <w:t xml:space="preserve">There is a project </w:t>
            </w:r>
            <w:r w:rsidR="00D10F46">
              <w:rPr>
                <w:rFonts w:ascii="Arial" w:hAnsi="Arial" w:cs="Arial"/>
                <w:szCs w:val="24"/>
              </w:rPr>
              <w:t>(</w:t>
            </w:r>
            <w:r w:rsidR="00551765">
              <w:rPr>
                <w:rFonts w:ascii="Arial" w:hAnsi="Arial" w:cs="Arial"/>
                <w:szCs w:val="24"/>
              </w:rPr>
              <w:t>“The Congestion Question”</w:t>
            </w:r>
            <w:r w:rsidR="00D10F46">
              <w:rPr>
                <w:rFonts w:ascii="Arial" w:hAnsi="Arial" w:cs="Arial"/>
                <w:szCs w:val="24"/>
              </w:rPr>
              <w:t>)</w:t>
            </w:r>
            <w:r w:rsidR="00551765">
              <w:rPr>
                <w:rFonts w:ascii="Arial" w:hAnsi="Arial" w:cs="Arial"/>
                <w:szCs w:val="24"/>
              </w:rPr>
              <w:t xml:space="preserve"> </w:t>
            </w:r>
            <w:r w:rsidR="00355A52" w:rsidRPr="00D9036C">
              <w:rPr>
                <w:rFonts w:ascii="Arial" w:hAnsi="Arial" w:cs="Arial"/>
                <w:szCs w:val="24"/>
              </w:rPr>
              <w:t>between Government and Auckland Council to investigate whether or not to introduce congestion pricing in Auckland</w:t>
            </w:r>
          </w:p>
        </w:tc>
      </w:tr>
      <w:tr w:rsidR="00342E14" w:rsidRPr="006D32A5" w14:paraId="15B7BEDD" w14:textId="77777777" w:rsidTr="00DF0110">
        <w:trPr>
          <w:trHeight w:val="225"/>
        </w:trPr>
        <w:tc>
          <w:tcPr>
            <w:tcW w:w="5000" w:type="pct"/>
            <w:gridSpan w:val="4"/>
            <w:shd w:val="clear" w:color="auto" w:fill="FFFFFF"/>
          </w:tcPr>
          <w:p w14:paraId="39734200" w14:textId="77777777" w:rsidR="00342E14" w:rsidRPr="00C46970" w:rsidRDefault="00342E14" w:rsidP="00342E14">
            <w:pPr>
              <w:widowControl w:val="0"/>
              <w:spacing w:line="280" w:lineRule="atLeast"/>
              <w:ind w:left="94"/>
              <w:rPr>
                <w:rFonts w:ascii="Arial" w:hAnsi="Arial" w:cs="Arial"/>
                <w:b/>
                <w:i/>
              </w:rPr>
            </w:pPr>
            <w:r w:rsidRPr="00C46970">
              <w:rPr>
                <w:rFonts w:ascii="Arial" w:hAnsi="Arial" w:cs="Arial"/>
                <w:b/>
                <w:i/>
              </w:rPr>
              <w:t>Concessions</w:t>
            </w:r>
          </w:p>
        </w:tc>
      </w:tr>
      <w:tr w:rsidR="00DF0110" w:rsidRPr="006D32A5" w14:paraId="201832E9" w14:textId="77777777" w:rsidTr="00355A52">
        <w:tc>
          <w:tcPr>
            <w:tcW w:w="276" w:type="pct"/>
            <w:gridSpan w:val="2"/>
            <w:shd w:val="clear" w:color="auto" w:fill="FFFFFF"/>
          </w:tcPr>
          <w:p w14:paraId="4521D4FD" w14:textId="77777777" w:rsidR="00DF0110" w:rsidRPr="00C46970" w:rsidRDefault="00DF0110" w:rsidP="00342E14">
            <w:pPr>
              <w:widowControl w:val="0"/>
              <w:spacing w:line="280" w:lineRule="atLeast"/>
              <w:rPr>
                <w:rFonts w:ascii="Arial" w:hAnsi="Arial" w:cs="Arial"/>
              </w:rPr>
            </w:pPr>
            <w:r w:rsidRPr="00C46970">
              <w:rPr>
                <w:rFonts w:ascii="Arial" w:hAnsi="Arial" w:cs="Arial"/>
              </w:rPr>
              <w:t>17</w:t>
            </w:r>
          </w:p>
        </w:tc>
        <w:tc>
          <w:tcPr>
            <w:tcW w:w="3200" w:type="pct"/>
            <w:shd w:val="clear" w:color="auto" w:fill="FFFFFF"/>
            <w:tcMar>
              <w:top w:w="0" w:type="dxa"/>
              <w:left w:w="108" w:type="dxa"/>
              <w:bottom w:w="0" w:type="dxa"/>
              <w:right w:w="108" w:type="dxa"/>
            </w:tcMar>
          </w:tcPr>
          <w:p w14:paraId="3DF4CA4C"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Costs associated with the care of land subject to a QEII covenant or </w:t>
            </w:r>
            <w:proofErr w:type="spellStart"/>
            <w:r w:rsidRPr="00C46970">
              <w:rPr>
                <w:rFonts w:ascii="Arial" w:hAnsi="Arial" w:cs="Arial"/>
              </w:rPr>
              <w:t>Ngā</w:t>
            </w:r>
            <w:proofErr w:type="spellEnd"/>
            <w:r w:rsidRPr="00C46970">
              <w:rPr>
                <w:rFonts w:ascii="Arial" w:hAnsi="Arial" w:cs="Arial"/>
              </w:rPr>
              <w:t xml:space="preserve"> Whenua </w:t>
            </w:r>
            <w:proofErr w:type="spellStart"/>
            <w:r w:rsidRPr="00C46970">
              <w:rPr>
                <w:rFonts w:ascii="Arial" w:hAnsi="Arial" w:cs="Arial"/>
              </w:rPr>
              <w:t>Rāhui</w:t>
            </w:r>
            <w:proofErr w:type="spellEnd"/>
            <w:r w:rsidRPr="00C46970">
              <w:rPr>
                <w:rFonts w:ascii="Arial" w:hAnsi="Arial" w:cs="Arial"/>
              </w:rPr>
              <w:t xml:space="preserve"> be tax deductible.  </w:t>
            </w:r>
          </w:p>
        </w:tc>
        <w:tc>
          <w:tcPr>
            <w:tcW w:w="1524" w:type="pct"/>
            <w:shd w:val="clear" w:color="auto" w:fill="FFC000"/>
            <w:tcMar>
              <w:top w:w="0" w:type="dxa"/>
              <w:left w:w="108" w:type="dxa"/>
              <w:bottom w:w="0" w:type="dxa"/>
              <w:right w:w="108" w:type="dxa"/>
            </w:tcMar>
          </w:tcPr>
          <w:p w14:paraId="73019E06" w14:textId="77777777" w:rsidR="00DF0110" w:rsidRPr="00355A52" w:rsidRDefault="00457A5C" w:rsidP="00342E14">
            <w:pPr>
              <w:widowControl w:val="0"/>
              <w:rPr>
                <w:rFonts w:ascii="Arial" w:hAnsi="Arial" w:cs="Arial"/>
                <w:b/>
              </w:rPr>
            </w:pPr>
            <w:r w:rsidRPr="00457A5C">
              <w:rPr>
                <w:rFonts w:ascii="Arial" w:hAnsi="Arial" w:cs="Arial"/>
                <w:b/>
              </w:rPr>
              <w:t xml:space="preserve">Consider for </w:t>
            </w:r>
            <w:bookmarkStart w:id="28" w:name="_Hlk5955151"/>
            <w:r w:rsidR="00B87263">
              <w:rPr>
                <w:rFonts w:ascii="Arial" w:hAnsi="Arial" w:cs="Arial"/>
                <w:b/>
              </w:rPr>
              <w:t xml:space="preserve">inclusion on </w:t>
            </w:r>
            <w:bookmarkEnd w:id="28"/>
            <w:r w:rsidRPr="00457A5C">
              <w:rPr>
                <w:rFonts w:ascii="Arial" w:hAnsi="Arial" w:cs="Arial"/>
                <w:b/>
              </w:rPr>
              <w:t xml:space="preserve">work programme </w:t>
            </w:r>
            <w:r w:rsidRPr="007176B5">
              <w:rPr>
                <w:rFonts w:ascii="Arial" w:hAnsi="Arial" w:cs="Arial"/>
              </w:rPr>
              <w:t>(TPWP)</w:t>
            </w:r>
          </w:p>
        </w:tc>
      </w:tr>
      <w:tr w:rsidR="00DF0110" w:rsidRPr="006D32A5" w14:paraId="3DD45F86" w14:textId="77777777" w:rsidTr="00355A52">
        <w:tc>
          <w:tcPr>
            <w:tcW w:w="276" w:type="pct"/>
            <w:gridSpan w:val="2"/>
            <w:shd w:val="clear" w:color="auto" w:fill="FFFFFF"/>
          </w:tcPr>
          <w:p w14:paraId="5B65C951" w14:textId="77777777" w:rsidR="00DF0110" w:rsidRPr="00C46970" w:rsidRDefault="00DF0110" w:rsidP="00342E14">
            <w:pPr>
              <w:widowControl w:val="0"/>
              <w:spacing w:line="280" w:lineRule="atLeast"/>
              <w:rPr>
                <w:rFonts w:ascii="Arial" w:hAnsi="Arial" w:cs="Arial"/>
              </w:rPr>
            </w:pPr>
            <w:r w:rsidRPr="00C46970">
              <w:rPr>
                <w:rFonts w:ascii="Arial" w:hAnsi="Arial" w:cs="Arial"/>
              </w:rPr>
              <w:t>18</w:t>
            </w:r>
          </w:p>
        </w:tc>
        <w:tc>
          <w:tcPr>
            <w:tcW w:w="3200" w:type="pct"/>
            <w:shd w:val="clear" w:color="auto" w:fill="FFFFFF"/>
            <w:tcMar>
              <w:top w:w="0" w:type="dxa"/>
              <w:left w:w="108" w:type="dxa"/>
              <w:bottom w:w="0" w:type="dxa"/>
              <w:right w:w="108" w:type="dxa"/>
            </w:tcMar>
          </w:tcPr>
          <w:p w14:paraId="6AE91CDD"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a </w:t>
            </w:r>
            <w:r w:rsidR="00D10F46" w:rsidRPr="00D10F46">
              <w:rPr>
                <w:rFonts w:ascii="Arial" w:hAnsi="Arial" w:cs="Arial"/>
              </w:rPr>
              <w:t xml:space="preserve">fringe benefit tax </w:t>
            </w:r>
            <w:r w:rsidRPr="00C46970">
              <w:rPr>
                <w:rFonts w:ascii="Arial" w:hAnsi="Arial" w:cs="Arial"/>
              </w:rPr>
              <w:t xml:space="preserve">exemption for public transport. </w:t>
            </w:r>
          </w:p>
        </w:tc>
        <w:tc>
          <w:tcPr>
            <w:tcW w:w="1524" w:type="pct"/>
            <w:shd w:val="clear" w:color="auto" w:fill="FFC000" w:themeFill="accent4"/>
            <w:tcMar>
              <w:top w:w="0" w:type="dxa"/>
              <w:left w:w="108" w:type="dxa"/>
              <w:bottom w:w="0" w:type="dxa"/>
              <w:right w:w="108" w:type="dxa"/>
            </w:tcMar>
          </w:tcPr>
          <w:p w14:paraId="0C052E78" w14:textId="77777777" w:rsidR="00DF0110" w:rsidRPr="00355A52"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7176B5">
              <w:rPr>
                <w:rFonts w:ascii="Arial" w:hAnsi="Arial" w:cs="Arial"/>
              </w:rPr>
              <w:t>(TPWP)</w:t>
            </w:r>
          </w:p>
        </w:tc>
      </w:tr>
      <w:tr w:rsidR="00DF0110" w:rsidRPr="006D32A5" w14:paraId="6BE36797" w14:textId="77777777" w:rsidTr="00355A52">
        <w:tc>
          <w:tcPr>
            <w:tcW w:w="276" w:type="pct"/>
            <w:gridSpan w:val="2"/>
            <w:shd w:val="clear" w:color="auto" w:fill="FFFFFF"/>
          </w:tcPr>
          <w:p w14:paraId="17617EC9" w14:textId="77777777" w:rsidR="00DF0110" w:rsidRPr="00C46970" w:rsidRDefault="00DF0110" w:rsidP="00342E14">
            <w:pPr>
              <w:widowControl w:val="0"/>
              <w:spacing w:line="280" w:lineRule="atLeast"/>
              <w:rPr>
                <w:rFonts w:ascii="Arial" w:hAnsi="Arial" w:cs="Arial"/>
              </w:rPr>
            </w:pPr>
            <w:r w:rsidRPr="00C46970">
              <w:rPr>
                <w:rFonts w:ascii="Arial" w:hAnsi="Arial" w:cs="Arial"/>
              </w:rPr>
              <w:t>19</w:t>
            </w:r>
          </w:p>
        </w:tc>
        <w:tc>
          <w:tcPr>
            <w:tcW w:w="3200" w:type="pct"/>
            <w:shd w:val="clear" w:color="auto" w:fill="FFFFFF"/>
            <w:tcMar>
              <w:top w:w="0" w:type="dxa"/>
              <w:left w:w="108" w:type="dxa"/>
              <w:bottom w:w="0" w:type="dxa"/>
              <w:right w:w="108" w:type="dxa"/>
            </w:tcMar>
          </w:tcPr>
          <w:p w14:paraId="1249961A"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Review various tax provisions specific to farming, forestry and petroleum mining with a view to removing concessions harmful to natural capital, while also considering new concessions that could enhance natural capital.  </w:t>
            </w:r>
          </w:p>
        </w:tc>
        <w:tc>
          <w:tcPr>
            <w:tcW w:w="1524" w:type="pct"/>
            <w:shd w:val="clear" w:color="auto" w:fill="FFC000"/>
            <w:tcMar>
              <w:top w:w="0" w:type="dxa"/>
              <w:left w:w="108" w:type="dxa"/>
              <w:bottom w:w="0" w:type="dxa"/>
              <w:right w:w="108" w:type="dxa"/>
            </w:tcMar>
          </w:tcPr>
          <w:p w14:paraId="2C1015F3" w14:textId="77777777" w:rsidR="00DF011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7176B5">
              <w:rPr>
                <w:rFonts w:ascii="Arial" w:hAnsi="Arial" w:cs="Arial"/>
              </w:rPr>
              <w:t>(TPWP)</w:t>
            </w:r>
          </w:p>
          <w:p w14:paraId="0026CF17" w14:textId="2D3E9773" w:rsidR="0090480C" w:rsidRPr="0090480C" w:rsidRDefault="0090480C">
            <w:pPr>
              <w:widowControl w:val="0"/>
              <w:rPr>
                <w:rFonts w:ascii="Arial" w:hAnsi="Arial" w:cs="Arial"/>
                <w:b/>
              </w:rPr>
            </w:pPr>
          </w:p>
        </w:tc>
      </w:tr>
      <w:tr w:rsidR="00342E14" w:rsidRPr="006D32A5" w14:paraId="30051809" w14:textId="77777777" w:rsidTr="00DF0110">
        <w:tc>
          <w:tcPr>
            <w:tcW w:w="5000" w:type="pct"/>
            <w:gridSpan w:val="4"/>
            <w:shd w:val="clear" w:color="auto" w:fill="FFFFFF"/>
          </w:tcPr>
          <w:p w14:paraId="0E09FB94" w14:textId="77777777" w:rsidR="00342E14" w:rsidRPr="00C46970" w:rsidRDefault="00342E14" w:rsidP="00342E14">
            <w:pPr>
              <w:widowControl w:val="0"/>
              <w:spacing w:line="280" w:lineRule="atLeast"/>
              <w:ind w:left="94"/>
              <w:rPr>
                <w:rFonts w:ascii="Arial" w:hAnsi="Arial" w:cs="Arial"/>
                <w:b/>
                <w:i/>
              </w:rPr>
            </w:pPr>
            <w:r w:rsidRPr="00C46970">
              <w:rPr>
                <w:rFonts w:ascii="Arial" w:hAnsi="Arial" w:cs="Arial"/>
                <w:b/>
                <w:i/>
              </w:rPr>
              <w:t>Other environmental recommendations</w:t>
            </w:r>
          </w:p>
        </w:tc>
      </w:tr>
      <w:tr w:rsidR="00DF0110" w:rsidRPr="006D32A5" w14:paraId="061701B2" w14:textId="77777777" w:rsidTr="00355A52">
        <w:tc>
          <w:tcPr>
            <w:tcW w:w="276" w:type="pct"/>
            <w:gridSpan w:val="2"/>
            <w:shd w:val="clear" w:color="auto" w:fill="FFFFFF"/>
          </w:tcPr>
          <w:p w14:paraId="4E77DEBF" w14:textId="77777777" w:rsidR="00DF0110" w:rsidRPr="00C46970" w:rsidRDefault="00DF0110" w:rsidP="00342E14">
            <w:pPr>
              <w:widowControl w:val="0"/>
              <w:spacing w:line="280" w:lineRule="atLeast"/>
              <w:rPr>
                <w:rFonts w:ascii="Arial" w:hAnsi="Arial" w:cs="Arial"/>
              </w:rPr>
            </w:pPr>
            <w:r w:rsidRPr="00C46970">
              <w:rPr>
                <w:rFonts w:ascii="Arial" w:hAnsi="Arial" w:cs="Arial"/>
              </w:rPr>
              <w:t>20</w:t>
            </w:r>
          </w:p>
        </w:tc>
        <w:tc>
          <w:tcPr>
            <w:tcW w:w="3200" w:type="pct"/>
            <w:shd w:val="clear" w:color="auto" w:fill="FFFFFF"/>
            <w:tcMar>
              <w:top w:w="0" w:type="dxa"/>
              <w:left w:w="108" w:type="dxa"/>
              <w:bottom w:w="0" w:type="dxa"/>
              <w:right w:w="108" w:type="dxa"/>
            </w:tcMar>
          </w:tcPr>
          <w:p w14:paraId="67A9182E" w14:textId="77777777" w:rsidR="00DF0110" w:rsidRPr="00C46970" w:rsidRDefault="00DF0110" w:rsidP="00342E14">
            <w:pPr>
              <w:widowControl w:val="0"/>
              <w:spacing w:line="280" w:lineRule="atLeast"/>
              <w:rPr>
                <w:rFonts w:ascii="Arial" w:hAnsi="Arial" w:cs="Arial"/>
              </w:rPr>
            </w:pPr>
            <w:r w:rsidRPr="00C46970">
              <w:rPr>
                <w:rFonts w:ascii="Arial" w:hAnsi="Arial" w:cs="Arial"/>
              </w:rPr>
              <w:t>Recycle some or all of the revenue raised by environmental taxes into measures that support the transition to a more sustainable economy.</w:t>
            </w:r>
          </w:p>
        </w:tc>
        <w:tc>
          <w:tcPr>
            <w:tcW w:w="1524" w:type="pct"/>
            <w:shd w:val="clear" w:color="auto" w:fill="FFC000" w:themeFill="accent4"/>
            <w:tcMar>
              <w:top w:w="0" w:type="dxa"/>
              <w:left w:w="108" w:type="dxa"/>
              <w:bottom w:w="0" w:type="dxa"/>
              <w:right w:w="108" w:type="dxa"/>
            </w:tcMar>
          </w:tcPr>
          <w:p w14:paraId="5D1191E6" w14:textId="77777777" w:rsidR="00DF0110" w:rsidRPr="00C4697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457A5C">
              <w:rPr>
                <w:rFonts w:ascii="Arial" w:hAnsi="Arial" w:cs="Arial"/>
              </w:rPr>
              <w:t>(TPWP and M</w:t>
            </w:r>
            <w:r w:rsidR="00093B5A" w:rsidRPr="00457A5C">
              <w:rPr>
                <w:rFonts w:ascii="Arial" w:hAnsi="Arial" w:cs="Arial"/>
                <w:szCs w:val="24"/>
              </w:rPr>
              <w:t>inistry for the Environment</w:t>
            </w:r>
            <w:r w:rsidRPr="00457A5C">
              <w:rPr>
                <w:rFonts w:ascii="Arial" w:hAnsi="Arial" w:cs="Arial"/>
                <w:szCs w:val="24"/>
              </w:rPr>
              <w:t>)</w:t>
            </w:r>
          </w:p>
        </w:tc>
      </w:tr>
      <w:tr w:rsidR="00DF0110" w:rsidRPr="006D32A5" w14:paraId="7439A663" w14:textId="77777777" w:rsidTr="00355A52">
        <w:tc>
          <w:tcPr>
            <w:tcW w:w="276" w:type="pct"/>
            <w:gridSpan w:val="2"/>
            <w:shd w:val="clear" w:color="auto" w:fill="FFFFFF"/>
          </w:tcPr>
          <w:p w14:paraId="3BA8B4AC" w14:textId="77777777" w:rsidR="00DF0110" w:rsidRPr="00C46970" w:rsidRDefault="00DF0110" w:rsidP="00342E14">
            <w:pPr>
              <w:widowControl w:val="0"/>
              <w:spacing w:line="280" w:lineRule="atLeast"/>
              <w:rPr>
                <w:rFonts w:ascii="Arial" w:hAnsi="Arial" w:cs="Arial"/>
              </w:rPr>
            </w:pPr>
            <w:r w:rsidRPr="00C46970">
              <w:rPr>
                <w:rFonts w:ascii="Arial" w:hAnsi="Arial" w:cs="Arial"/>
              </w:rPr>
              <w:t>21</w:t>
            </w:r>
          </w:p>
        </w:tc>
        <w:tc>
          <w:tcPr>
            <w:tcW w:w="3200" w:type="pct"/>
            <w:shd w:val="clear" w:color="auto" w:fill="FFFFFF"/>
            <w:tcMar>
              <w:top w:w="0" w:type="dxa"/>
              <w:left w:w="108" w:type="dxa"/>
              <w:bottom w:w="0" w:type="dxa"/>
              <w:right w:w="108" w:type="dxa"/>
            </w:tcMar>
          </w:tcPr>
          <w:p w14:paraId="52280E5D"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Over the longer term, consider an environmental footprint tax or a natural capital enhancement tax.  </w:t>
            </w:r>
          </w:p>
        </w:tc>
        <w:tc>
          <w:tcPr>
            <w:tcW w:w="1524" w:type="pct"/>
            <w:shd w:val="clear" w:color="auto" w:fill="FFC000" w:themeFill="accent4"/>
            <w:tcMar>
              <w:top w:w="0" w:type="dxa"/>
              <w:left w:w="108" w:type="dxa"/>
              <w:bottom w:w="0" w:type="dxa"/>
              <w:right w:w="108" w:type="dxa"/>
            </w:tcMar>
          </w:tcPr>
          <w:p w14:paraId="65BBE47E" w14:textId="5544D20C" w:rsidR="00DF0110" w:rsidRPr="00093B5A" w:rsidRDefault="00423D38" w:rsidP="00423D38">
            <w:pPr>
              <w:widowControl w:val="0"/>
              <w:rPr>
                <w:rFonts w:ascii="Arial" w:hAnsi="Arial" w:cs="Arial"/>
                <w:b/>
              </w:rPr>
            </w:pPr>
            <w:r w:rsidRPr="00423D38">
              <w:rPr>
                <w:rFonts w:ascii="Arial" w:hAnsi="Arial" w:cs="Arial"/>
                <w:b/>
              </w:rPr>
              <w:t>Defer for now, but</w:t>
            </w:r>
            <w:r>
              <w:rPr>
                <w:rFonts w:ascii="Arial" w:hAnsi="Arial" w:cs="Arial"/>
                <w:b/>
              </w:rPr>
              <w:t xml:space="preserve"> c</w:t>
            </w:r>
            <w:r w:rsidR="00457A5C" w:rsidRPr="00457A5C">
              <w:rPr>
                <w:rFonts w:ascii="Arial" w:hAnsi="Arial" w:cs="Arial"/>
                <w:b/>
              </w:rPr>
              <w:t xml:space="preserve">onsider for </w:t>
            </w:r>
            <w:r w:rsidR="00B87263">
              <w:rPr>
                <w:rFonts w:ascii="Arial" w:hAnsi="Arial" w:cs="Arial"/>
                <w:b/>
              </w:rPr>
              <w:t xml:space="preserve">inclusion on </w:t>
            </w:r>
            <w:r w:rsidR="00457A5C" w:rsidRPr="00457A5C">
              <w:rPr>
                <w:rFonts w:ascii="Arial" w:hAnsi="Arial" w:cs="Arial"/>
                <w:b/>
              </w:rPr>
              <w:t>work programme</w:t>
            </w:r>
            <w:r w:rsidR="00B829E4">
              <w:rPr>
                <w:rFonts w:ascii="Arial" w:hAnsi="Arial" w:cs="Arial"/>
                <w:b/>
              </w:rPr>
              <w:t xml:space="preserve"> </w:t>
            </w:r>
            <w:r w:rsidR="00B829E4" w:rsidRPr="00423D38">
              <w:rPr>
                <w:rFonts w:ascii="Arial" w:hAnsi="Arial" w:cs="Arial"/>
                <w:b/>
              </w:rPr>
              <w:t>in the longer term</w:t>
            </w:r>
            <w:r w:rsidR="007176B5" w:rsidRPr="00423D38">
              <w:rPr>
                <w:rFonts w:ascii="Arial" w:hAnsi="Arial" w:cs="Arial"/>
                <w:b/>
              </w:rPr>
              <w:t xml:space="preserve"> </w:t>
            </w:r>
            <w:r w:rsidR="007176B5" w:rsidRPr="00423D38">
              <w:rPr>
                <w:rFonts w:ascii="Arial" w:hAnsi="Arial" w:cs="Arial"/>
              </w:rPr>
              <w:t>(</w:t>
            </w:r>
            <w:r w:rsidR="007176B5" w:rsidRPr="007176B5">
              <w:rPr>
                <w:rFonts w:ascii="Arial" w:hAnsi="Arial" w:cs="Arial"/>
              </w:rPr>
              <w:t>TPWP</w:t>
            </w:r>
            <w:r w:rsidR="007176B5">
              <w:rPr>
                <w:rFonts w:ascii="Arial" w:hAnsi="Arial" w:cs="Arial"/>
              </w:rPr>
              <w:t xml:space="preserve"> </w:t>
            </w:r>
            <w:r w:rsidR="007176B5" w:rsidRPr="00457A5C">
              <w:rPr>
                <w:rFonts w:ascii="Arial" w:hAnsi="Arial" w:cs="Arial"/>
              </w:rPr>
              <w:t>and M</w:t>
            </w:r>
            <w:r w:rsidR="007176B5" w:rsidRPr="00457A5C">
              <w:rPr>
                <w:rFonts w:ascii="Arial" w:hAnsi="Arial" w:cs="Arial"/>
                <w:szCs w:val="24"/>
              </w:rPr>
              <w:t>inistry for the Environment</w:t>
            </w:r>
            <w:r w:rsidR="007176B5" w:rsidRPr="007176B5">
              <w:rPr>
                <w:rFonts w:ascii="Arial" w:hAnsi="Arial" w:cs="Arial"/>
              </w:rPr>
              <w:t>)</w:t>
            </w:r>
          </w:p>
        </w:tc>
      </w:tr>
      <w:tr w:rsidR="00DF0110" w:rsidRPr="006D32A5" w14:paraId="61C74CD4" w14:textId="77777777" w:rsidTr="00B42D4C">
        <w:tc>
          <w:tcPr>
            <w:tcW w:w="276" w:type="pct"/>
            <w:gridSpan w:val="2"/>
            <w:shd w:val="clear" w:color="auto" w:fill="FFFFFF"/>
          </w:tcPr>
          <w:p w14:paraId="62B12464"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22</w:t>
            </w:r>
          </w:p>
        </w:tc>
        <w:tc>
          <w:tcPr>
            <w:tcW w:w="3200" w:type="pct"/>
            <w:shd w:val="clear" w:color="auto" w:fill="FFFFFF"/>
            <w:tcMar>
              <w:top w:w="0" w:type="dxa"/>
              <w:left w:w="108" w:type="dxa"/>
              <w:bottom w:w="0" w:type="dxa"/>
              <w:right w:w="108" w:type="dxa"/>
            </w:tcMar>
          </w:tcPr>
          <w:p w14:paraId="40CDF70E" w14:textId="77777777" w:rsidR="00DF0110" w:rsidRPr="00C46970" w:rsidRDefault="00DF0110" w:rsidP="00342E14">
            <w:pPr>
              <w:widowControl w:val="0"/>
              <w:spacing w:line="280" w:lineRule="atLeast"/>
              <w:rPr>
                <w:rFonts w:ascii="Arial" w:hAnsi="Arial" w:cs="Arial"/>
              </w:rPr>
            </w:pPr>
            <w:r w:rsidRPr="00C46970">
              <w:rPr>
                <w:rFonts w:ascii="Arial" w:hAnsi="Arial" w:cs="Arial"/>
                <w:lang w:val="en" w:eastAsia="en-NZ"/>
              </w:rPr>
              <w:t>The Government should strengthen its environmental tax capabilities, including with the Parliamentary Commissioner for the Environment.</w:t>
            </w:r>
          </w:p>
        </w:tc>
        <w:tc>
          <w:tcPr>
            <w:tcW w:w="1524" w:type="pct"/>
            <w:shd w:val="clear" w:color="auto" w:fill="FFC000" w:themeFill="accent4"/>
            <w:tcMar>
              <w:top w:w="0" w:type="dxa"/>
              <w:left w:w="108" w:type="dxa"/>
              <w:bottom w:w="0" w:type="dxa"/>
              <w:right w:w="108" w:type="dxa"/>
            </w:tcMar>
          </w:tcPr>
          <w:p w14:paraId="388BAF0D" w14:textId="77777777" w:rsidR="00DF0110" w:rsidRPr="00093B5A" w:rsidRDefault="00F72ACB" w:rsidP="00342E14">
            <w:pPr>
              <w:widowControl w:val="0"/>
              <w:rPr>
                <w:rFonts w:ascii="Arial" w:hAnsi="Arial" w:cs="Arial"/>
                <w:b/>
              </w:rPr>
            </w:pPr>
            <w:r w:rsidRPr="00457A5C">
              <w:rPr>
                <w:rFonts w:ascii="Arial" w:hAnsi="Arial" w:cs="Arial"/>
                <w:b/>
              </w:rPr>
              <w:t>Consider</w:t>
            </w:r>
            <w:r w:rsidR="003D08B3">
              <w:rPr>
                <w:rFonts w:ascii="Arial" w:hAnsi="Arial" w:cs="Arial"/>
                <w:b/>
              </w:rPr>
              <w:t xml:space="preserve"> </w:t>
            </w:r>
            <w:r>
              <w:rPr>
                <w:rFonts w:ascii="Arial" w:hAnsi="Arial" w:cs="Arial"/>
                <w:b/>
              </w:rPr>
              <w:t>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r w:rsidR="007176B5">
              <w:rPr>
                <w:rFonts w:ascii="Arial" w:hAnsi="Arial" w:cs="Arial"/>
              </w:rPr>
              <w:t xml:space="preserve">, </w:t>
            </w:r>
            <w:r w:rsidR="007176B5" w:rsidRPr="00153F4D">
              <w:rPr>
                <w:rFonts w:ascii="Arial" w:hAnsi="Arial" w:cs="Arial"/>
              </w:rPr>
              <w:t>Parliamentary Commissioner for the Environment, and M</w:t>
            </w:r>
            <w:r w:rsidR="007176B5" w:rsidRPr="00153F4D">
              <w:rPr>
                <w:rFonts w:ascii="Arial" w:hAnsi="Arial" w:cs="Arial"/>
                <w:szCs w:val="24"/>
              </w:rPr>
              <w:t>inistry for the Environment</w:t>
            </w:r>
            <w:r w:rsidR="007176B5" w:rsidRPr="00153F4D">
              <w:rPr>
                <w:rFonts w:ascii="Arial" w:hAnsi="Arial" w:cs="Arial"/>
              </w:rPr>
              <w:t>)</w:t>
            </w:r>
          </w:p>
        </w:tc>
      </w:tr>
      <w:tr w:rsidR="00DF0110" w:rsidRPr="006D32A5" w14:paraId="6C79F102" w14:textId="77777777" w:rsidTr="00355A52">
        <w:tc>
          <w:tcPr>
            <w:tcW w:w="276" w:type="pct"/>
            <w:gridSpan w:val="2"/>
            <w:shd w:val="clear" w:color="auto" w:fill="FFFFFF"/>
          </w:tcPr>
          <w:p w14:paraId="35DB4951"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23</w:t>
            </w:r>
          </w:p>
        </w:tc>
        <w:tc>
          <w:tcPr>
            <w:tcW w:w="3200" w:type="pct"/>
            <w:shd w:val="clear" w:color="auto" w:fill="FFFFFF"/>
            <w:tcMar>
              <w:top w:w="0" w:type="dxa"/>
              <w:left w:w="108" w:type="dxa"/>
              <w:bottom w:w="0" w:type="dxa"/>
              <w:right w:w="108" w:type="dxa"/>
            </w:tcMar>
          </w:tcPr>
          <w:p w14:paraId="38987C45"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Commission incidence studies on environmental taxes.</w:t>
            </w:r>
          </w:p>
        </w:tc>
        <w:tc>
          <w:tcPr>
            <w:tcW w:w="1524" w:type="pct"/>
            <w:shd w:val="clear" w:color="auto" w:fill="FFC000" w:themeFill="accent4"/>
            <w:tcMar>
              <w:top w:w="0" w:type="dxa"/>
              <w:left w:w="108" w:type="dxa"/>
              <w:bottom w:w="0" w:type="dxa"/>
              <w:right w:w="108" w:type="dxa"/>
            </w:tcMar>
          </w:tcPr>
          <w:p w14:paraId="4CE446B8" w14:textId="77777777" w:rsidR="00DF0110" w:rsidRPr="00C4697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457A5C">
              <w:rPr>
                <w:rFonts w:ascii="Arial" w:hAnsi="Arial" w:cs="Arial"/>
              </w:rPr>
              <w:t>(TPWP and M</w:t>
            </w:r>
            <w:r w:rsidRPr="00457A5C">
              <w:rPr>
                <w:rFonts w:ascii="Arial" w:hAnsi="Arial" w:cs="Arial"/>
                <w:szCs w:val="24"/>
              </w:rPr>
              <w:t>inistry for the Environment)</w:t>
            </w:r>
          </w:p>
        </w:tc>
      </w:tr>
      <w:tr w:rsidR="00DF0110" w:rsidRPr="006D32A5" w14:paraId="0366F489" w14:textId="77777777" w:rsidTr="00355A52">
        <w:tc>
          <w:tcPr>
            <w:tcW w:w="276" w:type="pct"/>
            <w:gridSpan w:val="2"/>
            <w:shd w:val="clear" w:color="auto" w:fill="FFFFFF"/>
          </w:tcPr>
          <w:p w14:paraId="1D1FD6B6"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24</w:t>
            </w:r>
          </w:p>
        </w:tc>
        <w:tc>
          <w:tcPr>
            <w:tcW w:w="3200" w:type="pct"/>
            <w:shd w:val="clear" w:color="auto" w:fill="FFFFFF"/>
            <w:tcMar>
              <w:top w:w="0" w:type="dxa"/>
              <w:left w:w="108" w:type="dxa"/>
              <w:bottom w:w="0" w:type="dxa"/>
              <w:right w:w="108" w:type="dxa"/>
            </w:tcMar>
          </w:tcPr>
          <w:p w14:paraId="697CB6B1"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 xml:space="preserve">Undertake further work to assess how taxes can complement other environmental policy measures and to work through the design principles in the TWG’s framework for taxing negative environmental externalities.  </w:t>
            </w:r>
          </w:p>
        </w:tc>
        <w:tc>
          <w:tcPr>
            <w:tcW w:w="1524" w:type="pct"/>
            <w:shd w:val="clear" w:color="auto" w:fill="FFC000" w:themeFill="accent4"/>
            <w:tcMar>
              <w:top w:w="0" w:type="dxa"/>
              <w:left w:w="108" w:type="dxa"/>
              <w:bottom w:w="0" w:type="dxa"/>
              <w:right w:w="108" w:type="dxa"/>
            </w:tcMar>
          </w:tcPr>
          <w:p w14:paraId="70799571" w14:textId="77777777" w:rsidR="00DF0110" w:rsidRPr="00C4697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457A5C">
              <w:rPr>
                <w:rFonts w:ascii="Arial" w:hAnsi="Arial" w:cs="Arial"/>
              </w:rPr>
              <w:t>(TPWP and M</w:t>
            </w:r>
            <w:r w:rsidRPr="00457A5C">
              <w:rPr>
                <w:rFonts w:ascii="Arial" w:hAnsi="Arial" w:cs="Arial"/>
                <w:szCs w:val="24"/>
              </w:rPr>
              <w:t>inistry for the Environment)</w:t>
            </w:r>
          </w:p>
        </w:tc>
      </w:tr>
      <w:tr w:rsidR="00342E14" w:rsidRPr="006D32A5" w14:paraId="1C7D213D" w14:textId="77777777" w:rsidTr="00DF0110">
        <w:trPr>
          <w:trHeight w:val="367"/>
        </w:trPr>
        <w:tc>
          <w:tcPr>
            <w:tcW w:w="5000" w:type="pct"/>
            <w:gridSpan w:val="4"/>
            <w:shd w:val="clear" w:color="auto" w:fill="000000" w:themeFill="text1"/>
            <w:vAlign w:val="center"/>
          </w:tcPr>
          <w:p w14:paraId="1FBFCF37" w14:textId="77777777" w:rsidR="00342E14" w:rsidRPr="00C46970" w:rsidRDefault="00342E14" w:rsidP="00342E14">
            <w:pPr>
              <w:widowControl w:val="0"/>
              <w:ind w:left="94"/>
              <w:rPr>
                <w:rFonts w:ascii="Arial" w:hAnsi="Arial" w:cs="Arial"/>
                <w:color w:val="FFFFFF" w:themeColor="background1"/>
                <w:highlight w:val="yellow"/>
              </w:rPr>
            </w:pPr>
            <w:r w:rsidRPr="00C46970">
              <w:rPr>
                <w:rFonts w:ascii="Arial" w:hAnsi="Arial" w:cs="Arial"/>
                <w:b/>
                <w:color w:val="FFFFFF" w:themeColor="background1"/>
                <w:lang w:eastAsia="en-NZ"/>
              </w:rPr>
              <w:t xml:space="preserve">The taxation of business </w:t>
            </w:r>
          </w:p>
        </w:tc>
      </w:tr>
      <w:tr w:rsidR="00DF0110" w:rsidRPr="006D32A5" w14:paraId="6045F859" w14:textId="77777777" w:rsidTr="00355A52">
        <w:tc>
          <w:tcPr>
            <w:tcW w:w="276" w:type="pct"/>
            <w:gridSpan w:val="2"/>
            <w:shd w:val="clear" w:color="auto" w:fill="FFFFFF"/>
          </w:tcPr>
          <w:p w14:paraId="0770D3BE" w14:textId="77777777" w:rsidR="00DF0110" w:rsidRPr="00C46970" w:rsidRDefault="00DF0110" w:rsidP="00342E14">
            <w:pPr>
              <w:widowControl w:val="0"/>
              <w:spacing w:line="280" w:lineRule="atLeast"/>
              <w:rPr>
                <w:rFonts w:ascii="Arial" w:hAnsi="Arial" w:cs="Arial"/>
              </w:rPr>
            </w:pPr>
            <w:r w:rsidRPr="00C46970">
              <w:rPr>
                <w:rFonts w:ascii="Arial" w:hAnsi="Arial" w:cs="Arial"/>
              </w:rPr>
              <w:t>25</w:t>
            </w:r>
          </w:p>
        </w:tc>
        <w:tc>
          <w:tcPr>
            <w:tcW w:w="3200" w:type="pct"/>
            <w:shd w:val="clear" w:color="auto" w:fill="FFFFFF"/>
            <w:tcMar>
              <w:top w:w="0" w:type="dxa"/>
              <w:left w:w="108" w:type="dxa"/>
              <w:bottom w:w="0" w:type="dxa"/>
              <w:right w:w="108" w:type="dxa"/>
            </w:tcMar>
          </w:tcPr>
          <w:p w14:paraId="0E77C471" w14:textId="77777777" w:rsidR="00DF0110" w:rsidRPr="00C46970" w:rsidRDefault="00DF0110" w:rsidP="00342E14">
            <w:pPr>
              <w:widowControl w:val="0"/>
              <w:spacing w:line="280" w:lineRule="atLeast"/>
              <w:rPr>
                <w:rFonts w:ascii="Arial" w:hAnsi="Arial" w:cs="Arial"/>
              </w:rPr>
            </w:pPr>
            <w:r w:rsidRPr="00C46970">
              <w:rPr>
                <w:rFonts w:ascii="Arial" w:hAnsi="Arial" w:cs="Arial"/>
              </w:rPr>
              <w:t>Retain the imputation system.</w:t>
            </w:r>
          </w:p>
        </w:tc>
        <w:tc>
          <w:tcPr>
            <w:tcW w:w="1524" w:type="pct"/>
            <w:shd w:val="clear" w:color="auto" w:fill="70AD47" w:themeFill="accent6"/>
            <w:tcMar>
              <w:top w:w="0" w:type="dxa"/>
              <w:left w:w="108" w:type="dxa"/>
              <w:bottom w:w="0" w:type="dxa"/>
              <w:right w:w="108" w:type="dxa"/>
            </w:tcMar>
          </w:tcPr>
          <w:p w14:paraId="23B7E12B" w14:textId="77777777" w:rsidR="00DF0110" w:rsidRPr="00093B5A" w:rsidRDefault="00355A52" w:rsidP="00342E14">
            <w:pPr>
              <w:widowControl w:val="0"/>
              <w:rPr>
                <w:rFonts w:ascii="Arial" w:hAnsi="Arial" w:cs="Arial"/>
                <w:b/>
              </w:rPr>
            </w:pPr>
            <w:r w:rsidRPr="00093B5A">
              <w:rPr>
                <w:rFonts w:ascii="Arial" w:hAnsi="Arial" w:cs="Arial"/>
                <w:b/>
              </w:rPr>
              <w:t>Endorse the TWG recommendation</w:t>
            </w:r>
          </w:p>
        </w:tc>
      </w:tr>
      <w:tr w:rsidR="00DF0110" w:rsidRPr="006D32A5" w14:paraId="2F999071" w14:textId="77777777" w:rsidTr="00355A52">
        <w:tc>
          <w:tcPr>
            <w:tcW w:w="276" w:type="pct"/>
            <w:gridSpan w:val="2"/>
            <w:shd w:val="clear" w:color="auto" w:fill="FFFFFF"/>
          </w:tcPr>
          <w:p w14:paraId="77556457" w14:textId="77777777" w:rsidR="00DF0110" w:rsidRPr="00C46970" w:rsidRDefault="00DF0110" w:rsidP="00342E14">
            <w:pPr>
              <w:widowControl w:val="0"/>
              <w:spacing w:line="280" w:lineRule="atLeast"/>
              <w:rPr>
                <w:rFonts w:ascii="Arial" w:hAnsi="Arial" w:cs="Arial"/>
              </w:rPr>
            </w:pPr>
            <w:r w:rsidRPr="00C46970">
              <w:rPr>
                <w:rFonts w:ascii="Arial" w:hAnsi="Arial" w:cs="Arial"/>
              </w:rPr>
              <w:t>26</w:t>
            </w:r>
          </w:p>
        </w:tc>
        <w:tc>
          <w:tcPr>
            <w:tcW w:w="3200" w:type="pct"/>
            <w:shd w:val="clear" w:color="auto" w:fill="FFFFFF"/>
            <w:tcMar>
              <w:top w:w="0" w:type="dxa"/>
              <w:left w:w="108" w:type="dxa"/>
              <w:bottom w:w="0" w:type="dxa"/>
              <w:right w:w="108" w:type="dxa"/>
            </w:tcMar>
          </w:tcPr>
          <w:p w14:paraId="21F76108"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Do not reduce the company tax rate at the present time.    </w:t>
            </w:r>
          </w:p>
        </w:tc>
        <w:tc>
          <w:tcPr>
            <w:tcW w:w="1524" w:type="pct"/>
            <w:shd w:val="clear" w:color="auto" w:fill="70AD47" w:themeFill="accent6"/>
            <w:tcMar>
              <w:top w:w="0" w:type="dxa"/>
              <w:left w:w="108" w:type="dxa"/>
              <w:bottom w:w="0" w:type="dxa"/>
              <w:right w:w="108" w:type="dxa"/>
            </w:tcMar>
          </w:tcPr>
          <w:p w14:paraId="2A523A76" w14:textId="77777777" w:rsidR="00DF0110" w:rsidRPr="00093B5A" w:rsidRDefault="00355A52" w:rsidP="00342E14">
            <w:pPr>
              <w:widowControl w:val="0"/>
              <w:rPr>
                <w:rFonts w:ascii="Arial" w:hAnsi="Arial" w:cs="Arial"/>
                <w:b/>
              </w:rPr>
            </w:pPr>
            <w:r w:rsidRPr="00093B5A">
              <w:rPr>
                <w:rFonts w:ascii="Arial" w:hAnsi="Arial" w:cs="Arial"/>
                <w:b/>
              </w:rPr>
              <w:t>Endorse the TWG recommendation</w:t>
            </w:r>
          </w:p>
        </w:tc>
      </w:tr>
      <w:tr w:rsidR="00DF0110" w:rsidRPr="006D32A5" w14:paraId="67072DEA" w14:textId="77777777" w:rsidTr="00355A52">
        <w:tc>
          <w:tcPr>
            <w:tcW w:w="276" w:type="pct"/>
            <w:gridSpan w:val="2"/>
            <w:shd w:val="clear" w:color="auto" w:fill="FFFFFF"/>
          </w:tcPr>
          <w:p w14:paraId="31471525" w14:textId="77777777" w:rsidR="00DF0110" w:rsidRPr="00C46970" w:rsidRDefault="00DF0110" w:rsidP="00342E14">
            <w:pPr>
              <w:widowControl w:val="0"/>
              <w:spacing w:line="280" w:lineRule="atLeast"/>
              <w:rPr>
                <w:rFonts w:ascii="Arial" w:hAnsi="Arial" w:cs="Arial"/>
              </w:rPr>
            </w:pPr>
            <w:r w:rsidRPr="00C46970">
              <w:rPr>
                <w:rFonts w:ascii="Arial" w:hAnsi="Arial" w:cs="Arial"/>
              </w:rPr>
              <w:t>27</w:t>
            </w:r>
          </w:p>
        </w:tc>
        <w:tc>
          <w:tcPr>
            <w:tcW w:w="3200" w:type="pct"/>
            <w:shd w:val="clear" w:color="auto" w:fill="FFFFFF"/>
            <w:tcMar>
              <w:top w:w="0" w:type="dxa"/>
              <w:left w:w="108" w:type="dxa"/>
              <w:bottom w:w="0" w:type="dxa"/>
              <w:right w:w="108" w:type="dxa"/>
            </w:tcMar>
          </w:tcPr>
          <w:p w14:paraId="0F02FAF8"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Do not introduce a progressive company tax. </w:t>
            </w:r>
          </w:p>
        </w:tc>
        <w:tc>
          <w:tcPr>
            <w:tcW w:w="1524" w:type="pct"/>
            <w:shd w:val="clear" w:color="auto" w:fill="70AD47" w:themeFill="accent6"/>
            <w:tcMar>
              <w:top w:w="0" w:type="dxa"/>
              <w:left w:w="108" w:type="dxa"/>
              <w:bottom w:w="0" w:type="dxa"/>
              <w:right w:w="108" w:type="dxa"/>
            </w:tcMar>
          </w:tcPr>
          <w:p w14:paraId="0062BD5C" w14:textId="77777777" w:rsidR="00DF0110" w:rsidRPr="00093B5A" w:rsidRDefault="00355A52" w:rsidP="00342E14">
            <w:pPr>
              <w:widowControl w:val="0"/>
              <w:rPr>
                <w:rFonts w:ascii="Arial" w:hAnsi="Arial" w:cs="Arial"/>
                <w:b/>
              </w:rPr>
            </w:pPr>
            <w:r w:rsidRPr="00093B5A">
              <w:rPr>
                <w:rFonts w:ascii="Arial" w:hAnsi="Arial" w:cs="Arial"/>
                <w:b/>
              </w:rPr>
              <w:t>Endorse the TWG recommendation</w:t>
            </w:r>
          </w:p>
        </w:tc>
      </w:tr>
      <w:tr w:rsidR="00DF0110" w:rsidRPr="006D32A5" w14:paraId="573338F6" w14:textId="77777777" w:rsidTr="00355A52">
        <w:tc>
          <w:tcPr>
            <w:tcW w:w="276" w:type="pct"/>
            <w:gridSpan w:val="2"/>
            <w:shd w:val="clear" w:color="auto" w:fill="FFFFFF"/>
          </w:tcPr>
          <w:p w14:paraId="19794C65" w14:textId="77777777" w:rsidR="00DF0110" w:rsidRPr="00C46970" w:rsidRDefault="00DF0110" w:rsidP="00342E14">
            <w:pPr>
              <w:widowControl w:val="0"/>
              <w:spacing w:line="280" w:lineRule="atLeast"/>
              <w:rPr>
                <w:rFonts w:ascii="Arial" w:hAnsi="Arial" w:cs="Arial"/>
              </w:rPr>
            </w:pPr>
            <w:r w:rsidRPr="00C46970">
              <w:rPr>
                <w:rFonts w:ascii="Arial" w:hAnsi="Arial" w:cs="Arial"/>
              </w:rPr>
              <w:t>28</w:t>
            </w:r>
          </w:p>
        </w:tc>
        <w:tc>
          <w:tcPr>
            <w:tcW w:w="3200" w:type="pct"/>
            <w:shd w:val="clear" w:color="auto" w:fill="FFFFFF"/>
            <w:tcMar>
              <w:top w:w="0" w:type="dxa"/>
              <w:left w:w="108" w:type="dxa"/>
              <w:bottom w:w="0" w:type="dxa"/>
              <w:right w:w="108" w:type="dxa"/>
            </w:tcMar>
          </w:tcPr>
          <w:p w14:paraId="5D746D25" w14:textId="77777777" w:rsidR="00DF0110" w:rsidRPr="00C46970" w:rsidRDefault="00DF0110" w:rsidP="00342E14">
            <w:pPr>
              <w:widowControl w:val="0"/>
              <w:spacing w:line="280" w:lineRule="atLeast"/>
              <w:rPr>
                <w:rFonts w:ascii="Arial" w:hAnsi="Arial" w:cs="Arial"/>
              </w:rPr>
            </w:pPr>
            <w:r w:rsidRPr="00C46970">
              <w:rPr>
                <w:rFonts w:ascii="Arial" w:hAnsi="Arial" w:cs="Arial"/>
              </w:rPr>
              <w:t>Do not introduce an alternative basis of taxation for smaller businesses, such as a cash flow or turnover taxes.</w:t>
            </w:r>
          </w:p>
        </w:tc>
        <w:tc>
          <w:tcPr>
            <w:tcW w:w="1524" w:type="pct"/>
            <w:shd w:val="clear" w:color="auto" w:fill="70AD47" w:themeFill="accent6"/>
            <w:tcMar>
              <w:top w:w="0" w:type="dxa"/>
              <w:left w:w="108" w:type="dxa"/>
              <w:bottom w:w="0" w:type="dxa"/>
              <w:right w:w="108" w:type="dxa"/>
            </w:tcMar>
          </w:tcPr>
          <w:p w14:paraId="568C15F5" w14:textId="77777777" w:rsidR="00DF0110" w:rsidRPr="00093B5A" w:rsidRDefault="00355A52" w:rsidP="00342E14">
            <w:pPr>
              <w:widowControl w:val="0"/>
              <w:rPr>
                <w:rFonts w:ascii="Arial" w:hAnsi="Arial" w:cs="Arial"/>
                <w:b/>
              </w:rPr>
            </w:pPr>
            <w:r w:rsidRPr="00093B5A">
              <w:rPr>
                <w:rFonts w:ascii="Arial" w:hAnsi="Arial" w:cs="Arial"/>
                <w:b/>
              </w:rPr>
              <w:t>Endorse the TWG recommendation</w:t>
            </w:r>
          </w:p>
        </w:tc>
      </w:tr>
      <w:tr w:rsidR="00DF0110" w:rsidRPr="006D32A5" w14:paraId="46DDD42C" w14:textId="77777777" w:rsidTr="00355A52">
        <w:tc>
          <w:tcPr>
            <w:tcW w:w="276" w:type="pct"/>
            <w:gridSpan w:val="2"/>
            <w:shd w:val="clear" w:color="auto" w:fill="FFFFFF"/>
          </w:tcPr>
          <w:p w14:paraId="631D10DA" w14:textId="77777777" w:rsidR="00DF0110" w:rsidRPr="00C46970" w:rsidRDefault="00DF0110" w:rsidP="00342E14">
            <w:pPr>
              <w:widowControl w:val="0"/>
              <w:spacing w:line="280" w:lineRule="atLeast"/>
              <w:rPr>
                <w:rFonts w:ascii="Arial" w:hAnsi="Arial" w:cs="Arial"/>
              </w:rPr>
            </w:pPr>
            <w:r w:rsidRPr="00C46970">
              <w:rPr>
                <w:rFonts w:ascii="Arial" w:hAnsi="Arial" w:cs="Arial"/>
              </w:rPr>
              <w:t>29</w:t>
            </w:r>
          </w:p>
        </w:tc>
        <w:tc>
          <w:tcPr>
            <w:tcW w:w="3200" w:type="pct"/>
            <w:shd w:val="clear" w:color="auto" w:fill="FFFFFF"/>
            <w:tcMar>
              <w:top w:w="0" w:type="dxa"/>
              <w:left w:w="108" w:type="dxa"/>
              <w:bottom w:w="0" w:type="dxa"/>
              <w:right w:w="108" w:type="dxa"/>
            </w:tcMar>
          </w:tcPr>
          <w:p w14:paraId="6D1C7314"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Retain the 17.5% rate for Māori authorities. </w:t>
            </w:r>
          </w:p>
        </w:tc>
        <w:tc>
          <w:tcPr>
            <w:tcW w:w="1524" w:type="pct"/>
            <w:shd w:val="clear" w:color="auto" w:fill="70AD47" w:themeFill="accent6"/>
            <w:tcMar>
              <w:top w:w="0" w:type="dxa"/>
              <w:left w:w="108" w:type="dxa"/>
              <w:bottom w:w="0" w:type="dxa"/>
              <w:right w:w="108" w:type="dxa"/>
            </w:tcMar>
          </w:tcPr>
          <w:p w14:paraId="7777B814" w14:textId="77777777" w:rsidR="00DF0110" w:rsidRPr="00093B5A" w:rsidRDefault="00355A52" w:rsidP="00342E14">
            <w:pPr>
              <w:widowControl w:val="0"/>
              <w:rPr>
                <w:rFonts w:ascii="Arial" w:hAnsi="Arial" w:cs="Arial"/>
                <w:b/>
              </w:rPr>
            </w:pPr>
            <w:r w:rsidRPr="00093B5A">
              <w:rPr>
                <w:rFonts w:ascii="Arial" w:hAnsi="Arial" w:cs="Arial"/>
                <w:b/>
              </w:rPr>
              <w:t>Endorse the TWG recommendation</w:t>
            </w:r>
          </w:p>
        </w:tc>
      </w:tr>
      <w:tr w:rsidR="00DF0110" w:rsidRPr="006D32A5" w14:paraId="07C9CBA3" w14:textId="77777777" w:rsidTr="00B42D4C">
        <w:tc>
          <w:tcPr>
            <w:tcW w:w="276" w:type="pct"/>
            <w:gridSpan w:val="2"/>
            <w:shd w:val="clear" w:color="auto" w:fill="FFFFFF"/>
          </w:tcPr>
          <w:p w14:paraId="47216E08" w14:textId="77777777" w:rsidR="00DF0110" w:rsidRPr="00C46970" w:rsidRDefault="00DF0110" w:rsidP="00342E14">
            <w:pPr>
              <w:widowControl w:val="0"/>
              <w:spacing w:line="280" w:lineRule="atLeast"/>
              <w:rPr>
                <w:rFonts w:ascii="Arial" w:hAnsi="Arial" w:cs="Arial"/>
              </w:rPr>
            </w:pPr>
            <w:r w:rsidRPr="00C46970">
              <w:rPr>
                <w:rFonts w:ascii="Arial" w:hAnsi="Arial" w:cs="Arial"/>
              </w:rPr>
              <w:t>30</w:t>
            </w:r>
          </w:p>
        </w:tc>
        <w:tc>
          <w:tcPr>
            <w:tcW w:w="3200" w:type="pct"/>
            <w:shd w:val="clear" w:color="auto" w:fill="FFFFFF"/>
            <w:tcMar>
              <w:top w:w="0" w:type="dxa"/>
              <w:left w:w="108" w:type="dxa"/>
              <w:bottom w:w="0" w:type="dxa"/>
              <w:right w:w="108" w:type="dxa"/>
            </w:tcMar>
          </w:tcPr>
          <w:p w14:paraId="6886FEC6" w14:textId="77777777" w:rsidR="00DF0110" w:rsidRPr="00C46970" w:rsidRDefault="00DF0110" w:rsidP="00342E14">
            <w:pPr>
              <w:widowControl w:val="0"/>
              <w:spacing w:line="280" w:lineRule="atLeast"/>
              <w:rPr>
                <w:rFonts w:ascii="Arial" w:hAnsi="Arial" w:cs="Arial"/>
              </w:rPr>
            </w:pPr>
            <w:r w:rsidRPr="00C46970">
              <w:rPr>
                <w:rFonts w:ascii="Arial" w:hAnsi="Arial" w:cs="Arial"/>
              </w:rPr>
              <w:t>Extend the 17.5% rate to the subsidiaries of Māori authorities.</w:t>
            </w:r>
          </w:p>
        </w:tc>
        <w:tc>
          <w:tcPr>
            <w:tcW w:w="1524" w:type="pct"/>
            <w:shd w:val="clear" w:color="auto" w:fill="FFC000" w:themeFill="accent4"/>
            <w:tcMar>
              <w:top w:w="0" w:type="dxa"/>
              <w:left w:w="108" w:type="dxa"/>
              <w:bottom w:w="0" w:type="dxa"/>
              <w:right w:w="108" w:type="dxa"/>
            </w:tcMar>
          </w:tcPr>
          <w:p w14:paraId="1DE8D1EA" w14:textId="77777777" w:rsidR="00DF0110" w:rsidRPr="00C46970" w:rsidRDefault="005271B8" w:rsidP="00342E14">
            <w:pPr>
              <w:widowControl w:val="0"/>
              <w:rPr>
                <w:rFonts w:ascii="Arial" w:hAnsi="Arial" w:cs="Arial"/>
              </w:rPr>
            </w:pPr>
            <w:r w:rsidRPr="00457A5C">
              <w:rPr>
                <w:rFonts w:ascii="Arial" w:hAnsi="Arial" w:cs="Arial"/>
                <w:b/>
              </w:rPr>
              <w:t>Consider</w:t>
            </w:r>
            <w:r w:rsidR="003D08B3">
              <w:rPr>
                <w:rFonts w:ascii="Arial" w:hAnsi="Arial" w:cs="Arial"/>
                <w:b/>
              </w:rPr>
              <w:t xml:space="preserve"> </w:t>
            </w:r>
            <w:r>
              <w:rPr>
                <w:rFonts w:ascii="Arial" w:hAnsi="Arial" w:cs="Arial"/>
                <w:b/>
              </w:rPr>
              <w:t>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r w:rsidRPr="007F79C5">
              <w:rPr>
                <w:rFonts w:ascii="Arial" w:hAnsi="Arial" w:cs="Arial"/>
                <w:shd w:val="clear" w:color="auto" w:fill="FFC000"/>
              </w:rPr>
              <w:t>)</w:t>
            </w:r>
          </w:p>
        </w:tc>
      </w:tr>
      <w:tr w:rsidR="00DF0110" w:rsidRPr="006D32A5" w14:paraId="392CB4B6" w14:textId="77777777" w:rsidTr="00355A52">
        <w:tc>
          <w:tcPr>
            <w:tcW w:w="276" w:type="pct"/>
            <w:gridSpan w:val="2"/>
            <w:shd w:val="clear" w:color="auto" w:fill="FFFFFF"/>
          </w:tcPr>
          <w:p w14:paraId="6395E695" w14:textId="77777777" w:rsidR="00DF0110" w:rsidRPr="00C46970" w:rsidRDefault="00DF0110" w:rsidP="00342E14">
            <w:pPr>
              <w:widowControl w:val="0"/>
              <w:spacing w:line="280" w:lineRule="atLeast"/>
              <w:rPr>
                <w:rFonts w:ascii="Arial" w:hAnsi="Arial" w:cs="Arial"/>
              </w:rPr>
            </w:pPr>
            <w:r w:rsidRPr="00C46970">
              <w:rPr>
                <w:rFonts w:ascii="Arial" w:hAnsi="Arial" w:cs="Arial"/>
              </w:rPr>
              <w:t>31</w:t>
            </w:r>
          </w:p>
        </w:tc>
        <w:tc>
          <w:tcPr>
            <w:tcW w:w="3200" w:type="pct"/>
            <w:shd w:val="clear" w:color="auto" w:fill="FFFFFF"/>
            <w:tcMar>
              <w:top w:w="0" w:type="dxa"/>
              <w:left w:w="108" w:type="dxa"/>
              <w:bottom w:w="0" w:type="dxa"/>
              <w:right w:w="108" w:type="dxa"/>
            </w:tcMar>
          </w:tcPr>
          <w:p w14:paraId="08BBCF14"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technical refinements to the Māori authority rules, as suggested by submitters, in the Tax Policy Work Programme.  </w:t>
            </w:r>
          </w:p>
        </w:tc>
        <w:tc>
          <w:tcPr>
            <w:tcW w:w="1524" w:type="pct"/>
            <w:shd w:val="clear" w:color="auto" w:fill="FFC000"/>
            <w:tcMar>
              <w:top w:w="0" w:type="dxa"/>
              <w:left w:w="108" w:type="dxa"/>
              <w:bottom w:w="0" w:type="dxa"/>
              <w:right w:w="108" w:type="dxa"/>
            </w:tcMar>
          </w:tcPr>
          <w:p w14:paraId="2803E9CA"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p>
        </w:tc>
      </w:tr>
      <w:tr w:rsidR="00DF0110" w:rsidRPr="006D32A5" w14:paraId="706561DA" w14:textId="77777777" w:rsidTr="00B42D4C">
        <w:tc>
          <w:tcPr>
            <w:tcW w:w="276" w:type="pct"/>
            <w:gridSpan w:val="2"/>
            <w:shd w:val="clear" w:color="auto" w:fill="FFFFFF"/>
          </w:tcPr>
          <w:p w14:paraId="031D8B27" w14:textId="77777777" w:rsidR="00DF0110" w:rsidRPr="00C46970" w:rsidRDefault="00DF0110" w:rsidP="00342E14">
            <w:pPr>
              <w:widowControl w:val="0"/>
              <w:spacing w:line="280" w:lineRule="atLeast"/>
              <w:rPr>
                <w:rFonts w:ascii="Arial" w:hAnsi="Arial" w:cs="Arial"/>
              </w:rPr>
            </w:pPr>
            <w:r w:rsidRPr="00C46970">
              <w:rPr>
                <w:rFonts w:ascii="Arial" w:hAnsi="Arial" w:cs="Arial"/>
              </w:rPr>
              <w:t>32</w:t>
            </w:r>
          </w:p>
        </w:tc>
        <w:tc>
          <w:tcPr>
            <w:tcW w:w="3200" w:type="pct"/>
            <w:shd w:val="clear" w:color="auto" w:fill="FFFFFF"/>
            <w:tcMar>
              <w:top w:w="0" w:type="dxa"/>
              <w:left w:w="108" w:type="dxa"/>
              <w:bottom w:w="0" w:type="dxa"/>
              <w:right w:w="108" w:type="dxa"/>
            </w:tcMar>
          </w:tcPr>
          <w:p w14:paraId="1F701343"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Change the loss continuity rules to support the growth of innovative start-up firms.  </w:t>
            </w:r>
          </w:p>
        </w:tc>
        <w:tc>
          <w:tcPr>
            <w:tcW w:w="1524" w:type="pct"/>
            <w:shd w:val="clear" w:color="auto" w:fill="FFC000" w:themeFill="accent4"/>
            <w:tcMar>
              <w:top w:w="0" w:type="dxa"/>
              <w:left w:w="108" w:type="dxa"/>
              <w:bottom w:w="0" w:type="dxa"/>
              <w:right w:w="108" w:type="dxa"/>
            </w:tcMar>
          </w:tcPr>
          <w:p w14:paraId="299FBEBF" w14:textId="77777777" w:rsidR="00DF0110" w:rsidRPr="00C46970" w:rsidRDefault="005271B8" w:rsidP="00342E14">
            <w:pPr>
              <w:widowControl w:val="0"/>
              <w:rPr>
                <w:rFonts w:ascii="Arial" w:hAnsi="Arial" w:cs="Arial"/>
                <w:highlight w:val="yellow"/>
              </w:rPr>
            </w:pPr>
            <w:r w:rsidRPr="00457A5C">
              <w:rPr>
                <w:rFonts w:ascii="Arial" w:hAnsi="Arial" w:cs="Arial"/>
                <w:b/>
              </w:rPr>
              <w:t xml:space="preserve">Consider </w:t>
            </w:r>
            <w:r>
              <w:rPr>
                <w:rFonts w:ascii="Arial" w:hAnsi="Arial" w:cs="Arial"/>
                <w:b/>
              </w:rPr>
              <w:t>for</w:t>
            </w:r>
            <w:r w:rsidR="00B87263">
              <w:rPr>
                <w:rFonts w:ascii="Arial" w:hAnsi="Arial" w:cs="Arial"/>
                <w:b/>
              </w:rPr>
              <w:t xml:space="preserve"> inclusion on</w:t>
            </w:r>
            <w:r w:rsidRPr="00457A5C">
              <w:rPr>
                <w:rFonts w:ascii="Arial" w:hAnsi="Arial" w:cs="Arial"/>
                <w:b/>
              </w:rPr>
              <w:t xml:space="preserve"> work programme</w:t>
            </w:r>
            <w:r>
              <w:rPr>
                <w:rFonts w:ascii="Arial" w:hAnsi="Arial" w:cs="Arial"/>
                <w:b/>
              </w:rPr>
              <w:t xml:space="preserve"> </w:t>
            </w:r>
            <w:r w:rsidRPr="00457A5C">
              <w:rPr>
                <w:rFonts w:ascii="Arial" w:hAnsi="Arial" w:cs="Arial"/>
              </w:rPr>
              <w:t>(TPWP</w:t>
            </w:r>
            <w:r w:rsidRPr="007F79C5">
              <w:rPr>
                <w:rFonts w:ascii="Arial" w:hAnsi="Arial" w:cs="Arial"/>
                <w:shd w:val="clear" w:color="auto" w:fill="FFC000"/>
              </w:rPr>
              <w:t>)</w:t>
            </w:r>
          </w:p>
        </w:tc>
      </w:tr>
      <w:tr w:rsidR="00DF0110" w:rsidRPr="006D32A5" w14:paraId="63E76E0E" w14:textId="77777777" w:rsidTr="00B42D4C">
        <w:tc>
          <w:tcPr>
            <w:tcW w:w="276" w:type="pct"/>
            <w:gridSpan w:val="2"/>
            <w:shd w:val="clear" w:color="auto" w:fill="FFFFFF"/>
          </w:tcPr>
          <w:p w14:paraId="7C67D86F" w14:textId="77777777" w:rsidR="00DF0110" w:rsidRPr="00C46970" w:rsidRDefault="00DF0110" w:rsidP="00342E14">
            <w:pPr>
              <w:widowControl w:val="0"/>
              <w:spacing w:line="280" w:lineRule="atLeast"/>
              <w:rPr>
                <w:rFonts w:ascii="Arial" w:hAnsi="Arial" w:cs="Arial"/>
              </w:rPr>
            </w:pPr>
            <w:r w:rsidRPr="00C46970">
              <w:rPr>
                <w:rFonts w:ascii="Arial" w:hAnsi="Arial" w:cs="Arial"/>
              </w:rPr>
              <w:t>33</w:t>
            </w:r>
          </w:p>
        </w:tc>
        <w:tc>
          <w:tcPr>
            <w:tcW w:w="3200" w:type="pct"/>
            <w:shd w:val="clear" w:color="auto" w:fill="FFFFFF"/>
            <w:tcMar>
              <w:top w:w="0" w:type="dxa"/>
              <w:left w:w="108" w:type="dxa"/>
              <w:bottom w:w="0" w:type="dxa"/>
              <w:right w:w="108" w:type="dxa"/>
            </w:tcMar>
          </w:tcPr>
          <w:p w14:paraId="36E71E6C" w14:textId="77777777" w:rsidR="00DF0110" w:rsidRPr="00C46970" w:rsidRDefault="00DF0110" w:rsidP="00342E14">
            <w:pPr>
              <w:widowControl w:val="0"/>
              <w:spacing w:line="280" w:lineRule="atLeast"/>
              <w:rPr>
                <w:rFonts w:ascii="Arial" w:hAnsi="Arial" w:cs="Arial"/>
              </w:rPr>
            </w:pPr>
            <w:r w:rsidRPr="00C46970">
              <w:rPr>
                <w:rFonts w:ascii="Arial" w:hAnsi="Arial" w:cs="Arial"/>
              </w:rPr>
              <w:t>Reform the treatment of black-hole expenditure by spreading such expenditure over five years with a $10,000 safe-harbour threshold of upfront deduct</w:t>
            </w:r>
            <w:r w:rsidR="00D10F46">
              <w:rPr>
                <w:rFonts w:ascii="Arial" w:hAnsi="Arial" w:cs="Arial"/>
              </w:rPr>
              <w:t>ion</w:t>
            </w:r>
            <w:r w:rsidRPr="00C46970">
              <w:rPr>
                <w:rFonts w:ascii="Arial" w:hAnsi="Arial" w:cs="Arial"/>
              </w:rPr>
              <w:t xml:space="preserve">s for feasibility expenditure.   </w:t>
            </w:r>
          </w:p>
        </w:tc>
        <w:tc>
          <w:tcPr>
            <w:tcW w:w="1524" w:type="pct"/>
            <w:shd w:val="clear" w:color="auto" w:fill="FFC000" w:themeFill="accent4"/>
            <w:tcMar>
              <w:top w:w="0" w:type="dxa"/>
              <w:left w:w="108" w:type="dxa"/>
              <w:bottom w:w="0" w:type="dxa"/>
              <w:right w:w="108" w:type="dxa"/>
            </w:tcMar>
          </w:tcPr>
          <w:p w14:paraId="5B86F810" w14:textId="77777777" w:rsidR="00DF0110" w:rsidRPr="00C46970" w:rsidRDefault="0067042E" w:rsidP="00342E14">
            <w:pPr>
              <w:widowControl w:val="0"/>
              <w:rPr>
                <w:rFonts w:ascii="Arial" w:hAnsi="Arial" w:cs="Arial"/>
                <w:highlight w:val="yellow"/>
              </w:rPr>
            </w:pPr>
            <w:r w:rsidRPr="00457A5C">
              <w:rPr>
                <w:rFonts w:ascii="Arial" w:hAnsi="Arial" w:cs="Arial"/>
                <w:b/>
              </w:rPr>
              <w:t xml:space="preserve">Consider </w:t>
            </w:r>
            <w:r>
              <w:rPr>
                <w:rFonts w:ascii="Arial" w:hAnsi="Arial" w:cs="Arial"/>
                <w:b/>
              </w:rPr>
              <w:t>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r w:rsidRPr="007F79C5">
              <w:rPr>
                <w:rFonts w:ascii="Arial" w:hAnsi="Arial" w:cs="Arial"/>
                <w:shd w:val="clear" w:color="auto" w:fill="FFC000"/>
              </w:rPr>
              <w:t>)</w:t>
            </w:r>
          </w:p>
        </w:tc>
      </w:tr>
      <w:tr w:rsidR="00AA0BCF" w:rsidRPr="006D32A5" w14:paraId="0FEC3C4D" w14:textId="77777777" w:rsidTr="00AA0BCF">
        <w:trPr>
          <w:trHeight w:val="937"/>
        </w:trPr>
        <w:tc>
          <w:tcPr>
            <w:tcW w:w="276" w:type="pct"/>
            <w:gridSpan w:val="2"/>
            <w:vMerge w:val="restart"/>
            <w:shd w:val="clear" w:color="auto" w:fill="FFFFFF"/>
          </w:tcPr>
          <w:p w14:paraId="4075ECAC" w14:textId="77777777" w:rsidR="00AA0BCF" w:rsidRPr="00C46970" w:rsidRDefault="00AA0BCF" w:rsidP="00342E14">
            <w:pPr>
              <w:widowControl w:val="0"/>
              <w:spacing w:line="280" w:lineRule="atLeast"/>
              <w:rPr>
                <w:rFonts w:ascii="Arial" w:hAnsi="Arial" w:cs="Arial"/>
              </w:rPr>
            </w:pPr>
            <w:r w:rsidRPr="00C46970">
              <w:rPr>
                <w:rFonts w:ascii="Arial" w:hAnsi="Arial" w:cs="Arial"/>
              </w:rPr>
              <w:t>34</w:t>
            </w:r>
          </w:p>
        </w:tc>
        <w:tc>
          <w:tcPr>
            <w:tcW w:w="3200" w:type="pct"/>
            <w:vMerge w:val="restart"/>
            <w:shd w:val="clear" w:color="auto" w:fill="FFFFFF"/>
            <w:tcMar>
              <w:top w:w="0" w:type="dxa"/>
              <w:left w:w="108" w:type="dxa"/>
              <w:bottom w:w="0" w:type="dxa"/>
              <w:right w:w="108" w:type="dxa"/>
            </w:tcMar>
          </w:tcPr>
          <w:p w14:paraId="0705574F" w14:textId="77777777" w:rsidR="00AA0BCF" w:rsidRPr="00C46970" w:rsidRDefault="00AA0BCF" w:rsidP="00342E14">
            <w:pPr>
              <w:widowControl w:val="0"/>
              <w:spacing w:line="280" w:lineRule="atLeast"/>
              <w:rPr>
                <w:rFonts w:ascii="Arial" w:hAnsi="Arial" w:cs="Arial"/>
              </w:rPr>
            </w:pPr>
            <w:r w:rsidRPr="00C46970">
              <w:rPr>
                <w:rFonts w:ascii="Arial" w:hAnsi="Arial" w:cs="Arial"/>
              </w:rPr>
              <w:t xml:space="preserve">Consider restoring depreciation deductions for buildings if there is an extension of the taxation of capital gains (subject to fiscal constraints).  To manage the fiscal costs, the Government could reinstate building depreciation on a partial basis for: </w:t>
            </w:r>
          </w:p>
          <w:p w14:paraId="72F3167C" w14:textId="77777777" w:rsidR="00AA0BCF" w:rsidRPr="00C46970" w:rsidRDefault="00AA0BCF" w:rsidP="00D11C7B">
            <w:pPr>
              <w:pStyle w:val="ListParagraph"/>
              <w:widowControl w:val="0"/>
              <w:numPr>
                <w:ilvl w:val="0"/>
                <w:numId w:val="2"/>
              </w:numPr>
              <w:spacing w:after="0" w:line="280" w:lineRule="atLeast"/>
              <w:rPr>
                <w:rFonts w:ascii="Arial" w:hAnsi="Arial" w:cs="Arial"/>
              </w:rPr>
            </w:pPr>
            <w:r w:rsidRPr="00C46970">
              <w:rPr>
                <w:rFonts w:ascii="Arial" w:hAnsi="Arial" w:cs="Arial"/>
              </w:rPr>
              <w:t>seismic strengthening only;</w:t>
            </w:r>
          </w:p>
          <w:p w14:paraId="72B29A5D" w14:textId="77777777" w:rsidR="00AA0BCF" w:rsidRPr="00C46970" w:rsidRDefault="00AA0BCF" w:rsidP="00D11C7B">
            <w:pPr>
              <w:pStyle w:val="ListParagraph"/>
              <w:widowControl w:val="0"/>
              <w:numPr>
                <w:ilvl w:val="0"/>
                <w:numId w:val="2"/>
              </w:numPr>
              <w:spacing w:after="0" w:line="280" w:lineRule="atLeast"/>
              <w:rPr>
                <w:rFonts w:ascii="Arial" w:hAnsi="Arial" w:cs="Arial"/>
              </w:rPr>
            </w:pPr>
            <w:r w:rsidRPr="00C46970">
              <w:rPr>
                <w:rFonts w:ascii="Arial" w:hAnsi="Arial" w:cs="Arial"/>
              </w:rPr>
              <w:t xml:space="preserve">multi-unit residential buildings; or </w:t>
            </w:r>
          </w:p>
          <w:p w14:paraId="48D8E3C9" w14:textId="77777777" w:rsidR="00AA0BCF" w:rsidRPr="00C46970" w:rsidRDefault="00AA0BCF" w:rsidP="00D11C7B">
            <w:pPr>
              <w:pStyle w:val="ListParagraph"/>
              <w:widowControl w:val="0"/>
              <w:numPr>
                <w:ilvl w:val="0"/>
                <w:numId w:val="2"/>
              </w:numPr>
              <w:spacing w:after="0" w:line="280" w:lineRule="atLeast"/>
              <w:rPr>
                <w:rFonts w:ascii="Arial" w:hAnsi="Arial" w:cs="Arial"/>
              </w:rPr>
            </w:pPr>
            <w:r w:rsidRPr="00C46970">
              <w:rPr>
                <w:rFonts w:ascii="Arial" w:hAnsi="Arial" w:cs="Arial"/>
              </w:rPr>
              <w:t xml:space="preserve">industrial, commercial, and multi-unit residential buildings.   </w:t>
            </w:r>
          </w:p>
        </w:tc>
        <w:tc>
          <w:tcPr>
            <w:tcW w:w="1524" w:type="pct"/>
            <w:shd w:val="clear" w:color="auto" w:fill="FFC000"/>
            <w:tcMar>
              <w:top w:w="0" w:type="dxa"/>
              <w:left w:w="108" w:type="dxa"/>
              <w:bottom w:w="0" w:type="dxa"/>
              <w:right w:w="108" w:type="dxa"/>
            </w:tcMar>
          </w:tcPr>
          <w:p w14:paraId="0A5592C5" w14:textId="4C3AFAD6" w:rsidR="00AA0BCF" w:rsidRPr="00C46970" w:rsidRDefault="00AA0BCF" w:rsidP="00342E14">
            <w:pPr>
              <w:widowControl w:val="0"/>
              <w:rPr>
                <w:rFonts w:ascii="Arial" w:hAnsi="Arial" w:cs="Arial"/>
                <w:highlight w:val="yellow"/>
              </w:rPr>
            </w:pPr>
            <w:r w:rsidRPr="00457A5C">
              <w:rPr>
                <w:rFonts w:ascii="Arial" w:hAnsi="Arial" w:cs="Arial"/>
                <w:b/>
              </w:rPr>
              <w:t xml:space="preserve">Consider for </w:t>
            </w:r>
            <w:r>
              <w:rPr>
                <w:rFonts w:ascii="Arial" w:hAnsi="Arial" w:cs="Arial"/>
                <w:b/>
              </w:rPr>
              <w:t xml:space="preserve">inclusion on </w:t>
            </w:r>
            <w:r w:rsidRPr="00457A5C">
              <w:rPr>
                <w:rFonts w:ascii="Arial" w:hAnsi="Arial" w:cs="Arial"/>
                <w:b/>
              </w:rPr>
              <w:t>work programme</w:t>
            </w:r>
            <w:r>
              <w:rPr>
                <w:rFonts w:ascii="Arial" w:hAnsi="Arial" w:cs="Arial"/>
                <w:b/>
              </w:rPr>
              <w:t xml:space="preserve"> </w:t>
            </w:r>
            <w:r>
              <w:rPr>
                <w:rFonts w:ascii="Arial" w:hAnsi="Arial" w:cs="Arial"/>
              </w:rPr>
              <w:t>(TPWP)</w:t>
            </w:r>
          </w:p>
        </w:tc>
      </w:tr>
      <w:tr w:rsidR="00AA0BCF" w:rsidRPr="006D32A5" w14:paraId="4987A057" w14:textId="77777777" w:rsidTr="00133987">
        <w:trPr>
          <w:trHeight w:val="936"/>
        </w:trPr>
        <w:tc>
          <w:tcPr>
            <w:tcW w:w="276" w:type="pct"/>
            <w:gridSpan w:val="2"/>
            <w:vMerge/>
            <w:shd w:val="clear" w:color="auto" w:fill="FFFFFF"/>
          </w:tcPr>
          <w:p w14:paraId="74D21A4E" w14:textId="77777777" w:rsidR="00AA0BCF" w:rsidRPr="00C46970" w:rsidRDefault="00AA0BCF" w:rsidP="00342E14">
            <w:pPr>
              <w:widowControl w:val="0"/>
              <w:spacing w:line="280" w:lineRule="atLeast"/>
              <w:rPr>
                <w:rFonts w:ascii="Arial" w:hAnsi="Arial" w:cs="Arial"/>
              </w:rPr>
            </w:pPr>
          </w:p>
        </w:tc>
        <w:tc>
          <w:tcPr>
            <w:tcW w:w="3200" w:type="pct"/>
            <w:vMerge/>
            <w:shd w:val="clear" w:color="auto" w:fill="FFFFFF"/>
            <w:tcMar>
              <w:top w:w="0" w:type="dxa"/>
              <w:left w:w="108" w:type="dxa"/>
              <w:bottom w:w="0" w:type="dxa"/>
              <w:right w:w="108" w:type="dxa"/>
            </w:tcMar>
          </w:tcPr>
          <w:p w14:paraId="3B48155A" w14:textId="77777777" w:rsidR="00AA0BCF" w:rsidRPr="00C46970" w:rsidRDefault="00AA0BCF" w:rsidP="00342E14">
            <w:pPr>
              <w:widowControl w:val="0"/>
              <w:spacing w:line="280" w:lineRule="atLeast"/>
              <w:rPr>
                <w:rFonts w:ascii="Arial" w:hAnsi="Arial" w:cs="Arial"/>
              </w:rPr>
            </w:pPr>
          </w:p>
        </w:tc>
        <w:tc>
          <w:tcPr>
            <w:tcW w:w="1524" w:type="pct"/>
            <w:shd w:val="clear" w:color="auto" w:fill="ED7D31"/>
            <w:tcMar>
              <w:top w:w="0" w:type="dxa"/>
              <w:left w:w="108" w:type="dxa"/>
              <w:bottom w:w="0" w:type="dxa"/>
              <w:right w:w="108" w:type="dxa"/>
            </w:tcMar>
          </w:tcPr>
          <w:p w14:paraId="5767F0A4" w14:textId="77777777" w:rsidR="00AA0BCF" w:rsidRPr="00457A5C" w:rsidRDefault="00AA0BCF" w:rsidP="00AA0BCF">
            <w:pPr>
              <w:widowControl w:val="0"/>
              <w:rPr>
                <w:rFonts w:ascii="Arial" w:hAnsi="Arial" w:cs="Arial"/>
                <w:b/>
              </w:rPr>
            </w:pPr>
            <w:r w:rsidRPr="00133987">
              <w:rPr>
                <w:rFonts w:ascii="Arial" w:hAnsi="Arial" w:cs="Arial"/>
                <w:b/>
              </w:rPr>
              <w:t xml:space="preserve">Consider </w:t>
            </w:r>
            <w:r>
              <w:rPr>
                <w:rFonts w:ascii="Arial" w:hAnsi="Arial" w:cs="Arial"/>
              </w:rPr>
              <w:t xml:space="preserve">seismic strengthening work </w:t>
            </w:r>
            <w:r w:rsidRPr="00133987">
              <w:rPr>
                <w:rFonts w:ascii="Arial" w:hAnsi="Arial" w:cs="Arial"/>
                <w:b/>
              </w:rPr>
              <w:t>as a high priority for inclusion on work programme</w:t>
            </w:r>
            <w:r>
              <w:rPr>
                <w:rFonts w:ascii="Arial" w:hAnsi="Arial" w:cs="Arial"/>
              </w:rPr>
              <w:t xml:space="preserve"> (TPWP).</w:t>
            </w:r>
          </w:p>
        </w:tc>
      </w:tr>
      <w:tr w:rsidR="00DF0110" w:rsidRPr="006D32A5" w14:paraId="25C2AF72" w14:textId="77777777" w:rsidTr="00133987">
        <w:tc>
          <w:tcPr>
            <w:tcW w:w="276" w:type="pct"/>
            <w:gridSpan w:val="2"/>
            <w:shd w:val="clear" w:color="auto" w:fill="FFFFFF"/>
          </w:tcPr>
          <w:p w14:paraId="731EFE7F" w14:textId="77777777" w:rsidR="00DF0110" w:rsidRPr="00C46970" w:rsidRDefault="00DF0110" w:rsidP="00342E14">
            <w:pPr>
              <w:widowControl w:val="0"/>
              <w:spacing w:line="280" w:lineRule="atLeast"/>
              <w:rPr>
                <w:rFonts w:ascii="Arial" w:hAnsi="Arial" w:cs="Arial"/>
              </w:rPr>
            </w:pPr>
            <w:r w:rsidRPr="00C46970">
              <w:rPr>
                <w:rFonts w:ascii="Arial" w:hAnsi="Arial" w:cs="Arial"/>
              </w:rPr>
              <w:t>35</w:t>
            </w:r>
          </w:p>
        </w:tc>
        <w:tc>
          <w:tcPr>
            <w:tcW w:w="3200" w:type="pct"/>
            <w:shd w:val="clear" w:color="auto" w:fill="FFFFFF"/>
            <w:tcMar>
              <w:top w:w="0" w:type="dxa"/>
              <w:left w:w="108" w:type="dxa"/>
              <w:bottom w:w="0" w:type="dxa"/>
              <w:right w:w="108" w:type="dxa"/>
            </w:tcMar>
          </w:tcPr>
          <w:p w14:paraId="071646A0"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tax measures that encourage building to higher environmental standards.  </w:t>
            </w:r>
          </w:p>
        </w:tc>
        <w:tc>
          <w:tcPr>
            <w:tcW w:w="1524" w:type="pct"/>
            <w:shd w:val="clear" w:color="auto" w:fill="FFC000"/>
            <w:tcMar>
              <w:top w:w="0" w:type="dxa"/>
              <w:left w:w="108" w:type="dxa"/>
              <w:bottom w:w="0" w:type="dxa"/>
              <w:right w:w="108" w:type="dxa"/>
            </w:tcMar>
          </w:tcPr>
          <w:p w14:paraId="7CA01E98" w14:textId="77777777" w:rsidR="00DF0110" w:rsidRPr="00C4697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 xml:space="preserve">work programme </w:t>
            </w:r>
            <w:r w:rsidRPr="00457A5C">
              <w:rPr>
                <w:rFonts w:ascii="Arial" w:hAnsi="Arial" w:cs="Arial"/>
              </w:rPr>
              <w:t>(TPWP</w:t>
            </w:r>
            <w:r w:rsidR="007E1200">
              <w:rPr>
                <w:rFonts w:ascii="Arial" w:hAnsi="Arial" w:cs="Arial"/>
              </w:rPr>
              <w:t>, MBIE</w:t>
            </w:r>
            <w:r w:rsidR="00551765">
              <w:rPr>
                <w:rFonts w:ascii="Arial" w:hAnsi="Arial" w:cs="Arial"/>
              </w:rPr>
              <w:t>,</w:t>
            </w:r>
            <w:r>
              <w:rPr>
                <w:rFonts w:ascii="Arial" w:hAnsi="Arial" w:cs="Arial"/>
              </w:rPr>
              <w:t xml:space="preserve"> and</w:t>
            </w:r>
            <w:r w:rsidR="00093B5A">
              <w:rPr>
                <w:rFonts w:ascii="Arial" w:hAnsi="Arial" w:cs="Arial"/>
              </w:rPr>
              <w:t xml:space="preserve"> </w:t>
            </w:r>
            <w:r w:rsidR="00093B5A" w:rsidRPr="00D9036C">
              <w:rPr>
                <w:rFonts w:ascii="Arial" w:hAnsi="Arial" w:cs="Arial"/>
                <w:szCs w:val="24"/>
              </w:rPr>
              <w:t>Ministry for the Environment</w:t>
            </w:r>
            <w:r>
              <w:rPr>
                <w:rFonts w:ascii="Arial" w:hAnsi="Arial" w:cs="Arial"/>
                <w:szCs w:val="24"/>
              </w:rPr>
              <w:t>)</w:t>
            </w:r>
          </w:p>
        </w:tc>
      </w:tr>
      <w:tr w:rsidR="00DF0110" w:rsidRPr="006D32A5" w14:paraId="0519AF3E" w14:textId="77777777" w:rsidTr="00AB6E7A">
        <w:tc>
          <w:tcPr>
            <w:tcW w:w="276" w:type="pct"/>
            <w:gridSpan w:val="2"/>
            <w:shd w:val="clear" w:color="auto" w:fill="FFFFFF"/>
          </w:tcPr>
          <w:p w14:paraId="38D17691" w14:textId="77777777" w:rsidR="00DF0110" w:rsidRPr="00C46970" w:rsidRDefault="00DF0110" w:rsidP="00342E14">
            <w:pPr>
              <w:widowControl w:val="0"/>
              <w:spacing w:line="280" w:lineRule="atLeast"/>
              <w:rPr>
                <w:rFonts w:ascii="Arial" w:hAnsi="Arial" w:cs="Arial"/>
              </w:rPr>
            </w:pPr>
            <w:r w:rsidRPr="00C46970">
              <w:rPr>
                <w:rFonts w:ascii="Arial" w:hAnsi="Arial" w:cs="Arial"/>
              </w:rPr>
              <w:t>36</w:t>
            </w:r>
          </w:p>
        </w:tc>
        <w:tc>
          <w:tcPr>
            <w:tcW w:w="3200" w:type="pct"/>
            <w:shd w:val="clear" w:color="auto" w:fill="FFFFFF"/>
            <w:tcMar>
              <w:top w:w="0" w:type="dxa"/>
              <w:left w:w="108" w:type="dxa"/>
              <w:bottom w:w="0" w:type="dxa"/>
              <w:right w:w="108" w:type="dxa"/>
            </w:tcMar>
          </w:tcPr>
          <w:p w14:paraId="56BE5D75"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developing a regime that encourages investment into nationally-significant infrastructure projects.  </w:t>
            </w:r>
          </w:p>
        </w:tc>
        <w:tc>
          <w:tcPr>
            <w:tcW w:w="1524" w:type="pct"/>
            <w:shd w:val="clear" w:color="auto" w:fill="ED7D31" w:themeFill="accent2"/>
            <w:tcMar>
              <w:top w:w="0" w:type="dxa"/>
              <w:left w:w="108" w:type="dxa"/>
              <w:bottom w:w="0" w:type="dxa"/>
              <w:right w:w="108" w:type="dxa"/>
            </w:tcMar>
          </w:tcPr>
          <w:p w14:paraId="601447F7" w14:textId="77777777" w:rsidR="00DF0110" w:rsidRPr="00C46970" w:rsidRDefault="007F0894" w:rsidP="00342E14">
            <w:pPr>
              <w:widowControl w:val="0"/>
              <w:rPr>
                <w:rFonts w:ascii="Arial" w:hAnsi="Arial" w:cs="Arial"/>
              </w:rPr>
            </w:pPr>
            <w:r w:rsidRPr="00457A5C">
              <w:rPr>
                <w:rFonts w:ascii="Arial" w:hAnsi="Arial" w:cs="Arial"/>
                <w:b/>
              </w:rPr>
              <w:t xml:space="preserve">Consider </w:t>
            </w:r>
            <w:r w:rsidR="00AB6E7A">
              <w:rPr>
                <w:rFonts w:ascii="Arial" w:hAnsi="Arial" w:cs="Arial"/>
                <w:b/>
              </w:rPr>
              <w:t xml:space="preserve">as a high priority </w:t>
            </w:r>
            <w:r w:rsidRPr="00457A5C">
              <w:rPr>
                <w:rFonts w:ascii="Arial" w:hAnsi="Arial" w:cs="Arial"/>
                <w:b/>
              </w:rPr>
              <w:t xml:space="preserve">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Pr>
                <w:rFonts w:ascii="Arial" w:hAnsi="Arial" w:cs="Arial"/>
              </w:rPr>
              <w:t>(TPWP)</w:t>
            </w:r>
          </w:p>
        </w:tc>
      </w:tr>
      <w:tr w:rsidR="00DF0110" w:rsidRPr="006D32A5" w14:paraId="7F87AA28" w14:textId="77777777" w:rsidTr="00133987">
        <w:tc>
          <w:tcPr>
            <w:tcW w:w="276" w:type="pct"/>
            <w:gridSpan w:val="2"/>
            <w:shd w:val="clear" w:color="auto" w:fill="FFFFFF"/>
            <w:vAlign w:val="center"/>
          </w:tcPr>
          <w:p w14:paraId="45648F33" w14:textId="77777777" w:rsidR="00DF0110" w:rsidRPr="00C46970" w:rsidRDefault="00DF0110" w:rsidP="00342E14">
            <w:pPr>
              <w:widowControl w:val="0"/>
              <w:spacing w:line="280" w:lineRule="atLeast"/>
              <w:rPr>
                <w:rFonts w:ascii="Arial" w:hAnsi="Arial" w:cs="Arial"/>
              </w:rPr>
            </w:pPr>
            <w:r w:rsidRPr="00C46970">
              <w:rPr>
                <w:rFonts w:ascii="Arial" w:hAnsi="Arial" w:cs="Arial"/>
                <w:color w:val="000000"/>
              </w:rPr>
              <w:t>37</w:t>
            </w:r>
          </w:p>
        </w:tc>
        <w:tc>
          <w:tcPr>
            <w:tcW w:w="3200" w:type="pct"/>
            <w:shd w:val="clear" w:color="auto" w:fill="FFFFFF"/>
            <w:tcMar>
              <w:top w:w="0" w:type="dxa"/>
              <w:left w:w="108" w:type="dxa"/>
              <w:bottom w:w="0" w:type="dxa"/>
              <w:right w:w="108" w:type="dxa"/>
            </w:tcMar>
            <w:vAlign w:val="center"/>
          </w:tcPr>
          <w:p w14:paraId="3DD681C7" w14:textId="77777777" w:rsidR="00DF0110" w:rsidRPr="00C46970" w:rsidRDefault="00DF0110" w:rsidP="00342E14">
            <w:pPr>
              <w:widowControl w:val="0"/>
              <w:spacing w:before="4" w:after="4" w:line="276" w:lineRule="auto"/>
              <w:rPr>
                <w:rFonts w:ascii="Arial" w:hAnsi="Arial" w:cs="Arial"/>
                <w:color w:val="000000"/>
              </w:rPr>
            </w:pPr>
            <w:r w:rsidRPr="00C46970">
              <w:rPr>
                <w:rFonts w:ascii="Arial" w:hAnsi="Arial" w:cs="Arial"/>
                <w:color w:val="000000"/>
              </w:rPr>
              <w:t xml:space="preserve">Examine the following options to reduce compliance costs: </w:t>
            </w:r>
          </w:p>
          <w:p w14:paraId="693D787F" w14:textId="77777777" w:rsidR="00DF0110" w:rsidRPr="00C46970" w:rsidRDefault="00DF0110" w:rsidP="00342E14">
            <w:pPr>
              <w:widowControl w:val="0"/>
              <w:spacing w:before="4" w:after="4" w:line="276" w:lineRule="auto"/>
              <w:rPr>
                <w:rFonts w:ascii="Arial" w:hAnsi="Arial" w:cs="Arial"/>
                <w:i/>
                <w:color w:val="000000"/>
                <w:u w:val="single"/>
              </w:rPr>
            </w:pPr>
            <w:r w:rsidRPr="00C46970">
              <w:rPr>
                <w:rFonts w:ascii="Arial" w:hAnsi="Arial" w:cs="Arial"/>
                <w:i/>
                <w:color w:val="000000"/>
                <w:u w:val="single"/>
              </w:rPr>
              <w:t xml:space="preserve">For immediate action: </w:t>
            </w:r>
          </w:p>
          <w:p w14:paraId="76448BBB"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Increas</w:t>
            </w:r>
            <w:r w:rsidR="00D10F46">
              <w:rPr>
                <w:rFonts w:ascii="Arial" w:hAnsi="Arial" w:cs="Arial"/>
                <w:color w:val="000000"/>
              </w:rPr>
              <w:t>e</w:t>
            </w:r>
            <w:r w:rsidRPr="00C46970">
              <w:rPr>
                <w:rFonts w:ascii="Arial" w:hAnsi="Arial" w:cs="Arial"/>
                <w:color w:val="000000"/>
              </w:rPr>
              <w:t xml:space="preserve"> the threshold for provisional tax from $2,500 to $5,000 of residual income tax.   </w:t>
            </w:r>
          </w:p>
          <w:p w14:paraId="3EB17ED8"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Increas</w:t>
            </w:r>
            <w:r w:rsidR="00D10F46">
              <w:rPr>
                <w:rFonts w:ascii="Arial" w:hAnsi="Arial" w:cs="Arial"/>
                <w:color w:val="000000"/>
              </w:rPr>
              <w:t>e</w:t>
            </w:r>
            <w:r w:rsidRPr="00C46970">
              <w:rPr>
                <w:rFonts w:ascii="Arial" w:hAnsi="Arial" w:cs="Arial"/>
                <w:color w:val="000000"/>
              </w:rPr>
              <w:t xml:space="preserve"> the closing stock adjustment from $10,000 to $20,000 - $30,000.     </w:t>
            </w:r>
          </w:p>
          <w:p w14:paraId="3A5BEC53"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Increasing the $10,000 automatic deduction for legal fees, and a potential expansion of the automatic deduction to other types of professional fees.</w:t>
            </w:r>
          </w:p>
          <w:p w14:paraId="73860D68"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Reduc</w:t>
            </w:r>
            <w:r w:rsidR="00D10F46">
              <w:rPr>
                <w:rFonts w:ascii="Arial" w:hAnsi="Arial" w:cs="Arial"/>
                <w:color w:val="000000"/>
              </w:rPr>
              <w:t>e</w:t>
            </w:r>
            <w:r w:rsidRPr="00C46970">
              <w:rPr>
                <w:rFonts w:ascii="Arial" w:hAnsi="Arial" w:cs="Arial"/>
                <w:color w:val="000000"/>
              </w:rPr>
              <w:t xml:space="preserve"> the number of depreciation </w:t>
            </w:r>
            <w:proofErr w:type="gramStart"/>
            <w:r w:rsidRPr="00C46970">
              <w:rPr>
                <w:rFonts w:ascii="Arial" w:hAnsi="Arial" w:cs="Arial"/>
                <w:color w:val="000000"/>
              </w:rPr>
              <w:t>rates, and</w:t>
            </w:r>
            <w:proofErr w:type="gramEnd"/>
            <w:r w:rsidRPr="00C46970">
              <w:rPr>
                <w:rFonts w:ascii="Arial" w:hAnsi="Arial" w:cs="Arial"/>
                <w:color w:val="000000"/>
              </w:rPr>
              <w:t xml:space="preserve"> simplifying the process for using default rates.</w:t>
            </w:r>
          </w:p>
          <w:p w14:paraId="78BD4624" w14:textId="77777777" w:rsidR="00DF0110" w:rsidRPr="00C46970" w:rsidRDefault="00DF0110" w:rsidP="00342E14">
            <w:pPr>
              <w:widowControl w:val="0"/>
              <w:spacing w:before="4" w:after="4" w:line="276" w:lineRule="auto"/>
              <w:rPr>
                <w:rFonts w:ascii="Arial" w:hAnsi="Arial" w:cs="Arial"/>
                <w:i/>
                <w:color w:val="000000"/>
                <w:u w:val="single"/>
              </w:rPr>
            </w:pPr>
            <w:r w:rsidRPr="00C46970">
              <w:rPr>
                <w:rFonts w:ascii="Arial" w:hAnsi="Arial" w:cs="Arial"/>
                <w:i/>
                <w:color w:val="000000"/>
                <w:u w:val="single"/>
              </w:rPr>
              <w:t>Subject to fiscal constraints:</w:t>
            </w:r>
          </w:p>
          <w:p w14:paraId="1038BA8F"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 xml:space="preserve">Simplify the fringe benefit </w:t>
            </w:r>
            <w:proofErr w:type="gramStart"/>
            <w:r w:rsidRPr="00C46970">
              <w:rPr>
                <w:rFonts w:ascii="Arial" w:hAnsi="Arial" w:cs="Arial"/>
                <w:color w:val="000000"/>
              </w:rPr>
              <w:t>tax, and</w:t>
            </w:r>
            <w:proofErr w:type="gramEnd"/>
            <w:r w:rsidRPr="00C46970">
              <w:rPr>
                <w:rFonts w:ascii="Arial" w:hAnsi="Arial" w:cs="Arial"/>
                <w:color w:val="000000"/>
              </w:rPr>
              <w:t xml:space="preserve"> simplifying (or even remove) the entertainment adjustment.</w:t>
            </w:r>
          </w:p>
          <w:p w14:paraId="6B59AD94"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Remov</w:t>
            </w:r>
            <w:r w:rsidR="00D10F46">
              <w:rPr>
                <w:rFonts w:ascii="Arial" w:hAnsi="Arial" w:cs="Arial"/>
                <w:color w:val="000000"/>
              </w:rPr>
              <w:t>e</w:t>
            </w:r>
            <w:r w:rsidRPr="00C46970">
              <w:rPr>
                <w:rFonts w:ascii="Arial" w:hAnsi="Arial" w:cs="Arial"/>
                <w:color w:val="000000"/>
              </w:rPr>
              <w:t xml:space="preserve"> resident withholding tax on close company-related party interest and dividend payments, subject to integrity concerns.</w:t>
            </w:r>
          </w:p>
          <w:p w14:paraId="6A64F85B"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Remov</w:t>
            </w:r>
            <w:r w:rsidR="00D10F46">
              <w:rPr>
                <w:rFonts w:ascii="Arial" w:hAnsi="Arial" w:cs="Arial"/>
                <w:color w:val="000000"/>
              </w:rPr>
              <w:t>e</w:t>
            </w:r>
            <w:r w:rsidRPr="00C46970">
              <w:rPr>
                <w:rFonts w:ascii="Arial" w:hAnsi="Arial" w:cs="Arial"/>
                <w:color w:val="000000"/>
              </w:rPr>
              <w:t xml:space="preserve"> the requirement for taxpayers to seek the approval of the Commissioner of Inland Revenue to issue GST Buyer Created Tax Invoices.</w:t>
            </w:r>
          </w:p>
          <w:p w14:paraId="3E98A2FC"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Allow special rate certificates and certificates of exemption to be granted retrospectively.</w:t>
            </w:r>
          </w:p>
          <w:p w14:paraId="00B174EB"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Increas</w:t>
            </w:r>
            <w:r w:rsidR="00D10F46">
              <w:rPr>
                <w:rFonts w:ascii="Arial" w:hAnsi="Arial" w:cs="Arial"/>
                <w:color w:val="000000"/>
              </w:rPr>
              <w:t>e</w:t>
            </w:r>
            <w:r w:rsidRPr="00C46970">
              <w:rPr>
                <w:rFonts w:ascii="Arial" w:hAnsi="Arial" w:cs="Arial"/>
                <w:color w:val="000000"/>
              </w:rPr>
              <w:t xml:space="preserve"> the period of validity for a certificate of exemption or special rate certificate.</w:t>
            </w:r>
          </w:p>
          <w:p w14:paraId="32DF06E8"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Remov</w:t>
            </w:r>
            <w:r w:rsidR="00D10F46">
              <w:rPr>
                <w:rFonts w:ascii="Arial" w:hAnsi="Arial" w:cs="Arial"/>
                <w:color w:val="000000"/>
              </w:rPr>
              <w:t>e</w:t>
            </w:r>
            <w:r w:rsidRPr="00C46970">
              <w:rPr>
                <w:rFonts w:ascii="Arial" w:hAnsi="Arial" w:cs="Arial"/>
                <w:color w:val="000000"/>
              </w:rPr>
              <w:t xml:space="preserve"> the requirement to file a change of imputation ratio notice with Inland Revenue.</w:t>
            </w:r>
          </w:p>
          <w:p w14:paraId="3118BA37"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Extend the threshold of ‘cash basis person’ in the financial arrangement rules which would better allow for the current levels of personal debt.</w:t>
            </w:r>
          </w:p>
          <w:p w14:paraId="1CAC9D59"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Increas</w:t>
            </w:r>
            <w:r w:rsidR="00D10F46">
              <w:rPr>
                <w:rFonts w:ascii="Arial" w:hAnsi="Arial" w:cs="Arial"/>
                <w:color w:val="000000"/>
              </w:rPr>
              <w:t>e</w:t>
            </w:r>
            <w:r w:rsidRPr="00C46970">
              <w:rPr>
                <w:rFonts w:ascii="Arial" w:hAnsi="Arial" w:cs="Arial"/>
                <w:color w:val="000000"/>
              </w:rPr>
              <w:t xml:space="preserve"> the threshold for not requiring a GST change of use adjustment.</w:t>
            </w:r>
          </w:p>
          <w:p w14:paraId="251D147F" w14:textId="77777777" w:rsidR="00DF0110" w:rsidRPr="00C46970" w:rsidRDefault="00DF0110" w:rsidP="00342E14">
            <w:pPr>
              <w:widowControl w:val="0"/>
              <w:spacing w:before="4" w:after="4" w:line="276" w:lineRule="auto"/>
              <w:rPr>
                <w:rFonts w:ascii="Arial" w:hAnsi="Arial" w:cs="Arial"/>
                <w:i/>
                <w:lang w:val="en-AU"/>
              </w:rPr>
            </w:pPr>
            <w:r w:rsidRPr="00C46970">
              <w:rPr>
                <w:rFonts w:ascii="Arial" w:hAnsi="Arial" w:cs="Arial"/>
                <w:i/>
                <w:color w:val="000000"/>
                <w:u w:val="single"/>
              </w:rPr>
              <w:t>The Government should also review and explore opportunities to:</w:t>
            </w:r>
          </w:p>
          <w:p w14:paraId="67A80DF6"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Adjust the thresholds for unexpired expenditure, and for the write-off of low value assets.</w:t>
            </w:r>
          </w:p>
          <w:p w14:paraId="352C72F1"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Help small businesses reduce compliance costs through the use of cloud-based accounting software.</w:t>
            </w:r>
          </w:p>
          <w:p w14:paraId="05425E2C"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Consider compensation for withholding agents if additional withholding tax obligations are imposed.</w:t>
            </w:r>
          </w:p>
          <w:p w14:paraId="5E23708F" w14:textId="77777777" w:rsidR="00DF0110" w:rsidRPr="00C46970" w:rsidRDefault="00DF0110" w:rsidP="00D11C7B">
            <w:pPr>
              <w:pStyle w:val="ListParagraph"/>
              <w:widowControl w:val="0"/>
              <w:numPr>
                <w:ilvl w:val="0"/>
                <w:numId w:val="3"/>
              </w:numPr>
              <w:spacing w:before="4" w:after="4" w:line="276" w:lineRule="auto"/>
              <w:rPr>
                <w:rFonts w:ascii="Arial" w:hAnsi="Arial" w:cs="Arial"/>
                <w:color w:val="000000"/>
              </w:rPr>
            </w:pPr>
            <w:r w:rsidRPr="00C46970">
              <w:rPr>
                <w:rFonts w:ascii="Arial" w:hAnsi="Arial" w:cs="Arial"/>
                <w:color w:val="000000"/>
              </w:rPr>
              <w:t>Review the taxation of non-resident employees.</w:t>
            </w:r>
          </w:p>
          <w:p w14:paraId="10A20F18" w14:textId="77777777" w:rsidR="00DF0110" w:rsidRPr="00C46970" w:rsidRDefault="00DF0110" w:rsidP="00D11C7B">
            <w:pPr>
              <w:pStyle w:val="ListParagraph"/>
              <w:widowControl w:val="0"/>
              <w:numPr>
                <w:ilvl w:val="0"/>
                <w:numId w:val="3"/>
              </w:numPr>
              <w:spacing w:after="0" w:line="280" w:lineRule="atLeast"/>
              <w:rPr>
                <w:rFonts w:ascii="Arial" w:hAnsi="Arial" w:cs="Arial"/>
              </w:rPr>
            </w:pPr>
            <w:r w:rsidRPr="00C46970">
              <w:rPr>
                <w:rFonts w:ascii="Arial" w:hAnsi="Arial" w:cs="Arial"/>
                <w:color w:val="000000"/>
              </w:rPr>
              <w:t>Review whether the rules for hybrid mismatches should apply to small businesses or simple business transactions.</w:t>
            </w:r>
          </w:p>
        </w:tc>
        <w:tc>
          <w:tcPr>
            <w:tcW w:w="1524" w:type="pct"/>
            <w:shd w:val="clear" w:color="auto" w:fill="FFC000"/>
            <w:tcMar>
              <w:top w:w="0" w:type="dxa"/>
              <w:left w:w="108" w:type="dxa"/>
              <w:bottom w:w="0" w:type="dxa"/>
              <w:right w:w="108" w:type="dxa"/>
            </w:tcMar>
            <w:vAlign w:val="center"/>
          </w:tcPr>
          <w:p w14:paraId="410F3597" w14:textId="4DA6D6AB" w:rsidR="006C22EC" w:rsidRPr="00C46970" w:rsidRDefault="006C22EC" w:rsidP="00133987">
            <w:pPr>
              <w:widowControl w:val="0"/>
              <w:shd w:val="clear" w:color="auto" w:fill="FFC000"/>
              <w:rPr>
                <w:rFonts w:ascii="Arial" w:hAnsi="Arial" w:cs="Arial"/>
                <w:highlight w:val="yellow"/>
              </w:rPr>
            </w:pPr>
            <w:r w:rsidRPr="00457A5C">
              <w:rPr>
                <w:rFonts w:ascii="Arial" w:hAnsi="Arial" w:cs="Arial"/>
                <w:b/>
              </w:rPr>
              <w:t xml:space="preserve">Consider </w:t>
            </w:r>
            <w:r w:rsidR="00B829E4">
              <w:rPr>
                <w:rFonts w:ascii="Arial" w:hAnsi="Arial" w:cs="Arial"/>
                <w:b/>
              </w:rPr>
              <w:t xml:space="preserve">for inclusion on work programme </w:t>
            </w:r>
            <w:r w:rsidR="00B829E4">
              <w:rPr>
                <w:rFonts w:ascii="Arial" w:hAnsi="Arial" w:cs="Arial"/>
              </w:rPr>
              <w:t>(TPWP)</w:t>
            </w:r>
            <w:r w:rsidR="005271B8">
              <w:rPr>
                <w:rFonts w:ascii="Arial" w:hAnsi="Arial" w:cs="Arial"/>
                <w:b/>
              </w:rPr>
              <w:t xml:space="preserve"> </w:t>
            </w:r>
          </w:p>
        </w:tc>
      </w:tr>
      <w:tr w:rsidR="00DF0110" w:rsidRPr="006D32A5" w14:paraId="4AE44CAC" w14:textId="77777777" w:rsidTr="00355A52">
        <w:tc>
          <w:tcPr>
            <w:tcW w:w="276" w:type="pct"/>
            <w:gridSpan w:val="2"/>
            <w:shd w:val="clear" w:color="auto" w:fill="FFFFFF"/>
          </w:tcPr>
          <w:p w14:paraId="1297CB9A" w14:textId="77777777" w:rsidR="00DF0110" w:rsidRPr="00C46970" w:rsidRDefault="00DF0110" w:rsidP="00342E14">
            <w:pPr>
              <w:widowControl w:val="0"/>
              <w:spacing w:before="4" w:after="4" w:line="276" w:lineRule="auto"/>
              <w:rPr>
                <w:rFonts w:ascii="Arial" w:hAnsi="Arial" w:cs="Arial"/>
                <w:color w:val="000000"/>
              </w:rPr>
            </w:pPr>
            <w:r w:rsidRPr="00C46970">
              <w:rPr>
                <w:rFonts w:ascii="Arial" w:hAnsi="Arial" w:cs="Arial"/>
                <w:color w:val="000000"/>
              </w:rPr>
              <w:t>38</w:t>
            </w:r>
          </w:p>
        </w:tc>
        <w:tc>
          <w:tcPr>
            <w:tcW w:w="3200" w:type="pct"/>
            <w:shd w:val="clear" w:color="auto" w:fill="FFFFFF"/>
            <w:tcMar>
              <w:top w:w="0" w:type="dxa"/>
              <w:left w:w="108" w:type="dxa"/>
              <w:bottom w:w="0" w:type="dxa"/>
              <w:right w:w="108" w:type="dxa"/>
            </w:tcMar>
          </w:tcPr>
          <w:p w14:paraId="646A8B37" w14:textId="77777777" w:rsidR="00DF0110" w:rsidRPr="00C46970" w:rsidRDefault="00DF0110" w:rsidP="00342E14">
            <w:pPr>
              <w:widowControl w:val="0"/>
              <w:spacing w:before="4" w:after="4" w:line="276" w:lineRule="auto"/>
              <w:rPr>
                <w:rFonts w:ascii="Arial" w:hAnsi="Arial" w:cs="Arial"/>
                <w:color w:val="000000"/>
              </w:rPr>
            </w:pPr>
            <w:proofErr w:type="gramStart"/>
            <w:r w:rsidRPr="00C46970">
              <w:rPr>
                <w:rFonts w:ascii="Arial" w:hAnsi="Arial" w:cs="Arial"/>
                <w:color w:val="000000"/>
              </w:rPr>
              <w:t>Give favourable consideration to</w:t>
            </w:r>
            <w:proofErr w:type="gramEnd"/>
            <w:r w:rsidRPr="00C46970">
              <w:rPr>
                <w:rFonts w:ascii="Arial" w:hAnsi="Arial" w:cs="Arial"/>
                <w:color w:val="000000"/>
              </w:rPr>
              <w:t xml:space="preserve"> exempting the New Zealand Superannuation Fund from New Zealand tax obligations.  </w:t>
            </w:r>
          </w:p>
        </w:tc>
        <w:tc>
          <w:tcPr>
            <w:tcW w:w="1524" w:type="pct"/>
            <w:shd w:val="clear" w:color="auto" w:fill="FFC000"/>
            <w:tcMar>
              <w:top w:w="0" w:type="dxa"/>
              <w:left w:w="108" w:type="dxa"/>
              <w:bottom w:w="0" w:type="dxa"/>
              <w:right w:w="108" w:type="dxa"/>
            </w:tcMar>
          </w:tcPr>
          <w:p w14:paraId="666BA6A1"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r w:rsidR="00437EB9">
              <w:rPr>
                <w:rFonts w:ascii="Arial" w:hAnsi="Arial" w:cs="Arial"/>
              </w:rPr>
              <w:t xml:space="preserve"> – noting the significant </w:t>
            </w:r>
            <w:r w:rsidR="002A5704">
              <w:rPr>
                <w:rFonts w:ascii="Arial" w:hAnsi="Arial" w:cs="Arial"/>
              </w:rPr>
              <w:t xml:space="preserve">economic and </w:t>
            </w:r>
            <w:r w:rsidR="00437EB9">
              <w:rPr>
                <w:rFonts w:ascii="Arial" w:hAnsi="Arial" w:cs="Arial"/>
              </w:rPr>
              <w:t>fiscal implications associated with this proposal.</w:t>
            </w:r>
          </w:p>
        </w:tc>
      </w:tr>
      <w:tr w:rsidR="00342E14" w:rsidRPr="006D32A5" w14:paraId="4317587C" w14:textId="77777777" w:rsidTr="00DF0110">
        <w:trPr>
          <w:trHeight w:val="345"/>
        </w:trPr>
        <w:tc>
          <w:tcPr>
            <w:tcW w:w="5000" w:type="pct"/>
            <w:gridSpan w:val="4"/>
            <w:shd w:val="clear" w:color="auto" w:fill="000000" w:themeFill="text1"/>
            <w:vAlign w:val="center"/>
          </w:tcPr>
          <w:p w14:paraId="335E48B0" w14:textId="77777777" w:rsidR="00342E14" w:rsidRPr="00C46970" w:rsidRDefault="00342E14" w:rsidP="00342E14">
            <w:pPr>
              <w:widowControl w:val="0"/>
              <w:ind w:left="94"/>
              <w:rPr>
                <w:rFonts w:ascii="Arial" w:hAnsi="Arial" w:cs="Arial"/>
                <w:b/>
                <w:color w:val="FFFFFF" w:themeColor="background1"/>
              </w:rPr>
            </w:pPr>
            <w:r w:rsidRPr="00C46970">
              <w:rPr>
                <w:rFonts w:ascii="Arial" w:hAnsi="Arial" w:cs="Arial"/>
                <w:b/>
                <w:color w:val="FFFFFF" w:themeColor="background1"/>
              </w:rPr>
              <w:t xml:space="preserve">International income taxation </w:t>
            </w:r>
          </w:p>
        </w:tc>
      </w:tr>
      <w:tr w:rsidR="00DF0110" w:rsidRPr="006D32A5" w14:paraId="5D3CC147" w14:textId="77777777" w:rsidTr="00355A52">
        <w:tc>
          <w:tcPr>
            <w:tcW w:w="276" w:type="pct"/>
            <w:gridSpan w:val="2"/>
          </w:tcPr>
          <w:p w14:paraId="71AA7100" w14:textId="77777777" w:rsidR="00DF0110" w:rsidRPr="00C46970" w:rsidRDefault="00DF0110" w:rsidP="00342E14">
            <w:pPr>
              <w:widowControl w:val="0"/>
              <w:spacing w:line="280" w:lineRule="atLeast"/>
              <w:rPr>
                <w:rFonts w:ascii="Arial" w:hAnsi="Arial" w:cs="Arial"/>
                <w:color w:val="000000"/>
                <w:lang w:eastAsia="en-NZ"/>
              </w:rPr>
            </w:pPr>
            <w:r w:rsidRPr="00C46970">
              <w:rPr>
                <w:rFonts w:ascii="Arial" w:hAnsi="Arial" w:cs="Arial"/>
                <w:color w:val="000000"/>
                <w:lang w:eastAsia="en-NZ"/>
              </w:rPr>
              <w:t>39</w:t>
            </w:r>
          </w:p>
        </w:tc>
        <w:tc>
          <w:tcPr>
            <w:tcW w:w="3200" w:type="pct"/>
            <w:shd w:val="clear" w:color="auto" w:fill="auto"/>
            <w:tcMar>
              <w:top w:w="0" w:type="dxa"/>
              <w:left w:w="108" w:type="dxa"/>
              <w:bottom w:w="0" w:type="dxa"/>
              <w:right w:w="108" w:type="dxa"/>
            </w:tcMar>
          </w:tcPr>
          <w:p w14:paraId="32BDF2AE"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New Zealand should continue to participate in the OECD discussions on the future of the international tax framework.  </w:t>
            </w:r>
          </w:p>
        </w:tc>
        <w:tc>
          <w:tcPr>
            <w:tcW w:w="1524" w:type="pct"/>
            <w:shd w:val="clear" w:color="auto" w:fill="5B9BD5" w:themeFill="accent1"/>
            <w:tcMar>
              <w:top w:w="0" w:type="dxa"/>
              <w:left w:w="108" w:type="dxa"/>
              <w:bottom w:w="0" w:type="dxa"/>
              <w:right w:w="108" w:type="dxa"/>
            </w:tcMar>
          </w:tcPr>
          <w:p w14:paraId="3C13C36B" w14:textId="77777777" w:rsidR="00DF0110" w:rsidRPr="00C46970" w:rsidRDefault="00286F5C" w:rsidP="00342E14">
            <w:pPr>
              <w:widowControl w:val="0"/>
              <w:spacing w:line="280" w:lineRule="atLeast"/>
              <w:rPr>
                <w:rFonts w:ascii="Arial" w:hAnsi="Arial" w:cs="Arial"/>
                <w:b/>
                <w:color w:val="000000"/>
                <w:lang w:eastAsia="en-NZ"/>
              </w:rPr>
            </w:pPr>
            <w:r>
              <w:rPr>
                <w:rFonts w:ascii="Arial" w:hAnsi="Arial" w:cs="Arial"/>
                <w:b/>
              </w:rPr>
              <w:t>Note w</w:t>
            </w:r>
            <w:r w:rsidR="00355A52" w:rsidRPr="00093B5A">
              <w:rPr>
                <w:rFonts w:ascii="Arial" w:hAnsi="Arial" w:cs="Arial"/>
                <w:b/>
              </w:rPr>
              <w:t>ork</w:t>
            </w:r>
            <w:r>
              <w:rPr>
                <w:rFonts w:ascii="Arial" w:hAnsi="Arial" w:cs="Arial"/>
                <w:b/>
              </w:rPr>
              <w:t xml:space="preserve"> already</w:t>
            </w:r>
            <w:r w:rsidR="00355A52" w:rsidRPr="00093B5A">
              <w:rPr>
                <w:rFonts w:ascii="Arial" w:hAnsi="Arial" w:cs="Arial"/>
                <w:b/>
              </w:rPr>
              <w:t xml:space="preserve"> underway</w:t>
            </w:r>
            <w:r w:rsidR="000C1797">
              <w:rPr>
                <w:rFonts w:ascii="Arial" w:hAnsi="Arial" w:cs="Arial"/>
              </w:rPr>
              <w:t xml:space="preserve"> –</w:t>
            </w:r>
            <w:r w:rsidR="00093B5A">
              <w:rPr>
                <w:rFonts w:ascii="Arial" w:hAnsi="Arial" w:cs="Arial"/>
              </w:rPr>
              <w:t xml:space="preserve"> </w:t>
            </w:r>
            <w:r w:rsidR="00093B5A" w:rsidRPr="00093B5A">
              <w:rPr>
                <w:rFonts w:ascii="Arial" w:hAnsi="Arial" w:cs="Arial"/>
              </w:rPr>
              <w:t>New Zealand is currently participating in discussions at the OECD on the future of the international tax framework</w:t>
            </w:r>
          </w:p>
        </w:tc>
      </w:tr>
      <w:tr w:rsidR="00DF0110" w:rsidRPr="006D32A5" w14:paraId="6CDADE5E" w14:textId="77777777" w:rsidTr="00355A52">
        <w:tc>
          <w:tcPr>
            <w:tcW w:w="276" w:type="pct"/>
            <w:gridSpan w:val="2"/>
          </w:tcPr>
          <w:p w14:paraId="7ECF9FB9" w14:textId="77777777" w:rsidR="00DF0110" w:rsidRPr="00C46970" w:rsidRDefault="00DF0110" w:rsidP="00342E14">
            <w:pPr>
              <w:widowControl w:val="0"/>
              <w:spacing w:before="4" w:after="4" w:line="276" w:lineRule="auto"/>
              <w:rPr>
                <w:rFonts w:ascii="Arial" w:hAnsi="Arial" w:cs="Arial"/>
                <w:color w:val="000000"/>
              </w:rPr>
            </w:pPr>
            <w:r w:rsidRPr="00C46970">
              <w:rPr>
                <w:rFonts w:ascii="Arial" w:hAnsi="Arial" w:cs="Arial"/>
                <w:color w:val="000000"/>
              </w:rPr>
              <w:t>40</w:t>
            </w:r>
          </w:p>
        </w:tc>
        <w:tc>
          <w:tcPr>
            <w:tcW w:w="3200" w:type="pct"/>
            <w:shd w:val="clear" w:color="auto" w:fill="auto"/>
            <w:tcMar>
              <w:top w:w="0" w:type="dxa"/>
              <w:left w:w="108" w:type="dxa"/>
              <w:bottom w:w="0" w:type="dxa"/>
              <w:right w:w="108" w:type="dxa"/>
            </w:tcMar>
          </w:tcPr>
          <w:p w14:paraId="7E2F81BA"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Government should stand ready to implement a digital services tax if a critical mass of other countries </w:t>
            </w:r>
            <w:proofErr w:type="gramStart"/>
            <w:r w:rsidRPr="00C46970">
              <w:rPr>
                <w:rFonts w:ascii="Arial" w:hAnsi="Arial" w:cs="Arial"/>
              </w:rPr>
              <w:t>move</w:t>
            </w:r>
            <w:proofErr w:type="gramEnd"/>
            <w:r w:rsidRPr="00C46970">
              <w:rPr>
                <w:rFonts w:ascii="Arial" w:hAnsi="Arial" w:cs="Arial"/>
              </w:rPr>
              <w:t xml:space="preserve"> in that direction, and </w:t>
            </w:r>
            <w:r w:rsidR="00D10F46">
              <w:rPr>
                <w:rFonts w:ascii="Arial" w:hAnsi="Arial" w:cs="Arial"/>
              </w:rPr>
              <w:t xml:space="preserve">if </w:t>
            </w:r>
            <w:r w:rsidRPr="00C46970">
              <w:rPr>
                <w:rFonts w:ascii="Arial" w:hAnsi="Arial" w:cs="Arial"/>
              </w:rPr>
              <w:t xml:space="preserve">it is reasonably certain </w:t>
            </w:r>
            <w:r w:rsidR="00D10F46">
              <w:rPr>
                <w:rFonts w:ascii="Arial" w:hAnsi="Arial" w:cs="Arial"/>
              </w:rPr>
              <w:t xml:space="preserve">that </w:t>
            </w:r>
            <w:r w:rsidRPr="00C46970">
              <w:rPr>
                <w:rFonts w:ascii="Arial" w:hAnsi="Arial" w:cs="Arial"/>
              </w:rPr>
              <w:t>New Zealand’s export industries will not be materially impacted by any retaliatory measures.</w:t>
            </w:r>
          </w:p>
        </w:tc>
        <w:tc>
          <w:tcPr>
            <w:tcW w:w="1524" w:type="pct"/>
            <w:shd w:val="clear" w:color="auto" w:fill="5B9BD5" w:themeFill="accent1"/>
            <w:tcMar>
              <w:top w:w="0" w:type="dxa"/>
              <w:left w:w="108" w:type="dxa"/>
              <w:bottom w:w="0" w:type="dxa"/>
              <w:right w:w="108" w:type="dxa"/>
            </w:tcMar>
          </w:tcPr>
          <w:p w14:paraId="7F90B0C8" w14:textId="0A997882" w:rsidR="00DF0110" w:rsidRPr="00C46970" w:rsidRDefault="00286F5C" w:rsidP="00FA43D8">
            <w:pPr>
              <w:widowControl w:val="0"/>
              <w:spacing w:line="280" w:lineRule="atLeast"/>
              <w:rPr>
                <w:rFonts w:ascii="Arial" w:hAnsi="Arial" w:cs="Arial"/>
                <w:b/>
                <w:color w:val="000000"/>
                <w:lang w:eastAsia="en-NZ"/>
              </w:rPr>
            </w:pPr>
            <w:r>
              <w:rPr>
                <w:rFonts w:ascii="Arial" w:hAnsi="Arial" w:cs="Arial"/>
                <w:b/>
              </w:rPr>
              <w:t>Note w</w:t>
            </w:r>
            <w:r w:rsidRPr="00093B5A">
              <w:rPr>
                <w:rFonts w:ascii="Arial" w:hAnsi="Arial" w:cs="Arial"/>
                <w:b/>
              </w:rPr>
              <w:t>ork</w:t>
            </w:r>
            <w:r>
              <w:rPr>
                <w:rFonts w:ascii="Arial" w:hAnsi="Arial" w:cs="Arial"/>
                <w:b/>
              </w:rPr>
              <w:t xml:space="preserve"> already</w:t>
            </w:r>
            <w:r w:rsidRPr="00093B5A">
              <w:rPr>
                <w:rFonts w:ascii="Arial" w:hAnsi="Arial" w:cs="Arial"/>
                <w:b/>
              </w:rPr>
              <w:t xml:space="preserve"> underway</w:t>
            </w:r>
            <w:r>
              <w:rPr>
                <w:rFonts w:ascii="Arial" w:hAnsi="Arial" w:cs="Arial"/>
              </w:rPr>
              <w:t xml:space="preserve"> </w:t>
            </w:r>
            <w:r w:rsidR="000C1797">
              <w:rPr>
                <w:rFonts w:ascii="Arial" w:hAnsi="Arial" w:cs="Arial"/>
              </w:rPr>
              <w:t xml:space="preserve">– </w:t>
            </w:r>
            <w:r w:rsidR="00FA43D8">
              <w:rPr>
                <w:rFonts w:ascii="Arial" w:hAnsi="Arial" w:cs="Arial"/>
              </w:rPr>
              <w:t xml:space="preserve">Officials </w:t>
            </w:r>
            <w:r w:rsidR="00093B5A" w:rsidRPr="00093B5A">
              <w:rPr>
                <w:rFonts w:ascii="Arial" w:hAnsi="Arial" w:cs="Arial"/>
              </w:rPr>
              <w:t xml:space="preserve">have </w:t>
            </w:r>
            <w:r w:rsidR="00FA43D8">
              <w:rPr>
                <w:rFonts w:ascii="Arial" w:hAnsi="Arial" w:cs="Arial"/>
              </w:rPr>
              <w:t xml:space="preserve">been </w:t>
            </w:r>
            <w:r w:rsidR="00093B5A" w:rsidRPr="00093B5A">
              <w:rPr>
                <w:rFonts w:ascii="Arial" w:hAnsi="Arial" w:cs="Arial"/>
              </w:rPr>
              <w:t>directed to draft a discussion document on the options for taxing the digital economy</w:t>
            </w:r>
            <w:r w:rsidR="00FA43D8">
              <w:rPr>
                <w:rFonts w:ascii="Arial" w:hAnsi="Arial" w:cs="Arial"/>
              </w:rPr>
              <w:t xml:space="preserve"> that will come to Cabinet </w:t>
            </w:r>
            <w:r w:rsidR="00481C6D">
              <w:rPr>
                <w:rFonts w:ascii="Arial" w:hAnsi="Arial" w:cs="Arial"/>
              </w:rPr>
              <w:t xml:space="preserve">in </w:t>
            </w:r>
            <w:proofErr w:type="gramStart"/>
            <w:r w:rsidR="00481C6D">
              <w:rPr>
                <w:rFonts w:ascii="Arial" w:hAnsi="Arial" w:cs="Arial"/>
              </w:rPr>
              <w:t xml:space="preserve">May </w:t>
            </w:r>
            <w:r w:rsidR="00093B5A" w:rsidRPr="00093B5A">
              <w:rPr>
                <w:rFonts w:ascii="Arial" w:hAnsi="Arial" w:cs="Arial"/>
              </w:rPr>
              <w:t>.</w:t>
            </w:r>
            <w:proofErr w:type="gramEnd"/>
          </w:p>
        </w:tc>
      </w:tr>
      <w:tr w:rsidR="00DF0110" w:rsidRPr="006D32A5" w14:paraId="0DD9E0BF" w14:textId="77777777" w:rsidTr="00355A52">
        <w:tc>
          <w:tcPr>
            <w:tcW w:w="276" w:type="pct"/>
            <w:gridSpan w:val="2"/>
          </w:tcPr>
          <w:p w14:paraId="2391A3C7" w14:textId="77777777" w:rsidR="00DF0110" w:rsidRPr="00C46970" w:rsidRDefault="00DF0110" w:rsidP="00342E14">
            <w:pPr>
              <w:widowControl w:val="0"/>
              <w:spacing w:before="4" w:after="4" w:line="276" w:lineRule="auto"/>
              <w:rPr>
                <w:rFonts w:ascii="Arial" w:hAnsi="Arial" w:cs="Arial"/>
                <w:color w:val="000000"/>
              </w:rPr>
            </w:pPr>
            <w:r w:rsidRPr="00C46970">
              <w:rPr>
                <w:rFonts w:ascii="Arial" w:hAnsi="Arial" w:cs="Arial"/>
                <w:color w:val="000000"/>
              </w:rPr>
              <w:t>41</w:t>
            </w:r>
          </w:p>
        </w:tc>
        <w:tc>
          <w:tcPr>
            <w:tcW w:w="3200" w:type="pct"/>
            <w:shd w:val="clear" w:color="auto" w:fill="auto"/>
            <w:tcMar>
              <w:top w:w="0" w:type="dxa"/>
              <w:left w:w="108" w:type="dxa"/>
              <w:bottom w:w="0" w:type="dxa"/>
              <w:right w:w="108" w:type="dxa"/>
            </w:tcMar>
          </w:tcPr>
          <w:p w14:paraId="2544C4DD" w14:textId="77777777" w:rsidR="00DF0110" w:rsidRPr="00C46970" w:rsidRDefault="00DF0110" w:rsidP="00342E14">
            <w:pPr>
              <w:widowControl w:val="0"/>
              <w:spacing w:line="280" w:lineRule="atLeast"/>
              <w:rPr>
                <w:rFonts w:ascii="Arial" w:hAnsi="Arial" w:cs="Arial"/>
              </w:rPr>
            </w:pPr>
            <w:r w:rsidRPr="00C46970">
              <w:rPr>
                <w:rFonts w:ascii="Arial" w:hAnsi="Arial" w:cs="Arial"/>
              </w:rPr>
              <w:t>New Zealand should actively monitor developments and collaborate with other countries with respect to equalisation taxes.</w:t>
            </w:r>
          </w:p>
        </w:tc>
        <w:tc>
          <w:tcPr>
            <w:tcW w:w="1524" w:type="pct"/>
            <w:shd w:val="clear" w:color="auto" w:fill="5B9BD5" w:themeFill="accent1"/>
            <w:tcMar>
              <w:top w:w="0" w:type="dxa"/>
              <w:left w:w="108" w:type="dxa"/>
              <w:bottom w:w="0" w:type="dxa"/>
              <w:right w:w="108" w:type="dxa"/>
            </w:tcMar>
          </w:tcPr>
          <w:p w14:paraId="5A411545" w14:textId="77777777" w:rsidR="00DF0110" w:rsidRPr="00C46970" w:rsidRDefault="00286F5C" w:rsidP="00342E14">
            <w:pPr>
              <w:widowControl w:val="0"/>
              <w:spacing w:line="280" w:lineRule="atLeast"/>
              <w:rPr>
                <w:rFonts w:ascii="Arial" w:hAnsi="Arial" w:cs="Arial"/>
                <w:b/>
                <w:color w:val="000000"/>
                <w:lang w:eastAsia="en-NZ"/>
              </w:rPr>
            </w:pPr>
            <w:r>
              <w:rPr>
                <w:rFonts w:ascii="Arial" w:hAnsi="Arial" w:cs="Arial"/>
                <w:b/>
              </w:rPr>
              <w:t>Note w</w:t>
            </w:r>
            <w:r w:rsidRPr="00093B5A">
              <w:rPr>
                <w:rFonts w:ascii="Arial" w:hAnsi="Arial" w:cs="Arial"/>
                <w:b/>
              </w:rPr>
              <w:t>ork</w:t>
            </w:r>
            <w:r>
              <w:rPr>
                <w:rFonts w:ascii="Arial" w:hAnsi="Arial" w:cs="Arial"/>
                <w:b/>
              </w:rPr>
              <w:t xml:space="preserve"> already</w:t>
            </w:r>
            <w:r w:rsidRPr="00093B5A">
              <w:rPr>
                <w:rFonts w:ascii="Arial" w:hAnsi="Arial" w:cs="Arial"/>
                <w:b/>
              </w:rPr>
              <w:t xml:space="preserve"> underway</w:t>
            </w:r>
            <w:r>
              <w:rPr>
                <w:rFonts w:ascii="Arial" w:hAnsi="Arial" w:cs="Arial"/>
              </w:rPr>
              <w:t xml:space="preserve"> </w:t>
            </w:r>
            <w:r w:rsidR="000C1797">
              <w:rPr>
                <w:rFonts w:ascii="Arial" w:hAnsi="Arial" w:cs="Arial"/>
              </w:rPr>
              <w:t>–</w:t>
            </w:r>
            <w:r w:rsidR="00093B5A">
              <w:rPr>
                <w:rFonts w:ascii="Arial" w:hAnsi="Arial" w:cs="Arial"/>
              </w:rPr>
              <w:t xml:space="preserve"> as above</w:t>
            </w:r>
          </w:p>
        </w:tc>
      </w:tr>
      <w:tr w:rsidR="00DF0110" w:rsidRPr="006D32A5" w14:paraId="2406781D" w14:textId="77777777" w:rsidTr="00355A52">
        <w:trPr>
          <w:trHeight w:val="373"/>
        </w:trPr>
        <w:tc>
          <w:tcPr>
            <w:tcW w:w="276" w:type="pct"/>
            <w:gridSpan w:val="2"/>
            <w:shd w:val="clear" w:color="auto" w:fill="FFFFFF"/>
          </w:tcPr>
          <w:p w14:paraId="7A8FA958" w14:textId="77777777" w:rsidR="00DF0110" w:rsidRPr="00C46970" w:rsidRDefault="00DF0110" w:rsidP="00342E14">
            <w:pPr>
              <w:widowControl w:val="0"/>
              <w:spacing w:before="4" w:after="4" w:line="276" w:lineRule="auto"/>
              <w:rPr>
                <w:rFonts w:ascii="Arial" w:hAnsi="Arial" w:cs="Arial"/>
                <w:color w:val="000000"/>
              </w:rPr>
            </w:pPr>
            <w:bookmarkStart w:id="29" w:name="_Hlk4498684"/>
            <w:r w:rsidRPr="00C46970">
              <w:rPr>
                <w:rFonts w:ascii="Arial" w:hAnsi="Arial" w:cs="Arial"/>
                <w:color w:val="000000"/>
              </w:rPr>
              <w:t>42</w:t>
            </w:r>
          </w:p>
        </w:tc>
        <w:tc>
          <w:tcPr>
            <w:tcW w:w="3200" w:type="pct"/>
            <w:shd w:val="clear" w:color="auto" w:fill="FFFFFF"/>
            <w:tcMar>
              <w:top w:w="0" w:type="dxa"/>
              <w:left w:w="108" w:type="dxa"/>
              <w:bottom w:w="0" w:type="dxa"/>
              <w:right w:w="108" w:type="dxa"/>
            </w:tcMar>
          </w:tcPr>
          <w:p w14:paraId="74608A61" w14:textId="77777777" w:rsidR="00DF0110" w:rsidRPr="00C46970" w:rsidRDefault="00DF0110" w:rsidP="00342E14">
            <w:pPr>
              <w:widowControl w:val="0"/>
              <w:spacing w:line="280" w:lineRule="atLeast"/>
              <w:rPr>
                <w:rFonts w:ascii="Arial" w:hAnsi="Arial" w:cs="Arial"/>
              </w:rPr>
            </w:pPr>
            <w:r w:rsidRPr="00C46970">
              <w:rPr>
                <w:rFonts w:ascii="Arial" w:hAnsi="Arial" w:cs="Arial"/>
              </w:rPr>
              <w:t>Ensure, to the extent possible, that our double tax agreements and trade agreements do not restrict our taxation options in these matters.</w:t>
            </w:r>
          </w:p>
        </w:tc>
        <w:tc>
          <w:tcPr>
            <w:tcW w:w="1524" w:type="pct"/>
            <w:shd w:val="clear" w:color="auto" w:fill="5B9BD5" w:themeFill="accent1"/>
            <w:tcMar>
              <w:top w:w="0" w:type="dxa"/>
              <w:left w:w="108" w:type="dxa"/>
              <w:bottom w:w="0" w:type="dxa"/>
              <w:right w:w="108" w:type="dxa"/>
            </w:tcMar>
          </w:tcPr>
          <w:p w14:paraId="36A99D5B" w14:textId="77777777" w:rsidR="00DF0110" w:rsidRPr="00C46970" w:rsidRDefault="00286F5C" w:rsidP="00342E14">
            <w:pPr>
              <w:widowControl w:val="0"/>
              <w:spacing w:line="280" w:lineRule="atLeast"/>
              <w:rPr>
                <w:rFonts w:ascii="Arial" w:hAnsi="Arial" w:cs="Arial"/>
                <w:b/>
                <w:color w:val="000000"/>
                <w:lang w:eastAsia="en-NZ"/>
              </w:rPr>
            </w:pPr>
            <w:r>
              <w:rPr>
                <w:rFonts w:ascii="Arial" w:hAnsi="Arial" w:cs="Arial"/>
                <w:b/>
              </w:rPr>
              <w:t>Note w</w:t>
            </w:r>
            <w:r w:rsidRPr="00093B5A">
              <w:rPr>
                <w:rFonts w:ascii="Arial" w:hAnsi="Arial" w:cs="Arial"/>
                <w:b/>
              </w:rPr>
              <w:t>ork</w:t>
            </w:r>
            <w:r>
              <w:rPr>
                <w:rFonts w:ascii="Arial" w:hAnsi="Arial" w:cs="Arial"/>
                <w:b/>
              </w:rPr>
              <w:t xml:space="preserve"> already</w:t>
            </w:r>
            <w:r w:rsidRPr="00093B5A">
              <w:rPr>
                <w:rFonts w:ascii="Arial" w:hAnsi="Arial" w:cs="Arial"/>
                <w:b/>
              </w:rPr>
              <w:t xml:space="preserve"> underway</w:t>
            </w:r>
            <w:r>
              <w:rPr>
                <w:rFonts w:ascii="Arial" w:hAnsi="Arial" w:cs="Arial"/>
              </w:rPr>
              <w:t xml:space="preserve"> </w:t>
            </w:r>
            <w:r w:rsidR="00881C72" w:rsidRPr="00881C72">
              <w:rPr>
                <w:rFonts w:ascii="Arial" w:hAnsi="Arial" w:cs="Arial"/>
              </w:rPr>
              <w:t>– as above</w:t>
            </w:r>
          </w:p>
        </w:tc>
      </w:tr>
      <w:bookmarkEnd w:id="29"/>
      <w:tr w:rsidR="00342E14" w:rsidRPr="006D32A5" w14:paraId="11CC6095" w14:textId="77777777" w:rsidTr="00DF0110">
        <w:tc>
          <w:tcPr>
            <w:tcW w:w="5000" w:type="pct"/>
            <w:gridSpan w:val="4"/>
            <w:shd w:val="clear" w:color="auto" w:fill="000000" w:themeFill="text1"/>
            <w:vAlign w:val="center"/>
          </w:tcPr>
          <w:p w14:paraId="273AB206" w14:textId="77777777" w:rsidR="00342E14" w:rsidRPr="00C46970" w:rsidRDefault="00342E14" w:rsidP="00187A91">
            <w:pPr>
              <w:keepNext/>
              <w:widowControl w:val="0"/>
              <w:ind w:left="96"/>
              <w:rPr>
                <w:rFonts w:ascii="Arial" w:hAnsi="Arial" w:cs="Arial"/>
                <w:color w:val="FFFFFF" w:themeColor="background1"/>
                <w:highlight w:val="yellow"/>
              </w:rPr>
            </w:pPr>
            <w:r w:rsidRPr="00C46970">
              <w:rPr>
                <w:rFonts w:ascii="Arial" w:hAnsi="Arial" w:cs="Arial"/>
                <w:b/>
                <w:color w:val="FFFFFF" w:themeColor="background1"/>
              </w:rPr>
              <w:t>Retirement savings</w:t>
            </w:r>
          </w:p>
        </w:tc>
      </w:tr>
      <w:tr w:rsidR="00DF0110" w:rsidRPr="006D32A5" w14:paraId="12118F32" w14:textId="77777777" w:rsidTr="00187A91">
        <w:tc>
          <w:tcPr>
            <w:tcW w:w="276" w:type="pct"/>
            <w:gridSpan w:val="2"/>
            <w:shd w:val="clear" w:color="auto" w:fill="FFFFFF"/>
          </w:tcPr>
          <w:p w14:paraId="68A1E3C8" w14:textId="77777777" w:rsidR="00DF0110" w:rsidRPr="00C46970" w:rsidRDefault="00DF0110" w:rsidP="00342E14">
            <w:pPr>
              <w:widowControl w:val="0"/>
              <w:spacing w:line="280" w:lineRule="atLeast"/>
              <w:rPr>
                <w:rFonts w:ascii="Arial" w:hAnsi="Arial" w:cs="Arial"/>
                <w:color w:val="000000"/>
              </w:rPr>
            </w:pPr>
            <w:r w:rsidRPr="00C46970">
              <w:rPr>
                <w:rFonts w:ascii="Arial" w:hAnsi="Arial" w:cs="Arial"/>
              </w:rPr>
              <w:t>43</w:t>
            </w:r>
          </w:p>
        </w:tc>
        <w:tc>
          <w:tcPr>
            <w:tcW w:w="3200" w:type="pct"/>
            <w:shd w:val="clear" w:color="auto" w:fill="FFFFFF"/>
            <w:tcMar>
              <w:top w:w="0" w:type="dxa"/>
              <w:left w:w="108" w:type="dxa"/>
              <w:bottom w:w="0" w:type="dxa"/>
              <w:right w:w="108" w:type="dxa"/>
            </w:tcMar>
          </w:tcPr>
          <w:p w14:paraId="25AC5D94"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encouraging the savings of low-income earners by carrying out one or more of the following: </w:t>
            </w:r>
          </w:p>
          <w:p w14:paraId="608EBC26" w14:textId="77777777" w:rsidR="00DF0110" w:rsidRPr="00C46970" w:rsidRDefault="00DF0110" w:rsidP="00D11C7B">
            <w:pPr>
              <w:widowControl w:val="0"/>
              <w:numPr>
                <w:ilvl w:val="0"/>
                <w:numId w:val="11"/>
              </w:numPr>
              <w:spacing w:after="0" w:line="280" w:lineRule="atLeast"/>
              <w:rPr>
                <w:rFonts w:ascii="Arial" w:hAnsi="Arial" w:cs="Arial"/>
              </w:rPr>
            </w:pPr>
            <w:r w:rsidRPr="00C46970">
              <w:rPr>
                <w:rFonts w:ascii="Arial" w:hAnsi="Arial" w:cs="Arial"/>
              </w:rPr>
              <w:t xml:space="preserve">Refund the Employer Superannuation Contribution Tax (ESCT) for </w:t>
            </w:r>
            <w:proofErr w:type="spellStart"/>
            <w:r w:rsidRPr="00C46970">
              <w:rPr>
                <w:rFonts w:ascii="Arial" w:hAnsi="Arial" w:cs="Arial"/>
              </w:rPr>
              <w:t>KiwiSaver</w:t>
            </w:r>
            <w:proofErr w:type="spellEnd"/>
            <w:r w:rsidRPr="00C46970">
              <w:rPr>
                <w:rFonts w:ascii="Arial" w:hAnsi="Arial" w:cs="Arial"/>
              </w:rPr>
              <w:t xml:space="preserve"> members earning up to $48,000 per annum. This refund would be clawed back for </w:t>
            </w:r>
            <w:proofErr w:type="spellStart"/>
            <w:r w:rsidRPr="00C46970">
              <w:rPr>
                <w:rFonts w:ascii="Arial" w:hAnsi="Arial" w:cs="Arial"/>
              </w:rPr>
              <w:t>KiwiSaver</w:t>
            </w:r>
            <w:proofErr w:type="spellEnd"/>
            <w:r w:rsidRPr="00C46970">
              <w:rPr>
                <w:rFonts w:ascii="Arial" w:hAnsi="Arial" w:cs="Arial"/>
              </w:rPr>
              <w:t xml:space="preserve"> members earning more than $48,000 per annum, such that members earning over $70,000 would receive no benefit.</w:t>
            </w:r>
          </w:p>
          <w:p w14:paraId="5ED4DF49" w14:textId="77777777" w:rsidR="00DF0110" w:rsidRPr="00C46970" w:rsidRDefault="00DF0110" w:rsidP="00D11C7B">
            <w:pPr>
              <w:widowControl w:val="0"/>
              <w:numPr>
                <w:ilvl w:val="0"/>
                <w:numId w:val="11"/>
              </w:numPr>
              <w:spacing w:after="0" w:line="280" w:lineRule="atLeast"/>
              <w:rPr>
                <w:rFonts w:ascii="Arial" w:hAnsi="Arial" w:cs="Arial"/>
              </w:rPr>
            </w:pPr>
            <w:r w:rsidRPr="00C46970">
              <w:rPr>
                <w:rFonts w:ascii="Arial" w:hAnsi="Arial" w:cs="Arial"/>
              </w:rPr>
              <w:t>Ensur</w:t>
            </w:r>
            <w:r w:rsidR="00D10F46">
              <w:rPr>
                <w:rFonts w:ascii="Arial" w:hAnsi="Arial" w:cs="Arial"/>
              </w:rPr>
              <w:t>e</w:t>
            </w:r>
            <w:r w:rsidRPr="00C46970">
              <w:rPr>
                <w:rFonts w:ascii="Arial" w:hAnsi="Arial" w:cs="Arial"/>
              </w:rPr>
              <w:t xml:space="preserve"> that a </w:t>
            </w:r>
            <w:proofErr w:type="spellStart"/>
            <w:r w:rsidRPr="00C46970">
              <w:rPr>
                <w:rFonts w:ascii="Arial" w:hAnsi="Arial" w:cs="Arial"/>
              </w:rPr>
              <w:t>KiwiSaver</w:t>
            </w:r>
            <w:proofErr w:type="spellEnd"/>
            <w:r w:rsidRPr="00C46970">
              <w:rPr>
                <w:rFonts w:ascii="Arial" w:hAnsi="Arial" w:cs="Arial"/>
              </w:rPr>
              <w:t xml:space="preserve"> member on parental leave would receive the maximum member tax credit regardless of their level of contributions.</w:t>
            </w:r>
          </w:p>
          <w:p w14:paraId="2786D96C" w14:textId="77777777" w:rsidR="00DF0110" w:rsidRPr="00C46970" w:rsidRDefault="00DF0110" w:rsidP="00D11C7B">
            <w:pPr>
              <w:widowControl w:val="0"/>
              <w:numPr>
                <w:ilvl w:val="0"/>
                <w:numId w:val="11"/>
              </w:numPr>
              <w:spacing w:after="0" w:line="280" w:lineRule="atLeast"/>
              <w:rPr>
                <w:rFonts w:ascii="Arial" w:hAnsi="Arial" w:cs="Arial"/>
              </w:rPr>
            </w:pPr>
            <w:r w:rsidRPr="00C46970">
              <w:rPr>
                <w:rFonts w:ascii="Arial" w:hAnsi="Arial" w:cs="Arial"/>
              </w:rPr>
              <w:t>Increa</w:t>
            </w:r>
            <w:r w:rsidR="00D10F46">
              <w:rPr>
                <w:rFonts w:ascii="Arial" w:hAnsi="Arial" w:cs="Arial"/>
              </w:rPr>
              <w:t>se</w:t>
            </w:r>
            <w:r w:rsidRPr="00C46970">
              <w:rPr>
                <w:rFonts w:ascii="Arial" w:hAnsi="Arial" w:cs="Arial"/>
              </w:rPr>
              <w:t xml:space="preserve"> the member tax credit from $0.50 per $1 of contribution to $0.75 per $1 of contribution. The contribution cap should remain unchanged.</w:t>
            </w:r>
          </w:p>
          <w:p w14:paraId="7B4FDF45" w14:textId="77777777" w:rsidR="00DF0110" w:rsidRPr="00C46970" w:rsidRDefault="00DF0110" w:rsidP="00D11C7B">
            <w:pPr>
              <w:widowControl w:val="0"/>
              <w:numPr>
                <w:ilvl w:val="0"/>
                <w:numId w:val="11"/>
              </w:numPr>
              <w:spacing w:after="0" w:line="280" w:lineRule="atLeast"/>
              <w:rPr>
                <w:rFonts w:ascii="Arial" w:hAnsi="Arial" w:cs="Arial"/>
              </w:rPr>
            </w:pPr>
            <w:r w:rsidRPr="00C46970">
              <w:rPr>
                <w:rFonts w:ascii="Arial" w:hAnsi="Arial" w:cs="Arial"/>
              </w:rPr>
              <w:t>Reduc</w:t>
            </w:r>
            <w:r w:rsidR="00D10F46">
              <w:rPr>
                <w:rFonts w:ascii="Arial" w:hAnsi="Arial" w:cs="Arial"/>
              </w:rPr>
              <w:t>e</w:t>
            </w:r>
            <w:r w:rsidRPr="00C46970">
              <w:rPr>
                <w:rFonts w:ascii="Arial" w:hAnsi="Arial" w:cs="Arial"/>
              </w:rPr>
              <w:t xml:space="preserve"> the lower PIE rates for </w:t>
            </w:r>
            <w:proofErr w:type="spellStart"/>
            <w:r w:rsidRPr="00C46970">
              <w:rPr>
                <w:rFonts w:ascii="Arial" w:hAnsi="Arial" w:cs="Arial"/>
              </w:rPr>
              <w:t>KiwiSaver</w:t>
            </w:r>
            <w:proofErr w:type="spellEnd"/>
            <w:r w:rsidRPr="00C46970">
              <w:rPr>
                <w:rFonts w:ascii="Arial" w:hAnsi="Arial" w:cs="Arial"/>
              </w:rPr>
              <w:t xml:space="preserve"> funds (10.5% and 17.5%) by five percentage points each.</w:t>
            </w:r>
          </w:p>
        </w:tc>
        <w:tc>
          <w:tcPr>
            <w:tcW w:w="1524" w:type="pct"/>
            <w:shd w:val="clear" w:color="auto" w:fill="FFC000"/>
            <w:tcMar>
              <w:top w:w="0" w:type="dxa"/>
              <w:left w:w="108" w:type="dxa"/>
              <w:bottom w:w="0" w:type="dxa"/>
              <w:right w:w="108" w:type="dxa"/>
            </w:tcMar>
          </w:tcPr>
          <w:p w14:paraId="264A816F" w14:textId="77777777" w:rsidR="00DF0110" w:rsidRDefault="006D7B70"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p w14:paraId="7FF0927D" w14:textId="77777777" w:rsidR="00077F03" w:rsidRPr="00FA43D8" w:rsidRDefault="00077F03" w:rsidP="00077F03">
            <w:pPr>
              <w:spacing w:after="240" w:line="240" w:lineRule="auto"/>
              <w:jc w:val="both"/>
              <w:rPr>
                <w:rFonts w:ascii="Arial" w:eastAsia="Times New Roman" w:hAnsi="Arial" w:cs="Arial"/>
                <w:lang w:eastAsia="en-NZ"/>
              </w:rPr>
            </w:pPr>
            <w:r w:rsidRPr="00FA43D8">
              <w:rPr>
                <w:rFonts w:ascii="Arial" w:eastAsia="Times New Roman" w:hAnsi="Arial" w:cs="Arial"/>
                <w:lang w:eastAsia="en-NZ"/>
              </w:rPr>
              <w:t xml:space="preserve">This work would sit alongside the Government’s broader work on </w:t>
            </w:r>
            <w:proofErr w:type="spellStart"/>
            <w:r w:rsidRPr="00FA43D8">
              <w:rPr>
                <w:rFonts w:ascii="Arial" w:eastAsia="Times New Roman" w:hAnsi="Arial" w:cs="Arial"/>
                <w:lang w:eastAsia="en-NZ"/>
              </w:rPr>
              <w:t>KiwiSaver</w:t>
            </w:r>
            <w:proofErr w:type="spellEnd"/>
            <w:r w:rsidRPr="00FA43D8">
              <w:rPr>
                <w:rFonts w:ascii="Arial" w:eastAsia="Times New Roman" w:hAnsi="Arial" w:cs="Arial"/>
                <w:lang w:eastAsia="en-NZ"/>
              </w:rPr>
              <w:t xml:space="preserve">, which includes the default provider review and a consideration of options to increase </w:t>
            </w:r>
            <w:proofErr w:type="spellStart"/>
            <w:r w:rsidRPr="00FA43D8">
              <w:rPr>
                <w:rFonts w:ascii="Arial" w:eastAsia="Times New Roman" w:hAnsi="Arial" w:cs="Arial"/>
                <w:lang w:eastAsia="en-NZ"/>
              </w:rPr>
              <w:t>KiwiSaver</w:t>
            </w:r>
            <w:proofErr w:type="spellEnd"/>
            <w:r w:rsidRPr="00FA43D8">
              <w:rPr>
                <w:rFonts w:ascii="Arial" w:eastAsia="Times New Roman" w:hAnsi="Arial" w:cs="Arial"/>
                <w:lang w:eastAsia="en-NZ"/>
              </w:rPr>
              <w:t xml:space="preserve"> uptake and contributions.</w:t>
            </w:r>
          </w:p>
          <w:p w14:paraId="42354E81" w14:textId="17B217DF" w:rsidR="00077F03" w:rsidRPr="00C46970" w:rsidRDefault="00077F03" w:rsidP="00342E14">
            <w:pPr>
              <w:widowControl w:val="0"/>
              <w:rPr>
                <w:rFonts w:ascii="Arial" w:hAnsi="Arial" w:cs="Arial"/>
                <w:highlight w:val="yellow"/>
              </w:rPr>
            </w:pPr>
          </w:p>
        </w:tc>
      </w:tr>
      <w:tr w:rsidR="00DF0110" w:rsidRPr="006D32A5" w:rsidDel="00A67617" w14:paraId="5D7BD94F" w14:textId="77777777" w:rsidTr="00B42D4C">
        <w:tc>
          <w:tcPr>
            <w:tcW w:w="276" w:type="pct"/>
            <w:gridSpan w:val="2"/>
            <w:shd w:val="clear" w:color="auto" w:fill="FFFFFF"/>
          </w:tcPr>
          <w:p w14:paraId="46AF2CF5" w14:textId="77777777" w:rsidR="00DF0110" w:rsidRPr="00C46970" w:rsidRDefault="00DF0110" w:rsidP="00342E14">
            <w:pPr>
              <w:widowControl w:val="0"/>
              <w:rPr>
                <w:rFonts w:ascii="Arial" w:hAnsi="Arial" w:cs="Arial"/>
              </w:rPr>
            </w:pPr>
            <w:r w:rsidRPr="00C46970">
              <w:rPr>
                <w:rFonts w:ascii="Arial" w:hAnsi="Arial" w:cs="Arial"/>
              </w:rPr>
              <w:t>44</w:t>
            </w:r>
          </w:p>
        </w:tc>
        <w:tc>
          <w:tcPr>
            <w:tcW w:w="3200" w:type="pct"/>
            <w:shd w:val="clear" w:color="auto" w:fill="FFFFFF"/>
            <w:tcMar>
              <w:top w:w="0" w:type="dxa"/>
              <w:left w:w="108" w:type="dxa"/>
              <w:bottom w:w="0" w:type="dxa"/>
              <w:right w:w="108" w:type="dxa"/>
            </w:tcMar>
          </w:tcPr>
          <w:p w14:paraId="495C8AE5"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ways to simplify the determination of the PIE rates (which would apply to </w:t>
            </w:r>
            <w:proofErr w:type="spellStart"/>
            <w:r w:rsidRPr="00C46970">
              <w:rPr>
                <w:rFonts w:ascii="Arial" w:hAnsi="Arial" w:cs="Arial"/>
              </w:rPr>
              <w:t>KiwiSaver</w:t>
            </w:r>
            <w:proofErr w:type="spellEnd"/>
            <w:r w:rsidRPr="00C46970">
              <w:rPr>
                <w:rFonts w:ascii="Arial" w:hAnsi="Arial" w:cs="Arial"/>
              </w:rPr>
              <w:t xml:space="preserve">).  </w:t>
            </w:r>
          </w:p>
        </w:tc>
        <w:tc>
          <w:tcPr>
            <w:tcW w:w="1524" w:type="pct"/>
            <w:shd w:val="clear" w:color="auto" w:fill="FFC000" w:themeFill="accent4"/>
            <w:tcMar>
              <w:top w:w="0" w:type="dxa"/>
              <w:left w:w="108" w:type="dxa"/>
              <w:bottom w:w="0" w:type="dxa"/>
              <w:right w:w="108" w:type="dxa"/>
            </w:tcMar>
          </w:tcPr>
          <w:p w14:paraId="7E494F80" w14:textId="77777777" w:rsidR="00DF0110" w:rsidRPr="00093B5A" w:rsidDel="00A67617" w:rsidRDefault="00F72ACB" w:rsidP="00342E14">
            <w:pPr>
              <w:widowControl w:val="0"/>
              <w:rPr>
                <w:rFonts w:ascii="Arial" w:hAnsi="Arial" w:cs="Arial"/>
                <w:b/>
              </w:rPr>
            </w:pPr>
            <w:r w:rsidRPr="00457A5C">
              <w:rPr>
                <w:rFonts w:ascii="Arial" w:hAnsi="Arial" w:cs="Arial"/>
                <w:b/>
              </w:rPr>
              <w:t xml:space="preserve">Consider </w:t>
            </w:r>
            <w:r>
              <w:rPr>
                <w:rFonts w:ascii="Arial" w:hAnsi="Arial" w:cs="Arial"/>
                <w:b/>
              </w:rPr>
              <w:t>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342E14" w:rsidRPr="006D32A5" w14:paraId="5C3B3351" w14:textId="77777777" w:rsidTr="00DF0110">
        <w:trPr>
          <w:trHeight w:val="375"/>
        </w:trPr>
        <w:tc>
          <w:tcPr>
            <w:tcW w:w="5000" w:type="pct"/>
            <w:gridSpan w:val="4"/>
            <w:shd w:val="clear" w:color="auto" w:fill="000000" w:themeFill="text1"/>
            <w:vAlign w:val="center"/>
          </w:tcPr>
          <w:p w14:paraId="734C969E" w14:textId="77777777" w:rsidR="00342E14" w:rsidRPr="00C46970" w:rsidRDefault="00342E14" w:rsidP="00342E14">
            <w:pPr>
              <w:widowControl w:val="0"/>
              <w:ind w:left="94"/>
              <w:rPr>
                <w:rStyle w:val="CommentReference"/>
                <w:rFonts w:ascii="Arial" w:hAnsi="Arial" w:cs="Arial"/>
                <w:color w:val="FFFFFF" w:themeColor="background1"/>
                <w:sz w:val="22"/>
                <w:szCs w:val="22"/>
                <w:highlight w:val="yellow"/>
              </w:rPr>
            </w:pPr>
            <w:r w:rsidRPr="00C46970">
              <w:rPr>
                <w:rFonts w:ascii="Arial" w:hAnsi="Arial" w:cs="Arial"/>
                <w:b/>
                <w:color w:val="FFFFFF" w:themeColor="background1"/>
              </w:rPr>
              <w:t>Personal income tax</w:t>
            </w:r>
          </w:p>
        </w:tc>
      </w:tr>
      <w:tr w:rsidR="00232643" w:rsidRPr="006D32A5" w14:paraId="362F4002" w14:textId="77777777" w:rsidTr="00583A61">
        <w:tc>
          <w:tcPr>
            <w:tcW w:w="276" w:type="pct"/>
            <w:gridSpan w:val="2"/>
            <w:shd w:val="clear" w:color="auto" w:fill="FFFFFF"/>
          </w:tcPr>
          <w:p w14:paraId="662C9772" w14:textId="77777777" w:rsidR="00232643" w:rsidRPr="00C46970" w:rsidRDefault="00232643" w:rsidP="00342E14">
            <w:pPr>
              <w:widowControl w:val="0"/>
              <w:spacing w:line="280" w:lineRule="atLeast"/>
              <w:rPr>
                <w:rFonts w:ascii="Arial" w:hAnsi="Arial" w:cs="Arial"/>
              </w:rPr>
            </w:pPr>
            <w:r w:rsidRPr="00C46970">
              <w:rPr>
                <w:rFonts w:ascii="Arial" w:hAnsi="Arial" w:cs="Arial"/>
                <w:lang w:val="en" w:eastAsia="en-NZ"/>
              </w:rPr>
              <w:t>45</w:t>
            </w:r>
          </w:p>
        </w:tc>
        <w:tc>
          <w:tcPr>
            <w:tcW w:w="3200" w:type="pct"/>
            <w:shd w:val="clear" w:color="auto" w:fill="FFFFFF"/>
            <w:tcMar>
              <w:top w:w="0" w:type="dxa"/>
              <w:left w:w="108" w:type="dxa"/>
              <w:bottom w:w="0" w:type="dxa"/>
              <w:right w:w="108" w:type="dxa"/>
            </w:tcMar>
          </w:tcPr>
          <w:p w14:paraId="57BAD544" w14:textId="77777777" w:rsidR="00232643" w:rsidRPr="00C46970" w:rsidRDefault="00232643" w:rsidP="00342E14">
            <w:pPr>
              <w:widowControl w:val="0"/>
              <w:spacing w:line="280" w:lineRule="atLeast"/>
              <w:rPr>
                <w:rFonts w:ascii="Arial" w:hAnsi="Arial" w:cs="Arial"/>
                <w:lang w:val="en" w:eastAsia="en-NZ"/>
              </w:rPr>
            </w:pPr>
            <w:r w:rsidRPr="00C46970">
              <w:rPr>
                <w:rFonts w:ascii="Arial" w:hAnsi="Arial" w:cs="Arial"/>
                <w:lang w:val="en" w:eastAsia="en-NZ"/>
              </w:rPr>
              <w:t xml:space="preserve">Recommendations on personal tax are dependent on the objectives of the Government: </w:t>
            </w:r>
          </w:p>
          <w:p w14:paraId="35947E46" w14:textId="77777777" w:rsidR="00232643" w:rsidRPr="00C46970" w:rsidRDefault="00232643" w:rsidP="00D11C7B">
            <w:pPr>
              <w:pStyle w:val="ListParagraph"/>
              <w:widowControl w:val="0"/>
              <w:numPr>
                <w:ilvl w:val="0"/>
                <w:numId w:val="4"/>
              </w:numPr>
              <w:spacing w:after="0" w:line="280" w:lineRule="atLeast"/>
              <w:rPr>
                <w:rFonts w:ascii="Arial" w:hAnsi="Arial" w:cs="Arial"/>
              </w:rPr>
            </w:pPr>
            <w:r w:rsidRPr="00C46970">
              <w:rPr>
                <w:rFonts w:ascii="Arial" w:hAnsi="Arial" w:cs="Arial"/>
                <w:lang w:val="en" w:eastAsia="en-NZ"/>
              </w:rPr>
              <w:t xml:space="preserve">If the Government wishes to improve incomes for very </w:t>
            </w:r>
            <w:proofErr w:type="gramStart"/>
            <w:r w:rsidRPr="00C46970">
              <w:rPr>
                <w:rFonts w:ascii="Arial" w:hAnsi="Arial" w:cs="Arial"/>
                <w:lang w:val="en" w:eastAsia="en-NZ"/>
              </w:rPr>
              <w:t>low income</w:t>
            </w:r>
            <w:proofErr w:type="gramEnd"/>
            <w:r w:rsidRPr="00C46970">
              <w:rPr>
                <w:rFonts w:ascii="Arial" w:hAnsi="Arial" w:cs="Arial"/>
                <w:lang w:val="en" w:eastAsia="en-NZ"/>
              </w:rPr>
              <w:t xml:space="preserve"> households, the best means of doing so will be through welfare transfers. </w:t>
            </w:r>
          </w:p>
          <w:p w14:paraId="1CBD24D7" w14:textId="77777777" w:rsidR="00232643" w:rsidRPr="00C46970" w:rsidRDefault="00232643" w:rsidP="00D11C7B">
            <w:pPr>
              <w:pStyle w:val="ListParagraph"/>
              <w:widowControl w:val="0"/>
              <w:numPr>
                <w:ilvl w:val="0"/>
                <w:numId w:val="4"/>
              </w:numPr>
              <w:spacing w:after="0" w:line="280" w:lineRule="atLeast"/>
              <w:rPr>
                <w:rFonts w:ascii="Arial" w:hAnsi="Arial" w:cs="Arial"/>
              </w:rPr>
            </w:pPr>
            <w:r w:rsidRPr="00C46970">
              <w:rPr>
                <w:rFonts w:ascii="Arial" w:hAnsi="Arial" w:cs="Arial"/>
                <w:lang w:val="en" w:eastAsia="en-NZ"/>
              </w:rPr>
              <w:t>If the Government wishes to improve incomes for certain groups of low to middle income earners, such as full-time workers on the minimum wage, then changes to personal income taxation may be a better option.</w:t>
            </w:r>
          </w:p>
        </w:tc>
        <w:tc>
          <w:tcPr>
            <w:tcW w:w="1524" w:type="pct"/>
            <w:vMerge w:val="restart"/>
            <w:shd w:val="clear" w:color="auto" w:fill="D0CECE" w:themeFill="background2" w:themeFillShade="E6"/>
            <w:tcMar>
              <w:top w:w="0" w:type="dxa"/>
              <w:left w:w="108" w:type="dxa"/>
              <w:bottom w:w="0" w:type="dxa"/>
              <w:right w:w="108" w:type="dxa"/>
            </w:tcMar>
            <w:vAlign w:val="center"/>
          </w:tcPr>
          <w:p w14:paraId="1F3B04AE" w14:textId="07720058" w:rsidR="00232643" w:rsidRPr="00B829E4" w:rsidRDefault="00FA43D8" w:rsidP="00FA43D8">
            <w:pPr>
              <w:widowControl w:val="0"/>
              <w:rPr>
                <w:rStyle w:val="CommentReference"/>
                <w:rFonts w:ascii="Arial" w:hAnsi="Arial" w:cs="Arial"/>
                <w:b/>
                <w:sz w:val="22"/>
                <w:szCs w:val="22"/>
                <w:highlight w:val="yellow"/>
              </w:rPr>
            </w:pPr>
            <w:r>
              <w:rPr>
                <w:rFonts w:ascii="Arial" w:hAnsi="Arial" w:cs="Arial"/>
              </w:rPr>
              <w:t>It is proposed to</w:t>
            </w:r>
            <w:r w:rsidR="00B829E4" w:rsidRPr="00FA43D8">
              <w:rPr>
                <w:rFonts w:ascii="Arial" w:hAnsi="Arial" w:cs="Arial"/>
              </w:rPr>
              <w:t xml:space="preserve"> not adopt any of the recommendations on capital gains taxation. As a </w:t>
            </w:r>
            <w:proofErr w:type="gramStart"/>
            <w:r w:rsidR="00B829E4" w:rsidRPr="00FA43D8">
              <w:rPr>
                <w:rFonts w:ascii="Arial" w:hAnsi="Arial" w:cs="Arial"/>
              </w:rPr>
              <w:t>result</w:t>
            </w:r>
            <w:proofErr w:type="gramEnd"/>
            <w:r w:rsidR="00B829E4" w:rsidRPr="00FA43D8">
              <w:rPr>
                <w:rFonts w:ascii="Arial" w:hAnsi="Arial" w:cs="Arial"/>
              </w:rPr>
              <w:t xml:space="preserve"> there is no revenue to recycle. </w:t>
            </w:r>
            <w:proofErr w:type="gramStart"/>
            <w:r w:rsidR="00B829E4" w:rsidRPr="00FA43D8">
              <w:rPr>
                <w:rFonts w:ascii="Arial" w:hAnsi="Arial" w:cs="Arial"/>
              </w:rPr>
              <w:t>Consequently</w:t>
            </w:r>
            <w:proofErr w:type="gramEnd"/>
            <w:r>
              <w:rPr>
                <w:rFonts w:ascii="Arial" w:hAnsi="Arial" w:cs="Arial"/>
              </w:rPr>
              <w:t xml:space="preserve"> </w:t>
            </w:r>
            <w:r>
              <w:rPr>
                <w:rFonts w:ascii="Arial" w:hAnsi="Arial" w:cs="Arial"/>
                <w:b/>
              </w:rPr>
              <w:t>it is</w:t>
            </w:r>
            <w:r w:rsidR="00B829E4" w:rsidRPr="00FA43D8">
              <w:rPr>
                <w:rFonts w:ascii="Arial" w:hAnsi="Arial" w:cs="Arial"/>
                <w:b/>
              </w:rPr>
              <w:t xml:space="preserve"> agree</w:t>
            </w:r>
            <w:r>
              <w:rPr>
                <w:rFonts w:ascii="Arial" w:hAnsi="Arial" w:cs="Arial"/>
                <w:b/>
              </w:rPr>
              <w:t>d</w:t>
            </w:r>
            <w:r w:rsidR="00B829E4" w:rsidRPr="00FA43D8">
              <w:rPr>
                <w:rFonts w:ascii="Arial" w:hAnsi="Arial" w:cs="Arial"/>
                <w:b/>
              </w:rPr>
              <w:t xml:space="preserve"> no further work is necessary.</w:t>
            </w:r>
          </w:p>
        </w:tc>
      </w:tr>
      <w:tr w:rsidR="00232643" w:rsidRPr="006D32A5" w14:paraId="621BC395" w14:textId="77777777" w:rsidTr="00583A61">
        <w:tc>
          <w:tcPr>
            <w:tcW w:w="276" w:type="pct"/>
            <w:gridSpan w:val="2"/>
            <w:shd w:val="clear" w:color="auto" w:fill="FFFFFF"/>
          </w:tcPr>
          <w:p w14:paraId="4DB75A6D" w14:textId="77777777" w:rsidR="00232643" w:rsidRPr="00C46970" w:rsidRDefault="00232643" w:rsidP="00342E14">
            <w:pPr>
              <w:widowControl w:val="0"/>
              <w:spacing w:line="280" w:lineRule="atLeast"/>
              <w:rPr>
                <w:rFonts w:ascii="Arial" w:hAnsi="Arial" w:cs="Arial"/>
                <w:lang w:val="en" w:eastAsia="en-NZ"/>
              </w:rPr>
            </w:pPr>
            <w:r w:rsidRPr="00C46970">
              <w:rPr>
                <w:rFonts w:ascii="Arial" w:hAnsi="Arial" w:cs="Arial"/>
              </w:rPr>
              <w:t>46</w:t>
            </w:r>
          </w:p>
        </w:tc>
        <w:tc>
          <w:tcPr>
            <w:tcW w:w="3200" w:type="pct"/>
            <w:shd w:val="clear" w:color="auto" w:fill="FFFFFF"/>
            <w:tcMar>
              <w:top w:w="0" w:type="dxa"/>
              <w:left w:w="108" w:type="dxa"/>
              <w:bottom w:w="0" w:type="dxa"/>
              <w:right w:w="108" w:type="dxa"/>
            </w:tcMar>
          </w:tcPr>
          <w:p w14:paraId="0E14EF4D" w14:textId="77777777" w:rsidR="00232643" w:rsidRPr="00C46970" w:rsidRDefault="00232643" w:rsidP="00342E14">
            <w:pPr>
              <w:widowControl w:val="0"/>
              <w:spacing w:line="280" w:lineRule="atLeast"/>
              <w:rPr>
                <w:rFonts w:ascii="Arial" w:hAnsi="Arial" w:cs="Arial"/>
                <w:lang w:val="en" w:eastAsia="en-NZ"/>
              </w:rPr>
            </w:pPr>
            <w:r w:rsidRPr="00C46970">
              <w:rPr>
                <w:rFonts w:ascii="Arial" w:hAnsi="Arial" w:cs="Arial"/>
              </w:rPr>
              <w:t>Consider increases in the bottom threshold of personal tax to increase the progressivity of the personal tax system.</w:t>
            </w:r>
          </w:p>
        </w:tc>
        <w:tc>
          <w:tcPr>
            <w:tcW w:w="1524" w:type="pct"/>
            <w:vMerge/>
            <w:shd w:val="clear" w:color="auto" w:fill="D0CECE" w:themeFill="background2" w:themeFillShade="E6"/>
            <w:tcMar>
              <w:top w:w="0" w:type="dxa"/>
              <w:left w:w="108" w:type="dxa"/>
              <w:bottom w:w="0" w:type="dxa"/>
              <w:right w:w="108" w:type="dxa"/>
            </w:tcMar>
          </w:tcPr>
          <w:p w14:paraId="542D1F6F" w14:textId="77777777" w:rsidR="00232643" w:rsidRPr="00C46970" w:rsidRDefault="00232643" w:rsidP="00342E14">
            <w:pPr>
              <w:widowControl w:val="0"/>
              <w:rPr>
                <w:rStyle w:val="CommentReference"/>
                <w:rFonts w:ascii="Arial" w:hAnsi="Arial" w:cs="Arial"/>
                <w:sz w:val="22"/>
                <w:szCs w:val="22"/>
                <w:highlight w:val="yellow"/>
              </w:rPr>
            </w:pPr>
          </w:p>
        </w:tc>
      </w:tr>
      <w:tr w:rsidR="00232643" w:rsidRPr="006D32A5" w14:paraId="5436E8C2" w14:textId="77777777" w:rsidTr="00583A61">
        <w:tc>
          <w:tcPr>
            <w:tcW w:w="276" w:type="pct"/>
            <w:gridSpan w:val="2"/>
            <w:shd w:val="clear" w:color="auto" w:fill="FFFFFF"/>
          </w:tcPr>
          <w:p w14:paraId="5E2B184C" w14:textId="77777777" w:rsidR="00232643" w:rsidRPr="00C46970" w:rsidRDefault="00232643" w:rsidP="00342E14">
            <w:pPr>
              <w:widowControl w:val="0"/>
              <w:spacing w:line="280" w:lineRule="atLeast"/>
              <w:rPr>
                <w:rFonts w:ascii="Arial" w:hAnsi="Arial" w:cs="Arial"/>
              </w:rPr>
            </w:pPr>
            <w:r w:rsidRPr="00C46970">
              <w:rPr>
                <w:rFonts w:ascii="Arial" w:hAnsi="Arial" w:cs="Arial"/>
              </w:rPr>
              <w:t>47</w:t>
            </w:r>
          </w:p>
        </w:tc>
        <w:tc>
          <w:tcPr>
            <w:tcW w:w="3200" w:type="pct"/>
            <w:shd w:val="clear" w:color="auto" w:fill="FFFFFF"/>
            <w:tcMar>
              <w:top w:w="0" w:type="dxa"/>
              <w:left w:w="108" w:type="dxa"/>
              <w:bottom w:w="0" w:type="dxa"/>
              <w:right w:w="108" w:type="dxa"/>
            </w:tcMar>
          </w:tcPr>
          <w:p w14:paraId="36500E67" w14:textId="77777777" w:rsidR="00232643" w:rsidRPr="00C46970" w:rsidRDefault="00232643" w:rsidP="00342E14">
            <w:pPr>
              <w:widowControl w:val="0"/>
              <w:spacing w:line="280" w:lineRule="atLeast"/>
              <w:rPr>
                <w:rFonts w:ascii="Arial" w:hAnsi="Arial" w:cs="Arial"/>
              </w:rPr>
            </w:pPr>
            <w:r w:rsidRPr="00C46970">
              <w:rPr>
                <w:rFonts w:ascii="Arial" w:hAnsi="Arial" w:cs="Arial"/>
              </w:rPr>
              <w:t>Consider</w:t>
            </w:r>
            <w:r w:rsidRPr="00C46970">
              <w:rPr>
                <w:rFonts w:ascii="Arial" w:hAnsi="Arial" w:cs="Arial"/>
                <w:lang w:val="en" w:eastAsia="en-NZ"/>
              </w:rPr>
              <w:t xml:space="preserve"> combining increases in the bottom threshold with an increase in the second marginal tax rate.</w:t>
            </w:r>
          </w:p>
        </w:tc>
        <w:tc>
          <w:tcPr>
            <w:tcW w:w="1524" w:type="pct"/>
            <w:vMerge/>
            <w:shd w:val="clear" w:color="auto" w:fill="D0CECE" w:themeFill="background2" w:themeFillShade="E6"/>
            <w:tcMar>
              <w:top w:w="0" w:type="dxa"/>
              <w:left w:w="108" w:type="dxa"/>
              <w:bottom w:w="0" w:type="dxa"/>
              <w:right w:w="108" w:type="dxa"/>
            </w:tcMar>
          </w:tcPr>
          <w:p w14:paraId="38454362" w14:textId="77777777" w:rsidR="00232643" w:rsidRPr="00C46970" w:rsidRDefault="00232643" w:rsidP="00342E14">
            <w:pPr>
              <w:widowControl w:val="0"/>
              <w:rPr>
                <w:rStyle w:val="CommentReference"/>
                <w:rFonts w:ascii="Arial" w:hAnsi="Arial" w:cs="Arial"/>
                <w:sz w:val="22"/>
                <w:szCs w:val="22"/>
                <w:highlight w:val="yellow"/>
              </w:rPr>
            </w:pPr>
          </w:p>
        </w:tc>
      </w:tr>
      <w:tr w:rsidR="00232643" w:rsidRPr="006D32A5" w14:paraId="33CC63FC" w14:textId="77777777" w:rsidTr="00583A61">
        <w:tc>
          <w:tcPr>
            <w:tcW w:w="276" w:type="pct"/>
            <w:gridSpan w:val="2"/>
            <w:shd w:val="clear" w:color="auto" w:fill="FFFFFF"/>
          </w:tcPr>
          <w:p w14:paraId="598C325E" w14:textId="77777777" w:rsidR="00232643" w:rsidRPr="00C46970" w:rsidRDefault="00232643" w:rsidP="00342E14">
            <w:pPr>
              <w:widowControl w:val="0"/>
              <w:spacing w:line="280" w:lineRule="atLeast"/>
              <w:rPr>
                <w:rFonts w:ascii="Arial" w:hAnsi="Arial" w:cs="Arial"/>
              </w:rPr>
            </w:pPr>
            <w:r w:rsidRPr="00C46970">
              <w:rPr>
                <w:rFonts w:ascii="Arial" w:hAnsi="Arial" w:cs="Arial"/>
              </w:rPr>
              <w:t xml:space="preserve">48 </w:t>
            </w:r>
          </w:p>
        </w:tc>
        <w:tc>
          <w:tcPr>
            <w:tcW w:w="3200" w:type="pct"/>
            <w:shd w:val="clear" w:color="auto" w:fill="FFFFFF"/>
            <w:tcMar>
              <w:top w:w="0" w:type="dxa"/>
              <w:left w:w="108" w:type="dxa"/>
              <w:bottom w:w="0" w:type="dxa"/>
              <w:right w:w="108" w:type="dxa"/>
            </w:tcMar>
          </w:tcPr>
          <w:p w14:paraId="72751C75" w14:textId="77777777" w:rsidR="00232643" w:rsidRPr="00C46970" w:rsidRDefault="00232643" w:rsidP="00342E14">
            <w:pPr>
              <w:widowControl w:val="0"/>
              <w:spacing w:line="280" w:lineRule="atLeast"/>
              <w:rPr>
                <w:rFonts w:ascii="Arial" w:hAnsi="Arial" w:cs="Arial"/>
              </w:rPr>
            </w:pPr>
            <w:r>
              <w:rPr>
                <w:rFonts w:ascii="Arial" w:hAnsi="Arial" w:cs="Arial"/>
              </w:rPr>
              <w:t>I</w:t>
            </w:r>
            <w:r w:rsidRPr="00C46970">
              <w:rPr>
                <w:rFonts w:ascii="Arial" w:hAnsi="Arial" w:cs="Arial"/>
              </w:rPr>
              <w:t xml:space="preserve">f (47) is adopted, consider a reduction of the abatement rate of Working for Families tax credits to offset the impact of the increase.  </w:t>
            </w:r>
          </w:p>
        </w:tc>
        <w:tc>
          <w:tcPr>
            <w:tcW w:w="1524" w:type="pct"/>
            <w:vMerge/>
            <w:shd w:val="clear" w:color="auto" w:fill="D0CECE" w:themeFill="background2" w:themeFillShade="E6"/>
            <w:tcMar>
              <w:top w:w="0" w:type="dxa"/>
              <w:left w:w="108" w:type="dxa"/>
              <w:bottom w:w="0" w:type="dxa"/>
              <w:right w:w="108" w:type="dxa"/>
            </w:tcMar>
          </w:tcPr>
          <w:p w14:paraId="11D1AC51" w14:textId="77777777" w:rsidR="00232643" w:rsidRPr="00C46970" w:rsidRDefault="00232643" w:rsidP="00342E14">
            <w:pPr>
              <w:widowControl w:val="0"/>
              <w:rPr>
                <w:rStyle w:val="CommentReference"/>
                <w:rFonts w:ascii="Arial" w:hAnsi="Arial" w:cs="Arial"/>
                <w:sz w:val="22"/>
                <w:szCs w:val="22"/>
                <w:highlight w:val="yellow"/>
              </w:rPr>
            </w:pPr>
          </w:p>
        </w:tc>
      </w:tr>
      <w:tr w:rsidR="00232643" w:rsidRPr="006D32A5" w14:paraId="7F1EBE6A" w14:textId="77777777" w:rsidTr="00583A61">
        <w:tc>
          <w:tcPr>
            <w:tcW w:w="276" w:type="pct"/>
            <w:gridSpan w:val="2"/>
            <w:shd w:val="clear" w:color="auto" w:fill="FFFFFF"/>
          </w:tcPr>
          <w:p w14:paraId="43249C1B" w14:textId="77777777" w:rsidR="00232643" w:rsidRPr="00C46970" w:rsidRDefault="00232643" w:rsidP="00342E14">
            <w:pPr>
              <w:widowControl w:val="0"/>
              <w:spacing w:line="280" w:lineRule="atLeast"/>
              <w:rPr>
                <w:rFonts w:ascii="Arial" w:hAnsi="Arial" w:cs="Arial"/>
              </w:rPr>
            </w:pPr>
            <w:r w:rsidRPr="00C46970">
              <w:rPr>
                <w:rFonts w:ascii="Arial" w:hAnsi="Arial" w:cs="Arial"/>
              </w:rPr>
              <w:t>49</w:t>
            </w:r>
          </w:p>
        </w:tc>
        <w:tc>
          <w:tcPr>
            <w:tcW w:w="3200" w:type="pct"/>
            <w:shd w:val="clear" w:color="auto" w:fill="FFFFFF"/>
            <w:tcMar>
              <w:top w:w="0" w:type="dxa"/>
              <w:left w:w="108" w:type="dxa"/>
              <w:bottom w:w="0" w:type="dxa"/>
              <w:right w:w="108" w:type="dxa"/>
            </w:tcMar>
          </w:tcPr>
          <w:p w14:paraId="6E857E50" w14:textId="77777777" w:rsidR="00232643" w:rsidRPr="00C46970" w:rsidRDefault="00232643" w:rsidP="00342E14">
            <w:pPr>
              <w:widowControl w:val="0"/>
              <w:spacing w:line="280" w:lineRule="atLeast"/>
              <w:rPr>
                <w:rFonts w:ascii="Arial" w:hAnsi="Arial" w:cs="Arial"/>
              </w:rPr>
            </w:pPr>
            <w:r w:rsidRPr="00C46970">
              <w:rPr>
                <w:rFonts w:ascii="Arial" w:hAnsi="Arial" w:cs="Arial"/>
              </w:rPr>
              <w:t>Prefer increasing the bottom threshold to introducing a tax-free threshold.</w:t>
            </w:r>
          </w:p>
        </w:tc>
        <w:tc>
          <w:tcPr>
            <w:tcW w:w="1524" w:type="pct"/>
            <w:vMerge/>
            <w:shd w:val="clear" w:color="auto" w:fill="D0CECE" w:themeFill="background2" w:themeFillShade="E6"/>
            <w:tcMar>
              <w:top w:w="0" w:type="dxa"/>
              <w:left w:w="108" w:type="dxa"/>
              <w:bottom w:w="0" w:type="dxa"/>
              <w:right w:w="108" w:type="dxa"/>
            </w:tcMar>
          </w:tcPr>
          <w:p w14:paraId="124BC059" w14:textId="77777777" w:rsidR="00232643" w:rsidRPr="00C46970" w:rsidRDefault="00232643" w:rsidP="00342E14">
            <w:pPr>
              <w:widowControl w:val="0"/>
              <w:rPr>
                <w:rStyle w:val="CommentReference"/>
                <w:rFonts w:ascii="Arial" w:hAnsi="Arial" w:cs="Arial"/>
                <w:sz w:val="22"/>
                <w:szCs w:val="22"/>
                <w:highlight w:val="yellow"/>
              </w:rPr>
            </w:pPr>
          </w:p>
        </w:tc>
      </w:tr>
      <w:tr w:rsidR="00232643" w:rsidRPr="006D32A5" w14:paraId="42164D64" w14:textId="77777777" w:rsidTr="00583A61">
        <w:tc>
          <w:tcPr>
            <w:tcW w:w="276" w:type="pct"/>
            <w:gridSpan w:val="2"/>
            <w:shd w:val="clear" w:color="auto" w:fill="FFFFFF"/>
          </w:tcPr>
          <w:p w14:paraId="597BEF87" w14:textId="77777777" w:rsidR="00232643" w:rsidRPr="00C46970" w:rsidRDefault="00232643" w:rsidP="00342E14">
            <w:pPr>
              <w:widowControl w:val="0"/>
              <w:spacing w:line="280" w:lineRule="atLeast"/>
              <w:rPr>
                <w:rFonts w:ascii="Arial" w:hAnsi="Arial" w:cs="Arial"/>
              </w:rPr>
            </w:pPr>
            <w:r w:rsidRPr="00C46970">
              <w:rPr>
                <w:rFonts w:ascii="Arial" w:hAnsi="Arial" w:cs="Arial"/>
              </w:rPr>
              <w:t>50</w:t>
            </w:r>
          </w:p>
        </w:tc>
        <w:tc>
          <w:tcPr>
            <w:tcW w:w="3200" w:type="pct"/>
            <w:shd w:val="clear" w:color="auto" w:fill="FFFFFF"/>
            <w:tcMar>
              <w:top w:w="0" w:type="dxa"/>
              <w:left w:w="108" w:type="dxa"/>
              <w:bottom w:w="0" w:type="dxa"/>
              <w:right w:w="108" w:type="dxa"/>
            </w:tcMar>
          </w:tcPr>
          <w:p w14:paraId="02A0F42D" w14:textId="77777777" w:rsidR="00232643" w:rsidRPr="00C46970" w:rsidRDefault="00232643" w:rsidP="00342E14">
            <w:pPr>
              <w:widowControl w:val="0"/>
              <w:spacing w:line="280" w:lineRule="atLeast"/>
              <w:rPr>
                <w:rFonts w:ascii="Arial" w:hAnsi="Arial" w:cs="Arial"/>
              </w:rPr>
            </w:pPr>
            <w:r w:rsidRPr="00C46970">
              <w:rPr>
                <w:rFonts w:ascii="Arial" w:hAnsi="Arial" w:cs="Arial"/>
              </w:rPr>
              <w:t>Consider an increase in net benefit payments</w:t>
            </w:r>
            <w:r w:rsidRPr="00C46970">
              <w:rPr>
                <w:rFonts w:ascii="Arial" w:hAnsi="Arial" w:cs="Arial"/>
                <w:lang w:val="en" w:eastAsia="en-NZ"/>
              </w:rPr>
              <w:t xml:space="preserve"> to ensure beneficiaries receive the same post-tax increase as other people on the same income.</w:t>
            </w:r>
          </w:p>
        </w:tc>
        <w:tc>
          <w:tcPr>
            <w:tcW w:w="1524" w:type="pct"/>
            <w:vMerge/>
            <w:shd w:val="clear" w:color="auto" w:fill="D0CECE" w:themeFill="background2" w:themeFillShade="E6"/>
            <w:tcMar>
              <w:top w:w="0" w:type="dxa"/>
              <w:left w:w="108" w:type="dxa"/>
              <w:bottom w:w="0" w:type="dxa"/>
              <w:right w:w="108" w:type="dxa"/>
            </w:tcMar>
          </w:tcPr>
          <w:p w14:paraId="73C40590" w14:textId="77777777" w:rsidR="00232643" w:rsidRPr="00C46970" w:rsidRDefault="00232643" w:rsidP="00342E14">
            <w:pPr>
              <w:widowControl w:val="0"/>
              <w:rPr>
                <w:rStyle w:val="CommentReference"/>
                <w:rFonts w:ascii="Arial" w:hAnsi="Arial" w:cs="Arial"/>
                <w:sz w:val="22"/>
                <w:szCs w:val="22"/>
                <w:highlight w:val="yellow"/>
              </w:rPr>
            </w:pPr>
          </w:p>
        </w:tc>
      </w:tr>
      <w:tr w:rsidR="00232643" w:rsidRPr="006D32A5" w14:paraId="083054A4" w14:textId="77777777" w:rsidTr="00583A61">
        <w:tc>
          <w:tcPr>
            <w:tcW w:w="276" w:type="pct"/>
            <w:gridSpan w:val="2"/>
            <w:shd w:val="clear" w:color="auto" w:fill="FFFFFF"/>
          </w:tcPr>
          <w:p w14:paraId="6CA3CB45" w14:textId="77777777" w:rsidR="00232643" w:rsidRPr="00C46970" w:rsidRDefault="00232643" w:rsidP="00342E14">
            <w:pPr>
              <w:widowControl w:val="0"/>
              <w:spacing w:line="280" w:lineRule="atLeast"/>
              <w:rPr>
                <w:rFonts w:ascii="Arial" w:hAnsi="Arial" w:cs="Arial"/>
              </w:rPr>
            </w:pPr>
            <w:r w:rsidRPr="00C46970">
              <w:rPr>
                <w:rFonts w:ascii="Arial" w:hAnsi="Arial" w:cs="Arial"/>
              </w:rPr>
              <w:t>51</w:t>
            </w:r>
          </w:p>
        </w:tc>
        <w:tc>
          <w:tcPr>
            <w:tcW w:w="3200" w:type="pct"/>
            <w:shd w:val="clear" w:color="auto" w:fill="FFFFFF"/>
            <w:tcMar>
              <w:top w:w="0" w:type="dxa"/>
              <w:left w:w="108" w:type="dxa"/>
              <w:bottom w:w="0" w:type="dxa"/>
              <w:right w:w="108" w:type="dxa"/>
            </w:tcMar>
          </w:tcPr>
          <w:p w14:paraId="62B9FD04" w14:textId="77777777" w:rsidR="00232643" w:rsidRPr="00C46970" w:rsidRDefault="00232643" w:rsidP="00342E14">
            <w:pPr>
              <w:widowControl w:val="0"/>
              <w:spacing w:line="280" w:lineRule="atLeast"/>
              <w:rPr>
                <w:rFonts w:ascii="Arial" w:hAnsi="Arial" w:cs="Arial"/>
              </w:rPr>
            </w:pPr>
            <w:r w:rsidRPr="00C46970">
              <w:rPr>
                <w:rFonts w:ascii="Arial" w:hAnsi="Arial" w:cs="Arial"/>
              </w:rPr>
              <w:t>Consider changes to tax rates and thresholds alongside any recommendations made by WEAG.</w:t>
            </w:r>
          </w:p>
        </w:tc>
        <w:tc>
          <w:tcPr>
            <w:tcW w:w="1524" w:type="pct"/>
            <w:vMerge/>
            <w:shd w:val="clear" w:color="auto" w:fill="D0CECE" w:themeFill="background2" w:themeFillShade="E6"/>
            <w:tcMar>
              <w:top w:w="0" w:type="dxa"/>
              <w:left w:w="108" w:type="dxa"/>
              <w:bottom w:w="0" w:type="dxa"/>
              <w:right w:w="108" w:type="dxa"/>
            </w:tcMar>
          </w:tcPr>
          <w:p w14:paraId="142C7279" w14:textId="77777777" w:rsidR="00232643" w:rsidRPr="00C46970" w:rsidRDefault="00232643" w:rsidP="00342E14">
            <w:pPr>
              <w:widowControl w:val="0"/>
              <w:rPr>
                <w:rStyle w:val="CommentReference"/>
                <w:rFonts w:ascii="Arial" w:hAnsi="Arial" w:cs="Arial"/>
                <w:sz w:val="22"/>
                <w:szCs w:val="22"/>
                <w:highlight w:val="yellow"/>
              </w:rPr>
            </w:pPr>
          </w:p>
        </w:tc>
      </w:tr>
      <w:tr w:rsidR="00DF0110" w:rsidRPr="006D32A5" w14:paraId="1A6BD6BF" w14:textId="77777777" w:rsidTr="00355A52">
        <w:tc>
          <w:tcPr>
            <w:tcW w:w="276" w:type="pct"/>
            <w:gridSpan w:val="2"/>
          </w:tcPr>
          <w:p w14:paraId="412BD266" w14:textId="77777777" w:rsidR="00DF0110" w:rsidRPr="00C46970" w:rsidRDefault="00DF0110" w:rsidP="00342E14">
            <w:pPr>
              <w:widowControl w:val="0"/>
              <w:spacing w:line="280" w:lineRule="atLeast"/>
              <w:rPr>
                <w:rFonts w:ascii="Arial" w:hAnsi="Arial" w:cs="Arial"/>
              </w:rPr>
            </w:pPr>
            <w:r w:rsidRPr="00C46970">
              <w:rPr>
                <w:rFonts w:ascii="Arial" w:hAnsi="Arial" w:cs="Arial"/>
              </w:rPr>
              <w:t>52</w:t>
            </w:r>
          </w:p>
        </w:tc>
        <w:tc>
          <w:tcPr>
            <w:tcW w:w="3200" w:type="pct"/>
            <w:shd w:val="clear" w:color="auto" w:fill="auto"/>
            <w:tcMar>
              <w:top w:w="0" w:type="dxa"/>
              <w:left w:w="108" w:type="dxa"/>
              <w:bottom w:w="0" w:type="dxa"/>
              <w:right w:w="108" w:type="dxa"/>
            </w:tcMar>
          </w:tcPr>
          <w:p w14:paraId="49335D15" w14:textId="77777777" w:rsidR="00DF0110" w:rsidRPr="00C46970" w:rsidRDefault="00D10F46" w:rsidP="00342E14">
            <w:pPr>
              <w:widowControl w:val="0"/>
              <w:spacing w:line="280" w:lineRule="atLeast"/>
              <w:rPr>
                <w:rFonts w:ascii="Arial" w:hAnsi="Arial" w:cs="Arial"/>
              </w:rPr>
            </w:pPr>
            <w:r>
              <w:rPr>
                <w:rFonts w:ascii="Arial" w:hAnsi="Arial" w:cs="Arial"/>
              </w:rPr>
              <w:t>D</w:t>
            </w:r>
            <w:r w:rsidR="006E7C29">
              <w:rPr>
                <w:rFonts w:ascii="Arial" w:hAnsi="Arial" w:cs="Arial"/>
              </w:rPr>
              <w:t>o</w:t>
            </w:r>
            <w:r>
              <w:rPr>
                <w:rFonts w:ascii="Arial" w:hAnsi="Arial" w:cs="Arial"/>
              </w:rPr>
              <w:t xml:space="preserve"> n</w:t>
            </w:r>
            <w:r w:rsidR="00DF0110" w:rsidRPr="00C46970">
              <w:rPr>
                <w:rFonts w:ascii="Arial" w:hAnsi="Arial" w:cs="Arial"/>
              </w:rPr>
              <w:t>o</w:t>
            </w:r>
            <w:r>
              <w:rPr>
                <w:rFonts w:ascii="Arial" w:hAnsi="Arial" w:cs="Arial"/>
              </w:rPr>
              <w:t>t</w:t>
            </w:r>
            <w:r w:rsidR="00DF0110" w:rsidRPr="00C46970">
              <w:rPr>
                <w:rFonts w:ascii="Arial" w:hAnsi="Arial" w:cs="Arial"/>
              </w:rPr>
              <w:t xml:space="preserve"> reduc</w:t>
            </w:r>
            <w:r>
              <w:rPr>
                <w:rFonts w:ascii="Arial" w:hAnsi="Arial" w:cs="Arial"/>
              </w:rPr>
              <w:t>e</w:t>
            </w:r>
            <w:r w:rsidR="00DF0110" w:rsidRPr="00C46970">
              <w:rPr>
                <w:rFonts w:ascii="Arial" w:hAnsi="Arial" w:cs="Arial"/>
              </w:rPr>
              <w:t xml:space="preserve"> the top marginal tax rate because it is already low by international standards and it would not increase progressivity of the tax system.</w:t>
            </w:r>
          </w:p>
        </w:tc>
        <w:tc>
          <w:tcPr>
            <w:tcW w:w="1524" w:type="pct"/>
            <w:shd w:val="clear" w:color="auto" w:fill="70AD47" w:themeFill="accent6"/>
            <w:tcMar>
              <w:top w:w="0" w:type="dxa"/>
              <w:left w:w="108" w:type="dxa"/>
              <w:bottom w:w="0" w:type="dxa"/>
              <w:right w:w="108" w:type="dxa"/>
            </w:tcMar>
          </w:tcPr>
          <w:p w14:paraId="5286DA26" w14:textId="77777777" w:rsidR="00DF0110" w:rsidRPr="00093B5A" w:rsidRDefault="00355A52" w:rsidP="00342E14">
            <w:pPr>
              <w:widowControl w:val="0"/>
              <w:rPr>
                <w:rStyle w:val="CommentReference"/>
                <w:rFonts w:ascii="Arial" w:hAnsi="Arial" w:cs="Arial"/>
                <w:b/>
                <w:sz w:val="22"/>
                <w:szCs w:val="22"/>
              </w:rPr>
            </w:pPr>
            <w:r w:rsidRPr="00093B5A">
              <w:rPr>
                <w:rFonts w:ascii="Arial" w:hAnsi="Arial" w:cs="Arial"/>
                <w:b/>
              </w:rPr>
              <w:t>Endorse the TWG recommendation</w:t>
            </w:r>
          </w:p>
        </w:tc>
      </w:tr>
      <w:tr w:rsidR="00DF0110" w:rsidRPr="006D32A5" w14:paraId="37315A05" w14:textId="77777777" w:rsidTr="00355A52">
        <w:tc>
          <w:tcPr>
            <w:tcW w:w="276" w:type="pct"/>
            <w:gridSpan w:val="2"/>
          </w:tcPr>
          <w:p w14:paraId="361A294A" w14:textId="77777777" w:rsidR="00DF0110" w:rsidRPr="00C46970" w:rsidRDefault="00DF0110" w:rsidP="00342E14">
            <w:pPr>
              <w:widowControl w:val="0"/>
              <w:spacing w:line="280" w:lineRule="atLeast"/>
              <w:rPr>
                <w:rFonts w:ascii="Arial" w:hAnsi="Arial" w:cs="Arial"/>
              </w:rPr>
            </w:pPr>
            <w:r w:rsidRPr="00C46970">
              <w:rPr>
                <w:rFonts w:ascii="Arial" w:hAnsi="Arial" w:cs="Arial"/>
              </w:rPr>
              <w:t>53</w:t>
            </w:r>
          </w:p>
        </w:tc>
        <w:tc>
          <w:tcPr>
            <w:tcW w:w="3200" w:type="pct"/>
            <w:shd w:val="clear" w:color="auto" w:fill="auto"/>
            <w:tcMar>
              <w:top w:w="0" w:type="dxa"/>
              <w:left w:w="108" w:type="dxa"/>
              <w:bottom w:w="0" w:type="dxa"/>
              <w:right w:w="108" w:type="dxa"/>
            </w:tcMar>
          </w:tcPr>
          <w:p w14:paraId="24AED5CC"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TWG notes that many submissions called for increasing tax personal tax rates to make a material reduction in income equality through the personal tax system.  These increases are precluded by the TWG’s Terms of reference and the TWG did not undertake an analysis of the options (and their effectiveness).  </w:t>
            </w:r>
          </w:p>
        </w:tc>
        <w:tc>
          <w:tcPr>
            <w:tcW w:w="1524" w:type="pct"/>
            <w:shd w:val="clear" w:color="auto" w:fill="70AD47" w:themeFill="accent6"/>
            <w:tcMar>
              <w:top w:w="0" w:type="dxa"/>
              <w:left w:w="108" w:type="dxa"/>
              <w:bottom w:w="0" w:type="dxa"/>
              <w:right w:w="108" w:type="dxa"/>
            </w:tcMar>
          </w:tcPr>
          <w:p w14:paraId="624CCBBF" w14:textId="77777777" w:rsidR="00DF0110" w:rsidRPr="00093B5A" w:rsidRDefault="00355A52" w:rsidP="00342E14">
            <w:pPr>
              <w:widowControl w:val="0"/>
              <w:rPr>
                <w:rStyle w:val="CommentReference"/>
                <w:rFonts w:ascii="Arial" w:hAnsi="Arial" w:cs="Arial"/>
                <w:b/>
                <w:sz w:val="22"/>
                <w:szCs w:val="22"/>
              </w:rPr>
            </w:pPr>
            <w:r w:rsidRPr="00093B5A">
              <w:rPr>
                <w:rFonts w:ascii="Arial" w:hAnsi="Arial" w:cs="Arial"/>
                <w:b/>
              </w:rPr>
              <w:t>Endorse the TWG recommendation</w:t>
            </w:r>
          </w:p>
        </w:tc>
      </w:tr>
      <w:tr w:rsidR="00342E14" w:rsidRPr="006D32A5" w14:paraId="5D4F111A" w14:textId="77777777" w:rsidTr="00DF0110">
        <w:trPr>
          <w:trHeight w:val="317"/>
        </w:trPr>
        <w:tc>
          <w:tcPr>
            <w:tcW w:w="5000" w:type="pct"/>
            <w:gridSpan w:val="4"/>
            <w:shd w:val="clear" w:color="auto" w:fill="000000" w:themeFill="text1"/>
            <w:vAlign w:val="center"/>
          </w:tcPr>
          <w:p w14:paraId="7B57406A" w14:textId="77777777" w:rsidR="00342E14" w:rsidRPr="00C46970" w:rsidRDefault="00342E14" w:rsidP="00342E14">
            <w:pPr>
              <w:widowControl w:val="0"/>
              <w:ind w:left="94"/>
              <w:rPr>
                <w:rStyle w:val="CommentReference"/>
                <w:rFonts w:ascii="Arial" w:hAnsi="Arial" w:cs="Arial"/>
                <w:color w:val="FFFFFF" w:themeColor="background1"/>
                <w:sz w:val="22"/>
                <w:szCs w:val="22"/>
                <w:highlight w:val="yellow"/>
              </w:rPr>
            </w:pPr>
            <w:r w:rsidRPr="00C46970">
              <w:rPr>
                <w:rFonts w:ascii="Arial" w:hAnsi="Arial" w:cs="Arial"/>
                <w:b/>
                <w:color w:val="FFFFFF" w:themeColor="background1"/>
              </w:rPr>
              <w:t>Future of work</w:t>
            </w:r>
          </w:p>
        </w:tc>
      </w:tr>
      <w:tr w:rsidR="00DF0110" w:rsidRPr="006D32A5" w14:paraId="34F1547C" w14:textId="77777777" w:rsidTr="00355A52">
        <w:tc>
          <w:tcPr>
            <w:tcW w:w="276" w:type="pct"/>
            <w:gridSpan w:val="2"/>
            <w:shd w:val="clear" w:color="auto" w:fill="FFFFFF"/>
          </w:tcPr>
          <w:p w14:paraId="3D4FF02E" w14:textId="77777777" w:rsidR="00DF0110" w:rsidRPr="00C46970" w:rsidRDefault="00DF0110" w:rsidP="00342E14">
            <w:pPr>
              <w:widowControl w:val="0"/>
              <w:spacing w:line="280" w:lineRule="atLeast"/>
              <w:rPr>
                <w:rFonts w:ascii="Arial" w:hAnsi="Arial" w:cs="Arial"/>
              </w:rPr>
            </w:pPr>
            <w:r w:rsidRPr="00C46970">
              <w:rPr>
                <w:rFonts w:ascii="Arial" w:hAnsi="Arial" w:cs="Arial"/>
              </w:rPr>
              <w:t>54</w:t>
            </w:r>
          </w:p>
        </w:tc>
        <w:tc>
          <w:tcPr>
            <w:tcW w:w="3200" w:type="pct"/>
            <w:shd w:val="clear" w:color="auto" w:fill="FFFFFF"/>
            <w:tcMar>
              <w:top w:w="0" w:type="dxa"/>
              <w:left w:w="108" w:type="dxa"/>
              <w:bottom w:w="0" w:type="dxa"/>
              <w:right w:w="108" w:type="dxa"/>
            </w:tcMar>
          </w:tcPr>
          <w:p w14:paraId="3EBDF778" w14:textId="77777777" w:rsidR="00DF0110" w:rsidRPr="00C46970" w:rsidRDefault="00DF0110">
            <w:pPr>
              <w:widowControl w:val="0"/>
              <w:spacing w:line="280" w:lineRule="atLeast"/>
              <w:rPr>
                <w:rFonts w:ascii="Arial" w:hAnsi="Arial" w:cs="Arial"/>
              </w:rPr>
            </w:pPr>
            <w:r w:rsidRPr="00C46970">
              <w:rPr>
                <w:rFonts w:ascii="Arial" w:hAnsi="Arial" w:cs="Arial"/>
              </w:rPr>
              <w:t>Support Inland Revenue’s efforts to increase the compliance of the self-employed, particularly expanding the use of withholding tax as far as practicable, including to platform providers.</w:t>
            </w:r>
          </w:p>
        </w:tc>
        <w:tc>
          <w:tcPr>
            <w:tcW w:w="1524" w:type="pct"/>
            <w:shd w:val="clear" w:color="auto" w:fill="5B9BD5" w:themeFill="accent1"/>
            <w:tcMar>
              <w:top w:w="0" w:type="dxa"/>
              <w:left w:w="108" w:type="dxa"/>
              <w:bottom w:w="0" w:type="dxa"/>
              <w:right w:w="108" w:type="dxa"/>
            </w:tcMar>
          </w:tcPr>
          <w:p w14:paraId="18CB7982" w14:textId="1FC4CAC0" w:rsidR="00093B5A" w:rsidRPr="00093B5A" w:rsidRDefault="00286F5C" w:rsidP="00093B5A">
            <w:pPr>
              <w:widowControl w:val="0"/>
              <w:spacing w:line="280" w:lineRule="atLeast"/>
              <w:rPr>
                <w:rFonts w:ascii="Arial" w:hAnsi="Arial" w:cs="Arial"/>
              </w:rPr>
            </w:pPr>
            <w:r>
              <w:rPr>
                <w:rFonts w:ascii="Arial" w:hAnsi="Arial" w:cs="Arial"/>
                <w:b/>
              </w:rPr>
              <w:t>Note w</w:t>
            </w:r>
            <w:r w:rsidR="00355A52" w:rsidRPr="00093B5A">
              <w:rPr>
                <w:rFonts w:ascii="Arial" w:hAnsi="Arial" w:cs="Arial"/>
                <w:b/>
              </w:rPr>
              <w:t xml:space="preserve">ork </w:t>
            </w:r>
            <w:r>
              <w:rPr>
                <w:rFonts w:ascii="Arial" w:hAnsi="Arial" w:cs="Arial"/>
                <w:b/>
              </w:rPr>
              <w:t xml:space="preserve">already </w:t>
            </w:r>
            <w:r w:rsidR="00355A52" w:rsidRPr="00093B5A">
              <w:rPr>
                <w:rFonts w:ascii="Arial" w:hAnsi="Arial" w:cs="Arial"/>
                <w:b/>
              </w:rPr>
              <w:t>underway</w:t>
            </w:r>
            <w:r w:rsidR="000C1797">
              <w:rPr>
                <w:rFonts w:ascii="Arial" w:hAnsi="Arial" w:cs="Arial"/>
              </w:rPr>
              <w:t xml:space="preserve"> – </w:t>
            </w:r>
            <w:r w:rsidR="00093B5A" w:rsidRPr="00093B5A">
              <w:rPr>
                <w:rFonts w:ascii="Arial" w:hAnsi="Arial" w:cs="Arial"/>
              </w:rPr>
              <w:t>additional operational funding</w:t>
            </w:r>
            <w:r w:rsidR="00896E06">
              <w:rPr>
                <w:rFonts w:ascii="Arial" w:hAnsi="Arial" w:cs="Arial"/>
              </w:rPr>
              <w:t xml:space="preserve"> for Inland Revenue</w:t>
            </w:r>
            <w:r w:rsidR="00093B5A" w:rsidRPr="00093B5A">
              <w:rPr>
                <w:rFonts w:ascii="Arial" w:hAnsi="Arial" w:cs="Arial"/>
              </w:rPr>
              <w:t xml:space="preserve"> </w:t>
            </w:r>
            <w:r w:rsidR="00093B5A">
              <w:rPr>
                <w:rFonts w:ascii="Arial" w:hAnsi="Arial" w:cs="Arial"/>
              </w:rPr>
              <w:t xml:space="preserve">is </w:t>
            </w:r>
            <w:r w:rsidR="00093B5A" w:rsidRPr="00093B5A">
              <w:rPr>
                <w:rFonts w:ascii="Arial" w:hAnsi="Arial" w:cs="Arial"/>
              </w:rPr>
              <w:t>being put towards increasing investigations capability, public awareness campaigns,</w:t>
            </w:r>
            <w:r w:rsidR="00B829E4">
              <w:rPr>
                <w:rFonts w:ascii="Arial" w:hAnsi="Arial" w:cs="Arial"/>
              </w:rPr>
              <w:t xml:space="preserve"> and new policy initiatives.</w:t>
            </w:r>
            <w:r w:rsidR="00093B5A" w:rsidRPr="00093B5A">
              <w:rPr>
                <w:rFonts w:ascii="Arial" w:hAnsi="Arial" w:cs="Arial"/>
              </w:rPr>
              <w:t xml:space="preserve"> </w:t>
            </w:r>
          </w:p>
          <w:p w14:paraId="51012B92" w14:textId="501DA28A" w:rsidR="00093B5A" w:rsidRPr="00C46970" w:rsidRDefault="00B829E4" w:rsidP="00FA43D8">
            <w:pPr>
              <w:widowControl w:val="0"/>
              <w:spacing w:line="280" w:lineRule="atLeast"/>
              <w:rPr>
                <w:rFonts w:ascii="Arial" w:hAnsi="Arial" w:cs="Arial"/>
              </w:rPr>
            </w:pPr>
            <w:r>
              <w:rPr>
                <w:rFonts w:ascii="Arial" w:hAnsi="Arial" w:cs="Arial"/>
              </w:rPr>
              <w:t>Inland Revenue o</w:t>
            </w:r>
            <w:r w:rsidR="00093B5A" w:rsidRPr="00093B5A">
              <w:rPr>
                <w:rFonts w:ascii="Arial" w:hAnsi="Arial" w:cs="Arial"/>
              </w:rPr>
              <w:t xml:space="preserve">fficials </w:t>
            </w:r>
            <w:r w:rsidR="00093B5A">
              <w:rPr>
                <w:rFonts w:ascii="Arial" w:hAnsi="Arial" w:cs="Arial"/>
              </w:rPr>
              <w:t xml:space="preserve">are </w:t>
            </w:r>
            <w:r w:rsidR="00093B5A" w:rsidRPr="00093B5A">
              <w:rPr>
                <w:rFonts w:ascii="Arial" w:hAnsi="Arial" w:cs="Arial"/>
              </w:rPr>
              <w:t xml:space="preserve">undertaking targeted consultation on a number of proposals to expand the scope of the Schedular Payments rules and address non-compliance of self-employed workers.  </w:t>
            </w:r>
            <w:r w:rsidR="00FA43D8">
              <w:rPr>
                <w:rFonts w:ascii="Arial" w:hAnsi="Arial" w:cs="Arial"/>
              </w:rPr>
              <w:t xml:space="preserve">An </w:t>
            </w:r>
            <w:r w:rsidR="00093B5A" w:rsidRPr="00093B5A">
              <w:rPr>
                <w:rFonts w:ascii="Arial" w:hAnsi="Arial" w:cs="Arial"/>
              </w:rPr>
              <w:t xml:space="preserve">update on this work </w:t>
            </w:r>
            <w:r w:rsidR="00FA43D8">
              <w:rPr>
                <w:rFonts w:ascii="Arial" w:hAnsi="Arial" w:cs="Arial"/>
              </w:rPr>
              <w:t xml:space="preserve">will be provided </w:t>
            </w:r>
            <w:r w:rsidR="00093B5A" w:rsidRPr="00093B5A">
              <w:rPr>
                <w:rFonts w:ascii="Arial" w:hAnsi="Arial" w:cs="Arial"/>
              </w:rPr>
              <w:t>in the second half of 2019.</w:t>
            </w:r>
          </w:p>
        </w:tc>
      </w:tr>
      <w:tr w:rsidR="00DF0110" w:rsidRPr="006D32A5" w14:paraId="5BEBA3D2" w14:textId="77777777" w:rsidTr="00355A52">
        <w:tc>
          <w:tcPr>
            <w:tcW w:w="276" w:type="pct"/>
            <w:gridSpan w:val="2"/>
            <w:shd w:val="clear" w:color="auto" w:fill="FFFFFF"/>
          </w:tcPr>
          <w:p w14:paraId="2942E7B9" w14:textId="77777777" w:rsidR="00DF0110" w:rsidRPr="00C46970" w:rsidRDefault="00DF0110" w:rsidP="00342E14">
            <w:pPr>
              <w:widowControl w:val="0"/>
              <w:spacing w:line="280" w:lineRule="atLeast"/>
              <w:rPr>
                <w:rFonts w:ascii="Arial" w:hAnsi="Arial" w:cs="Arial"/>
              </w:rPr>
            </w:pPr>
            <w:r w:rsidRPr="00C46970">
              <w:rPr>
                <w:rFonts w:ascii="Arial" w:hAnsi="Arial" w:cs="Arial"/>
              </w:rPr>
              <w:t>55</w:t>
            </w:r>
          </w:p>
        </w:tc>
        <w:tc>
          <w:tcPr>
            <w:tcW w:w="3200" w:type="pct"/>
            <w:shd w:val="clear" w:color="auto" w:fill="FFFFFF"/>
            <w:tcMar>
              <w:top w:w="0" w:type="dxa"/>
              <w:left w:w="108" w:type="dxa"/>
              <w:bottom w:w="0" w:type="dxa"/>
              <w:right w:w="108" w:type="dxa"/>
            </w:tcMar>
          </w:tcPr>
          <w:p w14:paraId="06C07369"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Support the facilitation of technology platforms to assist the self-employed meet their tax obligations through the use of ‘smart accounts’ or other </w:t>
            </w:r>
            <w:proofErr w:type="gramStart"/>
            <w:r w:rsidRPr="00C46970">
              <w:rPr>
                <w:rFonts w:ascii="Arial" w:hAnsi="Arial" w:cs="Arial"/>
              </w:rPr>
              <w:t>technology based</w:t>
            </w:r>
            <w:proofErr w:type="gramEnd"/>
            <w:r w:rsidRPr="00C46970">
              <w:rPr>
                <w:rFonts w:ascii="Arial" w:hAnsi="Arial" w:cs="Arial"/>
              </w:rPr>
              <w:t xml:space="preserve"> solutions.</w:t>
            </w:r>
          </w:p>
        </w:tc>
        <w:tc>
          <w:tcPr>
            <w:tcW w:w="1524" w:type="pct"/>
            <w:shd w:val="clear" w:color="auto" w:fill="5B9BD5" w:themeFill="accent1"/>
            <w:tcMar>
              <w:top w:w="0" w:type="dxa"/>
              <w:left w:w="108" w:type="dxa"/>
              <w:bottom w:w="0" w:type="dxa"/>
              <w:right w:w="108" w:type="dxa"/>
            </w:tcMar>
          </w:tcPr>
          <w:p w14:paraId="20183666" w14:textId="77777777" w:rsidR="00DF0110" w:rsidRPr="00C46970" w:rsidRDefault="00286F5C" w:rsidP="00342E14">
            <w:pPr>
              <w:widowControl w:val="0"/>
              <w:rPr>
                <w:rFonts w:ascii="Arial" w:hAnsi="Arial" w:cs="Arial"/>
              </w:rPr>
            </w:pPr>
            <w:r>
              <w:rPr>
                <w:rFonts w:ascii="Arial" w:hAnsi="Arial" w:cs="Arial"/>
                <w:b/>
              </w:rPr>
              <w:t>Note w</w:t>
            </w:r>
            <w:r w:rsidRPr="00093B5A">
              <w:rPr>
                <w:rFonts w:ascii="Arial" w:hAnsi="Arial" w:cs="Arial"/>
                <w:b/>
              </w:rPr>
              <w:t xml:space="preserve">ork </w:t>
            </w:r>
            <w:r>
              <w:rPr>
                <w:rFonts w:ascii="Arial" w:hAnsi="Arial" w:cs="Arial"/>
                <w:b/>
              </w:rPr>
              <w:t xml:space="preserve">already </w:t>
            </w:r>
            <w:r w:rsidRPr="00093B5A">
              <w:rPr>
                <w:rFonts w:ascii="Arial" w:hAnsi="Arial" w:cs="Arial"/>
                <w:b/>
              </w:rPr>
              <w:t>underway</w:t>
            </w:r>
            <w:r>
              <w:rPr>
                <w:rFonts w:ascii="Arial" w:hAnsi="Arial" w:cs="Arial"/>
              </w:rPr>
              <w:t xml:space="preserve"> </w:t>
            </w:r>
            <w:r w:rsidR="000C1797">
              <w:rPr>
                <w:rFonts w:ascii="Arial" w:hAnsi="Arial" w:cs="Arial"/>
              </w:rPr>
              <w:t>–</w:t>
            </w:r>
            <w:r w:rsidR="00093B5A">
              <w:rPr>
                <w:rFonts w:ascii="Arial" w:hAnsi="Arial" w:cs="Arial"/>
              </w:rPr>
              <w:t xml:space="preserve"> as above</w:t>
            </w:r>
          </w:p>
        </w:tc>
      </w:tr>
      <w:tr w:rsidR="00DF0110" w:rsidRPr="006D32A5" w14:paraId="01C5615C" w14:textId="77777777" w:rsidTr="00355A52">
        <w:tc>
          <w:tcPr>
            <w:tcW w:w="276" w:type="pct"/>
            <w:gridSpan w:val="2"/>
            <w:shd w:val="clear" w:color="auto" w:fill="FFFFFF"/>
          </w:tcPr>
          <w:p w14:paraId="79F8950A" w14:textId="77777777" w:rsidR="00DF0110" w:rsidRPr="00C46970" w:rsidRDefault="00DF0110" w:rsidP="00342E14">
            <w:pPr>
              <w:widowControl w:val="0"/>
              <w:spacing w:line="280" w:lineRule="atLeast"/>
              <w:rPr>
                <w:rFonts w:ascii="Arial" w:hAnsi="Arial" w:cs="Arial"/>
              </w:rPr>
            </w:pPr>
            <w:r w:rsidRPr="00C46970">
              <w:rPr>
                <w:rFonts w:ascii="Arial" w:hAnsi="Arial" w:cs="Arial"/>
              </w:rPr>
              <w:t>56</w:t>
            </w:r>
          </w:p>
        </w:tc>
        <w:tc>
          <w:tcPr>
            <w:tcW w:w="3200" w:type="pct"/>
            <w:shd w:val="clear" w:color="auto" w:fill="FFFFFF"/>
            <w:tcMar>
              <w:top w:w="0" w:type="dxa"/>
              <w:left w:w="108" w:type="dxa"/>
              <w:bottom w:w="0" w:type="dxa"/>
              <w:right w:w="108" w:type="dxa"/>
            </w:tcMar>
          </w:tcPr>
          <w:p w14:paraId="507A9419"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Continue (through Inland Revenue’s current work) to use data analytics and matching information </w:t>
            </w:r>
            <w:r w:rsidR="00D10F46">
              <w:rPr>
                <w:rFonts w:ascii="Arial" w:hAnsi="Arial" w:cs="Arial"/>
              </w:rPr>
              <w:t>for</w:t>
            </w:r>
            <w:r w:rsidRPr="00C46970">
              <w:rPr>
                <w:rFonts w:ascii="Arial" w:hAnsi="Arial" w:cs="Arial"/>
              </w:rPr>
              <w:t xml:space="preserve"> specific taxpayers to identify underreporting of income.</w:t>
            </w:r>
          </w:p>
        </w:tc>
        <w:tc>
          <w:tcPr>
            <w:tcW w:w="1524" w:type="pct"/>
            <w:shd w:val="clear" w:color="auto" w:fill="5B9BD5" w:themeFill="accent1"/>
            <w:tcMar>
              <w:top w:w="0" w:type="dxa"/>
              <w:left w:w="108" w:type="dxa"/>
              <w:bottom w:w="0" w:type="dxa"/>
              <w:right w:w="108" w:type="dxa"/>
            </w:tcMar>
          </w:tcPr>
          <w:p w14:paraId="0990597A" w14:textId="77777777" w:rsidR="00DF0110" w:rsidRPr="00C46970" w:rsidRDefault="00286F5C" w:rsidP="00342E14">
            <w:pPr>
              <w:widowControl w:val="0"/>
              <w:rPr>
                <w:rFonts w:ascii="Arial" w:hAnsi="Arial" w:cs="Arial"/>
              </w:rPr>
            </w:pPr>
            <w:r>
              <w:rPr>
                <w:rFonts w:ascii="Arial" w:hAnsi="Arial" w:cs="Arial"/>
                <w:b/>
              </w:rPr>
              <w:t>Note w</w:t>
            </w:r>
            <w:r w:rsidRPr="00093B5A">
              <w:rPr>
                <w:rFonts w:ascii="Arial" w:hAnsi="Arial" w:cs="Arial"/>
                <w:b/>
              </w:rPr>
              <w:t xml:space="preserve">ork </w:t>
            </w:r>
            <w:r>
              <w:rPr>
                <w:rFonts w:ascii="Arial" w:hAnsi="Arial" w:cs="Arial"/>
                <w:b/>
              </w:rPr>
              <w:t xml:space="preserve">already </w:t>
            </w:r>
            <w:r w:rsidRPr="00093B5A">
              <w:rPr>
                <w:rFonts w:ascii="Arial" w:hAnsi="Arial" w:cs="Arial"/>
                <w:b/>
              </w:rPr>
              <w:t>underway</w:t>
            </w:r>
            <w:r>
              <w:rPr>
                <w:rFonts w:ascii="Arial" w:hAnsi="Arial" w:cs="Arial"/>
              </w:rPr>
              <w:t xml:space="preserve"> </w:t>
            </w:r>
            <w:r w:rsidR="000C1797">
              <w:rPr>
                <w:rFonts w:ascii="Arial" w:hAnsi="Arial" w:cs="Arial"/>
              </w:rPr>
              <w:t>–</w:t>
            </w:r>
            <w:r w:rsidR="00093B5A">
              <w:rPr>
                <w:rFonts w:ascii="Arial" w:hAnsi="Arial" w:cs="Arial"/>
              </w:rPr>
              <w:t xml:space="preserve"> as above</w:t>
            </w:r>
          </w:p>
        </w:tc>
      </w:tr>
      <w:tr w:rsidR="00DF0110" w:rsidRPr="006D32A5" w14:paraId="51B96214" w14:textId="77777777" w:rsidTr="00355A52">
        <w:tc>
          <w:tcPr>
            <w:tcW w:w="276" w:type="pct"/>
            <w:gridSpan w:val="2"/>
            <w:shd w:val="clear" w:color="auto" w:fill="FFFFFF"/>
          </w:tcPr>
          <w:p w14:paraId="0C34B734" w14:textId="77777777" w:rsidR="00DF0110" w:rsidRPr="00C46970" w:rsidRDefault="00DF0110" w:rsidP="00342E14">
            <w:pPr>
              <w:widowControl w:val="0"/>
              <w:spacing w:line="280" w:lineRule="atLeast"/>
              <w:rPr>
                <w:rFonts w:ascii="Arial" w:hAnsi="Arial" w:cs="Arial"/>
              </w:rPr>
            </w:pPr>
            <w:r w:rsidRPr="00C46970">
              <w:rPr>
                <w:rFonts w:ascii="Arial" w:hAnsi="Arial" w:cs="Arial"/>
              </w:rPr>
              <w:t>57</w:t>
            </w:r>
          </w:p>
        </w:tc>
        <w:tc>
          <w:tcPr>
            <w:tcW w:w="3200" w:type="pct"/>
            <w:shd w:val="clear" w:color="auto" w:fill="FFFFFF"/>
            <w:tcMar>
              <w:top w:w="0" w:type="dxa"/>
              <w:left w:w="108" w:type="dxa"/>
              <w:bottom w:w="0" w:type="dxa"/>
              <w:right w:w="108" w:type="dxa"/>
            </w:tcMar>
          </w:tcPr>
          <w:p w14:paraId="5D6502E2" w14:textId="77777777" w:rsidR="00DF0110" w:rsidRPr="00C46970" w:rsidRDefault="00DF0110" w:rsidP="00342E14">
            <w:pPr>
              <w:widowControl w:val="0"/>
              <w:spacing w:line="280" w:lineRule="atLeast"/>
              <w:rPr>
                <w:rFonts w:ascii="Arial" w:hAnsi="Arial" w:cs="Arial"/>
              </w:rPr>
            </w:pPr>
            <w:r w:rsidRPr="00C46970">
              <w:rPr>
                <w:rFonts w:ascii="Arial" w:hAnsi="Arial" w:cs="Arial"/>
              </w:rPr>
              <w:t>Review the current GST requirements for contractors who are akin to employees.</w:t>
            </w:r>
          </w:p>
        </w:tc>
        <w:tc>
          <w:tcPr>
            <w:tcW w:w="1524" w:type="pct"/>
            <w:shd w:val="clear" w:color="auto" w:fill="FFC000" w:themeFill="accent4"/>
            <w:tcMar>
              <w:top w:w="0" w:type="dxa"/>
              <w:left w:w="108" w:type="dxa"/>
              <w:bottom w:w="0" w:type="dxa"/>
              <w:right w:w="108" w:type="dxa"/>
            </w:tcMar>
          </w:tcPr>
          <w:p w14:paraId="072C8365"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61863931" w14:textId="77777777" w:rsidTr="00983A3B">
        <w:trPr>
          <w:trHeight w:val="60"/>
        </w:trPr>
        <w:tc>
          <w:tcPr>
            <w:tcW w:w="276" w:type="pct"/>
            <w:gridSpan w:val="2"/>
            <w:shd w:val="clear" w:color="auto" w:fill="FFFFFF"/>
          </w:tcPr>
          <w:p w14:paraId="4FF46F6F" w14:textId="77777777" w:rsidR="00DF0110" w:rsidRPr="00C46970" w:rsidRDefault="00DF0110" w:rsidP="00342E14">
            <w:pPr>
              <w:widowControl w:val="0"/>
              <w:spacing w:line="280" w:lineRule="atLeast"/>
              <w:rPr>
                <w:rFonts w:ascii="Arial" w:hAnsi="Arial" w:cs="Arial"/>
              </w:rPr>
            </w:pPr>
            <w:r w:rsidRPr="00C46970">
              <w:rPr>
                <w:rFonts w:ascii="Arial" w:hAnsi="Arial" w:cs="Arial"/>
              </w:rPr>
              <w:t>58</w:t>
            </w:r>
          </w:p>
        </w:tc>
        <w:tc>
          <w:tcPr>
            <w:tcW w:w="3200" w:type="pct"/>
            <w:shd w:val="clear" w:color="auto" w:fill="FFFFFF"/>
            <w:tcMar>
              <w:top w:w="0" w:type="dxa"/>
              <w:left w:w="108" w:type="dxa"/>
              <w:bottom w:w="0" w:type="dxa"/>
              <w:right w:w="108" w:type="dxa"/>
            </w:tcMar>
          </w:tcPr>
          <w:p w14:paraId="6F63CAD1" w14:textId="77777777" w:rsidR="00DF0110" w:rsidRPr="00C46970" w:rsidRDefault="00DF0110" w:rsidP="00342E14">
            <w:pPr>
              <w:widowControl w:val="0"/>
              <w:spacing w:line="280" w:lineRule="atLeast"/>
              <w:rPr>
                <w:rFonts w:ascii="Arial" w:hAnsi="Arial" w:cs="Arial"/>
              </w:rPr>
            </w:pPr>
            <w:r w:rsidRPr="00C46970">
              <w:rPr>
                <w:rFonts w:ascii="Arial" w:hAnsi="Arial" w:cs="Arial"/>
              </w:rPr>
              <w:t>Align the definition of employee and dependent contractor for tax and employment purposes.</w:t>
            </w:r>
          </w:p>
        </w:tc>
        <w:tc>
          <w:tcPr>
            <w:tcW w:w="1524" w:type="pct"/>
            <w:shd w:val="clear" w:color="auto" w:fill="5B9BD5" w:themeFill="accent1"/>
            <w:tcMar>
              <w:top w:w="0" w:type="dxa"/>
              <w:left w:w="108" w:type="dxa"/>
              <w:bottom w:w="0" w:type="dxa"/>
              <w:right w:w="108" w:type="dxa"/>
            </w:tcMar>
          </w:tcPr>
          <w:p w14:paraId="6268976E" w14:textId="77777777" w:rsidR="00DF0110" w:rsidRPr="00093B5A" w:rsidRDefault="00983A3B" w:rsidP="00342E14">
            <w:pPr>
              <w:widowControl w:val="0"/>
              <w:rPr>
                <w:rFonts w:ascii="Arial" w:hAnsi="Arial" w:cs="Arial"/>
                <w:b/>
              </w:rPr>
            </w:pPr>
            <w:r>
              <w:rPr>
                <w:rFonts w:ascii="Arial" w:hAnsi="Arial" w:cs="Arial"/>
                <w:b/>
              </w:rPr>
              <w:t>Note w</w:t>
            </w:r>
            <w:r w:rsidRPr="00093B5A">
              <w:rPr>
                <w:rFonts w:ascii="Arial" w:hAnsi="Arial" w:cs="Arial"/>
                <w:b/>
              </w:rPr>
              <w:t xml:space="preserve">ork </w:t>
            </w:r>
            <w:r>
              <w:rPr>
                <w:rFonts w:ascii="Arial" w:hAnsi="Arial" w:cs="Arial"/>
                <w:b/>
              </w:rPr>
              <w:t xml:space="preserve">already </w:t>
            </w:r>
            <w:r w:rsidRPr="00093B5A">
              <w:rPr>
                <w:rFonts w:ascii="Arial" w:hAnsi="Arial" w:cs="Arial"/>
                <w:b/>
              </w:rPr>
              <w:t>underway</w:t>
            </w:r>
            <w:r>
              <w:rPr>
                <w:rFonts w:ascii="Arial" w:hAnsi="Arial" w:cs="Arial"/>
              </w:rPr>
              <w:t xml:space="preserve"> – MBIE</w:t>
            </w:r>
          </w:p>
        </w:tc>
      </w:tr>
      <w:tr w:rsidR="00DF0110" w:rsidRPr="006D32A5" w14:paraId="5B05BA42" w14:textId="77777777" w:rsidTr="00355A52">
        <w:tc>
          <w:tcPr>
            <w:tcW w:w="276" w:type="pct"/>
            <w:gridSpan w:val="2"/>
            <w:shd w:val="clear" w:color="auto" w:fill="FFFFFF"/>
          </w:tcPr>
          <w:p w14:paraId="754CEBA8"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59</w:t>
            </w:r>
          </w:p>
        </w:tc>
        <w:tc>
          <w:tcPr>
            <w:tcW w:w="3200" w:type="pct"/>
            <w:shd w:val="clear" w:color="auto" w:fill="FFFFFF"/>
            <w:tcMar>
              <w:top w:w="0" w:type="dxa"/>
              <w:left w:w="108" w:type="dxa"/>
              <w:bottom w:w="0" w:type="dxa"/>
              <w:right w:w="108" w:type="dxa"/>
            </w:tcMar>
          </w:tcPr>
          <w:p w14:paraId="22F98A96"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Provide more support for childcare costs, with this support best provided outside the tax system.</w:t>
            </w:r>
          </w:p>
        </w:tc>
        <w:tc>
          <w:tcPr>
            <w:tcW w:w="1524" w:type="pct"/>
            <w:shd w:val="clear" w:color="auto" w:fill="FFC000" w:themeFill="accent4"/>
            <w:tcMar>
              <w:top w:w="0" w:type="dxa"/>
              <w:left w:w="108" w:type="dxa"/>
              <w:bottom w:w="0" w:type="dxa"/>
              <w:right w:w="108" w:type="dxa"/>
            </w:tcMar>
          </w:tcPr>
          <w:p w14:paraId="5A466E63" w14:textId="1BF16618" w:rsidR="00DF0110" w:rsidRPr="00093B5A" w:rsidRDefault="00CB5B61" w:rsidP="00C706BF">
            <w:pPr>
              <w:keepNext/>
              <w:widowControl w:val="0"/>
              <w:rPr>
                <w:rFonts w:ascii="Arial" w:hAnsi="Arial" w:cs="Arial"/>
                <w:b/>
              </w:rPr>
            </w:pPr>
            <w:r w:rsidRPr="008763CA">
              <w:rPr>
                <w:rFonts w:ascii="Arial" w:hAnsi="Arial" w:cs="Arial"/>
                <w:b/>
                <w:szCs w:val="24"/>
              </w:rPr>
              <w:t>Cross</w:t>
            </w:r>
            <w:r w:rsidR="0031006F">
              <w:rPr>
                <w:rFonts w:ascii="Arial" w:hAnsi="Arial" w:cs="Arial"/>
                <w:b/>
                <w:szCs w:val="24"/>
              </w:rPr>
              <w:t>-</w:t>
            </w:r>
            <w:r w:rsidRPr="008763CA">
              <w:rPr>
                <w:rFonts w:ascii="Arial" w:hAnsi="Arial" w:cs="Arial"/>
                <w:b/>
                <w:szCs w:val="24"/>
              </w:rPr>
              <w:t>agency advice should be sought.</w:t>
            </w:r>
          </w:p>
        </w:tc>
      </w:tr>
      <w:tr w:rsidR="00342E14" w:rsidRPr="006D32A5" w14:paraId="4C75BDC4" w14:textId="77777777" w:rsidTr="00DF0110">
        <w:trPr>
          <w:trHeight w:val="333"/>
        </w:trPr>
        <w:tc>
          <w:tcPr>
            <w:tcW w:w="5000" w:type="pct"/>
            <w:gridSpan w:val="4"/>
            <w:shd w:val="clear" w:color="auto" w:fill="000000" w:themeFill="text1"/>
            <w:vAlign w:val="center"/>
          </w:tcPr>
          <w:p w14:paraId="05C75E35" w14:textId="77777777" w:rsidR="00342E14" w:rsidRPr="00C46970" w:rsidRDefault="00342E14" w:rsidP="00342E14">
            <w:pPr>
              <w:widowControl w:val="0"/>
              <w:ind w:left="94"/>
              <w:rPr>
                <w:rFonts w:ascii="Arial" w:hAnsi="Arial" w:cs="Arial"/>
                <w:b/>
                <w:color w:val="FFFFFF" w:themeColor="background1"/>
              </w:rPr>
            </w:pPr>
            <w:r w:rsidRPr="00C46970">
              <w:rPr>
                <w:rFonts w:ascii="Arial" w:hAnsi="Arial" w:cs="Arial"/>
                <w:b/>
                <w:color w:val="FFFFFF" w:themeColor="background1"/>
              </w:rPr>
              <w:t xml:space="preserve">Integrity of the tax system </w:t>
            </w:r>
          </w:p>
        </w:tc>
      </w:tr>
      <w:tr w:rsidR="00DF0110" w:rsidRPr="006D32A5" w14:paraId="333E8388" w14:textId="77777777" w:rsidTr="00FC7786">
        <w:tc>
          <w:tcPr>
            <w:tcW w:w="276" w:type="pct"/>
            <w:gridSpan w:val="2"/>
            <w:shd w:val="clear" w:color="auto" w:fill="auto"/>
          </w:tcPr>
          <w:p w14:paraId="5BFDEFFA" w14:textId="77777777" w:rsidR="00DF0110" w:rsidRPr="00C46970" w:rsidRDefault="00DF0110" w:rsidP="00342E14">
            <w:pPr>
              <w:widowControl w:val="0"/>
              <w:spacing w:line="280" w:lineRule="atLeast"/>
              <w:rPr>
                <w:rFonts w:ascii="Arial" w:hAnsi="Arial" w:cs="Arial"/>
              </w:rPr>
            </w:pPr>
            <w:r w:rsidRPr="00C46970">
              <w:rPr>
                <w:rFonts w:ascii="Arial" w:hAnsi="Arial" w:cs="Arial"/>
              </w:rPr>
              <w:t>60</w:t>
            </w:r>
          </w:p>
        </w:tc>
        <w:tc>
          <w:tcPr>
            <w:tcW w:w="3200" w:type="pct"/>
            <w:shd w:val="clear" w:color="auto" w:fill="auto"/>
            <w:tcMar>
              <w:top w:w="0" w:type="dxa"/>
              <w:left w:w="108" w:type="dxa"/>
              <w:bottom w:w="0" w:type="dxa"/>
              <w:right w:w="108" w:type="dxa"/>
            </w:tcMar>
          </w:tcPr>
          <w:p w14:paraId="37EC399D" w14:textId="77777777" w:rsidR="00DF0110" w:rsidRPr="00C46970" w:rsidRDefault="00DF0110" w:rsidP="00342E14">
            <w:pPr>
              <w:widowControl w:val="0"/>
              <w:spacing w:line="280" w:lineRule="atLeast"/>
              <w:rPr>
                <w:rFonts w:ascii="Arial" w:hAnsi="Arial" w:cs="Arial"/>
                <w:b/>
              </w:rPr>
            </w:pPr>
            <w:r w:rsidRPr="00C46970">
              <w:rPr>
                <w:rFonts w:ascii="Arial" w:hAnsi="Arial" w:cs="Arial"/>
              </w:rPr>
              <w:t>A review of loss-trading, potentially in tandem with a review of the loss continuity rules for companies.</w:t>
            </w:r>
          </w:p>
        </w:tc>
        <w:tc>
          <w:tcPr>
            <w:tcW w:w="1524" w:type="pct"/>
            <w:shd w:val="clear" w:color="auto" w:fill="ED7D31" w:themeFill="accent2"/>
            <w:tcMar>
              <w:top w:w="0" w:type="dxa"/>
              <w:left w:w="108" w:type="dxa"/>
              <w:bottom w:w="0" w:type="dxa"/>
              <w:right w:w="108" w:type="dxa"/>
            </w:tcMar>
          </w:tcPr>
          <w:p w14:paraId="7C6B162C" w14:textId="77777777" w:rsidR="00DF0110" w:rsidRPr="00C46970" w:rsidRDefault="005271B8" w:rsidP="00342E14">
            <w:pPr>
              <w:widowControl w:val="0"/>
              <w:rPr>
                <w:rStyle w:val="CommentReference"/>
                <w:rFonts w:ascii="Arial" w:hAnsi="Arial" w:cs="Arial"/>
                <w:sz w:val="22"/>
                <w:szCs w:val="22"/>
                <w:highlight w:val="yellow"/>
              </w:rPr>
            </w:pPr>
            <w:r w:rsidRPr="00457A5C">
              <w:rPr>
                <w:rFonts w:ascii="Arial" w:hAnsi="Arial" w:cs="Arial"/>
                <w:b/>
              </w:rPr>
              <w:t xml:space="preserve">Consider </w:t>
            </w:r>
            <w:r>
              <w:rPr>
                <w:rFonts w:ascii="Arial" w:hAnsi="Arial" w:cs="Arial"/>
                <w:b/>
              </w:rPr>
              <w:t>as a high priority for</w:t>
            </w:r>
            <w:r w:rsidRPr="00457A5C">
              <w:rPr>
                <w:rFonts w:ascii="Arial" w:hAnsi="Arial" w:cs="Arial"/>
                <w:b/>
              </w:rPr>
              <w:t xml:space="preserve"> </w:t>
            </w:r>
            <w:r w:rsidR="00AF784A">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r w:rsidRPr="00030D8C">
              <w:rPr>
                <w:rFonts w:ascii="Arial" w:hAnsi="Arial" w:cs="Arial"/>
                <w:shd w:val="clear" w:color="auto" w:fill="ED7D31" w:themeFill="accent2"/>
              </w:rPr>
              <w:t>)</w:t>
            </w:r>
          </w:p>
        </w:tc>
      </w:tr>
      <w:tr w:rsidR="00DF0110" w:rsidRPr="00AF784A" w14:paraId="49A34074" w14:textId="77777777" w:rsidTr="00B42D4C">
        <w:tc>
          <w:tcPr>
            <w:tcW w:w="276" w:type="pct"/>
            <w:gridSpan w:val="2"/>
            <w:shd w:val="clear" w:color="auto" w:fill="FFFFFF"/>
          </w:tcPr>
          <w:p w14:paraId="0048C177" w14:textId="77777777" w:rsidR="00DF0110" w:rsidRPr="00C46970" w:rsidRDefault="00DF0110" w:rsidP="00342E14">
            <w:pPr>
              <w:widowControl w:val="0"/>
              <w:spacing w:line="280" w:lineRule="atLeast"/>
              <w:rPr>
                <w:rFonts w:ascii="Arial" w:hAnsi="Arial" w:cs="Arial"/>
              </w:rPr>
            </w:pPr>
            <w:r w:rsidRPr="00C46970">
              <w:rPr>
                <w:rFonts w:ascii="Arial" w:hAnsi="Arial" w:cs="Arial"/>
              </w:rPr>
              <w:t>61</w:t>
            </w:r>
          </w:p>
        </w:tc>
        <w:tc>
          <w:tcPr>
            <w:tcW w:w="3200" w:type="pct"/>
            <w:shd w:val="clear" w:color="auto" w:fill="FFFFFF"/>
            <w:tcMar>
              <w:top w:w="0" w:type="dxa"/>
              <w:left w:w="108" w:type="dxa"/>
              <w:bottom w:w="0" w:type="dxa"/>
              <w:right w:w="108" w:type="dxa"/>
            </w:tcMar>
          </w:tcPr>
          <w:p w14:paraId="0232A988"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Inland Revenue should have the ability to require a shareholder in a closely-held company to provide security to Inland Revenue if: </w:t>
            </w:r>
          </w:p>
          <w:p w14:paraId="6C9E7BD4" w14:textId="77777777" w:rsidR="00DF0110" w:rsidRPr="00C46970" w:rsidRDefault="00DF0110" w:rsidP="00D11C7B">
            <w:pPr>
              <w:pStyle w:val="ListParagraph"/>
              <w:widowControl w:val="0"/>
              <w:numPr>
                <w:ilvl w:val="0"/>
                <w:numId w:val="5"/>
              </w:numPr>
              <w:spacing w:after="0" w:line="280" w:lineRule="atLeast"/>
              <w:rPr>
                <w:rFonts w:ascii="Arial" w:hAnsi="Arial" w:cs="Arial"/>
              </w:rPr>
            </w:pPr>
            <w:r w:rsidRPr="00C46970">
              <w:rPr>
                <w:rFonts w:ascii="Arial" w:hAnsi="Arial" w:cs="Arial"/>
              </w:rPr>
              <w:t xml:space="preserve">The company owes a debt to Inland Revenue; and </w:t>
            </w:r>
          </w:p>
          <w:p w14:paraId="17016FCA" w14:textId="77777777" w:rsidR="00DF0110" w:rsidRPr="00C46970" w:rsidRDefault="00DF0110" w:rsidP="00D11C7B">
            <w:pPr>
              <w:pStyle w:val="ListParagraph"/>
              <w:widowControl w:val="0"/>
              <w:numPr>
                <w:ilvl w:val="0"/>
                <w:numId w:val="5"/>
              </w:numPr>
              <w:spacing w:after="0" w:line="280" w:lineRule="atLeast"/>
              <w:rPr>
                <w:rFonts w:ascii="Arial" w:hAnsi="Arial" w:cs="Arial"/>
              </w:rPr>
            </w:pPr>
            <w:r w:rsidRPr="00C46970">
              <w:rPr>
                <w:rFonts w:ascii="Arial" w:hAnsi="Arial" w:cs="Arial"/>
              </w:rPr>
              <w:t xml:space="preserve">The company is owed a debt by the shareholder; and </w:t>
            </w:r>
          </w:p>
          <w:p w14:paraId="2D2A4EB5" w14:textId="77777777" w:rsidR="00DF0110" w:rsidRPr="00C46970" w:rsidRDefault="00DF0110" w:rsidP="00D11C7B">
            <w:pPr>
              <w:pStyle w:val="ListParagraph"/>
              <w:widowControl w:val="0"/>
              <w:numPr>
                <w:ilvl w:val="0"/>
                <w:numId w:val="5"/>
              </w:numPr>
              <w:spacing w:after="0" w:line="280" w:lineRule="atLeast"/>
              <w:rPr>
                <w:rFonts w:ascii="Arial" w:hAnsi="Arial" w:cs="Arial"/>
              </w:rPr>
            </w:pPr>
            <w:r w:rsidRPr="00C46970">
              <w:rPr>
                <w:rFonts w:ascii="Arial" w:hAnsi="Arial" w:cs="Arial"/>
              </w:rPr>
              <w:t xml:space="preserve">There is doubt as to the ability/and or the intention of the shareholder to repay the debt. </w:t>
            </w:r>
          </w:p>
        </w:tc>
        <w:tc>
          <w:tcPr>
            <w:tcW w:w="1524" w:type="pct"/>
            <w:shd w:val="clear" w:color="auto" w:fill="ED7D31"/>
            <w:tcMar>
              <w:top w:w="0" w:type="dxa"/>
              <w:left w:w="108" w:type="dxa"/>
              <w:bottom w:w="0" w:type="dxa"/>
              <w:right w:w="108" w:type="dxa"/>
            </w:tcMar>
          </w:tcPr>
          <w:p w14:paraId="4B1A43AE" w14:textId="77777777" w:rsidR="00DF0110" w:rsidRPr="00093B5A" w:rsidRDefault="00457A5C" w:rsidP="00342E14">
            <w:pPr>
              <w:widowControl w:val="0"/>
              <w:rPr>
                <w:rFonts w:ascii="Arial" w:hAnsi="Arial" w:cs="Arial"/>
                <w:b/>
              </w:rPr>
            </w:pPr>
            <w:r w:rsidRPr="00457A5C">
              <w:rPr>
                <w:rFonts w:ascii="Arial" w:hAnsi="Arial" w:cs="Arial"/>
                <w:b/>
              </w:rPr>
              <w:t xml:space="preserve">Consider </w:t>
            </w:r>
            <w:r w:rsidR="00AF784A">
              <w:rPr>
                <w:rFonts w:ascii="Arial" w:hAnsi="Arial" w:cs="Arial"/>
                <w:b/>
              </w:rPr>
              <w:t xml:space="preserve">as a high priority </w:t>
            </w:r>
            <w:r w:rsidRPr="00457A5C">
              <w:rPr>
                <w:rFonts w:ascii="Arial" w:hAnsi="Arial" w:cs="Arial"/>
                <w:b/>
              </w:rPr>
              <w:t xml:space="preserve">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AF784A">
              <w:rPr>
                <w:rFonts w:ascii="Arial" w:hAnsi="Arial" w:cs="Arial"/>
              </w:rPr>
              <w:t>(TPWP)</w:t>
            </w:r>
          </w:p>
        </w:tc>
      </w:tr>
      <w:tr w:rsidR="00DF0110" w:rsidRPr="006D32A5" w14:paraId="4EEA18E7" w14:textId="77777777" w:rsidTr="00355A52">
        <w:tc>
          <w:tcPr>
            <w:tcW w:w="276" w:type="pct"/>
            <w:gridSpan w:val="2"/>
            <w:shd w:val="clear" w:color="auto" w:fill="FFFFFF"/>
          </w:tcPr>
          <w:p w14:paraId="16EC7E9B" w14:textId="77777777" w:rsidR="00DF0110" w:rsidRPr="00C46970" w:rsidRDefault="00DF0110" w:rsidP="00342E14">
            <w:pPr>
              <w:widowControl w:val="0"/>
              <w:spacing w:line="280" w:lineRule="atLeast"/>
              <w:rPr>
                <w:rFonts w:ascii="Arial" w:hAnsi="Arial" w:cs="Arial"/>
              </w:rPr>
            </w:pPr>
            <w:r w:rsidRPr="00C46970">
              <w:rPr>
                <w:rFonts w:ascii="Arial" w:hAnsi="Arial" w:cs="Arial"/>
              </w:rPr>
              <w:t>62</w:t>
            </w:r>
          </w:p>
        </w:tc>
        <w:tc>
          <w:tcPr>
            <w:tcW w:w="3200" w:type="pct"/>
            <w:shd w:val="clear" w:color="auto" w:fill="FFFFFF"/>
            <w:tcMar>
              <w:top w:w="0" w:type="dxa"/>
              <w:left w:w="108" w:type="dxa"/>
              <w:bottom w:w="0" w:type="dxa"/>
              <w:right w:w="108" w:type="dxa"/>
            </w:tcMar>
          </w:tcPr>
          <w:p w14:paraId="09C1B955"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Further action in relation to the hidden economy, including: </w:t>
            </w:r>
          </w:p>
          <w:p w14:paraId="67EFAE1F" w14:textId="77777777" w:rsidR="00DF0110" w:rsidRPr="00C46970" w:rsidRDefault="00DF0110" w:rsidP="00D11C7B">
            <w:pPr>
              <w:pStyle w:val="ListParagraph"/>
              <w:widowControl w:val="0"/>
              <w:numPr>
                <w:ilvl w:val="0"/>
                <w:numId w:val="6"/>
              </w:numPr>
              <w:spacing w:after="0" w:line="280" w:lineRule="atLeast"/>
              <w:rPr>
                <w:rFonts w:ascii="Arial" w:hAnsi="Arial" w:cs="Arial"/>
              </w:rPr>
            </w:pPr>
            <w:r w:rsidRPr="00C46970">
              <w:rPr>
                <w:rFonts w:ascii="Arial" w:hAnsi="Arial" w:cs="Arial"/>
              </w:rPr>
              <w:t>An increase in the reporting of labour income (subject to not unreasonably increasing compliance costs on business).   </w:t>
            </w:r>
          </w:p>
          <w:p w14:paraId="70F7B699" w14:textId="77777777" w:rsidR="00DF0110" w:rsidRPr="00C46970" w:rsidRDefault="00DF0110" w:rsidP="00D11C7B">
            <w:pPr>
              <w:pStyle w:val="ListParagraph"/>
              <w:widowControl w:val="0"/>
              <w:numPr>
                <w:ilvl w:val="0"/>
                <w:numId w:val="6"/>
              </w:numPr>
              <w:spacing w:after="0" w:line="280" w:lineRule="atLeast"/>
              <w:rPr>
                <w:rFonts w:ascii="Arial" w:hAnsi="Arial" w:cs="Arial"/>
              </w:rPr>
            </w:pPr>
            <w:r w:rsidRPr="00C46970">
              <w:rPr>
                <w:rFonts w:ascii="Arial" w:hAnsi="Arial" w:cs="Arial"/>
              </w:rPr>
              <w:t xml:space="preserve">A review of the measures recently adopted by Australia in relation to the hidden economy, with a view to applying them in New Zealand.   </w:t>
            </w:r>
          </w:p>
          <w:p w14:paraId="6A24F587" w14:textId="77777777" w:rsidR="00DF0110" w:rsidRPr="00C46970" w:rsidRDefault="00DF0110" w:rsidP="00D11C7B">
            <w:pPr>
              <w:pStyle w:val="ListParagraph"/>
              <w:widowControl w:val="0"/>
              <w:numPr>
                <w:ilvl w:val="0"/>
                <w:numId w:val="6"/>
              </w:numPr>
              <w:spacing w:after="0" w:line="280" w:lineRule="atLeast"/>
              <w:rPr>
                <w:rFonts w:ascii="Arial" w:hAnsi="Arial" w:cs="Arial"/>
              </w:rPr>
            </w:pPr>
            <w:r w:rsidRPr="00C46970">
              <w:rPr>
                <w:rFonts w:ascii="Arial" w:hAnsi="Arial" w:cs="Arial"/>
              </w:rPr>
              <w:t>The removal of tax deductibility if a taxpayer has not followed labour income withholding or reporting rules.</w:t>
            </w:r>
          </w:p>
        </w:tc>
        <w:tc>
          <w:tcPr>
            <w:tcW w:w="1524" w:type="pct"/>
            <w:shd w:val="clear" w:color="auto" w:fill="5B9BD5" w:themeFill="accent1"/>
            <w:tcMar>
              <w:top w:w="0" w:type="dxa"/>
              <w:left w:w="108" w:type="dxa"/>
              <w:bottom w:w="0" w:type="dxa"/>
              <w:right w:w="108" w:type="dxa"/>
            </w:tcMar>
          </w:tcPr>
          <w:p w14:paraId="26EC3641" w14:textId="77777777" w:rsidR="00DF0110" w:rsidRPr="00C46970" w:rsidRDefault="00286F5C" w:rsidP="00342E14">
            <w:pPr>
              <w:widowControl w:val="0"/>
              <w:rPr>
                <w:rFonts w:ascii="Arial" w:hAnsi="Arial" w:cs="Arial"/>
              </w:rPr>
            </w:pPr>
            <w:r>
              <w:rPr>
                <w:rFonts w:ascii="Arial" w:hAnsi="Arial" w:cs="Arial"/>
                <w:b/>
              </w:rPr>
              <w:t>Note w</w:t>
            </w:r>
            <w:r w:rsidR="00355A52" w:rsidRPr="00093B5A">
              <w:rPr>
                <w:rFonts w:ascii="Arial" w:hAnsi="Arial" w:cs="Arial"/>
                <w:b/>
              </w:rPr>
              <w:t>ork</w:t>
            </w:r>
            <w:r>
              <w:rPr>
                <w:rFonts w:ascii="Arial" w:hAnsi="Arial" w:cs="Arial"/>
                <w:b/>
              </w:rPr>
              <w:t xml:space="preserve"> already </w:t>
            </w:r>
            <w:r w:rsidR="00355A52" w:rsidRPr="00093B5A">
              <w:rPr>
                <w:rFonts w:ascii="Arial" w:hAnsi="Arial" w:cs="Arial"/>
                <w:b/>
              </w:rPr>
              <w:t>underway</w:t>
            </w:r>
            <w:r w:rsidR="000C1797">
              <w:rPr>
                <w:rFonts w:ascii="Arial" w:hAnsi="Arial" w:cs="Arial"/>
              </w:rPr>
              <w:t xml:space="preserve"> –</w:t>
            </w:r>
            <w:r w:rsidR="00093B5A">
              <w:rPr>
                <w:rFonts w:ascii="Arial" w:hAnsi="Arial" w:cs="Arial"/>
              </w:rPr>
              <w:t xml:space="preserve"> see recommendation 54.</w:t>
            </w:r>
          </w:p>
        </w:tc>
      </w:tr>
      <w:tr w:rsidR="00DF0110" w:rsidRPr="006D32A5" w14:paraId="342B16D1" w14:textId="77777777" w:rsidTr="00355A52">
        <w:tc>
          <w:tcPr>
            <w:tcW w:w="276" w:type="pct"/>
            <w:gridSpan w:val="2"/>
            <w:shd w:val="clear" w:color="auto" w:fill="FFFFFF"/>
          </w:tcPr>
          <w:p w14:paraId="05CA4617" w14:textId="77777777" w:rsidR="00DF0110" w:rsidRPr="00C46970" w:rsidRDefault="00DF0110" w:rsidP="00342E14">
            <w:pPr>
              <w:widowControl w:val="0"/>
              <w:spacing w:line="280" w:lineRule="atLeast"/>
              <w:rPr>
                <w:rFonts w:ascii="Arial" w:hAnsi="Arial" w:cs="Arial"/>
              </w:rPr>
            </w:pPr>
            <w:r w:rsidRPr="00C46970">
              <w:rPr>
                <w:rFonts w:ascii="Arial" w:hAnsi="Arial" w:cs="Arial"/>
              </w:rPr>
              <w:t>63</w:t>
            </w:r>
          </w:p>
        </w:tc>
        <w:tc>
          <w:tcPr>
            <w:tcW w:w="3200" w:type="pct"/>
            <w:shd w:val="clear" w:color="auto" w:fill="FFFFFF"/>
            <w:tcMar>
              <w:top w:w="0" w:type="dxa"/>
              <w:left w:w="108" w:type="dxa"/>
              <w:bottom w:w="0" w:type="dxa"/>
              <w:right w:w="108" w:type="dxa"/>
            </w:tcMar>
          </w:tcPr>
          <w:p w14:paraId="3BEF909C" w14:textId="77777777" w:rsidR="00DF0110" w:rsidRPr="00C46970" w:rsidRDefault="00DF0110" w:rsidP="00342E14">
            <w:pPr>
              <w:widowControl w:val="0"/>
              <w:spacing w:line="280" w:lineRule="atLeast"/>
              <w:rPr>
                <w:rFonts w:ascii="Arial" w:hAnsi="Arial" w:cs="Arial"/>
              </w:rPr>
            </w:pPr>
            <w:r w:rsidRPr="00C46970">
              <w:rPr>
                <w:rFonts w:ascii="Arial" w:hAnsi="Arial" w:cs="Arial"/>
              </w:rPr>
              <w:t>That Inland Revenue continue to invest in the technical and investigatory skills of its staff.</w:t>
            </w:r>
          </w:p>
        </w:tc>
        <w:tc>
          <w:tcPr>
            <w:tcW w:w="1524" w:type="pct"/>
            <w:shd w:val="clear" w:color="auto" w:fill="5B9BD5" w:themeFill="accent1"/>
            <w:tcMar>
              <w:top w:w="0" w:type="dxa"/>
              <w:left w:w="108" w:type="dxa"/>
              <w:bottom w:w="0" w:type="dxa"/>
              <w:right w:w="108" w:type="dxa"/>
            </w:tcMar>
          </w:tcPr>
          <w:p w14:paraId="708B899C" w14:textId="77777777" w:rsidR="00DF0110" w:rsidRPr="00C46970" w:rsidRDefault="00286F5C" w:rsidP="00342E14">
            <w:pPr>
              <w:widowControl w:val="0"/>
              <w:rPr>
                <w:rFonts w:ascii="Arial" w:hAnsi="Arial" w:cs="Arial"/>
              </w:rPr>
            </w:pPr>
            <w:r>
              <w:rPr>
                <w:rFonts w:ascii="Arial" w:hAnsi="Arial" w:cs="Arial"/>
                <w:b/>
              </w:rPr>
              <w:t>Note w</w:t>
            </w:r>
            <w:r w:rsidRPr="00093B5A">
              <w:rPr>
                <w:rFonts w:ascii="Arial" w:hAnsi="Arial" w:cs="Arial"/>
                <w:b/>
              </w:rPr>
              <w:t>ork</w:t>
            </w:r>
            <w:r>
              <w:rPr>
                <w:rFonts w:ascii="Arial" w:hAnsi="Arial" w:cs="Arial"/>
                <w:b/>
              </w:rPr>
              <w:t xml:space="preserve"> already </w:t>
            </w:r>
            <w:r w:rsidRPr="00093B5A">
              <w:rPr>
                <w:rFonts w:ascii="Arial" w:hAnsi="Arial" w:cs="Arial"/>
                <w:b/>
              </w:rPr>
              <w:t>underway</w:t>
            </w:r>
            <w:r>
              <w:rPr>
                <w:rFonts w:ascii="Arial" w:hAnsi="Arial" w:cs="Arial"/>
              </w:rPr>
              <w:t xml:space="preserve"> </w:t>
            </w:r>
            <w:r w:rsidR="000C1797">
              <w:rPr>
                <w:rFonts w:ascii="Arial" w:hAnsi="Arial" w:cs="Arial"/>
              </w:rPr>
              <w:t>–</w:t>
            </w:r>
            <w:r w:rsidR="00093B5A">
              <w:rPr>
                <w:rFonts w:ascii="Arial" w:hAnsi="Arial" w:cs="Arial"/>
              </w:rPr>
              <w:t xml:space="preserve"> see recommendation 54</w:t>
            </w:r>
            <w:r w:rsidR="00D10F46">
              <w:rPr>
                <w:rFonts w:ascii="Arial" w:hAnsi="Arial" w:cs="Arial"/>
              </w:rPr>
              <w:t>.</w:t>
            </w:r>
          </w:p>
        </w:tc>
      </w:tr>
      <w:tr w:rsidR="00DF0110" w:rsidRPr="006D32A5" w14:paraId="5646D248" w14:textId="77777777" w:rsidTr="00B42D4C">
        <w:tc>
          <w:tcPr>
            <w:tcW w:w="276" w:type="pct"/>
            <w:gridSpan w:val="2"/>
            <w:shd w:val="clear" w:color="auto" w:fill="FFFFFF"/>
          </w:tcPr>
          <w:p w14:paraId="74170E30" w14:textId="77777777" w:rsidR="00DF0110" w:rsidRPr="00C46970" w:rsidRDefault="00DF0110" w:rsidP="00342E14">
            <w:pPr>
              <w:widowControl w:val="0"/>
              <w:spacing w:line="280" w:lineRule="atLeast"/>
              <w:rPr>
                <w:rFonts w:ascii="Arial" w:hAnsi="Arial" w:cs="Arial"/>
              </w:rPr>
            </w:pPr>
            <w:r w:rsidRPr="00C46970">
              <w:rPr>
                <w:rFonts w:ascii="Arial" w:hAnsi="Arial" w:cs="Arial"/>
              </w:rPr>
              <w:t>64</w:t>
            </w:r>
          </w:p>
        </w:tc>
        <w:tc>
          <w:tcPr>
            <w:tcW w:w="3200" w:type="pct"/>
            <w:shd w:val="clear" w:color="auto" w:fill="FFFFFF"/>
            <w:tcMar>
              <w:top w:w="0" w:type="dxa"/>
              <w:left w:w="108" w:type="dxa"/>
              <w:bottom w:w="0" w:type="dxa"/>
              <w:right w:w="108" w:type="dxa"/>
            </w:tcMar>
          </w:tcPr>
          <w:p w14:paraId="33884578"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Further measures to improve collection and encourage compliance, including: </w:t>
            </w:r>
          </w:p>
          <w:p w14:paraId="0DDDD427" w14:textId="77777777" w:rsidR="00DF0110" w:rsidRPr="00C46970" w:rsidRDefault="00DF0110" w:rsidP="00D11C7B">
            <w:pPr>
              <w:pStyle w:val="ListParagraph"/>
              <w:widowControl w:val="0"/>
              <w:numPr>
                <w:ilvl w:val="0"/>
                <w:numId w:val="7"/>
              </w:numPr>
              <w:spacing w:after="0" w:line="280" w:lineRule="atLeast"/>
              <w:rPr>
                <w:rFonts w:ascii="Arial" w:hAnsi="Arial" w:cs="Arial"/>
              </w:rPr>
            </w:pPr>
            <w:r w:rsidRPr="00C46970">
              <w:rPr>
                <w:rFonts w:ascii="Arial" w:hAnsi="Arial" w:cs="Arial"/>
              </w:rPr>
              <w:t xml:space="preserve">Making directors who have an economic ownership in the company personally liable for arrears on GST and PAYE obligations (as long as there is an appropriate warning system).  </w:t>
            </w:r>
          </w:p>
          <w:p w14:paraId="1220A18E" w14:textId="77777777" w:rsidR="00DF0110" w:rsidRPr="00C46970" w:rsidRDefault="00DF0110" w:rsidP="00D11C7B">
            <w:pPr>
              <w:pStyle w:val="ListParagraph"/>
              <w:widowControl w:val="0"/>
              <w:numPr>
                <w:ilvl w:val="0"/>
                <w:numId w:val="7"/>
              </w:numPr>
              <w:spacing w:after="0" w:line="280" w:lineRule="atLeast"/>
              <w:rPr>
                <w:rFonts w:ascii="Arial" w:hAnsi="Arial" w:cs="Arial"/>
              </w:rPr>
            </w:pPr>
            <w:r w:rsidRPr="00C46970">
              <w:rPr>
                <w:rFonts w:ascii="Arial" w:hAnsi="Arial" w:cs="Arial"/>
              </w:rPr>
              <w:t xml:space="preserve">Departure prohibition orders.   </w:t>
            </w:r>
          </w:p>
          <w:p w14:paraId="08E27FB5" w14:textId="77777777" w:rsidR="00DF0110" w:rsidRPr="00C46970" w:rsidRDefault="00DF0110" w:rsidP="00D11C7B">
            <w:pPr>
              <w:pStyle w:val="ListParagraph"/>
              <w:widowControl w:val="0"/>
              <w:numPr>
                <w:ilvl w:val="0"/>
                <w:numId w:val="7"/>
              </w:numPr>
              <w:spacing w:after="0" w:line="280" w:lineRule="atLeast"/>
              <w:rPr>
                <w:rFonts w:ascii="Arial" w:hAnsi="Arial" w:cs="Arial"/>
              </w:rPr>
            </w:pPr>
            <w:r w:rsidRPr="00C46970">
              <w:rPr>
                <w:rFonts w:ascii="Arial" w:hAnsi="Arial" w:cs="Arial"/>
              </w:rPr>
              <w:t xml:space="preserve">Aligning the standard of proof for PAYE and GST offences.  </w:t>
            </w:r>
          </w:p>
        </w:tc>
        <w:tc>
          <w:tcPr>
            <w:tcW w:w="1524" w:type="pct"/>
            <w:shd w:val="clear" w:color="auto" w:fill="ED7D31"/>
            <w:tcMar>
              <w:top w:w="0" w:type="dxa"/>
              <w:left w:w="108" w:type="dxa"/>
              <w:bottom w:w="0" w:type="dxa"/>
              <w:right w:w="108" w:type="dxa"/>
            </w:tcMar>
          </w:tcPr>
          <w:p w14:paraId="744A024A" w14:textId="77777777" w:rsidR="00DF0110" w:rsidRPr="00093B5A" w:rsidRDefault="00457A5C" w:rsidP="00342E14">
            <w:pPr>
              <w:widowControl w:val="0"/>
              <w:rPr>
                <w:rFonts w:ascii="Arial" w:hAnsi="Arial" w:cs="Arial"/>
                <w:b/>
              </w:rPr>
            </w:pPr>
            <w:r w:rsidRPr="00457A5C">
              <w:rPr>
                <w:rFonts w:ascii="Arial" w:hAnsi="Arial" w:cs="Arial"/>
                <w:b/>
              </w:rPr>
              <w:t xml:space="preserve">Consider </w:t>
            </w:r>
            <w:r w:rsidR="00F72ACB">
              <w:rPr>
                <w:rFonts w:ascii="Arial" w:hAnsi="Arial" w:cs="Arial"/>
                <w:b/>
              </w:rPr>
              <w:t>as a high priority 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39646182" w14:textId="77777777" w:rsidTr="00B3599D">
        <w:tc>
          <w:tcPr>
            <w:tcW w:w="276" w:type="pct"/>
            <w:gridSpan w:val="2"/>
            <w:shd w:val="clear" w:color="auto" w:fill="FFFFFF"/>
          </w:tcPr>
          <w:p w14:paraId="75FE08AB"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65</w:t>
            </w:r>
          </w:p>
        </w:tc>
        <w:tc>
          <w:tcPr>
            <w:tcW w:w="3200" w:type="pct"/>
            <w:shd w:val="clear" w:color="auto" w:fill="FFFFFF"/>
            <w:tcMar>
              <w:top w:w="0" w:type="dxa"/>
              <w:left w:w="108" w:type="dxa"/>
              <w:bottom w:w="0" w:type="dxa"/>
              <w:right w:w="108" w:type="dxa"/>
            </w:tcMar>
          </w:tcPr>
          <w:p w14:paraId="2D9F7345"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The establishment of a single centralised Crown debt collection agency to achieve economies of scale and more equitable outcomes across all Crown debtors.</w:t>
            </w:r>
          </w:p>
        </w:tc>
        <w:tc>
          <w:tcPr>
            <w:tcW w:w="1524" w:type="pct"/>
            <w:shd w:val="clear" w:color="auto" w:fill="FFC000" w:themeFill="accent4"/>
            <w:tcMar>
              <w:top w:w="0" w:type="dxa"/>
              <w:left w:w="108" w:type="dxa"/>
              <w:bottom w:w="0" w:type="dxa"/>
              <w:right w:w="108" w:type="dxa"/>
            </w:tcMar>
          </w:tcPr>
          <w:p w14:paraId="5915EE50" w14:textId="16E67805" w:rsidR="00DF0110" w:rsidRPr="00990EF9" w:rsidRDefault="002649D3" w:rsidP="00C706BF">
            <w:pPr>
              <w:widowControl w:val="0"/>
              <w:rPr>
                <w:rFonts w:ascii="Arial" w:hAnsi="Arial" w:cs="Arial"/>
                <w:b/>
                <w:szCs w:val="24"/>
              </w:rPr>
            </w:pPr>
            <w:r w:rsidRPr="00B42D4C">
              <w:rPr>
                <w:rFonts w:ascii="Arial" w:hAnsi="Arial" w:cs="Arial"/>
                <w:szCs w:val="24"/>
              </w:rPr>
              <w:t>O</w:t>
            </w:r>
            <w:r w:rsidR="00797536" w:rsidRPr="00990EF9">
              <w:rPr>
                <w:rFonts w:ascii="Arial" w:hAnsi="Arial" w:cs="Arial"/>
                <w:szCs w:val="24"/>
              </w:rPr>
              <w:t>bjectives may be better achieved through greater alignment of agency policies on debt prevention and collection.</w:t>
            </w:r>
            <w:r w:rsidR="00990EF9" w:rsidRPr="00FC48B3">
              <w:rPr>
                <w:rFonts w:ascii="Arial" w:hAnsi="Arial" w:cs="Arial"/>
                <w:szCs w:val="24"/>
              </w:rPr>
              <w:t xml:space="preserve">  </w:t>
            </w:r>
            <w:r w:rsidRPr="008763CA">
              <w:rPr>
                <w:rFonts w:ascii="Arial" w:hAnsi="Arial" w:cs="Arial"/>
                <w:b/>
                <w:szCs w:val="24"/>
              </w:rPr>
              <w:t>Cross</w:t>
            </w:r>
            <w:r w:rsidR="0031006F">
              <w:rPr>
                <w:rFonts w:ascii="Arial" w:hAnsi="Arial" w:cs="Arial"/>
                <w:b/>
                <w:szCs w:val="24"/>
              </w:rPr>
              <w:t>-</w:t>
            </w:r>
            <w:r w:rsidRPr="008763CA">
              <w:rPr>
                <w:rFonts w:ascii="Arial" w:hAnsi="Arial" w:cs="Arial"/>
                <w:b/>
                <w:szCs w:val="24"/>
              </w:rPr>
              <w:t>agency advice should be sought.</w:t>
            </w:r>
          </w:p>
        </w:tc>
      </w:tr>
      <w:tr w:rsidR="00DF0110" w:rsidRPr="006D32A5" w14:paraId="2D4F62C3" w14:textId="77777777" w:rsidTr="00F72ACB">
        <w:tc>
          <w:tcPr>
            <w:tcW w:w="276" w:type="pct"/>
            <w:gridSpan w:val="2"/>
            <w:shd w:val="clear" w:color="auto" w:fill="FFFFFF"/>
          </w:tcPr>
          <w:p w14:paraId="5AFD8806" w14:textId="77777777" w:rsidR="00DF0110" w:rsidRPr="00C46970" w:rsidRDefault="00DF0110" w:rsidP="00342E14">
            <w:pPr>
              <w:widowControl w:val="0"/>
              <w:spacing w:line="280" w:lineRule="atLeast"/>
              <w:rPr>
                <w:rFonts w:ascii="Arial" w:hAnsi="Arial" w:cs="Arial"/>
              </w:rPr>
            </w:pPr>
            <w:r w:rsidRPr="00C46970">
              <w:rPr>
                <w:rFonts w:ascii="Arial" w:hAnsi="Arial" w:cs="Arial"/>
              </w:rPr>
              <w:t>66</w:t>
            </w:r>
          </w:p>
        </w:tc>
        <w:tc>
          <w:tcPr>
            <w:tcW w:w="3200" w:type="pct"/>
            <w:shd w:val="clear" w:color="auto" w:fill="FFFFFF"/>
            <w:tcMar>
              <w:top w:w="0" w:type="dxa"/>
              <w:left w:w="108" w:type="dxa"/>
              <w:bottom w:w="0" w:type="dxa"/>
              <w:right w:w="108" w:type="dxa"/>
            </w:tcMar>
          </w:tcPr>
          <w:p w14:paraId="4B58392D"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That Inland Revenue strengthens enforcement of rules for closely-held companies.  </w:t>
            </w:r>
          </w:p>
        </w:tc>
        <w:tc>
          <w:tcPr>
            <w:tcW w:w="1524" w:type="pct"/>
            <w:shd w:val="clear" w:color="auto" w:fill="ED7D31" w:themeFill="accent2"/>
            <w:tcMar>
              <w:top w:w="0" w:type="dxa"/>
              <w:left w:w="108" w:type="dxa"/>
              <w:bottom w:w="0" w:type="dxa"/>
              <w:right w:w="108" w:type="dxa"/>
            </w:tcMar>
          </w:tcPr>
          <w:p w14:paraId="12965BE0" w14:textId="77777777" w:rsidR="00DF0110" w:rsidRPr="00093B5A" w:rsidRDefault="00F72ACB" w:rsidP="00342E14">
            <w:pPr>
              <w:widowControl w:val="0"/>
              <w:rPr>
                <w:rFonts w:ascii="Arial" w:hAnsi="Arial" w:cs="Arial"/>
                <w:b/>
              </w:rPr>
            </w:pPr>
            <w:r w:rsidRPr="00457A5C">
              <w:rPr>
                <w:rFonts w:ascii="Arial" w:hAnsi="Arial" w:cs="Arial"/>
                <w:b/>
              </w:rPr>
              <w:t xml:space="preserve">Consider </w:t>
            </w:r>
            <w:r>
              <w:rPr>
                <w:rFonts w:ascii="Arial" w:hAnsi="Arial" w:cs="Arial"/>
                <w:b/>
              </w:rPr>
              <w:t>as a high priority 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081BE41C" w14:textId="77777777" w:rsidTr="00B42D4C">
        <w:tc>
          <w:tcPr>
            <w:tcW w:w="276" w:type="pct"/>
            <w:gridSpan w:val="2"/>
            <w:shd w:val="clear" w:color="auto" w:fill="FFFFFF"/>
          </w:tcPr>
          <w:p w14:paraId="598CAA21" w14:textId="77777777" w:rsidR="00DF0110" w:rsidRPr="00C46970" w:rsidRDefault="00DF0110" w:rsidP="00342E14">
            <w:pPr>
              <w:widowControl w:val="0"/>
              <w:spacing w:line="280" w:lineRule="atLeast"/>
              <w:rPr>
                <w:rFonts w:ascii="Arial" w:hAnsi="Arial" w:cs="Arial"/>
              </w:rPr>
            </w:pPr>
            <w:r w:rsidRPr="00C46970">
              <w:rPr>
                <w:rFonts w:ascii="Arial" w:hAnsi="Arial" w:cs="Arial"/>
              </w:rPr>
              <w:t>67</w:t>
            </w:r>
          </w:p>
        </w:tc>
        <w:tc>
          <w:tcPr>
            <w:tcW w:w="3200" w:type="pct"/>
            <w:shd w:val="clear" w:color="auto" w:fill="FFFFFF"/>
            <w:tcMar>
              <w:top w:w="0" w:type="dxa"/>
              <w:left w:w="108" w:type="dxa"/>
              <w:bottom w:w="0" w:type="dxa"/>
              <w:right w:w="108" w:type="dxa"/>
            </w:tcMar>
          </w:tcPr>
          <w:p w14:paraId="0467A549" w14:textId="77777777" w:rsidR="00DF0110" w:rsidRPr="00C46970" w:rsidRDefault="00DF0110" w:rsidP="00342E14">
            <w:pPr>
              <w:widowControl w:val="0"/>
              <w:spacing w:line="280" w:lineRule="atLeast"/>
              <w:rPr>
                <w:rFonts w:ascii="Arial" w:hAnsi="Arial" w:cs="Arial"/>
              </w:rPr>
            </w:pPr>
            <w:r w:rsidRPr="00C46970">
              <w:rPr>
                <w:rFonts w:ascii="Arial" w:hAnsi="Arial" w:cs="Arial"/>
              </w:rPr>
              <w:t>Explore options to enable the flexibility of a wider gap between the company and top personal tax rate</w:t>
            </w:r>
            <w:r w:rsidR="00D10F46">
              <w:rPr>
                <w:rFonts w:ascii="Arial" w:hAnsi="Arial" w:cs="Arial"/>
              </w:rPr>
              <w:t>s</w:t>
            </w:r>
            <w:r w:rsidRPr="00C46970">
              <w:rPr>
                <w:rFonts w:ascii="Arial" w:hAnsi="Arial" w:cs="Arial"/>
              </w:rPr>
              <w:t xml:space="preserve"> without a reduction in the integrity of the tax system.   </w:t>
            </w:r>
          </w:p>
        </w:tc>
        <w:tc>
          <w:tcPr>
            <w:tcW w:w="1524" w:type="pct"/>
            <w:shd w:val="clear" w:color="auto" w:fill="FFC000"/>
            <w:tcMar>
              <w:top w:w="0" w:type="dxa"/>
              <w:left w:w="108" w:type="dxa"/>
              <w:bottom w:w="0" w:type="dxa"/>
              <w:right w:w="108" w:type="dxa"/>
            </w:tcMar>
          </w:tcPr>
          <w:p w14:paraId="173C8736" w14:textId="77777777" w:rsidR="00DF0110" w:rsidRPr="00093B5A" w:rsidRDefault="00F72ACB" w:rsidP="00173A97">
            <w:pPr>
              <w:widowControl w:val="0"/>
              <w:rPr>
                <w:rFonts w:ascii="Arial" w:hAnsi="Arial" w:cs="Arial"/>
                <w:b/>
              </w:rPr>
            </w:pPr>
            <w:r w:rsidRPr="00457A5C">
              <w:rPr>
                <w:rFonts w:ascii="Arial" w:hAnsi="Arial" w:cs="Arial"/>
                <w:b/>
              </w:rPr>
              <w:t xml:space="preserve">Consider </w:t>
            </w:r>
            <w:r>
              <w:rPr>
                <w:rFonts w:ascii="Arial" w:hAnsi="Arial" w:cs="Arial"/>
                <w:b/>
              </w:rPr>
              <w:t>for</w:t>
            </w:r>
            <w:r w:rsidRPr="00457A5C">
              <w:rPr>
                <w:rFonts w:ascii="Arial" w:hAnsi="Arial" w:cs="Arial"/>
                <w:b/>
              </w:rPr>
              <w:t xml:space="preserve">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342E14" w:rsidRPr="006D32A5" w14:paraId="0216B747" w14:textId="77777777" w:rsidTr="00DF0110">
        <w:trPr>
          <w:trHeight w:val="373"/>
        </w:trPr>
        <w:tc>
          <w:tcPr>
            <w:tcW w:w="5000" w:type="pct"/>
            <w:gridSpan w:val="4"/>
            <w:shd w:val="clear" w:color="auto" w:fill="000000" w:themeFill="text1"/>
            <w:vAlign w:val="center"/>
          </w:tcPr>
          <w:p w14:paraId="310AB035" w14:textId="77777777" w:rsidR="00342E14" w:rsidRPr="00C46970" w:rsidRDefault="00342E14" w:rsidP="00C46970">
            <w:pPr>
              <w:keepNext/>
              <w:widowControl w:val="0"/>
              <w:ind w:left="96"/>
              <w:rPr>
                <w:rFonts w:ascii="Arial" w:hAnsi="Arial" w:cs="Arial"/>
                <w:color w:val="FFFFFF" w:themeColor="background1"/>
                <w:highlight w:val="yellow"/>
              </w:rPr>
            </w:pPr>
            <w:r w:rsidRPr="00C46970">
              <w:rPr>
                <w:rFonts w:ascii="Arial" w:hAnsi="Arial" w:cs="Arial"/>
                <w:b/>
                <w:color w:val="FFFFFF" w:themeColor="background1"/>
              </w:rPr>
              <w:t xml:space="preserve">Administration of the tax system </w:t>
            </w:r>
          </w:p>
        </w:tc>
      </w:tr>
      <w:tr w:rsidR="00342E14" w:rsidRPr="006D32A5" w14:paraId="58AF124B" w14:textId="77777777" w:rsidTr="00DF0110">
        <w:tc>
          <w:tcPr>
            <w:tcW w:w="5000" w:type="pct"/>
            <w:gridSpan w:val="4"/>
            <w:shd w:val="clear" w:color="auto" w:fill="FFFFFF" w:themeFill="background1"/>
          </w:tcPr>
          <w:p w14:paraId="3C81BFFD" w14:textId="77777777" w:rsidR="00342E14" w:rsidRPr="00C46970" w:rsidRDefault="00342E14" w:rsidP="00C46970">
            <w:pPr>
              <w:keepNext/>
              <w:widowControl w:val="0"/>
              <w:ind w:left="96"/>
              <w:rPr>
                <w:rFonts w:ascii="Arial" w:hAnsi="Arial" w:cs="Arial"/>
                <w:highlight w:val="yellow"/>
              </w:rPr>
            </w:pPr>
            <w:r w:rsidRPr="00C46970">
              <w:rPr>
                <w:rFonts w:ascii="Arial" w:hAnsi="Arial" w:cs="Arial"/>
                <w:b/>
                <w:i/>
              </w:rPr>
              <w:t>Tax secrecy and tax transparency</w:t>
            </w:r>
          </w:p>
        </w:tc>
      </w:tr>
      <w:tr w:rsidR="00DF0110" w:rsidRPr="006D32A5" w14:paraId="3E6253A2" w14:textId="77777777" w:rsidTr="00355A52">
        <w:trPr>
          <w:gridBefore w:val="1"/>
          <w:wBefore w:w="5" w:type="pct"/>
        </w:trPr>
        <w:tc>
          <w:tcPr>
            <w:tcW w:w="271" w:type="pct"/>
          </w:tcPr>
          <w:p w14:paraId="4F5DBFBB" w14:textId="77777777" w:rsidR="00DF0110" w:rsidRPr="00C46970" w:rsidRDefault="00DF0110" w:rsidP="00342E14">
            <w:pPr>
              <w:widowControl w:val="0"/>
              <w:spacing w:line="280" w:lineRule="atLeast"/>
              <w:rPr>
                <w:rFonts w:ascii="Arial" w:hAnsi="Arial" w:cs="Arial"/>
              </w:rPr>
            </w:pPr>
            <w:r w:rsidRPr="00C46970">
              <w:rPr>
                <w:rFonts w:ascii="Arial" w:hAnsi="Arial" w:cs="Arial"/>
              </w:rPr>
              <w:t>68</w:t>
            </w:r>
          </w:p>
        </w:tc>
        <w:tc>
          <w:tcPr>
            <w:tcW w:w="3200" w:type="pct"/>
            <w:shd w:val="clear" w:color="auto" w:fill="auto"/>
            <w:tcMar>
              <w:top w:w="0" w:type="dxa"/>
              <w:left w:w="108" w:type="dxa"/>
              <w:bottom w:w="0" w:type="dxa"/>
              <w:right w:w="108" w:type="dxa"/>
            </w:tcMar>
          </w:tcPr>
          <w:p w14:paraId="5A9145C5"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Government should: </w:t>
            </w:r>
          </w:p>
          <w:p w14:paraId="122E726E" w14:textId="77777777" w:rsidR="00DF0110" w:rsidRPr="00C46970" w:rsidRDefault="00DF0110" w:rsidP="00D11C7B">
            <w:pPr>
              <w:pStyle w:val="ListParagraph"/>
              <w:widowControl w:val="0"/>
              <w:numPr>
                <w:ilvl w:val="0"/>
                <w:numId w:val="8"/>
              </w:numPr>
              <w:spacing w:after="0" w:line="280" w:lineRule="atLeast"/>
              <w:rPr>
                <w:rFonts w:ascii="Arial" w:hAnsi="Arial" w:cs="Arial"/>
              </w:rPr>
            </w:pPr>
            <w:r w:rsidRPr="00C46970">
              <w:rPr>
                <w:rFonts w:ascii="Arial" w:hAnsi="Arial" w:cs="Arial"/>
              </w:rPr>
              <w:t xml:space="preserve">Fund oversampling of the wealthy in existing wealth surveys. </w:t>
            </w:r>
          </w:p>
          <w:p w14:paraId="1AE8B3F7" w14:textId="77777777" w:rsidR="00DF0110" w:rsidRPr="00C46970" w:rsidRDefault="00DF0110" w:rsidP="00D11C7B">
            <w:pPr>
              <w:pStyle w:val="ListParagraph"/>
              <w:widowControl w:val="0"/>
              <w:numPr>
                <w:ilvl w:val="0"/>
                <w:numId w:val="8"/>
              </w:numPr>
              <w:spacing w:after="0" w:line="280" w:lineRule="atLeast"/>
              <w:rPr>
                <w:rFonts w:ascii="Arial" w:hAnsi="Arial" w:cs="Arial"/>
              </w:rPr>
            </w:pPr>
            <w:r w:rsidRPr="00C46970">
              <w:rPr>
                <w:rFonts w:ascii="Arial" w:hAnsi="Arial" w:cs="Arial"/>
              </w:rPr>
              <w:t xml:space="preserve">Include a question on wealth in the census. </w:t>
            </w:r>
          </w:p>
          <w:p w14:paraId="6C4CC193" w14:textId="77777777" w:rsidR="00DF0110" w:rsidRPr="00C46970" w:rsidRDefault="00DF0110" w:rsidP="00D11C7B">
            <w:pPr>
              <w:pStyle w:val="ListParagraph"/>
              <w:widowControl w:val="0"/>
              <w:numPr>
                <w:ilvl w:val="0"/>
                <w:numId w:val="8"/>
              </w:numPr>
              <w:spacing w:after="0" w:line="280" w:lineRule="atLeast"/>
              <w:rPr>
                <w:rFonts w:ascii="Arial" w:hAnsi="Arial" w:cs="Arial"/>
              </w:rPr>
            </w:pPr>
            <w:r w:rsidRPr="00C46970">
              <w:rPr>
                <w:rFonts w:ascii="Arial" w:hAnsi="Arial" w:cs="Arial"/>
              </w:rPr>
              <w:t xml:space="preserve">Request Inland Revenue regularly repeat its analysis of the tax paid by high wealth individuals. </w:t>
            </w:r>
          </w:p>
          <w:p w14:paraId="57AB231B" w14:textId="77777777" w:rsidR="00DF0110" w:rsidRPr="00C46970" w:rsidRDefault="00DF0110" w:rsidP="00D11C7B">
            <w:pPr>
              <w:pStyle w:val="ListParagraph"/>
              <w:widowControl w:val="0"/>
              <w:numPr>
                <w:ilvl w:val="0"/>
                <w:numId w:val="8"/>
              </w:numPr>
              <w:spacing w:after="0" w:line="280" w:lineRule="atLeast"/>
              <w:rPr>
                <w:rFonts w:ascii="Arial" w:hAnsi="Arial" w:cs="Arial"/>
              </w:rPr>
            </w:pPr>
            <w:r w:rsidRPr="00C46970">
              <w:rPr>
                <w:rFonts w:ascii="Arial" w:hAnsi="Arial" w:cs="Arial"/>
              </w:rPr>
              <w:t>Commission research</w:t>
            </w:r>
            <w:r w:rsidRPr="00C46970">
              <w:rPr>
                <w:rFonts w:ascii="Arial" w:hAnsi="Arial" w:cs="Arial"/>
                <w:lang w:eastAsia="en-NZ"/>
              </w:rPr>
              <w:t xml:space="preserve"> on using a variety of sources of data on capital income, including administrative data, to estimate the wealth of individuals.</w:t>
            </w:r>
          </w:p>
        </w:tc>
        <w:tc>
          <w:tcPr>
            <w:tcW w:w="1524" w:type="pct"/>
            <w:shd w:val="clear" w:color="auto" w:fill="FFC000" w:themeFill="accent4"/>
            <w:tcMar>
              <w:top w:w="0" w:type="dxa"/>
              <w:left w:w="108" w:type="dxa"/>
              <w:bottom w:w="0" w:type="dxa"/>
              <w:right w:w="108" w:type="dxa"/>
            </w:tcMar>
          </w:tcPr>
          <w:p w14:paraId="5B6EA2A4"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7C95CB45" w14:textId="77777777" w:rsidTr="00355A52">
        <w:trPr>
          <w:trHeight w:val="1254"/>
        </w:trPr>
        <w:tc>
          <w:tcPr>
            <w:tcW w:w="276" w:type="pct"/>
            <w:gridSpan w:val="2"/>
            <w:shd w:val="clear" w:color="auto" w:fill="FFFFFF"/>
          </w:tcPr>
          <w:p w14:paraId="5D2F3076" w14:textId="77777777" w:rsidR="00DF0110" w:rsidRPr="00C46970" w:rsidRDefault="00DF0110" w:rsidP="00342E14">
            <w:pPr>
              <w:widowControl w:val="0"/>
              <w:spacing w:line="280" w:lineRule="atLeast"/>
              <w:rPr>
                <w:rFonts w:ascii="Arial" w:hAnsi="Arial" w:cs="Arial"/>
                <w:lang w:eastAsia="en-NZ"/>
              </w:rPr>
            </w:pPr>
            <w:r w:rsidRPr="00C46970">
              <w:rPr>
                <w:rFonts w:ascii="Arial" w:hAnsi="Arial" w:cs="Arial"/>
                <w:lang w:eastAsia="en-NZ"/>
              </w:rPr>
              <w:t>69</w:t>
            </w:r>
          </w:p>
        </w:tc>
        <w:tc>
          <w:tcPr>
            <w:tcW w:w="3200" w:type="pct"/>
            <w:shd w:val="clear" w:color="auto" w:fill="FFFFFF"/>
            <w:tcMar>
              <w:top w:w="0" w:type="dxa"/>
              <w:left w:w="108" w:type="dxa"/>
              <w:bottom w:w="0" w:type="dxa"/>
              <w:right w:w="108" w:type="dxa"/>
            </w:tcMar>
          </w:tcPr>
          <w:p w14:paraId="76630B10" w14:textId="77777777" w:rsidR="00DF0110" w:rsidRPr="00C46970" w:rsidRDefault="00DF0110" w:rsidP="00342E14">
            <w:pPr>
              <w:widowControl w:val="0"/>
              <w:spacing w:line="280" w:lineRule="atLeast"/>
              <w:rPr>
                <w:rFonts w:ascii="Arial" w:hAnsi="Arial" w:cs="Arial"/>
                <w:b/>
              </w:rPr>
            </w:pPr>
            <w:r w:rsidRPr="00C46970">
              <w:rPr>
                <w:rFonts w:ascii="Arial" w:hAnsi="Arial" w:cs="Arial"/>
                <w:lang w:eastAsia="en-NZ"/>
              </w:rPr>
              <w:t>The TWG strongly encourages the Government to release more statistical and aggregated information about the tax system (so long as it does not reveal data about specific individuals or corporates that is not otherwise publicly available).  The Government could consider further measures to increase transparency as public attitudes change over time.</w:t>
            </w:r>
          </w:p>
        </w:tc>
        <w:tc>
          <w:tcPr>
            <w:tcW w:w="1524" w:type="pct"/>
            <w:shd w:val="clear" w:color="auto" w:fill="FFC000" w:themeFill="accent4"/>
            <w:tcMar>
              <w:top w:w="0" w:type="dxa"/>
              <w:left w:w="108" w:type="dxa"/>
              <w:bottom w:w="0" w:type="dxa"/>
              <w:right w:w="108" w:type="dxa"/>
            </w:tcMar>
          </w:tcPr>
          <w:p w14:paraId="50AC49BD"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45A2F2EA" w14:textId="77777777" w:rsidTr="00355A52">
        <w:tc>
          <w:tcPr>
            <w:tcW w:w="276" w:type="pct"/>
            <w:gridSpan w:val="2"/>
            <w:shd w:val="clear" w:color="auto" w:fill="FFFFFF"/>
          </w:tcPr>
          <w:p w14:paraId="19A420B0" w14:textId="77777777" w:rsidR="00DF0110" w:rsidRPr="00C46970" w:rsidRDefault="00DF0110" w:rsidP="00342E14">
            <w:pPr>
              <w:widowControl w:val="0"/>
              <w:spacing w:line="280" w:lineRule="atLeast"/>
              <w:rPr>
                <w:rFonts w:ascii="Arial" w:hAnsi="Arial" w:cs="Arial"/>
                <w:lang w:eastAsia="en-NZ"/>
              </w:rPr>
            </w:pPr>
            <w:r w:rsidRPr="00C46970">
              <w:rPr>
                <w:rFonts w:ascii="Arial" w:hAnsi="Arial" w:cs="Arial"/>
                <w:lang w:eastAsia="en-NZ"/>
              </w:rPr>
              <w:t>70</w:t>
            </w:r>
          </w:p>
        </w:tc>
        <w:tc>
          <w:tcPr>
            <w:tcW w:w="3200" w:type="pct"/>
            <w:shd w:val="clear" w:color="auto" w:fill="FFFFFF"/>
            <w:tcMar>
              <w:top w:w="0" w:type="dxa"/>
              <w:left w:w="108" w:type="dxa"/>
              <w:bottom w:w="0" w:type="dxa"/>
              <w:right w:w="108" w:type="dxa"/>
            </w:tcMar>
          </w:tcPr>
          <w:p w14:paraId="4886B4E9" w14:textId="77777777" w:rsidR="00DF0110" w:rsidRPr="00C46970" w:rsidRDefault="00DF0110" w:rsidP="00342E14">
            <w:pPr>
              <w:widowControl w:val="0"/>
              <w:spacing w:line="280" w:lineRule="atLeast"/>
              <w:rPr>
                <w:rFonts w:ascii="Arial" w:hAnsi="Arial" w:cs="Arial"/>
                <w:lang w:eastAsia="en-NZ"/>
              </w:rPr>
            </w:pPr>
            <w:r w:rsidRPr="00C46970">
              <w:rPr>
                <w:rFonts w:ascii="Arial" w:hAnsi="Arial" w:cs="Arial"/>
                <w:lang w:eastAsia="en-NZ"/>
              </w:rPr>
              <w:t xml:space="preserve">The TWG encourages Inland Revenue to publish or make available a broader range of statistics, in consultation with potential users, either directly or (preferably) through Statistics New Zealand.  </w:t>
            </w:r>
          </w:p>
        </w:tc>
        <w:tc>
          <w:tcPr>
            <w:tcW w:w="1524" w:type="pct"/>
            <w:shd w:val="clear" w:color="auto" w:fill="FFC000" w:themeFill="accent4"/>
            <w:tcMar>
              <w:top w:w="0" w:type="dxa"/>
              <w:left w:w="108" w:type="dxa"/>
              <w:bottom w:w="0" w:type="dxa"/>
              <w:right w:w="108" w:type="dxa"/>
            </w:tcMar>
          </w:tcPr>
          <w:p w14:paraId="72D73897"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01BE00E5" w14:textId="77777777" w:rsidTr="00355A52">
        <w:tc>
          <w:tcPr>
            <w:tcW w:w="276" w:type="pct"/>
            <w:gridSpan w:val="2"/>
            <w:shd w:val="clear" w:color="auto" w:fill="FFFFFF"/>
          </w:tcPr>
          <w:p w14:paraId="174DD0CE" w14:textId="77777777" w:rsidR="00DF0110" w:rsidRPr="00C46970" w:rsidRDefault="00DF0110" w:rsidP="00342E14">
            <w:pPr>
              <w:widowControl w:val="0"/>
              <w:spacing w:line="280" w:lineRule="atLeast"/>
              <w:rPr>
                <w:rFonts w:ascii="Arial" w:hAnsi="Arial" w:cs="Arial"/>
                <w:lang w:eastAsia="en-NZ"/>
              </w:rPr>
            </w:pPr>
            <w:r w:rsidRPr="00C46970">
              <w:rPr>
                <w:rFonts w:ascii="Arial" w:hAnsi="Arial" w:cs="Arial"/>
                <w:lang w:eastAsia="en-NZ"/>
              </w:rPr>
              <w:t>71</w:t>
            </w:r>
          </w:p>
        </w:tc>
        <w:tc>
          <w:tcPr>
            <w:tcW w:w="3200" w:type="pct"/>
            <w:shd w:val="clear" w:color="auto" w:fill="FFFFFF"/>
            <w:tcMar>
              <w:top w:w="0" w:type="dxa"/>
              <w:left w:w="108" w:type="dxa"/>
              <w:bottom w:w="0" w:type="dxa"/>
              <w:right w:w="108" w:type="dxa"/>
            </w:tcMar>
          </w:tcPr>
          <w:p w14:paraId="1F50217D" w14:textId="77777777" w:rsidR="00DF0110" w:rsidRPr="00C46970" w:rsidRDefault="00DF0110" w:rsidP="00342E14">
            <w:pPr>
              <w:widowControl w:val="0"/>
              <w:spacing w:line="280" w:lineRule="atLeast"/>
              <w:rPr>
                <w:rFonts w:ascii="Arial" w:hAnsi="Arial" w:cs="Arial"/>
              </w:rPr>
            </w:pPr>
            <w:r w:rsidRPr="00C46970">
              <w:rPr>
                <w:rFonts w:ascii="Arial" w:hAnsi="Arial" w:cs="Arial"/>
                <w:lang w:eastAsia="en-NZ"/>
              </w:rPr>
              <w:t>The TWG encourages Inland Revenue to collect information on income and expenditure associated with environmental outcomes that are part of the tax calculation.</w:t>
            </w:r>
          </w:p>
        </w:tc>
        <w:tc>
          <w:tcPr>
            <w:tcW w:w="1524" w:type="pct"/>
            <w:shd w:val="clear" w:color="auto" w:fill="FFC000" w:themeFill="accent4"/>
            <w:tcMar>
              <w:top w:w="0" w:type="dxa"/>
              <w:left w:w="108" w:type="dxa"/>
              <w:bottom w:w="0" w:type="dxa"/>
              <w:right w:w="108" w:type="dxa"/>
            </w:tcMar>
          </w:tcPr>
          <w:p w14:paraId="60218A28" w14:textId="77777777" w:rsidR="00DF0110" w:rsidRPr="00093B5A" w:rsidRDefault="00457A5C" w:rsidP="00342E14">
            <w:pPr>
              <w:widowControl w:val="0"/>
              <w:rPr>
                <w:rFonts w:ascii="Arial" w:hAnsi="Arial" w:cs="Arial"/>
                <w:b/>
                <w:lang w:eastAsia="en-NZ"/>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342E14" w:rsidRPr="006D32A5" w14:paraId="17A540F5" w14:textId="77777777" w:rsidTr="00DF0110">
        <w:tc>
          <w:tcPr>
            <w:tcW w:w="5000" w:type="pct"/>
            <w:gridSpan w:val="4"/>
            <w:shd w:val="clear" w:color="auto" w:fill="FFFFFF" w:themeFill="background1"/>
          </w:tcPr>
          <w:p w14:paraId="7134F4EE" w14:textId="77777777" w:rsidR="00342E14" w:rsidRPr="00C46970" w:rsidRDefault="00342E14" w:rsidP="00342E14">
            <w:pPr>
              <w:widowControl w:val="0"/>
              <w:ind w:left="94"/>
              <w:rPr>
                <w:rFonts w:ascii="Arial" w:hAnsi="Arial" w:cs="Arial"/>
                <w:highlight w:val="yellow"/>
              </w:rPr>
            </w:pPr>
            <w:r w:rsidRPr="00C46970">
              <w:rPr>
                <w:rFonts w:ascii="Arial" w:hAnsi="Arial" w:cs="Arial"/>
                <w:b/>
                <w:i/>
              </w:rPr>
              <w:t>Ombudsman</w:t>
            </w:r>
          </w:p>
        </w:tc>
      </w:tr>
      <w:tr w:rsidR="00DF0110" w:rsidRPr="006D32A5" w14:paraId="4606776A" w14:textId="77777777" w:rsidTr="00B42D4C">
        <w:tc>
          <w:tcPr>
            <w:tcW w:w="276" w:type="pct"/>
            <w:gridSpan w:val="2"/>
            <w:shd w:val="clear" w:color="auto" w:fill="FFFFFF"/>
          </w:tcPr>
          <w:p w14:paraId="39B9B02D" w14:textId="77777777" w:rsidR="00DF0110" w:rsidRPr="00C46970" w:rsidRDefault="00DF0110" w:rsidP="00342E14">
            <w:pPr>
              <w:widowControl w:val="0"/>
              <w:rPr>
                <w:rFonts w:ascii="Arial" w:hAnsi="Arial" w:cs="Arial"/>
              </w:rPr>
            </w:pPr>
            <w:r w:rsidRPr="00C46970">
              <w:rPr>
                <w:rFonts w:ascii="Arial" w:hAnsi="Arial" w:cs="Arial"/>
              </w:rPr>
              <w:t>72</w:t>
            </w:r>
          </w:p>
        </w:tc>
        <w:tc>
          <w:tcPr>
            <w:tcW w:w="3200" w:type="pct"/>
            <w:shd w:val="clear" w:color="auto" w:fill="FFFFFF"/>
            <w:tcMar>
              <w:top w:w="0" w:type="dxa"/>
              <w:left w:w="108" w:type="dxa"/>
              <w:bottom w:w="0" w:type="dxa"/>
              <w:right w:w="108" w:type="dxa"/>
            </w:tcMar>
          </w:tcPr>
          <w:p w14:paraId="23A87887" w14:textId="77777777" w:rsidR="00DF0110" w:rsidRPr="00C46970" w:rsidRDefault="00DF0110" w:rsidP="00342E14">
            <w:pPr>
              <w:widowControl w:val="0"/>
              <w:spacing w:line="280" w:lineRule="atLeast"/>
              <w:rPr>
                <w:rFonts w:ascii="Arial" w:hAnsi="Arial" w:cs="Arial"/>
              </w:rPr>
            </w:pPr>
            <w:r w:rsidRPr="00C46970">
              <w:rPr>
                <w:rFonts w:ascii="Arial" w:hAnsi="Arial" w:cs="Arial"/>
              </w:rPr>
              <w:t>Any further expansion of the resources available to the Ombudsman should include consideration of provision for additional tax expertise, and possibly support to manage any increase in the volume of complaints relating to the new Crown debt collection agency proposed by the TWG.</w:t>
            </w:r>
          </w:p>
        </w:tc>
        <w:tc>
          <w:tcPr>
            <w:tcW w:w="1524" w:type="pct"/>
            <w:shd w:val="clear" w:color="auto" w:fill="D0CECE"/>
            <w:tcMar>
              <w:top w:w="0" w:type="dxa"/>
              <w:left w:w="108" w:type="dxa"/>
              <w:bottom w:w="0" w:type="dxa"/>
              <w:right w:w="108" w:type="dxa"/>
            </w:tcMar>
          </w:tcPr>
          <w:p w14:paraId="1124A624" w14:textId="30069348" w:rsidR="00DF0110" w:rsidRPr="00093B5A" w:rsidRDefault="00F45668" w:rsidP="00342E14">
            <w:pPr>
              <w:widowControl w:val="0"/>
              <w:rPr>
                <w:rFonts w:ascii="Arial" w:hAnsi="Arial" w:cs="Arial"/>
                <w:b/>
              </w:rPr>
            </w:pPr>
            <w:r>
              <w:rPr>
                <w:rFonts w:ascii="Arial" w:hAnsi="Arial" w:cs="Arial"/>
                <w:b/>
              </w:rPr>
              <w:t>Agree n</w:t>
            </w:r>
            <w:r w:rsidRPr="00093B5A">
              <w:rPr>
                <w:rFonts w:ascii="Arial" w:hAnsi="Arial" w:cs="Arial"/>
                <w:b/>
              </w:rPr>
              <w:t>o further work required</w:t>
            </w:r>
            <w:r>
              <w:rPr>
                <w:rFonts w:ascii="Arial" w:hAnsi="Arial" w:cs="Arial"/>
              </w:rPr>
              <w:t xml:space="preserve"> at this stage unless there is an unsustainable increase in complaints</w:t>
            </w:r>
            <w:r w:rsidR="00F66762">
              <w:rPr>
                <w:rFonts w:ascii="Arial" w:hAnsi="Arial" w:cs="Arial"/>
              </w:rPr>
              <w:t>.</w:t>
            </w:r>
          </w:p>
        </w:tc>
      </w:tr>
      <w:tr w:rsidR="00342E14" w:rsidRPr="006D32A5" w14:paraId="4066F9C4" w14:textId="77777777" w:rsidTr="00DF0110">
        <w:tc>
          <w:tcPr>
            <w:tcW w:w="5000" w:type="pct"/>
            <w:gridSpan w:val="4"/>
            <w:shd w:val="clear" w:color="auto" w:fill="FFFFFF" w:themeFill="background1"/>
          </w:tcPr>
          <w:p w14:paraId="011FEA2A" w14:textId="77777777" w:rsidR="00342E14" w:rsidRPr="00C46970" w:rsidRDefault="00342E14" w:rsidP="00342E14">
            <w:pPr>
              <w:widowControl w:val="0"/>
              <w:ind w:left="94"/>
              <w:rPr>
                <w:rFonts w:ascii="Arial" w:hAnsi="Arial" w:cs="Arial"/>
                <w:highlight w:val="yellow"/>
              </w:rPr>
            </w:pPr>
            <w:r w:rsidRPr="00C46970">
              <w:rPr>
                <w:rFonts w:ascii="Arial" w:hAnsi="Arial" w:cs="Arial"/>
                <w:b/>
                <w:i/>
              </w:rPr>
              <w:t>Taxpayer advocate service</w:t>
            </w:r>
          </w:p>
        </w:tc>
      </w:tr>
      <w:tr w:rsidR="00DF0110" w:rsidRPr="006D32A5" w14:paraId="3ADE9823" w14:textId="77777777" w:rsidTr="00551765">
        <w:trPr>
          <w:trHeight w:val="601"/>
        </w:trPr>
        <w:tc>
          <w:tcPr>
            <w:tcW w:w="276" w:type="pct"/>
            <w:gridSpan w:val="2"/>
          </w:tcPr>
          <w:p w14:paraId="4988A9FF" w14:textId="77777777" w:rsidR="00DF0110" w:rsidRPr="00C46970" w:rsidRDefault="00DF0110" w:rsidP="00342E14">
            <w:pPr>
              <w:widowControl w:val="0"/>
              <w:rPr>
                <w:rFonts w:ascii="Arial" w:hAnsi="Arial" w:cs="Arial"/>
              </w:rPr>
            </w:pPr>
            <w:r w:rsidRPr="00C46970">
              <w:rPr>
                <w:rFonts w:ascii="Arial" w:hAnsi="Arial" w:cs="Arial"/>
              </w:rPr>
              <w:t>73</w:t>
            </w:r>
          </w:p>
        </w:tc>
        <w:tc>
          <w:tcPr>
            <w:tcW w:w="3200" w:type="pct"/>
            <w:shd w:val="clear" w:color="auto" w:fill="auto"/>
            <w:tcMar>
              <w:top w:w="0" w:type="dxa"/>
              <w:left w:w="108" w:type="dxa"/>
              <w:bottom w:w="0" w:type="dxa"/>
              <w:right w:w="108" w:type="dxa"/>
            </w:tcMar>
          </w:tcPr>
          <w:p w14:paraId="1AEE801E" w14:textId="77777777" w:rsidR="00DF0110" w:rsidRPr="00C46970" w:rsidRDefault="00DF0110" w:rsidP="00342E14">
            <w:pPr>
              <w:widowControl w:val="0"/>
              <w:spacing w:line="280" w:lineRule="atLeast"/>
              <w:rPr>
                <w:rFonts w:ascii="Arial" w:hAnsi="Arial" w:cs="Arial"/>
              </w:rPr>
            </w:pPr>
            <w:r w:rsidRPr="00C46970">
              <w:rPr>
                <w:rFonts w:ascii="Arial" w:hAnsi="Arial" w:cs="Arial"/>
              </w:rPr>
              <w:t>Establish a taxpayer advoca</w:t>
            </w:r>
            <w:r w:rsidR="00D10F46">
              <w:rPr>
                <w:rFonts w:ascii="Arial" w:hAnsi="Arial" w:cs="Arial"/>
              </w:rPr>
              <w:t>cy</w:t>
            </w:r>
            <w:r w:rsidRPr="00C46970">
              <w:rPr>
                <w:rFonts w:ascii="Arial" w:hAnsi="Arial" w:cs="Arial"/>
              </w:rPr>
              <w:t xml:space="preserve"> service to assist with the resolution of tax disputes.</w:t>
            </w:r>
          </w:p>
        </w:tc>
        <w:tc>
          <w:tcPr>
            <w:tcW w:w="1524" w:type="pct"/>
            <w:shd w:val="clear" w:color="auto" w:fill="D0CECE" w:themeFill="background2" w:themeFillShade="E6"/>
            <w:tcMar>
              <w:top w:w="0" w:type="dxa"/>
              <w:left w:w="108" w:type="dxa"/>
              <w:bottom w:w="0" w:type="dxa"/>
              <w:right w:w="108" w:type="dxa"/>
            </w:tcMar>
          </w:tcPr>
          <w:p w14:paraId="4AB5C8A1" w14:textId="77777777" w:rsidR="00DF0110" w:rsidRPr="00093B5A" w:rsidRDefault="00286F5C" w:rsidP="00342E14">
            <w:pPr>
              <w:widowControl w:val="0"/>
              <w:rPr>
                <w:rFonts w:ascii="Arial" w:hAnsi="Arial" w:cs="Arial"/>
                <w:b/>
              </w:rPr>
            </w:pPr>
            <w:r>
              <w:rPr>
                <w:rFonts w:ascii="Arial" w:hAnsi="Arial" w:cs="Arial"/>
                <w:b/>
              </w:rPr>
              <w:t>Agree n</w:t>
            </w:r>
            <w:r w:rsidR="00355A52" w:rsidRPr="00093B5A">
              <w:rPr>
                <w:rFonts w:ascii="Arial" w:hAnsi="Arial" w:cs="Arial"/>
                <w:b/>
              </w:rPr>
              <w:t>o further work required</w:t>
            </w:r>
            <w:r w:rsidR="00093B5A" w:rsidRPr="00093B5A">
              <w:rPr>
                <w:rFonts w:ascii="Arial" w:hAnsi="Arial" w:cs="Arial"/>
              </w:rPr>
              <w:t>.</w:t>
            </w:r>
          </w:p>
        </w:tc>
      </w:tr>
      <w:tr w:rsidR="00DF0110" w:rsidRPr="006D32A5" w14:paraId="12743718" w14:textId="77777777" w:rsidTr="00355A52">
        <w:tc>
          <w:tcPr>
            <w:tcW w:w="276" w:type="pct"/>
            <w:gridSpan w:val="2"/>
          </w:tcPr>
          <w:p w14:paraId="087F53C8"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74</w:t>
            </w:r>
          </w:p>
        </w:tc>
        <w:tc>
          <w:tcPr>
            <w:tcW w:w="3200" w:type="pct"/>
            <w:shd w:val="clear" w:color="auto" w:fill="auto"/>
            <w:tcMar>
              <w:top w:w="0" w:type="dxa"/>
              <w:left w:w="108" w:type="dxa"/>
              <w:bottom w:w="0" w:type="dxa"/>
              <w:right w:w="108" w:type="dxa"/>
            </w:tcMar>
          </w:tcPr>
          <w:p w14:paraId="17BDC3B3" w14:textId="77777777" w:rsidR="00DF0110" w:rsidRPr="00C46970" w:rsidRDefault="00DF0110" w:rsidP="00342E14">
            <w:pPr>
              <w:widowControl w:val="0"/>
              <w:spacing w:line="280" w:lineRule="atLeast"/>
              <w:rPr>
                <w:rFonts w:ascii="Arial" w:hAnsi="Arial" w:cs="Arial"/>
                <w:lang w:val="en" w:eastAsia="en-NZ"/>
              </w:rPr>
            </w:pPr>
            <w:r w:rsidRPr="00C46970">
              <w:rPr>
                <w:rFonts w:ascii="Arial" w:hAnsi="Arial" w:cs="Arial"/>
                <w:lang w:val="en" w:eastAsia="en-NZ"/>
              </w:rPr>
              <w:t>Consider a truncated tax disputes process for small taxpayers.</w:t>
            </w:r>
          </w:p>
        </w:tc>
        <w:tc>
          <w:tcPr>
            <w:tcW w:w="1524" w:type="pct"/>
            <w:shd w:val="clear" w:color="auto" w:fill="FFC000"/>
            <w:tcMar>
              <w:top w:w="0" w:type="dxa"/>
              <w:left w:w="108" w:type="dxa"/>
              <w:bottom w:w="0" w:type="dxa"/>
              <w:right w:w="108" w:type="dxa"/>
            </w:tcMar>
          </w:tcPr>
          <w:p w14:paraId="66096BAA" w14:textId="77777777" w:rsidR="00DF0110" w:rsidRPr="00093B5A"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342E14" w:rsidRPr="006D32A5" w14:paraId="32130D72" w14:textId="77777777" w:rsidTr="00DF0110">
        <w:tc>
          <w:tcPr>
            <w:tcW w:w="5000" w:type="pct"/>
            <w:gridSpan w:val="4"/>
            <w:shd w:val="clear" w:color="auto" w:fill="FFFFFF" w:themeFill="background1"/>
          </w:tcPr>
          <w:p w14:paraId="0F72617F" w14:textId="77777777" w:rsidR="00342E14" w:rsidRPr="00C46970" w:rsidRDefault="00342E14" w:rsidP="00E90BD7">
            <w:pPr>
              <w:keepNext/>
              <w:widowControl w:val="0"/>
              <w:ind w:left="96"/>
              <w:rPr>
                <w:rFonts w:ascii="Arial" w:hAnsi="Arial" w:cs="Arial"/>
                <w:highlight w:val="yellow"/>
              </w:rPr>
            </w:pPr>
            <w:r w:rsidRPr="00C46970">
              <w:rPr>
                <w:rFonts w:ascii="Arial" w:hAnsi="Arial" w:cs="Arial"/>
                <w:b/>
                <w:i/>
              </w:rPr>
              <w:t>The development of tax policy</w:t>
            </w:r>
          </w:p>
        </w:tc>
      </w:tr>
      <w:tr w:rsidR="00DF0110" w:rsidRPr="006D32A5" w14:paraId="09E7AAE3" w14:textId="77777777" w:rsidTr="00355A52">
        <w:trPr>
          <w:gridBefore w:val="1"/>
          <w:wBefore w:w="5" w:type="pct"/>
        </w:trPr>
        <w:tc>
          <w:tcPr>
            <w:tcW w:w="271" w:type="pct"/>
            <w:shd w:val="clear" w:color="auto" w:fill="FFFFFF"/>
          </w:tcPr>
          <w:p w14:paraId="1FF78CC2" w14:textId="77777777" w:rsidR="00DF0110" w:rsidRPr="00C46970" w:rsidRDefault="00DF0110" w:rsidP="00342E14">
            <w:pPr>
              <w:widowControl w:val="0"/>
              <w:spacing w:line="280" w:lineRule="atLeast"/>
              <w:rPr>
                <w:rFonts w:ascii="Arial" w:hAnsi="Arial" w:cs="Arial"/>
              </w:rPr>
            </w:pPr>
            <w:r w:rsidRPr="00C46970">
              <w:rPr>
                <w:rFonts w:ascii="Arial" w:hAnsi="Arial" w:cs="Arial"/>
              </w:rPr>
              <w:t>75</w:t>
            </w:r>
          </w:p>
        </w:tc>
        <w:tc>
          <w:tcPr>
            <w:tcW w:w="3200" w:type="pct"/>
            <w:shd w:val="clear" w:color="auto" w:fill="FFFFFF"/>
            <w:tcMar>
              <w:top w:w="0" w:type="dxa"/>
              <w:left w:w="108" w:type="dxa"/>
              <w:bottom w:w="0" w:type="dxa"/>
              <w:right w:w="108" w:type="dxa"/>
            </w:tcMar>
          </w:tcPr>
          <w:p w14:paraId="76DFA6BF" w14:textId="77777777" w:rsidR="00DF0110" w:rsidRPr="00C46970" w:rsidRDefault="00DF0110" w:rsidP="00342E14">
            <w:pPr>
              <w:widowControl w:val="0"/>
              <w:spacing w:line="280" w:lineRule="atLeast"/>
              <w:rPr>
                <w:rFonts w:ascii="Arial" w:hAnsi="Arial" w:cs="Arial"/>
              </w:rPr>
            </w:pPr>
            <w:r w:rsidRPr="00C46970">
              <w:rPr>
                <w:rFonts w:ascii="Arial" w:hAnsi="Arial" w:cs="Arial"/>
              </w:rPr>
              <w:t>The following principles should be applied in public engagement on tax policy:</w:t>
            </w:r>
          </w:p>
          <w:p w14:paraId="7D0CD708" w14:textId="77777777" w:rsidR="00DF0110" w:rsidRPr="00C46970" w:rsidRDefault="00DF0110" w:rsidP="00D11C7B">
            <w:pPr>
              <w:pStyle w:val="ListParagraph"/>
              <w:widowControl w:val="0"/>
              <w:numPr>
                <w:ilvl w:val="0"/>
                <w:numId w:val="9"/>
              </w:numPr>
              <w:spacing w:after="0" w:line="280" w:lineRule="atLeast"/>
              <w:rPr>
                <w:rFonts w:ascii="Arial" w:hAnsi="Arial" w:cs="Arial"/>
              </w:rPr>
            </w:pPr>
            <w:r w:rsidRPr="00C46970">
              <w:rPr>
                <w:rFonts w:ascii="Arial" w:hAnsi="Arial" w:cs="Arial"/>
              </w:rPr>
              <w:t xml:space="preserve">Good faith engagement by all participants. </w:t>
            </w:r>
          </w:p>
          <w:p w14:paraId="70A2529A" w14:textId="77777777" w:rsidR="00DF0110" w:rsidRPr="00C46970" w:rsidRDefault="00DF0110" w:rsidP="00D11C7B">
            <w:pPr>
              <w:pStyle w:val="ListParagraph"/>
              <w:widowControl w:val="0"/>
              <w:numPr>
                <w:ilvl w:val="0"/>
                <w:numId w:val="9"/>
              </w:numPr>
              <w:spacing w:after="0" w:line="280" w:lineRule="atLeast"/>
              <w:rPr>
                <w:rFonts w:ascii="Arial" w:hAnsi="Arial" w:cs="Arial"/>
              </w:rPr>
            </w:pPr>
            <w:r w:rsidRPr="00C46970">
              <w:rPr>
                <w:rFonts w:ascii="Arial" w:hAnsi="Arial" w:cs="Arial"/>
              </w:rPr>
              <w:t xml:space="preserve">Engagement with a wider range of stakeholders, particularly including greater engagement with Māori (guided by the Government’s </w:t>
            </w:r>
            <w:r w:rsidR="002136DC" w:rsidRPr="00C46970">
              <w:rPr>
                <w:rFonts w:ascii="Arial" w:hAnsi="Arial" w:cs="Arial"/>
              </w:rPr>
              <w:t>Māori/Crown engagement framework</w:t>
            </w:r>
            <w:r w:rsidRPr="00C46970">
              <w:rPr>
                <w:rFonts w:ascii="Arial" w:hAnsi="Arial" w:cs="Arial"/>
              </w:rPr>
              <w:t>).</w:t>
            </w:r>
          </w:p>
          <w:p w14:paraId="1E47D229" w14:textId="77777777" w:rsidR="00DF0110" w:rsidRPr="00C46970" w:rsidRDefault="00DF0110" w:rsidP="00D11C7B">
            <w:pPr>
              <w:pStyle w:val="ListParagraph"/>
              <w:widowControl w:val="0"/>
              <w:numPr>
                <w:ilvl w:val="0"/>
                <w:numId w:val="9"/>
              </w:numPr>
              <w:spacing w:after="0" w:line="280" w:lineRule="atLeast"/>
              <w:rPr>
                <w:rFonts w:ascii="Arial" w:hAnsi="Arial" w:cs="Arial"/>
              </w:rPr>
            </w:pPr>
            <w:r w:rsidRPr="00C46970">
              <w:rPr>
                <w:rFonts w:ascii="Arial" w:hAnsi="Arial" w:cs="Arial"/>
              </w:rPr>
              <w:t>Earlier and more frequent engagement.</w:t>
            </w:r>
          </w:p>
          <w:p w14:paraId="44563E3E" w14:textId="77777777" w:rsidR="00DF0110" w:rsidRPr="00C46970" w:rsidRDefault="00DF0110" w:rsidP="00D11C7B">
            <w:pPr>
              <w:pStyle w:val="ListParagraph"/>
              <w:widowControl w:val="0"/>
              <w:numPr>
                <w:ilvl w:val="0"/>
                <w:numId w:val="9"/>
              </w:numPr>
              <w:spacing w:after="0" w:line="280" w:lineRule="atLeast"/>
              <w:rPr>
                <w:rFonts w:ascii="Arial" w:hAnsi="Arial" w:cs="Arial"/>
              </w:rPr>
            </w:pPr>
            <w:r w:rsidRPr="00C46970">
              <w:rPr>
                <w:rFonts w:ascii="Arial" w:hAnsi="Arial" w:cs="Arial"/>
              </w:rPr>
              <w:t>The use of a greater variety of engagement methods.</w:t>
            </w:r>
          </w:p>
          <w:p w14:paraId="3B9EB813" w14:textId="77777777" w:rsidR="00DF0110" w:rsidRPr="00C46970" w:rsidRDefault="00DF0110" w:rsidP="00D11C7B">
            <w:pPr>
              <w:pStyle w:val="ListParagraph"/>
              <w:widowControl w:val="0"/>
              <w:numPr>
                <w:ilvl w:val="0"/>
                <w:numId w:val="9"/>
              </w:numPr>
              <w:spacing w:after="0" w:line="280" w:lineRule="atLeast"/>
              <w:rPr>
                <w:rFonts w:ascii="Arial" w:hAnsi="Arial" w:cs="Arial"/>
              </w:rPr>
            </w:pPr>
            <w:r w:rsidRPr="00C46970">
              <w:rPr>
                <w:rFonts w:ascii="Arial" w:hAnsi="Arial" w:cs="Arial"/>
              </w:rPr>
              <w:t>Greater transparency and accountability on the part of the Government.</w:t>
            </w:r>
          </w:p>
        </w:tc>
        <w:tc>
          <w:tcPr>
            <w:tcW w:w="1524" w:type="pct"/>
            <w:shd w:val="clear" w:color="auto" w:fill="5B9BD5" w:themeFill="accent1"/>
            <w:tcMar>
              <w:top w:w="0" w:type="dxa"/>
              <w:left w:w="108" w:type="dxa"/>
              <w:bottom w:w="0" w:type="dxa"/>
              <w:right w:w="108" w:type="dxa"/>
            </w:tcMar>
          </w:tcPr>
          <w:p w14:paraId="53088BCA" w14:textId="180EE89E" w:rsidR="00DF0110" w:rsidRPr="00C46970" w:rsidRDefault="00286F5C" w:rsidP="00FA43D8">
            <w:pPr>
              <w:widowControl w:val="0"/>
              <w:rPr>
                <w:rFonts w:ascii="Arial" w:hAnsi="Arial" w:cs="Arial"/>
              </w:rPr>
            </w:pPr>
            <w:r>
              <w:rPr>
                <w:rFonts w:ascii="Arial" w:hAnsi="Arial" w:cs="Arial"/>
                <w:b/>
              </w:rPr>
              <w:t>Note w</w:t>
            </w:r>
            <w:r w:rsidR="00355A52" w:rsidRPr="005E5053">
              <w:rPr>
                <w:rFonts w:ascii="Arial" w:hAnsi="Arial" w:cs="Arial"/>
                <w:b/>
              </w:rPr>
              <w:t xml:space="preserve">ork </w:t>
            </w:r>
            <w:r>
              <w:rPr>
                <w:rFonts w:ascii="Arial" w:hAnsi="Arial" w:cs="Arial"/>
                <w:b/>
              </w:rPr>
              <w:t xml:space="preserve">already </w:t>
            </w:r>
            <w:r w:rsidR="00355A52" w:rsidRPr="005E5053">
              <w:rPr>
                <w:rFonts w:ascii="Arial" w:hAnsi="Arial" w:cs="Arial"/>
                <w:b/>
              </w:rPr>
              <w:t>underway</w:t>
            </w:r>
            <w:r w:rsidR="000C1797">
              <w:rPr>
                <w:rFonts w:ascii="Arial" w:hAnsi="Arial" w:cs="Arial"/>
              </w:rPr>
              <w:t xml:space="preserve"> –</w:t>
            </w:r>
            <w:r w:rsidR="00093B5A">
              <w:rPr>
                <w:rFonts w:ascii="Arial" w:hAnsi="Arial" w:cs="Arial"/>
              </w:rPr>
              <w:t xml:space="preserve"> </w:t>
            </w:r>
            <w:r w:rsidR="005E5053">
              <w:rPr>
                <w:rFonts w:ascii="Arial" w:hAnsi="Arial" w:cs="Arial"/>
              </w:rPr>
              <w:t>o</w:t>
            </w:r>
            <w:r w:rsidR="005E5053" w:rsidRPr="005E5053">
              <w:rPr>
                <w:rFonts w:ascii="Arial" w:hAnsi="Arial" w:cs="Arial"/>
              </w:rPr>
              <w:t xml:space="preserve">fficials have provided </w:t>
            </w:r>
            <w:r w:rsidR="00FA43D8">
              <w:rPr>
                <w:rFonts w:ascii="Arial" w:hAnsi="Arial" w:cs="Arial"/>
              </w:rPr>
              <w:t>Ministers</w:t>
            </w:r>
            <w:r w:rsidR="005E5053" w:rsidRPr="005E5053">
              <w:rPr>
                <w:rFonts w:ascii="Arial" w:hAnsi="Arial" w:cs="Arial"/>
              </w:rPr>
              <w:t xml:space="preserve"> with a public engagement framework which incorporates the principles recommended by the TWG</w:t>
            </w:r>
            <w:r w:rsidR="005E5053">
              <w:rPr>
                <w:rFonts w:ascii="Arial" w:hAnsi="Arial" w:cs="Arial"/>
              </w:rPr>
              <w:t xml:space="preserve">. </w:t>
            </w:r>
            <w:r w:rsidR="00FA43D8">
              <w:rPr>
                <w:rFonts w:ascii="Arial" w:hAnsi="Arial" w:cs="Arial"/>
              </w:rPr>
              <w:t>Ministers</w:t>
            </w:r>
            <w:r w:rsidR="005E5053">
              <w:rPr>
                <w:rFonts w:ascii="Arial" w:hAnsi="Arial" w:cs="Arial"/>
              </w:rPr>
              <w:t xml:space="preserve"> are considering releasing this framework for public feedback.</w:t>
            </w:r>
          </w:p>
        </w:tc>
      </w:tr>
      <w:tr w:rsidR="00DF0110" w:rsidRPr="006D32A5" w14:paraId="02E39799" w14:textId="77777777" w:rsidTr="00355A52">
        <w:tc>
          <w:tcPr>
            <w:tcW w:w="276" w:type="pct"/>
            <w:gridSpan w:val="2"/>
            <w:shd w:val="clear" w:color="auto" w:fill="FFFFFF"/>
          </w:tcPr>
          <w:p w14:paraId="17938C87" w14:textId="77777777" w:rsidR="00DF0110" w:rsidRPr="00C46970" w:rsidRDefault="00DF0110" w:rsidP="00342E14">
            <w:pPr>
              <w:widowControl w:val="0"/>
              <w:spacing w:line="280" w:lineRule="atLeast"/>
              <w:rPr>
                <w:rFonts w:ascii="Arial" w:hAnsi="Arial" w:cs="Arial"/>
              </w:rPr>
            </w:pPr>
            <w:r w:rsidRPr="00C46970">
              <w:rPr>
                <w:rFonts w:ascii="Arial" w:hAnsi="Arial" w:cs="Arial"/>
              </w:rPr>
              <w:t>76</w:t>
            </w:r>
          </w:p>
        </w:tc>
        <w:tc>
          <w:tcPr>
            <w:tcW w:w="3200" w:type="pct"/>
            <w:shd w:val="clear" w:color="auto" w:fill="FFFFFF"/>
            <w:tcMar>
              <w:top w:w="0" w:type="dxa"/>
              <w:left w:w="108" w:type="dxa"/>
              <w:bottom w:w="0" w:type="dxa"/>
              <w:right w:w="108" w:type="dxa"/>
            </w:tcMar>
          </w:tcPr>
          <w:p w14:paraId="1282C427"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TWG notes the need for the Treasury to play a strong role in tax policy development, and the importance of Inland Revenue maintaining deep technical expertise and strategic policy capability.  </w:t>
            </w:r>
          </w:p>
        </w:tc>
        <w:tc>
          <w:tcPr>
            <w:tcW w:w="1524" w:type="pct"/>
            <w:shd w:val="clear" w:color="auto" w:fill="5B9BD5" w:themeFill="accent1"/>
            <w:tcMar>
              <w:top w:w="0" w:type="dxa"/>
              <w:left w:w="108" w:type="dxa"/>
              <w:bottom w:w="0" w:type="dxa"/>
              <w:right w:w="108" w:type="dxa"/>
            </w:tcMar>
          </w:tcPr>
          <w:p w14:paraId="3DABCCFB" w14:textId="77777777" w:rsidR="00DF0110" w:rsidRPr="00C46970" w:rsidRDefault="00286F5C" w:rsidP="00342E14">
            <w:pPr>
              <w:widowControl w:val="0"/>
              <w:rPr>
                <w:rFonts w:ascii="Arial" w:hAnsi="Arial" w:cs="Arial"/>
              </w:rPr>
            </w:pPr>
            <w:r>
              <w:rPr>
                <w:rFonts w:ascii="Arial" w:hAnsi="Arial" w:cs="Arial"/>
                <w:b/>
              </w:rPr>
              <w:t>Note w</w:t>
            </w:r>
            <w:r w:rsidRPr="005E5053">
              <w:rPr>
                <w:rFonts w:ascii="Arial" w:hAnsi="Arial" w:cs="Arial"/>
                <w:b/>
              </w:rPr>
              <w:t xml:space="preserve">ork </w:t>
            </w:r>
            <w:r>
              <w:rPr>
                <w:rFonts w:ascii="Arial" w:hAnsi="Arial" w:cs="Arial"/>
                <w:b/>
              </w:rPr>
              <w:t xml:space="preserve">already </w:t>
            </w:r>
            <w:r w:rsidRPr="005E5053">
              <w:rPr>
                <w:rFonts w:ascii="Arial" w:hAnsi="Arial" w:cs="Arial"/>
                <w:b/>
              </w:rPr>
              <w:t>underway</w:t>
            </w:r>
            <w:r>
              <w:rPr>
                <w:rFonts w:ascii="Arial" w:hAnsi="Arial" w:cs="Arial"/>
              </w:rPr>
              <w:t xml:space="preserve"> </w:t>
            </w:r>
            <w:r w:rsidR="000C1797">
              <w:rPr>
                <w:rFonts w:ascii="Arial" w:hAnsi="Arial" w:cs="Arial"/>
              </w:rPr>
              <w:t xml:space="preserve">– </w:t>
            </w:r>
            <w:r w:rsidR="005E5053" w:rsidRPr="005E5053">
              <w:rPr>
                <w:rFonts w:ascii="Arial" w:hAnsi="Arial" w:cs="Arial"/>
              </w:rPr>
              <w:t xml:space="preserve">Inland Revenue continues to be committed to investing in the technical skills and capability of </w:t>
            </w:r>
            <w:r w:rsidR="005E5053">
              <w:rPr>
                <w:rFonts w:ascii="Arial" w:hAnsi="Arial" w:cs="Arial"/>
              </w:rPr>
              <w:t>their</w:t>
            </w:r>
            <w:r w:rsidR="005E5053" w:rsidRPr="005E5053">
              <w:rPr>
                <w:rFonts w:ascii="Arial" w:hAnsi="Arial" w:cs="Arial"/>
              </w:rPr>
              <w:t xml:space="preserve"> investigation staff.</w:t>
            </w:r>
          </w:p>
        </w:tc>
      </w:tr>
      <w:tr w:rsidR="00342E14" w:rsidRPr="006D32A5" w14:paraId="344FA5EB" w14:textId="77777777" w:rsidTr="00DF0110">
        <w:trPr>
          <w:trHeight w:val="363"/>
        </w:trPr>
        <w:tc>
          <w:tcPr>
            <w:tcW w:w="5000" w:type="pct"/>
            <w:gridSpan w:val="4"/>
            <w:shd w:val="clear" w:color="auto" w:fill="000000" w:themeFill="text1"/>
            <w:vAlign w:val="center"/>
          </w:tcPr>
          <w:p w14:paraId="703B76F6" w14:textId="77777777" w:rsidR="00342E14" w:rsidRPr="00C46970" w:rsidRDefault="00342E14" w:rsidP="00342E14">
            <w:pPr>
              <w:widowControl w:val="0"/>
              <w:ind w:left="94"/>
              <w:rPr>
                <w:rFonts w:ascii="Arial" w:hAnsi="Arial" w:cs="Arial"/>
                <w:color w:val="FFFFFF" w:themeColor="background1"/>
                <w:highlight w:val="yellow"/>
              </w:rPr>
            </w:pPr>
            <w:r w:rsidRPr="00C46970">
              <w:rPr>
                <w:rFonts w:ascii="Arial" w:hAnsi="Arial" w:cs="Arial"/>
                <w:b/>
                <w:color w:val="FFFFFF" w:themeColor="background1"/>
              </w:rPr>
              <w:t>Legislative frameworks</w:t>
            </w:r>
          </w:p>
        </w:tc>
      </w:tr>
      <w:tr w:rsidR="00DF0110" w:rsidRPr="006D32A5" w14:paraId="51618BB4" w14:textId="77777777" w:rsidTr="00B42D4C">
        <w:tc>
          <w:tcPr>
            <w:tcW w:w="276" w:type="pct"/>
            <w:gridSpan w:val="2"/>
            <w:shd w:val="clear" w:color="auto" w:fill="FFFFFF"/>
          </w:tcPr>
          <w:p w14:paraId="6E9CFE29" w14:textId="77777777" w:rsidR="00DF0110" w:rsidRPr="00C46970" w:rsidRDefault="00DF0110" w:rsidP="00342E14">
            <w:pPr>
              <w:widowControl w:val="0"/>
              <w:spacing w:line="280" w:lineRule="atLeast"/>
              <w:rPr>
                <w:rFonts w:ascii="Arial" w:hAnsi="Arial" w:cs="Arial"/>
              </w:rPr>
            </w:pPr>
            <w:r w:rsidRPr="00C46970">
              <w:rPr>
                <w:rFonts w:ascii="Arial" w:hAnsi="Arial" w:cs="Arial"/>
              </w:rPr>
              <w:t>77a</w:t>
            </w:r>
          </w:p>
        </w:tc>
        <w:tc>
          <w:tcPr>
            <w:tcW w:w="3200" w:type="pct"/>
            <w:shd w:val="clear" w:color="auto" w:fill="FFFFFF"/>
            <w:tcMar>
              <w:top w:w="0" w:type="dxa"/>
              <w:left w:w="108" w:type="dxa"/>
              <w:bottom w:w="0" w:type="dxa"/>
              <w:right w:w="108" w:type="dxa"/>
            </w:tcMar>
          </w:tcPr>
          <w:p w14:paraId="17CF6A47"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TWG encourages the continuing use of purpose clauses where appropriate.  </w:t>
            </w:r>
          </w:p>
        </w:tc>
        <w:tc>
          <w:tcPr>
            <w:tcW w:w="1524" w:type="pct"/>
            <w:shd w:val="clear" w:color="auto" w:fill="D0CECE"/>
            <w:tcMar>
              <w:top w:w="0" w:type="dxa"/>
              <w:left w:w="108" w:type="dxa"/>
              <w:bottom w:w="0" w:type="dxa"/>
              <w:right w:w="108" w:type="dxa"/>
            </w:tcMar>
          </w:tcPr>
          <w:p w14:paraId="0B2CD12E" w14:textId="77777777" w:rsidR="00DF0110" w:rsidRPr="005E5053" w:rsidRDefault="00286F5C" w:rsidP="00342E14">
            <w:pPr>
              <w:widowControl w:val="0"/>
              <w:rPr>
                <w:rFonts w:ascii="Arial" w:hAnsi="Arial" w:cs="Arial"/>
                <w:b/>
              </w:rPr>
            </w:pPr>
            <w:r>
              <w:rPr>
                <w:rFonts w:ascii="Arial" w:hAnsi="Arial" w:cs="Arial"/>
                <w:b/>
              </w:rPr>
              <w:t>Agree n</w:t>
            </w:r>
            <w:r w:rsidR="00355A52" w:rsidRPr="005E5053">
              <w:rPr>
                <w:rFonts w:ascii="Arial" w:hAnsi="Arial" w:cs="Arial"/>
                <w:b/>
              </w:rPr>
              <w:t>o further work required</w:t>
            </w:r>
          </w:p>
        </w:tc>
      </w:tr>
      <w:tr w:rsidR="00FC48B3" w:rsidRPr="006D32A5" w14:paraId="4C318BFD" w14:textId="77777777" w:rsidTr="008763CA">
        <w:tc>
          <w:tcPr>
            <w:tcW w:w="276" w:type="pct"/>
            <w:gridSpan w:val="2"/>
            <w:shd w:val="clear" w:color="auto" w:fill="FFFFFF"/>
          </w:tcPr>
          <w:p w14:paraId="263968DC" w14:textId="77777777" w:rsidR="00FC48B3" w:rsidRPr="00C46970" w:rsidRDefault="00FC48B3" w:rsidP="00FC48B3">
            <w:pPr>
              <w:widowControl w:val="0"/>
              <w:spacing w:line="280" w:lineRule="atLeast"/>
              <w:rPr>
                <w:rFonts w:ascii="Arial" w:hAnsi="Arial" w:cs="Arial"/>
              </w:rPr>
            </w:pPr>
            <w:r w:rsidRPr="00C46970">
              <w:rPr>
                <w:rFonts w:ascii="Arial" w:hAnsi="Arial" w:cs="Arial"/>
              </w:rPr>
              <w:t>77b</w:t>
            </w:r>
          </w:p>
        </w:tc>
        <w:tc>
          <w:tcPr>
            <w:tcW w:w="3200" w:type="pct"/>
            <w:shd w:val="clear" w:color="auto" w:fill="FFFFFF"/>
            <w:tcMar>
              <w:top w:w="0" w:type="dxa"/>
              <w:left w:w="108" w:type="dxa"/>
              <w:bottom w:w="0" w:type="dxa"/>
              <w:right w:w="108" w:type="dxa"/>
            </w:tcMar>
          </w:tcPr>
          <w:p w14:paraId="03788C0E" w14:textId="77777777" w:rsidR="00FC48B3" w:rsidRPr="00C46970" w:rsidRDefault="00FC48B3" w:rsidP="00FC48B3">
            <w:pPr>
              <w:widowControl w:val="0"/>
              <w:spacing w:line="280" w:lineRule="atLeast"/>
              <w:rPr>
                <w:rFonts w:ascii="Arial" w:hAnsi="Arial" w:cs="Arial"/>
              </w:rPr>
            </w:pPr>
            <w:r>
              <w:rPr>
                <w:rFonts w:ascii="Arial" w:hAnsi="Arial" w:cs="Arial"/>
              </w:rPr>
              <w:t>I</w:t>
            </w:r>
            <w:r w:rsidRPr="00C46970">
              <w:rPr>
                <w:rFonts w:ascii="Arial" w:hAnsi="Arial" w:cs="Arial"/>
              </w:rPr>
              <w:t>nclu</w:t>
            </w:r>
            <w:r>
              <w:rPr>
                <w:rFonts w:ascii="Arial" w:hAnsi="Arial" w:cs="Arial"/>
              </w:rPr>
              <w:t>de</w:t>
            </w:r>
            <w:r w:rsidRPr="00C46970">
              <w:rPr>
                <w:rFonts w:ascii="Arial" w:hAnsi="Arial" w:cs="Arial"/>
              </w:rPr>
              <w:t xml:space="preserve"> an overriding purpose clause in the Tax Administration Act 1994 to specify Parliament’s purpose in levying taxation.</w:t>
            </w:r>
          </w:p>
        </w:tc>
        <w:tc>
          <w:tcPr>
            <w:tcW w:w="1524" w:type="pct"/>
            <w:shd w:val="clear" w:color="auto" w:fill="D9D9D9" w:themeFill="background1" w:themeFillShade="D9"/>
            <w:tcMar>
              <w:top w:w="0" w:type="dxa"/>
              <w:left w:w="108" w:type="dxa"/>
              <w:bottom w:w="0" w:type="dxa"/>
              <w:right w:w="108" w:type="dxa"/>
            </w:tcMar>
          </w:tcPr>
          <w:p w14:paraId="42A1972E" w14:textId="77777777" w:rsidR="00FC48B3" w:rsidRPr="005E5053" w:rsidRDefault="00FC48B3" w:rsidP="00FC48B3">
            <w:pPr>
              <w:widowControl w:val="0"/>
              <w:rPr>
                <w:rFonts w:ascii="Arial" w:hAnsi="Arial" w:cs="Arial"/>
                <w:b/>
              </w:rPr>
            </w:pPr>
            <w:r>
              <w:rPr>
                <w:rFonts w:ascii="Arial" w:hAnsi="Arial" w:cs="Arial"/>
                <w:b/>
              </w:rPr>
              <w:t>Agree n</w:t>
            </w:r>
            <w:r w:rsidRPr="005E5053">
              <w:rPr>
                <w:rFonts w:ascii="Arial" w:hAnsi="Arial" w:cs="Arial"/>
                <w:b/>
              </w:rPr>
              <w:t>o further work required</w:t>
            </w:r>
          </w:p>
        </w:tc>
      </w:tr>
      <w:tr w:rsidR="00342E14" w:rsidRPr="006D32A5" w14:paraId="208D5760" w14:textId="77777777" w:rsidTr="00DF0110">
        <w:trPr>
          <w:trHeight w:val="420"/>
        </w:trPr>
        <w:tc>
          <w:tcPr>
            <w:tcW w:w="5000" w:type="pct"/>
            <w:gridSpan w:val="4"/>
            <w:shd w:val="clear" w:color="auto" w:fill="000000" w:themeFill="text1"/>
            <w:vAlign w:val="center"/>
          </w:tcPr>
          <w:p w14:paraId="23D43F4E" w14:textId="77777777" w:rsidR="00342E14" w:rsidRPr="00C46970" w:rsidRDefault="00342E14" w:rsidP="00342E14">
            <w:pPr>
              <w:widowControl w:val="0"/>
              <w:ind w:left="94"/>
              <w:rPr>
                <w:rFonts w:ascii="Arial" w:hAnsi="Arial" w:cs="Arial"/>
                <w:color w:val="FFFFFF" w:themeColor="background1"/>
                <w:highlight w:val="yellow"/>
              </w:rPr>
            </w:pPr>
            <w:r w:rsidRPr="00C46970">
              <w:rPr>
                <w:rFonts w:ascii="Arial" w:hAnsi="Arial" w:cs="Arial"/>
                <w:b/>
                <w:color w:val="FFFFFF" w:themeColor="background1"/>
              </w:rPr>
              <w:t>Charities</w:t>
            </w:r>
          </w:p>
        </w:tc>
      </w:tr>
      <w:tr w:rsidR="00DF0110" w:rsidRPr="006D32A5" w14:paraId="31CF05E4" w14:textId="77777777" w:rsidTr="00355A52">
        <w:tc>
          <w:tcPr>
            <w:tcW w:w="276" w:type="pct"/>
            <w:gridSpan w:val="2"/>
            <w:shd w:val="clear" w:color="auto" w:fill="FFFFFF"/>
          </w:tcPr>
          <w:p w14:paraId="695DAEA7" w14:textId="77777777" w:rsidR="00DF0110" w:rsidRPr="00C46970" w:rsidRDefault="00DF0110" w:rsidP="00342E14">
            <w:pPr>
              <w:widowControl w:val="0"/>
              <w:spacing w:line="280" w:lineRule="atLeast"/>
              <w:rPr>
                <w:rFonts w:ascii="Arial" w:hAnsi="Arial" w:cs="Arial"/>
              </w:rPr>
            </w:pPr>
            <w:r w:rsidRPr="00C46970">
              <w:rPr>
                <w:rFonts w:ascii="Arial" w:hAnsi="Arial" w:cs="Arial"/>
              </w:rPr>
              <w:t>78</w:t>
            </w:r>
          </w:p>
        </w:tc>
        <w:tc>
          <w:tcPr>
            <w:tcW w:w="3200" w:type="pct"/>
            <w:shd w:val="clear" w:color="auto" w:fill="FFFFFF"/>
            <w:tcMar>
              <w:top w:w="0" w:type="dxa"/>
              <w:left w:w="108" w:type="dxa"/>
              <w:bottom w:w="0" w:type="dxa"/>
              <w:right w:w="108" w:type="dxa"/>
            </w:tcMar>
          </w:tcPr>
          <w:p w14:paraId="4A022006" w14:textId="77777777" w:rsidR="00DF0110" w:rsidRPr="00C46970" w:rsidRDefault="00DF0110" w:rsidP="00342E14">
            <w:pPr>
              <w:widowControl w:val="0"/>
              <w:spacing w:line="280" w:lineRule="atLeast"/>
              <w:rPr>
                <w:rFonts w:ascii="Arial" w:hAnsi="Arial" w:cs="Arial"/>
                <w:b/>
              </w:rPr>
            </w:pPr>
            <w:r w:rsidRPr="00C46970">
              <w:rPr>
                <w:rFonts w:ascii="Arial" w:hAnsi="Arial" w:cs="Arial"/>
              </w:rPr>
              <w:t xml:space="preserve">Periodically review the charitable sector’s use of what would otherwise be tax revenue to verify that intended social outcomes are being achieved.    </w:t>
            </w:r>
          </w:p>
        </w:tc>
        <w:tc>
          <w:tcPr>
            <w:tcW w:w="1524" w:type="pct"/>
            <w:shd w:val="clear" w:color="auto" w:fill="5B9BD5" w:themeFill="accent1"/>
            <w:tcMar>
              <w:top w:w="0" w:type="dxa"/>
              <w:left w:w="108" w:type="dxa"/>
              <w:bottom w:w="0" w:type="dxa"/>
              <w:right w:w="108" w:type="dxa"/>
            </w:tcMar>
          </w:tcPr>
          <w:p w14:paraId="4E935A79" w14:textId="77777777" w:rsidR="005E5053" w:rsidRDefault="00286F5C" w:rsidP="00342E14">
            <w:pPr>
              <w:widowControl w:val="0"/>
              <w:rPr>
                <w:rFonts w:ascii="Arial" w:hAnsi="Arial" w:cs="Arial"/>
              </w:rPr>
            </w:pPr>
            <w:r>
              <w:rPr>
                <w:rFonts w:ascii="Arial" w:hAnsi="Arial" w:cs="Arial"/>
                <w:b/>
              </w:rPr>
              <w:t>Note w</w:t>
            </w:r>
            <w:r w:rsidR="00355A52" w:rsidRPr="005E5053">
              <w:rPr>
                <w:rFonts w:ascii="Arial" w:hAnsi="Arial" w:cs="Arial"/>
                <w:b/>
              </w:rPr>
              <w:t>ork</w:t>
            </w:r>
            <w:r>
              <w:rPr>
                <w:rFonts w:ascii="Arial" w:hAnsi="Arial" w:cs="Arial"/>
                <w:b/>
              </w:rPr>
              <w:t xml:space="preserve"> already</w:t>
            </w:r>
            <w:r w:rsidR="00355A52" w:rsidRPr="005E5053">
              <w:rPr>
                <w:rFonts w:ascii="Arial" w:hAnsi="Arial" w:cs="Arial"/>
                <w:b/>
              </w:rPr>
              <w:t xml:space="preserve"> underway</w:t>
            </w:r>
            <w:r w:rsidR="000C1797">
              <w:rPr>
                <w:rFonts w:ascii="Arial" w:hAnsi="Arial" w:cs="Arial"/>
              </w:rPr>
              <w:t xml:space="preserve"> –</w:t>
            </w:r>
            <w:r w:rsidR="005E5053">
              <w:rPr>
                <w:rFonts w:ascii="Arial" w:hAnsi="Arial" w:cs="Arial"/>
              </w:rPr>
              <w:t xml:space="preserve"> t</w:t>
            </w:r>
            <w:r w:rsidR="005E5053" w:rsidRPr="005E5053">
              <w:rPr>
                <w:rFonts w:ascii="Arial" w:hAnsi="Arial" w:cs="Arial"/>
              </w:rPr>
              <w:t xml:space="preserve">he Government added a review of charities and non-profit organisations to the </w:t>
            </w:r>
            <w:r w:rsidR="00D10F46">
              <w:rPr>
                <w:rFonts w:ascii="Arial" w:hAnsi="Arial" w:cs="Arial"/>
              </w:rPr>
              <w:t>TPWP</w:t>
            </w:r>
            <w:r w:rsidR="005E5053" w:rsidRPr="005E5053">
              <w:rPr>
                <w:rFonts w:ascii="Arial" w:hAnsi="Arial" w:cs="Arial"/>
              </w:rPr>
              <w:t xml:space="preserve"> in 2018</w:t>
            </w:r>
            <w:r w:rsidR="00D10F46">
              <w:rPr>
                <w:rFonts w:ascii="Arial" w:hAnsi="Arial" w:cs="Arial"/>
              </w:rPr>
              <w:t>.</w:t>
            </w:r>
          </w:p>
          <w:p w14:paraId="0602BB10" w14:textId="77777777" w:rsidR="00DF0110" w:rsidRPr="00C46970" w:rsidRDefault="00D10F46" w:rsidP="00342E14">
            <w:pPr>
              <w:widowControl w:val="0"/>
              <w:rPr>
                <w:rFonts w:ascii="Arial" w:hAnsi="Arial" w:cs="Arial"/>
              </w:rPr>
            </w:pPr>
            <w:r w:rsidRPr="005E5053">
              <w:rPr>
                <w:rFonts w:ascii="Arial" w:hAnsi="Arial" w:cs="Arial"/>
              </w:rPr>
              <w:t>D</w:t>
            </w:r>
            <w:r>
              <w:rPr>
                <w:rFonts w:ascii="Arial" w:hAnsi="Arial" w:cs="Arial"/>
              </w:rPr>
              <w:t>epartment of Internal Affairs (</w:t>
            </w:r>
            <w:r w:rsidR="005E5053" w:rsidRPr="005E5053">
              <w:rPr>
                <w:rFonts w:ascii="Arial" w:hAnsi="Arial" w:cs="Arial"/>
              </w:rPr>
              <w:t>on behalf of the Minister for the Community and Voluntary Sector</w:t>
            </w:r>
            <w:r>
              <w:rPr>
                <w:rFonts w:ascii="Arial" w:hAnsi="Arial" w:cs="Arial"/>
              </w:rPr>
              <w:t>)</w:t>
            </w:r>
            <w:r w:rsidR="005E5053" w:rsidRPr="005E5053">
              <w:rPr>
                <w:rFonts w:ascii="Arial" w:hAnsi="Arial" w:cs="Arial"/>
              </w:rPr>
              <w:t xml:space="preserve">, is currently modernising the Charities Act 2005.  </w:t>
            </w:r>
          </w:p>
        </w:tc>
      </w:tr>
      <w:tr w:rsidR="00DF0110" w:rsidRPr="006D32A5" w14:paraId="60D7CD2C" w14:textId="77777777" w:rsidTr="00355A52">
        <w:tc>
          <w:tcPr>
            <w:tcW w:w="276" w:type="pct"/>
            <w:gridSpan w:val="2"/>
            <w:shd w:val="clear" w:color="auto" w:fill="FFFFFF"/>
          </w:tcPr>
          <w:p w14:paraId="6E21D4B1" w14:textId="77777777" w:rsidR="00DF0110" w:rsidRPr="00C46970" w:rsidRDefault="00DF0110" w:rsidP="00342E14">
            <w:pPr>
              <w:widowControl w:val="0"/>
              <w:spacing w:line="280" w:lineRule="atLeast"/>
              <w:rPr>
                <w:rFonts w:ascii="Arial" w:hAnsi="Arial" w:cs="Arial"/>
              </w:rPr>
            </w:pPr>
            <w:r w:rsidRPr="00C46970">
              <w:rPr>
                <w:rFonts w:ascii="Arial" w:hAnsi="Arial" w:cs="Arial"/>
              </w:rPr>
              <w:t>79</w:t>
            </w:r>
          </w:p>
        </w:tc>
        <w:tc>
          <w:tcPr>
            <w:tcW w:w="3200" w:type="pct"/>
            <w:shd w:val="clear" w:color="auto" w:fill="FFFFFF"/>
            <w:tcMar>
              <w:top w:w="0" w:type="dxa"/>
              <w:left w:w="108" w:type="dxa"/>
              <w:bottom w:w="0" w:type="dxa"/>
              <w:right w:w="108" w:type="dxa"/>
            </w:tcMar>
          </w:tcPr>
          <w:p w14:paraId="22E9747A" w14:textId="77777777" w:rsidR="00DF0110" w:rsidRPr="00C46970" w:rsidRDefault="00DF0110" w:rsidP="00342E14">
            <w:pPr>
              <w:widowControl w:val="0"/>
              <w:spacing w:line="280" w:lineRule="atLeast"/>
              <w:rPr>
                <w:rFonts w:ascii="Arial" w:hAnsi="Arial" w:cs="Arial"/>
              </w:rPr>
            </w:pPr>
            <w:r w:rsidRPr="00C46970">
              <w:rPr>
                <w:rFonts w:ascii="Arial" w:hAnsi="Arial" w:cs="Arial"/>
              </w:rPr>
              <w:t>The TWG supports the Government’s inclusion of a review of the tax treatment of the charitable sector on its Tax Policy Work Programme, as announced in May 2018.</w:t>
            </w:r>
          </w:p>
        </w:tc>
        <w:tc>
          <w:tcPr>
            <w:tcW w:w="1524" w:type="pct"/>
            <w:shd w:val="clear" w:color="auto" w:fill="5B9BD5" w:themeFill="accent1"/>
            <w:tcMar>
              <w:top w:w="0" w:type="dxa"/>
              <w:left w:w="108" w:type="dxa"/>
              <w:bottom w:w="0" w:type="dxa"/>
              <w:right w:w="108" w:type="dxa"/>
            </w:tcMar>
          </w:tcPr>
          <w:p w14:paraId="71262EA1" w14:textId="77777777" w:rsidR="00DF0110" w:rsidRPr="00C46970" w:rsidRDefault="00286F5C" w:rsidP="00342E14">
            <w:pPr>
              <w:widowControl w:val="0"/>
              <w:spacing w:line="280" w:lineRule="atLeast"/>
              <w:rPr>
                <w:rFonts w:ascii="Arial" w:hAnsi="Arial" w:cs="Arial"/>
              </w:rPr>
            </w:pPr>
            <w:r>
              <w:rPr>
                <w:rFonts w:ascii="Arial" w:hAnsi="Arial" w:cs="Arial"/>
                <w:b/>
              </w:rPr>
              <w:t>Note w</w:t>
            </w:r>
            <w:r w:rsidRPr="005E5053">
              <w:rPr>
                <w:rFonts w:ascii="Arial" w:hAnsi="Arial" w:cs="Arial"/>
                <w:b/>
              </w:rPr>
              <w:t>ork</w:t>
            </w:r>
            <w:r>
              <w:rPr>
                <w:rFonts w:ascii="Arial" w:hAnsi="Arial" w:cs="Arial"/>
                <w:b/>
              </w:rPr>
              <w:t xml:space="preserve"> already</w:t>
            </w:r>
            <w:r w:rsidRPr="005E5053">
              <w:rPr>
                <w:rFonts w:ascii="Arial" w:hAnsi="Arial" w:cs="Arial"/>
                <w:b/>
              </w:rPr>
              <w:t xml:space="preserve"> underway</w:t>
            </w:r>
            <w:r>
              <w:rPr>
                <w:rFonts w:ascii="Arial" w:hAnsi="Arial" w:cs="Arial"/>
              </w:rPr>
              <w:t xml:space="preserve"> </w:t>
            </w:r>
            <w:r w:rsidR="000C1797">
              <w:rPr>
                <w:rFonts w:ascii="Arial" w:hAnsi="Arial" w:cs="Arial"/>
              </w:rPr>
              <w:t>–</w:t>
            </w:r>
            <w:r w:rsidR="005E5053">
              <w:rPr>
                <w:rFonts w:ascii="Arial" w:hAnsi="Arial" w:cs="Arial"/>
              </w:rPr>
              <w:t xml:space="preserve"> </w:t>
            </w:r>
            <w:r w:rsidR="00C13CEE">
              <w:rPr>
                <w:rFonts w:ascii="Arial" w:hAnsi="Arial" w:cs="Arial"/>
              </w:rPr>
              <w:t>on the TPWP</w:t>
            </w:r>
          </w:p>
        </w:tc>
      </w:tr>
      <w:tr w:rsidR="00DF0110" w:rsidRPr="006D32A5" w14:paraId="04C0F458" w14:textId="77777777" w:rsidTr="00355A52">
        <w:tc>
          <w:tcPr>
            <w:tcW w:w="276" w:type="pct"/>
            <w:gridSpan w:val="2"/>
            <w:shd w:val="clear" w:color="auto" w:fill="FFFFFF"/>
          </w:tcPr>
          <w:p w14:paraId="51E70665"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80-81</w:t>
            </w:r>
          </w:p>
        </w:tc>
        <w:tc>
          <w:tcPr>
            <w:tcW w:w="3200" w:type="pct"/>
            <w:shd w:val="clear" w:color="auto" w:fill="FFFFFF"/>
            <w:tcMar>
              <w:top w:w="0" w:type="dxa"/>
              <w:left w:w="108" w:type="dxa"/>
              <w:bottom w:w="0" w:type="dxa"/>
              <w:right w:w="108" w:type="dxa"/>
            </w:tcMar>
          </w:tcPr>
          <w:p w14:paraId="26ED42BC" w14:textId="77777777" w:rsidR="00DF0110" w:rsidRPr="00C46970" w:rsidRDefault="00DF0110" w:rsidP="00342E14">
            <w:pPr>
              <w:keepNext/>
              <w:widowControl w:val="0"/>
              <w:spacing w:line="280" w:lineRule="atLeast"/>
              <w:rPr>
                <w:rFonts w:ascii="Arial" w:hAnsi="Arial" w:cs="Arial"/>
              </w:rPr>
            </w:pPr>
            <w:r w:rsidRPr="00C46970">
              <w:rPr>
                <w:rFonts w:ascii="Arial" w:hAnsi="Arial" w:cs="Arial"/>
              </w:rPr>
              <w:t>The TWG notes the income tax exemption for charitable entities’ trading operations was perceived by some submitters to provide an unfair advantage over commercial entities’ trading operations.  The TWG notes, however,</w:t>
            </w:r>
            <w:r w:rsidR="00D10F46">
              <w:rPr>
                <w:rFonts w:ascii="Arial" w:hAnsi="Arial" w:cs="Arial"/>
              </w:rPr>
              <w:t xml:space="preserve"> that</w:t>
            </w:r>
            <w:r w:rsidRPr="00C46970">
              <w:rPr>
                <w:rFonts w:ascii="Arial" w:hAnsi="Arial" w:cs="Arial"/>
              </w:rPr>
              <w:t xml:space="preserve"> the underlying issue is the extent to which charitable entities are accumulating surpluses rather than distributing or applying those surpluses for the benefit of their charitable activities.  </w:t>
            </w:r>
          </w:p>
        </w:tc>
        <w:tc>
          <w:tcPr>
            <w:tcW w:w="1524" w:type="pct"/>
            <w:shd w:val="clear" w:color="auto" w:fill="5B9BD5" w:themeFill="accent1"/>
            <w:tcMar>
              <w:top w:w="0" w:type="dxa"/>
              <w:left w:w="108" w:type="dxa"/>
              <w:bottom w:w="0" w:type="dxa"/>
              <w:right w:w="108" w:type="dxa"/>
            </w:tcMar>
          </w:tcPr>
          <w:p w14:paraId="7725EB4E" w14:textId="77777777" w:rsidR="00DF0110" w:rsidRPr="00C46970" w:rsidRDefault="00286F5C" w:rsidP="00342E14">
            <w:pPr>
              <w:keepNext/>
              <w:widowControl w:val="0"/>
              <w:rPr>
                <w:rFonts w:ascii="Arial" w:hAnsi="Arial" w:cs="Arial"/>
              </w:rPr>
            </w:pPr>
            <w:r>
              <w:rPr>
                <w:rFonts w:ascii="Arial" w:hAnsi="Arial" w:cs="Arial"/>
                <w:b/>
              </w:rPr>
              <w:t>Note w</w:t>
            </w:r>
            <w:r w:rsidRPr="005E5053">
              <w:rPr>
                <w:rFonts w:ascii="Arial" w:hAnsi="Arial" w:cs="Arial"/>
                <w:b/>
              </w:rPr>
              <w:t>ork</w:t>
            </w:r>
            <w:r>
              <w:rPr>
                <w:rFonts w:ascii="Arial" w:hAnsi="Arial" w:cs="Arial"/>
                <w:b/>
              </w:rPr>
              <w:t xml:space="preserve"> already</w:t>
            </w:r>
            <w:r w:rsidRPr="005E5053">
              <w:rPr>
                <w:rFonts w:ascii="Arial" w:hAnsi="Arial" w:cs="Arial"/>
                <w:b/>
              </w:rPr>
              <w:t xml:space="preserve"> underway</w:t>
            </w:r>
            <w:r>
              <w:rPr>
                <w:rFonts w:ascii="Arial" w:hAnsi="Arial" w:cs="Arial"/>
              </w:rPr>
              <w:t xml:space="preserve"> </w:t>
            </w:r>
            <w:r w:rsidR="000C1797">
              <w:rPr>
                <w:rFonts w:ascii="Arial" w:hAnsi="Arial" w:cs="Arial"/>
              </w:rPr>
              <w:t>–</w:t>
            </w:r>
            <w:r w:rsidR="005E5053">
              <w:rPr>
                <w:rFonts w:ascii="Arial" w:hAnsi="Arial" w:cs="Arial"/>
              </w:rPr>
              <w:t xml:space="preserve"> </w:t>
            </w:r>
            <w:r w:rsidR="00C13CEE">
              <w:rPr>
                <w:rFonts w:ascii="Arial" w:hAnsi="Arial" w:cs="Arial"/>
              </w:rPr>
              <w:t>see rec 78</w:t>
            </w:r>
          </w:p>
        </w:tc>
      </w:tr>
      <w:tr w:rsidR="00DF0110" w:rsidRPr="006D32A5" w14:paraId="6F66E128" w14:textId="77777777" w:rsidTr="00457A5C">
        <w:tc>
          <w:tcPr>
            <w:tcW w:w="276" w:type="pct"/>
            <w:gridSpan w:val="2"/>
            <w:shd w:val="clear" w:color="auto" w:fill="FFFFFF"/>
          </w:tcPr>
          <w:p w14:paraId="796A81BF" w14:textId="77777777" w:rsidR="00DF0110" w:rsidRPr="00C46970" w:rsidRDefault="00DF0110" w:rsidP="00342E14">
            <w:pPr>
              <w:widowControl w:val="0"/>
              <w:spacing w:line="280" w:lineRule="atLeast"/>
              <w:rPr>
                <w:rFonts w:ascii="Arial" w:hAnsi="Arial" w:cs="Arial"/>
              </w:rPr>
            </w:pPr>
            <w:r w:rsidRPr="00C46970">
              <w:rPr>
                <w:rFonts w:ascii="Arial" w:hAnsi="Arial" w:cs="Arial"/>
              </w:rPr>
              <w:t>82</w:t>
            </w:r>
          </w:p>
        </w:tc>
        <w:tc>
          <w:tcPr>
            <w:tcW w:w="3200" w:type="pct"/>
            <w:shd w:val="clear" w:color="auto" w:fill="FFFFFF"/>
            <w:tcMar>
              <w:top w:w="0" w:type="dxa"/>
              <w:left w:w="108" w:type="dxa"/>
              <w:bottom w:w="0" w:type="dxa"/>
              <w:right w:w="108" w:type="dxa"/>
            </w:tcMar>
          </w:tcPr>
          <w:p w14:paraId="06007BEB" w14:textId="77777777" w:rsidR="00DF0110" w:rsidRPr="00C46970" w:rsidRDefault="00DF0110" w:rsidP="00342E14">
            <w:pPr>
              <w:widowControl w:val="0"/>
              <w:spacing w:line="280" w:lineRule="atLeast"/>
              <w:rPr>
                <w:rFonts w:ascii="Arial" w:hAnsi="Arial" w:cs="Arial"/>
              </w:rPr>
            </w:pPr>
            <w:r w:rsidRPr="00C46970">
              <w:rPr>
                <w:rFonts w:ascii="Arial" w:hAnsi="Arial" w:cs="Arial"/>
              </w:rPr>
              <w:t>Consider whether New Zealand should apply a distinction between privately-controlled foundations and other charitable organisations</w:t>
            </w:r>
          </w:p>
        </w:tc>
        <w:tc>
          <w:tcPr>
            <w:tcW w:w="1524" w:type="pct"/>
            <w:shd w:val="clear" w:color="auto" w:fill="FFC000" w:themeFill="accent4"/>
            <w:tcMar>
              <w:top w:w="0" w:type="dxa"/>
              <w:left w:w="108" w:type="dxa"/>
              <w:bottom w:w="0" w:type="dxa"/>
              <w:right w:w="108" w:type="dxa"/>
            </w:tcMar>
          </w:tcPr>
          <w:p w14:paraId="5B9E9FD7" w14:textId="77777777" w:rsidR="00DF0110" w:rsidRPr="005E5053"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w:t>
            </w:r>
            <w:r w:rsidR="007E1200">
              <w:rPr>
                <w:rFonts w:ascii="Arial" w:hAnsi="Arial" w:cs="Arial"/>
              </w:rPr>
              <w:t>DIA</w:t>
            </w:r>
            <w:r w:rsidRPr="00457A5C">
              <w:rPr>
                <w:rFonts w:ascii="Arial" w:hAnsi="Arial" w:cs="Arial"/>
              </w:rPr>
              <w:t>)</w:t>
            </w:r>
          </w:p>
        </w:tc>
      </w:tr>
      <w:tr w:rsidR="00DF0110" w:rsidRPr="006D32A5" w14:paraId="60E5114E" w14:textId="77777777" w:rsidTr="00355A52">
        <w:tc>
          <w:tcPr>
            <w:tcW w:w="276" w:type="pct"/>
            <w:gridSpan w:val="2"/>
            <w:shd w:val="clear" w:color="auto" w:fill="FFFFFF"/>
          </w:tcPr>
          <w:p w14:paraId="58D8A481" w14:textId="77777777" w:rsidR="00DF0110" w:rsidRPr="00C46970" w:rsidRDefault="00DF0110" w:rsidP="00342E14">
            <w:pPr>
              <w:widowControl w:val="0"/>
              <w:spacing w:line="280" w:lineRule="atLeast"/>
              <w:rPr>
                <w:rFonts w:ascii="Arial" w:hAnsi="Arial" w:cs="Arial"/>
              </w:rPr>
            </w:pPr>
            <w:r w:rsidRPr="00C46970">
              <w:rPr>
                <w:rFonts w:ascii="Arial" w:hAnsi="Arial" w:cs="Arial"/>
              </w:rPr>
              <w:t>83</w:t>
            </w:r>
          </w:p>
        </w:tc>
        <w:tc>
          <w:tcPr>
            <w:tcW w:w="3200" w:type="pct"/>
            <w:shd w:val="clear" w:color="auto" w:fill="FFFFFF"/>
            <w:tcMar>
              <w:top w:w="0" w:type="dxa"/>
              <w:left w:w="108" w:type="dxa"/>
              <w:bottom w:w="0" w:type="dxa"/>
              <w:right w:w="108" w:type="dxa"/>
            </w:tcMar>
          </w:tcPr>
          <w:p w14:paraId="0A2BD523"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Consider whether the deregistration tax rules could be amended to more effectively keep assets in the </w:t>
            </w:r>
            <w:proofErr w:type="gramStart"/>
            <w:r w:rsidRPr="00C46970">
              <w:rPr>
                <w:rFonts w:ascii="Arial" w:hAnsi="Arial" w:cs="Arial"/>
              </w:rPr>
              <w:t>sector, or</w:t>
            </w:r>
            <w:proofErr w:type="gramEnd"/>
            <w:r w:rsidRPr="00C46970">
              <w:rPr>
                <w:rFonts w:ascii="Arial" w:hAnsi="Arial" w:cs="Arial"/>
              </w:rPr>
              <w:t xml:space="preserve"> ensure that there is no deferral benefit through the application of these rules.  </w:t>
            </w:r>
          </w:p>
        </w:tc>
        <w:tc>
          <w:tcPr>
            <w:tcW w:w="1524" w:type="pct"/>
            <w:shd w:val="clear" w:color="auto" w:fill="5B9BD5" w:themeFill="accent1"/>
            <w:tcMar>
              <w:top w:w="0" w:type="dxa"/>
              <w:left w:w="108" w:type="dxa"/>
              <w:bottom w:w="0" w:type="dxa"/>
              <w:right w:w="108" w:type="dxa"/>
            </w:tcMar>
          </w:tcPr>
          <w:p w14:paraId="4E9C653F" w14:textId="77777777" w:rsidR="00DF0110" w:rsidRPr="00C46970" w:rsidRDefault="00286F5C" w:rsidP="00342E14">
            <w:pPr>
              <w:widowControl w:val="0"/>
              <w:rPr>
                <w:rFonts w:ascii="Arial" w:hAnsi="Arial" w:cs="Arial"/>
              </w:rPr>
            </w:pPr>
            <w:r>
              <w:rPr>
                <w:rFonts w:ascii="Arial" w:hAnsi="Arial" w:cs="Arial"/>
                <w:b/>
              </w:rPr>
              <w:t>Note w</w:t>
            </w:r>
            <w:r w:rsidRPr="005E5053">
              <w:rPr>
                <w:rFonts w:ascii="Arial" w:hAnsi="Arial" w:cs="Arial"/>
                <w:b/>
              </w:rPr>
              <w:t>ork</w:t>
            </w:r>
            <w:r>
              <w:rPr>
                <w:rFonts w:ascii="Arial" w:hAnsi="Arial" w:cs="Arial"/>
                <w:b/>
              </w:rPr>
              <w:t xml:space="preserve"> already</w:t>
            </w:r>
            <w:r w:rsidRPr="005E5053">
              <w:rPr>
                <w:rFonts w:ascii="Arial" w:hAnsi="Arial" w:cs="Arial"/>
                <w:b/>
              </w:rPr>
              <w:t xml:space="preserve"> underway</w:t>
            </w:r>
            <w:r>
              <w:rPr>
                <w:rFonts w:ascii="Arial" w:hAnsi="Arial" w:cs="Arial"/>
              </w:rPr>
              <w:t xml:space="preserve"> </w:t>
            </w:r>
            <w:r w:rsidR="000C1797">
              <w:rPr>
                <w:rFonts w:ascii="Arial" w:hAnsi="Arial" w:cs="Arial"/>
              </w:rPr>
              <w:t xml:space="preserve">– </w:t>
            </w:r>
            <w:r w:rsidR="00C13CEE">
              <w:rPr>
                <w:rFonts w:ascii="Arial" w:hAnsi="Arial" w:cs="Arial"/>
              </w:rPr>
              <w:t>on the TPWP</w:t>
            </w:r>
          </w:p>
        </w:tc>
      </w:tr>
      <w:tr w:rsidR="00DF0110" w:rsidRPr="006D32A5" w14:paraId="15BFF1D3" w14:textId="77777777" w:rsidTr="00355A52">
        <w:tc>
          <w:tcPr>
            <w:tcW w:w="276" w:type="pct"/>
            <w:gridSpan w:val="2"/>
            <w:shd w:val="clear" w:color="auto" w:fill="FFFFFF"/>
          </w:tcPr>
          <w:p w14:paraId="4ED5BAFF" w14:textId="77777777" w:rsidR="00DF0110" w:rsidRPr="00C46970" w:rsidRDefault="00DF0110" w:rsidP="00342E14">
            <w:pPr>
              <w:widowControl w:val="0"/>
              <w:spacing w:line="280" w:lineRule="atLeast"/>
              <w:rPr>
                <w:rFonts w:ascii="Arial" w:hAnsi="Arial" w:cs="Arial"/>
              </w:rPr>
            </w:pPr>
            <w:r w:rsidRPr="00C46970">
              <w:rPr>
                <w:rFonts w:ascii="Arial" w:hAnsi="Arial" w:cs="Arial"/>
              </w:rPr>
              <w:t>84</w:t>
            </w:r>
          </w:p>
        </w:tc>
        <w:tc>
          <w:tcPr>
            <w:tcW w:w="3200" w:type="pct"/>
            <w:shd w:val="clear" w:color="auto" w:fill="FFFFFF"/>
            <w:tcMar>
              <w:top w:w="0" w:type="dxa"/>
              <w:left w:w="108" w:type="dxa"/>
              <w:bottom w:w="0" w:type="dxa"/>
              <w:right w:w="108" w:type="dxa"/>
            </w:tcMar>
          </w:tcPr>
          <w:p w14:paraId="7873A46C" w14:textId="77777777" w:rsidR="00DF0110" w:rsidRPr="00C46970" w:rsidRDefault="00DF0110" w:rsidP="00342E14">
            <w:pPr>
              <w:widowControl w:val="0"/>
              <w:spacing w:line="280" w:lineRule="atLeast"/>
              <w:rPr>
                <w:rFonts w:ascii="Arial" w:hAnsi="Arial" w:cs="Arial"/>
              </w:rPr>
            </w:pPr>
            <w:r w:rsidRPr="00C46970">
              <w:rPr>
                <w:rFonts w:ascii="Arial" w:hAnsi="Arial" w:cs="Arial"/>
              </w:rPr>
              <w:t>Review whether it is appropriate to treat some not-for-profit organisations as if they were final consumers, or, alternatively, whether it is appropriate to limit GST concessions to a smaller group of non-profit bodies such as registered charities.</w:t>
            </w:r>
          </w:p>
        </w:tc>
        <w:tc>
          <w:tcPr>
            <w:tcW w:w="1524" w:type="pct"/>
            <w:shd w:val="clear" w:color="auto" w:fill="FFC000" w:themeFill="accent4"/>
            <w:tcMar>
              <w:top w:w="0" w:type="dxa"/>
              <w:left w:w="108" w:type="dxa"/>
              <w:bottom w:w="0" w:type="dxa"/>
              <w:right w:w="108" w:type="dxa"/>
            </w:tcMar>
          </w:tcPr>
          <w:p w14:paraId="0777B0A2" w14:textId="77777777" w:rsidR="00DF0110" w:rsidRPr="005E5053" w:rsidRDefault="00457A5C" w:rsidP="00342E14">
            <w:pPr>
              <w:widowControl w:val="0"/>
              <w:rPr>
                <w:rFonts w:ascii="Arial" w:hAnsi="Arial" w:cs="Arial"/>
                <w:b/>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DF0110" w:rsidRPr="006D32A5" w14:paraId="04A16A0D" w14:textId="77777777" w:rsidTr="00355A52">
        <w:tc>
          <w:tcPr>
            <w:tcW w:w="276" w:type="pct"/>
            <w:gridSpan w:val="2"/>
            <w:shd w:val="clear" w:color="auto" w:fill="FFFFFF"/>
          </w:tcPr>
          <w:p w14:paraId="7FACDD40" w14:textId="77777777" w:rsidR="00DF0110" w:rsidRPr="00C46970" w:rsidRDefault="00DF0110" w:rsidP="00342E14">
            <w:pPr>
              <w:widowControl w:val="0"/>
              <w:spacing w:line="280" w:lineRule="atLeast"/>
              <w:rPr>
                <w:rFonts w:ascii="Arial" w:hAnsi="Arial" w:cs="Arial"/>
              </w:rPr>
            </w:pPr>
            <w:r w:rsidRPr="00C46970">
              <w:rPr>
                <w:rFonts w:ascii="Arial" w:hAnsi="Arial" w:cs="Arial"/>
              </w:rPr>
              <w:t>85</w:t>
            </w:r>
          </w:p>
        </w:tc>
        <w:tc>
          <w:tcPr>
            <w:tcW w:w="3200" w:type="pct"/>
            <w:shd w:val="clear" w:color="auto" w:fill="FFFFFF"/>
            <w:tcMar>
              <w:top w:w="0" w:type="dxa"/>
              <w:left w:w="108" w:type="dxa"/>
              <w:bottom w:w="0" w:type="dxa"/>
              <w:right w:w="108" w:type="dxa"/>
            </w:tcMar>
          </w:tcPr>
          <w:p w14:paraId="25B0E9E5" w14:textId="77777777" w:rsidR="00DF0110" w:rsidRPr="00C46970" w:rsidRDefault="00DF0110" w:rsidP="00342E14">
            <w:pPr>
              <w:widowControl w:val="0"/>
              <w:spacing w:line="280" w:lineRule="atLeast"/>
              <w:rPr>
                <w:rFonts w:ascii="Arial" w:hAnsi="Arial" w:cs="Arial"/>
              </w:rPr>
            </w:pPr>
            <w:r w:rsidRPr="00C46970">
              <w:rPr>
                <w:rFonts w:ascii="Arial" w:hAnsi="Arial" w:cs="Arial"/>
              </w:rPr>
              <w:t>Consider whether the issues identified by the TWG in relation to charities have been fully addressed or whether further action is required, following the conclusion of the review of the Charities Act 2005.</w:t>
            </w:r>
          </w:p>
        </w:tc>
        <w:tc>
          <w:tcPr>
            <w:tcW w:w="1524" w:type="pct"/>
            <w:shd w:val="clear" w:color="auto" w:fill="FFC000" w:themeFill="accent4"/>
            <w:tcMar>
              <w:top w:w="0" w:type="dxa"/>
              <w:left w:w="108" w:type="dxa"/>
              <w:bottom w:w="0" w:type="dxa"/>
              <w:right w:w="108" w:type="dxa"/>
            </w:tcMar>
          </w:tcPr>
          <w:p w14:paraId="0F09C398" w14:textId="77777777" w:rsidR="00DF0110" w:rsidRPr="00C46970" w:rsidRDefault="00457A5C" w:rsidP="00342E14">
            <w:pPr>
              <w:widowControl w:val="0"/>
              <w:rPr>
                <w:rFonts w:ascii="Arial" w:hAnsi="Arial" w:cs="Arial"/>
              </w:rPr>
            </w:pPr>
            <w:r w:rsidRPr="00457A5C">
              <w:rPr>
                <w:rFonts w:ascii="Arial" w:hAnsi="Arial" w:cs="Arial"/>
                <w:b/>
              </w:rPr>
              <w:t xml:space="preserve">Consider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342E14" w:rsidRPr="006D32A5" w14:paraId="7F008A18" w14:textId="77777777" w:rsidTr="00DF0110">
        <w:trPr>
          <w:trHeight w:val="341"/>
        </w:trPr>
        <w:tc>
          <w:tcPr>
            <w:tcW w:w="5000" w:type="pct"/>
            <w:gridSpan w:val="4"/>
            <w:shd w:val="clear" w:color="auto" w:fill="000000" w:themeFill="text1"/>
            <w:vAlign w:val="center"/>
          </w:tcPr>
          <w:p w14:paraId="3F6E214E" w14:textId="77777777" w:rsidR="00342E14" w:rsidRPr="00C46970" w:rsidRDefault="00342E14" w:rsidP="00342E14">
            <w:pPr>
              <w:widowControl w:val="0"/>
              <w:ind w:left="94"/>
              <w:rPr>
                <w:rStyle w:val="CommentReference"/>
                <w:rFonts w:ascii="Arial" w:hAnsi="Arial" w:cs="Arial"/>
                <w:color w:val="FFFFFF" w:themeColor="background1"/>
                <w:sz w:val="22"/>
                <w:szCs w:val="22"/>
                <w:highlight w:val="yellow"/>
              </w:rPr>
            </w:pPr>
            <w:r w:rsidRPr="00C46970">
              <w:rPr>
                <w:rFonts w:ascii="Arial" w:hAnsi="Arial" w:cs="Arial"/>
                <w:b/>
                <w:color w:val="FFFFFF" w:themeColor="background1"/>
              </w:rPr>
              <w:t>GST and financial transactions tax</w:t>
            </w:r>
          </w:p>
        </w:tc>
      </w:tr>
      <w:tr w:rsidR="00DF0110" w:rsidRPr="006D32A5" w14:paraId="2B0CFEB8" w14:textId="77777777" w:rsidTr="00355A52">
        <w:tc>
          <w:tcPr>
            <w:tcW w:w="276" w:type="pct"/>
            <w:gridSpan w:val="2"/>
            <w:shd w:val="clear" w:color="auto" w:fill="FFFFFF"/>
          </w:tcPr>
          <w:p w14:paraId="52BEB5FA" w14:textId="77777777" w:rsidR="00DF0110" w:rsidRPr="00C46970" w:rsidRDefault="00DF0110" w:rsidP="00342E14">
            <w:pPr>
              <w:widowControl w:val="0"/>
              <w:spacing w:line="280" w:lineRule="atLeast"/>
              <w:rPr>
                <w:rFonts w:ascii="Arial" w:hAnsi="Arial" w:cs="Arial"/>
              </w:rPr>
            </w:pPr>
            <w:r w:rsidRPr="00C46970">
              <w:rPr>
                <w:rFonts w:ascii="Arial" w:hAnsi="Arial" w:cs="Arial"/>
              </w:rPr>
              <w:t>86</w:t>
            </w:r>
          </w:p>
        </w:tc>
        <w:tc>
          <w:tcPr>
            <w:tcW w:w="3200" w:type="pct"/>
            <w:shd w:val="clear" w:color="auto" w:fill="FFFFFF"/>
            <w:tcMar>
              <w:top w:w="0" w:type="dxa"/>
              <w:left w:w="108" w:type="dxa"/>
              <w:bottom w:w="0" w:type="dxa"/>
              <w:right w:w="108" w:type="dxa"/>
            </w:tcMar>
          </w:tcPr>
          <w:p w14:paraId="79580A03" w14:textId="77777777" w:rsidR="00DF0110" w:rsidRPr="00C46970" w:rsidRDefault="00DF0110" w:rsidP="00342E14">
            <w:pPr>
              <w:widowControl w:val="0"/>
              <w:spacing w:line="280" w:lineRule="atLeast"/>
              <w:rPr>
                <w:rFonts w:ascii="Arial" w:hAnsi="Arial" w:cs="Arial"/>
              </w:rPr>
            </w:pPr>
            <w:r w:rsidRPr="00C46970">
              <w:rPr>
                <w:rFonts w:ascii="Arial" w:hAnsi="Arial" w:cs="Arial"/>
              </w:rPr>
              <w:t>No reduction in the GST rate.</w:t>
            </w:r>
          </w:p>
        </w:tc>
        <w:tc>
          <w:tcPr>
            <w:tcW w:w="1524" w:type="pct"/>
            <w:shd w:val="clear" w:color="auto" w:fill="70AD47" w:themeFill="accent6"/>
            <w:tcMar>
              <w:top w:w="0" w:type="dxa"/>
              <w:left w:w="108" w:type="dxa"/>
              <w:bottom w:w="0" w:type="dxa"/>
              <w:right w:w="108" w:type="dxa"/>
            </w:tcMar>
          </w:tcPr>
          <w:p w14:paraId="41851F42" w14:textId="77777777" w:rsidR="00DF0110" w:rsidRPr="005E5053" w:rsidRDefault="00355A52" w:rsidP="00342E14">
            <w:pPr>
              <w:widowControl w:val="0"/>
              <w:rPr>
                <w:rStyle w:val="CommentReference"/>
                <w:rFonts w:ascii="Arial" w:hAnsi="Arial" w:cs="Arial"/>
                <w:b/>
                <w:sz w:val="22"/>
                <w:szCs w:val="22"/>
              </w:rPr>
            </w:pPr>
            <w:r w:rsidRPr="005E5053">
              <w:rPr>
                <w:rFonts w:ascii="Arial" w:hAnsi="Arial" w:cs="Arial"/>
                <w:b/>
              </w:rPr>
              <w:t>Endorse the TWG recommendation</w:t>
            </w:r>
          </w:p>
        </w:tc>
      </w:tr>
      <w:tr w:rsidR="00DF0110" w:rsidRPr="006D32A5" w14:paraId="624E81FE" w14:textId="77777777" w:rsidTr="00355A52">
        <w:tc>
          <w:tcPr>
            <w:tcW w:w="276" w:type="pct"/>
            <w:gridSpan w:val="2"/>
            <w:shd w:val="clear" w:color="auto" w:fill="FFFFFF"/>
          </w:tcPr>
          <w:p w14:paraId="2C94A738" w14:textId="77777777" w:rsidR="00DF0110" w:rsidRPr="00C46970" w:rsidRDefault="00DF0110" w:rsidP="00342E14">
            <w:pPr>
              <w:widowControl w:val="0"/>
              <w:spacing w:line="280" w:lineRule="atLeast"/>
              <w:rPr>
                <w:rFonts w:ascii="Arial" w:hAnsi="Arial" w:cs="Arial"/>
              </w:rPr>
            </w:pPr>
            <w:r w:rsidRPr="00C46970">
              <w:rPr>
                <w:rFonts w:ascii="Arial" w:hAnsi="Arial" w:cs="Arial"/>
              </w:rPr>
              <w:t>87</w:t>
            </w:r>
          </w:p>
        </w:tc>
        <w:tc>
          <w:tcPr>
            <w:tcW w:w="3200" w:type="pct"/>
            <w:shd w:val="clear" w:color="auto" w:fill="FFFFFF"/>
            <w:tcMar>
              <w:top w:w="0" w:type="dxa"/>
              <w:left w:w="108" w:type="dxa"/>
              <w:bottom w:w="0" w:type="dxa"/>
              <w:right w:w="108" w:type="dxa"/>
            </w:tcMar>
          </w:tcPr>
          <w:p w14:paraId="5DDFE908"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No introduction of exemptions to GST. </w:t>
            </w:r>
          </w:p>
        </w:tc>
        <w:tc>
          <w:tcPr>
            <w:tcW w:w="1524" w:type="pct"/>
            <w:shd w:val="clear" w:color="auto" w:fill="70AD47" w:themeFill="accent6"/>
            <w:tcMar>
              <w:top w:w="0" w:type="dxa"/>
              <w:left w:w="108" w:type="dxa"/>
              <w:bottom w:w="0" w:type="dxa"/>
              <w:right w:w="108" w:type="dxa"/>
            </w:tcMar>
          </w:tcPr>
          <w:p w14:paraId="71FBC201" w14:textId="77777777" w:rsidR="00DF0110" w:rsidRPr="005E5053" w:rsidRDefault="00355A52" w:rsidP="00342E14">
            <w:pPr>
              <w:widowControl w:val="0"/>
              <w:rPr>
                <w:rStyle w:val="CommentReference"/>
                <w:rFonts w:ascii="Arial" w:hAnsi="Arial" w:cs="Arial"/>
                <w:b/>
                <w:sz w:val="22"/>
                <w:szCs w:val="22"/>
              </w:rPr>
            </w:pPr>
            <w:r w:rsidRPr="005E5053">
              <w:rPr>
                <w:rFonts w:ascii="Arial" w:hAnsi="Arial" w:cs="Arial"/>
                <w:b/>
              </w:rPr>
              <w:t>Endorse the TWG recommendation</w:t>
            </w:r>
          </w:p>
        </w:tc>
      </w:tr>
      <w:tr w:rsidR="00DF0110" w:rsidRPr="006D32A5" w14:paraId="6ABA8D8B" w14:textId="77777777" w:rsidTr="00355A52">
        <w:tc>
          <w:tcPr>
            <w:tcW w:w="276" w:type="pct"/>
            <w:gridSpan w:val="2"/>
            <w:shd w:val="clear" w:color="auto" w:fill="FFFFFF"/>
          </w:tcPr>
          <w:p w14:paraId="78DDE12F" w14:textId="77777777" w:rsidR="00DF0110" w:rsidRPr="00C46970" w:rsidRDefault="00DF0110" w:rsidP="00342E14">
            <w:pPr>
              <w:widowControl w:val="0"/>
              <w:spacing w:line="280" w:lineRule="atLeast"/>
              <w:rPr>
                <w:rFonts w:ascii="Arial" w:hAnsi="Arial" w:cs="Arial"/>
              </w:rPr>
            </w:pPr>
            <w:r w:rsidRPr="00C46970">
              <w:rPr>
                <w:rFonts w:ascii="Arial" w:hAnsi="Arial" w:cs="Arial"/>
              </w:rPr>
              <w:t>88</w:t>
            </w:r>
          </w:p>
        </w:tc>
        <w:tc>
          <w:tcPr>
            <w:tcW w:w="3200" w:type="pct"/>
            <w:shd w:val="clear" w:color="auto" w:fill="FFFFFF"/>
            <w:tcMar>
              <w:top w:w="0" w:type="dxa"/>
              <w:left w:w="108" w:type="dxa"/>
              <w:bottom w:w="0" w:type="dxa"/>
              <w:right w:w="108" w:type="dxa"/>
            </w:tcMar>
          </w:tcPr>
          <w:p w14:paraId="7314C833" w14:textId="77777777" w:rsidR="00DF0110" w:rsidRPr="00C46970" w:rsidRDefault="00D10F46" w:rsidP="00342E14">
            <w:pPr>
              <w:widowControl w:val="0"/>
              <w:spacing w:line="280" w:lineRule="atLeast"/>
              <w:rPr>
                <w:rFonts w:ascii="Arial" w:hAnsi="Arial" w:cs="Arial"/>
              </w:rPr>
            </w:pPr>
            <w:r>
              <w:rPr>
                <w:rFonts w:ascii="Arial" w:hAnsi="Arial" w:cs="Arial"/>
              </w:rPr>
              <w:t xml:space="preserve">The </w:t>
            </w:r>
            <w:r w:rsidR="00DF0110" w:rsidRPr="00C46970">
              <w:rPr>
                <w:rFonts w:ascii="Arial" w:hAnsi="Arial" w:cs="Arial"/>
              </w:rPr>
              <w:t xml:space="preserve">Government </w:t>
            </w:r>
            <w:r>
              <w:rPr>
                <w:rFonts w:ascii="Arial" w:hAnsi="Arial" w:cs="Arial"/>
              </w:rPr>
              <w:t xml:space="preserve">should </w:t>
            </w:r>
            <w:r w:rsidR="00DF0110" w:rsidRPr="00C46970">
              <w:rPr>
                <w:rFonts w:ascii="Arial" w:hAnsi="Arial" w:cs="Arial"/>
              </w:rPr>
              <w:t>monitor international developments in the area of applying GST to financial services.</w:t>
            </w:r>
          </w:p>
        </w:tc>
        <w:tc>
          <w:tcPr>
            <w:tcW w:w="1524" w:type="pct"/>
            <w:shd w:val="clear" w:color="auto" w:fill="70AD47" w:themeFill="accent6"/>
            <w:tcMar>
              <w:top w:w="0" w:type="dxa"/>
              <w:left w:w="108" w:type="dxa"/>
              <w:bottom w:w="0" w:type="dxa"/>
              <w:right w:w="108" w:type="dxa"/>
            </w:tcMar>
          </w:tcPr>
          <w:p w14:paraId="7F513DBE" w14:textId="77777777" w:rsidR="00DF0110" w:rsidRPr="005E5053" w:rsidRDefault="00355A52" w:rsidP="00342E14">
            <w:pPr>
              <w:widowControl w:val="0"/>
              <w:rPr>
                <w:rStyle w:val="CommentReference"/>
                <w:rFonts w:ascii="Arial" w:hAnsi="Arial" w:cs="Arial"/>
                <w:b/>
                <w:sz w:val="22"/>
                <w:szCs w:val="22"/>
              </w:rPr>
            </w:pPr>
            <w:r w:rsidRPr="005E5053">
              <w:rPr>
                <w:rFonts w:ascii="Arial" w:hAnsi="Arial" w:cs="Arial"/>
                <w:b/>
              </w:rPr>
              <w:t>Endorse the TWG recommendation</w:t>
            </w:r>
          </w:p>
        </w:tc>
      </w:tr>
      <w:tr w:rsidR="00DF0110" w:rsidRPr="006D32A5" w14:paraId="0C1C346A" w14:textId="77777777" w:rsidTr="00355A52">
        <w:tc>
          <w:tcPr>
            <w:tcW w:w="276" w:type="pct"/>
            <w:gridSpan w:val="2"/>
            <w:shd w:val="clear" w:color="auto" w:fill="FFFFFF"/>
          </w:tcPr>
          <w:p w14:paraId="11D50084" w14:textId="77777777" w:rsidR="00DF0110" w:rsidRPr="00C46970" w:rsidRDefault="00DF0110" w:rsidP="00342E14">
            <w:pPr>
              <w:widowControl w:val="0"/>
              <w:spacing w:line="280" w:lineRule="atLeast"/>
              <w:rPr>
                <w:rFonts w:ascii="Arial" w:hAnsi="Arial" w:cs="Arial"/>
              </w:rPr>
            </w:pPr>
            <w:r w:rsidRPr="00C46970">
              <w:rPr>
                <w:rFonts w:ascii="Arial" w:hAnsi="Arial" w:cs="Arial"/>
              </w:rPr>
              <w:t>89</w:t>
            </w:r>
          </w:p>
        </w:tc>
        <w:tc>
          <w:tcPr>
            <w:tcW w:w="3200" w:type="pct"/>
            <w:shd w:val="clear" w:color="auto" w:fill="FFFFFF"/>
            <w:tcMar>
              <w:top w:w="0" w:type="dxa"/>
              <w:left w:w="108" w:type="dxa"/>
              <w:bottom w:w="0" w:type="dxa"/>
              <w:right w:w="108" w:type="dxa"/>
            </w:tcMar>
          </w:tcPr>
          <w:p w14:paraId="33817476" w14:textId="77777777" w:rsidR="00DF0110" w:rsidRPr="00C46970" w:rsidRDefault="00DF0110" w:rsidP="00342E14">
            <w:pPr>
              <w:widowControl w:val="0"/>
              <w:spacing w:line="280" w:lineRule="atLeast"/>
              <w:rPr>
                <w:rFonts w:ascii="Arial" w:hAnsi="Arial" w:cs="Arial"/>
              </w:rPr>
            </w:pPr>
            <w:r w:rsidRPr="00C46970">
              <w:rPr>
                <w:rFonts w:ascii="Arial" w:hAnsi="Arial" w:cs="Arial"/>
              </w:rPr>
              <w:t>No application of GST to explicit fees charged for financial services.</w:t>
            </w:r>
          </w:p>
        </w:tc>
        <w:tc>
          <w:tcPr>
            <w:tcW w:w="1524" w:type="pct"/>
            <w:shd w:val="clear" w:color="auto" w:fill="70AD47" w:themeFill="accent6"/>
            <w:tcMar>
              <w:top w:w="0" w:type="dxa"/>
              <w:left w:w="108" w:type="dxa"/>
              <w:bottom w:w="0" w:type="dxa"/>
              <w:right w:w="108" w:type="dxa"/>
            </w:tcMar>
          </w:tcPr>
          <w:p w14:paraId="085DA8AA" w14:textId="77777777" w:rsidR="00DF0110" w:rsidRPr="005E5053" w:rsidRDefault="00355A52" w:rsidP="00342E14">
            <w:pPr>
              <w:widowControl w:val="0"/>
              <w:rPr>
                <w:rStyle w:val="CommentReference"/>
                <w:rFonts w:ascii="Arial" w:hAnsi="Arial" w:cs="Arial"/>
                <w:b/>
                <w:sz w:val="22"/>
                <w:szCs w:val="22"/>
              </w:rPr>
            </w:pPr>
            <w:r w:rsidRPr="005E5053">
              <w:rPr>
                <w:rFonts w:ascii="Arial" w:hAnsi="Arial" w:cs="Arial"/>
                <w:b/>
              </w:rPr>
              <w:t>Endorse the TWG recommendation</w:t>
            </w:r>
          </w:p>
        </w:tc>
      </w:tr>
      <w:tr w:rsidR="00DF0110" w:rsidRPr="006D32A5" w14:paraId="795DA79F" w14:textId="77777777" w:rsidTr="00355A52">
        <w:tc>
          <w:tcPr>
            <w:tcW w:w="276" w:type="pct"/>
            <w:gridSpan w:val="2"/>
            <w:shd w:val="clear" w:color="auto" w:fill="FFFFFF"/>
          </w:tcPr>
          <w:p w14:paraId="311371E4" w14:textId="77777777" w:rsidR="00DF0110" w:rsidRPr="00C46970" w:rsidRDefault="00DF0110" w:rsidP="00342E14">
            <w:pPr>
              <w:widowControl w:val="0"/>
              <w:spacing w:line="280" w:lineRule="atLeast"/>
              <w:rPr>
                <w:rFonts w:ascii="Arial" w:hAnsi="Arial" w:cs="Arial"/>
              </w:rPr>
            </w:pPr>
            <w:r w:rsidRPr="00C46970">
              <w:rPr>
                <w:rFonts w:ascii="Arial" w:hAnsi="Arial" w:cs="Arial"/>
              </w:rPr>
              <w:t>90</w:t>
            </w:r>
          </w:p>
        </w:tc>
        <w:tc>
          <w:tcPr>
            <w:tcW w:w="3200" w:type="pct"/>
            <w:shd w:val="clear" w:color="auto" w:fill="FFFFFF"/>
            <w:tcMar>
              <w:top w:w="0" w:type="dxa"/>
              <w:left w:w="108" w:type="dxa"/>
              <w:bottom w:w="0" w:type="dxa"/>
              <w:right w:w="108" w:type="dxa"/>
            </w:tcMar>
          </w:tcPr>
          <w:p w14:paraId="5205182F" w14:textId="77777777" w:rsidR="00DF0110" w:rsidRPr="00C46970" w:rsidRDefault="00DF0110" w:rsidP="00342E14">
            <w:pPr>
              <w:widowControl w:val="0"/>
              <w:spacing w:line="280" w:lineRule="atLeast"/>
              <w:rPr>
                <w:rFonts w:ascii="Arial" w:hAnsi="Arial" w:cs="Arial"/>
              </w:rPr>
            </w:pPr>
            <w:r w:rsidRPr="00C46970">
              <w:rPr>
                <w:rFonts w:ascii="Arial" w:hAnsi="Arial" w:cs="Arial"/>
              </w:rPr>
              <w:t>No financial transactions tax at this point</w:t>
            </w:r>
            <w:r w:rsidR="00D10F46">
              <w:rPr>
                <w:rFonts w:ascii="Arial" w:hAnsi="Arial" w:cs="Arial"/>
              </w:rPr>
              <w:t xml:space="preserve"> in time</w:t>
            </w:r>
            <w:r w:rsidRPr="00C46970">
              <w:rPr>
                <w:rFonts w:ascii="Arial" w:hAnsi="Arial" w:cs="Arial"/>
              </w:rPr>
              <w:t>.</w:t>
            </w:r>
          </w:p>
        </w:tc>
        <w:tc>
          <w:tcPr>
            <w:tcW w:w="1524" w:type="pct"/>
            <w:shd w:val="clear" w:color="auto" w:fill="70AD47" w:themeFill="accent6"/>
            <w:tcMar>
              <w:top w:w="0" w:type="dxa"/>
              <w:left w:w="108" w:type="dxa"/>
              <w:bottom w:w="0" w:type="dxa"/>
              <w:right w:w="108" w:type="dxa"/>
            </w:tcMar>
          </w:tcPr>
          <w:p w14:paraId="287DB38B" w14:textId="77777777" w:rsidR="00DF0110" w:rsidRPr="005E5053" w:rsidRDefault="00355A52" w:rsidP="00342E14">
            <w:pPr>
              <w:widowControl w:val="0"/>
              <w:rPr>
                <w:rStyle w:val="CommentReference"/>
                <w:rFonts w:ascii="Arial" w:hAnsi="Arial" w:cs="Arial"/>
                <w:b/>
                <w:sz w:val="22"/>
                <w:szCs w:val="22"/>
              </w:rPr>
            </w:pPr>
            <w:r w:rsidRPr="005E5053">
              <w:rPr>
                <w:rFonts w:ascii="Arial" w:hAnsi="Arial" w:cs="Arial"/>
                <w:b/>
              </w:rPr>
              <w:t>Endorse the TWG recommendation</w:t>
            </w:r>
          </w:p>
        </w:tc>
      </w:tr>
      <w:tr w:rsidR="00DF0110" w:rsidRPr="00974585" w14:paraId="00D7696D" w14:textId="77777777" w:rsidTr="00355A52">
        <w:trPr>
          <w:trHeight w:val="975"/>
        </w:trPr>
        <w:tc>
          <w:tcPr>
            <w:tcW w:w="276" w:type="pct"/>
            <w:gridSpan w:val="2"/>
            <w:shd w:val="clear" w:color="auto" w:fill="FFFFFF"/>
          </w:tcPr>
          <w:p w14:paraId="18F46D95" w14:textId="77777777" w:rsidR="00DF0110" w:rsidRPr="00C46970" w:rsidRDefault="00DF0110" w:rsidP="00342E14">
            <w:pPr>
              <w:widowControl w:val="0"/>
              <w:spacing w:line="280" w:lineRule="atLeast"/>
              <w:rPr>
                <w:rFonts w:ascii="Arial" w:hAnsi="Arial" w:cs="Arial"/>
              </w:rPr>
            </w:pPr>
            <w:r w:rsidRPr="00C46970">
              <w:rPr>
                <w:rFonts w:ascii="Arial" w:hAnsi="Arial" w:cs="Arial"/>
              </w:rPr>
              <w:t>91</w:t>
            </w:r>
          </w:p>
        </w:tc>
        <w:tc>
          <w:tcPr>
            <w:tcW w:w="3200" w:type="pct"/>
            <w:shd w:val="clear" w:color="auto" w:fill="FFFFFF"/>
            <w:tcMar>
              <w:top w:w="0" w:type="dxa"/>
              <w:left w:w="108" w:type="dxa"/>
              <w:bottom w:w="0" w:type="dxa"/>
              <w:right w:w="108" w:type="dxa"/>
            </w:tcMar>
          </w:tcPr>
          <w:p w14:paraId="741CB97A" w14:textId="77777777" w:rsidR="00DF0110" w:rsidRPr="00C46970" w:rsidRDefault="00DF0110" w:rsidP="00342E14">
            <w:pPr>
              <w:widowControl w:val="0"/>
              <w:spacing w:line="280" w:lineRule="atLeast"/>
              <w:rPr>
                <w:rFonts w:ascii="Arial" w:hAnsi="Arial" w:cs="Arial"/>
              </w:rPr>
            </w:pPr>
            <w:r w:rsidRPr="00C46970">
              <w:rPr>
                <w:rFonts w:ascii="Arial" w:hAnsi="Arial" w:cs="Arial"/>
              </w:rPr>
              <w:t xml:space="preserve">The TWG has already reported to Ministers on the issue of GST on low-value imported goods, and the Government recently introduced legislation in December 2018 advancing proposals to address the issue.   </w:t>
            </w:r>
          </w:p>
        </w:tc>
        <w:tc>
          <w:tcPr>
            <w:tcW w:w="1524" w:type="pct"/>
            <w:shd w:val="clear" w:color="auto" w:fill="5B9BD5" w:themeFill="accent1"/>
            <w:tcMar>
              <w:top w:w="0" w:type="dxa"/>
              <w:left w:w="108" w:type="dxa"/>
              <w:bottom w:w="0" w:type="dxa"/>
              <w:right w:w="108" w:type="dxa"/>
            </w:tcMar>
          </w:tcPr>
          <w:p w14:paraId="0D04810C" w14:textId="0EFEBF48" w:rsidR="00DF0110" w:rsidRPr="00C46970" w:rsidRDefault="00286F5C" w:rsidP="00481C6D">
            <w:pPr>
              <w:widowControl w:val="0"/>
              <w:rPr>
                <w:rFonts w:ascii="Arial" w:hAnsi="Arial" w:cs="Arial"/>
              </w:rPr>
            </w:pPr>
            <w:r>
              <w:rPr>
                <w:rFonts w:ascii="Arial" w:hAnsi="Arial" w:cs="Arial"/>
                <w:b/>
              </w:rPr>
              <w:t>Note w</w:t>
            </w:r>
            <w:r w:rsidRPr="005E5053">
              <w:rPr>
                <w:rFonts w:ascii="Arial" w:hAnsi="Arial" w:cs="Arial"/>
                <w:b/>
              </w:rPr>
              <w:t>ork</w:t>
            </w:r>
            <w:r>
              <w:rPr>
                <w:rFonts w:ascii="Arial" w:hAnsi="Arial" w:cs="Arial"/>
                <w:b/>
              </w:rPr>
              <w:t xml:space="preserve"> already</w:t>
            </w:r>
            <w:r w:rsidRPr="005E5053">
              <w:rPr>
                <w:rFonts w:ascii="Arial" w:hAnsi="Arial" w:cs="Arial"/>
                <w:b/>
              </w:rPr>
              <w:t xml:space="preserve"> underway</w:t>
            </w:r>
            <w:r>
              <w:rPr>
                <w:rFonts w:ascii="Arial" w:hAnsi="Arial" w:cs="Arial"/>
              </w:rPr>
              <w:t xml:space="preserve"> </w:t>
            </w:r>
            <w:r w:rsidR="000C1797">
              <w:rPr>
                <w:rFonts w:ascii="Arial" w:hAnsi="Arial" w:cs="Arial"/>
              </w:rPr>
              <w:t>–</w:t>
            </w:r>
            <w:r w:rsidR="005E5053">
              <w:rPr>
                <w:rFonts w:ascii="Arial" w:hAnsi="Arial" w:cs="Arial"/>
              </w:rPr>
              <w:t xml:space="preserve"> t</w:t>
            </w:r>
            <w:r w:rsidR="005E5053" w:rsidRPr="005E5053">
              <w:rPr>
                <w:rFonts w:ascii="Arial" w:hAnsi="Arial" w:cs="Arial"/>
              </w:rPr>
              <w:t>he Taxation (Annual Rates for 2019-20, GST Offshore Supplier Registration, and Remedial Matters) Bill was introduced in December 2018.</w:t>
            </w:r>
          </w:p>
        </w:tc>
      </w:tr>
      <w:tr w:rsidR="00342E14" w:rsidRPr="006D32A5" w14:paraId="4E55EC87" w14:textId="77777777" w:rsidTr="00DF0110">
        <w:trPr>
          <w:trHeight w:val="345"/>
        </w:trPr>
        <w:tc>
          <w:tcPr>
            <w:tcW w:w="5000" w:type="pct"/>
            <w:gridSpan w:val="4"/>
            <w:shd w:val="clear" w:color="auto" w:fill="000000" w:themeFill="text1"/>
            <w:vAlign w:val="center"/>
          </w:tcPr>
          <w:p w14:paraId="62F439AF" w14:textId="77777777" w:rsidR="00342E14" w:rsidRPr="00C46970" w:rsidRDefault="00342E14" w:rsidP="00342E14">
            <w:pPr>
              <w:widowControl w:val="0"/>
              <w:ind w:left="94"/>
              <w:rPr>
                <w:rFonts w:ascii="Arial" w:hAnsi="Arial" w:cs="Arial"/>
                <w:color w:val="FFFFFF" w:themeColor="background1"/>
              </w:rPr>
            </w:pPr>
            <w:r w:rsidRPr="00C46970">
              <w:rPr>
                <w:rFonts w:ascii="Arial" w:hAnsi="Arial" w:cs="Arial"/>
                <w:b/>
                <w:color w:val="FFFFFF" w:themeColor="background1"/>
              </w:rPr>
              <w:t>Corrective taxes</w:t>
            </w:r>
          </w:p>
        </w:tc>
      </w:tr>
      <w:tr w:rsidR="008763CA" w:rsidRPr="006D32A5" w14:paraId="3DB1021E" w14:textId="77777777" w:rsidTr="00B42D4C">
        <w:tc>
          <w:tcPr>
            <w:tcW w:w="276" w:type="pct"/>
            <w:gridSpan w:val="2"/>
          </w:tcPr>
          <w:p w14:paraId="515FE94F" w14:textId="77777777" w:rsidR="008763CA" w:rsidRPr="00C46970" w:rsidRDefault="008763CA" w:rsidP="008763CA">
            <w:pPr>
              <w:widowControl w:val="0"/>
              <w:spacing w:line="280" w:lineRule="atLeast"/>
              <w:rPr>
                <w:rFonts w:ascii="Arial" w:hAnsi="Arial" w:cs="Arial"/>
              </w:rPr>
            </w:pPr>
            <w:r w:rsidRPr="00C46970">
              <w:rPr>
                <w:rFonts w:ascii="Arial" w:hAnsi="Arial" w:cs="Arial"/>
              </w:rPr>
              <w:t>92</w:t>
            </w:r>
          </w:p>
        </w:tc>
        <w:tc>
          <w:tcPr>
            <w:tcW w:w="3200" w:type="pct"/>
            <w:shd w:val="clear" w:color="auto" w:fill="auto"/>
            <w:tcMar>
              <w:top w:w="0" w:type="dxa"/>
              <w:left w:w="108" w:type="dxa"/>
              <w:bottom w:w="0" w:type="dxa"/>
              <w:right w:w="108" w:type="dxa"/>
            </w:tcMar>
          </w:tcPr>
          <w:p w14:paraId="6786559C" w14:textId="77777777" w:rsidR="008763CA" w:rsidRPr="00C46970" w:rsidRDefault="008763CA" w:rsidP="008763CA">
            <w:pPr>
              <w:widowControl w:val="0"/>
              <w:spacing w:line="280" w:lineRule="atLeast"/>
              <w:rPr>
                <w:rFonts w:ascii="Arial" w:hAnsi="Arial" w:cs="Arial"/>
              </w:rPr>
            </w:pPr>
            <w:r w:rsidRPr="00C46970">
              <w:rPr>
                <w:rFonts w:ascii="Arial" w:hAnsi="Arial" w:cs="Arial"/>
              </w:rPr>
              <w:t xml:space="preserve">The TWG supports developing a framework for deciding when to apply corrective taxes.  </w:t>
            </w:r>
          </w:p>
        </w:tc>
        <w:tc>
          <w:tcPr>
            <w:tcW w:w="1524" w:type="pct"/>
            <w:shd w:val="clear" w:color="auto" w:fill="D0CECE"/>
            <w:tcMar>
              <w:top w:w="0" w:type="dxa"/>
              <w:left w:w="108" w:type="dxa"/>
              <w:bottom w:w="0" w:type="dxa"/>
              <w:right w:w="108" w:type="dxa"/>
            </w:tcMar>
          </w:tcPr>
          <w:p w14:paraId="278F40AD" w14:textId="77777777" w:rsidR="008763CA" w:rsidRPr="00C46970" w:rsidRDefault="008763CA" w:rsidP="008763CA">
            <w:pPr>
              <w:widowControl w:val="0"/>
              <w:spacing w:line="280" w:lineRule="atLeast"/>
              <w:rPr>
                <w:rFonts w:ascii="Arial" w:hAnsi="Arial" w:cs="Arial"/>
              </w:rPr>
            </w:pPr>
            <w:r>
              <w:rPr>
                <w:rFonts w:ascii="Arial" w:hAnsi="Arial" w:cs="Arial"/>
                <w:b/>
              </w:rPr>
              <w:t>Agree n</w:t>
            </w:r>
            <w:r w:rsidRPr="005E5053">
              <w:rPr>
                <w:rFonts w:ascii="Arial" w:hAnsi="Arial" w:cs="Arial"/>
                <w:b/>
              </w:rPr>
              <w:t>o further work required</w:t>
            </w:r>
          </w:p>
        </w:tc>
      </w:tr>
      <w:tr w:rsidR="00DF0110" w:rsidRPr="006D32A5" w14:paraId="513842E0" w14:textId="77777777" w:rsidTr="00B42D4C">
        <w:tc>
          <w:tcPr>
            <w:tcW w:w="276" w:type="pct"/>
            <w:gridSpan w:val="2"/>
          </w:tcPr>
          <w:p w14:paraId="4AAB077F" w14:textId="77777777" w:rsidR="00DF0110" w:rsidRPr="00C46970" w:rsidRDefault="00DF0110" w:rsidP="00342E14">
            <w:pPr>
              <w:widowControl w:val="0"/>
              <w:spacing w:line="280" w:lineRule="atLeast"/>
              <w:rPr>
                <w:rFonts w:ascii="Arial" w:hAnsi="Arial" w:cs="Arial"/>
              </w:rPr>
            </w:pPr>
            <w:r w:rsidRPr="00C46970">
              <w:rPr>
                <w:rFonts w:ascii="Arial" w:hAnsi="Arial" w:cs="Arial"/>
              </w:rPr>
              <w:t>93</w:t>
            </w:r>
          </w:p>
        </w:tc>
        <w:tc>
          <w:tcPr>
            <w:tcW w:w="3200" w:type="pct"/>
            <w:shd w:val="clear" w:color="auto" w:fill="auto"/>
            <w:tcMar>
              <w:top w:w="0" w:type="dxa"/>
              <w:left w:w="108" w:type="dxa"/>
              <w:bottom w:w="0" w:type="dxa"/>
              <w:right w:w="108" w:type="dxa"/>
            </w:tcMar>
          </w:tcPr>
          <w:p w14:paraId="1E4B81BC" w14:textId="77777777" w:rsidR="00DF0110" w:rsidRPr="00C46970" w:rsidRDefault="00DF0110" w:rsidP="00342E14">
            <w:pPr>
              <w:widowControl w:val="0"/>
              <w:spacing w:line="280" w:lineRule="atLeast"/>
              <w:rPr>
                <w:rFonts w:ascii="Arial" w:hAnsi="Arial" w:cs="Arial"/>
              </w:rPr>
            </w:pPr>
            <w:r w:rsidRPr="00C46970">
              <w:rPr>
                <w:rFonts w:ascii="Arial" w:hAnsi="Arial" w:cs="Arial"/>
              </w:rPr>
              <w:t>Review the rate structure of the alcohol excise with the intention of rationalising and simplifying it.</w:t>
            </w:r>
          </w:p>
        </w:tc>
        <w:tc>
          <w:tcPr>
            <w:tcW w:w="1524" w:type="pct"/>
            <w:shd w:val="clear" w:color="auto" w:fill="D0CECE"/>
            <w:tcMar>
              <w:top w:w="0" w:type="dxa"/>
              <w:left w:w="108" w:type="dxa"/>
              <w:bottom w:w="0" w:type="dxa"/>
              <w:right w:w="108" w:type="dxa"/>
            </w:tcMar>
          </w:tcPr>
          <w:p w14:paraId="51BCC0AB" w14:textId="77777777" w:rsidR="00DF0110" w:rsidRPr="00C46970" w:rsidRDefault="00127892" w:rsidP="00342E14">
            <w:pPr>
              <w:widowControl w:val="0"/>
              <w:rPr>
                <w:rFonts w:ascii="Arial" w:hAnsi="Arial" w:cs="Arial"/>
              </w:rPr>
            </w:pPr>
            <w:r>
              <w:rPr>
                <w:rFonts w:ascii="Arial" w:hAnsi="Arial" w:cs="Arial"/>
                <w:b/>
              </w:rPr>
              <w:t>Agree n</w:t>
            </w:r>
            <w:r w:rsidRPr="005E5053">
              <w:rPr>
                <w:rFonts w:ascii="Arial" w:hAnsi="Arial" w:cs="Arial"/>
                <w:b/>
              </w:rPr>
              <w:t>o further work required</w:t>
            </w:r>
          </w:p>
        </w:tc>
      </w:tr>
      <w:tr w:rsidR="00DF0110" w:rsidRPr="006D32A5" w14:paraId="6D11B784" w14:textId="77777777" w:rsidTr="00355A52">
        <w:tc>
          <w:tcPr>
            <w:tcW w:w="276" w:type="pct"/>
            <w:gridSpan w:val="2"/>
          </w:tcPr>
          <w:p w14:paraId="766A74A5" w14:textId="77777777" w:rsidR="00DF0110" w:rsidRPr="00C46970" w:rsidRDefault="00DF0110" w:rsidP="00342E14">
            <w:pPr>
              <w:widowControl w:val="0"/>
              <w:spacing w:line="280" w:lineRule="atLeast"/>
              <w:rPr>
                <w:rFonts w:ascii="Arial" w:hAnsi="Arial" w:cs="Arial"/>
              </w:rPr>
            </w:pPr>
            <w:r w:rsidRPr="00C46970">
              <w:rPr>
                <w:rFonts w:ascii="Arial" w:hAnsi="Arial" w:cs="Arial"/>
              </w:rPr>
              <w:t>94</w:t>
            </w:r>
          </w:p>
        </w:tc>
        <w:tc>
          <w:tcPr>
            <w:tcW w:w="3200" w:type="pct"/>
            <w:shd w:val="clear" w:color="auto" w:fill="auto"/>
            <w:tcMar>
              <w:top w:w="0" w:type="dxa"/>
              <w:left w:w="108" w:type="dxa"/>
              <w:bottom w:w="0" w:type="dxa"/>
              <w:right w:w="108" w:type="dxa"/>
            </w:tcMar>
          </w:tcPr>
          <w:p w14:paraId="6D09E602" w14:textId="77777777" w:rsidR="00DF0110" w:rsidRPr="00C46970" w:rsidRDefault="00DF0110" w:rsidP="00342E14">
            <w:pPr>
              <w:widowControl w:val="0"/>
              <w:spacing w:line="280" w:lineRule="atLeast"/>
              <w:rPr>
                <w:rFonts w:ascii="Arial" w:hAnsi="Arial" w:cs="Arial"/>
              </w:rPr>
            </w:pPr>
            <w:bookmarkStart w:id="30" w:name="_Hlk535239985"/>
            <w:r w:rsidRPr="00C46970">
              <w:rPr>
                <w:rFonts w:ascii="Arial" w:hAnsi="Arial" w:cs="Arial"/>
              </w:rPr>
              <w:t>Prioritise other measures to help people stop smoking before considering further large increases in the tobacco excise rate beyond the increases currently scheduled.</w:t>
            </w:r>
            <w:bookmarkEnd w:id="30"/>
          </w:p>
        </w:tc>
        <w:tc>
          <w:tcPr>
            <w:tcW w:w="1524" w:type="pct"/>
            <w:shd w:val="clear" w:color="auto" w:fill="5B9BD5" w:themeFill="accent1"/>
            <w:tcMar>
              <w:top w:w="0" w:type="dxa"/>
              <w:left w:w="108" w:type="dxa"/>
              <w:bottom w:w="0" w:type="dxa"/>
              <w:right w:w="108" w:type="dxa"/>
            </w:tcMar>
          </w:tcPr>
          <w:p w14:paraId="2FC9D589" w14:textId="5DFCE460" w:rsidR="00DF0110" w:rsidRPr="00C46970" w:rsidRDefault="00286F5C" w:rsidP="00342E14">
            <w:pPr>
              <w:widowControl w:val="0"/>
              <w:rPr>
                <w:rFonts w:ascii="Arial" w:hAnsi="Arial" w:cs="Arial"/>
              </w:rPr>
            </w:pPr>
            <w:r>
              <w:rPr>
                <w:rFonts w:ascii="Arial" w:hAnsi="Arial" w:cs="Arial"/>
                <w:b/>
              </w:rPr>
              <w:t>Note w</w:t>
            </w:r>
            <w:r w:rsidRPr="005E5053">
              <w:rPr>
                <w:rFonts w:ascii="Arial" w:hAnsi="Arial" w:cs="Arial"/>
                <w:b/>
              </w:rPr>
              <w:t>ork</w:t>
            </w:r>
            <w:r>
              <w:rPr>
                <w:rFonts w:ascii="Arial" w:hAnsi="Arial" w:cs="Arial"/>
                <w:b/>
              </w:rPr>
              <w:t xml:space="preserve"> already</w:t>
            </w:r>
            <w:r w:rsidRPr="005E5053">
              <w:rPr>
                <w:rFonts w:ascii="Arial" w:hAnsi="Arial" w:cs="Arial"/>
                <w:b/>
              </w:rPr>
              <w:t xml:space="preserve"> underway</w:t>
            </w:r>
            <w:r>
              <w:rPr>
                <w:rFonts w:ascii="Arial" w:hAnsi="Arial" w:cs="Arial"/>
              </w:rPr>
              <w:t xml:space="preserve"> </w:t>
            </w:r>
            <w:r w:rsidR="000C1797">
              <w:rPr>
                <w:rFonts w:ascii="Arial" w:hAnsi="Arial" w:cs="Arial"/>
              </w:rPr>
              <w:t xml:space="preserve">– </w:t>
            </w:r>
            <w:r w:rsidR="005E5053" w:rsidRPr="005E5053">
              <w:rPr>
                <w:rFonts w:ascii="Arial" w:hAnsi="Arial" w:cs="Arial"/>
              </w:rPr>
              <w:t>The Ministry of Health is leading cross</w:t>
            </w:r>
            <w:r w:rsidR="0031006F">
              <w:rPr>
                <w:rFonts w:ascii="Arial" w:hAnsi="Arial" w:cs="Arial"/>
              </w:rPr>
              <w:t>-</w:t>
            </w:r>
            <w:r w:rsidR="005E5053" w:rsidRPr="005E5053">
              <w:rPr>
                <w:rFonts w:ascii="Arial" w:hAnsi="Arial" w:cs="Arial"/>
              </w:rPr>
              <w:t xml:space="preserve">agency work on tobacco policy, looking at both tax and non-tax measures to support </w:t>
            </w:r>
            <w:proofErr w:type="spellStart"/>
            <w:r w:rsidR="005E5053" w:rsidRPr="005E5053">
              <w:rPr>
                <w:rFonts w:ascii="Arial" w:hAnsi="Arial" w:cs="Arial"/>
              </w:rPr>
              <w:t>Smokefree</w:t>
            </w:r>
            <w:proofErr w:type="spellEnd"/>
            <w:r w:rsidR="005E5053" w:rsidRPr="005E5053">
              <w:rPr>
                <w:rFonts w:ascii="Arial" w:hAnsi="Arial" w:cs="Arial"/>
              </w:rPr>
              <w:t xml:space="preserve"> Aotearoa 2025</w:t>
            </w:r>
            <w:r w:rsidR="005E5053">
              <w:rPr>
                <w:rFonts w:ascii="Arial" w:hAnsi="Arial" w:cs="Arial"/>
              </w:rPr>
              <w:t>.</w:t>
            </w:r>
          </w:p>
        </w:tc>
      </w:tr>
      <w:tr w:rsidR="00DF0110" w:rsidRPr="006D32A5" w14:paraId="1A31453B" w14:textId="77777777" w:rsidTr="00B42D4C">
        <w:tc>
          <w:tcPr>
            <w:tcW w:w="276" w:type="pct"/>
            <w:gridSpan w:val="2"/>
            <w:shd w:val="clear" w:color="auto" w:fill="FFFFFF"/>
          </w:tcPr>
          <w:p w14:paraId="5BBA3F7C" w14:textId="77777777" w:rsidR="00DF0110" w:rsidRPr="00C46970" w:rsidRDefault="00DF0110" w:rsidP="00342E14">
            <w:pPr>
              <w:widowControl w:val="0"/>
              <w:spacing w:line="280" w:lineRule="atLeast"/>
              <w:rPr>
                <w:rFonts w:ascii="Arial" w:hAnsi="Arial" w:cs="Arial"/>
              </w:rPr>
            </w:pPr>
            <w:r w:rsidRPr="00C46970">
              <w:rPr>
                <w:rFonts w:ascii="Arial" w:hAnsi="Arial" w:cs="Arial"/>
              </w:rPr>
              <w:t>95</w:t>
            </w:r>
          </w:p>
        </w:tc>
        <w:tc>
          <w:tcPr>
            <w:tcW w:w="3200" w:type="pct"/>
            <w:shd w:val="clear" w:color="auto" w:fill="FFFFFF"/>
            <w:tcMar>
              <w:top w:w="0" w:type="dxa"/>
              <w:left w:w="108" w:type="dxa"/>
              <w:bottom w:w="0" w:type="dxa"/>
              <w:right w:w="108" w:type="dxa"/>
            </w:tcMar>
          </w:tcPr>
          <w:p w14:paraId="13224DB1" w14:textId="77777777" w:rsidR="00DF0110" w:rsidRPr="00C46970" w:rsidRDefault="00DF0110" w:rsidP="00342E14">
            <w:pPr>
              <w:widowControl w:val="0"/>
              <w:spacing w:line="280" w:lineRule="atLeast"/>
              <w:rPr>
                <w:rFonts w:ascii="Arial" w:hAnsi="Arial" w:cs="Arial"/>
              </w:rPr>
            </w:pPr>
            <w:r w:rsidRPr="00C46970">
              <w:rPr>
                <w:rFonts w:ascii="Arial" w:hAnsi="Arial" w:cs="Arial"/>
              </w:rPr>
              <w:t>Develop a clearer articulation of the Government’s goals regarding sugar consumption and gambling activity.</w:t>
            </w:r>
          </w:p>
        </w:tc>
        <w:tc>
          <w:tcPr>
            <w:tcW w:w="1524" w:type="pct"/>
            <w:shd w:val="clear" w:color="auto" w:fill="D0CECE"/>
            <w:tcMar>
              <w:top w:w="0" w:type="dxa"/>
              <w:left w:w="108" w:type="dxa"/>
              <w:bottom w:w="0" w:type="dxa"/>
              <w:right w:w="108" w:type="dxa"/>
            </w:tcMar>
          </w:tcPr>
          <w:p w14:paraId="260B4A61" w14:textId="77777777" w:rsidR="00DF0110" w:rsidRPr="00C46970" w:rsidRDefault="00127892" w:rsidP="00342E14">
            <w:pPr>
              <w:widowControl w:val="0"/>
              <w:rPr>
                <w:rFonts w:ascii="Arial" w:hAnsi="Arial" w:cs="Arial"/>
              </w:rPr>
            </w:pPr>
            <w:r>
              <w:rPr>
                <w:rFonts w:ascii="Arial" w:hAnsi="Arial" w:cs="Arial"/>
                <w:b/>
              </w:rPr>
              <w:t>Agree n</w:t>
            </w:r>
            <w:r w:rsidRPr="005E5053">
              <w:rPr>
                <w:rFonts w:ascii="Arial" w:hAnsi="Arial" w:cs="Arial"/>
                <w:b/>
              </w:rPr>
              <w:t>o further work required</w:t>
            </w:r>
          </w:p>
        </w:tc>
      </w:tr>
      <w:tr w:rsidR="00342E14" w:rsidRPr="006D32A5" w14:paraId="10FC615D" w14:textId="77777777" w:rsidTr="00457A5C">
        <w:trPr>
          <w:trHeight w:val="536"/>
        </w:trPr>
        <w:tc>
          <w:tcPr>
            <w:tcW w:w="5000" w:type="pct"/>
            <w:gridSpan w:val="4"/>
            <w:shd w:val="clear" w:color="auto" w:fill="000000" w:themeFill="text1"/>
            <w:vAlign w:val="center"/>
          </w:tcPr>
          <w:p w14:paraId="6F39A1AD" w14:textId="77777777" w:rsidR="00342E14" w:rsidRPr="00187A91" w:rsidRDefault="00767166" w:rsidP="00342E14">
            <w:pPr>
              <w:keepNext/>
              <w:widowControl w:val="0"/>
              <w:ind w:left="94"/>
              <w:rPr>
                <w:rFonts w:ascii="Arial" w:hAnsi="Arial" w:cs="Arial"/>
                <w:b/>
                <w:color w:val="FFFFFF" w:themeColor="background1"/>
              </w:rPr>
            </w:pPr>
            <w:r w:rsidRPr="00187A91">
              <w:rPr>
                <w:rFonts w:ascii="Arial" w:hAnsi="Arial" w:cs="Arial"/>
                <w:b/>
                <w:color w:val="FFFFFF" w:themeColor="background1"/>
              </w:rPr>
              <w:t>Housing</w:t>
            </w:r>
          </w:p>
        </w:tc>
      </w:tr>
      <w:tr w:rsidR="002B17A0" w:rsidRPr="006D32A5" w14:paraId="0F0F1523" w14:textId="77777777" w:rsidTr="00E90BD7">
        <w:tc>
          <w:tcPr>
            <w:tcW w:w="276" w:type="pct"/>
            <w:gridSpan w:val="2"/>
            <w:shd w:val="clear" w:color="auto" w:fill="FFFFFF"/>
          </w:tcPr>
          <w:p w14:paraId="3D2FD579" w14:textId="77777777" w:rsidR="002B17A0" w:rsidRPr="00C46970" w:rsidRDefault="002B17A0" w:rsidP="00342E14">
            <w:pPr>
              <w:widowControl w:val="0"/>
              <w:spacing w:line="280" w:lineRule="atLeast"/>
              <w:rPr>
                <w:rFonts w:ascii="Arial" w:hAnsi="Arial" w:cs="Arial"/>
              </w:rPr>
            </w:pPr>
            <w:r w:rsidRPr="00C46970">
              <w:rPr>
                <w:rFonts w:ascii="Arial" w:hAnsi="Arial" w:cs="Arial"/>
              </w:rPr>
              <w:t>96</w:t>
            </w:r>
          </w:p>
        </w:tc>
        <w:tc>
          <w:tcPr>
            <w:tcW w:w="3200" w:type="pct"/>
            <w:shd w:val="clear" w:color="auto" w:fill="FFFFFF"/>
            <w:tcMar>
              <w:top w:w="0" w:type="dxa"/>
              <w:left w:w="108" w:type="dxa"/>
              <w:bottom w:w="0" w:type="dxa"/>
              <w:right w:w="108" w:type="dxa"/>
            </w:tcMar>
          </w:tcPr>
          <w:p w14:paraId="6F1D4EA2" w14:textId="77777777" w:rsidR="002B17A0" w:rsidRPr="00C46970" w:rsidRDefault="002B17A0" w:rsidP="00342E14">
            <w:pPr>
              <w:keepNext/>
              <w:widowControl w:val="0"/>
              <w:spacing w:line="280" w:lineRule="atLeast"/>
              <w:rPr>
                <w:rFonts w:ascii="Arial" w:hAnsi="Arial" w:cs="Arial"/>
              </w:rPr>
            </w:pPr>
            <w:r>
              <w:rPr>
                <w:rFonts w:ascii="Arial" w:hAnsi="Arial" w:cs="Arial"/>
              </w:rPr>
              <w:t>T</w:t>
            </w:r>
            <w:r w:rsidRPr="00C46970">
              <w:rPr>
                <w:rFonts w:ascii="Arial" w:hAnsi="Arial" w:cs="Arial"/>
              </w:rPr>
              <w:t xml:space="preserve">he Productivity Commission </w:t>
            </w:r>
            <w:r>
              <w:rPr>
                <w:rFonts w:ascii="Arial" w:hAnsi="Arial" w:cs="Arial"/>
              </w:rPr>
              <w:t xml:space="preserve">should </w:t>
            </w:r>
            <w:r w:rsidRPr="00C46970">
              <w:rPr>
                <w:rFonts w:ascii="Arial" w:hAnsi="Arial" w:cs="Arial"/>
              </w:rPr>
              <w:t xml:space="preserve">include vacant land taxes within its review of local government body financing.  </w:t>
            </w:r>
          </w:p>
        </w:tc>
        <w:tc>
          <w:tcPr>
            <w:tcW w:w="1524" w:type="pct"/>
            <w:vMerge w:val="restart"/>
            <w:shd w:val="clear" w:color="auto" w:fill="ED7D31" w:themeFill="accent2"/>
            <w:tcMar>
              <w:top w:w="0" w:type="dxa"/>
              <w:left w:w="108" w:type="dxa"/>
              <w:bottom w:w="0" w:type="dxa"/>
              <w:right w:w="108" w:type="dxa"/>
            </w:tcMar>
          </w:tcPr>
          <w:p w14:paraId="54DC3FA2" w14:textId="013056BC" w:rsidR="00B829E4" w:rsidRDefault="002B17A0" w:rsidP="009520E8">
            <w:pPr>
              <w:keepNext/>
              <w:widowControl w:val="0"/>
              <w:rPr>
                <w:rFonts w:ascii="Arial" w:hAnsi="Arial" w:cs="Arial"/>
              </w:rPr>
            </w:pPr>
            <w:r w:rsidRPr="00457A5C">
              <w:rPr>
                <w:rFonts w:ascii="Arial" w:hAnsi="Arial" w:cs="Arial"/>
                <w:b/>
              </w:rPr>
              <w:t>Consider</w:t>
            </w:r>
            <w:r>
              <w:rPr>
                <w:rFonts w:ascii="Arial" w:hAnsi="Arial" w:cs="Arial"/>
                <w:b/>
              </w:rPr>
              <w:t xml:space="preserve"> </w:t>
            </w:r>
            <w:r w:rsidR="00F81C4A">
              <w:rPr>
                <w:rFonts w:ascii="Arial" w:hAnsi="Arial" w:cs="Arial"/>
                <w:b/>
              </w:rPr>
              <w:t>taxing vacant land held by land-bankers</w:t>
            </w:r>
            <w:r>
              <w:rPr>
                <w:rFonts w:ascii="Arial" w:hAnsi="Arial" w:cs="Arial"/>
                <w:b/>
              </w:rPr>
              <w:t xml:space="preserve"> as a high priority</w:t>
            </w:r>
            <w:r w:rsidRPr="00457A5C">
              <w:rPr>
                <w:rFonts w:ascii="Arial" w:hAnsi="Arial" w:cs="Arial"/>
                <w:b/>
              </w:rPr>
              <w:t xml:space="preserve"> 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w:t>
            </w:r>
            <w:r>
              <w:rPr>
                <w:rFonts w:ascii="Arial" w:hAnsi="Arial" w:cs="Arial"/>
              </w:rPr>
              <w:t>TPWP)</w:t>
            </w:r>
            <w:r w:rsidR="00B829E4">
              <w:rPr>
                <w:rFonts w:ascii="Arial" w:hAnsi="Arial" w:cs="Arial"/>
              </w:rPr>
              <w:t>.</w:t>
            </w:r>
          </w:p>
          <w:p w14:paraId="0F9CD7CA" w14:textId="1FD7349B" w:rsidR="002B17A0" w:rsidRPr="00C46970" w:rsidRDefault="00FA43D8" w:rsidP="00342E14">
            <w:pPr>
              <w:widowControl w:val="0"/>
              <w:rPr>
                <w:rFonts w:ascii="Arial" w:hAnsi="Arial" w:cs="Arial"/>
              </w:rPr>
            </w:pPr>
            <w:r>
              <w:rPr>
                <w:rFonts w:ascii="Arial" w:hAnsi="Arial" w:cs="Arial"/>
              </w:rPr>
              <w:t xml:space="preserve">The Government </w:t>
            </w:r>
            <w:r w:rsidR="00B829E4">
              <w:rPr>
                <w:rFonts w:ascii="Arial" w:hAnsi="Arial" w:cs="Arial"/>
              </w:rPr>
              <w:t>intend</w:t>
            </w:r>
            <w:r>
              <w:rPr>
                <w:rFonts w:ascii="Arial" w:hAnsi="Arial" w:cs="Arial"/>
              </w:rPr>
              <w:t>s</w:t>
            </w:r>
            <w:r w:rsidR="00B829E4">
              <w:rPr>
                <w:rFonts w:ascii="Arial" w:hAnsi="Arial" w:cs="Arial"/>
              </w:rPr>
              <w:t xml:space="preserve"> to</w:t>
            </w:r>
            <w:r w:rsidR="0031006F">
              <w:rPr>
                <w:rFonts w:ascii="Arial" w:hAnsi="Arial" w:cs="Arial"/>
              </w:rPr>
              <w:t xml:space="preserve"> </w:t>
            </w:r>
            <w:r w:rsidR="00B829E4">
              <w:rPr>
                <w:rFonts w:ascii="Arial" w:hAnsi="Arial" w:cs="Arial"/>
              </w:rPr>
              <w:t>direct</w:t>
            </w:r>
            <w:r w:rsidR="009520E8">
              <w:rPr>
                <w:rFonts w:ascii="Arial" w:hAnsi="Arial" w:cs="Arial"/>
              </w:rPr>
              <w:t xml:space="preserve"> the Productivity Commission to include vacant land taxes in its inquiry into local government funding and financing.</w:t>
            </w:r>
          </w:p>
        </w:tc>
      </w:tr>
      <w:tr w:rsidR="002B17A0" w:rsidRPr="006D32A5" w14:paraId="76CF5694" w14:textId="77777777" w:rsidTr="00551765">
        <w:tc>
          <w:tcPr>
            <w:tcW w:w="276" w:type="pct"/>
            <w:gridSpan w:val="2"/>
            <w:shd w:val="clear" w:color="auto" w:fill="FFFFFF"/>
          </w:tcPr>
          <w:p w14:paraId="50AA8E65" w14:textId="77777777" w:rsidR="002B17A0" w:rsidRPr="00C46970" w:rsidRDefault="002B17A0" w:rsidP="00342E14">
            <w:pPr>
              <w:widowControl w:val="0"/>
              <w:spacing w:line="280" w:lineRule="atLeast"/>
              <w:rPr>
                <w:rFonts w:ascii="Arial" w:hAnsi="Arial" w:cs="Arial"/>
              </w:rPr>
            </w:pPr>
            <w:r w:rsidRPr="00C46970">
              <w:rPr>
                <w:rFonts w:ascii="Arial" w:hAnsi="Arial" w:cs="Arial"/>
              </w:rPr>
              <w:t>97</w:t>
            </w:r>
          </w:p>
        </w:tc>
        <w:tc>
          <w:tcPr>
            <w:tcW w:w="3200" w:type="pct"/>
            <w:shd w:val="clear" w:color="auto" w:fill="FFFFFF"/>
            <w:tcMar>
              <w:top w:w="0" w:type="dxa"/>
              <w:left w:w="108" w:type="dxa"/>
              <w:bottom w:w="0" w:type="dxa"/>
              <w:right w:w="108" w:type="dxa"/>
            </w:tcMar>
          </w:tcPr>
          <w:p w14:paraId="3A2598C0" w14:textId="77777777" w:rsidR="002B17A0" w:rsidRPr="00C46970" w:rsidRDefault="002B17A0" w:rsidP="00342E14">
            <w:pPr>
              <w:widowControl w:val="0"/>
              <w:spacing w:line="280" w:lineRule="atLeast"/>
              <w:rPr>
                <w:rFonts w:ascii="Arial" w:hAnsi="Arial" w:cs="Arial"/>
              </w:rPr>
            </w:pPr>
            <w:r>
              <w:rPr>
                <w:rFonts w:ascii="Arial" w:hAnsi="Arial" w:cs="Arial"/>
              </w:rPr>
              <w:t>Consider t</w:t>
            </w:r>
            <w:r w:rsidRPr="00C46970">
              <w:rPr>
                <w:rFonts w:ascii="Arial" w:hAnsi="Arial" w:cs="Arial"/>
              </w:rPr>
              <w:t>hat vacant land taxes are best levied at the local rather than the national level.</w:t>
            </w:r>
          </w:p>
        </w:tc>
        <w:tc>
          <w:tcPr>
            <w:tcW w:w="1524" w:type="pct"/>
            <w:vMerge/>
            <w:shd w:val="clear" w:color="auto" w:fill="D0CECE" w:themeFill="background2" w:themeFillShade="E6"/>
            <w:tcMar>
              <w:top w:w="0" w:type="dxa"/>
              <w:left w:w="108" w:type="dxa"/>
              <w:bottom w:w="0" w:type="dxa"/>
              <w:right w:w="108" w:type="dxa"/>
            </w:tcMar>
          </w:tcPr>
          <w:p w14:paraId="4F61D258" w14:textId="77777777" w:rsidR="002B17A0" w:rsidRPr="00C46970" w:rsidRDefault="002B17A0" w:rsidP="00342E14">
            <w:pPr>
              <w:widowControl w:val="0"/>
              <w:rPr>
                <w:rFonts w:ascii="Arial" w:hAnsi="Arial" w:cs="Arial"/>
              </w:rPr>
            </w:pPr>
          </w:p>
        </w:tc>
      </w:tr>
      <w:tr w:rsidR="00251F00" w:rsidRPr="006D32A5" w14:paraId="37358E3D" w14:textId="77777777" w:rsidTr="00B42D4C">
        <w:tc>
          <w:tcPr>
            <w:tcW w:w="276" w:type="pct"/>
            <w:gridSpan w:val="2"/>
          </w:tcPr>
          <w:p w14:paraId="0B395917" w14:textId="77777777" w:rsidR="00251F00" w:rsidRPr="00C46970" w:rsidRDefault="00251F00" w:rsidP="00251F00">
            <w:pPr>
              <w:widowControl w:val="0"/>
              <w:spacing w:line="280" w:lineRule="atLeast"/>
              <w:rPr>
                <w:rFonts w:ascii="Arial" w:hAnsi="Arial" w:cs="Arial"/>
              </w:rPr>
            </w:pPr>
            <w:r w:rsidRPr="00C46970">
              <w:rPr>
                <w:rFonts w:ascii="Arial" w:hAnsi="Arial" w:cs="Arial"/>
              </w:rPr>
              <w:t>98</w:t>
            </w:r>
          </w:p>
        </w:tc>
        <w:tc>
          <w:tcPr>
            <w:tcW w:w="3200" w:type="pct"/>
            <w:shd w:val="clear" w:color="auto" w:fill="auto"/>
            <w:tcMar>
              <w:top w:w="0" w:type="dxa"/>
              <w:left w:w="108" w:type="dxa"/>
              <w:bottom w:w="0" w:type="dxa"/>
              <w:right w:w="108" w:type="dxa"/>
            </w:tcMar>
          </w:tcPr>
          <w:p w14:paraId="321B7B6F" w14:textId="77777777" w:rsidR="00251F00" w:rsidRPr="00C46970" w:rsidRDefault="00251F00" w:rsidP="00251F00">
            <w:pPr>
              <w:widowControl w:val="0"/>
              <w:spacing w:line="280" w:lineRule="atLeast"/>
              <w:rPr>
                <w:rFonts w:ascii="Arial" w:hAnsi="Arial" w:cs="Arial"/>
              </w:rPr>
            </w:pPr>
            <w:r w:rsidRPr="00C46970">
              <w:rPr>
                <w:rFonts w:ascii="Arial" w:hAnsi="Arial" w:cs="Arial"/>
              </w:rPr>
              <w:t xml:space="preserve">Repeal the ten-year rule regarding selling </w:t>
            </w:r>
            <w:r>
              <w:rPr>
                <w:rFonts w:ascii="Arial" w:hAnsi="Arial" w:cs="Arial"/>
              </w:rPr>
              <w:t xml:space="preserve">property </w:t>
            </w:r>
            <w:r w:rsidRPr="00C46970">
              <w:rPr>
                <w:rFonts w:ascii="Arial" w:hAnsi="Arial" w:cs="Arial"/>
              </w:rPr>
              <w:t>for a gain caused by changes in land use regulation.</w:t>
            </w:r>
          </w:p>
        </w:tc>
        <w:tc>
          <w:tcPr>
            <w:tcW w:w="1524" w:type="pct"/>
            <w:shd w:val="clear" w:color="auto" w:fill="ED7D31" w:themeFill="accent2"/>
            <w:tcMar>
              <w:top w:w="0" w:type="dxa"/>
              <w:left w:w="108" w:type="dxa"/>
              <w:bottom w:w="0" w:type="dxa"/>
              <w:right w:w="108" w:type="dxa"/>
            </w:tcMar>
          </w:tcPr>
          <w:p w14:paraId="635B0E04" w14:textId="77777777" w:rsidR="00251F00" w:rsidRPr="005E5053" w:rsidRDefault="00251F00" w:rsidP="00251F00">
            <w:pPr>
              <w:widowControl w:val="0"/>
              <w:rPr>
                <w:rFonts w:ascii="Arial" w:hAnsi="Arial" w:cs="Arial"/>
                <w:b/>
              </w:rPr>
            </w:pPr>
            <w:r w:rsidRPr="00457A5C">
              <w:rPr>
                <w:rFonts w:ascii="Arial" w:hAnsi="Arial" w:cs="Arial"/>
                <w:b/>
              </w:rPr>
              <w:t xml:space="preserve">Consider </w:t>
            </w:r>
            <w:r w:rsidR="003D08B3">
              <w:rPr>
                <w:rFonts w:ascii="Arial" w:hAnsi="Arial" w:cs="Arial"/>
                <w:b/>
              </w:rPr>
              <w:t xml:space="preserve">as a high priority </w:t>
            </w:r>
            <w:r w:rsidRPr="00457A5C">
              <w:rPr>
                <w:rFonts w:ascii="Arial" w:hAnsi="Arial" w:cs="Arial"/>
                <w:b/>
              </w:rPr>
              <w:t xml:space="preserve">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tr w:rsidR="00251F00" w:rsidRPr="006D32A5" w14:paraId="499E1848" w14:textId="77777777" w:rsidTr="00B42D4C">
        <w:tc>
          <w:tcPr>
            <w:tcW w:w="276" w:type="pct"/>
            <w:gridSpan w:val="2"/>
          </w:tcPr>
          <w:p w14:paraId="1C9E8B63" w14:textId="77777777" w:rsidR="00251F00" w:rsidRPr="00C46970" w:rsidRDefault="00251F00" w:rsidP="00251F00">
            <w:pPr>
              <w:widowControl w:val="0"/>
              <w:spacing w:line="280" w:lineRule="atLeast"/>
              <w:rPr>
                <w:rFonts w:ascii="Arial" w:hAnsi="Arial" w:cs="Arial"/>
              </w:rPr>
            </w:pPr>
            <w:r w:rsidRPr="00C46970">
              <w:rPr>
                <w:rFonts w:ascii="Arial" w:hAnsi="Arial" w:cs="Arial"/>
              </w:rPr>
              <w:t>99</w:t>
            </w:r>
          </w:p>
        </w:tc>
        <w:tc>
          <w:tcPr>
            <w:tcW w:w="3200" w:type="pct"/>
            <w:shd w:val="clear" w:color="auto" w:fill="auto"/>
            <w:tcMar>
              <w:top w:w="0" w:type="dxa"/>
              <w:left w:w="108" w:type="dxa"/>
              <w:bottom w:w="0" w:type="dxa"/>
              <w:right w:w="108" w:type="dxa"/>
            </w:tcMar>
          </w:tcPr>
          <w:p w14:paraId="0956048C" w14:textId="77777777" w:rsidR="00251F00" w:rsidRPr="00C46970" w:rsidRDefault="00251F00" w:rsidP="00251F00">
            <w:pPr>
              <w:widowControl w:val="0"/>
              <w:spacing w:line="280" w:lineRule="atLeast"/>
              <w:rPr>
                <w:rFonts w:ascii="Arial" w:hAnsi="Arial" w:cs="Arial"/>
              </w:rPr>
            </w:pPr>
            <w:r w:rsidRPr="00C46970">
              <w:rPr>
                <w:rFonts w:ascii="Arial" w:hAnsi="Arial" w:cs="Arial"/>
              </w:rPr>
              <w:t>Require disclosure of IRD number</w:t>
            </w:r>
            <w:r w:rsidR="00FC48B3">
              <w:rPr>
                <w:rFonts w:ascii="Arial" w:hAnsi="Arial" w:cs="Arial"/>
              </w:rPr>
              <w:t>s</w:t>
            </w:r>
            <w:r w:rsidRPr="00C46970">
              <w:rPr>
                <w:rFonts w:ascii="Arial" w:hAnsi="Arial" w:cs="Arial"/>
              </w:rPr>
              <w:t xml:space="preserve"> on the Land Transfer Tax Statement when </w:t>
            </w:r>
            <w:r w:rsidR="00FC48B3">
              <w:rPr>
                <w:rFonts w:ascii="Arial" w:hAnsi="Arial" w:cs="Arial"/>
              </w:rPr>
              <w:t>transferring</w:t>
            </w:r>
            <w:r w:rsidR="00FC48B3" w:rsidRPr="00C46970">
              <w:rPr>
                <w:rFonts w:ascii="Arial" w:hAnsi="Arial" w:cs="Arial"/>
              </w:rPr>
              <w:t xml:space="preserve"> </w:t>
            </w:r>
            <w:r>
              <w:rPr>
                <w:rFonts w:ascii="Arial" w:hAnsi="Arial" w:cs="Arial"/>
              </w:rPr>
              <w:t xml:space="preserve">a </w:t>
            </w:r>
            <w:r w:rsidRPr="00C46970">
              <w:rPr>
                <w:rFonts w:ascii="Arial" w:hAnsi="Arial" w:cs="Arial"/>
              </w:rPr>
              <w:t>main home.</w:t>
            </w:r>
          </w:p>
        </w:tc>
        <w:tc>
          <w:tcPr>
            <w:tcW w:w="1524" w:type="pct"/>
            <w:shd w:val="clear" w:color="auto" w:fill="ED7D31" w:themeFill="accent2"/>
            <w:tcMar>
              <w:top w:w="0" w:type="dxa"/>
              <w:left w:w="108" w:type="dxa"/>
              <w:bottom w:w="0" w:type="dxa"/>
              <w:right w:w="108" w:type="dxa"/>
            </w:tcMar>
          </w:tcPr>
          <w:p w14:paraId="43F92F73" w14:textId="77777777" w:rsidR="00251F00" w:rsidRPr="005E5053" w:rsidRDefault="00251F00" w:rsidP="00251F00">
            <w:pPr>
              <w:widowControl w:val="0"/>
              <w:rPr>
                <w:rFonts w:ascii="Arial" w:hAnsi="Arial" w:cs="Arial"/>
                <w:b/>
              </w:rPr>
            </w:pPr>
            <w:r w:rsidRPr="00457A5C">
              <w:rPr>
                <w:rFonts w:ascii="Arial" w:hAnsi="Arial" w:cs="Arial"/>
                <w:b/>
              </w:rPr>
              <w:t xml:space="preserve">Consider </w:t>
            </w:r>
            <w:r w:rsidR="003D08B3">
              <w:rPr>
                <w:rFonts w:ascii="Arial" w:hAnsi="Arial" w:cs="Arial"/>
                <w:b/>
              </w:rPr>
              <w:t xml:space="preserve">as a high priority </w:t>
            </w:r>
            <w:r w:rsidRPr="00457A5C">
              <w:rPr>
                <w:rFonts w:ascii="Arial" w:hAnsi="Arial" w:cs="Arial"/>
                <w:b/>
              </w:rPr>
              <w:t xml:space="preserve">for </w:t>
            </w:r>
            <w:r w:rsidR="00B87263">
              <w:rPr>
                <w:rFonts w:ascii="Arial" w:hAnsi="Arial" w:cs="Arial"/>
                <w:b/>
              </w:rPr>
              <w:t xml:space="preserve">inclusion on </w:t>
            </w:r>
            <w:r w:rsidRPr="00457A5C">
              <w:rPr>
                <w:rFonts w:ascii="Arial" w:hAnsi="Arial" w:cs="Arial"/>
                <w:b/>
              </w:rPr>
              <w:t>work programme</w:t>
            </w:r>
            <w:r>
              <w:rPr>
                <w:rFonts w:ascii="Arial" w:hAnsi="Arial" w:cs="Arial"/>
                <w:b/>
              </w:rPr>
              <w:t xml:space="preserve"> </w:t>
            </w:r>
            <w:r w:rsidRPr="00457A5C">
              <w:rPr>
                <w:rFonts w:ascii="Arial" w:hAnsi="Arial" w:cs="Arial"/>
              </w:rPr>
              <w:t>(TPWP)</w:t>
            </w:r>
          </w:p>
        </w:tc>
      </w:tr>
      <w:bookmarkEnd w:id="26"/>
    </w:tbl>
    <w:p w14:paraId="51166343" w14:textId="77777777" w:rsidR="00342E14" w:rsidRPr="00895779" w:rsidRDefault="00342E14" w:rsidP="00895779">
      <w:pPr>
        <w:rPr>
          <w:rFonts w:ascii="Arial" w:hAnsi="Arial" w:cs="Arial"/>
          <w:sz w:val="24"/>
          <w:szCs w:val="24"/>
        </w:rPr>
      </w:pPr>
    </w:p>
    <w:sectPr w:rsidR="00342E14" w:rsidRPr="00895779" w:rsidSect="00342E14">
      <w:footerReference w:type="default" r:id="rId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BF845" w14:textId="77777777" w:rsidR="00335789" w:rsidRDefault="00335789">
      <w:pPr>
        <w:spacing w:after="0" w:line="240" w:lineRule="auto"/>
      </w:pPr>
      <w:r>
        <w:separator/>
      </w:r>
    </w:p>
  </w:endnote>
  <w:endnote w:type="continuationSeparator" w:id="0">
    <w:p w14:paraId="4A9F5856" w14:textId="77777777" w:rsidR="00335789" w:rsidRDefault="0033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D68F" w14:textId="60B1D2C2" w:rsidR="00335789" w:rsidRPr="00187A91" w:rsidRDefault="00335789">
    <w:pPr>
      <w:pStyle w:val="Footer"/>
      <w:jc w:val="center"/>
      <w:rPr>
        <w:rFonts w:ascii="Arial" w:hAnsi="Arial" w:cs="Arial"/>
      </w:rPr>
    </w:pPr>
    <w:bookmarkStart w:id="31" w:name="TsyIMFooter"/>
    <w:r w:rsidRPr="00133987">
      <w:rPr>
        <w:sz w:val="14"/>
      </w:rPr>
      <w:t xml:space="preserve">Treasury:4099414v1 </w:t>
    </w:r>
    <w:bookmarkEnd w:id="31"/>
    <w:r>
      <w:rPr>
        <w:noProof/>
        <w:lang w:eastAsia="en-NZ"/>
      </w:rPr>
      <mc:AlternateContent>
        <mc:Choice Requires="wps">
          <w:drawing>
            <wp:anchor distT="0" distB="0" distL="114300" distR="114300" simplePos="0" relativeHeight="251659264" behindDoc="0" locked="0" layoutInCell="0" allowOverlap="1" wp14:anchorId="05FA6701" wp14:editId="724E480F">
              <wp:simplePos x="0" y="0"/>
              <wp:positionH relativeFrom="page">
                <wp:posOffset>0</wp:posOffset>
              </wp:positionH>
              <wp:positionV relativeFrom="page">
                <wp:posOffset>10234930</wp:posOffset>
              </wp:positionV>
              <wp:extent cx="7560310" cy="266700"/>
              <wp:effectExtent l="0" t="0" r="0" b="0"/>
              <wp:wrapNone/>
              <wp:docPr id="1" name="MSIPCMd6604f3aa1acf88eb2823db5" descr="{&quot;HashCode&quot;:4043168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F5837" w14:textId="6B5C238C" w:rsidR="00335789" w:rsidRPr="00805061" w:rsidRDefault="00335789" w:rsidP="00805061">
                          <w:pPr>
                            <w:spacing w:after="0"/>
                            <w:jc w:val="center"/>
                            <w:rPr>
                              <w:rFonts w:ascii="Verdana" w:hAnsi="Verdana"/>
                              <w:color w:val="000000"/>
                              <w:sz w:val="20"/>
                            </w:rPr>
                          </w:pPr>
                          <w:r>
                            <w:rPr>
                              <w:rFonts w:ascii="Verdana" w:hAnsi="Verdana"/>
                              <w:color w:val="000000"/>
                              <w:sz w:val="20"/>
                            </w:rPr>
                            <w:t>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FA6701" id="_x0000_t202" coordsize="21600,21600" o:spt="202" path="m,l,21600r21600,l21600,xe">
              <v:stroke joinstyle="miter"/>
              <v:path gradientshapeok="t" o:connecttype="rect"/>
            </v:shapetype>
            <v:shape id="MSIPCMd6604f3aa1acf88eb2823db5" o:spid="_x0000_s1026" type="#_x0000_t202" alt="{&quot;HashCode&quot;:40431686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dYhaDhgDAAA1BgAADgAAAAAAAAAAAAAA&#10;AAAuAgAAZHJzL2Uyb0RvYy54bWxQSwECLQAUAAYACAAAACEAg7KPK98AAAALAQAADwAAAAAAAAAA&#10;AAAAAAByBQAAZHJzL2Rvd25yZXYueG1sUEsFBgAAAAAEAAQA8wAAAH4GAAAAAA==&#10;" o:allowincell="f" filled="f" stroked="f" strokeweight=".5pt">
              <v:textbox inset=",0,,0">
                <w:txbxContent>
                  <w:p w14:paraId="402F5837" w14:textId="6B5C238C" w:rsidR="00FB5804" w:rsidRPr="00805061" w:rsidRDefault="00FB5804" w:rsidP="00805061">
                    <w:pPr>
                      <w:spacing w:after="0"/>
                      <w:jc w:val="center"/>
                      <w:rPr>
                        <w:rFonts w:ascii="Verdana" w:hAnsi="Verdana"/>
                        <w:color w:val="000000"/>
                        <w:sz w:val="20"/>
                      </w:rPr>
                    </w:pPr>
                    <w:r>
                      <w:rPr>
                        <w:rFonts w:ascii="Verdana" w:hAnsi="Verdana"/>
                        <w:color w:val="000000"/>
                        <w:sz w:val="20"/>
                      </w:rPr>
                      <w:t>SENSITIVE</w:t>
                    </w:r>
                  </w:p>
                </w:txbxContent>
              </v:textbox>
              <w10:wrap anchorx="page" anchory="page"/>
            </v:shape>
          </w:pict>
        </mc:Fallback>
      </mc:AlternateContent>
    </w:r>
    <w:sdt>
      <w:sdtPr>
        <w:id w:val="-911390979"/>
        <w:docPartObj>
          <w:docPartGallery w:val="Page Numbers (Bottom of Page)"/>
          <w:docPartUnique/>
        </w:docPartObj>
      </w:sdtPr>
      <w:sdtEndPr>
        <w:rPr>
          <w:rFonts w:ascii="Arial" w:hAnsi="Arial" w:cs="Arial"/>
          <w:noProof/>
        </w:rPr>
      </w:sdtEndPr>
      <w:sdtContent>
        <w:r w:rsidRPr="00187A91">
          <w:rPr>
            <w:rFonts w:ascii="Arial" w:hAnsi="Arial" w:cs="Arial"/>
          </w:rPr>
          <w:fldChar w:fldCharType="begin"/>
        </w:r>
        <w:r w:rsidRPr="00187A91">
          <w:rPr>
            <w:rFonts w:ascii="Arial" w:hAnsi="Arial" w:cs="Arial"/>
          </w:rPr>
          <w:instrText xml:space="preserve"> PAGE   \* MERGEFORMAT </w:instrText>
        </w:r>
        <w:r w:rsidRPr="00187A91">
          <w:rPr>
            <w:rFonts w:ascii="Arial" w:hAnsi="Arial" w:cs="Arial"/>
          </w:rPr>
          <w:fldChar w:fldCharType="separate"/>
        </w:r>
        <w:r>
          <w:rPr>
            <w:rFonts w:ascii="Arial" w:hAnsi="Arial" w:cs="Arial"/>
            <w:noProof/>
          </w:rPr>
          <w:t>30</w:t>
        </w:r>
        <w:r w:rsidRPr="00187A91">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79F8" w14:textId="77777777" w:rsidR="00335789" w:rsidRDefault="00335789">
      <w:pPr>
        <w:spacing w:after="0" w:line="240" w:lineRule="auto"/>
      </w:pPr>
      <w:r>
        <w:separator/>
      </w:r>
    </w:p>
  </w:footnote>
  <w:footnote w:type="continuationSeparator" w:id="0">
    <w:p w14:paraId="4E16CB1B" w14:textId="77777777" w:rsidR="00335789" w:rsidRDefault="0033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BC897A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445323"/>
    <w:multiLevelType w:val="hybridMultilevel"/>
    <w:tmpl w:val="58A2ACA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54849A5"/>
    <w:multiLevelType w:val="hybridMultilevel"/>
    <w:tmpl w:val="BC988368"/>
    <w:lvl w:ilvl="0" w:tplc="91341164">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F94B66"/>
    <w:multiLevelType w:val="hybridMultilevel"/>
    <w:tmpl w:val="9522B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1D1E48"/>
    <w:multiLevelType w:val="hybridMultilevel"/>
    <w:tmpl w:val="BD587B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0BB0AFB"/>
    <w:multiLevelType w:val="multilevel"/>
    <w:tmpl w:val="1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19A0504"/>
    <w:multiLevelType w:val="hybridMultilevel"/>
    <w:tmpl w:val="F63CE82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A72EF4"/>
    <w:multiLevelType w:val="multilevel"/>
    <w:tmpl w:val="886E877C"/>
    <w:lvl w:ilvl="0">
      <w:start w:val="1"/>
      <w:numFmt w:val="decimal"/>
      <w:lvlText w:val="%1."/>
      <w:lvlJc w:val="left"/>
      <w:pPr>
        <w:ind w:left="360" w:hanging="360"/>
      </w:pPr>
      <w:rPr>
        <w:rFonts w:hint="default"/>
        <w:b w:val="0"/>
        <w:sz w:val="24"/>
        <w:szCs w:val="24"/>
      </w:rPr>
    </w:lvl>
    <w:lvl w:ilvl="1">
      <w:start w:val="5"/>
      <w:numFmt w:val="decimal"/>
      <w:lvlText w:val="%1.%2."/>
      <w:lvlJc w:val="left"/>
      <w:pPr>
        <w:ind w:left="1283" w:hanging="432"/>
      </w:pPr>
      <w:rPr>
        <w:rFonts w:ascii="Arial" w:hAnsi="Arial" w:cs="Arial"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1912CC"/>
    <w:multiLevelType w:val="hybridMultilevel"/>
    <w:tmpl w:val="BF746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963FCA"/>
    <w:multiLevelType w:val="multilevel"/>
    <w:tmpl w:val="E8EC3BAC"/>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val="0"/>
        <w:sz w:val="24"/>
        <w:szCs w:val="24"/>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17CAE"/>
    <w:multiLevelType w:val="hybridMultilevel"/>
    <w:tmpl w:val="7CFEACDA"/>
    <w:lvl w:ilvl="0" w:tplc="068A2AA6">
      <w:start w:val="2"/>
      <w:numFmt w:val="decimal"/>
      <w:lvlText w:val="%1"/>
      <w:lvlJc w:val="left"/>
      <w:pPr>
        <w:ind w:left="360" w:hanging="360"/>
      </w:pPr>
      <w:rPr>
        <w:b/>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1" w15:restartNumberingAfterBreak="0">
    <w:nsid w:val="2AA77D81"/>
    <w:multiLevelType w:val="hybridMultilevel"/>
    <w:tmpl w:val="16786D5A"/>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2" w15:restartNumberingAfterBreak="0">
    <w:nsid w:val="2D362F16"/>
    <w:multiLevelType w:val="hybridMultilevel"/>
    <w:tmpl w:val="D6006858"/>
    <w:lvl w:ilvl="0" w:tplc="8B5CBF42">
      <w:start w:val="4"/>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2DCD3E3A"/>
    <w:multiLevelType w:val="hybridMultilevel"/>
    <w:tmpl w:val="48CC07B2"/>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4D86FF7"/>
    <w:multiLevelType w:val="hybridMultilevel"/>
    <w:tmpl w:val="46B6350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5011289"/>
    <w:multiLevelType w:val="multilevel"/>
    <w:tmpl w:val="93AE200A"/>
    <w:lvl w:ilvl="0">
      <w:start w:val="1"/>
      <w:numFmt w:val="decimal"/>
      <w:lvlText w:val="%1."/>
      <w:lvlJc w:val="left"/>
      <w:pPr>
        <w:ind w:left="644" w:hanging="360"/>
      </w:pPr>
      <w:rPr>
        <w:rFonts w:ascii="Arial" w:hAnsi="Arial" w:cs="Arial" w:hint="default"/>
        <w:b w:val="0"/>
        <w:i w:val="0"/>
        <w:sz w:val="24"/>
        <w:szCs w:val="24"/>
      </w:rPr>
    </w:lvl>
    <w:lvl w:ilvl="1">
      <w:start w:val="1"/>
      <w:numFmt w:val="decimal"/>
      <w:lvlText w:val="%1.%2."/>
      <w:lvlJc w:val="left"/>
      <w:pPr>
        <w:ind w:left="1991" w:hanging="432"/>
      </w:pPr>
      <w:rPr>
        <w:rFonts w:ascii="Arial" w:hAnsi="Arial" w:cs="Arial" w:hint="default"/>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04BA3"/>
    <w:multiLevelType w:val="hybridMultilevel"/>
    <w:tmpl w:val="4B289F4A"/>
    <w:lvl w:ilvl="0" w:tplc="D8BE91C8">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FE4D9A"/>
    <w:multiLevelType w:val="hybridMultilevel"/>
    <w:tmpl w:val="58A2ACA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C6F765F"/>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509108F1"/>
    <w:multiLevelType w:val="multilevel"/>
    <w:tmpl w:val="E8EC3BAC"/>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val="0"/>
        <w:sz w:val="24"/>
        <w:szCs w:val="24"/>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0A327A"/>
    <w:multiLevelType w:val="multilevel"/>
    <w:tmpl w:val="5A0AB2B6"/>
    <w:lvl w:ilvl="0">
      <w:start w:val="1"/>
      <w:numFmt w:val="decimal"/>
      <w:lvlText w:val="%1."/>
      <w:lvlJc w:val="left"/>
      <w:pPr>
        <w:ind w:left="360" w:hanging="360"/>
      </w:pPr>
      <w:rPr>
        <w:rFonts w:hint="default"/>
        <w:b w:val="0"/>
        <w:sz w:val="24"/>
        <w:szCs w:val="24"/>
      </w:rPr>
    </w:lvl>
    <w:lvl w:ilvl="1">
      <w:start w:val="1"/>
      <w:numFmt w:val="decimal"/>
      <w:lvlText w:val="%1.%2."/>
      <w:lvlJc w:val="left"/>
      <w:pPr>
        <w:ind w:left="1283" w:hanging="432"/>
      </w:pPr>
      <w:rPr>
        <w:rFonts w:ascii="Arial" w:hAnsi="Arial" w:cs="Aria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291B4B"/>
    <w:multiLevelType w:val="hybridMultilevel"/>
    <w:tmpl w:val="9FCCF29C"/>
    <w:lvl w:ilvl="0" w:tplc="D0AABDDE">
      <w:start w:val="1"/>
      <w:numFmt w:val="bullet"/>
      <w:lvlText w:val="•"/>
      <w:lvlJc w:val="left"/>
      <w:pPr>
        <w:tabs>
          <w:tab w:val="num" w:pos="720"/>
        </w:tabs>
        <w:ind w:left="720" w:hanging="360"/>
      </w:pPr>
      <w:rPr>
        <w:rFonts w:ascii="Arial" w:hAnsi="Arial" w:cs="Times New Roman" w:hint="default"/>
      </w:rPr>
    </w:lvl>
    <w:lvl w:ilvl="1" w:tplc="83ACD6D4">
      <w:start w:val="1"/>
      <w:numFmt w:val="bullet"/>
      <w:lvlText w:val="•"/>
      <w:lvlJc w:val="left"/>
      <w:pPr>
        <w:tabs>
          <w:tab w:val="num" w:pos="1440"/>
        </w:tabs>
        <w:ind w:left="1440" w:hanging="360"/>
      </w:pPr>
      <w:rPr>
        <w:rFonts w:ascii="Arial" w:hAnsi="Arial" w:cs="Times New Roman" w:hint="default"/>
      </w:rPr>
    </w:lvl>
    <w:lvl w:ilvl="2" w:tplc="025CBF28">
      <w:start w:val="1"/>
      <w:numFmt w:val="bullet"/>
      <w:lvlText w:val="•"/>
      <w:lvlJc w:val="left"/>
      <w:pPr>
        <w:tabs>
          <w:tab w:val="num" w:pos="2160"/>
        </w:tabs>
        <w:ind w:left="2160" w:hanging="360"/>
      </w:pPr>
      <w:rPr>
        <w:rFonts w:ascii="Arial" w:hAnsi="Arial" w:cs="Times New Roman" w:hint="default"/>
      </w:rPr>
    </w:lvl>
    <w:lvl w:ilvl="3" w:tplc="169839C8">
      <w:start w:val="1"/>
      <w:numFmt w:val="bullet"/>
      <w:lvlText w:val="•"/>
      <w:lvlJc w:val="left"/>
      <w:pPr>
        <w:tabs>
          <w:tab w:val="num" w:pos="2880"/>
        </w:tabs>
        <w:ind w:left="2880" w:hanging="360"/>
      </w:pPr>
      <w:rPr>
        <w:rFonts w:ascii="Arial" w:hAnsi="Arial" w:cs="Times New Roman" w:hint="default"/>
      </w:rPr>
    </w:lvl>
    <w:lvl w:ilvl="4" w:tplc="F538E91C">
      <w:start w:val="1"/>
      <w:numFmt w:val="bullet"/>
      <w:lvlText w:val="•"/>
      <w:lvlJc w:val="left"/>
      <w:pPr>
        <w:tabs>
          <w:tab w:val="num" w:pos="3600"/>
        </w:tabs>
        <w:ind w:left="3600" w:hanging="360"/>
      </w:pPr>
      <w:rPr>
        <w:rFonts w:ascii="Arial" w:hAnsi="Arial" w:cs="Times New Roman" w:hint="default"/>
      </w:rPr>
    </w:lvl>
    <w:lvl w:ilvl="5" w:tplc="8196C744">
      <w:start w:val="1"/>
      <w:numFmt w:val="bullet"/>
      <w:lvlText w:val="•"/>
      <w:lvlJc w:val="left"/>
      <w:pPr>
        <w:tabs>
          <w:tab w:val="num" w:pos="4320"/>
        </w:tabs>
        <w:ind w:left="4320" w:hanging="360"/>
      </w:pPr>
      <w:rPr>
        <w:rFonts w:ascii="Arial" w:hAnsi="Arial" w:cs="Times New Roman" w:hint="default"/>
      </w:rPr>
    </w:lvl>
    <w:lvl w:ilvl="6" w:tplc="34064442">
      <w:start w:val="1"/>
      <w:numFmt w:val="bullet"/>
      <w:lvlText w:val="•"/>
      <w:lvlJc w:val="left"/>
      <w:pPr>
        <w:tabs>
          <w:tab w:val="num" w:pos="5040"/>
        </w:tabs>
        <w:ind w:left="5040" w:hanging="360"/>
      </w:pPr>
      <w:rPr>
        <w:rFonts w:ascii="Arial" w:hAnsi="Arial" w:cs="Times New Roman" w:hint="default"/>
      </w:rPr>
    </w:lvl>
    <w:lvl w:ilvl="7" w:tplc="E686464E">
      <w:start w:val="1"/>
      <w:numFmt w:val="bullet"/>
      <w:lvlText w:val="•"/>
      <w:lvlJc w:val="left"/>
      <w:pPr>
        <w:tabs>
          <w:tab w:val="num" w:pos="5760"/>
        </w:tabs>
        <w:ind w:left="5760" w:hanging="360"/>
      </w:pPr>
      <w:rPr>
        <w:rFonts w:ascii="Arial" w:hAnsi="Arial" w:cs="Times New Roman" w:hint="default"/>
      </w:rPr>
    </w:lvl>
    <w:lvl w:ilvl="8" w:tplc="71F2E4A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FD2395A"/>
    <w:multiLevelType w:val="hybridMultilevel"/>
    <w:tmpl w:val="58A2ACA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1DF05E7"/>
    <w:multiLevelType w:val="hybridMultilevel"/>
    <w:tmpl w:val="D842DCE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62C7599"/>
    <w:multiLevelType w:val="hybridMultilevel"/>
    <w:tmpl w:val="8BFE31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7292162E"/>
    <w:multiLevelType w:val="hybridMultilevel"/>
    <w:tmpl w:val="507E7C5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4871D1A"/>
    <w:multiLevelType w:val="hybridMultilevel"/>
    <w:tmpl w:val="1D8A7AD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E26152"/>
    <w:multiLevelType w:val="hybridMultilevel"/>
    <w:tmpl w:val="E2685C34"/>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76032843"/>
    <w:multiLevelType w:val="hybridMultilevel"/>
    <w:tmpl w:val="1D8A7AD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EC0713C"/>
    <w:multiLevelType w:val="hybridMultilevel"/>
    <w:tmpl w:val="1D8A7AD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5"/>
  </w:num>
  <w:num w:numId="2">
    <w:abstractNumId w:val="6"/>
  </w:num>
  <w:num w:numId="3">
    <w:abstractNumId w:val="25"/>
  </w:num>
  <w:num w:numId="4">
    <w:abstractNumId w:val="27"/>
  </w:num>
  <w:num w:numId="5">
    <w:abstractNumId w:val="13"/>
  </w:num>
  <w:num w:numId="6">
    <w:abstractNumId w:val="14"/>
  </w:num>
  <w:num w:numId="7">
    <w:abstractNumId w:val="29"/>
  </w:num>
  <w:num w:numId="8">
    <w:abstractNumId w:val="28"/>
  </w:num>
  <w:num w:numId="9">
    <w:abstractNumId w:val="26"/>
  </w:num>
  <w:num w:numId="10">
    <w:abstractNumId w:val="22"/>
  </w:num>
  <w:num w:numId="11">
    <w:abstractNumId w:val="23"/>
  </w:num>
  <w:num w:numId="12">
    <w:abstractNumId w:val="17"/>
  </w:num>
  <w:num w:numId="13">
    <w:abstractNumId w:val="1"/>
  </w:num>
  <w:num w:numId="14">
    <w:abstractNumId w:val="11"/>
  </w:num>
  <w:num w:numId="15">
    <w:abstractNumId w:val="18"/>
  </w:num>
  <w:num w:numId="16">
    <w:abstractNumId w:val="5"/>
  </w:num>
  <w:num w:numId="17">
    <w:abstractNumId w:val="20"/>
  </w:num>
  <w:num w:numId="18">
    <w:abstractNumId w:val="19"/>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
  </w:num>
  <w:num w:numId="23">
    <w:abstractNumId w:val="8"/>
  </w:num>
  <w:num w:numId="24">
    <w:abstractNumId w:val="2"/>
  </w:num>
  <w:num w:numId="25">
    <w:abstractNumId w:val="5"/>
  </w:num>
  <w:num w:numId="26">
    <w:abstractNumId w:val="0"/>
  </w:num>
  <w:num w:numId="27">
    <w:abstractNumId w:val="4"/>
  </w:num>
  <w:num w:numId="28">
    <w:abstractNumId w:val="24"/>
  </w:num>
  <w:num w:numId="29">
    <w:abstractNumId w:val="21"/>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4"/>
    <w:rsid w:val="00000A3A"/>
    <w:rsid w:val="000010D7"/>
    <w:rsid w:val="000043A2"/>
    <w:rsid w:val="0000449A"/>
    <w:rsid w:val="00004A52"/>
    <w:rsid w:val="00005E42"/>
    <w:rsid w:val="00014089"/>
    <w:rsid w:val="0001698B"/>
    <w:rsid w:val="00020F76"/>
    <w:rsid w:val="000266E6"/>
    <w:rsid w:val="00031C8A"/>
    <w:rsid w:val="00036AB1"/>
    <w:rsid w:val="00047E8C"/>
    <w:rsid w:val="000543A9"/>
    <w:rsid w:val="00057C15"/>
    <w:rsid w:val="000623A4"/>
    <w:rsid w:val="0006374E"/>
    <w:rsid w:val="00064AD2"/>
    <w:rsid w:val="00066472"/>
    <w:rsid w:val="00070C3A"/>
    <w:rsid w:val="000738D8"/>
    <w:rsid w:val="0007531E"/>
    <w:rsid w:val="00077DBB"/>
    <w:rsid w:val="00077F03"/>
    <w:rsid w:val="00080F7E"/>
    <w:rsid w:val="000813C8"/>
    <w:rsid w:val="00084F20"/>
    <w:rsid w:val="00085D7A"/>
    <w:rsid w:val="00086715"/>
    <w:rsid w:val="000872CD"/>
    <w:rsid w:val="000919A8"/>
    <w:rsid w:val="00091E94"/>
    <w:rsid w:val="00093B5A"/>
    <w:rsid w:val="00094DF8"/>
    <w:rsid w:val="000A2B65"/>
    <w:rsid w:val="000A2E54"/>
    <w:rsid w:val="000A4ECF"/>
    <w:rsid w:val="000A529C"/>
    <w:rsid w:val="000B23FC"/>
    <w:rsid w:val="000B4509"/>
    <w:rsid w:val="000B4970"/>
    <w:rsid w:val="000C1797"/>
    <w:rsid w:val="000C32DC"/>
    <w:rsid w:val="000C3C32"/>
    <w:rsid w:val="000C5ACB"/>
    <w:rsid w:val="000D2BBD"/>
    <w:rsid w:val="000E09FF"/>
    <w:rsid w:val="000F1A80"/>
    <w:rsid w:val="00101136"/>
    <w:rsid w:val="00112416"/>
    <w:rsid w:val="00116C87"/>
    <w:rsid w:val="0012215F"/>
    <w:rsid w:val="00126879"/>
    <w:rsid w:val="00127892"/>
    <w:rsid w:val="00130C73"/>
    <w:rsid w:val="00131AE2"/>
    <w:rsid w:val="00133987"/>
    <w:rsid w:val="00140526"/>
    <w:rsid w:val="001414FE"/>
    <w:rsid w:val="00146B87"/>
    <w:rsid w:val="001503F0"/>
    <w:rsid w:val="00150736"/>
    <w:rsid w:val="00153F4D"/>
    <w:rsid w:val="001571BC"/>
    <w:rsid w:val="0017049D"/>
    <w:rsid w:val="00171CF0"/>
    <w:rsid w:val="00173A97"/>
    <w:rsid w:val="00174C8E"/>
    <w:rsid w:val="0017794E"/>
    <w:rsid w:val="00187A91"/>
    <w:rsid w:val="00190D49"/>
    <w:rsid w:val="001946C9"/>
    <w:rsid w:val="001949AF"/>
    <w:rsid w:val="0019502E"/>
    <w:rsid w:val="00197828"/>
    <w:rsid w:val="001A275E"/>
    <w:rsid w:val="001A3C9A"/>
    <w:rsid w:val="001A4982"/>
    <w:rsid w:val="001A5A48"/>
    <w:rsid w:val="001A7195"/>
    <w:rsid w:val="001B3993"/>
    <w:rsid w:val="001B500D"/>
    <w:rsid w:val="001B7832"/>
    <w:rsid w:val="001C1CB8"/>
    <w:rsid w:val="001C6268"/>
    <w:rsid w:val="001D1C40"/>
    <w:rsid w:val="001D568A"/>
    <w:rsid w:val="001D68CA"/>
    <w:rsid w:val="001D6B8F"/>
    <w:rsid w:val="001E0E17"/>
    <w:rsid w:val="001F35AF"/>
    <w:rsid w:val="001F3EB0"/>
    <w:rsid w:val="00210FE3"/>
    <w:rsid w:val="002110ED"/>
    <w:rsid w:val="002136DC"/>
    <w:rsid w:val="00216E6B"/>
    <w:rsid w:val="00232643"/>
    <w:rsid w:val="00235D24"/>
    <w:rsid w:val="002417AD"/>
    <w:rsid w:val="002447E8"/>
    <w:rsid w:val="0024666D"/>
    <w:rsid w:val="00247935"/>
    <w:rsid w:val="00250530"/>
    <w:rsid w:val="00251F00"/>
    <w:rsid w:val="00252D7A"/>
    <w:rsid w:val="00253248"/>
    <w:rsid w:val="0025527D"/>
    <w:rsid w:val="002604CD"/>
    <w:rsid w:val="0026437C"/>
    <w:rsid w:val="002649D3"/>
    <w:rsid w:val="00267CC2"/>
    <w:rsid w:val="00282895"/>
    <w:rsid w:val="00285124"/>
    <w:rsid w:val="00286F5C"/>
    <w:rsid w:val="002913E7"/>
    <w:rsid w:val="00295693"/>
    <w:rsid w:val="002A03BF"/>
    <w:rsid w:val="002A424F"/>
    <w:rsid w:val="002A5704"/>
    <w:rsid w:val="002B17A0"/>
    <w:rsid w:val="002B2D49"/>
    <w:rsid w:val="002B3995"/>
    <w:rsid w:val="002B475E"/>
    <w:rsid w:val="002C28F5"/>
    <w:rsid w:val="002C326A"/>
    <w:rsid w:val="002C3B8F"/>
    <w:rsid w:val="002C53C5"/>
    <w:rsid w:val="002D47FC"/>
    <w:rsid w:val="002F1409"/>
    <w:rsid w:val="002F1952"/>
    <w:rsid w:val="002F2A43"/>
    <w:rsid w:val="002F7527"/>
    <w:rsid w:val="002F7C0E"/>
    <w:rsid w:val="003038C4"/>
    <w:rsid w:val="00303D90"/>
    <w:rsid w:val="003053C4"/>
    <w:rsid w:val="0031006F"/>
    <w:rsid w:val="003105EE"/>
    <w:rsid w:val="0032648C"/>
    <w:rsid w:val="00326D82"/>
    <w:rsid w:val="00335789"/>
    <w:rsid w:val="00335800"/>
    <w:rsid w:val="00335BD7"/>
    <w:rsid w:val="00342D7C"/>
    <w:rsid w:val="00342E14"/>
    <w:rsid w:val="00345CAA"/>
    <w:rsid w:val="00355927"/>
    <w:rsid w:val="00355982"/>
    <w:rsid w:val="00355A52"/>
    <w:rsid w:val="00365245"/>
    <w:rsid w:val="00366519"/>
    <w:rsid w:val="00381C51"/>
    <w:rsid w:val="00382724"/>
    <w:rsid w:val="0039120A"/>
    <w:rsid w:val="003977A3"/>
    <w:rsid w:val="003A03F9"/>
    <w:rsid w:val="003A115C"/>
    <w:rsid w:val="003A1A15"/>
    <w:rsid w:val="003A2713"/>
    <w:rsid w:val="003A6F11"/>
    <w:rsid w:val="003B1BFD"/>
    <w:rsid w:val="003B55CC"/>
    <w:rsid w:val="003B6083"/>
    <w:rsid w:val="003B7645"/>
    <w:rsid w:val="003C0322"/>
    <w:rsid w:val="003C2ADC"/>
    <w:rsid w:val="003D08B3"/>
    <w:rsid w:val="003D2495"/>
    <w:rsid w:val="003D3F6F"/>
    <w:rsid w:val="003D5363"/>
    <w:rsid w:val="003D6480"/>
    <w:rsid w:val="003E0101"/>
    <w:rsid w:val="003F727B"/>
    <w:rsid w:val="004009C8"/>
    <w:rsid w:val="00401D12"/>
    <w:rsid w:val="00403B5A"/>
    <w:rsid w:val="00406F40"/>
    <w:rsid w:val="00407957"/>
    <w:rsid w:val="00407D7B"/>
    <w:rsid w:val="00414026"/>
    <w:rsid w:val="00415CDF"/>
    <w:rsid w:val="0041652F"/>
    <w:rsid w:val="0042321B"/>
    <w:rsid w:val="004232F2"/>
    <w:rsid w:val="00423D38"/>
    <w:rsid w:val="004304B2"/>
    <w:rsid w:val="004304ED"/>
    <w:rsid w:val="00436D62"/>
    <w:rsid w:val="00437EB9"/>
    <w:rsid w:val="00442A55"/>
    <w:rsid w:val="00442B7F"/>
    <w:rsid w:val="00444473"/>
    <w:rsid w:val="00444F03"/>
    <w:rsid w:val="00457A5C"/>
    <w:rsid w:val="00461342"/>
    <w:rsid w:val="00461EAE"/>
    <w:rsid w:val="004620FD"/>
    <w:rsid w:val="00467339"/>
    <w:rsid w:val="00467C7D"/>
    <w:rsid w:val="00470248"/>
    <w:rsid w:val="004735F8"/>
    <w:rsid w:val="0047450F"/>
    <w:rsid w:val="00477C79"/>
    <w:rsid w:val="00481C6D"/>
    <w:rsid w:val="004857D8"/>
    <w:rsid w:val="0049118F"/>
    <w:rsid w:val="00493148"/>
    <w:rsid w:val="00495371"/>
    <w:rsid w:val="004A3E41"/>
    <w:rsid w:val="004A696F"/>
    <w:rsid w:val="004A70B3"/>
    <w:rsid w:val="004B5DA9"/>
    <w:rsid w:val="004B6934"/>
    <w:rsid w:val="004C0071"/>
    <w:rsid w:val="004C0FEE"/>
    <w:rsid w:val="004C4D5D"/>
    <w:rsid w:val="004C5D80"/>
    <w:rsid w:val="004C5F91"/>
    <w:rsid w:val="004D3E29"/>
    <w:rsid w:val="004D43E0"/>
    <w:rsid w:val="004E2500"/>
    <w:rsid w:val="004E3A4E"/>
    <w:rsid w:val="004F562C"/>
    <w:rsid w:val="004F6B7F"/>
    <w:rsid w:val="005000EC"/>
    <w:rsid w:val="00504ABC"/>
    <w:rsid w:val="00510FAC"/>
    <w:rsid w:val="005138FE"/>
    <w:rsid w:val="00513956"/>
    <w:rsid w:val="005167EF"/>
    <w:rsid w:val="00521771"/>
    <w:rsid w:val="00523C49"/>
    <w:rsid w:val="005258B5"/>
    <w:rsid w:val="0052682C"/>
    <w:rsid w:val="005271B8"/>
    <w:rsid w:val="00537B2D"/>
    <w:rsid w:val="00550C3D"/>
    <w:rsid w:val="00551765"/>
    <w:rsid w:val="00556CD5"/>
    <w:rsid w:val="005624C0"/>
    <w:rsid w:val="0057043D"/>
    <w:rsid w:val="00570ED1"/>
    <w:rsid w:val="0058152D"/>
    <w:rsid w:val="00583A61"/>
    <w:rsid w:val="00584213"/>
    <w:rsid w:val="00585530"/>
    <w:rsid w:val="00591946"/>
    <w:rsid w:val="005A175F"/>
    <w:rsid w:val="005A3CF2"/>
    <w:rsid w:val="005A3FF1"/>
    <w:rsid w:val="005A6CE8"/>
    <w:rsid w:val="005B097D"/>
    <w:rsid w:val="005B0A78"/>
    <w:rsid w:val="005B4A4B"/>
    <w:rsid w:val="005B7E4F"/>
    <w:rsid w:val="005B7EC8"/>
    <w:rsid w:val="005C61C0"/>
    <w:rsid w:val="005C7BB1"/>
    <w:rsid w:val="005D3876"/>
    <w:rsid w:val="005D421C"/>
    <w:rsid w:val="005E276C"/>
    <w:rsid w:val="005E5053"/>
    <w:rsid w:val="005E7605"/>
    <w:rsid w:val="005F0AF3"/>
    <w:rsid w:val="005F1136"/>
    <w:rsid w:val="005F58D9"/>
    <w:rsid w:val="005F5EB2"/>
    <w:rsid w:val="006045B7"/>
    <w:rsid w:val="00605659"/>
    <w:rsid w:val="00606E6F"/>
    <w:rsid w:val="00610696"/>
    <w:rsid w:val="00612221"/>
    <w:rsid w:val="00614E8F"/>
    <w:rsid w:val="006161D7"/>
    <w:rsid w:val="006169DD"/>
    <w:rsid w:val="00621F1B"/>
    <w:rsid w:val="00635CED"/>
    <w:rsid w:val="0063750C"/>
    <w:rsid w:val="00643092"/>
    <w:rsid w:val="00643B36"/>
    <w:rsid w:val="00645285"/>
    <w:rsid w:val="0065405E"/>
    <w:rsid w:val="006557CB"/>
    <w:rsid w:val="00655D67"/>
    <w:rsid w:val="00665135"/>
    <w:rsid w:val="00666E3F"/>
    <w:rsid w:val="0067042E"/>
    <w:rsid w:val="00671CC7"/>
    <w:rsid w:val="006744F6"/>
    <w:rsid w:val="00674EA8"/>
    <w:rsid w:val="00676CBF"/>
    <w:rsid w:val="00677C82"/>
    <w:rsid w:val="00677DC6"/>
    <w:rsid w:val="00681A5E"/>
    <w:rsid w:val="00685208"/>
    <w:rsid w:val="00685BF5"/>
    <w:rsid w:val="00685E64"/>
    <w:rsid w:val="00690477"/>
    <w:rsid w:val="006937AC"/>
    <w:rsid w:val="006A3172"/>
    <w:rsid w:val="006B3A56"/>
    <w:rsid w:val="006B52E1"/>
    <w:rsid w:val="006B61D8"/>
    <w:rsid w:val="006C1E1F"/>
    <w:rsid w:val="006C2196"/>
    <w:rsid w:val="006C22EC"/>
    <w:rsid w:val="006C588A"/>
    <w:rsid w:val="006D31EB"/>
    <w:rsid w:val="006D7B70"/>
    <w:rsid w:val="006E02B5"/>
    <w:rsid w:val="006E4E5F"/>
    <w:rsid w:val="006E7529"/>
    <w:rsid w:val="006E7C29"/>
    <w:rsid w:val="006F5133"/>
    <w:rsid w:val="00705A2F"/>
    <w:rsid w:val="007138BD"/>
    <w:rsid w:val="00714CA5"/>
    <w:rsid w:val="007153E9"/>
    <w:rsid w:val="007173DF"/>
    <w:rsid w:val="007176B5"/>
    <w:rsid w:val="007336CE"/>
    <w:rsid w:val="00734301"/>
    <w:rsid w:val="00742B63"/>
    <w:rsid w:val="00742BDE"/>
    <w:rsid w:val="00742F4D"/>
    <w:rsid w:val="0074383A"/>
    <w:rsid w:val="00757694"/>
    <w:rsid w:val="00765260"/>
    <w:rsid w:val="00767166"/>
    <w:rsid w:val="007702B8"/>
    <w:rsid w:val="0077595C"/>
    <w:rsid w:val="007775D4"/>
    <w:rsid w:val="00783E83"/>
    <w:rsid w:val="00783E9E"/>
    <w:rsid w:val="00785A68"/>
    <w:rsid w:val="0079185A"/>
    <w:rsid w:val="007951C0"/>
    <w:rsid w:val="00797536"/>
    <w:rsid w:val="007A330F"/>
    <w:rsid w:val="007A54AE"/>
    <w:rsid w:val="007A7FC5"/>
    <w:rsid w:val="007C0A76"/>
    <w:rsid w:val="007C393D"/>
    <w:rsid w:val="007C7AAF"/>
    <w:rsid w:val="007D35C0"/>
    <w:rsid w:val="007E0C29"/>
    <w:rsid w:val="007E1200"/>
    <w:rsid w:val="007E42CC"/>
    <w:rsid w:val="007E4760"/>
    <w:rsid w:val="007E5B58"/>
    <w:rsid w:val="007E6E04"/>
    <w:rsid w:val="007F0894"/>
    <w:rsid w:val="007F698B"/>
    <w:rsid w:val="007F7659"/>
    <w:rsid w:val="007F79C5"/>
    <w:rsid w:val="00801832"/>
    <w:rsid w:val="00803EBD"/>
    <w:rsid w:val="00803FC5"/>
    <w:rsid w:val="00804494"/>
    <w:rsid w:val="00805061"/>
    <w:rsid w:val="00812900"/>
    <w:rsid w:val="00814376"/>
    <w:rsid w:val="00822FCA"/>
    <w:rsid w:val="0082707F"/>
    <w:rsid w:val="00830125"/>
    <w:rsid w:val="00833C4D"/>
    <w:rsid w:val="00835209"/>
    <w:rsid w:val="0084031D"/>
    <w:rsid w:val="008410CB"/>
    <w:rsid w:val="00842B30"/>
    <w:rsid w:val="00845464"/>
    <w:rsid w:val="00853040"/>
    <w:rsid w:val="00856D10"/>
    <w:rsid w:val="0085783D"/>
    <w:rsid w:val="00860709"/>
    <w:rsid w:val="00861932"/>
    <w:rsid w:val="00862AF1"/>
    <w:rsid w:val="00865D11"/>
    <w:rsid w:val="00870E53"/>
    <w:rsid w:val="00871897"/>
    <w:rsid w:val="00874958"/>
    <w:rsid w:val="008763CA"/>
    <w:rsid w:val="00877C6B"/>
    <w:rsid w:val="00881C72"/>
    <w:rsid w:val="00884804"/>
    <w:rsid w:val="00890A6E"/>
    <w:rsid w:val="00894056"/>
    <w:rsid w:val="00895477"/>
    <w:rsid w:val="00895779"/>
    <w:rsid w:val="00896E06"/>
    <w:rsid w:val="008A0C6C"/>
    <w:rsid w:val="008A3CEF"/>
    <w:rsid w:val="008B2805"/>
    <w:rsid w:val="008B5DB7"/>
    <w:rsid w:val="008C0730"/>
    <w:rsid w:val="008C0B1C"/>
    <w:rsid w:val="008D0CC2"/>
    <w:rsid w:val="008D3D27"/>
    <w:rsid w:val="008E04AF"/>
    <w:rsid w:val="008E64F0"/>
    <w:rsid w:val="008E73BD"/>
    <w:rsid w:val="008E7A02"/>
    <w:rsid w:val="008F064D"/>
    <w:rsid w:val="008F3A76"/>
    <w:rsid w:val="008F7215"/>
    <w:rsid w:val="0090480C"/>
    <w:rsid w:val="00907B40"/>
    <w:rsid w:val="00910D24"/>
    <w:rsid w:val="009238EF"/>
    <w:rsid w:val="00924466"/>
    <w:rsid w:val="00934FE2"/>
    <w:rsid w:val="0093594C"/>
    <w:rsid w:val="00937068"/>
    <w:rsid w:val="00941BF0"/>
    <w:rsid w:val="00946CD9"/>
    <w:rsid w:val="009478BE"/>
    <w:rsid w:val="009520E8"/>
    <w:rsid w:val="009528B9"/>
    <w:rsid w:val="00953603"/>
    <w:rsid w:val="0095461B"/>
    <w:rsid w:val="009579EE"/>
    <w:rsid w:val="00957FF9"/>
    <w:rsid w:val="009604C5"/>
    <w:rsid w:val="00960644"/>
    <w:rsid w:val="0096247D"/>
    <w:rsid w:val="009641AB"/>
    <w:rsid w:val="00966C0A"/>
    <w:rsid w:val="0096749D"/>
    <w:rsid w:val="009720F3"/>
    <w:rsid w:val="00973671"/>
    <w:rsid w:val="00976B09"/>
    <w:rsid w:val="009801F9"/>
    <w:rsid w:val="00981254"/>
    <w:rsid w:val="00983A3B"/>
    <w:rsid w:val="009876C8"/>
    <w:rsid w:val="00990EF9"/>
    <w:rsid w:val="009979F8"/>
    <w:rsid w:val="009A200D"/>
    <w:rsid w:val="009A241E"/>
    <w:rsid w:val="009A6A5F"/>
    <w:rsid w:val="009A6CBB"/>
    <w:rsid w:val="009B1667"/>
    <w:rsid w:val="009B2A4B"/>
    <w:rsid w:val="009C0CF7"/>
    <w:rsid w:val="009C0D85"/>
    <w:rsid w:val="009C1A98"/>
    <w:rsid w:val="009D0F5F"/>
    <w:rsid w:val="009D44A5"/>
    <w:rsid w:val="009E0E2A"/>
    <w:rsid w:val="009E4270"/>
    <w:rsid w:val="009E5697"/>
    <w:rsid w:val="009E611F"/>
    <w:rsid w:val="009F02BD"/>
    <w:rsid w:val="009F0342"/>
    <w:rsid w:val="009F14E3"/>
    <w:rsid w:val="009F56EF"/>
    <w:rsid w:val="009F6AF1"/>
    <w:rsid w:val="00A074B5"/>
    <w:rsid w:val="00A07A45"/>
    <w:rsid w:val="00A1152C"/>
    <w:rsid w:val="00A13637"/>
    <w:rsid w:val="00A14D5D"/>
    <w:rsid w:val="00A161BE"/>
    <w:rsid w:val="00A20B1B"/>
    <w:rsid w:val="00A238A9"/>
    <w:rsid w:val="00A304E2"/>
    <w:rsid w:val="00A330FD"/>
    <w:rsid w:val="00A36D01"/>
    <w:rsid w:val="00A4279A"/>
    <w:rsid w:val="00A44B45"/>
    <w:rsid w:val="00A45047"/>
    <w:rsid w:val="00A451B9"/>
    <w:rsid w:val="00A50018"/>
    <w:rsid w:val="00A50CA5"/>
    <w:rsid w:val="00A5396D"/>
    <w:rsid w:val="00A676A6"/>
    <w:rsid w:val="00A70F50"/>
    <w:rsid w:val="00A71949"/>
    <w:rsid w:val="00A756B3"/>
    <w:rsid w:val="00A80166"/>
    <w:rsid w:val="00A82F8F"/>
    <w:rsid w:val="00A937DC"/>
    <w:rsid w:val="00A969E3"/>
    <w:rsid w:val="00A976DF"/>
    <w:rsid w:val="00AA0BCF"/>
    <w:rsid w:val="00AA2F22"/>
    <w:rsid w:val="00AA3AD3"/>
    <w:rsid w:val="00AA609C"/>
    <w:rsid w:val="00AB01B9"/>
    <w:rsid w:val="00AB1B1C"/>
    <w:rsid w:val="00AB66C0"/>
    <w:rsid w:val="00AB66F2"/>
    <w:rsid w:val="00AB6E7A"/>
    <w:rsid w:val="00AC1480"/>
    <w:rsid w:val="00AC564B"/>
    <w:rsid w:val="00AC56AD"/>
    <w:rsid w:val="00AD1F73"/>
    <w:rsid w:val="00AE270C"/>
    <w:rsid w:val="00AE3D16"/>
    <w:rsid w:val="00AE46FC"/>
    <w:rsid w:val="00AF13EE"/>
    <w:rsid w:val="00AF5183"/>
    <w:rsid w:val="00AF784A"/>
    <w:rsid w:val="00B04545"/>
    <w:rsid w:val="00B24F5F"/>
    <w:rsid w:val="00B25E81"/>
    <w:rsid w:val="00B2628B"/>
    <w:rsid w:val="00B35525"/>
    <w:rsid w:val="00B3599D"/>
    <w:rsid w:val="00B370A3"/>
    <w:rsid w:val="00B41536"/>
    <w:rsid w:val="00B42D4C"/>
    <w:rsid w:val="00B43481"/>
    <w:rsid w:val="00B45D74"/>
    <w:rsid w:val="00B46F62"/>
    <w:rsid w:val="00B47804"/>
    <w:rsid w:val="00B52824"/>
    <w:rsid w:val="00B56447"/>
    <w:rsid w:val="00B61015"/>
    <w:rsid w:val="00B61DD9"/>
    <w:rsid w:val="00B6680A"/>
    <w:rsid w:val="00B679F5"/>
    <w:rsid w:val="00B71B13"/>
    <w:rsid w:val="00B76B3E"/>
    <w:rsid w:val="00B80F83"/>
    <w:rsid w:val="00B829E4"/>
    <w:rsid w:val="00B87263"/>
    <w:rsid w:val="00B875FE"/>
    <w:rsid w:val="00B91DB0"/>
    <w:rsid w:val="00B9451D"/>
    <w:rsid w:val="00BA45B4"/>
    <w:rsid w:val="00BA7C99"/>
    <w:rsid w:val="00BB0AFB"/>
    <w:rsid w:val="00BD6D3E"/>
    <w:rsid w:val="00BE017F"/>
    <w:rsid w:val="00BE7A41"/>
    <w:rsid w:val="00BF1725"/>
    <w:rsid w:val="00BF2097"/>
    <w:rsid w:val="00BF4AA8"/>
    <w:rsid w:val="00BF5F49"/>
    <w:rsid w:val="00C01509"/>
    <w:rsid w:val="00C04210"/>
    <w:rsid w:val="00C046B1"/>
    <w:rsid w:val="00C11893"/>
    <w:rsid w:val="00C13CEE"/>
    <w:rsid w:val="00C14CCE"/>
    <w:rsid w:val="00C23B59"/>
    <w:rsid w:val="00C433D1"/>
    <w:rsid w:val="00C442C7"/>
    <w:rsid w:val="00C45E6F"/>
    <w:rsid w:val="00C46970"/>
    <w:rsid w:val="00C46E40"/>
    <w:rsid w:val="00C5004D"/>
    <w:rsid w:val="00C5207B"/>
    <w:rsid w:val="00C54C84"/>
    <w:rsid w:val="00C552E6"/>
    <w:rsid w:val="00C66A37"/>
    <w:rsid w:val="00C706BF"/>
    <w:rsid w:val="00C72D64"/>
    <w:rsid w:val="00C75161"/>
    <w:rsid w:val="00C75D14"/>
    <w:rsid w:val="00C767EE"/>
    <w:rsid w:val="00C81D08"/>
    <w:rsid w:val="00C8578E"/>
    <w:rsid w:val="00C92114"/>
    <w:rsid w:val="00CA2D40"/>
    <w:rsid w:val="00CA484A"/>
    <w:rsid w:val="00CA5780"/>
    <w:rsid w:val="00CA6007"/>
    <w:rsid w:val="00CB1B98"/>
    <w:rsid w:val="00CB3FD5"/>
    <w:rsid w:val="00CB5B61"/>
    <w:rsid w:val="00CC2F84"/>
    <w:rsid w:val="00CC4ECE"/>
    <w:rsid w:val="00CD16E9"/>
    <w:rsid w:val="00CD3110"/>
    <w:rsid w:val="00CE30C5"/>
    <w:rsid w:val="00CE4D17"/>
    <w:rsid w:val="00CE72B0"/>
    <w:rsid w:val="00CF30D4"/>
    <w:rsid w:val="00D10F46"/>
    <w:rsid w:val="00D11C7B"/>
    <w:rsid w:val="00D13C1E"/>
    <w:rsid w:val="00D14363"/>
    <w:rsid w:val="00D24CA9"/>
    <w:rsid w:val="00D254FB"/>
    <w:rsid w:val="00D25848"/>
    <w:rsid w:val="00D2782D"/>
    <w:rsid w:val="00D27C60"/>
    <w:rsid w:val="00D30B7F"/>
    <w:rsid w:val="00D31E76"/>
    <w:rsid w:val="00D341EE"/>
    <w:rsid w:val="00D36022"/>
    <w:rsid w:val="00D4025C"/>
    <w:rsid w:val="00D42C93"/>
    <w:rsid w:val="00D47ABF"/>
    <w:rsid w:val="00D60935"/>
    <w:rsid w:val="00D60C00"/>
    <w:rsid w:val="00D6256D"/>
    <w:rsid w:val="00D75722"/>
    <w:rsid w:val="00D801A8"/>
    <w:rsid w:val="00D80FD3"/>
    <w:rsid w:val="00D875C3"/>
    <w:rsid w:val="00D877AA"/>
    <w:rsid w:val="00D9036C"/>
    <w:rsid w:val="00D91AA8"/>
    <w:rsid w:val="00D92942"/>
    <w:rsid w:val="00D96949"/>
    <w:rsid w:val="00D96EC7"/>
    <w:rsid w:val="00DA2A60"/>
    <w:rsid w:val="00DA7E9F"/>
    <w:rsid w:val="00DC374F"/>
    <w:rsid w:val="00DC56D1"/>
    <w:rsid w:val="00DD16CB"/>
    <w:rsid w:val="00DD38EA"/>
    <w:rsid w:val="00DD3D20"/>
    <w:rsid w:val="00DD4153"/>
    <w:rsid w:val="00DE18CC"/>
    <w:rsid w:val="00DE605B"/>
    <w:rsid w:val="00DE682B"/>
    <w:rsid w:val="00DF0110"/>
    <w:rsid w:val="00DF0347"/>
    <w:rsid w:val="00DF4EAD"/>
    <w:rsid w:val="00DF561E"/>
    <w:rsid w:val="00E01967"/>
    <w:rsid w:val="00E03D06"/>
    <w:rsid w:val="00E07B34"/>
    <w:rsid w:val="00E106FC"/>
    <w:rsid w:val="00E108BA"/>
    <w:rsid w:val="00E1197E"/>
    <w:rsid w:val="00E14765"/>
    <w:rsid w:val="00E2189B"/>
    <w:rsid w:val="00E221A8"/>
    <w:rsid w:val="00E24216"/>
    <w:rsid w:val="00E24D25"/>
    <w:rsid w:val="00E26AB1"/>
    <w:rsid w:val="00E447A6"/>
    <w:rsid w:val="00E46A60"/>
    <w:rsid w:val="00E50C90"/>
    <w:rsid w:val="00E51EC2"/>
    <w:rsid w:val="00E617A6"/>
    <w:rsid w:val="00E61D3D"/>
    <w:rsid w:val="00E61ED2"/>
    <w:rsid w:val="00E636A5"/>
    <w:rsid w:val="00E675D5"/>
    <w:rsid w:val="00E7014B"/>
    <w:rsid w:val="00E72449"/>
    <w:rsid w:val="00E76C58"/>
    <w:rsid w:val="00E82973"/>
    <w:rsid w:val="00E835C3"/>
    <w:rsid w:val="00E83E4A"/>
    <w:rsid w:val="00E90BD7"/>
    <w:rsid w:val="00E9440F"/>
    <w:rsid w:val="00E950CE"/>
    <w:rsid w:val="00EA53F9"/>
    <w:rsid w:val="00EA5965"/>
    <w:rsid w:val="00EA743B"/>
    <w:rsid w:val="00EB07F3"/>
    <w:rsid w:val="00EB401F"/>
    <w:rsid w:val="00EB7F40"/>
    <w:rsid w:val="00EC257B"/>
    <w:rsid w:val="00ED0E0E"/>
    <w:rsid w:val="00ED1658"/>
    <w:rsid w:val="00ED6458"/>
    <w:rsid w:val="00EE059A"/>
    <w:rsid w:val="00EE1B21"/>
    <w:rsid w:val="00EE5CC2"/>
    <w:rsid w:val="00EE6B35"/>
    <w:rsid w:val="00EF1605"/>
    <w:rsid w:val="00EF1F51"/>
    <w:rsid w:val="00EF33E8"/>
    <w:rsid w:val="00EF4E71"/>
    <w:rsid w:val="00F04F98"/>
    <w:rsid w:val="00F06806"/>
    <w:rsid w:val="00F129D0"/>
    <w:rsid w:val="00F16049"/>
    <w:rsid w:val="00F340F0"/>
    <w:rsid w:val="00F36E08"/>
    <w:rsid w:val="00F3780B"/>
    <w:rsid w:val="00F439E8"/>
    <w:rsid w:val="00F440EB"/>
    <w:rsid w:val="00F448D5"/>
    <w:rsid w:val="00F44BE0"/>
    <w:rsid w:val="00F452B6"/>
    <w:rsid w:val="00F45668"/>
    <w:rsid w:val="00F47241"/>
    <w:rsid w:val="00F505B0"/>
    <w:rsid w:val="00F537C5"/>
    <w:rsid w:val="00F56B2C"/>
    <w:rsid w:val="00F61A81"/>
    <w:rsid w:val="00F63172"/>
    <w:rsid w:val="00F63903"/>
    <w:rsid w:val="00F66762"/>
    <w:rsid w:val="00F72ACB"/>
    <w:rsid w:val="00F813C5"/>
    <w:rsid w:val="00F81C4A"/>
    <w:rsid w:val="00F95F04"/>
    <w:rsid w:val="00F97F82"/>
    <w:rsid w:val="00FA2B1D"/>
    <w:rsid w:val="00FA43D8"/>
    <w:rsid w:val="00FA462F"/>
    <w:rsid w:val="00FB0846"/>
    <w:rsid w:val="00FB5804"/>
    <w:rsid w:val="00FC0E02"/>
    <w:rsid w:val="00FC13D3"/>
    <w:rsid w:val="00FC1CB2"/>
    <w:rsid w:val="00FC39A1"/>
    <w:rsid w:val="00FC48B3"/>
    <w:rsid w:val="00FC59C1"/>
    <w:rsid w:val="00FC7786"/>
    <w:rsid w:val="00FD12CF"/>
    <w:rsid w:val="00FD6590"/>
    <w:rsid w:val="00FD7EA1"/>
    <w:rsid w:val="00FF06C5"/>
    <w:rsid w:val="00FF1E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FB213A"/>
  <w15:chartTrackingRefBased/>
  <w15:docId w15:val="{845EF1A4-A8B9-45F8-9F16-FCD964C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F03"/>
  </w:style>
  <w:style w:type="paragraph" w:styleId="Heading1">
    <w:name w:val="heading 1"/>
    <w:basedOn w:val="Normal"/>
    <w:next w:val="Normal"/>
    <w:link w:val="Heading1Char"/>
    <w:uiPriority w:val="9"/>
    <w:qFormat/>
    <w:rsid w:val="00BE7A41"/>
    <w:pPr>
      <w:keepNext/>
      <w:keepLines/>
      <w:numPr>
        <w:numId w:val="16"/>
      </w:numPr>
      <w:spacing w:after="240" w:line="240" w:lineRule="auto"/>
      <w:outlineLvl w:val="0"/>
    </w:pPr>
    <w:rPr>
      <w:rFonts w:ascii="Arial" w:eastAsiaTheme="majorEastAsia" w:hAnsi="Arial" w:cs="Arial"/>
      <w:b/>
      <w:sz w:val="28"/>
      <w:szCs w:val="24"/>
    </w:rPr>
  </w:style>
  <w:style w:type="paragraph" w:styleId="Heading2">
    <w:name w:val="heading 2"/>
    <w:basedOn w:val="Heading1"/>
    <w:next w:val="Normal"/>
    <w:link w:val="Heading2Char"/>
    <w:uiPriority w:val="9"/>
    <w:unhideWhenUsed/>
    <w:qFormat/>
    <w:rsid w:val="00BE7A41"/>
    <w:pPr>
      <w:numPr>
        <w:ilvl w:val="1"/>
      </w:numPr>
      <w:outlineLvl w:val="1"/>
    </w:pPr>
    <w:rPr>
      <w:sz w:val="24"/>
    </w:rPr>
  </w:style>
  <w:style w:type="paragraph" w:styleId="Heading3">
    <w:name w:val="heading 3"/>
    <w:basedOn w:val="Normal"/>
    <w:next w:val="Normal"/>
    <w:link w:val="Heading3Char"/>
    <w:uiPriority w:val="9"/>
    <w:semiHidden/>
    <w:unhideWhenUsed/>
    <w:qFormat/>
    <w:rsid w:val="00BE7A41"/>
    <w:pPr>
      <w:keepNext/>
      <w:keepLines/>
      <w:numPr>
        <w:ilvl w:val="2"/>
        <w:numId w:val="16"/>
      </w:numPr>
      <w:spacing w:before="40" w:after="0"/>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BF5F49"/>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5F49"/>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5F49"/>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5F49"/>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5F4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5F4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5138FE"/>
    <w:pPr>
      <w:spacing w:after="240" w:line="240" w:lineRule="auto"/>
    </w:pPr>
    <w:rPr>
      <w:rFonts w:ascii="Times New Roman" w:eastAsia="Times New Roman" w:hAnsi="Times New Roman" w:cs="Times New Roman"/>
      <w:sz w:val="24"/>
      <w:szCs w:val="20"/>
      <w:lang w:val="en-GB" w:eastAsia="ja-JP"/>
    </w:rPr>
  </w:style>
  <w:style w:type="paragraph" w:styleId="Footer">
    <w:name w:val="footer"/>
    <w:basedOn w:val="Normal"/>
    <w:link w:val="FooterChar"/>
    <w:uiPriority w:val="99"/>
    <w:unhideWhenUsed/>
    <w:rsid w:val="004B6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34"/>
  </w:style>
  <w:style w:type="character" w:styleId="Hyperlink">
    <w:name w:val="Hyperlink"/>
    <w:basedOn w:val="DefaultParagraphFont"/>
    <w:uiPriority w:val="99"/>
    <w:unhideWhenUsed/>
    <w:rsid w:val="004B6934"/>
    <w:rPr>
      <w:color w:val="0563C1" w:themeColor="hyperlink"/>
      <w:u w:val="single"/>
    </w:rPr>
  </w:style>
  <w:style w:type="character" w:customStyle="1" w:styleId="Heading1Char">
    <w:name w:val="Heading 1 Char"/>
    <w:basedOn w:val="DefaultParagraphFont"/>
    <w:link w:val="Heading1"/>
    <w:uiPriority w:val="9"/>
    <w:rsid w:val="00BE7A41"/>
    <w:rPr>
      <w:rFonts w:ascii="Arial" w:eastAsiaTheme="majorEastAsia" w:hAnsi="Arial" w:cs="Arial"/>
      <w:b/>
      <w:sz w:val="28"/>
      <w:szCs w:val="24"/>
    </w:rPr>
  </w:style>
  <w:style w:type="paragraph" w:styleId="ListParagraph">
    <w:name w:val="List Paragraph"/>
    <w:aliases w:val="List Paragraph1,Recommendation,List Paragraph11,Dot pt,F5 List Paragraph,No Spacing1,List Paragraph Char Char Char,Indicator Text,Colorful List - Accent 11,Numbered Para 1,Bullet 1,Párrafo de lista,List Paragraph2,Rec para,List Item"/>
    <w:basedOn w:val="Normal"/>
    <w:link w:val="ListParagraphChar"/>
    <w:uiPriority w:val="34"/>
    <w:qFormat/>
    <w:rsid w:val="00DF0347"/>
    <w:pPr>
      <w:ind w:left="720"/>
      <w:contextualSpacing/>
    </w:pPr>
  </w:style>
  <w:style w:type="character" w:styleId="CommentReference">
    <w:name w:val="annotation reference"/>
    <w:basedOn w:val="DefaultParagraphFont"/>
    <w:uiPriority w:val="99"/>
    <w:unhideWhenUsed/>
    <w:rsid w:val="00DF0347"/>
    <w:rPr>
      <w:sz w:val="16"/>
      <w:szCs w:val="16"/>
    </w:rPr>
  </w:style>
  <w:style w:type="paragraph" w:styleId="CommentText">
    <w:name w:val="annotation text"/>
    <w:basedOn w:val="Normal"/>
    <w:link w:val="CommentTextChar"/>
    <w:uiPriority w:val="99"/>
    <w:semiHidden/>
    <w:unhideWhenUsed/>
    <w:rsid w:val="00DF0347"/>
    <w:pPr>
      <w:spacing w:line="240" w:lineRule="auto"/>
    </w:pPr>
    <w:rPr>
      <w:sz w:val="20"/>
      <w:szCs w:val="20"/>
    </w:rPr>
  </w:style>
  <w:style w:type="character" w:customStyle="1" w:styleId="CommentTextChar">
    <w:name w:val="Comment Text Char"/>
    <w:basedOn w:val="DefaultParagraphFont"/>
    <w:link w:val="CommentText"/>
    <w:uiPriority w:val="99"/>
    <w:semiHidden/>
    <w:rsid w:val="00DF0347"/>
    <w:rPr>
      <w:sz w:val="20"/>
      <w:szCs w:val="20"/>
    </w:rPr>
  </w:style>
  <w:style w:type="paragraph" w:styleId="CommentSubject">
    <w:name w:val="annotation subject"/>
    <w:basedOn w:val="CommentText"/>
    <w:next w:val="CommentText"/>
    <w:link w:val="CommentSubjectChar"/>
    <w:uiPriority w:val="99"/>
    <w:semiHidden/>
    <w:unhideWhenUsed/>
    <w:rsid w:val="00DF0347"/>
    <w:rPr>
      <w:b/>
      <w:bCs/>
    </w:rPr>
  </w:style>
  <w:style w:type="character" w:customStyle="1" w:styleId="CommentSubjectChar">
    <w:name w:val="Comment Subject Char"/>
    <w:basedOn w:val="CommentTextChar"/>
    <w:link w:val="CommentSubject"/>
    <w:uiPriority w:val="99"/>
    <w:semiHidden/>
    <w:rsid w:val="00DF0347"/>
    <w:rPr>
      <w:b/>
      <w:bCs/>
      <w:sz w:val="20"/>
      <w:szCs w:val="20"/>
    </w:rPr>
  </w:style>
  <w:style w:type="paragraph" w:styleId="BalloonText">
    <w:name w:val="Balloon Text"/>
    <w:basedOn w:val="Normal"/>
    <w:link w:val="BalloonTextChar"/>
    <w:uiPriority w:val="99"/>
    <w:semiHidden/>
    <w:unhideWhenUsed/>
    <w:rsid w:val="00DF0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47"/>
    <w:rPr>
      <w:rFonts w:ascii="Segoe UI" w:hAnsi="Segoe UI" w:cs="Segoe UI"/>
      <w:sz w:val="18"/>
      <w:szCs w:val="18"/>
    </w:rPr>
  </w:style>
  <w:style w:type="character" w:customStyle="1" w:styleId="Heading2Char">
    <w:name w:val="Heading 2 Char"/>
    <w:basedOn w:val="DefaultParagraphFont"/>
    <w:link w:val="Heading2"/>
    <w:uiPriority w:val="9"/>
    <w:rsid w:val="00BE7A41"/>
    <w:rPr>
      <w:rFonts w:ascii="Arial" w:eastAsiaTheme="majorEastAsia" w:hAnsi="Arial" w:cs="Arial"/>
      <w:b/>
      <w:sz w:val="24"/>
      <w:szCs w:val="24"/>
    </w:rPr>
  </w:style>
  <w:style w:type="character" w:customStyle="1" w:styleId="Heading3Char">
    <w:name w:val="Heading 3 Char"/>
    <w:basedOn w:val="DefaultParagraphFont"/>
    <w:link w:val="Heading3"/>
    <w:uiPriority w:val="9"/>
    <w:semiHidden/>
    <w:rsid w:val="00BE7A41"/>
    <w:rPr>
      <w:rFonts w:ascii="Arial" w:eastAsiaTheme="majorEastAsia" w:hAnsi="Arial" w:cstheme="majorBidi"/>
      <w:b/>
      <w:sz w:val="20"/>
      <w:szCs w:val="24"/>
    </w:rPr>
  </w:style>
  <w:style w:type="paragraph" w:styleId="Header">
    <w:name w:val="header"/>
    <w:basedOn w:val="Normal"/>
    <w:link w:val="HeaderChar"/>
    <w:uiPriority w:val="99"/>
    <w:unhideWhenUsed/>
    <w:rsid w:val="00973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71"/>
  </w:style>
  <w:style w:type="paragraph" w:customStyle="1" w:styleId="TSYList">
    <w:name w:val="TSY List"/>
    <w:basedOn w:val="Normal"/>
    <w:qFormat/>
    <w:rsid w:val="001D1C40"/>
    <w:pPr>
      <w:spacing w:before="100" w:after="100" w:line="240" w:lineRule="auto"/>
      <w:jc w:val="both"/>
    </w:pPr>
    <w:rPr>
      <w:rFonts w:ascii="Arial" w:eastAsia="Times New Roman" w:hAnsi="Arial" w:cs="Times New Roman"/>
      <w:szCs w:val="20"/>
    </w:rPr>
  </w:style>
  <w:style w:type="table" w:styleId="TableGrid">
    <w:name w:val="Table Grid"/>
    <w:basedOn w:val="TableNormal"/>
    <w:uiPriority w:val="39"/>
    <w:rsid w:val="001D1C40"/>
    <w:pPr>
      <w:spacing w:after="0" w:line="240"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2E14"/>
    <w:rPr>
      <w:color w:val="954F72" w:themeColor="followedHyperlink"/>
      <w:u w:val="single"/>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
    <w:link w:val="ListParagraph"/>
    <w:uiPriority w:val="34"/>
    <w:locked/>
    <w:rsid w:val="00342E14"/>
  </w:style>
  <w:style w:type="paragraph" w:customStyle="1" w:styleId="ReportBody">
    <w:name w:val="Report Body"/>
    <w:basedOn w:val="Normal"/>
    <w:rsid w:val="00BF5F49"/>
    <w:pPr>
      <w:numPr>
        <w:numId w:val="15"/>
      </w:numPr>
    </w:pPr>
  </w:style>
  <w:style w:type="paragraph" w:customStyle="1" w:styleId="ReportBody2">
    <w:name w:val="Report Body 2"/>
    <w:basedOn w:val="Normal"/>
    <w:rsid w:val="00BF5F49"/>
    <w:pPr>
      <w:numPr>
        <w:ilvl w:val="1"/>
        <w:numId w:val="15"/>
      </w:numPr>
    </w:pPr>
  </w:style>
  <w:style w:type="character" w:customStyle="1" w:styleId="Heading4Char">
    <w:name w:val="Heading 4 Char"/>
    <w:basedOn w:val="DefaultParagraphFont"/>
    <w:link w:val="Heading4"/>
    <w:uiPriority w:val="9"/>
    <w:semiHidden/>
    <w:rsid w:val="00BF5F4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5F4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5F4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5F4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5F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5F49"/>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76B09"/>
    <w:pPr>
      <w:spacing w:after="0" w:line="240" w:lineRule="auto"/>
    </w:pPr>
  </w:style>
  <w:style w:type="paragraph" w:styleId="NormalWeb">
    <w:name w:val="Normal (Web)"/>
    <w:basedOn w:val="Normal"/>
    <w:uiPriority w:val="99"/>
    <w:unhideWhenUsed/>
    <w:rsid w:val="00D80FD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941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BF0"/>
    <w:rPr>
      <w:sz w:val="20"/>
      <w:szCs w:val="20"/>
    </w:rPr>
  </w:style>
  <w:style w:type="character" w:styleId="FootnoteReference">
    <w:name w:val="footnote reference"/>
    <w:basedOn w:val="DefaultParagraphFont"/>
    <w:uiPriority w:val="99"/>
    <w:semiHidden/>
    <w:unhideWhenUsed/>
    <w:rsid w:val="00941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320">
      <w:bodyDiv w:val="1"/>
      <w:marLeft w:val="0"/>
      <w:marRight w:val="0"/>
      <w:marTop w:val="0"/>
      <w:marBottom w:val="0"/>
      <w:divBdr>
        <w:top w:val="none" w:sz="0" w:space="0" w:color="auto"/>
        <w:left w:val="none" w:sz="0" w:space="0" w:color="auto"/>
        <w:bottom w:val="none" w:sz="0" w:space="0" w:color="auto"/>
        <w:right w:val="none" w:sz="0" w:space="0" w:color="auto"/>
      </w:divBdr>
    </w:div>
    <w:div w:id="361169713">
      <w:bodyDiv w:val="1"/>
      <w:marLeft w:val="0"/>
      <w:marRight w:val="0"/>
      <w:marTop w:val="0"/>
      <w:marBottom w:val="0"/>
      <w:divBdr>
        <w:top w:val="none" w:sz="0" w:space="0" w:color="auto"/>
        <w:left w:val="none" w:sz="0" w:space="0" w:color="auto"/>
        <w:bottom w:val="none" w:sz="0" w:space="0" w:color="auto"/>
        <w:right w:val="none" w:sz="0" w:space="0" w:color="auto"/>
      </w:divBdr>
    </w:div>
    <w:div w:id="392432869">
      <w:bodyDiv w:val="1"/>
      <w:marLeft w:val="0"/>
      <w:marRight w:val="0"/>
      <w:marTop w:val="0"/>
      <w:marBottom w:val="0"/>
      <w:divBdr>
        <w:top w:val="none" w:sz="0" w:space="0" w:color="auto"/>
        <w:left w:val="none" w:sz="0" w:space="0" w:color="auto"/>
        <w:bottom w:val="none" w:sz="0" w:space="0" w:color="auto"/>
        <w:right w:val="none" w:sz="0" w:space="0" w:color="auto"/>
      </w:divBdr>
    </w:div>
    <w:div w:id="462044413">
      <w:bodyDiv w:val="1"/>
      <w:marLeft w:val="0"/>
      <w:marRight w:val="0"/>
      <w:marTop w:val="0"/>
      <w:marBottom w:val="0"/>
      <w:divBdr>
        <w:top w:val="none" w:sz="0" w:space="0" w:color="auto"/>
        <w:left w:val="none" w:sz="0" w:space="0" w:color="auto"/>
        <w:bottom w:val="none" w:sz="0" w:space="0" w:color="auto"/>
        <w:right w:val="none" w:sz="0" w:space="0" w:color="auto"/>
      </w:divBdr>
    </w:div>
    <w:div w:id="514223578">
      <w:bodyDiv w:val="1"/>
      <w:marLeft w:val="0"/>
      <w:marRight w:val="0"/>
      <w:marTop w:val="0"/>
      <w:marBottom w:val="0"/>
      <w:divBdr>
        <w:top w:val="none" w:sz="0" w:space="0" w:color="auto"/>
        <w:left w:val="none" w:sz="0" w:space="0" w:color="auto"/>
        <w:bottom w:val="none" w:sz="0" w:space="0" w:color="auto"/>
        <w:right w:val="none" w:sz="0" w:space="0" w:color="auto"/>
      </w:divBdr>
    </w:div>
    <w:div w:id="596445023">
      <w:bodyDiv w:val="1"/>
      <w:marLeft w:val="0"/>
      <w:marRight w:val="0"/>
      <w:marTop w:val="0"/>
      <w:marBottom w:val="0"/>
      <w:divBdr>
        <w:top w:val="none" w:sz="0" w:space="0" w:color="auto"/>
        <w:left w:val="none" w:sz="0" w:space="0" w:color="auto"/>
        <w:bottom w:val="none" w:sz="0" w:space="0" w:color="auto"/>
        <w:right w:val="none" w:sz="0" w:space="0" w:color="auto"/>
      </w:divBdr>
    </w:div>
    <w:div w:id="604769480">
      <w:bodyDiv w:val="1"/>
      <w:marLeft w:val="0"/>
      <w:marRight w:val="0"/>
      <w:marTop w:val="0"/>
      <w:marBottom w:val="0"/>
      <w:divBdr>
        <w:top w:val="none" w:sz="0" w:space="0" w:color="auto"/>
        <w:left w:val="none" w:sz="0" w:space="0" w:color="auto"/>
        <w:bottom w:val="none" w:sz="0" w:space="0" w:color="auto"/>
        <w:right w:val="none" w:sz="0" w:space="0" w:color="auto"/>
      </w:divBdr>
    </w:div>
    <w:div w:id="636255565">
      <w:bodyDiv w:val="1"/>
      <w:marLeft w:val="0"/>
      <w:marRight w:val="0"/>
      <w:marTop w:val="0"/>
      <w:marBottom w:val="0"/>
      <w:divBdr>
        <w:top w:val="none" w:sz="0" w:space="0" w:color="auto"/>
        <w:left w:val="none" w:sz="0" w:space="0" w:color="auto"/>
        <w:bottom w:val="none" w:sz="0" w:space="0" w:color="auto"/>
        <w:right w:val="none" w:sz="0" w:space="0" w:color="auto"/>
      </w:divBdr>
    </w:div>
    <w:div w:id="649403274">
      <w:bodyDiv w:val="1"/>
      <w:marLeft w:val="0"/>
      <w:marRight w:val="0"/>
      <w:marTop w:val="0"/>
      <w:marBottom w:val="0"/>
      <w:divBdr>
        <w:top w:val="none" w:sz="0" w:space="0" w:color="auto"/>
        <w:left w:val="none" w:sz="0" w:space="0" w:color="auto"/>
        <w:bottom w:val="none" w:sz="0" w:space="0" w:color="auto"/>
        <w:right w:val="none" w:sz="0" w:space="0" w:color="auto"/>
      </w:divBdr>
    </w:div>
    <w:div w:id="669675793">
      <w:bodyDiv w:val="1"/>
      <w:marLeft w:val="0"/>
      <w:marRight w:val="0"/>
      <w:marTop w:val="0"/>
      <w:marBottom w:val="0"/>
      <w:divBdr>
        <w:top w:val="none" w:sz="0" w:space="0" w:color="auto"/>
        <w:left w:val="none" w:sz="0" w:space="0" w:color="auto"/>
        <w:bottom w:val="none" w:sz="0" w:space="0" w:color="auto"/>
        <w:right w:val="none" w:sz="0" w:space="0" w:color="auto"/>
      </w:divBdr>
    </w:div>
    <w:div w:id="744566532">
      <w:bodyDiv w:val="1"/>
      <w:marLeft w:val="0"/>
      <w:marRight w:val="0"/>
      <w:marTop w:val="0"/>
      <w:marBottom w:val="0"/>
      <w:divBdr>
        <w:top w:val="none" w:sz="0" w:space="0" w:color="auto"/>
        <w:left w:val="none" w:sz="0" w:space="0" w:color="auto"/>
        <w:bottom w:val="none" w:sz="0" w:space="0" w:color="auto"/>
        <w:right w:val="none" w:sz="0" w:space="0" w:color="auto"/>
      </w:divBdr>
    </w:div>
    <w:div w:id="756438817">
      <w:bodyDiv w:val="1"/>
      <w:marLeft w:val="0"/>
      <w:marRight w:val="0"/>
      <w:marTop w:val="0"/>
      <w:marBottom w:val="0"/>
      <w:divBdr>
        <w:top w:val="none" w:sz="0" w:space="0" w:color="auto"/>
        <w:left w:val="none" w:sz="0" w:space="0" w:color="auto"/>
        <w:bottom w:val="none" w:sz="0" w:space="0" w:color="auto"/>
        <w:right w:val="none" w:sz="0" w:space="0" w:color="auto"/>
      </w:divBdr>
    </w:div>
    <w:div w:id="797187318">
      <w:bodyDiv w:val="1"/>
      <w:marLeft w:val="0"/>
      <w:marRight w:val="0"/>
      <w:marTop w:val="0"/>
      <w:marBottom w:val="0"/>
      <w:divBdr>
        <w:top w:val="none" w:sz="0" w:space="0" w:color="auto"/>
        <w:left w:val="none" w:sz="0" w:space="0" w:color="auto"/>
        <w:bottom w:val="none" w:sz="0" w:space="0" w:color="auto"/>
        <w:right w:val="none" w:sz="0" w:space="0" w:color="auto"/>
      </w:divBdr>
    </w:div>
    <w:div w:id="818690913">
      <w:bodyDiv w:val="1"/>
      <w:marLeft w:val="0"/>
      <w:marRight w:val="0"/>
      <w:marTop w:val="0"/>
      <w:marBottom w:val="0"/>
      <w:divBdr>
        <w:top w:val="none" w:sz="0" w:space="0" w:color="auto"/>
        <w:left w:val="none" w:sz="0" w:space="0" w:color="auto"/>
        <w:bottom w:val="none" w:sz="0" w:space="0" w:color="auto"/>
        <w:right w:val="none" w:sz="0" w:space="0" w:color="auto"/>
      </w:divBdr>
    </w:div>
    <w:div w:id="846603852">
      <w:bodyDiv w:val="1"/>
      <w:marLeft w:val="0"/>
      <w:marRight w:val="0"/>
      <w:marTop w:val="0"/>
      <w:marBottom w:val="0"/>
      <w:divBdr>
        <w:top w:val="none" w:sz="0" w:space="0" w:color="auto"/>
        <w:left w:val="none" w:sz="0" w:space="0" w:color="auto"/>
        <w:bottom w:val="none" w:sz="0" w:space="0" w:color="auto"/>
        <w:right w:val="none" w:sz="0" w:space="0" w:color="auto"/>
      </w:divBdr>
    </w:div>
    <w:div w:id="1041202381">
      <w:bodyDiv w:val="1"/>
      <w:marLeft w:val="0"/>
      <w:marRight w:val="0"/>
      <w:marTop w:val="0"/>
      <w:marBottom w:val="0"/>
      <w:divBdr>
        <w:top w:val="none" w:sz="0" w:space="0" w:color="auto"/>
        <w:left w:val="none" w:sz="0" w:space="0" w:color="auto"/>
        <w:bottom w:val="none" w:sz="0" w:space="0" w:color="auto"/>
        <w:right w:val="none" w:sz="0" w:space="0" w:color="auto"/>
      </w:divBdr>
    </w:div>
    <w:div w:id="1106460674">
      <w:bodyDiv w:val="1"/>
      <w:marLeft w:val="0"/>
      <w:marRight w:val="0"/>
      <w:marTop w:val="0"/>
      <w:marBottom w:val="0"/>
      <w:divBdr>
        <w:top w:val="none" w:sz="0" w:space="0" w:color="auto"/>
        <w:left w:val="none" w:sz="0" w:space="0" w:color="auto"/>
        <w:bottom w:val="none" w:sz="0" w:space="0" w:color="auto"/>
        <w:right w:val="none" w:sz="0" w:space="0" w:color="auto"/>
      </w:divBdr>
    </w:div>
    <w:div w:id="1143156950">
      <w:bodyDiv w:val="1"/>
      <w:marLeft w:val="0"/>
      <w:marRight w:val="0"/>
      <w:marTop w:val="0"/>
      <w:marBottom w:val="0"/>
      <w:divBdr>
        <w:top w:val="none" w:sz="0" w:space="0" w:color="auto"/>
        <w:left w:val="none" w:sz="0" w:space="0" w:color="auto"/>
        <w:bottom w:val="none" w:sz="0" w:space="0" w:color="auto"/>
        <w:right w:val="none" w:sz="0" w:space="0" w:color="auto"/>
      </w:divBdr>
    </w:div>
    <w:div w:id="1179929527">
      <w:bodyDiv w:val="1"/>
      <w:marLeft w:val="0"/>
      <w:marRight w:val="0"/>
      <w:marTop w:val="0"/>
      <w:marBottom w:val="0"/>
      <w:divBdr>
        <w:top w:val="none" w:sz="0" w:space="0" w:color="auto"/>
        <w:left w:val="none" w:sz="0" w:space="0" w:color="auto"/>
        <w:bottom w:val="none" w:sz="0" w:space="0" w:color="auto"/>
        <w:right w:val="none" w:sz="0" w:space="0" w:color="auto"/>
      </w:divBdr>
    </w:div>
    <w:div w:id="1276644517">
      <w:bodyDiv w:val="1"/>
      <w:marLeft w:val="0"/>
      <w:marRight w:val="0"/>
      <w:marTop w:val="0"/>
      <w:marBottom w:val="0"/>
      <w:divBdr>
        <w:top w:val="none" w:sz="0" w:space="0" w:color="auto"/>
        <w:left w:val="none" w:sz="0" w:space="0" w:color="auto"/>
        <w:bottom w:val="none" w:sz="0" w:space="0" w:color="auto"/>
        <w:right w:val="none" w:sz="0" w:space="0" w:color="auto"/>
      </w:divBdr>
    </w:div>
    <w:div w:id="1307929752">
      <w:bodyDiv w:val="1"/>
      <w:marLeft w:val="0"/>
      <w:marRight w:val="0"/>
      <w:marTop w:val="0"/>
      <w:marBottom w:val="0"/>
      <w:divBdr>
        <w:top w:val="none" w:sz="0" w:space="0" w:color="auto"/>
        <w:left w:val="none" w:sz="0" w:space="0" w:color="auto"/>
        <w:bottom w:val="none" w:sz="0" w:space="0" w:color="auto"/>
        <w:right w:val="none" w:sz="0" w:space="0" w:color="auto"/>
      </w:divBdr>
    </w:div>
    <w:div w:id="1480877798">
      <w:bodyDiv w:val="1"/>
      <w:marLeft w:val="0"/>
      <w:marRight w:val="0"/>
      <w:marTop w:val="0"/>
      <w:marBottom w:val="0"/>
      <w:divBdr>
        <w:top w:val="none" w:sz="0" w:space="0" w:color="auto"/>
        <w:left w:val="none" w:sz="0" w:space="0" w:color="auto"/>
        <w:bottom w:val="none" w:sz="0" w:space="0" w:color="auto"/>
        <w:right w:val="none" w:sz="0" w:space="0" w:color="auto"/>
      </w:divBdr>
    </w:div>
    <w:div w:id="1483814834">
      <w:bodyDiv w:val="1"/>
      <w:marLeft w:val="0"/>
      <w:marRight w:val="0"/>
      <w:marTop w:val="0"/>
      <w:marBottom w:val="0"/>
      <w:divBdr>
        <w:top w:val="none" w:sz="0" w:space="0" w:color="auto"/>
        <w:left w:val="none" w:sz="0" w:space="0" w:color="auto"/>
        <w:bottom w:val="none" w:sz="0" w:space="0" w:color="auto"/>
        <w:right w:val="none" w:sz="0" w:space="0" w:color="auto"/>
      </w:divBdr>
    </w:div>
    <w:div w:id="1498107256">
      <w:bodyDiv w:val="1"/>
      <w:marLeft w:val="0"/>
      <w:marRight w:val="0"/>
      <w:marTop w:val="0"/>
      <w:marBottom w:val="0"/>
      <w:divBdr>
        <w:top w:val="none" w:sz="0" w:space="0" w:color="auto"/>
        <w:left w:val="none" w:sz="0" w:space="0" w:color="auto"/>
        <w:bottom w:val="none" w:sz="0" w:space="0" w:color="auto"/>
        <w:right w:val="none" w:sz="0" w:space="0" w:color="auto"/>
      </w:divBdr>
    </w:div>
    <w:div w:id="1533111595">
      <w:bodyDiv w:val="1"/>
      <w:marLeft w:val="0"/>
      <w:marRight w:val="0"/>
      <w:marTop w:val="0"/>
      <w:marBottom w:val="0"/>
      <w:divBdr>
        <w:top w:val="none" w:sz="0" w:space="0" w:color="auto"/>
        <w:left w:val="none" w:sz="0" w:space="0" w:color="auto"/>
        <w:bottom w:val="none" w:sz="0" w:space="0" w:color="auto"/>
        <w:right w:val="none" w:sz="0" w:space="0" w:color="auto"/>
      </w:divBdr>
    </w:div>
    <w:div w:id="1547646990">
      <w:bodyDiv w:val="1"/>
      <w:marLeft w:val="0"/>
      <w:marRight w:val="0"/>
      <w:marTop w:val="0"/>
      <w:marBottom w:val="0"/>
      <w:divBdr>
        <w:top w:val="none" w:sz="0" w:space="0" w:color="auto"/>
        <w:left w:val="none" w:sz="0" w:space="0" w:color="auto"/>
        <w:bottom w:val="none" w:sz="0" w:space="0" w:color="auto"/>
        <w:right w:val="none" w:sz="0" w:space="0" w:color="auto"/>
      </w:divBdr>
    </w:div>
    <w:div w:id="1565024289">
      <w:bodyDiv w:val="1"/>
      <w:marLeft w:val="0"/>
      <w:marRight w:val="0"/>
      <w:marTop w:val="0"/>
      <w:marBottom w:val="0"/>
      <w:divBdr>
        <w:top w:val="none" w:sz="0" w:space="0" w:color="auto"/>
        <w:left w:val="none" w:sz="0" w:space="0" w:color="auto"/>
        <w:bottom w:val="none" w:sz="0" w:space="0" w:color="auto"/>
        <w:right w:val="none" w:sz="0" w:space="0" w:color="auto"/>
      </w:divBdr>
    </w:div>
    <w:div w:id="1612317508">
      <w:bodyDiv w:val="1"/>
      <w:marLeft w:val="0"/>
      <w:marRight w:val="0"/>
      <w:marTop w:val="0"/>
      <w:marBottom w:val="0"/>
      <w:divBdr>
        <w:top w:val="none" w:sz="0" w:space="0" w:color="auto"/>
        <w:left w:val="none" w:sz="0" w:space="0" w:color="auto"/>
        <w:bottom w:val="none" w:sz="0" w:space="0" w:color="auto"/>
        <w:right w:val="none" w:sz="0" w:space="0" w:color="auto"/>
      </w:divBdr>
    </w:div>
    <w:div w:id="1631398194">
      <w:bodyDiv w:val="1"/>
      <w:marLeft w:val="0"/>
      <w:marRight w:val="0"/>
      <w:marTop w:val="0"/>
      <w:marBottom w:val="0"/>
      <w:divBdr>
        <w:top w:val="none" w:sz="0" w:space="0" w:color="auto"/>
        <w:left w:val="none" w:sz="0" w:space="0" w:color="auto"/>
        <w:bottom w:val="none" w:sz="0" w:space="0" w:color="auto"/>
        <w:right w:val="none" w:sz="0" w:space="0" w:color="auto"/>
      </w:divBdr>
    </w:div>
    <w:div w:id="1643387328">
      <w:bodyDiv w:val="1"/>
      <w:marLeft w:val="0"/>
      <w:marRight w:val="0"/>
      <w:marTop w:val="0"/>
      <w:marBottom w:val="0"/>
      <w:divBdr>
        <w:top w:val="none" w:sz="0" w:space="0" w:color="auto"/>
        <w:left w:val="none" w:sz="0" w:space="0" w:color="auto"/>
        <w:bottom w:val="none" w:sz="0" w:space="0" w:color="auto"/>
        <w:right w:val="none" w:sz="0" w:space="0" w:color="auto"/>
      </w:divBdr>
    </w:div>
    <w:div w:id="1653026729">
      <w:bodyDiv w:val="1"/>
      <w:marLeft w:val="0"/>
      <w:marRight w:val="0"/>
      <w:marTop w:val="0"/>
      <w:marBottom w:val="0"/>
      <w:divBdr>
        <w:top w:val="none" w:sz="0" w:space="0" w:color="auto"/>
        <w:left w:val="none" w:sz="0" w:space="0" w:color="auto"/>
        <w:bottom w:val="none" w:sz="0" w:space="0" w:color="auto"/>
        <w:right w:val="none" w:sz="0" w:space="0" w:color="auto"/>
      </w:divBdr>
    </w:div>
    <w:div w:id="1684555304">
      <w:bodyDiv w:val="1"/>
      <w:marLeft w:val="0"/>
      <w:marRight w:val="0"/>
      <w:marTop w:val="0"/>
      <w:marBottom w:val="0"/>
      <w:divBdr>
        <w:top w:val="none" w:sz="0" w:space="0" w:color="auto"/>
        <w:left w:val="none" w:sz="0" w:space="0" w:color="auto"/>
        <w:bottom w:val="none" w:sz="0" w:space="0" w:color="auto"/>
        <w:right w:val="none" w:sz="0" w:space="0" w:color="auto"/>
      </w:divBdr>
    </w:div>
    <w:div w:id="1840541541">
      <w:bodyDiv w:val="1"/>
      <w:marLeft w:val="0"/>
      <w:marRight w:val="0"/>
      <w:marTop w:val="0"/>
      <w:marBottom w:val="0"/>
      <w:divBdr>
        <w:top w:val="none" w:sz="0" w:space="0" w:color="auto"/>
        <w:left w:val="none" w:sz="0" w:space="0" w:color="auto"/>
        <w:bottom w:val="none" w:sz="0" w:space="0" w:color="auto"/>
        <w:right w:val="none" w:sz="0" w:space="0" w:color="auto"/>
      </w:divBdr>
    </w:div>
    <w:div w:id="1920669919">
      <w:bodyDiv w:val="1"/>
      <w:marLeft w:val="0"/>
      <w:marRight w:val="0"/>
      <w:marTop w:val="0"/>
      <w:marBottom w:val="0"/>
      <w:divBdr>
        <w:top w:val="none" w:sz="0" w:space="0" w:color="auto"/>
        <w:left w:val="none" w:sz="0" w:space="0" w:color="auto"/>
        <w:bottom w:val="none" w:sz="0" w:space="0" w:color="auto"/>
        <w:right w:val="none" w:sz="0" w:space="0" w:color="auto"/>
      </w:divBdr>
    </w:div>
    <w:div w:id="1928541057">
      <w:bodyDiv w:val="1"/>
      <w:marLeft w:val="0"/>
      <w:marRight w:val="0"/>
      <w:marTop w:val="0"/>
      <w:marBottom w:val="0"/>
      <w:divBdr>
        <w:top w:val="none" w:sz="0" w:space="0" w:color="auto"/>
        <w:left w:val="none" w:sz="0" w:space="0" w:color="auto"/>
        <w:bottom w:val="none" w:sz="0" w:space="0" w:color="auto"/>
        <w:right w:val="none" w:sz="0" w:space="0" w:color="auto"/>
      </w:divBdr>
    </w:div>
    <w:div w:id="2010057643">
      <w:bodyDiv w:val="1"/>
      <w:marLeft w:val="0"/>
      <w:marRight w:val="0"/>
      <w:marTop w:val="0"/>
      <w:marBottom w:val="0"/>
      <w:divBdr>
        <w:top w:val="none" w:sz="0" w:space="0" w:color="auto"/>
        <w:left w:val="none" w:sz="0" w:space="0" w:color="auto"/>
        <w:bottom w:val="none" w:sz="0" w:space="0" w:color="auto"/>
        <w:right w:val="none" w:sz="0" w:space="0" w:color="auto"/>
      </w:divBdr>
    </w:div>
    <w:div w:id="21412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11717</Words>
  <Characters>60695</Characters>
  <Application>Microsoft Office Word</Application>
  <DocSecurity>0</DocSecurity>
  <Lines>1167</Lines>
  <Paragraphs>409</Paragraphs>
  <ScaleCrop>false</ScaleCrop>
  <HeadingPairs>
    <vt:vector size="2" baseType="variant">
      <vt:variant>
        <vt:lpstr>Title</vt:lpstr>
      </vt:variant>
      <vt:variant>
        <vt:i4>1</vt:i4>
      </vt:variant>
    </vt:vector>
  </HeadingPairs>
  <TitlesOfParts>
    <vt:vector size="1" baseType="lpstr">
      <vt:lpstr>Cabinet paper - CAB-19-SUB-0176 – Government response to the Tax Working Group (June 2019)</vt:lpstr>
    </vt:vector>
  </TitlesOfParts>
  <Company>Inland Revenue + The Treasury</Company>
  <LinksUpToDate>false</LinksUpToDate>
  <CharactersWithSpaces>72003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paper - CAB-19-SUB-0176 – Government response to the Tax Working Group (June 2019)</dc:title>
  <dc:subject/>
  <dc:creator/>
  <cp:keywords/>
  <dc:description/>
  <dcterms:created xsi:type="dcterms:W3CDTF">2019-06-04T03:24:00Z</dcterms:created>
  <dcterms:modified xsi:type="dcterms:W3CDTF">2019-06-04T03:25:00Z</dcterms:modified>
</cp:coreProperties>
</file>