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6B" w:rsidRDefault="00183FAA">
      <w:pPr>
        <w:spacing w:before="51"/>
        <w:ind w:left="2022" w:right="1506"/>
        <w:rPr>
          <w:rFonts w:ascii="Arial"/>
          <w:b/>
          <w:sz w:val="44"/>
        </w:rPr>
      </w:pPr>
      <w:r>
        <w:rPr>
          <w:noProof/>
        </w:rPr>
        <w:drawing>
          <wp:anchor distT="0" distB="0" distL="0" distR="0" simplePos="0" relativeHeight="1072" behindDoc="0" locked="0" layoutInCell="1" allowOverlap="1">
            <wp:simplePos x="0" y="0"/>
            <wp:positionH relativeFrom="page">
              <wp:posOffset>748030</wp:posOffset>
            </wp:positionH>
            <wp:positionV relativeFrom="paragraph">
              <wp:posOffset>31569</wp:posOffset>
            </wp:positionV>
            <wp:extent cx="981709" cy="962659"/>
            <wp:effectExtent l="0" t="0" r="0" b="0"/>
            <wp:wrapNone/>
            <wp:docPr id="1" name="image1.png" descr="Cabinet Office Wellington seal with New Zealand Government coat of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709" cy="962659"/>
                    </a:xfrm>
                    <a:prstGeom prst="rect">
                      <a:avLst/>
                    </a:prstGeom>
                  </pic:spPr>
                </pic:pic>
              </a:graphicData>
            </a:graphic>
          </wp:anchor>
        </w:drawing>
      </w:r>
      <w:r>
        <w:rPr>
          <w:rFonts w:ascii="Arial"/>
          <w:b/>
          <w:sz w:val="44"/>
        </w:rPr>
        <w:t>Cabinet</w:t>
      </w:r>
    </w:p>
    <w:p w:rsidR="009F2589" w:rsidRDefault="009F2589">
      <w:pPr>
        <w:spacing w:before="51"/>
        <w:ind w:left="2022" w:right="1506"/>
        <w:rPr>
          <w:rFonts w:ascii="Arial"/>
          <w:b/>
          <w:sz w:val="44"/>
        </w:rPr>
      </w:pPr>
    </w:p>
    <w:p w:rsidR="00AF306B" w:rsidRDefault="00014F16">
      <w:pPr>
        <w:spacing w:before="322"/>
        <w:ind w:left="2022"/>
        <w:rPr>
          <w:rFonts w:ascii="Arial"/>
          <w:b/>
          <w:sz w:val="32"/>
        </w:rPr>
      </w:pPr>
      <w:r>
        <w:pict>
          <v:line id="_x0000_s1030" style="position:absolute;left:0;text-align:left;z-index:1048;mso-position-horizontal-relative:page" from="51.3pt,42.8pt" to="544.1pt,42.8pt" strokecolor="#000001" strokeweight=".6pt">
            <w10:wrap anchorx="page"/>
          </v:line>
        </w:pict>
      </w:r>
      <w:r w:rsidR="00183FAA">
        <w:rPr>
          <w:rFonts w:ascii="Arial"/>
          <w:b/>
          <w:sz w:val="32"/>
        </w:rPr>
        <w:t>Minute of Decision</w:t>
      </w:r>
    </w:p>
    <w:p w:rsidR="00AF306B" w:rsidRDefault="00AF306B">
      <w:pPr>
        <w:pStyle w:val="BodyText"/>
        <w:spacing w:before="11"/>
        <w:rPr>
          <w:rFonts w:ascii="Arial"/>
          <w:b/>
          <w:sz w:val="11"/>
        </w:rPr>
      </w:pPr>
    </w:p>
    <w:p w:rsidR="00AF306B" w:rsidRDefault="00014F16">
      <w:pPr>
        <w:spacing w:before="93"/>
        <w:ind w:left="115"/>
        <w:rPr>
          <w:rFonts w:ascii="Arial"/>
          <w:i/>
          <w:sz w:val="20"/>
        </w:rPr>
      </w:pPr>
      <w:r>
        <w:pict>
          <v:line id="_x0000_s1029" style="position:absolute;left:0;text-align:left;z-index:1024;mso-position-horizontal-relative:page" from="51.3pt,42.45pt" to="544.1pt,42.45pt" strokecolor="#000001" strokeweight=".6pt">
            <w10:wrap anchorx="page"/>
          </v:line>
        </w:pict>
      </w:r>
      <w:r w:rsidR="00183FAA">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AF306B" w:rsidRDefault="00AF306B">
      <w:pPr>
        <w:pStyle w:val="BodyText"/>
        <w:rPr>
          <w:rFonts w:ascii="Arial"/>
          <w:i/>
          <w:sz w:val="22"/>
        </w:rPr>
      </w:pPr>
    </w:p>
    <w:p w:rsidR="00AF306B" w:rsidRDefault="00AF306B">
      <w:pPr>
        <w:pStyle w:val="BodyText"/>
        <w:spacing w:before="11"/>
        <w:rPr>
          <w:rFonts w:ascii="Arial"/>
          <w:i/>
          <w:sz w:val="25"/>
        </w:rPr>
      </w:pPr>
    </w:p>
    <w:p w:rsidR="00AF306B" w:rsidRDefault="009F2589">
      <w:pPr>
        <w:ind w:left="115" w:right="1506"/>
        <w:rPr>
          <w:rFonts w:ascii="Arial"/>
          <w:b/>
          <w:sz w:val="28"/>
        </w:rPr>
      </w:pPr>
      <w:r w:rsidRPr="009F2589">
        <w:rPr>
          <w:rFonts w:ascii="Arial"/>
          <w:b/>
          <w:sz w:val="28"/>
        </w:rPr>
        <w:t>Government Response to the Tax Working Group</w:t>
      </w:r>
    </w:p>
    <w:p w:rsidR="00AF306B" w:rsidRPr="002C4358" w:rsidRDefault="00AF306B" w:rsidP="008C6270">
      <w:pPr>
        <w:pStyle w:val="BodyText"/>
        <w:spacing w:before="2"/>
        <w:ind w:left="142"/>
        <w:rPr>
          <w:rFonts w:ascii="Arial"/>
          <w:sz w:val="31"/>
        </w:rPr>
      </w:pPr>
    </w:p>
    <w:p w:rsidR="00AF306B" w:rsidRDefault="00183FAA">
      <w:pPr>
        <w:tabs>
          <w:tab w:val="left" w:pos="2021"/>
        </w:tabs>
        <w:spacing w:before="1"/>
        <w:ind w:left="115"/>
        <w:rPr>
          <w:rFonts w:ascii="Arial"/>
          <w:b/>
          <w:sz w:val="20"/>
        </w:rPr>
      </w:pPr>
      <w:r>
        <w:rPr>
          <w:rFonts w:ascii="Arial"/>
          <w:b/>
          <w:sz w:val="20"/>
        </w:rPr>
        <w:t>Portfolio</w:t>
      </w:r>
      <w:r w:rsidR="008C6270">
        <w:rPr>
          <w:rFonts w:ascii="Arial"/>
          <w:b/>
          <w:sz w:val="20"/>
        </w:rPr>
        <w:t>s</w:t>
      </w:r>
      <w:r>
        <w:rPr>
          <w:rFonts w:ascii="Arial"/>
          <w:b/>
          <w:sz w:val="20"/>
        </w:rPr>
        <w:tab/>
      </w:r>
      <w:r w:rsidR="009F2589">
        <w:rPr>
          <w:rFonts w:ascii="Arial"/>
          <w:b/>
          <w:sz w:val="20"/>
        </w:rPr>
        <w:t xml:space="preserve">Finance / </w:t>
      </w:r>
      <w:r>
        <w:rPr>
          <w:rFonts w:ascii="Arial"/>
          <w:b/>
          <w:sz w:val="20"/>
        </w:rPr>
        <w:t>Revenue</w:t>
      </w:r>
    </w:p>
    <w:p w:rsidR="00AF306B" w:rsidRDefault="00AF306B" w:rsidP="008C6270">
      <w:pPr>
        <w:pStyle w:val="BodyText"/>
        <w:ind w:left="142"/>
        <w:rPr>
          <w:rFonts w:ascii="Arial"/>
          <w:b/>
          <w:sz w:val="22"/>
        </w:rPr>
      </w:pPr>
    </w:p>
    <w:p w:rsidR="00AF306B" w:rsidRDefault="00AF306B" w:rsidP="008C6270">
      <w:pPr>
        <w:pStyle w:val="BodyText"/>
        <w:spacing w:before="9"/>
        <w:ind w:left="142"/>
        <w:rPr>
          <w:rFonts w:ascii="Arial"/>
          <w:b/>
          <w:sz w:val="22"/>
        </w:rPr>
      </w:pPr>
    </w:p>
    <w:p w:rsidR="00AF306B" w:rsidRDefault="009F2589">
      <w:pPr>
        <w:pStyle w:val="BodyText"/>
        <w:ind w:left="115"/>
      </w:pPr>
      <w:r w:rsidRPr="009F2589">
        <w:t>On 15 April 2019, Cabinet:</w:t>
      </w:r>
    </w:p>
    <w:p w:rsidR="00AF306B" w:rsidRPr="002C4358" w:rsidRDefault="00AF306B" w:rsidP="008C6270">
      <w:pPr>
        <w:pStyle w:val="BodyText"/>
        <w:ind w:left="142"/>
        <w:rPr>
          <w:sz w:val="22"/>
          <w:szCs w:val="22"/>
        </w:rPr>
      </w:pPr>
    </w:p>
    <w:p w:rsidR="009F2589" w:rsidRPr="002C4358" w:rsidRDefault="009F2589" w:rsidP="008C6270">
      <w:pPr>
        <w:pStyle w:val="Heading1"/>
        <w:ind w:left="142"/>
        <w:rPr>
          <w:color w:val="1A3D23"/>
          <w:w w:val="105"/>
          <w:sz w:val="22"/>
          <w:szCs w:val="22"/>
        </w:rPr>
      </w:pPr>
      <w:r w:rsidRPr="002C4358">
        <w:rPr>
          <w:color w:val="1A3D23"/>
          <w:w w:val="105"/>
          <w:sz w:val="22"/>
          <w:szCs w:val="22"/>
        </w:rPr>
        <w:t>Background</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59" w:hanging="709"/>
        <w:rPr>
          <w:sz w:val="24"/>
        </w:rPr>
      </w:pPr>
      <w:r w:rsidRPr="00F16AAE">
        <w:rPr>
          <w:rStyle w:val="Strong"/>
        </w:rPr>
        <w:t>noted</w:t>
      </w:r>
      <w:r w:rsidRPr="009F2589">
        <w:rPr>
          <w:sz w:val="24"/>
        </w:rPr>
        <w:t xml:space="preserve"> that the paper under CAB-19-SUB-0176 reports on the recommendations made in the Tax Working Group's Final Report, which was provided to the government on 21 February 2019;</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59" w:hanging="709"/>
        <w:rPr>
          <w:sz w:val="24"/>
        </w:rPr>
      </w:pPr>
      <w:r w:rsidRPr="00F16AAE">
        <w:rPr>
          <w:b/>
          <w:sz w:val="24"/>
        </w:rPr>
        <w:t>noted</w:t>
      </w:r>
      <w:r w:rsidRPr="009F2589">
        <w:rPr>
          <w:sz w:val="24"/>
        </w:rPr>
        <w:t xml:space="preserve"> that the table in the Appendix to the paper under CAB-19-SUB-0176 (the appended table) sets out the Tax Working Group's 99 recommendations and the proposed government response to each of those recommendations;</w:t>
      </w:r>
    </w:p>
    <w:p w:rsidR="009F2589" w:rsidRPr="002C4358" w:rsidRDefault="009F2589" w:rsidP="002C4358">
      <w:pPr>
        <w:pStyle w:val="BodyText"/>
        <w:ind w:left="142"/>
        <w:rPr>
          <w:sz w:val="22"/>
          <w:szCs w:val="22"/>
        </w:rPr>
      </w:pPr>
    </w:p>
    <w:p w:rsidR="009F2589" w:rsidRPr="002C4358" w:rsidRDefault="009F2589" w:rsidP="008C6270">
      <w:pPr>
        <w:pStyle w:val="Heading1"/>
        <w:ind w:left="142"/>
        <w:rPr>
          <w:color w:val="1A3D23"/>
          <w:w w:val="105"/>
          <w:sz w:val="22"/>
          <w:szCs w:val="22"/>
        </w:rPr>
      </w:pPr>
      <w:r w:rsidRPr="002C4358">
        <w:rPr>
          <w:color w:val="1A3D23"/>
          <w:w w:val="105"/>
          <w:sz w:val="22"/>
          <w:szCs w:val="22"/>
        </w:rPr>
        <w:t>Capital gains taxation</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59" w:hanging="709"/>
        <w:rPr>
          <w:sz w:val="24"/>
        </w:rPr>
      </w:pPr>
      <w:r w:rsidRPr="00F16AAE">
        <w:rPr>
          <w:rStyle w:val="Strong"/>
        </w:rPr>
        <w:t>agreed</w:t>
      </w:r>
      <w:r w:rsidRPr="009F2589">
        <w:rPr>
          <w:sz w:val="24"/>
        </w:rPr>
        <w:t xml:space="preserve"> to not implement an extension of capital gains taxation;</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201" w:hanging="709"/>
        <w:rPr>
          <w:sz w:val="24"/>
        </w:rPr>
      </w:pPr>
      <w:r w:rsidRPr="00F16AAE">
        <w:rPr>
          <w:rStyle w:val="Strong"/>
        </w:rPr>
        <w:t>noted</w:t>
      </w:r>
      <w:r w:rsidRPr="009F2589">
        <w:rPr>
          <w:sz w:val="24"/>
        </w:rPr>
        <w:t xml:space="preserve"> that, consistent with the appended table, the government intends to explore options for taxing vacant land held by land-bankers and to seek a review of the current rules of taxing land speculators as a high priority for the work programme (TPWP);</w:t>
      </w:r>
    </w:p>
    <w:p w:rsidR="009F2589" w:rsidRPr="002C4358" w:rsidRDefault="009F2589" w:rsidP="002C4358">
      <w:pPr>
        <w:pStyle w:val="BodyText"/>
        <w:ind w:left="142"/>
        <w:rPr>
          <w:sz w:val="22"/>
          <w:szCs w:val="22"/>
        </w:rPr>
      </w:pPr>
    </w:p>
    <w:p w:rsidR="009F2589" w:rsidRPr="002C4358" w:rsidRDefault="009F2589" w:rsidP="008C6270">
      <w:pPr>
        <w:pStyle w:val="Heading1"/>
        <w:ind w:left="142"/>
        <w:rPr>
          <w:color w:val="1A3D23"/>
          <w:w w:val="105"/>
          <w:sz w:val="22"/>
          <w:szCs w:val="22"/>
        </w:rPr>
      </w:pPr>
      <w:r w:rsidRPr="002C4358">
        <w:rPr>
          <w:color w:val="1A3D23"/>
          <w:w w:val="105"/>
          <w:sz w:val="22"/>
          <w:szCs w:val="22"/>
        </w:rPr>
        <w:t>Approach to other recommendations</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59" w:hanging="709"/>
        <w:rPr>
          <w:sz w:val="24"/>
        </w:rPr>
      </w:pPr>
      <w:r w:rsidRPr="00F16AAE">
        <w:rPr>
          <w:rStyle w:val="Strong"/>
        </w:rPr>
        <w:t>agreed</w:t>
      </w:r>
      <w:r w:rsidRPr="009F2589">
        <w:rPr>
          <w:sz w:val="24"/>
        </w:rPr>
        <w:t xml:space="preserve"> to endorse the Tax Working Group recommendations where that is the proposed response indicated in the appended table;</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59" w:hanging="709"/>
        <w:rPr>
          <w:sz w:val="24"/>
        </w:rPr>
      </w:pPr>
      <w:r w:rsidRPr="00F16AAE">
        <w:rPr>
          <w:rStyle w:val="Strong"/>
        </w:rPr>
        <w:t>agreed</w:t>
      </w:r>
      <w:r w:rsidRPr="009F2589">
        <w:rPr>
          <w:sz w:val="24"/>
        </w:rPr>
        <w:t xml:space="preserve"> that no further work is required on the Tax Working Group recommendations where that is the proposed response indicated in the appended table;</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201" w:hanging="709"/>
        <w:rPr>
          <w:sz w:val="24"/>
        </w:rPr>
      </w:pPr>
      <w:r w:rsidRPr="00F16AAE">
        <w:rPr>
          <w:rStyle w:val="Strong"/>
        </w:rPr>
        <w:t>noted</w:t>
      </w:r>
      <w:r w:rsidRPr="009F2589">
        <w:rPr>
          <w:sz w:val="24"/>
        </w:rPr>
        <w:t xml:space="preserve"> the work already underway on the Tax Working Group recommendations where that is the proposed response indicated in the appended table;</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59" w:hanging="709"/>
        <w:rPr>
          <w:sz w:val="24"/>
        </w:rPr>
      </w:pPr>
      <w:r w:rsidRPr="00F16AAE">
        <w:rPr>
          <w:rStyle w:val="Strong"/>
        </w:rPr>
        <w:t>agreed</w:t>
      </w:r>
      <w:r w:rsidRPr="009F2589">
        <w:rPr>
          <w:sz w:val="24"/>
        </w:rPr>
        <w:t xml:space="preserve"> to consider for inclusion in the 2019/20 Tax Policy Work Programme and/or other agency work programme, the Tax Working Group recommendations where that is the proposed response indicated in the appended table;</w:t>
      </w:r>
    </w:p>
    <w:p w:rsidR="009F2589" w:rsidRPr="002C4358" w:rsidRDefault="009F2589" w:rsidP="002C4358">
      <w:pPr>
        <w:pStyle w:val="BodyText"/>
        <w:ind w:left="142"/>
        <w:rPr>
          <w:sz w:val="22"/>
          <w:szCs w:val="22"/>
        </w:rPr>
      </w:pPr>
    </w:p>
    <w:p w:rsidR="009F2589" w:rsidRPr="009F2589" w:rsidRDefault="009F2589" w:rsidP="008C6270">
      <w:pPr>
        <w:pStyle w:val="ListParagraph"/>
        <w:numPr>
          <w:ilvl w:val="0"/>
          <w:numId w:val="1"/>
        </w:numPr>
        <w:tabs>
          <w:tab w:val="left" w:pos="851"/>
        </w:tabs>
        <w:ind w:left="851" w:right="59" w:hanging="709"/>
        <w:rPr>
          <w:sz w:val="24"/>
        </w:rPr>
      </w:pPr>
      <w:r w:rsidRPr="00F16AAE">
        <w:rPr>
          <w:rStyle w:val="Strong"/>
        </w:rPr>
        <w:t>agreed</w:t>
      </w:r>
      <w:r w:rsidRPr="009F2589">
        <w:rPr>
          <w:sz w:val="24"/>
        </w:rPr>
        <w:t xml:space="preserve"> to consider as a high priority for inclusion in the 2019/20 Tax Policy Work Programme and/or other agency work programme, the Tax Working Group recommendations where that is the proposed response indicated in the appended table;</w:t>
      </w:r>
    </w:p>
    <w:p w:rsidR="009F2589" w:rsidRPr="009F2589" w:rsidRDefault="009F2589" w:rsidP="00906151">
      <w:pPr>
        <w:pStyle w:val="ListParagraph"/>
        <w:numPr>
          <w:ilvl w:val="0"/>
          <w:numId w:val="1"/>
        </w:numPr>
        <w:tabs>
          <w:tab w:val="left" w:pos="851"/>
        </w:tabs>
        <w:ind w:left="851" w:right="201" w:hanging="709"/>
        <w:rPr>
          <w:sz w:val="24"/>
        </w:rPr>
      </w:pPr>
      <w:r w:rsidRPr="00F16AAE">
        <w:rPr>
          <w:rStyle w:val="Strong"/>
        </w:rPr>
        <w:lastRenderedPageBreak/>
        <w:t>authorised</w:t>
      </w:r>
      <w:r w:rsidRPr="009F2589">
        <w:rPr>
          <w:sz w:val="24"/>
        </w:rPr>
        <w:t xml:space="preserve"> the Minister of Finance and the Minister of Revenue to make minor and</w:t>
      </w:r>
      <w:r w:rsidR="00F16AAE">
        <w:rPr>
          <w:sz w:val="24"/>
        </w:rPr>
        <w:t xml:space="preserve"> </w:t>
      </w:r>
      <w:r w:rsidRPr="009F2589">
        <w:rPr>
          <w:sz w:val="24"/>
        </w:rPr>
        <w:t>technical amendments to the appended table and the contents of the paper attached to CAB-19-MIN-0176</w:t>
      </w:r>
      <w:r w:rsidR="00F16AAE">
        <w:rPr>
          <w:sz w:val="24"/>
        </w:rPr>
        <w:t>;</w:t>
      </w:r>
    </w:p>
    <w:p w:rsidR="009F2589" w:rsidRPr="002C4358" w:rsidRDefault="009F2589" w:rsidP="002C4358">
      <w:pPr>
        <w:pStyle w:val="BodyText"/>
        <w:ind w:left="142"/>
        <w:rPr>
          <w:sz w:val="22"/>
          <w:szCs w:val="22"/>
        </w:rPr>
      </w:pPr>
    </w:p>
    <w:p w:rsidR="009F2589" w:rsidRPr="002C4358" w:rsidRDefault="009F2589" w:rsidP="008C6270">
      <w:pPr>
        <w:pStyle w:val="Heading1"/>
        <w:ind w:left="142"/>
        <w:rPr>
          <w:color w:val="1A3D23"/>
          <w:w w:val="105"/>
          <w:sz w:val="22"/>
          <w:szCs w:val="22"/>
        </w:rPr>
      </w:pPr>
      <w:r w:rsidRPr="002C4358">
        <w:rPr>
          <w:color w:val="1A3D23"/>
          <w:w w:val="105"/>
          <w:sz w:val="22"/>
          <w:szCs w:val="22"/>
        </w:rPr>
        <w:t>Administration and implementation</w:t>
      </w:r>
    </w:p>
    <w:p w:rsidR="009F2589" w:rsidRPr="002C4358" w:rsidRDefault="009F2589" w:rsidP="002C4358">
      <w:pPr>
        <w:pStyle w:val="BodyText"/>
        <w:ind w:left="142"/>
        <w:rPr>
          <w:sz w:val="22"/>
          <w:szCs w:val="22"/>
        </w:rPr>
      </w:pPr>
    </w:p>
    <w:p w:rsidR="009F2589" w:rsidRPr="009F2589" w:rsidRDefault="009F2589" w:rsidP="00906151">
      <w:pPr>
        <w:pStyle w:val="ListParagraph"/>
        <w:numPr>
          <w:ilvl w:val="0"/>
          <w:numId w:val="1"/>
        </w:numPr>
        <w:tabs>
          <w:tab w:val="left" w:pos="851"/>
        </w:tabs>
        <w:ind w:left="851" w:right="59" w:hanging="709"/>
        <w:rPr>
          <w:sz w:val="24"/>
        </w:rPr>
      </w:pPr>
      <w:r w:rsidRPr="00F16AAE">
        <w:rPr>
          <w:rStyle w:val="Strong"/>
        </w:rPr>
        <w:t>noted</w:t>
      </w:r>
      <w:r w:rsidRPr="009F2589">
        <w:rPr>
          <w:sz w:val="24"/>
        </w:rPr>
        <w:t xml:space="preserve"> that the Tax Policy Work Programme is jointly agreed by the Minister of Finance and the Minister of Revenue, and that this process includes submitting the proposed programme to Cabinet;</w:t>
      </w:r>
    </w:p>
    <w:p w:rsidR="009F2589" w:rsidRPr="002C4358" w:rsidRDefault="009F2589" w:rsidP="002C4358">
      <w:pPr>
        <w:pStyle w:val="BodyText"/>
        <w:ind w:left="142"/>
        <w:rPr>
          <w:sz w:val="22"/>
          <w:szCs w:val="22"/>
        </w:rPr>
      </w:pPr>
    </w:p>
    <w:p w:rsidR="009F2589" w:rsidRPr="00F16AAE" w:rsidRDefault="009F2589" w:rsidP="00906151">
      <w:pPr>
        <w:pStyle w:val="ListParagraph"/>
        <w:numPr>
          <w:ilvl w:val="0"/>
          <w:numId w:val="1"/>
        </w:numPr>
        <w:tabs>
          <w:tab w:val="left" w:pos="851"/>
        </w:tabs>
        <w:ind w:left="851" w:right="59" w:hanging="709"/>
        <w:rPr>
          <w:sz w:val="24"/>
        </w:rPr>
      </w:pPr>
      <w:r w:rsidRPr="00F16AAE">
        <w:rPr>
          <w:rStyle w:val="Strong"/>
        </w:rPr>
        <w:t>noted</w:t>
      </w:r>
      <w:r w:rsidRPr="00F16AAE">
        <w:rPr>
          <w:sz w:val="24"/>
        </w:rPr>
        <w:t xml:space="preserve"> that </w:t>
      </w:r>
      <w:r w:rsidRPr="00CA6617">
        <w:rPr>
          <w:rStyle w:val="Emphasis"/>
        </w:rPr>
        <w:t xml:space="preserve">He Ara </w:t>
      </w:r>
      <w:proofErr w:type="spellStart"/>
      <w:r w:rsidRPr="00CA6617">
        <w:rPr>
          <w:rStyle w:val="Emphasis"/>
        </w:rPr>
        <w:t>Waiora</w:t>
      </w:r>
      <w:proofErr w:type="spellEnd"/>
      <w:r w:rsidRPr="00CA6617">
        <w:rPr>
          <w:rStyle w:val="Emphasis"/>
        </w:rPr>
        <w:t xml:space="preserve"> </w:t>
      </w:r>
      <w:r w:rsidR="008C6270" w:rsidRPr="00CA6617">
        <w:rPr>
          <w:rStyle w:val="Emphasis"/>
        </w:rPr>
        <w:t>/</w:t>
      </w:r>
      <w:r w:rsidRPr="00CA6617">
        <w:rPr>
          <w:rStyle w:val="Emphasis"/>
        </w:rPr>
        <w:t xml:space="preserve"> A Pathway Towards Wellbeing</w:t>
      </w:r>
      <w:r w:rsidRPr="00F16AAE">
        <w:rPr>
          <w:sz w:val="24"/>
        </w:rPr>
        <w:t xml:space="preserve"> is being taken forward by</w:t>
      </w:r>
      <w:r w:rsidR="00F16AAE" w:rsidRPr="00F16AAE">
        <w:rPr>
          <w:sz w:val="24"/>
        </w:rPr>
        <w:t xml:space="preserve"> </w:t>
      </w:r>
      <w:r w:rsidR="00906151">
        <w:rPr>
          <w:sz w:val="24"/>
        </w:rPr>
        <w:br/>
      </w:r>
      <w:r w:rsidRPr="00F16AAE">
        <w:rPr>
          <w:sz w:val="24"/>
        </w:rPr>
        <w:t>The Treasury in the Living Standards Framework Programme, in consul</w:t>
      </w:r>
      <w:bookmarkStart w:id="0" w:name="_GoBack"/>
      <w:bookmarkEnd w:id="0"/>
      <w:r w:rsidRPr="00F16AAE">
        <w:rPr>
          <w:sz w:val="24"/>
        </w:rPr>
        <w:t xml:space="preserve">tation with </w:t>
      </w:r>
      <w:proofErr w:type="spellStart"/>
      <w:r w:rsidRPr="00F16AAE">
        <w:rPr>
          <w:sz w:val="24"/>
        </w:rPr>
        <w:t>Te</w:t>
      </w:r>
      <w:proofErr w:type="spellEnd"/>
      <w:r w:rsidRPr="00F16AAE">
        <w:rPr>
          <w:sz w:val="24"/>
        </w:rPr>
        <w:t xml:space="preserve"> </w:t>
      </w:r>
      <w:proofErr w:type="spellStart"/>
      <w:r w:rsidRPr="00F16AAE">
        <w:rPr>
          <w:sz w:val="24"/>
        </w:rPr>
        <w:t>Puni</w:t>
      </w:r>
      <w:proofErr w:type="spellEnd"/>
      <w:r w:rsidRPr="00F16AAE">
        <w:rPr>
          <w:sz w:val="24"/>
        </w:rPr>
        <w:t xml:space="preserve"> </w:t>
      </w:r>
      <w:proofErr w:type="spellStart"/>
      <w:r w:rsidRPr="00F16AAE">
        <w:rPr>
          <w:sz w:val="24"/>
        </w:rPr>
        <w:t>K</w:t>
      </w:r>
      <w:r w:rsidR="008C6270">
        <w:rPr>
          <w:sz w:val="24"/>
        </w:rPr>
        <w:t>ō</w:t>
      </w:r>
      <w:r w:rsidRPr="00F16AAE">
        <w:rPr>
          <w:sz w:val="24"/>
        </w:rPr>
        <w:t>kiri</w:t>
      </w:r>
      <w:proofErr w:type="spellEnd"/>
      <w:r w:rsidRPr="00F16AAE">
        <w:rPr>
          <w:sz w:val="24"/>
        </w:rPr>
        <w:t xml:space="preserve"> and the Office for Maori - Crown Relations: </w:t>
      </w:r>
      <w:proofErr w:type="spellStart"/>
      <w:r w:rsidRPr="00F16AAE">
        <w:rPr>
          <w:sz w:val="24"/>
        </w:rPr>
        <w:t>Te</w:t>
      </w:r>
      <w:proofErr w:type="spellEnd"/>
      <w:r w:rsidRPr="00F16AAE">
        <w:rPr>
          <w:sz w:val="24"/>
        </w:rPr>
        <w:t xml:space="preserve"> </w:t>
      </w:r>
      <w:proofErr w:type="spellStart"/>
      <w:r w:rsidRPr="00F16AAE">
        <w:rPr>
          <w:sz w:val="24"/>
        </w:rPr>
        <w:t>Arawhiti</w:t>
      </w:r>
      <w:proofErr w:type="spellEnd"/>
      <w:r w:rsidRPr="00F16AAE">
        <w:rPr>
          <w:sz w:val="24"/>
        </w:rPr>
        <w:t>;</w:t>
      </w:r>
    </w:p>
    <w:p w:rsidR="009F2589" w:rsidRPr="002C4358" w:rsidRDefault="009F2589" w:rsidP="002C4358">
      <w:pPr>
        <w:pStyle w:val="BodyText"/>
        <w:ind w:left="142"/>
        <w:rPr>
          <w:sz w:val="22"/>
          <w:szCs w:val="22"/>
        </w:rPr>
      </w:pPr>
    </w:p>
    <w:p w:rsidR="009F2589" w:rsidRPr="009F2589" w:rsidRDefault="009F2589" w:rsidP="00906151">
      <w:pPr>
        <w:pStyle w:val="ListParagraph"/>
        <w:numPr>
          <w:ilvl w:val="0"/>
          <w:numId w:val="1"/>
        </w:numPr>
        <w:tabs>
          <w:tab w:val="left" w:pos="851"/>
        </w:tabs>
        <w:ind w:left="851" w:right="59" w:hanging="709"/>
        <w:rPr>
          <w:sz w:val="24"/>
        </w:rPr>
      </w:pPr>
      <w:r w:rsidRPr="00F16AAE">
        <w:rPr>
          <w:rStyle w:val="Strong"/>
        </w:rPr>
        <w:t>noted</w:t>
      </w:r>
      <w:r w:rsidRPr="009F2589">
        <w:rPr>
          <w:sz w:val="24"/>
        </w:rPr>
        <w:t xml:space="preserve"> that if Ministers add extra Tax Working Group recommendation projects to the Tax Policy Work Programme, and no additional policy advice funding is received, there will be a significant impact on the current work programme, which may mean some projects will </w:t>
      </w:r>
      <w:r w:rsidR="00583A12">
        <w:rPr>
          <w:sz w:val="24"/>
        </w:rPr>
        <w:br/>
      </w:r>
      <w:r w:rsidRPr="009F2589">
        <w:rPr>
          <w:sz w:val="24"/>
        </w:rPr>
        <w:t>need to be reprioritised or put on hold;</w:t>
      </w:r>
    </w:p>
    <w:p w:rsidR="009F2589" w:rsidRPr="002C4358" w:rsidRDefault="009F2589" w:rsidP="002C4358">
      <w:pPr>
        <w:pStyle w:val="BodyText"/>
        <w:ind w:left="142"/>
        <w:rPr>
          <w:sz w:val="22"/>
          <w:szCs w:val="22"/>
        </w:rPr>
      </w:pPr>
    </w:p>
    <w:p w:rsidR="009F2589" w:rsidRPr="009F2589" w:rsidRDefault="009F2589" w:rsidP="00906151">
      <w:pPr>
        <w:pStyle w:val="ListParagraph"/>
        <w:numPr>
          <w:ilvl w:val="0"/>
          <w:numId w:val="1"/>
        </w:numPr>
        <w:tabs>
          <w:tab w:val="left" w:pos="851"/>
        </w:tabs>
        <w:ind w:left="851" w:right="59" w:hanging="709"/>
        <w:rPr>
          <w:sz w:val="24"/>
        </w:rPr>
      </w:pPr>
      <w:r w:rsidRPr="00F16AAE">
        <w:rPr>
          <w:rStyle w:val="Strong"/>
        </w:rPr>
        <w:t>noted</w:t>
      </w:r>
      <w:r w:rsidRPr="009F2589">
        <w:rPr>
          <w:sz w:val="24"/>
        </w:rPr>
        <w:t xml:space="preserve"> that Inland Revenue will seek funding for additional tax policy advice as part of the 2019 Tax Policy Work Programme refresh, should Ministers wish to increase the amount of tax policy work undertaken.</w:t>
      </w:r>
    </w:p>
    <w:p w:rsidR="008C6270" w:rsidRDefault="008C6270" w:rsidP="008C6270">
      <w:pPr>
        <w:pStyle w:val="BodyText"/>
        <w:ind w:left="142"/>
        <w:rPr>
          <w:sz w:val="26"/>
        </w:rPr>
      </w:pPr>
    </w:p>
    <w:p w:rsidR="00CE3CB2" w:rsidRDefault="00CE3CB2" w:rsidP="008C6270">
      <w:pPr>
        <w:pStyle w:val="BodyText"/>
        <w:ind w:left="142"/>
        <w:rPr>
          <w:sz w:val="26"/>
        </w:rPr>
      </w:pPr>
    </w:p>
    <w:p w:rsidR="008C6270" w:rsidRDefault="008C6270" w:rsidP="008C6270">
      <w:pPr>
        <w:pStyle w:val="BodyText"/>
        <w:ind w:left="142"/>
        <w:rPr>
          <w:sz w:val="26"/>
        </w:rPr>
      </w:pPr>
    </w:p>
    <w:p w:rsidR="008C6270" w:rsidRDefault="008C6270" w:rsidP="008C6270">
      <w:pPr>
        <w:pStyle w:val="BodyText"/>
        <w:ind w:left="142"/>
        <w:rPr>
          <w:sz w:val="26"/>
        </w:rPr>
      </w:pPr>
    </w:p>
    <w:p w:rsidR="008C6270" w:rsidRDefault="008C6270" w:rsidP="008C6270">
      <w:pPr>
        <w:pStyle w:val="BodyText"/>
        <w:ind w:left="142"/>
        <w:rPr>
          <w:sz w:val="26"/>
        </w:rPr>
      </w:pPr>
    </w:p>
    <w:p w:rsidR="008C6270" w:rsidRDefault="00014F16" w:rsidP="008C6270">
      <w:pPr>
        <w:pStyle w:val="BodyText"/>
        <w:spacing w:after="25"/>
        <w:ind w:left="115" w:right="7672"/>
      </w:pPr>
      <w:r>
        <w:pict>
          <v:group id="_x0000_s1046" style="position:absolute;left:0;text-align:left;margin-left:56.7pt;margin-top:28.6pt;width:481.8pt;height:.5pt;z-index:251659264;mso-position-horizontal-relative:page" coordorigin="1134,572" coordsize="9636,10">
            <v:line id="_x0000_s1047" style="position:absolute" from="1134,577" to="10770,577" strokecolor="#000001" strokeweight=".5pt"/>
            <v:line id="_x0000_s1048" style="position:absolute" from="1134,577" to="10770,577" strokecolor="#000001" strokeweight=".5pt"/>
            <w10:wrap anchorx="page"/>
          </v:group>
        </w:pict>
      </w:r>
      <w:r w:rsidR="008C6270">
        <w:t>Michael Webster</w:t>
      </w:r>
    </w:p>
    <w:p w:rsidR="008C6270" w:rsidRDefault="008C6270" w:rsidP="008C6270">
      <w:pPr>
        <w:pStyle w:val="BodyText"/>
        <w:spacing w:after="25"/>
        <w:ind w:left="115" w:right="6721"/>
      </w:pPr>
      <w:r>
        <w:t>Secretary of the Cabinet</w:t>
      </w:r>
    </w:p>
    <w:p w:rsidR="008C6270" w:rsidRPr="00F16AAE" w:rsidRDefault="008C6270" w:rsidP="008C6270">
      <w:pPr>
        <w:pStyle w:val="BodyText"/>
        <w:ind w:left="142"/>
        <w:rPr>
          <w:sz w:val="26"/>
        </w:rPr>
      </w:pPr>
    </w:p>
    <w:p w:rsidR="008C6270" w:rsidRPr="00F16AAE" w:rsidRDefault="008C6270" w:rsidP="008C6270">
      <w:pPr>
        <w:pStyle w:val="TableParagraph"/>
        <w:spacing w:before="1" w:line="229" w:lineRule="exact"/>
        <w:ind w:left="142"/>
        <w:rPr>
          <w:rFonts w:ascii="Arial"/>
          <w:b/>
          <w:sz w:val="20"/>
        </w:rPr>
      </w:pPr>
      <w:r w:rsidRPr="00F16AAE">
        <w:rPr>
          <w:rFonts w:ascii="Arial"/>
          <w:b/>
          <w:sz w:val="20"/>
        </w:rPr>
        <w:t>Hard-copy distribution:</w:t>
      </w:r>
    </w:p>
    <w:p w:rsidR="008C6270" w:rsidRPr="00906151" w:rsidRDefault="008C6270" w:rsidP="008C6270">
      <w:pPr>
        <w:ind w:left="142"/>
        <w:rPr>
          <w:sz w:val="20"/>
          <w:szCs w:val="20"/>
        </w:rPr>
      </w:pPr>
      <w:r w:rsidRPr="00906151">
        <w:rPr>
          <w:sz w:val="20"/>
          <w:szCs w:val="20"/>
        </w:rPr>
        <w:t>Prime Minister</w:t>
      </w:r>
    </w:p>
    <w:p w:rsidR="008C6270" w:rsidRPr="00906151" w:rsidRDefault="008C6270" w:rsidP="008C6270">
      <w:pPr>
        <w:ind w:left="142"/>
        <w:rPr>
          <w:sz w:val="20"/>
          <w:szCs w:val="20"/>
        </w:rPr>
      </w:pPr>
      <w:r w:rsidRPr="00906151">
        <w:rPr>
          <w:sz w:val="20"/>
          <w:szCs w:val="20"/>
        </w:rPr>
        <w:t>Chief Executive, DPMC</w:t>
      </w:r>
    </w:p>
    <w:p w:rsidR="008C6270" w:rsidRPr="00906151" w:rsidRDefault="008C6270" w:rsidP="008C6270">
      <w:pPr>
        <w:ind w:left="142"/>
        <w:rPr>
          <w:sz w:val="20"/>
          <w:szCs w:val="20"/>
        </w:rPr>
      </w:pPr>
      <w:r w:rsidRPr="00906151">
        <w:rPr>
          <w:sz w:val="20"/>
          <w:szCs w:val="20"/>
        </w:rPr>
        <w:t xml:space="preserve"> Deputy Chief Executive, Policy, DPMC</w:t>
      </w:r>
    </w:p>
    <w:p w:rsidR="008C6270" w:rsidRPr="00906151" w:rsidRDefault="008C6270" w:rsidP="008C6270">
      <w:pPr>
        <w:ind w:left="142"/>
        <w:rPr>
          <w:sz w:val="20"/>
          <w:szCs w:val="20"/>
        </w:rPr>
      </w:pPr>
      <w:r w:rsidRPr="00906151">
        <w:rPr>
          <w:sz w:val="20"/>
          <w:szCs w:val="20"/>
        </w:rPr>
        <w:t>Deputy Prime Minister</w:t>
      </w:r>
    </w:p>
    <w:p w:rsidR="008C6270" w:rsidRPr="00906151" w:rsidRDefault="008C6270" w:rsidP="008C6270">
      <w:pPr>
        <w:ind w:left="142"/>
        <w:rPr>
          <w:sz w:val="20"/>
          <w:szCs w:val="20"/>
        </w:rPr>
      </w:pPr>
      <w:r w:rsidRPr="00906151">
        <w:rPr>
          <w:sz w:val="20"/>
          <w:szCs w:val="20"/>
        </w:rPr>
        <w:t>Minister of Finance</w:t>
      </w:r>
    </w:p>
    <w:p w:rsidR="008C6270" w:rsidRPr="00906151" w:rsidRDefault="008C6270" w:rsidP="008C6270">
      <w:pPr>
        <w:ind w:left="142"/>
        <w:rPr>
          <w:sz w:val="20"/>
          <w:szCs w:val="20"/>
        </w:rPr>
      </w:pPr>
      <w:r w:rsidRPr="00906151">
        <w:rPr>
          <w:sz w:val="20"/>
          <w:szCs w:val="20"/>
        </w:rPr>
        <w:t xml:space="preserve">  Secretary to the Treasury</w:t>
      </w:r>
    </w:p>
    <w:p w:rsidR="008C6270" w:rsidRPr="00906151" w:rsidRDefault="008C6270" w:rsidP="008C6270">
      <w:pPr>
        <w:ind w:left="142"/>
        <w:rPr>
          <w:sz w:val="20"/>
          <w:szCs w:val="20"/>
        </w:rPr>
      </w:pPr>
      <w:r w:rsidRPr="00906151">
        <w:rPr>
          <w:sz w:val="20"/>
          <w:szCs w:val="20"/>
        </w:rPr>
        <w:t>Minister of Revenue</w:t>
      </w:r>
    </w:p>
    <w:p w:rsidR="008C6270" w:rsidRPr="00906151" w:rsidRDefault="008C6270" w:rsidP="008C6270">
      <w:pPr>
        <w:ind w:left="142"/>
        <w:rPr>
          <w:sz w:val="20"/>
          <w:szCs w:val="20"/>
        </w:rPr>
      </w:pPr>
      <w:r w:rsidRPr="00906151">
        <w:rPr>
          <w:sz w:val="20"/>
          <w:szCs w:val="20"/>
        </w:rPr>
        <w:t xml:space="preserve"> Commissioner of Inland Revenue</w:t>
      </w:r>
    </w:p>
    <w:sectPr w:rsidR="008C6270" w:rsidRPr="00906151" w:rsidSect="008C0A5F">
      <w:headerReference w:type="default" r:id="rId8"/>
      <w:footerReference w:type="default" r:id="rId9"/>
      <w:pgSz w:w="11900" w:h="16840"/>
      <w:pgMar w:top="907" w:right="1038" w:bottom="907" w:left="1021" w:header="45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93" w:rsidRDefault="00183FAA">
      <w:r>
        <w:separator/>
      </w:r>
    </w:p>
  </w:endnote>
  <w:endnote w:type="continuationSeparator" w:id="0">
    <w:p w:rsidR="00E81993" w:rsidRDefault="0018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6B" w:rsidRDefault="00014F16">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7" type="#_x0000_t202" style="position:absolute;margin-left:180.05pt;margin-top:805.25pt;width:218.2pt;height:26.7pt;z-index:-4032;mso-position-horizontal-relative:page;mso-position-vertical-relative:page" filled="f" stroked="f">
          <v:textbox style="mso-next-textbox:#_x0000_s2057" inset="0,0,0,0">
            <w:txbxContent>
              <w:p w:rsidR="009F2589" w:rsidRDefault="009F2589" w:rsidP="009F2589">
                <w:pPr>
                  <w:spacing w:before="13"/>
                  <w:ind w:left="20"/>
                  <w:jc w:val="center"/>
                  <w:rPr>
                    <w:rFonts w:ascii="Arial"/>
                    <w:b/>
                    <w:sz w:val="20"/>
                  </w:rPr>
                </w:pPr>
                <w:r>
                  <w:rPr>
                    <w:rFonts w:ascii="Arial"/>
                    <w:b/>
                    <w:sz w:val="20"/>
                  </w:rPr>
                  <w:t>S E N S I T I V E</w:t>
                </w:r>
              </w:p>
              <w:p w:rsidR="009F2589" w:rsidRDefault="009F2589" w:rsidP="009F2589">
                <w:pPr>
                  <w:spacing w:before="13"/>
                  <w:ind w:left="20"/>
                  <w:jc w:val="center"/>
                  <w:rPr>
                    <w:rFonts w:ascii="Arial"/>
                    <w:b/>
                    <w:sz w:val="20"/>
                  </w:rPr>
                </w:pPr>
                <w:r>
                  <w:rPr>
                    <w:rFonts w:ascii="Arial"/>
                    <w:b/>
                    <w:sz w:val="20"/>
                  </w:rPr>
                  <w:t xml:space="preserve">S P E C I A </w:t>
                </w:r>
                <w:proofErr w:type="gramStart"/>
                <w:r>
                  <w:rPr>
                    <w:rFonts w:ascii="Arial"/>
                    <w:b/>
                    <w:sz w:val="20"/>
                  </w:rPr>
                  <w:t>L  H</w:t>
                </w:r>
                <w:proofErr w:type="gramEnd"/>
                <w:r>
                  <w:rPr>
                    <w:rFonts w:ascii="Arial"/>
                    <w:b/>
                    <w:sz w:val="20"/>
                  </w:rPr>
                  <w:t xml:space="preserve"> A N D L I N G  R E Q U I R E D</w:t>
                </w:r>
              </w:p>
            </w:txbxContent>
          </v:textbox>
          <w10:wrap anchorx="page" anchory="page"/>
        </v:shape>
      </w:pict>
    </w:r>
    <w:r>
      <w:pict>
        <v:shape id="_x0000_s2051" type="#_x0000_t202" style="position:absolute;margin-left:527.8pt;margin-top:801.9pt;width:10pt;height:15.3pt;z-index:-5056;mso-position-horizontal-relative:page;mso-position-vertical-relative:page" filled="f" stroked="f">
          <v:textbox style="mso-next-textbox:#_x0000_s2051" inset="0,0,0,0">
            <w:txbxContent>
              <w:p w:rsidR="00AF306B" w:rsidRDefault="00183FAA">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93" w:rsidRDefault="00183FAA">
      <w:r>
        <w:separator/>
      </w:r>
    </w:p>
  </w:footnote>
  <w:footnote w:type="continuationSeparator" w:id="0">
    <w:p w:rsidR="00E81993" w:rsidRDefault="0018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6B" w:rsidRDefault="00014F1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81.9pt;margin-top:9.35pt;width:218.2pt;height:26.7pt;z-index:-5104;mso-position-horizontal-relative:page;mso-position-vertical-relative:page" filled="f" stroked="f">
          <v:textbox style="mso-next-textbox:#_x0000_s2053" inset="0,0,0,0">
            <w:txbxContent>
              <w:p w:rsidR="009F2589" w:rsidRDefault="009F2589" w:rsidP="009F2589">
                <w:pPr>
                  <w:spacing w:before="13"/>
                  <w:ind w:left="20"/>
                  <w:jc w:val="center"/>
                  <w:rPr>
                    <w:rFonts w:ascii="Arial"/>
                    <w:b/>
                    <w:sz w:val="20"/>
                  </w:rPr>
                </w:pPr>
                <w:r>
                  <w:rPr>
                    <w:rFonts w:ascii="Arial"/>
                    <w:b/>
                    <w:sz w:val="20"/>
                  </w:rPr>
                  <w:t>S E N S I T I V E</w:t>
                </w:r>
              </w:p>
              <w:p w:rsidR="00AF306B" w:rsidRDefault="009F2589" w:rsidP="009F2589">
                <w:pPr>
                  <w:spacing w:before="13"/>
                  <w:ind w:left="20"/>
                  <w:jc w:val="center"/>
                  <w:rPr>
                    <w:rFonts w:ascii="Arial"/>
                    <w:b/>
                    <w:sz w:val="20"/>
                  </w:rPr>
                </w:pPr>
                <w:r>
                  <w:rPr>
                    <w:rFonts w:ascii="Arial"/>
                    <w:b/>
                    <w:sz w:val="20"/>
                  </w:rPr>
                  <w:t xml:space="preserve">S P E C I A </w:t>
                </w:r>
                <w:proofErr w:type="gramStart"/>
                <w:r>
                  <w:rPr>
                    <w:rFonts w:ascii="Arial"/>
                    <w:b/>
                    <w:sz w:val="20"/>
                  </w:rPr>
                  <w:t>L  H</w:t>
                </w:r>
                <w:proofErr w:type="gramEnd"/>
                <w:r>
                  <w:rPr>
                    <w:rFonts w:ascii="Arial"/>
                    <w:b/>
                    <w:sz w:val="20"/>
                  </w:rPr>
                  <w:t xml:space="preserve"> A N D L I N G  R E Q U I R E D</w:t>
                </w:r>
              </w:p>
            </w:txbxContent>
          </v:textbox>
          <w10:wrap anchorx="page" anchory="page"/>
        </v:shape>
      </w:pict>
    </w:r>
    <w:r>
      <w:pict>
        <v:shape id="_x0000_s2052" type="#_x0000_t202" style="position:absolute;margin-left:423.75pt;margin-top:31.5pt;width:113.15pt;height:12.45pt;z-index:-5080;mso-position-horizontal-relative:page;mso-position-vertical-relative:page" filled="f" stroked="f">
          <v:textbox style="mso-next-textbox:#_x0000_s2052" inset="0,0,0,0">
            <w:txbxContent>
              <w:p w:rsidR="00AF306B" w:rsidRDefault="009F2589" w:rsidP="009F2589">
                <w:pPr>
                  <w:spacing w:before="13"/>
                  <w:ind w:left="20"/>
                  <w:jc w:val="right"/>
                  <w:rPr>
                    <w:rFonts w:ascii="Arial"/>
                    <w:b/>
                    <w:sz w:val="20"/>
                  </w:rPr>
                </w:pPr>
                <w:r w:rsidRPr="009F2589">
                  <w:rPr>
                    <w:rFonts w:ascii="Arial"/>
                    <w:b/>
                    <w:sz w:val="20"/>
                  </w:rPr>
                  <w:t>CAB-19-MIN-0176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3C24"/>
    <w:multiLevelType w:val="hybridMultilevel"/>
    <w:tmpl w:val="FD66C122"/>
    <w:lvl w:ilvl="0" w:tplc="D500E412">
      <w:start w:val="1"/>
      <w:numFmt w:val="decimal"/>
      <w:lvlText w:val="%1"/>
      <w:lvlJc w:val="left"/>
      <w:pPr>
        <w:ind w:left="836" w:hanging="720"/>
      </w:pPr>
      <w:rPr>
        <w:rFonts w:ascii="Times New Roman" w:eastAsia="Times New Roman" w:hAnsi="Times New Roman" w:cs="Times New Roman" w:hint="default"/>
        <w:spacing w:val="-2"/>
        <w:w w:val="100"/>
        <w:sz w:val="24"/>
        <w:szCs w:val="24"/>
        <w:lang w:val="en-NZ" w:eastAsia="en-NZ" w:bidi="en-NZ"/>
      </w:rPr>
    </w:lvl>
    <w:lvl w:ilvl="1" w:tplc="3DE02FC0">
      <w:numFmt w:val="bullet"/>
      <w:lvlText w:val="•"/>
      <w:lvlJc w:val="left"/>
      <w:pPr>
        <w:ind w:left="1740" w:hanging="720"/>
      </w:pPr>
      <w:rPr>
        <w:rFonts w:hint="default"/>
        <w:lang w:val="en-NZ" w:eastAsia="en-NZ" w:bidi="en-NZ"/>
      </w:rPr>
    </w:lvl>
    <w:lvl w:ilvl="2" w:tplc="3724EC20">
      <w:numFmt w:val="bullet"/>
      <w:lvlText w:val="•"/>
      <w:lvlJc w:val="left"/>
      <w:pPr>
        <w:ind w:left="2640" w:hanging="720"/>
      </w:pPr>
      <w:rPr>
        <w:rFonts w:hint="default"/>
        <w:lang w:val="en-NZ" w:eastAsia="en-NZ" w:bidi="en-NZ"/>
      </w:rPr>
    </w:lvl>
    <w:lvl w:ilvl="3" w:tplc="3834B3C2">
      <w:numFmt w:val="bullet"/>
      <w:lvlText w:val="•"/>
      <w:lvlJc w:val="left"/>
      <w:pPr>
        <w:ind w:left="3540" w:hanging="720"/>
      </w:pPr>
      <w:rPr>
        <w:rFonts w:hint="default"/>
        <w:lang w:val="en-NZ" w:eastAsia="en-NZ" w:bidi="en-NZ"/>
      </w:rPr>
    </w:lvl>
    <w:lvl w:ilvl="4" w:tplc="8A7E93EE">
      <w:numFmt w:val="bullet"/>
      <w:lvlText w:val="•"/>
      <w:lvlJc w:val="left"/>
      <w:pPr>
        <w:ind w:left="4440" w:hanging="720"/>
      </w:pPr>
      <w:rPr>
        <w:rFonts w:hint="default"/>
        <w:lang w:val="en-NZ" w:eastAsia="en-NZ" w:bidi="en-NZ"/>
      </w:rPr>
    </w:lvl>
    <w:lvl w:ilvl="5" w:tplc="92D8CE3A">
      <w:numFmt w:val="bullet"/>
      <w:lvlText w:val="•"/>
      <w:lvlJc w:val="left"/>
      <w:pPr>
        <w:ind w:left="5340" w:hanging="720"/>
      </w:pPr>
      <w:rPr>
        <w:rFonts w:hint="default"/>
        <w:lang w:val="en-NZ" w:eastAsia="en-NZ" w:bidi="en-NZ"/>
      </w:rPr>
    </w:lvl>
    <w:lvl w:ilvl="6" w:tplc="417E0690">
      <w:numFmt w:val="bullet"/>
      <w:lvlText w:val="•"/>
      <w:lvlJc w:val="left"/>
      <w:pPr>
        <w:ind w:left="6240" w:hanging="720"/>
      </w:pPr>
      <w:rPr>
        <w:rFonts w:hint="default"/>
        <w:lang w:val="en-NZ" w:eastAsia="en-NZ" w:bidi="en-NZ"/>
      </w:rPr>
    </w:lvl>
    <w:lvl w:ilvl="7" w:tplc="091AABC0">
      <w:numFmt w:val="bullet"/>
      <w:lvlText w:val="•"/>
      <w:lvlJc w:val="left"/>
      <w:pPr>
        <w:ind w:left="7140" w:hanging="720"/>
      </w:pPr>
      <w:rPr>
        <w:rFonts w:hint="default"/>
        <w:lang w:val="en-NZ" w:eastAsia="en-NZ" w:bidi="en-NZ"/>
      </w:rPr>
    </w:lvl>
    <w:lvl w:ilvl="8" w:tplc="934C5234">
      <w:numFmt w:val="bullet"/>
      <w:lvlText w:val="•"/>
      <w:lvlJc w:val="left"/>
      <w:pPr>
        <w:ind w:left="8040"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F306B"/>
    <w:rsid w:val="00014F16"/>
    <w:rsid w:val="00183FAA"/>
    <w:rsid w:val="002C4358"/>
    <w:rsid w:val="00583A12"/>
    <w:rsid w:val="008C0A5F"/>
    <w:rsid w:val="008C47FA"/>
    <w:rsid w:val="008C6270"/>
    <w:rsid w:val="00906151"/>
    <w:rsid w:val="009F2589"/>
    <w:rsid w:val="00AF306B"/>
    <w:rsid w:val="00CA6617"/>
    <w:rsid w:val="00CE3CB2"/>
    <w:rsid w:val="00D54303"/>
    <w:rsid w:val="00E81993"/>
    <w:rsid w:val="00F16A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6B9D0316-76BF-4641-B2AE-E32F992E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paragraph" w:styleId="Heading1">
    <w:name w:val="heading 1"/>
    <w:basedOn w:val="Normal"/>
    <w:link w:val="Heading1Char"/>
    <w:uiPriority w:val="9"/>
    <w:qFormat/>
    <w:rsid w:val="009F2589"/>
    <w:pPr>
      <w:ind w:left="200"/>
      <w:outlineLvl w:val="0"/>
    </w:pPr>
    <w:rPr>
      <w:rFonts w:ascii="Arial" w:eastAsia="Arial" w:hAnsi="Arial" w:cs="Arial"/>
      <w:b/>
      <w:bCs/>
      <w:sz w:val="23"/>
      <w:szCs w:val="23"/>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right="99" w:hanging="720"/>
    </w:pPr>
  </w:style>
  <w:style w:type="paragraph" w:customStyle="1" w:styleId="TableParagraph">
    <w:name w:val="Table Paragraph"/>
    <w:basedOn w:val="Normal"/>
    <w:uiPriority w:val="1"/>
    <w:qFormat/>
    <w:pPr>
      <w:ind w:left="1"/>
    </w:pPr>
  </w:style>
  <w:style w:type="paragraph" w:styleId="Header">
    <w:name w:val="header"/>
    <w:basedOn w:val="Normal"/>
    <w:link w:val="HeaderChar"/>
    <w:uiPriority w:val="99"/>
    <w:unhideWhenUsed/>
    <w:rsid w:val="009F2589"/>
    <w:pPr>
      <w:tabs>
        <w:tab w:val="center" w:pos="4513"/>
        <w:tab w:val="right" w:pos="9026"/>
      </w:tabs>
    </w:pPr>
  </w:style>
  <w:style w:type="character" w:customStyle="1" w:styleId="HeaderChar">
    <w:name w:val="Header Char"/>
    <w:basedOn w:val="DefaultParagraphFont"/>
    <w:link w:val="Header"/>
    <w:uiPriority w:val="99"/>
    <w:rsid w:val="009F2589"/>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9F2589"/>
    <w:pPr>
      <w:tabs>
        <w:tab w:val="center" w:pos="4513"/>
        <w:tab w:val="right" w:pos="9026"/>
      </w:tabs>
    </w:pPr>
  </w:style>
  <w:style w:type="character" w:customStyle="1" w:styleId="FooterChar">
    <w:name w:val="Footer Char"/>
    <w:basedOn w:val="DefaultParagraphFont"/>
    <w:link w:val="Footer"/>
    <w:uiPriority w:val="99"/>
    <w:rsid w:val="009F2589"/>
    <w:rPr>
      <w:rFonts w:ascii="Times New Roman" w:eastAsia="Times New Roman" w:hAnsi="Times New Roman" w:cs="Times New Roman"/>
      <w:lang w:val="en-NZ" w:eastAsia="en-NZ" w:bidi="en-NZ"/>
    </w:rPr>
  </w:style>
  <w:style w:type="character" w:customStyle="1" w:styleId="Heading1Char">
    <w:name w:val="Heading 1 Char"/>
    <w:basedOn w:val="DefaultParagraphFont"/>
    <w:link w:val="Heading1"/>
    <w:uiPriority w:val="9"/>
    <w:rsid w:val="009F2589"/>
    <w:rPr>
      <w:rFonts w:ascii="Arial" w:eastAsia="Arial" w:hAnsi="Arial" w:cs="Arial"/>
      <w:b/>
      <w:bCs/>
      <w:sz w:val="23"/>
      <w:szCs w:val="23"/>
    </w:rPr>
  </w:style>
  <w:style w:type="character" w:styleId="Strong">
    <w:name w:val="Strong"/>
    <w:basedOn w:val="DefaultParagraphFont"/>
    <w:uiPriority w:val="22"/>
    <w:qFormat/>
    <w:rsid w:val="00F16AAE"/>
    <w:rPr>
      <w:b/>
      <w:bCs/>
    </w:rPr>
  </w:style>
  <w:style w:type="character" w:styleId="Emphasis">
    <w:name w:val="Emphasis"/>
    <w:basedOn w:val="DefaultParagraphFont"/>
    <w:uiPriority w:val="20"/>
    <w:qFormat/>
    <w:rsid w:val="00CA6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Cabinet Minute - CAB-19-MIN-0176 – Government response to the Tax Working Group (June 2019)</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Minute - CAB-19-MIN-0176 – Government response to the Tax Working Group (June 2019)</dc:title>
  <dc:description/>
  <dcterms:created xsi:type="dcterms:W3CDTF">2019-06-10T04:03:00Z</dcterms:created>
  <dcterms:modified xsi:type="dcterms:W3CDTF">2019-06-10T04:03:00Z</dcterms:modified>
</cp:coreProperties>
</file>