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7B8E5" w14:textId="77777777" w:rsidR="00E00C21" w:rsidRDefault="00E00C21" w:rsidP="00E00C21">
      <w:pPr>
        <w:tabs>
          <w:tab w:val="center" w:pos="5670"/>
        </w:tabs>
      </w:pPr>
      <w:bookmarkStart w:id="0" w:name="_GoBack"/>
      <w:bookmarkEnd w:id="0"/>
      <w:r w:rsidRPr="00A768F4">
        <w:rPr>
          <w:noProof/>
          <w:lang w:eastAsia="en-NZ"/>
        </w:rPr>
        <w:drawing>
          <wp:inline distT="0" distB="0" distL="0" distR="0" wp14:anchorId="2B8DE66E" wp14:editId="7DCDE6A5">
            <wp:extent cx="2383200" cy="666000"/>
            <wp:effectExtent l="0" t="0" r="0" b="1270"/>
            <wp:docPr id="2" name="Picture 2" descr="black_sm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small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3200" cy="666000"/>
                    </a:xfrm>
                    <a:prstGeom prst="rect">
                      <a:avLst/>
                    </a:prstGeom>
                    <a:noFill/>
                    <a:ln>
                      <a:noFill/>
                    </a:ln>
                  </pic:spPr>
                </pic:pic>
              </a:graphicData>
            </a:graphic>
          </wp:inline>
        </w:drawing>
      </w:r>
      <w:r>
        <w:rPr>
          <w:noProof/>
          <w:lang w:eastAsia="en-NZ"/>
        </w:rPr>
        <w:drawing>
          <wp:anchor distT="0" distB="0" distL="114300" distR="114300" simplePos="0" relativeHeight="251659264" behindDoc="1" locked="0" layoutInCell="1" allowOverlap="1" wp14:anchorId="5F163C3B" wp14:editId="731179AC">
            <wp:simplePos x="0" y="0"/>
            <wp:positionH relativeFrom="column">
              <wp:posOffset>4880610</wp:posOffset>
            </wp:positionH>
            <wp:positionV relativeFrom="paragraph">
              <wp:posOffset>3810</wp:posOffset>
            </wp:positionV>
            <wp:extent cx="1233805" cy="1216025"/>
            <wp:effectExtent l="0" t="0" r="4445" b="3175"/>
            <wp:wrapTight wrapText="bothSides">
              <wp:wrapPolygon edited="0">
                <wp:start x="0" y="0"/>
                <wp:lineTo x="0" y="21318"/>
                <wp:lineTo x="21344" y="21318"/>
                <wp:lineTo x="21344" y="0"/>
                <wp:lineTo x="0" y="0"/>
              </wp:wrapPolygon>
            </wp:wrapTight>
            <wp:docPr id="7" name="Picture 7" descr="ts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y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3805" cy="1216025"/>
                    </a:xfrm>
                    <a:prstGeom prst="rect">
                      <a:avLst/>
                    </a:prstGeom>
                    <a:noFill/>
                    <a:ln>
                      <a:noFill/>
                    </a:ln>
                  </pic:spPr>
                </pic:pic>
              </a:graphicData>
            </a:graphic>
          </wp:anchor>
        </w:drawing>
      </w:r>
    </w:p>
    <w:p w14:paraId="6C6D1589" w14:textId="77777777" w:rsidR="00E00C21" w:rsidRDefault="00E00C21" w:rsidP="00E00C21">
      <w:pPr>
        <w:pStyle w:val="PAS-Groupname-Joint"/>
      </w:pPr>
      <w:r w:rsidRPr="00B73500">
        <w:t>POLICY AND STRATEGY</w:t>
      </w:r>
    </w:p>
    <w:p w14:paraId="2FE01BC9" w14:textId="77777777" w:rsidR="00DD623A" w:rsidRPr="001D0013" w:rsidRDefault="00DD623A" w:rsidP="001D0013">
      <w:pPr>
        <w:pStyle w:val="ReportCover-Title"/>
      </w:pPr>
      <w:r w:rsidRPr="001D0013">
        <w:t>Tax policy report:</w:t>
      </w:r>
      <w:r w:rsidRPr="001D0013">
        <w:tab/>
      </w:r>
      <w:bookmarkStart w:id="1" w:name="Subject"/>
      <w:bookmarkStart w:id="2" w:name="_Hlk531179075"/>
      <w:bookmarkEnd w:id="1"/>
      <w:r w:rsidR="003A1455">
        <w:t>Options for taxing the digital economy</w:t>
      </w:r>
      <w:bookmarkEnd w:id="2"/>
    </w:p>
    <w:tbl>
      <w:tblPr>
        <w:tblW w:w="97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1" w:type="dxa"/>
          <w:right w:w="71" w:type="dxa"/>
        </w:tblCellMar>
        <w:tblLook w:val="0000" w:firstRow="0" w:lastRow="0" w:firstColumn="0" w:lastColumn="0" w:noHBand="0" w:noVBand="0"/>
      </w:tblPr>
      <w:tblGrid>
        <w:gridCol w:w="2689"/>
        <w:gridCol w:w="2551"/>
        <w:gridCol w:w="1985"/>
        <w:gridCol w:w="2485"/>
      </w:tblGrid>
      <w:tr w:rsidR="00DD623A" w:rsidRPr="00DD623A" w14:paraId="2089975D" w14:textId="77777777" w:rsidTr="000B2ED1">
        <w:tc>
          <w:tcPr>
            <w:tcW w:w="2689" w:type="dxa"/>
          </w:tcPr>
          <w:p w14:paraId="4396C0F7" w14:textId="77777777" w:rsidR="00DD623A" w:rsidRPr="000B2ED1" w:rsidRDefault="00DD623A" w:rsidP="000B2ED1">
            <w:pPr>
              <w:pStyle w:val="Table-Heading"/>
            </w:pPr>
            <w:r w:rsidRPr="000B2ED1">
              <w:t>Date:</w:t>
            </w:r>
          </w:p>
        </w:tc>
        <w:tc>
          <w:tcPr>
            <w:tcW w:w="2551" w:type="dxa"/>
          </w:tcPr>
          <w:p w14:paraId="0975A07F" w14:textId="77777777" w:rsidR="00DD623A" w:rsidRPr="00705DC2" w:rsidRDefault="003A1455" w:rsidP="00705DC2">
            <w:pPr>
              <w:pStyle w:val="Table-Text"/>
            </w:pPr>
            <w:bookmarkStart w:id="3" w:name="Date"/>
            <w:bookmarkEnd w:id="3"/>
            <w:r w:rsidRPr="0002767A">
              <w:t>1</w:t>
            </w:r>
            <w:r w:rsidR="0098049B" w:rsidRPr="0002767A">
              <w:t>3</w:t>
            </w:r>
            <w:r>
              <w:t xml:space="preserve"> December 2018</w:t>
            </w:r>
          </w:p>
        </w:tc>
        <w:tc>
          <w:tcPr>
            <w:tcW w:w="1985" w:type="dxa"/>
          </w:tcPr>
          <w:p w14:paraId="009AD6AC" w14:textId="77777777" w:rsidR="00DD623A" w:rsidRPr="000B2ED1" w:rsidRDefault="00DD623A" w:rsidP="000B2ED1">
            <w:pPr>
              <w:pStyle w:val="Table-Heading"/>
            </w:pPr>
            <w:r w:rsidRPr="000B2ED1">
              <w:t>Priority:</w:t>
            </w:r>
          </w:p>
        </w:tc>
        <w:tc>
          <w:tcPr>
            <w:tcW w:w="2485" w:type="dxa"/>
          </w:tcPr>
          <w:bookmarkStart w:id="4" w:name="Priority" w:displacedByCustomXml="next"/>
          <w:bookmarkEnd w:id="4" w:displacedByCustomXml="next"/>
          <w:sdt>
            <w:sdtPr>
              <w:alias w:val="Report Priority"/>
              <w:tag w:val="Report Priority"/>
              <w:id w:val="-277869482"/>
              <w:placeholder>
                <w:docPart w:val="1B50A042F21C446A9CF448BDAA43940D"/>
              </w:placeholder>
              <w:dropDownList>
                <w:listItem w:value="[Choose a report priority]"/>
                <w:listItem w:displayText="Low" w:value="Low"/>
                <w:listItem w:displayText="Medium" w:value="Medium"/>
                <w:listItem w:displayText="High" w:value="High"/>
              </w:dropDownList>
            </w:sdtPr>
            <w:sdtEndPr/>
            <w:sdtContent>
              <w:p w14:paraId="4F2A303E" w14:textId="77777777" w:rsidR="00DD623A" w:rsidRPr="00705DC2" w:rsidRDefault="003A1455" w:rsidP="00C44EDE">
                <w:pPr>
                  <w:pStyle w:val="Table-Text"/>
                </w:pPr>
                <w:r>
                  <w:t>Medium</w:t>
                </w:r>
              </w:p>
            </w:sdtContent>
          </w:sdt>
        </w:tc>
      </w:tr>
      <w:tr w:rsidR="00DD623A" w:rsidRPr="00DD623A" w14:paraId="527B1844" w14:textId="77777777" w:rsidTr="000B2ED1">
        <w:tc>
          <w:tcPr>
            <w:tcW w:w="2689" w:type="dxa"/>
          </w:tcPr>
          <w:p w14:paraId="59808BBF" w14:textId="77777777" w:rsidR="00DD623A" w:rsidRPr="000B2ED1" w:rsidRDefault="00DD623A" w:rsidP="000B2ED1">
            <w:pPr>
              <w:pStyle w:val="Table-Heading"/>
            </w:pPr>
            <w:r w:rsidRPr="000B2ED1">
              <w:t>Security level:</w:t>
            </w:r>
          </w:p>
        </w:tc>
        <w:tc>
          <w:tcPr>
            <w:tcW w:w="2551" w:type="dxa"/>
          </w:tcPr>
          <w:p w14:paraId="337E0ABC" w14:textId="77777777" w:rsidR="009B5A86" w:rsidRPr="00DD623A" w:rsidRDefault="003A1455" w:rsidP="00C44EDE">
            <w:pPr>
              <w:pStyle w:val="Table-Text"/>
            </w:pPr>
            <w:bookmarkStart w:id="5" w:name="Security"/>
            <w:bookmarkEnd w:id="5"/>
            <w:r>
              <w:t>In Confidence</w:t>
            </w:r>
          </w:p>
        </w:tc>
        <w:tc>
          <w:tcPr>
            <w:tcW w:w="1985" w:type="dxa"/>
          </w:tcPr>
          <w:p w14:paraId="056E9ACD" w14:textId="77777777" w:rsidR="00DD623A" w:rsidRPr="000B2ED1" w:rsidRDefault="00DD623A" w:rsidP="000B2ED1">
            <w:pPr>
              <w:pStyle w:val="Table-Heading"/>
            </w:pPr>
            <w:r w:rsidRPr="000B2ED1">
              <w:t>Report number:</w:t>
            </w:r>
          </w:p>
        </w:tc>
        <w:tc>
          <w:tcPr>
            <w:tcW w:w="2485" w:type="dxa"/>
          </w:tcPr>
          <w:p w14:paraId="7F356F67" w14:textId="33C16963" w:rsidR="00DD623A" w:rsidRPr="003F30D8" w:rsidRDefault="003F30D8" w:rsidP="00705DC2">
            <w:pPr>
              <w:pStyle w:val="Table-Text"/>
            </w:pPr>
            <w:bookmarkStart w:id="6" w:name="ReportPad"/>
            <w:bookmarkEnd w:id="6"/>
            <w:r w:rsidRPr="003F30D8">
              <w:t xml:space="preserve">T2018/3710 </w:t>
            </w:r>
            <w:r w:rsidR="00A4193B" w:rsidRPr="003F30D8">
              <w:t>IR2018</w:t>
            </w:r>
            <w:r w:rsidR="00DD623A" w:rsidRPr="003F30D8">
              <w:t>/</w:t>
            </w:r>
            <w:r w:rsidRPr="003F30D8">
              <w:t>801</w:t>
            </w:r>
          </w:p>
          <w:p w14:paraId="3FFFC6D1" w14:textId="3ECBC6A3" w:rsidR="00B3357D" w:rsidRPr="00705DC2" w:rsidRDefault="00B3357D" w:rsidP="00705DC2">
            <w:pPr>
              <w:pStyle w:val="Table-Text"/>
            </w:pPr>
          </w:p>
        </w:tc>
      </w:tr>
    </w:tbl>
    <w:p w14:paraId="575EC876" w14:textId="77777777" w:rsidR="00DD623A" w:rsidRPr="00DD623A" w:rsidRDefault="00DD623A" w:rsidP="00A364AA">
      <w:pPr>
        <w:pStyle w:val="ReportCover-Heading"/>
        <w:rPr>
          <w:lang w:eastAsia="en-AU"/>
        </w:rPr>
      </w:pPr>
      <w:r w:rsidRPr="00DD623A">
        <w:rPr>
          <w:lang w:eastAsia="en-AU"/>
        </w:rPr>
        <w:t>Action sought</w:t>
      </w:r>
    </w:p>
    <w:tbl>
      <w:tblPr>
        <w:tblW w:w="9710" w:type="dxa"/>
        <w:tblLayout w:type="fixed"/>
        <w:tblCellMar>
          <w:left w:w="71" w:type="dxa"/>
          <w:right w:w="71" w:type="dxa"/>
        </w:tblCellMar>
        <w:tblLook w:val="0000" w:firstRow="0" w:lastRow="0" w:firstColumn="0" w:lastColumn="0" w:noHBand="0" w:noVBand="0"/>
      </w:tblPr>
      <w:tblGrid>
        <w:gridCol w:w="2694"/>
        <w:gridCol w:w="4536"/>
        <w:gridCol w:w="2480"/>
      </w:tblGrid>
      <w:tr w:rsidR="00DD623A" w:rsidRPr="000B2ED1" w14:paraId="3F798554" w14:textId="77777777" w:rsidTr="000B2ED1">
        <w:tc>
          <w:tcPr>
            <w:tcW w:w="2694" w:type="dxa"/>
          </w:tcPr>
          <w:p w14:paraId="6A3D35F3" w14:textId="77777777" w:rsidR="00DD623A" w:rsidRPr="000B2ED1" w:rsidRDefault="00DD623A" w:rsidP="000B2ED1">
            <w:pPr>
              <w:pStyle w:val="Table-Heading"/>
            </w:pPr>
          </w:p>
        </w:tc>
        <w:tc>
          <w:tcPr>
            <w:tcW w:w="4536" w:type="dxa"/>
            <w:tcBorders>
              <w:left w:val="nil"/>
            </w:tcBorders>
          </w:tcPr>
          <w:p w14:paraId="494B985F" w14:textId="77777777" w:rsidR="00DD623A" w:rsidRPr="000B2ED1" w:rsidRDefault="00DD623A" w:rsidP="000B2ED1">
            <w:pPr>
              <w:pStyle w:val="Table-Heading"/>
            </w:pPr>
            <w:r w:rsidRPr="000B2ED1">
              <w:t>Action sought</w:t>
            </w:r>
          </w:p>
        </w:tc>
        <w:tc>
          <w:tcPr>
            <w:tcW w:w="2480" w:type="dxa"/>
          </w:tcPr>
          <w:p w14:paraId="74216055" w14:textId="77777777" w:rsidR="00DD623A" w:rsidRPr="000B2ED1" w:rsidRDefault="00DD623A" w:rsidP="000B2ED1">
            <w:pPr>
              <w:pStyle w:val="Table-Heading"/>
            </w:pPr>
            <w:r w:rsidRPr="000B2ED1">
              <w:t>Deadline</w:t>
            </w:r>
          </w:p>
        </w:tc>
      </w:tr>
      <w:tr w:rsidR="008331C2" w:rsidRPr="00D6363A" w14:paraId="2E580426" w14:textId="77777777" w:rsidTr="00425E5D">
        <w:tc>
          <w:tcPr>
            <w:tcW w:w="2694" w:type="dxa"/>
            <w:tcBorders>
              <w:top w:val="single" w:sz="4" w:space="0" w:color="808080"/>
              <w:left w:val="single" w:sz="4" w:space="0" w:color="808080"/>
              <w:bottom w:val="single" w:sz="4" w:space="0" w:color="808080"/>
              <w:right w:val="single" w:sz="4" w:space="0" w:color="808080"/>
            </w:tcBorders>
          </w:tcPr>
          <w:p w14:paraId="33FCC973" w14:textId="77777777" w:rsidR="008331C2" w:rsidRPr="00D6363A" w:rsidRDefault="008331C2" w:rsidP="00425E5D">
            <w:pPr>
              <w:pStyle w:val="Table-Text"/>
            </w:pPr>
            <w:r w:rsidRPr="00D6363A">
              <w:t xml:space="preserve">Minister of </w:t>
            </w:r>
            <w:r>
              <w:t>Finance</w:t>
            </w:r>
          </w:p>
        </w:tc>
        <w:tc>
          <w:tcPr>
            <w:tcW w:w="4536" w:type="dxa"/>
            <w:tcBorders>
              <w:top w:val="single" w:sz="4" w:space="0" w:color="808080"/>
              <w:left w:val="single" w:sz="4" w:space="0" w:color="808080"/>
              <w:bottom w:val="single" w:sz="4" w:space="0" w:color="808080"/>
              <w:right w:val="single" w:sz="4" w:space="0" w:color="808080"/>
            </w:tcBorders>
          </w:tcPr>
          <w:p w14:paraId="03C903C4" w14:textId="77777777" w:rsidR="008331C2" w:rsidRPr="00D6363A" w:rsidRDefault="008331C2" w:rsidP="00425E5D">
            <w:pPr>
              <w:pStyle w:val="Table-Text"/>
            </w:pPr>
            <w:r w:rsidRPr="00705DC2">
              <w:rPr>
                <w:rStyle w:val="Strong"/>
              </w:rPr>
              <w:t>Agree</w:t>
            </w:r>
            <w:r w:rsidRPr="00D6363A">
              <w:t xml:space="preserve"> to recommendations</w:t>
            </w:r>
          </w:p>
          <w:p w14:paraId="51A23884" w14:textId="77777777" w:rsidR="008331C2" w:rsidRPr="00D6363A" w:rsidRDefault="008331C2" w:rsidP="00425E5D">
            <w:pPr>
              <w:pStyle w:val="Table-Text"/>
            </w:pPr>
            <w:r w:rsidRPr="00705DC2">
              <w:rPr>
                <w:rStyle w:val="Strong"/>
              </w:rPr>
              <w:t>Note</w:t>
            </w:r>
            <w:r w:rsidRPr="00D6363A">
              <w:t xml:space="preserve"> the contents of this report</w:t>
            </w:r>
          </w:p>
          <w:p w14:paraId="575EF046" w14:textId="77777777" w:rsidR="008331C2" w:rsidRPr="00D6363A" w:rsidRDefault="008331C2" w:rsidP="00425E5D">
            <w:pPr>
              <w:pStyle w:val="Table-Text"/>
            </w:pPr>
          </w:p>
        </w:tc>
        <w:tc>
          <w:tcPr>
            <w:tcW w:w="2480" w:type="dxa"/>
            <w:tcBorders>
              <w:top w:val="single" w:sz="4" w:space="0" w:color="808080"/>
              <w:left w:val="single" w:sz="4" w:space="0" w:color="808080"/>
              <w:bottom w:val="single" w:sz="4" w:space="0" w:color="808080"/>
              <w:right w:val="single" w:sz="4" w:space="0" w:color="808080"/>
            </w:tcBorders>
          </w:tcPr>
          <w:p w14:paraId="7034A2D7" w14:textId="77777777" w:rsidR="008331C2" w:rsidRPr="00D6363A" w:rsidRDefault="003A1455" w:rsidP="00425E5D">
            <w:pPr>
              <w:pStyle w:val="Table-Text"/>
            </w:pPr>
            <w:r>
              <w:t>18 December</w:t>
            </w:r>
            <w:r w:rsidR="008331C2">
              <w:t xml:space="preserve"> </w:t>
            </w:r>
            <w:r>
              <w:t>2018</w:t>
            </w:r>
          </w:p>
        </w:tc>
      </w:tr>
      <w:tr w:rsidR="00DD623A" w:rsidRPr="00D6363A" w14:paraId="0A09B8DE" w14:textId="77777777" w:rsidTr="000B2ED1">
        <w:tc>
          <w:tcPr>
            <w:tcW w:w="2694" w:type="dxa"/>
            <w:tcBorders>
              <w:top w:val="single" w:sz="4" w:space="0" w:color="808080"/>
              <w:left w:val="single" w:sz="4" w:space="0" w:color="808080"/>
              <w:bottom w:val="single" w:sz="4" w:space="0" w:color="808080"/>
              <w:right w:val="single" w:sz="4" w:space="0" w:color="808080"/>
            </w:tcBorders>
          </w:tcPr>
          <w:p w14:paraId="01A3EAF8" w14:textId="77777777" w:rsidR="00DD623A" w:rsidRPr="00D6363A" w:rsidRDefault="00DD623A" w:rsidP="00D6363A">
            <w:pPr>
              <w:pStyle w:val="Table-Text"/>
            </w:pPr>
            <w:r w:rsidRPr="00D6363A">
              <w:t>Minister of Revenue</w:t>
            </w:r>
          </w:p>
        </w:tc>
        <w:tc>
          <w:tcPr>
            <w:tcW w:w="4536" w:type="dxa"/>
            <w:tcBorders>
              <w:top w:val="single" w:sz="4" w:space="0" w:color="808080"/>
              <w:left w:val="single" w:sz="4" w:space="0" w:color="808080"/>
              <w:bottom w:val="single" w:sz="4" w:space="0" w:color="808080"/>
              <w:right w:val="single" w:sz="4" w:space="0" w:color="808080"/>
            </w:tcBorders>
          </w:tcPr>
          <w:p w14:paraId="0879D250" w14:textId="77777777" w:rsidR="00705DC2" w:rsidRPr="00D6363A" w:rsidRDefault="00705DC2" w:rsidP="00705DC2">
            <w:pPr>
              <w:pStyle w:val="Table-Text"/>
            </w:pPr>
            <w:r w:rsidRPr="00705DC2">
              <w:rPr>
                <w:rStyle w:val="Strong"/>
              </w:rPr>
              <w:t>Agree</w:t>
            </w:r>
            <w:r w:rsidRPr="00D6363A">
              <w:t xml:space="preserve"> to recommendations</w:t>
            </w:r>
          </w:p>
          <w:p w14:paraId="4485EC9A" w14:textId="77777777" w:rsidR="00DD623A" w:rsidRPr="00D6363A" w:rsidRDefault="00DD623A" w:rsidP="00D6363A">
            <w:pPr>
              <w:pStyle w:val="Table-Text"/>
            </w:pPr>
            <w:r w:rsidRPr="00705DC2">
              <w:rPr>
                <w:rStyle w:val="Strong"/>
              </w:rPr>
              <w:t>Note</w:t>
            </w:r>
            <w:r w:rsidRPr="00D6363A">
              <w:t xml:space="preserve"> the contents of this report</w:t>
            </w:r>
          </w:p>
          <w:p w14:paraId="60D2B55C" w14:textId="77777777" w:rsidR="00DD623A" w:rsidRPr="00D6363A" w:rsidRDefault="00DD623A" w:rsidP="00D6363A">
            <w:pPr>
              <w:pStyle w:val="Table-Text"/>
            </w:pPr>
          </w:p>
        </w:tc>
        <w:tc>
          <w:tcPr>
            <w:tcW w:w="2480" w:type="dxa"/>
            <w:tcBorders>
              <w:top w:val="single" w:sz="4" w:space="0" w:color="808080"/>
              <w:left w:val="single" w:sz="4" w:space="0" w:color="808080"/>
              <w:bottom w:val="single" w:sz="4" w:space="0" w:color="808080"/>
              <w:right w:val="single" w:sz="4" w:space="0" w:color="808080"/>
            </w:tcBorders>
          </w:tcPr>
          <w:p w14:paraId="0E8471AD" w14:textId="77777777" w:rsidR="00DD623A" w:rsidRPr="00D6363A" w:rsidRDefault="003A1455" w:rsidP="00D6363A">
            <w:pPr>
              <w:pStyle w:val="Table-Text"/>
            </w:pPr>
            <w:r>
              <w:t>18 December 2018</w:t>
            </w:r>
          </w:p>
        </w:tc>
      </w:tr>
    </w:tbl>
    <w:p w14:paraId="3205C6E9" w14:textId="77777777" w:rsidR="00DD623A" w:rsidRPr="00DD623A" w:rsidRDefault="00DD623A" w:rsidP="00A364AA">
      <w:pPr>
        <w:pStyle w:val="ReportCover-Heading"/>
        <w:rPr>
          <w:lang w:eastAsia="en-AU"/>
        </w:rPr>
      </w:pPr>
      <w:r w:rsidRPr="00DD623A">
        <w:rPr>
          <w:lang w:eastAsia="en-AU"/>
        </w:rPr>
        <w:t>Contact for telephone discussion (if required)</w:t>
      </w:r>
    </w:p>
    <w:tbl>
      <w:tblPr>
        <w:tblW w:w="9710"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694"/>
        <w:gridCol w:w="3260"/>
        <w:gridCol w:w="3756"/>
      </w:tblGrid>
      <w:tr w:rsidR="00DD623A" w:rsidRPr="000B2ED1" w14:paraId="32889E70" w14:textId="77777777" w:rsidTr="0058104D">
        <w:trPr>
          <w:cantSplit/>
        </w:trPr>
        <w:tc>
          <w:tcPr>
            <w:tcW w:w="2694" w:type="dxa"/>
            <w:tcBorders>
              <w:top w:val="nil"/>
              <w:left w:val="nil"/>
              <w:bottom w:val="nil"/>
              <w:right w:val="nil"/>
            </w:tcBorders>
          </w:tcPr>
          <w:p w14:paraId="22AC9D35" w14:textId="77777777" w:rsidR="00DD623A" w:rsidRPr="000B2ED1" w:rsidRDefault="00DD623A" w:rsidP="000B2ED1">
            <w:pPr>
              <w:pStyle w:val="Table-Heading"/>
            </w:pPr>
            <w:r w:rsidRPr="000B2ED1">
              <w:t>Name</w:t>
            </w:r>
          </w:p>
        </w:tc>
        <w:tc>
          <w:tcPr>
            <w:tcW w:w="3260" w:type="dxa"/>
            <w:tcBorders>
              <w:top w:val="nil"/>
              <w:left w:val="nil"/>
              <w:bottom w:val="nil"/>
              <w:right w:val="nil"/>
            </w:tcBorders>
          </w:tcPr>
          <w:p w14:paraId="5317B572" w14:textId="77777777" w:rsidR="00DD623A" w:rsidRPr="000B2ED1" w:rsidRDefault="00DD623A" w:rsidP="000B2ED1">
            <w:pPr>
              <w:pStyle w:val="Table-Heading"/>
            </w:pPr>
            <w:r w:rsidRPr="000B2ED1">
              <w:t>Position</w:t>
            </w:r>
          </w:p>
        </w:tc>
        <w:tc>
          <w:tcPr>
            <w:tcW w:w="3756" w:type="dxa"/>
            <w:tcBorders>
              <w:top w:val="nil"/>
              <w:left w:val="nil"/>
              <w:bottom w:val="single" w:sz="4" w:space="0" w:color="auto"/>
              <w:right w:val="nil"/>
            </w:tcBorders>
          </w:tcPr>
          <w:p w14:paraId="4F98C349" w14:textId="77777777" w:rsidR="00DD623A" w:rsidRPr="000B2ED1" w:rsidRDefault="00DD623A" w:rsidP="000B2ED1">
            <w:pPr>
              <w:pStyle w:val="Table-Heading"/>
            </w:pPr>
            <w:r w:rsidRPr="000B2ED1">
              <w:t>Telephone</w:t>
            </w:r>
          </w:p>
        </w:tc>
      </w:tr>
      <w:tr w:rsidR="00DD623A" w:rsidRPr="009B5A86" w14:paraId="7D4CB5D2" w14:textId="77777777" w:rsidTr="0058104D">
        <w:tc>
          <w:tcPr>
            <w:tcW w:w="2694" w:type="dxa"/>
            <w:tcBorders>
              <w:top w:val="single" w:sz="4" w:space="0" w:color="808080"/>
              <w:left w:val="single" w:sz="4" w:space="0" w:color="808080"/>
              <w:bottom w:val="single" w:sz="4" w:space="0" w:color="808080"/>
              <w:right w:val="single" w:sz="4" w:space="0" w:color="808080"/>
            </w:tcBorders>
          </w:tcPr>
          <w:p w14:paraId="3E32FD23" w14:textId="77777777" w:rsidR="00DD623A" w:rsidRPr="009B5A86" w:rsidRDefault="00E751DB" w:rsidP="009B5A86">
            <w:pPr>
              <w:pStyle w:val="Table-Text"/>
            </w:pPr>
            <w:bookmarkStart w:id="7" w:name="Name1"/>
            <w:bookmarkEnd w:id="7"/>
            <w:r>
              <w:t>Carmel Peters</w:t>
            </w:r>
          </w:p>
        </w:tc>
        <w:tc>
          <w:tcPr>
            <w:tcW w:w="3260" w:type="dxa"/>
            <w:tcBorders>
              <w:top w:val="single" w:sz="4" w:space="0" w:color="808080"/>
              <w:left w:val="single" w:sz="4" w:space="0" w:color="808080"/>
              <w:bottom w:val="single" w:sz="4" w:space="0" w:color="808080"/>
              <w:right w:val="single" w:sz="4" w:space="0" w:color="auto"/>
            </w:tcBorders>
          </w:tcPr>
          <w:p w14:paraId="4526085F" w14:textId="77777777" w:rsidR="00DD623A" w:rsidRPr="009B5A86" w:rsidRDefault="00E751DB" w:rsidP="009B5A86">
            <w:pPr>
              <w:pStyle w:val="Table-Text"/>
            </w:pPr>
            <w:bookmarkStart w:id="8" w:name="Pos1"/>
            <w:bookmarkEnd w:id="8"/>
            <w:r>
              <w:t>Policy Manager</w:t>
            </w:r>
            <w:r w:rsidR="0072393E">
              <w:t>, I</w:t>
            </w:r>
            <w:r w:rsidR="00065ADD">
              <w:t>nland Revenue</w:t>
            </w:r>
          </w:p>
        </w:tc>
        <w:tc>
          <w:tcPr>
            <w:tcW w:w="3756" w:type="dxa"/>
            <w:tcBorders>
              <w:top w:val="single" w:sz="4" w:space="0" w:color="auto"/>
              <w:left w:val="single" w:sz="4" w:space="0" w:color="auto"/>
              <w:bottom w:val="nil"/>
              <w:right w:val="single" w:sz="4" w:space="0" w:color="auto"/>
            </w:tcBorders>
            <w:shd w:val="clear" w:color="auto" w:fill="BFBFBF" w:themeFill="background1" w:themeFillShade="BF"/>
          </w:tcPr>
          <w:p w14:paraId="39DA1217" w14:textId="0FC582C9" w:rsidR="00DD623A" w:rsidRDefault="0058104D" w:rsidP="009B5A86">
            <w:pPr>
              <w:pStyle w:val="Table-Text"/>
            </w:pPr>
            <w:bookmarkStart w:id="9" w:name="Direct1"/>
            <w:bookmarkStart w:id="10" w:name="Mobile1"/>
            <w:bookmarkEnd w:id="9"/>
            <w:bookmarkEnd w:id="10"/>
            <w:r>
              <w:t>s 9(2)(a)</w:t>
            </w:r>
          </w:p>
          <w:p w14:paraId="51CB3F6A" w14:textId="29FF151F" w:rsidR="0058104D" w:rsidRPr="009B5A86" w:rsidRDefault="0058104D" w:rsidP="009B5A86">
            <w:pPr>
              <w:pStyle w:val="Table-Text"/>
            </w:pPr>
          </w:p>
        </w:tc>
      </w:tr>
      <w:tr w:rsidR="00445D19" w:rsidRPr="009B5A86" w14:paraId="6BB05708" w14:textId="77777777" w:rsidTr="0058104D">
        <w:tc>
          <w:tcPr>
            <w:tcW w:w="2694" w:type="dxa"/>
            <w:tcBorders>
              <w:top w:val="single" w:sz="4" w:space="0" w:color="808080"/>
              <w:left w:val="single" w:sz="4" w:space="0" w:color="808080"/>
              <w:bottom w:val="single" w:sz="4" w:space="0" w:color="808080"/>
              <w:right w:val="single" w:sz="4" w:space="0" w:color="808080"/>
            </w:tcBorders>
          </w:tcPr>
          <w:p w14:paraId="02E84436" w14:textId="77777777" w:rsidR="00445D19" w:rsidRPr="009B5A86" w:rsidRDefault="00E751DB" w:rsidP="00445D19">
            <w:pPr>
              <w:pStyle w:val="Table-Text"/>
            </w:pPr>
            <w:bookmarkStart w:id="11" w:name="Name2"/>
            <w:bookmarkEnd w:id="11"/>
            <w:r>
              <w:t xml:space="preserve">Sam Rowe </w:t>
            </w:r>
          </w:p>
        </w:tc>
        <w:tc>
          <w:tcPr>
            <w:tcW w:w="3260" w:type="dxa"/>
            <w:tcBorders>
              <w:top w:val="single" w:sz="4" w:space="0" w:color="808080"/>
              <w:left w:val="single" w:sz="4" w:space="0" w:color="808080"/>
              <w:bottom w:val="single" w:sz="4" w:space="0" w:color="808080"/>
              <w:right w:val="single" w:sz="4" w:space="0" w:color="auto"/>
            </w:tcBorders>
          </w:tcPr>
          <w:p w14:paraId="238D761B" w14:textId="77777777" w:rsidR="00445D19" w:rsidRPr="009B5A86" w:rsidRDefault="001E04A3" w:rsidP="00445D19">
            <w:pPr>
              <w:pStyle w:val="Table-Text"/>
            </w:pPr>
            <w:bookmarkStart w:id="12" w:name="Pos2"/>
            <w:bookmarkEnd w:id="12"/>
            <w:r>
              <w:t>Senior Policy Advisor</w:t>
            </w:r>
            <w:r w:rsidR="00065ADD">
              <w:t xml:space="preserve">, </w:t>
            </w:r>
            <w:r w:rsidR="00065ADD" w:rsidRPr="00065ADD">
              <w:t>Inland Revenue</w:t>
            </w:r>
          </w:p>
        </w:tc>
        <w:tc>
          <w:tcPr>
            <w:tcW w:w="3756" w:type="dxa"/>
            <w:tcBorders>
              <w:top w:val="nil"/>
              <w:left w:val="single" w:sz="4" w:space="0" w:color="auto"/>
              <w:bottom w:val="nil"/>
              <w:right w:val="single" w:sz="4" w:space="0" w:color="auto"/>
            </w:tcBorders>
            <w:shd w:val="clear" w:color="auto" w:fill="BFBFBF" w:themeFill="background1" w:themeFillShade="BF"/>
          </w:tcPr>
          <w:p w14:paraId="644EAED9" w14:textId="77777777" w:rsidR="00445D19" w:rsidRDefault="00445D19" w:rsidP="00445D19">
            <w:pPr>
              <w:pStyle w:val="Table-Text"/>
            </w:pPr>
            <w:bookmarkStart w:id="13" w:name="Direct2"/>
            <w:bookmarkEnd w:id="13"/>
          </w:p>
          <w:p w14:paraId="50A882D7" w14:textId="502CDE08" w:rsidR="0058104D" w:rsidRPr="009B5A86" w:rsidRDefault="0058104D" w:rsidP="00445D19">
            <w:pPr>
              <w:pStyle w:val="Table-Text"/>
            </w:pPr>
          </w:p>
        </w:tc>
      </w:tr>
      <w:tr w:rsidR="00A41992" w:rsidRPr="009B5A86" w14:paraId="39AA8B03" w14:textId="77777777" w:rsidTr="0058104D">
        <w:tc>
          <w:tcPr>
            <w:tcW w:w="2694" w:type="dxa"/>
            <w:tcBorders>
              <w:top w:val="single" w:sz="4" w:space="0" w:color="808080"/>
              <w:left w:val="single" w:sz="4" w:space="0" w:color="808080"/>
              <w:bottom w:val="single" w:sz="4" w:space="0" w:color="808080"/>
              <w:right w:val="single" w:sz="4" w:space="0" w:color="808080"/>
            </w:tcBorders>
          </w:tcPr>
          <w:p w14:paraId="4D671EDA" w14:textId="148BE2DA" w:rsidR="00A41992" w:rsidRDefault="00A41992" w:rsidP="00445D19">
            <w:pPr>
              <w:pStyle w:val="Table-Text"/>
            </w:pPr>
            <w:r>
              <w:t>Matthew Gan</w:t>
            </w:r>
          </w:p>
        </w:tc>
        <w:tc>
          <w:tcPr>
            <w:tcW w:w="3260" w:type="dxa"/>
            <w:tcBorders>
              <w:top w:val="single" w:sz="4" w:space="0" w:color="808080"/>
              <w:left w:val="single" w:sz="4" w:space="0" w:color="808080"/>
              <w:bottom w:val="single" w:sz="4" w:space="0" w:color="808080"/>
              <w:right w:val="single" w:sz="4" w:space="0" w:color="auto"/>
            </w:tcBorders>
          </w:tcPr>
          <w:p w14:paraId="08177C1F" w14:textId="3C0CA5F2" w:rsidR="00A41992" w:rsidRDefault="00A41992" w:rsidP="00445D19">
            <w:pPr>
              <w:pStyle w:val="Table-Text"/>
            </w:pPr>
            <w:r>
              <w:t>Tax Specialist, The Treasury</w:t>
            </w:r>
          </w:p>
        </w:tc>
        <w:tc>
          <w:tcPr>
            <w:tcW w:w="3756" w:type="dxa"/>
            <w:tcBorders>
              <w:top w:val="nil"/>
              <w:left w:val="single" w:sz="4" w:space="0" w:color="auto"/>
              <w:bottom w:val="single" w:sz="4" w:space="0" w:color="auto"/>
              <w:right w:val="single" w:sz="4" w:space="0" w:color="auto"/>
            </w:tcBorders>
            <w:shd w:val="clear" w:color="auto" w:fill="BFBFBF" w:themeFill="background1" w:themeFillShade="BF"/>
          </w:tcPr>
          <w:p w14:paraId="08016C75" w14:textId="6D6923A0" w:rsidR="00A41992" w:rsidRDefault="00A41992" w:rsidP="00445D19">
            <w:pPr>
              <w:pStyle w:val="Table-Text"/>
            </w:pPr>
          </w:p>
        </w:tc>
      </w:tr>
    </w:tbl>
    <w:p w14:paraId="6707C172" w14:textId="77777777" w:rsidR="00D6363A" w:rsidRPr="00891517" w:rsidRDefault="00D6363A" w:rsidP="00891517">
      <w:pPr>
        <w:sectPr w:rsidR="00D6363A" w:rsidRPr="00891517" w:rsidSect="00A364AA">
          <w:footerReference w:type="default" r:id="rId10"/>
          <w:pgSz w:w="11906" w:h="16838"/>
          <w:pgMar w:top="1134" w:right="1134" w:bottom="1134" w:left="1134" w:header="709" w:footer="709" w:gutter="0"/>
          <w:cols w:space="708"/>
          <w:docGrid w:linePitch="360"/>
        </w:sectPr>
      </w:pPr>
    </w:p>
    <w:p w14:paraId="2F950FDA" w14:textId="77777777" w:rsidR="005B202F" w:rsidRDefault="00EA48BF">
      <w:r w:rsidRPr="0002767A">
        <w:lastRenderedPageBreak/>
        <w:t>13</w:t>
      </w:r>
      <w:r>
        <w:t xml:space="preserve"> December 2018</w:t>
      </w:r>
    </w:p>
    <w:p w14:paraId="048DE515" w14:textId="77777777" w:rsidR="00811AC6" w:rsidRDefault="00811AC6"/>
    <w:p w14:paraId="529A03A9" w14:textId="77777777" w:rsidR="00811AC6" w:rsidRDefault="00811AC6">
      <w:r>
        <w:t>Minister of Finance</w:t>
      </w:r>
    </w:p>
    <w:p w14:paraId="798B4A99" w14:textId="77777777" w:rsidR="00811AC6" w:rsidRDefault="00811AC6">
      <w:r>
        <w:t>Minister of Revenue</w:t>
      </w:r>
    </w:p>
    <w:p w14:paraId="6FB9D879" w14:textId="77777777" w:rsidR="00811AC6" w:rsidRDefault="00EA48BF" w:rsidP="006742B5">
      <w:pPr>
        <w:pStyle w:val="Report-Title"/>
      </w:pPr>
      <w:r>
        <w:t>Options for taxing the digital economy</w:t>
      </w:r>
    </w:p>
    <w:p w14:paraId="47B294C4" w14:textId="77777777" w:rsidR="00811AC6" w:rsidRPr="003C2FA4" w:rsidRDefault="00811AC6" w:rsidP="003C2FA4">
      <w:pPr>
        <w:pStyle w:val="Heading1"/>
      </w:pPr>
      <w:r w:rsidRPr="003C2FA4">
        <w:t>Executive summary</w:t>
      </w:r>
    </w:p>
    <w:p w14:paraId="2901F1F4" w14:textId="717542E0" w:rsidR="00811AC6" w:rsidRDefault="00EA48BF" w:rsidP="005531B0">
      <w:pPr>
        <w:pStyle w:val="NumberedParagraph"/>
      </w:pPr>
      <w:r>
        <w:t>The purpose of this report is to advise Minsters on options for taxing the digital economy</w:t>
      </w:r>
      <w:r w:rsidR="00AE2C80">
        <w:t>, and in particular</w:t>
      </w:r>
      <w:r w:rsidR="00A83F40">
        <w:t>,</w:t>
      </w:r>
      <w:r w:rsidR="00AE2C80">
        <w:t xml:space="preserve"> </w:t>
      </w:r>
      <w:r>
        <w:t>whether New Zealand should adopt a digital services tax</w:t>
      </w:r>
      <w:r w:rsidR="00590CB9">
        <w:t xml:space="preserve"> (DST)</w:t>
      </w:r>
      <w:r>
        <w:t xml:space="preserve">.    </w:t>
      </w:r>
    </w:p>
    <w:p w14:paraId="4AABF3CF" w14:textId="6D1E3DE8" w:rsidR="00FF600A" w:rsidRDefault="00FF600A" w:rsidP="00FF600A">
      <w:pPr>
        <w:pStyle w:val="NumberedParagraph"/>
      </w:pPr>
      <w:r>
        <w:t xml:space="preserve">There has been significant international concern over the ability of highly digitalised companies to derive significant income from a country without being liable for income tax there.  </w:t>
      </w:r>
      <w:r w:rsidR="00D53F58">
        <w:t>This is mostly caused by deficiencies in the current international tax framework, which has not kept up with digitalisation and other modern business developments.</w:t>
      </w:r>
      <w:r w:rsidR="00FF38AB">
        <w:t xml:space="preserve">  This under-taxation of the digital economy threatens the sustainability of Government revenues and public perceptions of the fairness of the tax system.  It also provides a competitive advantage to overseas digital companies compared to local businesses, which are subject to full income tax.</w:t>
      </w:r>
    </w:p>
    <w:p w14:paraId="2F6BA1A5" w14:textId="03269DB4" w:rsidR="00A63460" w:rsidRDefault="006266F5" w:rsidP="00A63460">
      <w:pPr>
        <w:pStyle w:val="NumberedParagraph"/>
      </w:pPr>
      <w:r>
        <w:t xml:space="preserve">We </w:t>
      </w:r>
      <w:r w:rsidR="00CF4F3E">
        <w:t>currently consider</w:t>
      </w:r>
      <w:r>
        <w:t xml:space="preserve"> </w:t>
      </w:r>
      <w:r w:rsidR="00065ADD">
        <w:t xml:space="preserve">that </w:t>
      </w:r>
      <w:r>
        <w:t xml:space="preserve">changing the international tax </w:t>
      </w:r>
      <w:r w:rsidR="00CF4F3E">
        <w:t>framework is the best option</w:t>
      </w:r>
      <w:r w:rsidR="00FF600A">
        <w:t xml:space="preserve"> </w:t>
      </w:r>
      <w:r w:rsidR="00AE2C80">
        <w:t>for</w:t>
      </w:r>
      <w:r w:rsidR="00FF600A">
        <w:t xml:space="preserve"> </w:t>
      </w:r>
      <w:r w:rsidR="002C76A6">
        <w:t>taxing</w:t>
      </w:r>
      <w:r w:rsidR="00D53F58">
        <w:t xml:space="preserve"> </w:t>
      </w:r>
      <w:r>
        <w:t>the digital economy</w:t>
      </w:r>
      <w:r w:rsidR="00742700">
        <w:t xml:space="preserve"> in the long-term</w:t>
      </w:r>
      <w:r>
        <w:t xml:space="preserve">.  </w:t>
      </w:r>
      <w:r w:rsidR="00065ADD">
        <w:t>Accordingly,</w:t>
      </w:r>
      <w:r>
        <w:t xml:space="preserve"> New Zealand should continue to participate in the OECD discussions</w:t>
      </w:r>
      <w:r w:rsidR="00AE2C80">
        <w:t xml:space="preserve"> on this</w:t>
      </w:r>
      <w:r>
        <w:t xml:space="preserve">, with a view to supporting </w:t>
      </w:r>
      <w:r w:rsidR="00CF4F3E">
        <w:t>an agreed</w:t>
      </w:r>
      <w:r>
        <w:t xml:space="preserve"> solution (be</w:t>
      </w:r>
      <w:r w:rsidR="002C76A6">
        <w:t>ar</w:t>
      </w:r>
      <w:r>
        <w:t>ing in mind its effect on our exporters).</w:t>
      </w:r>
      <w:r w:rsidR="00A63460">
        <w:t xml:space="preserve">  There are 3 proposals being considered at the OECD:</w:t>
      </w:r>
    </w:p>
    <w:p w14:paraId="4F24F7FB" w14:textId="0D838888" w:rsidR="00A63460" w:rsidRDefault="00A63460" w:rsidP="00A63460">
      <w:pPr>
        <w:pStyle w:val="NumberedParagraph"/>
        <w:numPr>
          <w:ilvl w:val="0"/>
          <w:numId w:val="19"/>
        </w:numPr>
      </w:pPr>
      <w:r>
        <w:t>A limited proposal for digital services only, focussing on social media, digital advertising, multi-sided platforms and data.  This</w:t>
      </w:r>
      <w:r w:rsidR="00C82257">
        <w:t xml:space="preserve"> is</w:t>
      </w:r>
      <w:r>
        <w:t xml:space="preserve"> the European Union (EU) and the United Kingdom</w:t>
      </w:r>
      <w:r w:rsidDel="00D07B4A">
        <w:t xml:space="preserve"> </w:t>
      </w:r>
      <w:r>
        <w:t>(UK) proposal.</w:t>
      </w:r>
    </w:p>
    <w:p w14:paraId="584A2522" w14:textId="386E9E3C" w:rsidR="00A63460" w:rsidRDefault="00A63460" w:rsidP="00A63460">
      <w:pPr>
        <w:pStyle w:val="NumberedParagraph"/>
        <w:numPr>
          <w:ilvl w:val="0"/>
          <w:numId w:val="19"/>
        </w:numPr>
      </w:pPr>
      <w:r>
        <w:t>A broader proposal, which would allow greater taxing rights to market countries (such as New Zealand) based on certain “market intangibles” created there by multinationals</w:t>
      </w:r>
      <w:r w:rsidR="00A83F40">
        <w:t xml:space="preserve"> (</w:t>
      </w:r>
      <w:r w:rsidR="00C5436B">
        <w:t>including</w:t>
      </w:r>
      <w:r w:rsidR="00A83F40">
        <w:t xml:space="preserve"> </w:t>
      </w:r>
      <w:r w:rsidR="00A83F40" w:rsidRPr="00A83F40">
        <w:t>brand</w:t>
      </w:r>
      <w:r w:rsidR="00C5436B">
        <w:t>s</w:t>
      </w:r>
      <w:r w:rsidR="00A83F40" w:rsidRPr="00A83F40">
        <w:t xml:space="preserve"> and trade name</w:t>
      </w:r>
      <w:r w:rsidR="00A83F40">
        <w:t>s</w:t>
      </w:r>
      <w:r w:rsidR="00C5436B">
        <w:t xml:space="preserve"> used in the country</w:t>
      </w:r>
      <w:r w:rsidR="00A83F40">
        <w:t xml:space="preserve">, </w:t>
      </w:r>
      <w:r w:rsidR="00C5436B">
        <w:t>customer data and</w:t>
      </w:r>
      <w:r w:rsidR="00A83F40" w:rsidRPr="00A83F40">
        <w:t xml:space="preserve"> customer relationships</w:t>
      </w:r>
      <w:r w:rsidR="00A83F40">
        <w:t>)</w:t>
      </w:r>
      <w:r>
        <w:t>.  This</w:t>
      </w:r>
      <w:r w:rsidR="00C5436B">
        <w:t xml:space="preserve"> </w:t>
      </w:r>
      <w:r w:rsidR="00653809">
        <w:t xml:space="preserve">is the United States proposal and </w:t>
      </w:r>
      <w:r>
        <w:t xml:space="preserve">would apply beyond the digital economy.   </w:t>
      </w:r>
    </w:p>
    <w:p w14:paraId="41B521B1" w14:textId="2E110298" w:rsidR="00811AC6" w:rsidRDefault="00A63460" w:rsidP="00895475">
      <w:pPr>
        <w:pStyle w:val="NumberedParagraph"/>
        <w:numPr>
          <w:ilvl w:val="0"/>
          <w:numId w:val="19"/>
        </w:numPr>
      </w:pPr>
      <w:r>
        <w:t xml:space="preserve">A minimum tax proposal suggested by France and Germany.  This proposal would apply beyond the digital economy and would be targeted at a multinational’s transactions with related parties in low tax jurisdictions.  </w:t>
      </w:r>
    </w:p>
    <w:p w14:paraId="5CDA66CE" w14:textId="48085706" w:rsidR="00CF4F3E" w:rsidRDefault="006A57A1" w:rsidP="00885F81">
      <w:pPr>
        <w:pStyle w:val="NumberedParagraph"/>
      </w:pPr>
      <w:r>
        <w:t xml:space="preserve">The OECD is aiming to get G20 approval of its preferred </w:t>
      </w:r>
      <w:r w:rsidR="00FE20A5">
        <w:t>proposals</w:t>
      </w:r>
      <w:r>
        <w:t xml:space="preserve"> in June 2019 (we attach an article which has a good description of the OECD’s approach).   </w:t>
      </w:r>
      <w:r w:rsidR="00A83F40">
        <w:t>We consider it more likely tha</w:t>
      </w:r>
      <w:r w:rsidR="00653809">
        <w:t>n</w:t>
      </w:r>
      <w:r w:rsidR="00A83F40">
        <w:t xml:space="preserve"> not that </w:t>
      </w:r>
      <w:r w:rsidR="006266F5">
        <w:t xml:space="preserve">the OECD </w:t>
      </w:r>
      <w:r w:rsidR="00AE2C80">
        <w:t>will be successful</w:t>
      </w:r>
      <w:r>
        <w:t xml:space="preserve"> in achieving an international solution</w:t>
      </w:r>
      <w:r w:rsidR="00A83F40">
        <w:t>, but there is no guarantee of this</w:t>
      </w:r>
      <w:r w:rsidR="000B27CE">
        <w:t>.</w:t>
      </w:r>
      <w:r w:rsidR="006266F5">
        <w:t xml:space="preserve"> </w:t>
      </w:r>
      <w:r w:rsidR="005D7446">
        <w:t xml:space="preserve"> Accordingly, we</w:t>
      </w:r>
      <w:r w:rsidR="00CF4F3E">
        <w:t xml:space="preserve"> recommend the Government also consider</w:t>
      </w:r>
      <w:r w:rsidR="00485A4F">
        <w:t xml:space="preserve"> </w:t>
      </w:r>
      <w:r w:rsidR="001E6B68">
        <w:t xml:space="preserve">whether a </w:t>
      </w:r>
      <w:r w:rsidR="005D7446">
        <w:t>digital services tax</w:t>
      </w:r>
      <w:r w:rsidR="00485A4F">
        <w:t xml:space="preserve"> (DST)</w:t>
      </w:r>
      <w:r w:rsidR="00CF4F3E">
        <w:t xml:space="preserve"> </w:t>
      </w:r>
      <w:r w:rsidR="001E6B68">
        <w:t xml:space="preserve">might be appropriate </w:t>
      </w:r>
      <w:r w:rsidR="00CF4F3E">
        <w:t>as a</w:t>
      </w:r>
      <w:r w:rsidR="00742700">
        <w:t>n</w:t>
      </w:r>
      <w:r w:rsidR="00CF4F3E">
        <w:t xml:space="preserve"> </w:t>
      </w:r>
      <w:r w:rsidR="0000278E">
        <w:t>interim measure</w:t>
      </w:r>
      <w:r w:rsidR="005D7446">
        <w:t xml:space="preserve">. </w:t>
      </w:r>
      <w:r w:rsidR="00AC4A3A">
        <w:t xml:space="preserve"> This DST would be like the one proposed by the </w:t>
      </w:r>
      <w:r w:rsidR="0091035E">
        <w:t>UK</w:t>
      </w:r>
      <w:r w:rsidR="000F343E">
        <w:t xml:space="preserve"> and would apply to online advertising, social media, intermediation platforms (like Uber, </w:t>
      </w:r>
      <w:r w:rsidR="000278F4">
        <w:t>eBay</w:t>
      </w:r>
      <w:r w:rsidR="000F343E">
        <w:t xml:space="preserve"> and Airbnb) and the sale of data</w:t>
      </w:r>
      <w:r w:rsidR="0061384F">
        <w:t>.</w:t>
      </w:r>
      <w:r w:rsidR="00924F98">
        <w:t xml:space="preserve">  We note a DST does have significant downsides</w:t>
      </w:r>
      <w:r w:rsidR="002506FE">
        <w:t>,</w:t>
      </w:r>
      <w:r w:rsidR="00924F98">
        <w:t xml:space="preserve"> </w:t>
      </w:r>
      <w:r w:rsidR="002506FE">
        <w:t>which</w:t>
      </w:r>
      <w:r w:rsidR="00924F98">
        <w:t xml:space="preserve"> would need to be carefully assessed </w:t>
      </w:r>
      <w:r w:rsidR="002506FE">
        <w:t>and explored.</w:t>
      </w:r>
    </w:p>
    <w:p w14:paraId="41A6CF11" w14:textId="4C2FFBD1" w:rsidR="00485A4F" w:rsidRDefault="00CF4F3E" w:rsidP="00885F81">
      <w:pPr>
        <w:pStyle w:val="NumberedParagraph"/>
      </w:pPr>
      <w:r>
        <w:t>To commence, we</w:t>
      </w:r>
      <w:r w:rsidR="00485A4F">
        <w:t xml:space="preserve"> recommend </w:t>
      </w:r>
      <w:r w:rsidR="00BF46E3">
        <w:t>the Government publishes</w:t>
      </w:r>
      <w:r w:rsidR="00485A4F">
        <w:t xml:space="preserve"> </w:t>
      </w:r>
      <w:r w:rsidR="00BF46E3">
        <w:t>a discussion document</w:t>
      </w:r>
      <w:r w:rsidR="008F1B14">
        <w:t xml:space="preserve"> in the first half of 2019</w:t>
      </w:r>
      <w:r w:rsidR="00485A4F">
        <w:t xml:space="preserve"> to get public feedback on </w:t>
      </w:r>
      <w:r w:rsidR="00D24F52">
        <w:t>the options</w:t>
      </w:r>
      <w:r>
        <w:t xml:space="preserve"> for taxing the digital economy (</w:t>
      </w:r>
      <w:r w:rsidR="002F60D8">
        <w:t>being</w:t>
      </w:r>
      <w:r>
        <w:t xml:space="preserve"> the international solution discussed at the OECD and a DST)</w:t>
      </w:r>
      <w:r w:rsidR="00485A4F">
        <w:t>.</w:t>
      </w:r>
      <w:r w:rsidR="005D7446">
        <w:t xml:space="preserve"> </w:t>
      </w:r>
      <w:r w:rsidR="00485A4F">
        <w:t xml:space="preserve"> We recommend the </w:t>
      </w:r>
      <w:r w:rsidR="00367B77">
        <w:t>discussion document</w:t>
      </w:r>
      <w:r w:rsidR="00485A4F">
        <w:t xml:space="preserve"> make it clear that:</w:t>
      </w:r>
    </w:p>
    <w:p w14:paraId="37629E09" w14:textId="70152323" w:rsidR="00485A4F" w:rsidRDefault="005A6597" w:rsidP="00485A4F">
      <w:pPr>
        <w:pStyle w:val="NumberedParagraph"/>
        <w:numPr>
          <w:ilvl w:val="0"/>
          <w:numId w:val="32"/>
        </w:numPr>
      </w:pPr>
      <w:r>
        <w:lastRenderedPageBreak/>
        <w:t>t</w:t>
      </w:r>
      <w:r w:rsidR="00485A4F">
        <w:t>he Government has not yet decided whether it wants to introduce a DST</w:t>
      </w:r>
      <w:r w:rsidR="008F1B14">
        <w:t>, but is considering this as an option</w:t>
      </w:r>
      <w:r w:rsidR="00485A4F">
        <w:t xml:space="preserve">; </w:t>
      </w:r>
    </w:p>
    <w:p w14:paraId="5D559775" w14:textId="0F57BE82" w:rsidR="00485A4F" w:rsidRDefault="00485A4F" w:rsidP="00485A4F">
      <w:pPr>
        <w:pStyle w:val="NumberedParagraph"/>
        <w:numPr>
          <w:ilvl w:val="0"/>
          <w:numId w:val="32"/>
        </w:numPr>
      </w:pPr>
      <w:r>
        <w:t>any DST would only be introduced if the OECD is unable to arrive at an international solution in a reasonable time-frame</w:t>
      </w:r>
      <w:r w:rsidR="002C76A6">
        <w:t xml:space="preserve"> and a critical mass of other countries also adopt DSTs</w:t>
      </w:r>
      <w:r w:rsidR="00742700">
        <w:t>;</w:t>
      </w:r>
      <w:r w:rsidR="002D2747">
        <w:t xml:space="preserve"> and</w:t>
      </w:r>
    </w:p>
    <w:p w14:paraId="1D593896" w14:textId="0E9AA2BA" w:rsidR="0058224E" w:rsidRDefault="005A6597" w:rsidP="0058224E">
      <w:pPr>
        <w:pStyle w:val="NumberedParagraph"/>
        <w:numPr>
          <w:ilvl w:val="0"/>
          <w:numId w:val="32"/>
        </w:numPr>
      </w:pPr>
      <w:bookmarkStart w:id="14" w:name="_Hlk531605263"/>
      <w:r>
        <w:t>t</w:t>
      </w:r>
      <w:r w:rsidR="0058224E">
        <w:t xml:space="preserve">he DST would be an interim measure that would cease to apply </w:t>
      </w:r>
      <w:r w:rsidR="008F1B14">
        <w:t>once</w:t>
      </w:r>
      <w:r w:rsidR="0058224E">
        <w:t xml:space="preserve"> an international solution was</w:t>
      </w:r>
      <w:r>
        <w:t xml:space="preserve"> fully</w:t>
      </w:r>
      <w:r w:rsidR="0058224E">
        <w:t xml:space="preserve"> implemented.</w:t>
      </w:r>
    </w:p>
    <w:bookmarkEnd w:id="14"/>
    <w:p w14:paraId="60CFEF7B" w14:textId="1B9D9F96" w:rsidR="00D36F6E" w:rsidRDefault="00D36F6E" w:rsidP="00F80880">
      <w:pPr>
        <w:pStyle w:val="NumberedParagraph"/>
      </w:pPr>
      <w:r>
        <w:t>The Australian Government has</w:t>
      </w:r>
      <w:r w:rsidR="005A6597">
        <w:t xml:space="preserve"> also issued a discussion document on options for taxing the digital economy, which takes</w:t>
      </w:r>
      <w:r>
        <w:t xml:space="preserve"> </w:t>
      </w:r>
      <w:r w:rsidR="00CE3BF1">
        <w:t xml:space="preserve">a similar </w:t>
      </w:r>
      <w:r w:rsidR="005A6597">
        <w:t>approach.</w:t>
      </w:r>
      <w:r>
        <w:t xml:space="preserve"> </w:t>
      </w:r>
      <w:r w:rsidR="005A6597">
        <w:t xml:space="preserve"> </w:t>
      </w:r>
      <w:r>
        <w:t xml:space="preserve"> </w:t>
      </w:r>
    </w:p>
    <w:p w14:paraId="242324E5" w14:textId="71DE7561" w:rsidR="006266F5" w:rsidRDefault="00485A4F" w:rsidP="00F80880">
      <w:pPr>
        <w:pStyle w:val="NumberedParagraph"/>
      </w:pPr>
      <w:r>
        <w:t>If you agree</w:t>
      </w:r>
      <w:r w:rsidR="000B27CE">
        <w:t xml:space="preserve"> with this approach</w:t>
      </w:r>
      <w:r>
        <w:t xml:space="preserve">, we would aim to </w:t>
      </w:r>
      <w:r w:rsidR="001E6B68">
        <w:t>release a</w:t>
      </w:r>
      <w:r>
        <w:t xml:space="preserve"> </w:t>
      </w:r>
      <w:r w:rsidR="00D24F52">
        <w:t>discussion document</w:t>
      </w:r>
      <w:r>
        <w:t xml:space="preserve"> to </w:t>
      </w:r>
      <w:r w:rsidR="00D36F6E">
        <w:t>seek</w:t>
      </w:r>
      <w:r w:rsidR="001E6B68">
        <w:t xml:space="preserve"> </w:t>
      </w:r>
      <w:r>
        <w:t xml:space="preserve">public </w:t>
      </w:r>
      <w:r w:rsidR="001E6B68">
        <w:t xml:space="preserve">feedback </w:t>
      </w:r>
      <w:r w:rsidR="001D79E3">
        <w:t xml:space="preserve">in </w:t>
      </w:r>
      <w:r w:rsidR="000C75F9">
        <w:t xml:space="preserve">the first half of </w:t>
      </w:r>
      <w:r w:rsidR="000B27CE">
        <w:t>2019</w:t>
      </w:r>
      <w:r w:rsidR="001E6B68">
        <w:t xml:space="preserve"> (following approval by Cabinet)</w:t>
      </w:r>
      <w:r>
        <w:t>.</w:t>
      </w:r>
      <w:r w:rsidR="002B05B2">
        <w:t xml:space="preserve">  </w:t>
      </w:r>
      <w:r w:rsidR="00B973E6">
        <w:t xml:space="preserve">We would report back to you on </w:t>
      </w:r>
      <w:r w:rsidR="008157C3">
        <w:t>this feedback</w:t>
      </w:r>
      <w:r w:rsidR="00B973E6">
        <w:t xml:space="preserve"> in the second half of 2019</w:t>
      </w:r>
      <w:r w:rsidR="008157C3">
        <w:t>, together</w:t>
      </w:r>
      <w:r w:rsidR="00B973E6">
        <w:t xml:space="preserve"> with </w:t>
      </w:r>
      <w:r w:rsidR="008157C3">
        <w:t xml:space="preserve">final </w:t>
      </w:r>
      <w:r w:rsidR="00B973E6">
        <w:t>policy recommendations.  At that stage we will be in a better position to provide a timeline for further steps, including legislation if the decision is made to proceed with a DST.</w:t>
      </w:r>
    </w:p>
    <w:p w14:paraId="734B1C30" w14:textId="2AD74DCE" w:rsidR="003866C9" w:rsidRDefault="003866C9" w:rsidP="003866C9">
      <w:pPr>
        <w:pStyle w:val="NumberedParagraph"/>
      </w:pPr>
      <w:r>
        <w:t xml:space="preserve">The current problem with taxing the digital economy </w:t>
      </w:r>
      <w:r w:rsidR="00742700">
        <w:t xml:space="preserve">only </w:t>
      </w:r>
      <w:r>
        <w:t xml:space="preserve">relates to income tax.  The Government has already acted to ensure that </w:t>
      </w:r>
      <w:r w:rsidR="001D715C">
        <w:t>the digital economy will be fully subject</w:t>
      </w:r>
      <w:r>
        <w:t xml:space="preserve"> to </w:t>
      </w:r>
      <w:r w:rsidR="00FB5BEC">
        <w:t xml:space="preserve">New Zealand </w:t>
      </w:r>
      <w:r>
        <w:t>GST.  GST has been applied to ‘remote’ services since 2016 (including digital services), and the Government has announced its intention to charge GST on low-value imported goods from 1 October 2019.</w:t>
      </w:r>
    </w:p>
    <w:p w14:paraId="238543B7" w14:textId="77777777" w:rsidR="00811AC6" w:rsidRDefault="00811AC6" w:rsidP="00A2547F">
      <w:pPr>
        <w:pStyle w:val="Heading1"/>
      </w:pPr>
      <w:r>
        <w:t>Recommended action</w:t>
      </w:r>
    </w:p>
    <w:p w14:paraId="4A839B12" w14:textId="77777777" w:rsidR="00811AC6" w:rsidRDefault="000B27CE" w:rsidP="002D4593">
      <w:pPr>
        <w:pStyle w:val="NumberedParagraph"/>
      </w:pPr>
      <w:r>
        <w:t>We recommend that you:</w:t>
      </w:r>
    </w:p>
    <w:p w14:paraId="35E0E857" w14:textId="35E23181" w:rsidR="00811AC6" w:rsidRDefault="000B27CE" w:rsidP="002C76A6">
      <w:pPr>
        <w:pStyle w:val="NumberedParagraph"/>
        <w:numPr>
          <w:ilvl w:val="0"/>
          <w:numId w:val="0"/>
        </w:numPr>
        <w:ind w:left="1440" w:hanging="731"/>
      </w:pPr>
      <w:r w:rsidRPr="000B27CE">
        <w:rPr>
          <w:rStyle w:val="Strong"/>
          <w:b w:val="0"/>
        </w:rPr>
        <w:t>(a)</w:t>
      </w:r>
      <w:r>
        <w:rPr>
          <w:rStyle w:val="Strong"/>
        </w:rPr>
        <w:t xml:space="preserve"> </w:t>
      </w:r>
      <w:r>
        <w:rPr>
          <w:rStyle w:val="Strong"/>
        </w:rPr>
        <w:tab/>
      </w:r>
      <w:r w:rsidR="008157C3">
        <w:rPr>
          <w:rStyle w:val="Strong"/>
        </w:rPr>
        <w:t>A</w:t>
      </w:r>
      <w:r w:rsidR="00811AC6" w:rsidRPr="00CC36B2">
        <w:rPr>
          <w:rStyle w:val="Strong"/>
        </w:rPr>
        <w:t>gree</w:t>
      </w:r>
      <w:r w:rsidR="00811AC6">
        <w:t xml:space="preserve"> </w:t>
      </w:r>
      <w:r w:rsidR="002C76A6">
        <w:t xml:space="preserve">that </w:t>
      </w:r>
      <w:r>
        <w:t xml:space="preserve">New Zealand should continue to participate in the OECD discussions, with a view to supporting a </w:t>
      </w:r>
      <w:r w:rsidR="002C5A14">
        <w:t>long-term</w:t>
      </w:r>
      <w:r>
        <w:t xml:space="preserve"> solution</w:t>
      </w:r>
      <w:r w:rsidR="002C76A6">
        <w:t xml:space="preserve"> to the taxation of the digital economy</w:t>
      </w:r>
      <w:r>
        <w:t xml:space="preserve"> (</w:t>
      </w:r>
      <w:r w:rsidR="004A007F">
        <w:t xml:space="preserve">bearing </w:t>
      </w:r>
      <w:r>
        <w:t>in mind its effect on our exporters).</w:t>
      </w:r>
    </w:p>
    <w:p w14:paraId="103E338A" w14:textId="77777777" w:rsidR="000B27CE" w:rsidRDefault="004A007F" w:rsidP="000B27CE">
      <w:pPr>
        <w:pStyle w:val="NumberedParagraph"/>
        <w:numPr>
          <w:ilvl w:val="0"/>
          <w:numId w:val="0"/>
        </w:numPr>
        <w:ind w:left="709" w:hanging="709"/>
      </w:pPr>
      <w:r>
        <w:t xml:space="preserve">          </w:t>
      </w:r>
    </w:p>
    <w:p w14:paraId="3D4BF81F" w14:textId="77777777" w:rsidR="00811AC6" w:rsidRPr="006E31E0" w:rsidRDefault="00811AC6" w:rsidP="006E31E0">
      <w:pPr>
        <w:pStyle w:val="Decision"/>
      </w:pPr>
      <w:r w:rsidRPr="006E31E0">
        <w:t>Agreed/Not agreed</w:t>
      </w:r>
      <w:r w:rsidRPr="006E31E0">
        <w:tab/>
        <w:t>Agreed/Not agreed</w:t>
      </w:r>
    </w:p>
    <w:p w14:paraId="267A7F93" w14:textId="77777777" w:rsidR="000B27CE" w:rsidRDefault="000B27CE" w:rsidP="000B27CE">
      <w:pPr>
        <w:pStyle w:val="Decision"/>
      </w:pPr>
    </w:p>
    <w:p w14:paraId="447CFABA" w14:textId="4C0DAA7E" w:rsidR="000B27CE" w:rsidRDefault="000B27CE" w:rsidP="002C76A6">
      <w:pPr>
        <w:pStyle w:val="NumberedParagraph"/>
        <w:numPr>
          <w:ilvl w:val="0"/>
          <w:numId w:val="0"/>
        </w:numPr>
        <w:ind w:left="1440" w:hanging="731"/>
      </w:pPr>
      <w:r>
        <w:t>(</w:t>
      </w:r>
      <w:r>
        <w:rPr>
          <w:rStyle w:val="Strong"/>
          <w:b w:val="0"/>
        </w:rPr>
        <w:t>b</w:t>
      </w:r>
      <w:r w:rsidRPr="000B27CE">
        <w:rPr>
          <w:rStyle w:val="Strong"/>
          <w:b w:val="0"/>
        </w:rPr>
        <w:t>)</w:t>
      </w:r>
      <w:r>
        <w:rPr>
          <w:rStyle w:val="Strong"/>
        </w:rPr>
        <w:t xml:space="preserve"> </w:t>
      </w:r>
      <w:r>
        <w:rPr>
          <w:rStyle w:val="Strong"/>
        </w:rPr>
        <w:tab/>
      </w:r>
      <w:r w:rsidR="008157C3">
        <w:rPr>
          <w:rStyle w:val="Strong"/>
        </w:rPr>
        <w:t>Ag</w:t>
      </w:r>
      <w:r w:rsidRPr="00CC36B2">
        <w:rPr>
          <w:rStyle w:val="Strong"/>
        </w:rPr>
        <w:t>ree</w:t>
      </w:r>
      <w:r>
        <w:t xml:space="preserve"> that the Government should also</w:t>
      </w:r>
      <w:r w:rsidR="00AE2C80">
        <w:t xml:space="preserve"> start</w:t>
      </w:r>
      <w:r>
        <w:t xml:space="preserve"> consider</w:t>
      </w:r>
      <w:r w:rsidR="00AE2C80">
        <w:t>i</w:t>
      </w:r>
      <w:r>
        <w:t xml:space="preserve">ng </w:t>
      </w:r>
      <w:r w:rsidR="00CF4F3E">
        <w:t>a possible DST as a</w:t>
      </w:r>
      <w:r w:rsidR="00FE20A5">
        <w:t>n</w:t>
      </w:r>
      <w:r w:rsidR="00CF4F3E">
        <w:t xml:space="preserve"> option for taxing the digital economy</w:t>
      </w:r>
      <w:r w:rsidR="00D24F52">
        <w:t xml:space="preserve">, </w:t>
      </w:r>
      <w:r>
        <w:t xml:space="preserve">in case the OECD are unable to achieve an international solution in a </w:t>
      </w:r>
      <w:r w:rsidR="002C76A6">
        <w:t>reasonable</w:t>
      </w:r>
      <w:r>
        <w:t xml:space="preserve"> timeframe.</w:t>
      </w:r>
    </w:p>
    <w:p w14:paraId="09AB80A0" w14:textId="77777777" w:rsidR="000B27CE" w:rsidRDefault="000B27CE" w:rsidP="000B27CE">
      <w:pPr>
        <w:pStyle w:val="NumberedParagraph"/>
        <w:numPr>
          <w:ilvl w:val="0"/>
          <w:numId w:val="0"/>
        </w:numPr>
        <w:ind w:left="709"/>
      </w:pPr>
    </w:p>
    <w:p w14:paraId="13721F71" w14:textId="77777777" w:rsidR="000B27CE" w:rsidRPr="006E31E0" w:rsidRDefault="000B27CE" w:rsidP="000B27CE">
      <w:pPr>
        <w:pStyle w:val="Decision"/>
      </w:pPr>
      <w:r w:rsidRPr="006E31E0">
        <w:t>Agreed/Not agreed</w:t>
      </w:r>
      <w:r w:rsidRPr="006E31E0">
        <w:tab/>
        <w:t>Agreed/Not agreed</w:t>
      </w:r>
    </w:p>
    <w:p w14:paraId="1C2CF710" w14:textId="77777777" w:rsidR="000B27CE" w:rsidRDefault="000B27CE" w:rsidP="000B27CE">
      <w:pPr>
        <w:pStyle w:val="NumberedParagraph"/>
        <w:numPr>
          <w:ilvl w:val="0"/>
          <w:numId w:val="0"/>
        </w:numPr>
        <w:ind w:left="709"/>
      </w:pPr>
    </w:p>
    <w:p w14:paraId="040EDF75" w14:textId="75DFFAA5" w:rsidR="000B27CE" w:rsidRDefault="000B27CE" w:rsidP="002C76A6">
      <w:pPr>
        <w:pStyle w:val="NumberedParagraph"/>
        <w:numPr>
          <w:ilvl w:val="0"/>
          <w:numId w:val="0"/>
        </w:numPr>
        <w:ind w:left="1440" w:hanging="731"/>
      </w:pPr>
      <w:r w:rsidRPr="000B27CE">
        <w:rPr>
          <w:rStyle w:val="Strong"/>
          <w:b w:val="0"/>
        </w:rPr>
        <w:t>(</w:t>
      </w:r>
      <w:r>
        <w:rPr>
          <w:rStyle w:val="Strong"/>
          <w:b w:val="0"/>
        </w:rPr>
        <w:t>c</w:t>
      </w:r>
      <w:r w:rsidRPr="000B27CE">
        <w:rPr>
          <w:rStyle w:val="Strong"/>
          <w:b w:val="0"/>
        </w:rPr>
        <w:t>)</w:t>
      </w:r>
      <w:r>
        <w:rPr>
          <w:rStyle w:val="Strong"/>
        </w:rPr>
        <w:t xml:space="preserve"> </w:t>
      </w:r>
      <w:r>
        <w:rPr>
          <w:rStyle w:val="Strong"/>
        </w:rPr>
        <w:tab/>
      </w:r>
      <w:r w:rsidR="008157C3">
        <w:rPr>
          <w:rStyle w:val="Strong"/>
        </w:rPr>
        <w:t>D</w:t>
      </w:r>
      <w:r w:rsidR="00FB5BEC">
        <w:rPr>
          <w:rStyle w:val="Strong"/>
        </w:rPr>
        <w:t xml:space="preserve">irect </w:t>
      </w:r>
      <w:r w:rsidR="00FB5BEC" w:rsidRPr="005A6597">
        <w:rPr>
          <w:rStyle w:val="Strong"/>
          <w:b w:val="0"/>
        </w:rPr>
        <w:t>officials</w:t>
      </w:r>
      <w:r w:rsidR="00FB5BEC">
        <w:t xml:space="preserve"> to draft </w:t>
      </w:r>
      <w:r w:rsidR="00D24F52">
        <w:t>a discussion document</w:t>
      </w:r>
      <w:r>
        <w:t xml:space="preserve"> </w:t>
      </w:r>
      <w:r w:rsidR="00FB5BEC">
        <w:t xml:space="preserve">for release </w:t>
      </w:r>
      <w:r w:rsidR="00FE20A5">
        <w:t>in the first half of</w:t>
      </w:r>
      <w:r w:rsidR="00FB5BEC">
        <w:t xml:space="preserve"> 2019 </w:t>
      </w:r>
      <w:r>
        <w:t>to get public feedback on</w:t>
      </w:r>
      <w:r w:rsidR="00D24F52">
        <w:t xml:space="preserve"> the</w:t>
      </w:r>
      <w:r w:rsidR="00CF4F3E">
        <w:t>se</w:t>
      </w:r>
      <w:r w:rsidR="00D20576">
        <w:t xml:space="preserve"> </w:t>
      </w:r>
      <w:r w:rsidR="00CF4F3E">
        <w:t>options</w:t>
      </w:r>
      <w:r w:rsidR="002F60D8">
        <w:t xml:space="preserve"> for taxing the digital economy</w:t>
      </w:r>
      <w:r w:rsidR="008B5B93">
        <w:t xml:space="preserve"> (the international solution and the DST)</w:t>
      </w:r>
      <w:r>
        <w:t xml:space="preserve">.  </w:t>
      </w:r>
      <w:r w:rsidR="00CF4F3E">
        <w:t>In relation to the DST, t</w:t>
      </w:r>
      <w:r>
        <w:t xml:space="preserve">he </w:t>
      </w:r>
      <w:r w:rsidR="00D24F52">
        <w:t>discussion document</w:t>
      </w:r>
      <w:r>
        <w:t xml:space="preserve"> </w:t>
      </w:r>
      <w:r w:rsidR="007C361F">
        <w:t>should state that</w:t>
      </w:r>
      <w:r>
        <w:t>:</w:t>
      </w:r>
    </w:p>
    <w:p w14:paraId="499F3949" w14:textId="354A1C0C" w:rsidR="000B27CE" w:rsidRDefault="002C76A6" w:rsidP="002C76A6">
      <w:pPr>
        <w:pStyle w:val="NumberedParagraph"/>
        <w:numPr>
          <w:ilvl w:val="0"/>
          <w:numId w:val="32"/>
        </w:numPr>
        <w:ind w:left="1800"/>
      </w:pPr>
      <w:r>
        <w:t>the</w:t>
      </w:r>
      <w:r w:rsidR="000B27CE">
        <w:t xml:space="preserve"> DST would be </w:t>
      </w:r>
      <w:r w:rsidR="00B3583E">
        <w:t>like</w:t>
      </w:r>
      <w:r w:rsidR="000B0BC1">
        <w:t xml:space="preserve"> the one</w:t>
      </w:r>
      <w:r w:rsidR="000B27CE">
        <w:t xml:space="preserve"> proposed by the </w:t>
      </w:r>
      <w:r w:rsidR="00B4025A">
        <w:t>UK</w:t>
      </w:r>
      <w:r w:rsidR="000B27CE">
        <w:t>;</w:t>
      </w:r>
    </w:p>
    <w:p w14:paraId="7C657EAE" w14:textId="7F583B7A" w:rsidR="000B27CE" w:rsidRDefault="000B27CE" w:rsidP="002C76A6">
      <w:pPr>
        <w:pStyle w:val="NumberedParagraph"/>
        <w:numPr>
          <w:ilvl w:val="0"/>
          <w:numId w:val="32"/>
        </w:numPr>
        <w:ind w:left="1800"/>
      </w:pPr>
      <w:r>
        <w:t>the Government has not yet decided whether it wants to introduce</w:t>
      </w:r>
      <w:r w:rsidR="008B5B93">
        <w:t xml:space="preserve"> a DST</w:t>
      </w:r>
      <w:r w:rsidR="00851B1C">
        <w:t xml:space="preserve"> but is considering it as an option</w:t>
      </w:r>
      <w:r w:rsidR="008B5B93">
        <w:t xml:space="preserve">; </w:t>
      </w:r>
    </w:p>
    <w:p w14:paraId="5CB9DF42" w14:textId="40BA2417" w:rsidR="008B5B93" w:rsidRDefault="000B27CE" w:rsidP="008B5B93">
      <w:pPr>
        <w:pStyle w:val="NumberedParagraph"/>
        <w:numPr>
          <w:ilvl w:val="0"/>
          <w:numId w:val="32"/>
        </w:numPr>
        <w:ind w:left="1800"/>
      </w:pPr>
      <w:r>
        <w:lastRenderedPageBreak/>
        <w:t>any DST would only be introduced if the OECD is unable to arrive at an international solution in a reasonable timeframe</w:t>
      </w:r>
      <w:r w:rsidR="002C76A6">
        <w:t xml:space="preserve"> and a critical mass of other countries also adopt DSTs</w:t>
      </w:r>
      <w:r w:rsidR="008B5B93">
        <w:t>;</w:t>
      </w:r>
      <w:r w:rsidR="00653809">
        <w:t xml:space="preserve"> and</w:t>
      </w:r>
    </w:p>
    <w:p w14:paraId="718E2460" w14:textId="11E30129" w:rsidR="0058224E" w:rsidRPr="00625CB3" w:rsidRDefault="00653809" w:rsidP="0058224E">
      <w:pPr>
        <w:pStyle w:val="NumberedParagraph"/>
        <w:numPr>
          <w:ilvl w:val="0"/>
          <w:numId w:val="32"/>
        </w:numPr>
        <w:ind w:left="1800"/>
      </w:pPr>
      <w:r>
        <w:t>t</w:t>
      </w:r>
      <w:r w:rsidR="0058224E" w:rsidRPr="00625CB3">
        <w:t xml:space="preserve">he DST would be an interim measure that would cease to apply if an international solution was </w:t>
      </w:r>
      <w:r w:rsidR="005A6597">
        <w:t xml:space="preserve">fully </w:t>
      </w:r>
      <w:r w:rsidR="0058224E">
        <w:t>implemented.</w:t>
      </w:r>
      <w:r w:rsidR="0058224E" w:rsidRPr="00625CB3">
        <w:t xml:space="preserve"> </w:t>
      </w:r>
    </w:p>
    <w:p w14:paraId="75166338" w14:textId="77777777" w:rsidR="00625CB3" w:rsidRPr="008B5B93" w:rsidRDefault="00625CB3" w:rsidP="00625CB3">
      <w:pPr>
        <w:pStyle w:val="NumberedParagraph"/>
        <w:numPr>
          <w:ilvl w:val="0"/>
          <w:numId w:val="0"/>
        </w:numPr>
        <w:ind w:left="1800"/>
      </w:pPr>
    </w:p>
    <w:p w14:paraId="6F6FF25D" w14:textId="77777777" w:rsidR="000B27CE" w:rsidRDefault="000B27CE" w:rsidP="000B27CE">
      <w:pPr>
        <w:pStyle w:val="NumberedParagraph"/>
        <w:numPr>
          <w:ilvl w:val="0"/>
          <w:numId w:val="0"/>
        </w:numPr>
        <w:ind w:left="709"/>
      </w:pPr>
    </w:p>
    <w:p w14:paraId="34B1DCFC" w14:textId="77777777" w:rsidR="000B27CE" w:rsidRPr="006E31E0" w:rsidRDefault="000B27CE" w:rsidP="000B27CE">
      <w:pPr>
        <w:pStyle w:val="Decision"/>
      </w:pPr>
      <w:r w:rsidRPr="006E31E0">
        <w:t>Agreed/Not agreed</w:t>
      </w:r>
      <w:r w:rsidRPr="006E31E0">
        <w:tab/>
        <w:t>Agreed/Not agreed</w:t>
      </w:r>
    </w:p>
    <w:p w14:paraId="26778B7C" w14:textId="77777777" w:rsidR="00811AC6" w:rsidRDefault="00811AC6" w:rsidP="008331C2"/>
    <w:p w14:paraId="532EE904" w14:textId="77777777" w:rsidR="008331C2" w:rsidRDefault="008331C2" w:rsidP="008331C2"/>
    <w:p w14:paraId="49AE178B" w14:textId="77777777" w:rsidR="008331C2" w:rsidRPr="008331C2" w:rsidRDefault="008331C2" w:rsidP="008331C2"/>
    <w:p w14:paraId="36CA0836" w14:textId="44F789B9" w:rsidR="00811AC6" w:rsidRDefault="00AE2C80" w:rsidP="006222B9">
      <w:pPr>
        <w:tabs>
          <w:tab w:val="left" w:pos="4536"/>
        </w:tabs>
      </w:pPr>
      <w:r>
        <w:rPr>
          <w:rStyle w:val="Strong"/>
        </w:rPr>
        <w:t xml:space="preserve">          </w:t>
      </w:r>
      <w:r w:rsidR="005105BF">
        <w:rPr>
          <w:rStyle w:val="Strong"/>
        </w:rPr>
        <w:t>Matt</w:t>
      </w:r>
      <w:r w:rsidR="00EA48BF">
        <w:rPr>
          <w:rStyle w:val="Strong"/>
        </w:rPr>
        <w:t xml:space="preserve"> </w:t>
      </w:r>
      <w:r w:rsidR="00BF3DA6">
        <w:rPr>
          <w:rStyle w:val="Strong"/>
        </w:rPr>
        <w:t>Cowan</w:t>
      </w:r>
      <w:r w:rsidR="007C361F" w:rsidRPr="006E31E0">
        <w:tab/>
      </w:r>
      <w:r w:rsidR="007C361F">
        <w:tab/>
      </w:r>
      <w:r>
        <w:tab/>
      </w:r>
      <w:r w:rsidR="00BA4808">
        <w:rPr>
          <w:rStyle w:val="Strong"/>
        </w:rPr>
        <w:t>Carmel Peters</w:t>
      </w:r>
    </w:p>
    <w:p w14:paraId="7FA9DBDA" w14:textId="60F68C8D" w:rsidR="00811AC6" w:rsidRDefault="00AE2C80" w:rsidP="006222B9">
      <w:pPr>
        <w:tabs>
          <w:tab w:val="left" w:pos="4536"/>
        </w:tabs>
      </w:pPr>
      <w:r>
        <w:t xml:space="preserve">          </w:t>
      </w:r>
      <w:r w:rsidR="005105BF">
        <w:t>Team Leader</w:t>
      </w:r>
      <w:r w:rsidR="00EA48BF">
        <w:t xml:space="preserve">, </w:t>
      </w:r>
      <w:r w:rsidR="00BA4808">
        <w:t>Tax Strategy Team</w:t>
      </w:r>
      <w:r w:rsidR="00811AC6">
        <w:tab/>
      </w:r>
      <w:r>
        <w:tab/>
      </w:r>
      <w:r>
        <w:tab/>
      </w:r>
      <w:r w:rsidR="00BA4808">
        <w:t>Manager</w:t>
      </w:r>
      <w:r w:rsidR="00775590">
        <w:t>, Policy and Strategy</w:t>
      </w:r>
    </w:p>
    <w:p w14:paraId="32642B0A" w14:textId="77777777" w:rsidR="00811AC6" w:rsidRDefault="00AE2C80" w:rsidP="008331C2">
      <w:pPr>
        <w:tabs>
          <w:tab w:val="left" w:pos="4536"/>
        </w:tabs>
      </w:pPr>
      <w:r>
        <w:t xml:space="preserve">          </w:t>
      </w:r>
      <w:r w:rsidR="00811AC6">
        <w:t>The Treasury</w:t>
      </w:r>
      <w:r w:rsidR="00811AC6">
        <w:tab/>
      </w:r>
      <w:r>
        <w:tab/>
      </w:r>
      <w:r>
        <w:tab/>
      </w:r>
      <w:r w:rsidR="00811AC6">
        <w:t>Inland Revenue</w:t>
      </w:r>
    </w:p>
    <w:p w14:paraId="47D3E763" w14:textId="77777777" w:rsidR="00811AC6" w:rsidRDefault="00811AC6" w:rsidP="00811AC6"/>
    <w:p w14:paraId="2760A91E" w14:textId="77777777" w:rsidR="00811AC6" w:rsidRDefault="00811AC6" w:rsidP="00811AC6"/>
    <w:p w14:paraId="4244A9CF" w14:textId="77777777" w:rsidR="008331C2" w:rsidRDefault="008331C2" w:rsidP="00811AC6"/>
    <w:p w14:paraId="5F332FBB" w14:textId="77777777" w:rsidR="008331C2" w:rsidRDefault="008331C2" w:rsidP="00811AC6"/>
    <w:p w14:paraId="49BB085A" w14:textId="77777777" w:rsidR="00811AC6" w:rsidRDefault="00AE2C80" w:rsidP="008331C2">
      <w:pPr>
        <w:tabs>
          <w:tab w:val="left" w:pos="4536"/>
        </w:tabs>
      </w:pPr>
      <w:r>
        <w:rPr>
          <w:rStyle w:val="Strong"/>
        </w:rPr>
        <w:t xml:space="preserve">          </w:t>
      </w:r>
      <w:r w:rsidR="00811AC6" w:rsidRPr="008331C2">
        <w:rPr>
          <w:rStyle w:val="Strong"/>
        </w:rPr>
        <w:t>Hon Grant Robertson</w:t>
      </w:r>
      <w:r w:rsidR="00811AC6">
        <w:tab/>
      </w:r>
      <w:r>
        <w:tab/>
      </w:r>
      <w:r>
        <w:tab/>
      </w:r>
      <w:r w:rsidR="00811AC6" w:rsidRPr="008331C2">
        <w:rPr>
          <w:rStyle w:val="Strong"/>
        </w:rPr>
        <w:t>Hon Stuart Nash</w:t>
      </w:r>
    </w:p>
    <w:p w14:paraId="273C425C" w14:textId="77777777" w:rsidR="00811AC6" w:rsidRDefault="00AE2C80" w:rsidP="008331C2">
      <w:pPr>
        <w:tabs>
          <w:tab w:val="left" w:pos="4536"/>
        </w:tabs>
      </w:pPr>
      <w:r>
        <w:t xml:space="preserve">          </w:t>
      </w:r>
      <w:r w:rsidR="00811AC6">
        <w:t>Minister of Finance</w:t>
      </w:r>
      <w:r w:rsidR="00811AC6">
        <w:tab/>
      </w:r>
      <w:r>
        <w:tab/>
      </w:r>
      <w:r>
        <w:tab/>
      </w:r>
      <w:r w:rsidR="00811AC6">
        <w:t>Minister of Revenue</w:t>
      </w:r>
    </w:p>
    <w:p w14:paraId="4DCA78D8" w14:textId="77777777" w:rsidR="00811AC6" w:rsidRDefault="00811AC6" w:rsidP="008331C2">
      <w:pPr>
        <w:tabs>
          <w:tab w:val="left" w:pos="4536"/>
        </w:tabs>
      </w:pPr>
      <w:r>
        <w:t xml:space="preserve">      </w:t>
      </w:r>
      <w:r w:rsidR="00AE2C80">
        <w:t xml:space="preserve">       </w:t>
      </w:r>
      <w:r>
        <w:t xml:space="preserve"> /       /20</w:t>
      </w:r>
      <w:r w:rsidR="00BA4808">
        <w:t>18</w:t>
      </w:r>
      <w:r w:rsidR="008331C2">
        <w:tab/>
        <w:t xml:space="preserve">      </w:t>
      </w:r>
      <w:r w:rsidR="00AE2C80">
        <w:tab/>
      </w:r>
      <w:r w:rsidR="00AE2C80">
        <w:tab/>
        <w:t xml:space="preserve">    </w:t>
      </w:r>
      <w:r w:rsidR="008331C2">
        <w:t xml:space="preserve"> </w:t>
      </w:r>
      <w:r>
        <w:t>/       /20</w:t>
      </w:r>
      <w:r w:rsidR="00BA4808">
        <w:t>18</w:t>
      </w:r>
    </w:p>
    <w:p w14:paraId="6B8AE3DD" w14:textId="77777777" w:rsidR="008331C2" w:rsidRPr="008331C2" w:rsidRDefault="008331C2" w:rsidP="008331C2">
      <w:r w:rsidRPr="008331C2">
        <w:br w:type="page"/>
      </w:r>
    </w:p>
    <w:p w14:paraId="4A54769E" w14:textId="77777777" w:rsidR="00811AC6" w:rsidRDefault="0083625C" w:rsidP="00A2547F">
      <w:pPr>
        <w:pStyle w:val="Heading1"/>
      </w:pPr>
      <w:r>
        <w:lastRenderedPageBreak/>
        <w:t xml:space="preserve">Background </w:t>
      </w:r>
    </w:p>
    <w:p w14:paraId="25576371" w14:textId="77777777" w:rsidR="0083625C" w:rsidRDefault="0083625C" w:rsidP="0083625C">
      <w:pPr>
        <w:pStyle w:val="NumberedParagraph"/>
      </w:pPr>
      <w:r>
        <w:t>There has been significant international concern recently over the ability of highly digitalised companies to derive</w:t>
      </w:r>
      <w:r w:rsidR="00DF0DE3">
        <w:t xml:space="preserve"> significant</w:t>
      </w:r>
      <w:r>
        <w:t xml:space="preserve"> income from a country without being liable for income tax there.  </w:t>
      </w:r>
      <w:r w:rsidR="00B22BA9">
        <w:t>This is also an issue for New Zealand.</w:t>
      </w:r>
    </w:p>
    <w:p w14:paraId="248EA9F0" w14:textId="3E7F3004" w:rsidR="00145B30" w:rsidRDefault="00145B30" w:rsidP="00814365">
      <w:pPr>
        <w:pStyle w:val="NumberedParagraph"/>
      </w:pPr>
      <w:r>
        <w:t xml:space="preserve">The value of cross border digital services provided </w:t>
      </w:r>
      <w:r w:rsidR="00B22BA9">
        <w:t xml:space="preserve">to New Zealand consumers </w:t>
      </w:r>
      <w:r>
        <w:t>is estimated to be approximately $2.7 billion in 2018, and this market is expected to continue growing</w:t>
      </w:r>
      <w:r w:rsidR="00FE0F95">
        <w:t xml:space="preserve">.  </w:t>
      </w:r>
      <w:r w:rsidR="00FE0F95" w:rsidRPr="00AA6CC6">
        <w:t>For online advertising, the New Zealand market for 2017 was $923 million, which was 36% of New Zealand’s advertising market</w:t>
      </w:r>
      <w:r w:rsidR="00FE0F95">
        <w:t>.</w:t>
      </w:r>
      <w:r w:rsidR="00D012E1">
        <w:t xml:space="preserve">  The total size of New Zealand’s</w:t>
      </w:r>
      <w:r w:rsidR="004A6EF6">
        <w:t xml:space="preserve"> </w:t>
      </w:r>
      <w:r w:rsidR="00D012E1">
        <w:t>e</w:t>
      </w:r>
      <w:r w:rsidR="00A41992">
        <w:t>-</w:t>
      </w:r>
      <w:r w:rsidR="00D012E1">
        <w:t>commerce</w:t>
      </w:r>
      <w:r w:rsidR="004A6EF6">
        <w:t xml:space="preserve"> market</w:t>
      </w:r>
      <w:r w:rsidR="00B22BA9">
        <w:t xml:space="preserve"> is hard to ascertain</w:t>
      </w:r>
      <w:r w:rsidR="004A6EF6">
        <w:t xml:space="preserve">, but a rough estimate is $26 billion in total, </w:t>
      </w:r>
      <w:r w:rsidR="004A6EF6" w:rsidRPr="00AA6CC6">
        <w:t>with supplies from offshore worth $11.5 billion</w:t>
      </w:r>
      <w:r w:rsidR="004A6EF6">
        <w:t>.</w:t>
      </w:r>
    </w:p>
    <w:p w14:paraId="101A2565" w14:textId="77777777" w:rsidR="0083625C" w:rsidRDefault="00B22BA9" w:rsidP="00AA6CC6">
      <w:pPr>
        <w:pStyle w:val="NumberedParagraph"/>
      </w:pPr>
      <w:r>
        <w:t>The current problem</w:t>
      </w:r>
      <w:r w:rsidR="00145B30">
        <w:t xml:space="preserve"> </w:t>
      </w:r>
      <w:r w:rsidR="008D0B4F">
        <w:t xml:space="preserve">with taxing the digital economy </w:t>
      </w:r>
      <w:r w:rsidR="00145B30">
        <w:t>relate</w:t>
      </w:r>
      <w:r w:rsidR="00D012E1">
        <w:t>s</w:t>
      </w:r>
      <w:r w:rsidR="00145B30">
        <w:t xml:space="preserve"> to income tax, rather than GST. GST has been applied to ‘remote’ services since 2016</w:t>
      </w:r>
      <w:r w:rsidR="008D0B4F">
        <w:t xml:space="preserve"> (including digital services)</w:t>
      </w:r>
      <w:r w:rsidR="00145B30">
        <w:t xml:space="preserve">, and the Government </w:t>
      </w:r>
      <w:r>
        <w:t>has announced its intention to charge GST on</w:t>
      </w:r>
      <w:r w:rsidR="00145B30">
        <w:t xml:space="preserve"> low-value imported goods</w:t>
      </w:r>
      <w:r>
        <w:t xml:space="preserve"> from 1 October 2019</w:t>
      </w:r>
      <w:r w:rsidR="00145B30">
        <w:t>.</w:t>
      </w:r>
    </w:p>
    <w:p w14:paraId="561958ED" w14:textId="77777777" w:rsidR="008D0B4F" w:rsidRDefault="008D0B4F" w:rsidP="008D0B4F">
      <w:pPr>
        <w:pStyle w:val="NumberedParagraph"/>
      </w:pPr>
      <w:r>
        <w:t xml:space="preserve">We previously reported on the digital economy in </w:t>
      </w:r>
      <w:r w:rsidRPr="00AA6CC6">
        <w:t>IR2017/657</w:t>
      </w:r>
      <w:r>
        <w:t xml:space="preserve"> and IR 2018/200.</w:t>
      </w:r>
    </w:p>
    <w:p w14:paraId="25754FA5" w14:textId="77777777" w:rsidR="00561744" w:rsidRDefault="00561744" w:rsidP="00561744">
      <w:pPr>
        <w:pStyle w:val="Heading1"/>
      </w:pPr>
      <w:r>
        <w:t>The problem</w:t>
      </w:r>
    </w:p>
    <w:p w14:paraId="207D34BA" w14:textId="77777777" w:rsidR="00561744" w:rsidRDefault="00561744" w:rsidP="00561744">
      <w:pPr>
        <w:pStyle w:val="NumberedParagraph"/>
      </w:pPr>
      <w:r>
        <w:t>The main problem is that the current international tax framework has not kept up with modern business practices, particularly digitalisation.  In particular:</w:t>
      </w:r>
      <w:r w:rsidRPr="00561744">
        <w:t xml:space="preserve"> </w:t>
      </w:r>
    </w:p>
    <w:p w14:paraId="7E5C777E" w14:textId="77777777" w:rsidR="00561744" w:rsidRDefault="00561744" w:rsidP="00561744">
      <w:pPr>
        <w:pStyle w:val="NumberedParagraph"/>
        <w:numPr>
          <w:ilvl w:val="0"/>
          <w:numId w:val="29"/>
        </w:numPr>
      </w:pPr>
      <w:r>
        <w:t>Digital companies can transact with customers over the internet without having the physical presence required by double tax agreements</w:t>
      </w:r>
      <w:r w:rsidR="008D0B4F">
        <w:t xml:space="preserve"> (DTAs)</w:t>
      </w:r>
      <w:r>
        <w:t xml:space="preserve"> for income t</w:t>
      </w:r>
      <w:r w:rsidR="00B22BA9">
        <w:t>ax to be charged in the country.</w:t>
      </w:r>
    </w:p>
    <w:p w14:paraId="3C611841" w14:textId="77777777" w:rsidR="00561744" w:rsidRDefault="00561744" w:rsidP="00561744">
      <w:pPr>
        <w:pStyle w:val="NumberedParagraph"/>
        <w:numPr>
          <w:ilvl w:val="0"/>
          <w:numId w:val="29"/>
        </w:numPr>
      </w:pPr>
      <w:r>
        <w:t xml:space="preserve">Even if a digital company does have a </w:t>
      </w:r>
      <w:r w:rsidR="00B22BA9">
        <w:t>taxable presence</w:t>
      </w:r>
      <w:r>
        <w:t xml:space="preserve"> in a country, the profit allocation rules do not recognise the new kinds of value that are generated by digital companies in </w:t>
      </w:r>
      <w:r w:rsidR="00B22BA9">
        <w:t>that country.</w:t>
      </w:r>
    </w:p>
    <w:p w14:paraId="73EC5CA3" w14:textId="77777777" w:rsidR="00561744" w:rsidRDefault="00561744" w:rsidP="00561744">
      <w:pPr>
        <w:pStyle w:val="NumberedParagraph"/>
        <w:numPr>
          <w:ilvl w:val="0"/>
          <w:numId w:val="29"/>
        </w:numPr>
      </w:pPr>
      <w:r>
        <w:t xml:space="preserve">Much of the value of digital companies </w:t>
      </w:r>
      <w:r w:rsidR="008D0B4F">
        <w:t>is attributable</w:t>
      </w:r>
      <w:r>
        <w:t xml:space="preserve"> to intangible assets. These intangibles are hard to value. They are also mobile, meaning the income attributable to them can be easily moved to low tax jurisdictions.  </w:t>
      </w:r>
      <w:r w:rsidR="008D0B4F">
        <w:t>We note this is also an issue for the taxation of some</w:t>
      </w:r>
      <w:r w:rsidR="00B22BA9">
        <w:t xml:space="preserve"> non-digital companies.</w:t>
      </w:r>
    </w:p>
    <w:p w14:paraId="4DAAD00D" w14:textId="77777777" w:rsidR="00561744" w:rsidRDefault="00561744" w:rsidP="00561744">
      <w:pPr>
        <w:pStyle w:val="NumberedParagraph"/>
      </w:pPr>
      <w:r>
        <w:t>The result of this is that digital companies can participate significantly in the economic life of a country</w:t>
      </w:r>
      <w:r w:rsidR="00B22BA9">
        <w:t>,</w:t>
      </w:r>
      <w:r>
        <w:t xml:space="preserve"> without being liable for any income tax there.  </w:t>
      </w:r>
    </w:p>
    <w:p w14:paraId="2CFC5FDC" w14:textId="77777777" w:rsidR="00561744" w:rsidRDefault="00561744" w:rsidP="00561744">
      <w:pPr>
        <w:pStyle w:val="NumberedParagraph"/>
      </w:pPr>
      <w:r>
        <w:t xml:space="preserve">This under-taxation of the digital economy threatens the sustainability of Government revenues and public perceptions of the fairness of the tax system.  It also provides a competitive advantage to </w:t>
      </w:r>
      <w:r w:rsidR="00B22BA9">
        <w:t xml:space="preserve">overseas </w:t>
      </w:r>
      <w:r>
        <w:t xml:space="preserve">digital companies compared to local businesses, which are subject to full income tax. </w:t>
      </w:r>
    </w:p>
    <w:p w14:paraId="68F64C4B" w14:textId="77777777" w:rsidR="005E41B2" w:rsidRDefault="0020153A" w:rsidP="005E41B2">
      <w:pPr>
        <w:pStyle w:val="Heading1"/>
      </w:pPr>
      <w:r>
        <w:t>Options for solving the problem</w:t>
      </w:r>
    </w:p>
    <w:p w14:paraId="4BD9BD20" w14:textId="2FC43CBC" w:rsidR="00041CB5" w:rsidRDefault="005E41B2" w:rsidP="00041CB5">
      <w:pPr>
        <w:pStyle w:val="NumberedParagraph"/>
      </w:pPr>
      <w:r>
        <w:t xml:space="preserve">There are two </w:t>
      </w:r>
      <w:r w:rsidR="002F60D8">
        <w:t>options for</w:t>
      </w:r>
      <w:r>
        <w:t xml:space="preserve"> </w:t>
      </w:r>
      <w:r w:rsidR="0020153A">
        <w:t>solving</w:t>
      </w:r>
      <w:r>
        <w:t xml:space="preserve"> the problem.  One is to change the current international income tax framework.  The other is to apply a separate tax (</w:t>
      </w:r>
      <w:r w:rsidR="00B22BA9">
        <w:t>usuall</w:t>
      </w:r>
      <w:r w:rsidR="004E6DDC">
        <w:t>y</w:t>
      </w:r>
      <w:r>
        <w:t xml:space="preserve"> called an equalisation tax, or a digital services tax</w:t>
      </w:r>
      <w:r w:rsidR="00B22BA9">
        <w:t>)</w:t>
      </w:r>
      <w:r>
        <w:t xml:space="preserve"> to digital transactions.  </w:t>
      </w:r>
    </w:p>
    <w:p w14:paraId="7B395355" w14:textId="77777777" w:rsidR="005E41B2" w:rsidRDefault="005E41B2" w:rsidP="00041CB5">
      <w:pPr>
        <w:pStyle w:val="NumberedParagraph"/>
        <w:numPr>
          <w:ilvl w:val="0"/>
          <w:numId w:val="0"/>
        </w:numPr>
      </w:pPr>
      <w:r>
        <w:rPr>
          <w:b/>
        </w:rPr>
        <w:t>Changing the international framework</w:t>
      </w:r>
      <w:r>
        <w:t xml:space="preserve"> </w:t>
      </w:r>
    </w:p>
    <w:p w14:paraId="613ED47F" w14:textId="7A776936" w:rsidR="00041CB5" w:rsidRDefault="00FE20A5" w:rsidP="00797E34">
      <w:pPr>
        <w:pStyle w:val="NumberedParagraph"/>
      </w:pPr>
      <w:r>
        <w:t xml:space="preserve">Changing the international framework is </w:t>
      </w:r>
      <w:r w:rsidR="00A41992">
        <w:t xml:space="preserve">generally </w:t>
      </w:r>
      <w:r>
        <w:t>agreed</w:t>
      </w:r>
      <w:r w:rsidR="00A41992">
        <w:t xml:space="preserve"> by countries</w:t>
      </w:r>
      <w:r>
        <w:t xml:space="preserve"> to be the best </w:t>
      </w:r>
      <w:r w:rsidR="000278F4">
        <w:t>long-term</w:t>
      </w:r>
      <w:r>
        <w:t xml:space="preserve"> solution to the taxation of the digital economy.  However, it re</w:t>
      </w:r>
      <w:r w:rsidR="00041CB5">
        <w:t xml:space="preserve">quires changes to existing </w:t>
      </w:r>
      <w:r w:rsidR="008D0B4F">
        <w:t xml:space="preserve">DTAs </w:t>
      </w:r>
      <w:r w:rsidR="00041CB5">
        <w:t>and international standards.  Accordingly</w:t>
      </w:r>
      <w:r w:rsidR="00D07B4A">
        <w:t>,</w:t>
      </w:r>
      <w:r w:rsidR="00041CB5">
        <w:t xml:space="preserve"> New Zealand cannot change this framework </w:t>
      </w:r>
      <w:r w:rsidR="004E6DDC">
        <w:t>by itself</w:t>
      </w:r>
      <w:r w:rsidR="00041CB5">
        <w:t xml:space="preserve"> - it</w:t>
      </w:r>
      <w:r w:rsidR="005E41B2">
        <w:t xml:space="preserve"> requires multilateral agreement</w:t>
      </w:r>
      <w:r w:rsidR="00041CB5">
        <w:t xml:space="preserve">.  </w:t>
      </w:r>
    </w:p>
    <w:p w14:paraId="426AE647" w14:textId="77777777" w:rsidR="005E41B2" w:rsidRDefault="00041CB5" w:rsidP="00797E34">
      <w:pPr>
        <w:pStyle w:val="NumberedParagraph"/>
      </w:pPr>
      <w:r>
        <w:lastRenderedPageBreak/>
        <w:t xml:space="preserve">Countries are currently discussing </w:t>
      </w:r>
      <w:r w:rsidR="008D0B4F">
        <w:t xml:space="preserve">possible changes to address the problems with the international framework </w:t>
      </w:r>
      <w:r>
        <w:t>at the OECD.</w:t>
      </w:r>
      <w:r w:rsidR="005E41B2">
        <w:t xml:space="preserve"> </w:t>
      </w:r>
      <w:r>
        <w:t xml:space="preserve"> </w:t>
      </w:r>
      <w:r w:rsidR="004E6DDC">
        <w:t xml:space="preserve">There are 3 </w:t>
      </w:r>
      <w:r w:rsidR="002F60D8">
        <w:t>proposals</w:t>
      </w:r>
      <w:r w:rsidR="004E6DDC">
        <w:t xml:space="preserve"> being considered:</w:t>
      </w:r>
    </w:p>
    <w:p w14:paraId="1A10F8FA" w14:textId="755B224F" w:rsidR="005E41B2" w:rsidRDefault="005E41B2" w:rsidP="005E41B2">
      <w:pPr>
        <w:pStyle w:val="NumberedParagraph"/>
        <w:numPr>
          <w:ilvl w:val="0"/>
          <w:numId w:val="19"/>
        </w:numPr>
      </w:pPr>
      <w:r>
        <w:t xml:space="preserve">A limited </w:t>
      </w:r>
      <w:r w:rsidR="0020153A">
        <w:t>proposal for</w:t>
      </w:r>
      <w:r>
        <w:t xml:space="preserve"> digital services</w:t>
      </w:r>
      <w:r w:rsidR="0020153A">
        <w:t xml:space="preserve"> only</w:t>
      </w:r>
      <w:r>
        <w:t xml:space="preserve">, focussing on social media, digital advertising, multi-sided platforms and data.  This is </w:t>
      </w:r>
      <w:r w:rsidR="00D07B4A">
        <w:t>consistent with how the European Union (EU) and the United Kingdom</w:t>
      </w:r>
      <w:r w:rsidR="00D07B4A" w:rsidDel="00D07B4A">
        <w:t xml:space="preserve"> </w:t>
      </w:r>
      <w:r w:rsidR="00D07B4A">
        <w:t>(UK)</w:t>
      </w:r>
      <w:r w:rsidR="00507E3F">
        <w:t xml:space="preserve"> have proposed</w:t>
      </w:r>
      <w:r w:rsidR="00D07B4A">
        <w:t xml:space="preserve"> address</w:t>
      </w:r>
      <w:r w:rsidR="00507E3F">
        <w:t>ing</w:t>
      </w:r>
      <w:r w:rsidR="00D07B4A">
        <w:t xml:space="preserve"> the issue</w:t>
      </w:r>
      <w:r w:rsidR="008D0B4F">
        <w:t>.</w:t>
      </w:r>
    </w:p>
    <w:p w14:paraId="182C57BA" w14:textId="48C682BD" w:rsidR="005E41B2" w:rsidRPr="0058104D" w:rsidRDefault="005E41B2" w:rsidP="00C5436B">
      <w:pPr>
        <w:pStyle w:val="NumberedParagraph"/>
        <w:numPr>
          <w:ilvl w:val="0"/>
          <w:numId w:val="19"/>
        </w:numPr>
        <w:rPr>
          <w:color w:val="BFBFBF" w:themeColor="background1" w:themeShade="BF"/>
        </w:rPr>
      </w:pPr>
      <w:r>
        <w:t xml:space="preserve">A broader </w:t>
      </w:r>
      <w:r w:rsidR="0020153A">
        <w:t>proposal</w:t>
      </w:r>
      <w:r>
        <w:t xml:space="preserve">, which would allow </w:t>
      </w:r>
      <w:r w:rsidR="004E6DDC">
        <w:t>greater taxing rights to market countries</w:t>
      </w:r>
      <w:r w:rsidR="008D0B4F">
        <w:t xml:space="preserve"> (such as</w:t>
      </w:r>
      <w:r w:rsidR="00D07B4A">
        <w:t>,</w:t>
      </w:r>
      <w:r w:rsidR="008D0B4F">
        <w:t xml:space="preserve"> New Zealand)</w:t>
      </w:r>
      <w:r>
        <w:t xml:space="preserve"> based on certain “market intangibles” created there by multinationals</w:t>
      </w:r>
      <w:r w:rsidR="00C5436B">
        <w:t xml:space="preserve">.  These are </w:t>
      </w:r>
      <w:r w:rsidR="00C5436B" w:rsidRPr="00C5436B">
        <w:t>intangible</w:t>
      </w:r>
      <w:r w:rsidR="00C5436B">
        <w:t>s that relate</w:t>
      </w:r>
      <w:r w:rsidR="00C5436B" w:rsidRPr="00C5436B">
        <w:t xml:space="preserve"> to marketing activities</w:t>
      </w:r>
      <w:r w:rsidR="00C5436B">
        <w:t xml:space="preserve"> in the country, or which aid</w:t>
      </w:r>
      <w:r w:rsidR="00C5436B" w:rsidRPr="00C5436B">
        <w:t xml:space="preserve"> in the commercial exploit</w:t>
      </w:r>
      <w:r w:rsidR="00C5436B">
        <w:t xml:space="preserve">ation of a product or service </w:t>
      </w:r>
      <w:r w:rsidR="00C5436B" w:rsidRPr="00C5436B">
        <w:t xml:space="preserve">or </w:t>
      </w:r>
      <w:r w:rsidR="00C5436B">
        <w:t>have</w:t>
      </w:r>
      <w:r w:rsidR="00C5436B" w:rsidRPr="00C5436B">
        <w:t xml:space="preserve"> an important promotional value </w:t>
      </w:r>
      <w:r w:rsidR="00A83F40">
        <w:t xml:space="preserve">(such as </w:t>
      </w:r>
      <w:r w:rsidR="00A83F40" w:rsidRPr="00A83F40">
        <w:t>brand</w:t>
      </w:r>
      <w:r w:rsidR="00C5436B">
        <w:t>s</w:t>
      </w:r>
      <w:r w:rsidR="00A83F40" w:rsidRPr="00A83F40">
        <w:t xml:space="preserve"> and trade name</w:t>
      </w:r>
      <w:r w:rsidR="00A83F40">
        <w:t>s</w:t>
      </w:r>
      <w:r w:rsidR="00C5436B">
        <w:t xml:space="preserve"> used in a country</w:t>
      </w:r>
      <w:r w:rsidR="00A83F40">
        <w:t xml:space="preserve">, </w:t>
      </w:r>
      <w:r w:rsidR="00A83F40" w:rsidRPr="00A83F40">
        <w:t>customer data, customer relationships and customer lists</w:t>
      </w:r>
      <w:r w:rsidR="00A83F40">
        <w:t>)</w:t>
      </w:r>
      <w:r>
        <w:t xml:space="preserve">.  </w:t>
      </w:r>
      <w:r w:rsidR="00041CB5">
        <w:t>This is</w:t>
      </w:r>
      <w:r w:rsidR="00D07B4A">
        <w:t xml:space="preserve"> how</w:t>
      </w:r>
      <w:r w:rsidR="00041CB5">
        <w:t xml:space="preserve"> the U</w:t>
      </w:r>
      <w:r w:rsidR="00D07B4A">
        <w:t xml:space="preserve">nited </w:t>
      </w:r>
      <w:r w:rsidR="00041CB5">
        <w:t>S</w:t>
      </w:r>
      <w:r w:rsidR="00D07B4A">
        <w:t xml:space="preserve">tates (US) </w:t>
      </w:r>
      <w:r w:rsidR="00507E3F">
        <w:t>has</w:t>
      </w:r>
      <w:r w:rsidR="00041CB5">
        <w:t xml:space="preserve"> </w:t>
      </w:r>
      <w:r w:rsidR="00507E3F">
        <w:t>proposed addressing the issue</w:t>
      </w:r>
      <w:r w:rsidR="00041CB5">
        <w:t xml:space="preserve">.  </w:t>
      </w:r>
      <w:r>
        <w:t>This</w:t>
      </w:r>
      <w:r w:rsidR="00041CB5">
        <w:t xml:space="preserve"> </w:t>
      </w:r>
      <w:r w:rsidR="00B3583E">
        <w:t>approach</w:t>
      </w:r>
      <w:r>
        <w:t xml:space="preserve"> would apply beyond the digital economy, but we expect it to be targeted at large companies with significant intangible value in market jurisdictions.  </w:t>
      </w:r>
      <w:r w:rsidR="0058104D" w:rsidRPr="0058104D">
        <w:rPr>
          <w:shd w:val="clear" w:color="auto" w:fill="BFBFBF" w:themeFill="background1" w:themeFillShade="BF"/>
        </w:rPr>
        <w:t>s 6(a)</w:t>
      </w:r>
      <w:r w:rsidR="0058104D" w:rsidRPr="0058104D">
        <w:rPr>
          <w:color w:val="BFBFBF" w:themeColor="background1" w:themeShade="BF"/>
          <w:shd w:val="clear" w:color="auto" w:fill="BFBFBF" w:themeFill="background1" w:themeFillShade="BF"/>
        </w:rPr>
        <w:t>………</w:t>
      </w:r>
      <w:r w:rsidR="0058104D">
        <w:rPr>
          <w:color w:val="BFBFBF" w:themeColor="background1" w:themeShade="BF"/>
          <w:shd w:val="clear" w:color="auto" w:fill="BFBFBF" w:themeFill="background1" w:themeFillShade="BF"/>
        </w:rPr>
        <w:t>….</w:t>
      </w:r>
      <w:r w:rsidR="0058104D" w:rsidRPr="0058104D">
        <w:rPr>
          <w:color w:val="BFBFBF" w:themeColor="background1" w:themeShade="BF"/>
          <w:shd w:val="clear" w:color="auto" w:fill="BFBFBF" w:themeFill="background1" w:themeFillShade="BF"/>
        </w:rPr>
        <w:t>…………</w:t>
      </w:r>
      <w:r w:rsidR="0058104D">
        <w:rPr>
          <w:color w:val="BFBFBF" w:themeColor="background1" w:themeShade="BF"/>
          <w:shd w:val="clear" w:color="auto" w:fill="BFBFBF" w:themeFill="background1" w:themeFillShade="BF"/>
        </w:rPr>
        <w:t xml:space="preserve"> .</w:t>
      </w:r>
      <w:r w:rsidR="0058104D" w:rsidRPr="0058104D">
        <w:rPr>
          <w:color w:val="BFBFBF" w:themeColor="background1" w:themeShade="BF"/>
          <w:shd w:val="clear" w:color="auto" w:fill="BFBFBF" w:themeFill="background1" w:themeFillShade="BF"/>
        </w:rPr>
        <w:t>…………………………………………………………………………………………………</w:t>
      </w:r>
      <w:r w:rsidR="0058104D">
        <w:rPr>
          <w:color w:val="BFBFBF" w:themeColor="background1" w:themeShade="BF"/>
          <w:shd w:val="clear" w:color="auto" w:fill="BFBFBF" w:themeFill="background1" w:themeFillShade="BF"/>
        </w:rPr>
        <w:t>.</w:t>
      </w:r>
      <w:r w:rsidR="0058104D" w:rsidRPr="0058104D">
        <w:rPr>
          <w:color w:val="BFBFBF" w:themeColor="background1" w:themeShade="BF"/>
          <w:shd w:val="clear" w:color="auto" w:fill="BFBFBF" w:themeFill="background1" w:themeFillShade="BF"/>
        </w:rPr>
        <w:t>…</w:t>
      </w:r>
      <w:r w:rsidR="0058104D">
        <w:rPr>
          <w:color w:val="BFBFBF" w:themeColor="background1" w:themeShade="BF"/>
          <w:shd w:val="clear" w:color="auto" w:fill="BFBFBF" w:themeFill="background1" w:themeFillShade="BF"/>
        </w:rPr>
        <w:t>…</w:t>
      </w:r>
      <w:r w:rsidR="0058104D" w:rsidRPr="0058104D">
        <w:rPr>
          <w:color w:val="BFBFBF" w:themeColor="background1" w:themeShade="BF"/>
          <w:shd w:val="clear" w:color="auto" w:fill="BFBFBF" w:themeFill="background1" w:themeFillShade="BF"/>
        </w:rPr>
        <w:t>……………</w:t>
      </w:r>
      <w:r w:rsidR="0058104D">
        <w:rPr>
          <w:color w:val="BFBFBF" w:themeColor="background1" w:themeShade="BF"/>
          <w:shd w:val="clear" w:color="auto" w:fill="BFBFBF" w:themeFill="background1" w:themeFillShade="BF"/>
        </w:rPr>
        <w:t>.</w:t>
      </w:r>
      <w:r w:rsidR="0058104D" w:rsidRPr="0058104D">
        <w:rPr>
          <w:color w:val="BFBFBF" w:themeColor="background1" w:themeShade="BF"/>
          <w:shd w:val="clear" w:color="auto" w:fill="BFBFBF" w:themeFill="background1" w:themeFillShade="BF"/>
        </w:rPr>
        <w:t>……………………………………..</w:t>
      </w:r>
    </w:p>
    <w:p w14:paraId="782E4A4A" w14:textId="037E933B" w:rsidR="005E41B2" w:rsidRDefault="005E41B2" w:rsidP="005E41B2">
      <w:pPr>
        <w:pStyle w:val="NumberedParagraph"/>
        <w:numPr>
          <w:ilvl w:val="0"/>
          <w:numId w:val="19"/>
        </w:numPr>
      </w:pPr>
      <w:r>
        <w:t>A minimum tax proposal</w:t>
      </w:r>
      <w:r w:rsidR="00D07B4A">
        <w:t xml:space="preserve"> </w:t>
      </w:r>
      <w:r w:rsidR="00041CB5">
        <w:t xml:space="preserve">suggested by France and Germany.  </w:t>
      </w:r>
      <w:r>
        <w:t>This</w:t>
      </w:r>
      <w:r w:rsidR="00041CB5">
        <w:t xml:space="preserve"> </w:t>
      </w:r>
      <w:r w:rsidR="002F60D8">
        <w:t>proposal</w:t>
      </w:r>
      <w:r>
        <w:t xml:space="preserve"> would apply beyond </w:t>
      </w:r>
      <w:r w:rsidR="008D0B4F">
        <w:t>the digital economy</w:t>
      </w:r>
      <w:r>
        <w:t xml:space="preserve"> and would be targeted at </w:t>
      </w:r>
      <w:r w:rsidR="008D0B4F">
        <w:t>a multinational</w:t>
      </w:r>
      <w:r w:rsidR="00830307">
        <w:t>’</w:t>
      </w:r>
      <w:r w:rsidR="008D0B4F">
        <w:t>s</w:t>
      </w:r>
      <w:r>
        <w:t xml:space="preserve"> transactions with</w:t>
      </w:r>
      <w:r w:rsidR="008D0B4F">
        <w:t xml:space="preserve"> related parties in</w:t>
      </w:r>
      <w:r>
        <w:t xml:space="preserve"> low tax jurisdictions.  This proposal addresses</w:t>
      </w:r>
      <w:r w:rsidR="000F343E">
        <w:t xml:space="preserve"> some remaining</w:t>
      </w:r>
      <w:r>
        <w:t xml:space="preserve"> </w:t>
      </w:r>
      <w:r w:rsidR="000F343E">
        <w:t>base erosion and profit shifting (BEPS) issues</w:t>
      </w:r>
      <w:r>
        <w:t xml:space="preserve"> and is not </w:t>
      </w:r>
      <w:r w:rsidR="00D07B4A">
        <w:t>specifically directed at</w:t>
      </w:r>
      <w:r>
        <w:t xml:space="preserve"> the digital economy</w:t>
      </w:r>
      <w:r w:rsidR="00507E3F">
        <w:t xml:space="preserve"> (although it would also apply to digital companies)</w:t>
      </w:r>
      <w:r>
        <w:t xml:space="preserve">.  </w:t>
      </w:r>
      <w:r w:rsidR="00DE404E">
        <w:t xml:space="preserve">This </w:t>
      </w:r>
      <w:r w:rsidR="002F60D8">
        <w:t>proposal</w:t>
      </w:r>
      <w:r w:rsidR="00DE404E">
        <w:t xml:space="preserve"> is independent of the first two, and so could apply in addition to one of them</w:t>
      </w:r>
    </w:p>
    <w:p w14:paraId="163FDCD6" w14:textId="60249BF2" w:rsidR="00135D91" w:rsidRDefault="00041CB5" w:rsidP="003A060B">
      <w:pPr>
        <w:pStyle w:val="NumberedParagraph"/>
      </w:pPr>
      <w:r>
        <w:t>Neither of the first two</w:t>
      </w:r>
      <w:r w:rsidR="008D5CC2">
        <w:t xml:space="preserve"> </w:t>
      </w:r>
      <w:r w:rsidR="002F60D8">
        <w:t>proposals</w:t>
      </w:r>
      <w:r w:rsidR="008D5CC2">
        <w:t xml:space="preserve"> would require a digital company to have a physical presence in a market country.  Accordingly, </w:t>
      </w:r>
      <w:r w:rsidR="004E6DDC">
        <w:t xml:space="preserve">both </w:t>
      </w:r>
      <w:r w:rsidR="002F60D8">
        <w:t>proposals</w:t>
      </w:r>
      <w:r w:rsidR="004E6DDC">
        <w:t xml:space="preserve"> should</w:t>
      </w:r>
      <w:r w:rsidR="008D5CC2">
        <w:t xml:space="preserve"> allow New Zealand to tax highly digitalised </w:t>
      </w:r>
      <w:r w:rsidR="00EA4FC4">
        <w:t>companies</w:t>
      </w:r>
      <w:r w:rsidR="008D5CC2">
        <w:t xml:space="preserve"> on their sales income </w:t>
      </w:r>
      <w:r w:rsidR="004E6DDC">
        <w:t>here</w:t>
      </w:r>
      <w:r w:rsidR="008D5CC2">
        <w:t xml:space="preserve"> (with the second </w:t>
      </w:r>
      <w:r w:rsidR="002F60D8">
        <w:t>proposal</w:t>
      </w:r>
      <w:r w:rsidR="008D5CC2">
        <w:t xml:space="preserve"> also allowing us to tax other </w:t>
      </w:r>
      <w:r w:rsidR="00EA4FC4">
        <w:t>multinationals</w:t>
      </w:r>
      <w:r w:rsidR="008D5CC2">
        <w:t xml:space="preserve"> with significant </w:t>
      </w:r>
      <w:r w:rsidR="00FE20A5">
        <w:t>local marketing intangibles</w:t>
      </w:r>
      <w:r w:rsidR="008D5CC2">
        <w:t>).</w:t>
      </w:r>
      <w:r w:rsidR="00DE404E">
        <w:t xml:space="preserve">  </w:t>
      </w:r>
      <w:r w:rsidR="004E6DDC">
        <w:t xml:space="preserve">The OECD is also discussing whether the first two </w:t>
      </w:r>
      <w:r w:rsidR="002F60D8">
        <w:t>proposals</w:t>
      </w:r>
      <w:r w:rsidR="004E6DDC">
        <w:t xml:space="preserve"> could be combined.  </w:t>
      </w:r>
    </w:p>
    <w:p w14:paraId="22E50347" w14:textId="4AC0B40D" w:rsidR="008D5CC2" w:rsidRDefault="00135D91" w:rsidP="003A060B">
      <w:pPr>
        <w:pStyle w:val="NumberedParagraph"/>
      </w:pPr>
      <w:r>
        <w:t xml:space="preserve">The OECD’s proposals would </w:t>
      </w:r>
      <w:r w:rsidR="00616617">
        <w:t xml:space="preserve">potentially apply to </w:t>
      </w:r>
      <w:r>
        <w:t xml:space="preserve">the </w:t>
      </w:r>
      <w:r w:rsidR="00C42A4D">
        <w:t xml:space="preserve">124 </w:t>
      </w:r>
      <w:r>
        <w:t xml:space="preserve">countries forming part of </w:t>
      </w:r>
      <w:r w:rsidR="00FE20A5">
        <w:t>its</w:t>
      </w:r>
      <w:r>
        <w:t xml:space="preserve"> wider Inclusive Framework (</w:t>
      </w:r>
      <w:r w:rsidR="00616617">
        <w:t>which includes</w:t>
      </w:r>
      <w:r>
        <w:t xml:space="preserve"> China and India)</w:t>
      </w:r>
      <w:r w:rsidR="00616617">
        <w:t>, plus any other countries which elected to adopt them</w:t>
      </w:r>
      <w:r>
        <w:t>.</w:t>
      </w:r>
      <w:r w:rsidR="00C42A4D">
        <w:t xml:space="preserve">  </w:t>
      </w:r>
    </w:p>
    <w:p w14:paraId="46BB8127" w14:textId="4E076861" w:rsidR="00CF7398" w:rsidRDefault="004E6DDC" w:rsidP="00DB2C8A">
      <w:pPr>
        <w:pStyle w:val="NumberedParagraph"/>
      </w:pPr>
      <w:r>
        <w:t>There is still disagreement at the OECD on what should be done.  However</w:t>
      </w:r>
      <w:r w:rsidR="00D07B4A">
        <w:t>,</w:t>
      </w:r>
      <w:r>
        <w:t xml:space="preserve"> countries have committed to reaching consensus on an international solution by 2020 and the</w:t>
      </w:r>
      <w:r w:rsidR="005E41B2">
        <w:t xml:space="preserve"> OECD is putting a </w:t>
      </w:r>
      <w:r w:rsidR="005A192A">
        <w:t>significant</w:t>
      </w:r>
      <w:r w:rsidR="005E41B2">
        <w:t xml:space="preserve"> amount of effort into </w:t>
      </w:r>
      <w:r>
        <w:t>achieving this</w:t>
      </w:r>
      <w:r w:rsidR="005E41B2">
        <w:t xml:space="preserve">.  </w:t>
      </w:r>
      <w:r w:rsidR="002C3D26">
        <w:t>P</w:t>
      </w:r>
      <w:r w:rsidR="005E41B2">
        <w:t>rogress is being made</w:t>
      </w:r>
      <w:r w:rsidR="002C3D26">
        <w:t xml:space="preserve"> and there is a real possibility that the OECD will be </w:t>
      </w:r>
      <w:r>
        <w:t>successful</w:t>
      </w:r>
      <w:r w:rsidR="00DE404E">
        <w:t xml:space="preserve">, </w:t>
      </w:r>
      <w:r w:rsidR="008512E4" w:rsidRPr="008512E4">
        <w:rPr>
          <w:shd w:val="clear" w:color="auto" w:fill="BFBFBF" w:themeFill="background1" w:themeFillShade="BF"/>
        </w:rPr>
        <w:t>s 6(a)</w:t>
      </w:r>
      <w:r w:rsidR="008512E4" w:rsidRPr="00EF656C">
        <w:rPr>
          <w:color w:val="BFBFBF" w:themeColor="background1" w:themeShade="BF"/>
          <w:shd w:val="clear" w:color="auto" w:fill="BFBFBF" w:themeFill="background1" w:themeFillShade="BF"/>
        </w:rPr>
        <w:t>…………………………………………………………………</w:t>
      </w:r>
      <w:r w:rsidR="002C3D26">
        <w:t xml:space="preserve">.  </w:t>
      </w:r>
      <w:r w:rsidR="00CF7398">
        <w:t>But</w:t>
      </w:r>
      <w:r>
        <w:t xml:space="preserve"> it is still </w:t>
      </w:r>
      <w:r w:rsidR="00CF7398">
        <w:t xml:space="preserve">too early to </w:t>
      </w:r>
      <w:r w:rsidR="00EA4FC4">
        <w:t>tell</w:t>
      </w:r>
      <w:r>
        <w:t xml:space="preserve">.  </w:t>
      </w:r>
    </w:p>
    <w:p w14:paraId="22567E26" w14:textId="08789734" w:rsidR="005E41B2" w:rsidRDefault="004E6DDC" w:rsidP="00DB2C8A">
      <w:pPr>
        <w:pStyle w:val="NumberedParagraph"/>
      </w:pPr>
      <w:r>
        <w:t>T</w:t>
      </w:r>
      <w:r w:rsidR="005E41B2">
        <w:t xml:space="preserve">he OECD </w:t>
      </w:r>
      <w:r w:rsidR="00A4193B">
        <w:t>is</w:t>
      </w:r>
      <w:r>
        <w:t xml:space="preserve"> aiming for G20 approval of</w:t>
      </w:r>
      <w:r w:rsidR="005E41B2">
        <w:t xml:space="preserve"> </w:t>
      </w:r>
      <w:r w:rsidR="00653809">
        <w:t>its preferred</w:t>
      </w:r>
      <w:r w:rsidR="00CF7398">
        <w:t xml:space="preserve"> </w:t>
      </w:r>
      <w:r w:rsidR="0020153A">
        <w:t>proposal</w:t>
      </w:r>
      <w:r w:rsidR="00653809">
        <w:t>s</w:t>
      </w:r>
      <w:r>
        <w:t xml:space="preserve"> in June 2019</w:t>
      </w:r>
      <w:r w:rsidR="00B01439">
        <w:t xml:space="preserve"> </w:t>
      </w:r>
      <w:r w:rsidR="00EF656C" w:rsidRPr="00EF656C">
        <w:rPr>
          <w:shd w:val="clear" w:color="auto" w:fill="BFBFBF" w:themeFill="background1" w:themeFillShade="BF"/>
        </w:rPr>
        <w:t>s 6(a)</w:t>
      </w:r>
      <w:r w:rsidR="00EF656C" w:rsidRPr="00EF656C">
        <w:rPr>
          <w:color w:val="BFBFBF" w:themeColor="background1" w:themeShade="BF"/>
          <w:shd w:val="clear" w:color="auto" w:fill="BFBFBF" w:themeFill="background1" w:themeFillShade="BF"/>
        </w:rPr>
        <w:t xml:space="preserve"> …………………………………………………………………………………………………………….</w:t>
      </w:r>
      <w:r w:rsidR="00EF656C">
        <w:t>.</w:t>
      </w:r>
      <w:r>
        <w:t xml:space="preserve">  </w:t>
      </w:r>
      <w:r w:rsidR="00EF656C">
        <w:t xml:space="preserve"> </w:t>
      </w:r>
      <w:r>
        <w:t>If this occurs, it is likely that</w:t>
      </w:r>
      <w:r w:rsidR="005E41B2">
        <w:t xml:space="preserve"> </w:t>
      </w:r>
      <w:r>
        <w:t xml:space="preserve">an international solution </w:t>
      </w:r>
      <w:r w:rsidR="00CF7398">
        <w:t>can</w:t>
      </w:r>
      <w:r>
        <w:t xml:space="preserve"> be achieved in 2020</w:t>
      </w:r>
      <w:r w:rsidR="005E41B2">
        <w:t>.</w:t>
      </w:r>
      <w:r w:rsidR="00CF7398">
        <w:t xml:space="preserve">  Accordingly, we should have a better idea</w:t>
      </w:r>
      <w:r w:rsidR="005E41B2">
        <w:t xml:space="preserve"> </w:t>
      </w:r>
      <w:r w:rsidR="00CF7398">
        <w:t>of the likelihood of an international solution after the June G20 meeting.</w:t>
      </w:r>
      <w:r w:rsidR="00325783">
        <w:t xml:space="preserve">  </w:t>
      </w:r>
      <w:r w:rsidR="00CF7398">
        <w:t>Even if an international solution is achieved in 2020, it</w:t>
      </w:r>
      <w:r w:rsidR="005E41B2">
        <w:t xml:space="preserve"> </w:t>
      </w:r>
      <w:r w:rsidR="00EA4FC4">
        <w:t>could still</w:t>
      </w:r>
      <w:r w:rsidR="005E41B2">
        <w:t xml:space="preserve"> take </w:t>
      </w:r>
      <w:r w:rsidR="008D5CC2">
        <w:t>3-4</w:t>
      </w:r>
      <w:r w:rsidR="005E41B2">
        <w:t xml:space="preserve"> years for </w:t>
      </w:r>
      <w:r w:rsidR="00EA4FC4">
        <w:t>the</w:t>
      </w:r>
      <w:r w:rsidR="005E41B2">
        <w:t xml:space="preserve"> solution t</w:t>
      </w:r>
      <w:r w:rsidR="009E66A2">
        <w:t xml:space="preserve">o be designed </w:t>
      </w:r>
      <w:r w:rsidR="005E41B2">
        <w:t>in detail</w:t>
      </w:r>
      <w:r w:rsidR="009E66A2">
        <w:t xml:space="preserve"> at the OECD</w:t>
      </w:r>
      <w:r w:rsidR="005E41B2">
        <w:t xml:space="preserve"> and implemented</w:t>
      </w:r>
      <w:r w:rsidR="008D5CC2">
        <w:t>.</w:t>
      </w:r>
      <w:r w:rsidR="005E41B2">
        <w:t xml:space="preserve">  </w:t>
      </w:r>
    </w:p>
    <w:p w14:paraId="6B324E7F" w14:textId="77777777" w:rsidR="00591F07" w:rsidRDefault="008D5CC2" w:rsidP="004339E4">
      <w:pPr>
        <w:pStyle w:val="NumberedParagraph"/>
        <w:numPr>
          <w:ilvl w:val="0"/>
          <w:numId w:val="0"/>
        </w:numPr>
      </w:pPr>
      <w:r>
        <w:rPr>
          <w:b/>
        </w:rPr>
        <w:t>A digital services tax</w:t>
      </w:r>
      <w:r>
        <w:t xml:space="preserve"> </w:t>
      </w:r>
    </w:p>
    <w:p w14:paraId="03FA3E0D" w14:textId="0C0568C4" w:rsidR="00DE404E" w:rsidRDefault="009510B2" w:rsidP="00101312">
      <w:pPr>
        <w:pStyle w:val="NumberedParagraph"/>
      </w:pPr>
      <w:r>
        <w:t>The other option</w:t>
      </w:r>
      <w:r w:rsidR="00CF7398">
        <w:t xml:space="preserve"> for taxing the digital economy</w:t>
      </w:r>
      <w:r>
        <w:t xml:space="preserve"> is to introduce a special tax, called a “digital services tax”, or DST</w:t>
      </w:r>
      <w:r w:rsidR="00CF7398">
        <w:t>.  A DST is</w:t>
      </w:r>
      <w:r>
        <w:t xml:space="preserve"> targeted at certain digital companies</w:t>
      </w:r>
      <w:r w:rsidR="00CF7398">
        <w:t xml:space="preserve"> and is </w:t>
      </w:r>
      <w:r w:rsidR="008F1B14">
        <w:t>not</w:t>
      </w:r>
      <w:r>
        <w:t xml:space="preserve"> an “income tax” </w:t>
      </w:r>
      <w:r w:rsidR="00CF7398">
        <w:t xml:space="preserve">for </w:t>
      </w:r>
      <w:r w:rsidR="00A30C8B">
        <w:t>DTA</w:t>
      </w:r>
      <w:r w:rsidR="00CF7398">
        <w:t xml:space="preserve"> purposes.  This means a DST </w:t>
      </w:r>
      <w:r>
        <w:t xml:space="preserve">is not subject to the current international tax framework, and so it can be charged to digital companies </w:t>
      </w:r>
      <w:r w:rsidR="00CF7398">
        <w:t>regardless of whether they have a physical presence in a country</w:t>
      </w:r>
      <w:r>
        <w:t xml:space="preserve">.  </w:t>
      </w:r>
      <w:r w:rsidR="002C5A14">
        <w:t>Consequently</w:t>
      </w:r>
      <w:r w:rsidR="00D07B4A">
        <w:t>,</w:t>
      </w:r>
      <w:r>
        <w:t xml:space="preserve"> </w:t>
      </w:r>
      <w:r>
        <w:lastRenderedPageBreak/>
        <w:t xml:space="preserve">countries can introduce </w:t>
      </w:r>
      <w:r w:rsidR="00CF7398">
        <w:t>a DST</w:t>
      </w:r>
      <w:r>
        <w:t xml:space="preserve"> unilaterally, without the need for </w:t>
      </w:r>
      <w:r w:rsidR="00CF7398">
        <w:t>international</w:t>
      </w:r>
      <w:r>
        <w:t xml:space="preserve"> agreement.  </w:t>
      </w:r>
    </w:p>
    <w:p w14:paraId="5B808CC6" w14:textId="258CF097" w:rsidR="002E6EEC" w:rsidRDefault="009510B2" w:rsidP="00B973E6">
      <w:pPr>
        <w:pStyle w:val="NumberedParagraph"/>
      </w:pPr>
      <w:r>
        <w:t xml:space="preserve">The UK recently announced </w:t>
      </w:r>
      <w:r w:rsidR="00D36F6E">
        <w:t xml:space="preserve">it would introduce </w:t>
      </w:r>
      <w:r>
        <w:t>a separate 2%</w:t>
      </w:r>
      <w:r w:rsidR="00030C3B">
        <w:t xml:space="preserve"> DST</w:t>
      </w:r>
      <w:r>
        <w:t xml:space="preserve"> on the profits of certain digital companies</w:t>
      </w:r>
      <w:r w:rsidR="00D36F6E">
        <w:t xml:space="preserve"> that would apply from April 2020</w:t>
      </w:r>
      <w:r w:rsidR="00CF7398">
        <w:t xml:space="preserve">.  </w:t>
      </w:r>
      <w:r>
        <w:t>Spain, Italy and India have also enacted or announced DSTs</w:t>
      </w:r>
      <w:r w:rsidR="003F031B">
        <w:t xml:space="preserve"> (although India’s </w:t>
      </w:r>
      <w:r w:rsidR="00CF7398">
        <w:t>has a much narrower scope than</w:t>
      </w:r>
      <w:r w:rsidR="003F031B">
        <w:t xml:space="preserve"> the others)</w:t>
      </w:r>
      <w:r w:rsidR="007535DE">
        <w:t>.  T</w:t>
      </w:r>
      <w:r>
        <w:t xml:space="preserve">he EU Commission has proposed a 3% DST for </w:t>
      </w:r>
      <w:r w:rsidR="000B0BC1">
        <w:t>E</w:t>
      </w:r>
      <w:r w:rsidR="00042DF4">
        <w:t>urope</w:t>
      </w:r>
      <w:r w:rsidR="007535DE">
        <w:t>, however it has not been able to achieve the support of all EU members</w:t>
      </w:r>
      <w:r w:rsidR="002E6EEC">
        <w:t>.  The EU’s</w:t>
      </w:r>
      <w:r w:rsidR="007535DE">
        <w:t xml:space="preserve"> original proposal has recently been replaced with a narrower DST only targeting online advertising, which EU members will consider </w:t>
      </w:r>
      <w:r w:rsidR="002E6EEC">
        <w:t>early in 2019</w:t>
      </w:r>
      <w:r>
        <w:t>.</w:t>
      </w:r>
      <w:r w:rsidR="002E6EEC">
        <w:t xml:space="preserve">  This narrower DST is proposed to apply only in the event that an international solution cannot be achieved at the OECD.</w:t>
      </w:r>
      <w:r>
        <w:t xml:space="preserve">  </w:t>
      </w:r>
    </w:p>
    <w:p w14:paraId="322B1905" w14:textId="3B7961C9" w:rsidR="009510B2" w:rsidRDefault="009510B2" w:rsidP="00B973E6">
      <w:pPr>
        <w:pStyle w:val="NumberedParagraph"/>
      </w:pPr>
      <w:r>
        <w:t>The DST is quite controversial (it was not recommended by the OECD due to a lack of consensus</w:t>
      </w:r>
      <w:r w:rsidR="002C5A14">
        <w:t>),</w:t>
      </w:r>
      <w:r>
        <w:t xml:space="preserve"> but we expect at least some additional EU countries to enact one</w:t>
      </w:r>
      <w:r w:rsidR="002E6EEC">
        <w:t xml:space="preserve"> even if the EU as a whole does not</w:t>
      </w:r>
      <w:r>
        <w:t xml:space="preserve">.  </w:t>
      </w:r>
      <w:r w:rsidR="00D36F6E">
        <w:t>In</w:t>
      </w:r>
      <w:r w:rsidR="002E6EEC">
        <w:t xml:space="preserve"> addition, </w:t>
      </w:r>
      <w:r>
        <w:t>Australia issued a consultation paper on taxing the digital economy</w:t>
      </w:r>
      <w:r w:rsidR="002E6EEC">
        <w:t xml:space="preserve"> in October 2018</w:t>
      </w:r>
      <w:r>
        <w:t>, which included discussion of a possible DST</w:t>
      </w:r>
      <w:r w:rsidR="00042E14">
        <w:t xml:space="preserve"> (among other options for taxing the digital economy)</w:t>
      </w:r>
      <w:r>
        <w:t xml:space="preserve">. </w:t>
      </w:r>
    </w:p>
    <w:p w14:paraId="3A6B934F" w14:textId="0944DBA3" w:rsidR="0069254B" w:rsidRDefault="000D5590" w:rsidP="00101312">
      <w:pPr>
        <w:pStyle w:val="NumberedParagraph"/>
      </w:pPr>
      <w:r>
        <w:t>The DST</w:t>
      </w:r>
      <w:r w:rsidR="009510B2">
        <w:t>s proposed so far</w:t>
      </w:r>
      <w:r w:rsidR="00CF7398">
        <w:t xml:space="preserve"> (other than India’s</w:t>
      </w:r>
      <w:r w:rsidR="009E66A2">
        <w:t>, which was introduced before the recent international interest in taxing the digital economy</w:t>
      </w:r>
      <w:r w:rsidR="00CF7398">
        <w:t>)</w:t>
      </w:r>
      <w:r w:rsidR="009510B2">
        <w:t xml:space="preserve"> share a set of common features.  They are f</w:t>
      </w:r>
      <w:r w:rsidR="00C32B69">
        <w:t>lat tax</w:t>
      </w:r>
      <w:r w:rsidR="009510B2">
        <w:t>es charged</w:t>
      </w:r>
      <w:r w:rsidR="00C32B69">
        <w:t xml:space="preserve"> at a low rate (2%-3%) on gross revenues from certain digital </w:t>
      </w:r>
      <w:r w:rsidR="00BA1B42">
        <w:t>platforms</w:t>
      </w:r>
      <w:r w:rsidR="004E4731">
        <w:t xml:space="preserve">.  These are digital </w:t>
      </w:r>
      <w:r w:rsidR="00BA1B42">
        <w:t>platforms</w:t>
      </w:r>
      <w:r w:rsidR="00C32B69">
        <w:t xml:space="preserve"> </w:t>
      </w:r>
      <w:r w:rsidR="004E4731">
        <w:t>whose value is</w:t>
      </w:r>
      <w:r w:rsidR="00C32B69">
        <w:t xml:space="preserve"> dependent on the size and </w:t>
      </w:r>
      <w:r w:rsidR="004E4731">
        <w:t>active contribution</w:t>
      </w:r>
      <w:r w:rsidR="00C32B69">
        <w:t xml:space="preserve"> of their user base – for example, intermediation platforms like Uber and </w:t>
      </w:r>
      <w:r w:rsidR="002C5A14">
        <w:t>eBay</w:t>
      </w:r>
      <w:r w:rsidR="00C32B69">
        <w:t>; social media platforms like Facebook; and content sharing sites like YouTube or Instagram</w:t>
      </w:r>
      <w:r w:rsidR="000B0BC1">
        <w:t xml:space="preserve"> (although the EU’s latest proposal only targets online advertising)</w:t>
      </w:r>
      <w:r w:rsidR="00C32B69">
        <w:t>.</w:t>
      </w:r>
      <w:r w:rsidR="0069254B">
        <w:t xml:space="preserve">  </w:t>
      </w:r>
    </w:p>
    <w:p w14:paraId="4BFF03E8" w14:textId="368B2A07" w:rsidR="0069254B" w:rsidRDefault="00C0382F" w:rsidP="00F97246">
      <w:pPr>
        <w:pStyle w:val="NumberedParagraph"/>
      </w:pPr>
      <w:r>
        <w:t>This means a</w:t>
      </w:r>
      <w:r w:rsidR="0069254B">
        <w:t xml:space="preserve"> DST is narrowly targeted at</w:t>
      </w:r>
      <w:r>
        <w:t xml:space="preserve"> certain</w:t>
      </w:r>
      <w:r w:rsidR="0069254B">
        <w:t xml:space="preserve"> highly digitalised business models.  </w:t>
      </w:r>
      <w:r>
        <w:t>It</w:t>
      </w:r>
      <w:r w:rsidR="0069254B">
        <w:t xml:space="preserve"> would not apply to sales of goods or services (other than advertising or data) over the internet.  So</w:t>
      </w:r>
      <w:r w:rsidR="00C83978">
        <w:t>,</w:t>
      </w:r>
      <w:r w:rsidR="0069254B">
        <w:t xml:space="preserve"> it would not apply to</w:t>
      </w:r>
      <w:r>
        <w:t xml:space="preserve"> Netflix for example, or to</w:t>
      </w:r>
      <w:r w:rsidR="0069254B">
        <w:t xml:space="preserve"> </w:t>
      </w:r>
      <w:r>
        <w:t>goods</w:t>
      </w:r>
      <w:r w:rsidR="0069254B">
        <w:t xml:space="preserve"> sold online by Apple</w:t>
      </w:r>
      <w:r>
        <w:t xml:space="preserve"> or Amazon</w:t>
      </w:r>
      <w:r w:rsidR="0069254B">
        <w:t xml:space="preserve">.  </w:t>
      </w:r>
      <w:r w:rsidR="00FF38AB">
        <w:t>It also would not apply to the kinds of digital services typically exported by New Zealand (such as accountancy services)</w:t>
      </w:r>
      <w:r w:rsidR="00FE20A5">
        <w:t>.</w:t>
      </w:r>
    </w:p>
    <w:p w14:paraId="1145BCB1" w14:textId="7FAA83AE" w:rsidR="00797E34" w:rsidRDefault="00C0382F" w:rsidP="00797E34">
      <w:pPr>
        <w:pStyle w:val="NumberedParagraph"/>
      </w:pPr>
      <w:r>
        <w:t>A DST</w:t>
      </w:r>
      <w:r w:rsidR="0069254B">
        <w:t xml:space="preserve"> is levied by reference to where the users of the </w:t>
      </w:r>
      <w:r w:rsidR="00BA1B42">
        <w:t>digital platform</w:t>
      </w:r>
      <w:r>
        <w:t xml:space="preserve"> </w:t>
      </w:r>
      <w:r w:rsidR="0069254B">
        <w:t>are located</w:t>
      </w:r>
      <w:r w:rsidR="00FB2F64">
        <w:t xml:space="preserve"> rather than where payments are made</w:t>
      </w:r>
      <w:r w:rsidR="0069254B">
        <w:t>.</w:t>
      </w:r>
      <w:r w:rsidR="00E66F56">
        <w:t xml:space="preserve">  </w:t>
      </w:r>
      <w:r w:rsidR="006C1D66">
        <w:t>To achieve this, a</w:t>
      </w:r>
      <w:r w:rsidR="0069254B">
        <w:t xml:space="preserve">n affected digital company’s consolidated global gross revenues </w:t>
      </w:r>
      <w:r w:rsidR="000D5590">
        <w:t>are</w:t>
      </w:r>
      <w:r w:rsidR="0069254B">
        <w:t xml:space="preserve"> apportioned between the relevant country and the rest of the world by reference to the proportion of </w:t>
      </w:r>
      <w:r w:rsidR="00BA44A4">
        <w:t>global</w:t>
      </w:r>
      <w:r w:rsidR="0069254B">
        <w:t xml:space="preserve"> users in that country.  The revenue attributable to that country </w:t>
      </w:r>
      <w:r w:rsidR="00BA1B42">
        <w:t>is</w:t>
      </w:r>
      <w:r w:rsidR="0069254B">
        <w:t xml:space="preserve"> then subject to the DST. </w:t>
      </w:r>
      <w:r w:rsidR="00BA44A4">
        <w:t xml:space="preserve"> </w:t>
      </w:r>
      <w:r>
        <w:t xml:space="preserve">  </w:t>
      </w:r>
    </w:p>
    <w:p w14:paraId="3B648ADF" w14:textId="363737B2" w:rsidR="0069254B" w:rsidRDefault="0069254B" w:rsidP="0069254B">
      <w:pPr>
        <w:pStyle w:val="NumberedParagraph"/>
      </w:pPr>
      <w:r>
        <w:t>For example</w:t>
      </w:r>
      <w:r w:rsidR="00A4193B">
        <w:t>,</w:t>
      </w:r>
      <w:r>
        <w:t xml:space="preserve"> suppose a digital company had $10 billion of total gross global revenue and 5% of its total global users in State A.  The revenue attributable to State A would be $10 billion x 5% = $500 million.  State A would then charge 3% tax on its allocated $500 million of revenues, for total tax of $15 million.  </w:t>
      </w:r>
      <w:r w:rsidR="0074188B">
        <w:t>I</w:t>
      </w:r>
      <w:r w:rsidR="00F70092">
        <w:t>n</w:t>
      </w:r>
      <w:r w:rsidR="0074188B">
        <w:t xml:space="preserve"> calculating this tax, it is only the location of the users</w:t>
      </w:r>
      <w:r w:rsidR="00F70092">
        <w:t xml:space="preserve"> </w:t>
      </w:r>
      <w:r w:rsidR="0074188B">
        <w:t xml:space="preserve">that is relevant, not the location of the </w:t>
      </w:r>
      <w:r w:rsidR="00F70092">
        <w:t>customers</w:t>
      </w:r>
      <w:r w:rsidR="0074188B">
        <w:t xml:space="preserve"> paying the digital company for its services.  Therefore the $15 million DST would still be charged even if no actual payments were made to the digital company</w:t>
      </w:r>
      <w:r w:rsidR="00F70092">
        <w:t xml:space="preserve"> from State A</w:t>
      </w:r>
      <w:r w:rsidR="0074188B">
        <w:t>.</w:t>
      </w:r>
    </w:p>
    <w:p w14:paraId="716610D3" w14:textId="3C5F2897" w:rsidR="002C3D26" w:rsidRDefault="00895475" w:rsidP="00895475">
      <w:pPr>
        <w:pStyle w:val="NumberedParagraph"/>
      </w:pPr>
      <w:r>
        <w:t>For New Zealand, a</w:t>
      </w:r>
      <w:r w:rsidR="001834C2">
        <w:t xml:space="preserve"> </w:t>
      </w:r>
      <w:r w:rsidR="000E4005">
        <w:t>DST</w:t>
      </w:r>
      <w:r w:rsidR="001834C2">
        <w:t xml:space="preserve"> would be a way of collecting some tax from some digital companies </w:t>
      </w:r>
      <w:r w:rsidR="00B36756">
        <w:t xml:space="preserve">(but not all of them) </w:t>
      </w:r>
      <w:r w:rsidR="001834C2">
        <w:t xml:space="preserve">that have been paying little tax either </w:t>
      </w:r>
      <w:r>
        <w:t>here</w:t>
      </w:r>
      <w:r w:rsidR="001834C2">
        <w:t xml:space="preserve"> or overseas.  </w:t>
      </w:r>
      <w:r w:rsidR="007C15EF">
        <w:t>As a rough estimate, we expect</w:t>
      </w:r>
      <w:r w:rsidR="00F86079">
        <w:t xml:space="preserve"> a 3% DST would raise between $30m and $80m</w:t>
      </w:r>
      <w:r w:rsidR="001834C2">
        <w:t xml:space="preserve"> of tax</w:t>
      </w:r>
      <w:r w:rsidR="009E5E8F">
        <w:rPr>
          <w:rStyle w:val="FootnoteReference"/>
        </w:rPr>
        <w:footnoteReference w:id="1"/>
      </w:r>
      <w:r w:rsidR="007225A5">
        <w:t xml:space="preserve">, depending in part on </w:t>
      </w:r>
      <w:r>
        <w:t>its scope and design</w:t>
      </w:r>
      <w:r w:rsidR="002C3D26">
        <w:t xml:space="preserve">. </w:t>
      </w:r>
      <w:r w:rsidR="00F97246">
        <w:t xml:space="preserve"> </w:t>
      </w:r>
      <w:r>
        <w:t>A</w:t>
      </w:r>
      <w:r w:rsidR="00AB0A16">
        <w:t xml:space="preserve"> DST would </w:t>
      </w:r>
      <w:r>
        <w:t xml:space="preserve">also </w:t>
      </w:r>
      <w:r w:rsidR="00AB0A16">
        <w:t>significantly improve public confidence in the fairness of the tax system</w:t>
      </w:r>
      <w:r w:rsidR="00C32F41">
        <w:t xml:space="preserve">, </w:t>
      </w:r>
      <w:r w:rsidR="004C67E8">
        <w:t>which</w:t>
      </w:r>
      <w:r w:rsidR="00AB0A16">
        <w:t xml:space="preserve"> is an </w:t>
      </w:r>
      <w:r w:rsidR="0018703E">
        <w:t>important factor underlying voluntary compliance</w:t>
      </w:r>
      <w:r w:rsidR="00AB0A16">
        <w:t xml:space="preserve">.  </w:t>
      </w:r>
      <w:r>
        <w:t xml:space="preserve">In addition, the size of the </w:t>
      </w:r>
      <w:r>
        <w:lastRenderedPageBreak/>
        <w:t xml:space="preserve">digital economy is growing as a proportion of the total economy.  Consequently, it will become increasingly important for New Zealand to </w:t>
      </w:r>
      <w:r w:rsidR="00FE20A5">
        <w:t>tax it</w:t>
      </w:r>
      <w:r>
        <w:t xml:space="preserve"> appropriately.  </w:t>
      </w:r>
    </w:p>
    <w:p w14:paraId="73A05EE4" w14:textId="180D6E10" w:rsidR="001834C2" w:rsidRDefault="001834C2" w:rsidP="001834C2">
      <w:pPr>
        <w:pStyle w:val="NumberedParagraph"/>
      </w:pPr>
      <w:bookmarkStart w:id="15" w:name="_Ref531177203"/>
      <w:r>
        <w:t>However</w:t>
      </w:r>
      <w:r w:rsidR="00227F60">
        <w:t>,</w:t>
      </w:r>
      <w:r>
        <w:t xml:space="preserve"> there are issues</w:t>
      </w:r>
      <w:r>
        <w:rPr>
          <w:rStyle w:val="CommentReference"/>
        </w:rPr>
        <w:t xml:space="preserve"> </w:t>
      </w:r>
      <w:r>
        <w:t xml:space="preserve">with </w:t>
      </w:r>
      <w:r w:rsidR="000E4005">
        <w:t>a DST</w:t>
      </w:r>
      <w:r>
        <w:t xml:space="preserve">.  </w:t>
      </w:r>
      <w:r w:rsidR="00AB0A16">
        <w:t>These include</w:t>
      </w:r>
      <w:r w:rsidR="00227F60">
        <w:t>:</w:t>
      </w:r>
      <w:bookmarkEnd w:id="15"/>
    </w:p>
    <w:p w14:paraId="6A6554ED" w14:textId="27A38FC8" w:rsidR="004C67E8" w:rsidRPr="004C67E8" w:rsidRDefault="004C67E8" w:rsidP="004C67E8">
      <w:pPr>
        <w:pStyle w:val="ListParagraph"/>
        <w:numPr>
          <w:ilvl w:val="0"/>
          <w:numId w:val="24"/>
        </w:numPr>
        <w:spacing w:line="240" w:lineRule="auto"/>
        <w:jc w:val="both"/>
        <w:rPr>
          <w:rFonts w:ascii="Verdana" w:hAnsi="Verdana"/>
        </w:rPr>
      </w:pPr>
      <w:r w:rsidRPr="004C67E8">
        <w:rPr>
          <w:rFonts w:ascii="Verdana" w:hAnsi="Verdana"/>
          <w:u w:val="single"/>
        </w:rPr>
        <w:t>The consistency of the tax with other tax settings</w:t>
      </w:r>
      <w:r w:rsidRPr="004C67E8">
        <w:rPr>
          <w:rFonts w:ascii="Verdana" w:hAnsi="Verdana"/>
        </w:rPr>
        <w:t xml:space="preserve">.  The DST </w:t>
      </w:r>
      <w:r w:rsidR="00227F60">
        <w:rPr>
          <w:rFonts w:ascii="Verdana" w:hAnsi="Verdana"/>
        </w:rPr>
        <w:t xml:space="preserve">may not </w:t>
      </w:r>
      <w:r w:rsidRPr="004C67E8">
        <w:rPr>
          <w:rFonts w:ascii="Verdana" w:hAnsi="Verdana"/>
        </w:rPr>
        <w:t>mesh</w:t>
      </w:r>
      <w:r w:rsidR="00227F60">
        <w:rPr>
          <w:rFonts w:ascii="Verdana" w:hAnsi="Verdana"/>
        </w:rPr>
        <w:t xml:space="preserve"> well</w:t>
      </w:r>
      <w:r w:rsidRPr="004C67E8">
        <w:rPr>
          <w:rFonts w:ascii="Verdana" w:hAnsi="Verdana"/>
        </w:rPr>
        <w:t xml:space="preserve"> with </w:t>
      </w:r>
      <w:r w:rsidR="009F0DFC">
        <w:rPr>
          <w:rFonts w:ascii="Verdana" w:hAnsi="Verdana"/>
        </w:rPr>
        <w:t>other</w:t>
      </w:r>
      <w:r w:rsidRPr="004C67E8">
        <w:rPr>
          <w:rFonts w:ascii="Verdana" w:hAnsi="Verdana"/>
        </w:rPr>
        <w:t xml:space="preserve"> elements of our tax system.  This might result in some double taxation of compliant firms (including possibly some domestic firms)</w:t>
      </w:r>
      <w:r w:rsidR="00604948">
        <w:rPr>
          <w:rFonts w:ascii="Verdana" w:hAnsi="Verdana"/>
        </w:rPr>
        <w:t xml:space="preserve"> and taxation of businesses with losses</w:t>
      </w:r>
      <w:r w:rsidRPr="004C67E8">
        <w:rPr>
          <w:rFonts w:ascii="Verdana" w:hAnsi="Verdana"/>
        </w:rPr>
        <w:t xml:space="preserve">.    </w:t>
      </w:r>
    </w:p>
    <w:p w14:paraId="4C77EAED" w14:textId="77777777" w:rsidR="004C67E8" w:rsidRPr="004C67E8" w:rsidRDefault="004C67E8" w:rsidP="004C67E8">
      <w:pPr>
        <w:pStyle w:val="ListParagraph"/>
        <w:rPr>
          <w:rFonts w:ascii="Verdana" w:hAnsi="Verdana"/>
        </w:rPr>
      </w:pPr>
    </w:p>
    <w:p w14:paraId="2F7C7657" w14:textId="051C5CD7" w:rsidR="004C67E8" w:rsidRDefault="00EF656C" w:rsidP="00EF656C">
      <w:pPr>
        <w:pStyle w:val="ListParagraph"/>
        <w:shd w:val="clear" w:color="auto" w:fill="BFBFBF" w:themeFill="background1" w:themeFillShade="BF"/>
        <w:spacing w:line="240" w:lineRule="auto"/>
        <w:ind w:left="1134"/>
        <w:jc w:val="both"/>
        <w:rPr>
          <w:rFonts w:ascii="Verdana" w:hAnsi="Verdana"/>
        </w:rPr>
      </w:pPr>
      <w:r>
        <w:rPr>
          <w:rFonts w:ascii="Verdana" w:hAnsi="Verdana"/>
        </w:rPr>
        <w:t>s 9(2)(h)</w:t>
      </w:r>
    </w:p>
    <w:p w14:paraId="1C8C493D" w14:textId="2D73C855" w:rsidR="00EF656C" w:rsidRDefault="00EF656C" w:rsidP="00EF656C">
      <w:pPr>
        <w:pStyle w:val="ListParagraph"/>
        <w:shd w:val="clear" w:color="auto" w:fill="BFBFBF" w:themeFill="background1" w:themeFillShade="BF"/>
        <w:spacing w:line="240" w:lineRule="auto"/>
        <w:ind w:left="1134"/>
        <w:jc w:val="both"/>
        <w:rPr>
          <w:rFonts w:ascii="Verdana" w:hAnsi="Verdana"/>
        </w:rPr>
      </w:pPr>
    </w:p>
    <w:p w14:paraId="4DD91E20" w14:textId="73DAC1B7" w:rsidR="00EF656C" w:rsidRDefault="00EF656C" w:rsidP="00EF656C">
      <w:pPr>
        <w:pStyle w:val="ListParagraph"/>
        <w:shd w:val="clear" w:color="auto" w:fill="BFBFBF" w:themeFill="background1" w:themeFillShade="BF"/>
        <w:spacing w:line="240" w:lineRule="auto"/>
        <w:ind w:left="1134"/>
        <w:jc w:val="both"/>
        <w:rPr>
          <w:rFonts w:ascii="Verdana" w:hAnsi="Verdana"/>
        </w:rPr>
      </w:pPr>
    </w:p>
    <w:p w14:paraId="2A466EA3" w14:textId="6808D305" w:rsidR="00EF656C" w:rsidRDefault="00EF656C" w:rsidP="00EF656C">
      <w:pPr>
        <w:pStyle w:val="ListParagraph"/>
        <w:shd w:val="clear" w:color="auto" w:fill="BFBFBF" w:themeFill="background1" w:themeFillShade="BF"/>
        <w:spacing w:line="240" w:lineRule="auto"/>
        <w:ind w:left="1134"/>
        <w:jc w:val="both"/>
        <w:rPr>
          <w:rFonts w:ascii="Verdana" w:hAnsi="Verdana"/>
        </w:rPr>
      </w:pPr>
    </w:p>
    <w:p w14:paraId="3594496C" w14:textId="6E921A54" w:rsidR="00EF656C" w:rsidRDefault="00EF656C" w:rsidP="00EF656C">
      <w:pPr>
        <w:pStyle w:val="ListParagraph"/>
        <w:shd w:val="clear" w:color="auto" w:fill="BFBFBF" w:themeFill="background1" w:themeFillShade="BF"/>
        <w:spacing w:line="240" w:lineRule="auto"/>
        <w:ind w:left="1134"/>
        <w:jc w:val="both"/>
        <w:rPr>
          <w:rFonts w:ascii="Verdana" w:hAnsi="Verdana"/>
        </w:rPr>
      </w:pPr>
    </w:p>
    <w:p w14:paraId="7608F575" w14:textId="480CDFE8" w:rsidR="00EF656C" w:rsidRDefault="00EF656C" w:rsidP="00EF656C">
      <w:pPr>
        <w:pStyle w:val="ListParagraph"/>
        <w:shd w:val="clear" w:color="auto" w:fill="BFBFBF" w:themeFill="background1" w:themeFillShade="BF"/>
        <w:spacing w:line="240" w:lineRule="auto"/>
        <w:ind w:left="1134"/>
        <w:jc w:val="both"/>
        <w:rPr>
          <w:rFonts w:ascii="Verdana" w:hAnsi="Verdana"/>
        </w:rPr>
      </w:pPr>
    </w:p>
    <w:p w14:paraId="30F6A791" w14:textId="01BF21E4" w:rsidR="00EF656C" w:rsidRDefault="00EF656C" w:rsidP="00EF656C">
      <w:pPr>
        <w:pStyle w:val="ListParagraph"/>
        <w:shd w:val="clear" w:color="auto" w:fill="BFBFBF" w:themeFill="background1" w:themeFillShade="BF"/>
        <w:spacing w:line="240" w:lineRule="auto"/>
        <w:ind w:left="1134"/>
        <w:jc w:val="both"/>
        <w:rPr>
          <w:rFonts w:ascii="Verdana" w:hAnsi="Verdana"/>
        </w:rPr>
      </w:pPr>
    </w:p>
    <w:p w14:paraId="1C83C7E6" w14:textId="567AEFE3" w:rsidR="00EF656C" w:rsidRDefault="00EF656C" w:rsidP="00EF656C">
      <w:pPr>
        <w:pStyle w:val="ListParagraph"/>
        <w:shd w:val="clear" w:color="auto" w:fill="BFBFBF" w:themeFill="background1" w:themeFillShade="BF"/>
        <w:spacing w:line="240" w:lineRule="auto"/>
        <w:ind w:left="1134"/>
        <w:jc w:val="both"/>
        <w:rPr>
          <w:rFonts w:ascii="Verdana" w:hAnsi="Verdana"/>
        </w:rPr>
      </w:pPr>
    </w:p>
    <w:p w14:paraId="4551C276" w14:textId="3ED86BA3" w:rsidR="00EF656C" w:rsidRDefault="00EF656C" w:rsidP="00EF656C">
      <w:pPr>
        <w:pStyle w:val="ListParagraph"/>
        <w:shd w:val="clear" w:color="auto" w:fill="BFBFBF" w:themeFill="background1" w:themeFillShade="BF"/>
        <w:spacing w:line="240" w:lineRule="auto"/>
        <w:ind w:left="1134"/>
        <w:jc w:val="both"/>
        <w:rPr>
          <w:rFonts w:ascii="Verdana" w:hAnsi="Verdana"/>
        </w:rPr>
      </w:pPr>
    </w:p>
    <w:p w14:paraId="0FA61E1D" w14:textId="1DEB4326" w:rsidR="00EF656C" w:rsidRDefault="00EF656C" w:rsidP="00EF656C">
      <w:pPr>
        <w:pStyle w:val="ListParagraph"/>
        <w:shd w:val="clear" w:color="auto" w:fill="BFBFBF" w:themeFill="background1" w:themeFillShade="BF"/>
        <w:spacing w:line="240" w:lineRule="auto"/>
        <w:ind w:left="1134"/>
        <w:jc w:val="both"/>
        <w:rPr>
          <w:rFonts w:ascii="Verdana" w:hAnsi="Verdana"/>
        </w:rPr>
      </w:pPr>
    </w:p>
    <w:p w14:paraId="657BC9B1" w14:textId="77777777" w:rsidR="00EF656C" w:rsidRPr="004C67E8" w:rsidRDefault="00EF656C" w:rsidP="00EF656C">
      <w:pPr>
        <w:pStyle w:val="ListParagraph"/>
        <w:shd w:val="clear" w:color="auto" w:fill="BFBFBF" w:themeFill="background1" w:themeFillShade="BF"/>
        <w:spacing w:line="240" w:lineRule="auto"/>
        <w:ind w:left="1134"/>
        <w:jc w:val="both"/>
        <w:rPr>
          <w:rFonts w:ascii="Verdana" w:hAnsi="Verdana"/>
        </w:rPr>
      </w:pPr>
    </w:p>
    <w:p w14:paraId="54D4C531" w14:textId="77777777" w:rsidR="004C67E8" w:rsidRPr="004C67E8" w:rsidRDefault="004C67E8" w:rsidP="004C67E8">
      <w:pPr>
        <w:pStyle w:val="ListParagraph"/>
        <w:ind w:left="360"/>
        <w:rPr>
          <w:rFonts w:ascii="Verdana" w:hAnsi="Verdana"/>
        </w:rPr>
      </w:pPr>
    </w:p>
    <w:p w14:paraId="019DBDA0" w14:textId="13F685B1" w:rsidR="004C67E8" w:rsidRPr="004C67E8" w:rsidRDefault="004C67E8" w:rsidP="004C67E8">
      <w:pPr>
        <w:pStyle w:val="ListParagraph"/>
        <w:numPr>
          <w:ilvl w:val="0"/>
          <w:numId w:val="24"/>
        </w:numPr>
        <w:spacing w:line="240" w:lineRule="auto"/>
        <w:jc w:val="both"/>
        <w:rPr>
          <w:rFonts w:ascii="Verdana" w:hAnsi="Verdana"/>
        </w:rPr>
      </w:pPr>
      <w:r w:rsidRPr="004C67E8">
        <w:rPr>
          <w:rFonts w:ascii="Verdana" w:hAnsi="Verdana"/>
          <w:u w:val="single"/>
        </w:rPr>
        <w:t>The economic incidence of the tax.</w:t>
      </w:r>
      <w:r w:rsidRPr="00A41992">
        <w:rPr>
          <w:rFonts w:ascii="Verdana" w:hAnsi="Verdana"/>
        </w:rPr>
        <w:t xml:space="preserve">  </w:t>
      </w:r>
      <w:r w:rsidRPr="004C67E8">
        <w:rPr>
          <w:rFonts w:ascii="Verdana" w:hAnsi="Verdana"/>
        </w:rPr>
        <w:t xml:space="preserve">The issue here is whether the tax would be passed along by the non-resident suppliers to New Zealand customers.  </w:t>
      </w:r>
      <w:r w:rsidR="00D20576">
        <w:rPr>
          <w:rFonts w:ascii="Verdana" w:hAnsi="Verdana"/>
        </w:rPr>
        <w:t>We expect</w:t>
      </w:r>
      <w:r w:rsidRPr="004C67E8">
        <w:rPr>
          <w:rFonts w:ascii="Verdana" w:hAnsi="Verdana"/>
        </w:rPr>
        <w:t xml:space="preserve"> </w:t>
      </w:r>
      <w:r w:rsidR="00DB2C8A">
        <w:rPr>
          <w:rFonts w:ascii="Verdana" w:hAnsi="Verdana"/>
        </w:rPr>
        <w:t xml:space="preserve">around </w:t>
      </w:r>
      <w:r w:rsidR="00895475">
        <w:rPr>
          <w:rFonts w:ascii="Verdana" w:hAnsi="Verdana"/>
        </w:rPr>
        <w:t>half</w:t>
      </w:r>
      <w:r w:rsidRPr="004C67E8">
        <w:rPr>
          <w:rFonts w:ascii="Verdana" w:hAnsi="Verdana"/>
        </w:rPr>
        <w:t xml:space="preserve"> of the cost of the tax</w:t>
      </w:r>
      <w:r w:rsidR="009F0DFC">
        <w:rPr>
          <w:rFonts w:ascii="Verdana" w:hAnsi="Verdana"/>
        </w:rPr>
        <w:t xml:space="preserve"> could</w:t>
      </w:r>
      <w:r w:rsidRPr="004C67E8">
        <w:rPr>
          <w:rFonts w:ascii="Verdana" w:hAnsi="Verdana"/>
        </w:rPr>
        <w:t xml:space="preserve"> be passed on</w:t>
      </w:r>
      <w:r w:rsidR="00227F60">
        <w:rPr>
          <w:rFonts w:ascii="Verdana" w:hAnsi="Verdana"/>
        </w:rPr>
        <w:t xml:space="preserve"> to customers, </w:t>
      </w:r>
      <w:r w:rsidR="00D20576">
        <w:rPr>
          <w:rFonts w:ascii="Verdana" w:hAnsi="Verdana"/>
        </w:rPr>
        <w:t>based on the limited evidence available</w:t>
      </w:r>
      <w:r w:rsidRPr="004C67E8">
        <w:rPr>
          <w:rFonts w:ascii="Verdana" w:hAnsi="Verdana"/>
        </w:rPr>
        <w:t xml:space="preserve">.  </w:t>
      </w:r>
    </w:p>
    <w:p w14:paraId="1B8047EB" w14:textId="77777777" w:rsidR="004C67E8" w:rsidRPr="004C67E8" w:rsidRDefault="004C67E8" w:rsidP="004C67E8">
      <w:pPr>
        <w:pStyle w:val="ListParagraph"/>
        <w:rPr>
          <w:rFonts w:ascii="Verdana" w:hAnsi="Verdana"/>
        </w:rPr>
      </w:pPr>
    </w:p>
    <w:p w14:paraId="2353BCF8" w14:textId="3D7F8D14" w:rsidR="00F248E3" w:rsidRDefault="004C67E8" w:rsidP="004C67E8">
      <w:pPr>
        <w:pStyle w:val="ListParagraph"/>
        <w:numPr>
          <w:ilvl w:val="0"/>
          <w:numId w:val="24"/>
        </w:numPr>
        <w:spacing w:line="240" w:lineRule="auto"/>
        <w:jc w:val="both"/>
        <w:rPr>
          <w:rFonts w:ascii="Verdana" w:hAnsi="Verdana"/>
        </w:rPr>
      </w:pPr>
      <w:r w:rsidRPr="004C67E8">
        <w:rPr>
          <w:rFonts w:ascii="Verdana" w:hAnsi="Verdana"/>
          <w:u w:val="single"/>
        </w:rPr>
        <w:t>The effect</w:t>
      </w:r>
      <w:r w:rsidR="000D5590">
        <w:rPr>
          <w:rFonts w:ascii="Verdana" w:hAnsi="Verdana"/>
          <w:u w:val="single"/>
        </w:rPr>
        <w:t xml:space="preserve"> on</w:t>
      </w:r>
      <w:r w:rsidRPr="004C67E8">
        <w:rPr>
          <w:rFonts w:ascii="Verdana" w:hAnsi="Verdana"/>
          <w:u w:val="single"/>
        </w:rPr>
        <w:t xml:space="preserve"> New Zealand’s reputation as a good place to do business.</w:t>
      </w:r>
      <w:r w:rsidR="00F248E3">
        <w:rPr>
          <w:rFonts w:ascii="Verdana" w:hAnsi="Verdana"/>
        </w:rPr>
        <w:t xml:space="preserve">  New Zealand is a small open economy and we compete </w:t>
      </w:r>
      <w:r w:rsidR="000D5590">
        <w:rPr>
          <w:rFonts w:ascii="Verdana" w:hAnsi="Verdana"/>
        </w:rPr>
        <w:t>for</w:t>
      </w:r>
      <w:r w:rsidR="00F248E3">
        <w:rPr>
          <w:rFonts w:ascii="Verdana" w:hAnsi="Verdana"/>
        </w:rPr>
        <w:t xml:space="preserve"> capital with the rest of the world.  That means we want New Zealand to be an attractive place for non-residents to do business.  </w:t>
      </w:r>
    </w:p>
    <w:p w14:paraId="5E8536B8" w14:textId="77777777" w:rsidR="00F248E3" w:rsidRPr="00F248E3" w:rsidRDefault="00F248E3" w:rsidP="00F248E3">
      <w:pPr>
        <w:pStyle w:val="ListParagraph"/>
        <w:rPr>
          <w:rFonts w:ascii="Verdana" w:hAnsi="Verdana"/>
        </w:rPr>
      </w:pPr>
    </w:p>
    <w:p w14:paraId="53469248" w14:textId="0CD01D06" w:rsidR="00C32F41" w:rsidRPr="00FA5E6F" w:rsidRDefault="00F248E3" w:rsidP="00895475">
      <w:pPr>
        <w:pStyle w:val="ListParagraph"/>
        <w:numPr>
          <w:ilvl w:val="0"/>
          <w:numId w:val="24"/>
        </w:numPr>
        <w:spacing w:line="240" w:lineRule="auto"/>
        <w:jc w:val="both"/>
        <w:rPr>
          <w:rFonts w:ascii="Verdana" w:hAnsi="Verdana"/>
        </w:rPr>
      </w:pPr>
      <w:r w:rsidRPr="00895475">
        <w:rPr>
          <w:rFonts w:ascii="Verdana" w:hAnsi="Verdana"/>
          <w:u w:val="single"/>
        </w:rPr>
        <w:t>The potential effect on our export sector</w:t>
      </w:r>
      <w:r w:rsidRPr="00895475">
        <w:rPr>
          <w:rFonts w:ascii="Verdana" w:hAnsi="Verdana"/>
        </w:rPr>
        <w:t xml:space="preserve">. </w:t>
      </w:r>
      <w:r w:rsidR="0061384F">
        <w:rPr>
          <w:rFonts w:ascii="Verdana" w:hAnsi="Verdana"/>
        </w:rPr>
        <w:t xml:space="preserve"> </w:t>
      </w:r>
      <w:r w:rsidR="00FE627E" w:rsidRPr="00FA5E6F">
        <w:rPr>
          <w:rFonts w:ascii="Verdana" w:hAnsi="Verdana"/>
        </w:rPr>
        <w:t xml:space="preserve">The implications of adopting a DST for our export sector would need to be considered.  Some trading partners, </w:t>
      </w:r>
      <w:r w:rsidR="00EF656C" w:rsidRPr="00EF656C">
        <w:rPr>
          <w:rFonts w:ascii="Verdana" w:hAnsi="Verdana"/>
          <w:shd w:val="clear" w:color="auto" w:fill="BFBFBF" w:themeFill="background1" w:themeFillShade="BF"/>
        </w:rPr>
        <w:t>s 6(a)</w:t>
      </w:r>
      <w:r w:rsidR="00EF656C" w:rsidRPr="00EF656C">
        <w:rPr>
          <w:rFonts w:ascii="Verdana" w:hAnsi="Verdana"/>
          <w:color w:val="BFBFBF" w:themeColor="background1" w:themeShade="BF"/>
          <w:shd w:val="clear" w:color="auto" w:fill="BFBFBF" w:themeFill="background1" w:themeFillShade="BF"/>
        </w:rPr>
        <w:t>…………………</w:t>
      </w:r>
      <w:r w:rsidR="00FE627E" w:rsidRPr="00FA5E6F">
        <w:rPr>
          <w:rFonts w:ascii="Verdana" w:hAnsi="Verdana"/>
        </w:rPr>
        <w:t xml:space="preserve">, might raise concerns should New Zealand introduce a DST.  Members of the US Congress and US technology industry have previously claimed DST proposals by the UK and the European Commission would lead to double taxation, and that proposed turnover thresholds would amount to discrimination against US companies in breach of World Trade Organization national treatment provisions. </w:t>
      </w:r>
      <w:r w:rsidR="002142A4">
        <w:rPr>
          <w:rFonts w:ascii="Verdana" w:hAnsi="Verdana"/>
          <w:shd w:val="clear" w:color="auto" w:fill="BFBFBF" w:themeFill="background1" w:themeFillShade="BF"/>
        </w:rPr>
        <w:t xml:space="preserve"> </w:t>
      </w:r>
      <w:r w:rsidR="00EF656C" w:rsidRPr="00EF656C">
        <w:rPr>
          <w:rFonts w:ascii="Verdana" w:hAnsi="Verdana"/>
          <w:shd w:val="clear" w:color="auto" w:fill="BFBFBF" w:themeFill="background1" w:themeFillShade="BF"/>
        </w:rPr>
        <w:t>s 6(a)</w:t>
      </w:r>
      <w:r w:rsidR="00EF656C" w:rsidRPr="00EF656C">
        <w:rPr>
          <w:rFonts w:ascii="Verdana" w:hAnsi="Verdana"/>
          <w:shd w:val="clear" w:color="auto" w:fill="BFBFBF" w:themeFill="background1" w:themeFillShade="BF"/>
        </w:rPr>
        <w:br/>
      </w:r>
      <w:r w:rsidR="00EF656C" w:rsidRPr="00EF656C">
        <w:rPr>
          <w:rFonts w:ascii="Verdana" w:hAnsi="Verdana"/>
          <w:color w:val="BFBFBF" w:themeColor="background1" w:themeShade="BF"/>
          <w:shd w:val="clear" w:color="auto" w:fill="BFBFBF" w:themeFill="background1" w:themeFillShade="BF"/>
        </w:rPr>
        <w:t>…………………………………………………………………………………………………………………………</w:t>
      </w:r>
      <w:r w:rsidR="00EF656C" w:rsidRPr="00EF656C">
        <w:rPr>
          <w:rFonts w:ascii="Verdana" w:hAnsi="Verdana"/>
          <w:color w:val="BFBFBF" w:themeColor="background1" w:themeShade="BF"/>
          <w:shd w:val="clear" w:color="auto" w:fill="BFBFBF" w:themeFill="background1" w:themeFillShade="BF"/>
        </w:rPr>
        <w:br/>
        <w:t>………………………………………………………………………………………………………………………..</w:t>
      </w:r>
      <w:r w:rsidR="00EF656C" w:rsidRPr="00EF656C">
        <w:rPr>
          <w:rFonts w:ascii="Verdana" w:hAnsi="Verdana"/>
          <w:color w:val="BFBFBF" w:themeColor="background1" w:themeShade="BF"/>
          <w:shd w:val="clear" w:color="auto" w:fill="BFBFBF" w:themeFill="background1" w:themeFillShade="BF"/>
        </w:rPr>
        <w:br/>
        <w:t>……………………………………………………………..</w:t>
      </w:r>
    </w:p>
    <w:p w14:paraId="5E256D34" w14:textId="410973FE" w:rsidR="004C67E8" w:rsidRPr="004C67E8" w:rsidRDefault="004C67E8" w:rsidP="004C67E8">
      <w:pPr>
        <w:pStyle w:val="ListParagraph"/>
        <w:ind w:left="360"/>
        <w:rPr>
          <w:rFonts w:ascii="Verdana" w:hAnsi="Verdana"/>
        </w:rPr>
      </w:pPr>
    </w:p>
    <w:p w14:paraId="5CDB5F25" w14:textId="77777777" w:rsidR="004C67E8" w:rsidRPr="004C67E8" w:rsidRDefault="004C67E8" w:rsidP="004C67E8">
      <w:pPr>
        <w:pStyle w:val="ListParagraph"/>
        <w:numPr>
          <w:ilvl w:val="0"/>
          <w:numId w:val="24"/>
        </w:numPr>
        <w:spacing w:line="240" w:lineRule="auto"/>
        <w:jc w:val="both"/>
        <w:rPr>
          <w:rFonts w:ascii="Verdana" w:hAnsi="Verdana"/>
        </w:rPr>
      </w:pPr>
      <w:r w:rsidRPr="004C67E8">
        <w:rPr>
          <w:rFonts w:ascii="Verdana" w:hAnsi="Verdana"/>
          <w:u w:val="single"/>
        </w:rPr>
        <w:t>The period of time for which a DST would be applicable.</w:t>
      </w:r>
      <w:r w:rsidRPr="004C67E8">
        <w:rPr>
          <w:rFonts w:ascii="Verdana" w:hAnsi="Verdana"/>
          <w:b/>
          <w:i/>
        </w:rPr>
        <w:t xml:space="preserve">  </w:t>
      </w:r>
      <w:r w:rsidRPr="004C67E8">
        <w:rPr>
          <w:rFonts w:ascii="Verdana" w:hAnsi="Verdana"/>
        </w:rPr>
        <w:t xml:space="preserve">The OECD expects that any DSTs would be repealed once a multilateral solution is achieved.  </w:t>
      </w:r>
      <w:r w:rsidR="00C32F41">
        <w:rPr>
          <w:rFonts w:ascii="Verdana" w:hAnsi="Verdana"/>
        </w:rPr>
        <w:t xml:space="preserve">Other countries that have </w:t>
      </w:r>
      <w:r w:rsidR="009129C7">
        <w:rPr>
          <w:rFonts w:ascii="Verdana" w:hAnsi="Verdana"/>
        </w:rPr>
        <w:t xml:space="preserve">recently </w:t>
      </w:r>
      <w:r w:rsidR="00C32F41">
        <w:rPr>
          <w:rFonts w:ascii="Verdana" w:hAnsi="Verdana"/>
        </w:rPr>
        <w:t xml:space="preserve">proposed DSTs have also agreed with this.  </w:t>
      </w:r>
      <w:r w:rsidRPr="004C67E8">
        <w:rPr>
          <w:rFonts w:ascii="Verdana" w:hAnsi="Verdana"/>
        </w:rPr>
        <w:t>Accordingly</w:t>
      </w:r>
      <w:r w:rsidR="006F393E">
        <w:rPr>
          <w:rFonts w:ascii="Verdana" w:hAnsi="Verdana"/>
        </w:rPr>
        <w:t>,</w:t>
      </w:r>
      <w:r w:rsidRPr="004C67E8">
        <w:rPr>
          <w:rFonts w:ascii="Verdana" w:hAnsi="Verdana"/>
        </w:rPr>
        <w:t xml:space="preserve"> if agreement was reached quickly at the OECD, then it may not be worth designing a DST that would only apply for a short period of time.</w:t>
      </w:r>
    </w:p>
    <w:p w14:paraId="66DE06ED" w14:textId="77777777" w:rsidR="004C67E8" w:rsidRPr="004C67E8" w:rsidRDefault="004C67E8" w:rsidP="004C67E8">
      <w:pPr>
        <w:pStyle w:val="ListParagraph"/>
        <w:rPr>
          <w:rFonts w:ascii="Verdana" w:hAnsi="Verdana"/>
          <w:u w:val="single"/>
        </w:rPr>
      </w:pPr>
    </w:p>
    <w:p w14:paraId="52C442AF" w14:textId="7AED780D" w:rsidR="004C67E8" w:rsidRPr="00895475" w:rsidRDefault="004C67E8" w:rsidP="00895475">
      <w:pPr>
        <w:pStyle w:val="ListParagraph"/>
        <w:numPr>
          <w:ilvl w:val="0"/>
          <w:numId w:val="24"/>
        </w:numPr>
        <w:spacing w:line="240" w:lineRule="auto"/>
        <w:jc w:val="both"/>
        <w:rPr>
          <w:rFonts w:ascii="Verdana" w:hAnsi="Verdana"/>
          <w:u w:val="single"/>
        </w:rPr>
      </w:pPr>
      <w:r w:rsidRPr="004C67E8">
        <w:rPr>
          <w:rFonts w:ascii="Verdana" w:hAnsi="Verdana"/>
          <w:u w:val="single"/>
        </w:rPr>
        <w:t>The administration and compliance costs of introducing a new tax.</w:t>
      </w:r>
      <w:r w:rsidRPr="004C67E8">
        <w:rPr>
          <w:rFonts w:ascii="Verdana" w:hAnsi="Verdana"/>
        </w:rPr>
        <w:t xml:space="preserve">  This is particularly an issue given that a DST is not expected to raise significant revenue.</w:t>
      </w:r>
      <w:r w:rsidR="006F393E">
        <w:rPr>
          <w:rFonts w:ascii="Verdana" w:hAnsi="Verdana"/>
        </w:rPr>
        <w:t xml:space="preserve"> In addition, given a DST </w:t>
      </w:r>
      <w:r w:rsidR="00080D20">
        <w:rPr>
          <w:rFonts w:ascii="Verdana" w:hAnsi="Verdana"/>
        </w:rPr>
        <w:t xml:space="preserve">would be expected to </w:t>
      </w:r>
      <w:r w:rsidR="00ED0DBD">
        <w:rPr>
          <w:rFonts w:ascii="Verdana" w:hAnsi="Verdana"/>
        </w:rPr>
        <w:t xml:space="preserve">(at least </w:t>
      </w:r>
      <w:r w:rsidR="00080D20">
        <w:rPr>
          <w:rFonts w:ascii="Verdana" w:hAnsi="Verdana"/>
        </w:rPr>
        <w:t>predominantly</w:t>
      </w:r>
      <w:r w:rsidR="00ED0DBD">
        <w:rPr>
          <w:rFonts w:ascii="Verdana" w:hAnsi="Verdana"/>
        </w:rPr>
        <w:t>)</w:t>
      </w:r>
      <w:r w:rsidR="00080D20">
        <w:rPr>
          <w:rFonts w:ascii="Verdana" w:hAnsi="Verdana"/>
        </w:rPr>
        <w:t xml:space="preserve"> </w:t>
      </w:r>
      <w:r w:rsidR="006F393E">
        <w:rPr>
          <w:rFonts w:ascii="Verdana" w:hAnsi="Verdana"/>
        </w:rPr>
        <w:t>app</w:t>
      </w:r>
      <w:r w:rsidR="00080D20">
        <w:rPr>
          <w:rFonts w:ascii="Verdana" w:hAnsi="Verdana"/>
        </w:rPr>
        <w:t>ly</w:t>
      </w:r>
      <w:r w:rsidR="006F393E">
        <w:rPr>
          <w:rFonts w:ascii="Verdana" w:hAnsi="Verdana"/>
        </w:rPr>
        <w:t xml:space="preserve"> to companies outside of New Zealand, there are fewer tools available to Inland Revenue to enforce the tax.</w:t>
      </w:r>
    </w:p>
    <w:p w14:paraId="67F1BF23" w14:textId="77777777" w:rsidR="001834C2" w:rsidRPr="00632847" w:rsidRDefault="00C32F41" w:rsidP="001834C2">
      <w:pPr>
        <w:pStyle w:val="Heading1"/>
      </w:pPr>
      <w:r>
        <w:lastRenderedPageBreak/>
        <w:t>What should New Zealand do?</w:t>
      </w:r>
    </w:p>
    <w:p w14:paraId="403E982D" w14:textId="77777777" w:rsidR="004F5DD6" w:rsidRDefault="004F5DD6" w:rsidP="00235517">
      <w:pPr>
        <w:pStyle w:val="NumberedParagraph"/>
        <w:numPr>
          <w:ilvl w:val="0"/>
          <w:numId w:val="0"/>
        </w:numPr>
        <w:ind w:left="709" w:hanging="709"/>
      </w:pPr>
      <w:r>
        <w:rPr>
          <w:b/>
        </w:rPr>
        <w:t>Continue participating in the OECD discussions</w:t>
      </w:r>
      <w:r>
        <w:t xml:space="preserve"> </w:t>
      </w:r>
    </w:p>
    <w:p w14:paraId="3C60D6DB" w14:textId="6854CCE5" w:rsidR="00665AE0" w:rsidRDefault="00665AE0" w:rsidP="002F60D8">
      <w:pPr>
        <w:pStyle w:val="NumberedParagraph"/>
      </w:pPr>
      <w:r>
        <w:t xml:space="preserve">We </w:t>
      </w:r>
      <w:r w:rsidR="002F60D8">
        <w:t xml:space="preserve">currently </w:t>
      </w:r>
      <w:r>
        <w:t xml:space="preserve">consider that </w:t>
      </w:r>
      <w:r w:rsidR="009F0DFC">
        <w:t>changing</w:t>
      </w:r>
      <w:r>
        <w:t xml:space="preserve"> the international tax </w:t>
      </w:r>
      <w:r w:rsidR="00BF1327">
        <w:t xml:space="preserve">framework, if </w:t>
      </w:r>
      <w:r w:rsidR="009F0DFC">
        <w:t>possible</w:t>
      </w:r>
      <w:r w:rsidR="00BF1327">
        <w:t>,</w:t>
      </w:r>
      <w:r>
        <w:t xml:space="preserve"> would be the best </w:t>
      </w:r>
      <w:r w:rsidR="002F60D8">
        <w:t>option for</w:t>
      </w:r>
      <w:r>
        <w:t xml:space="preserve"> taxing the digital economy</w:t>
      </w:r>
      <w:r w:rsidR="0020153A">
        <w:t xml:space="preserve"> in the long term</w:t>
      </w:r>
      <w:r>
        <w:t xml:space="preserve">.  </w:t>
      </w:r>
      <w:r w:rsidR="000919B6">
        <w:t xml:space="preserve">It would integrate the taxation of these companies into the income tax system, and so avoid the need for a separate </w:t>
      </w:r>
      <w:r w:rsidR="00604948">
        <w:t xml:space="preserve">DST with all its attendant issues (as discussed above).  </w:t>
      </w:r>
      <w:r w:rsidR="002F60D8">
        <w:t>At this stage</w:t>
      </w:r>
      <w:r w:rsidR="006F393E">
        <w:t>,</w:t>
      </w:r>
      <w:r w:rsidR="002F60D8">
        <w:t xml:space="preserve"> we also </w:t>
      </w:r>
      <w:r>
        <w:t xml:space="preserve">expect </w:t>
      </w:r>
      <w:r w:rsidR="002F60D8">
        <w:t>this option</w:t>
      </w:r>
      <w:r>
        <w:t xml:space="preserve"> to benefit New Zealand overall.  This is because New Zealand imports more highly digitalised services than it exports.  </w:t>
      </w:r>
      <w:r w:rsidR="002142A4" w:rsidRPr="002142A4">
        <w:rPr>
          <w:color w:val="BFBFBF" w:themeColor="background1" w:themeShade="BF"/>
          <w:shd w:val="clear" w:color="auto" w:fill="BFBFBF" w:themeFill="background1" w:themeFillShade="BF"/>
        </w:rPr>
        <w:t>….</w:t>
      </w:r>
      <w:r w:rsidR="002142A4" w:rsidRPr="002142A4">
        <w:rPr>
          <w:shd w:val="clear" w:color="auto" w:fill="BFBFBF" w:themeFill="background1" w:themeFillShade="BF"/>
        </w:rPr>
        <w:t xml:space="preserve"> s 6(a)</w:t>
      </w:r>
      <w:r w:rsidR="002142A4" w:rsidRPr="002142A4">
        <w:rPr>
          <w:color w:val="BFBFBF" w:themeColor="background1" w:themeShade="BF"/>
          <w:shd w:val="clear" w:color="auto" w:fill="BFBFBF" w:themeFill="background1" w:themeFillShade="BF"/>
        </w:rPr>
        <w:t>……………………………………………………………………………………………………………… . . . . . . ……………………………</w:t>
      </w:r>
      <w:r w:rsidR="002142A4">
        <w:rPr>
          <w:color w:val="BFBFBF" w:themeColor="background1" w:themeShade="BF"/>
          <w:shd w:val="clear" w:color="auto" w:fill="BFBFBF" w:themeFill="background1" w:themeFillShade="BF"/>
        </w:rPr>
        <w:t>……………………………………</w:t>
      </w:r>
      <w:r w:rsidR="002142A4" w:rsidRPr="002142A4">
        <w:rPr>
          <w:color w:val="BFBFBF" w:themeColor="background1" w:themeShade="BF"/>
          <w:shd w:val="clear" w:color="auto" w:fill="BFBFBF" w:themeFill="background1" w:themeFillShade="BF"/>
        </w:rPr>
        <w:t>…………</w:t>
      </w:r>
      <w:r w:rsidR="002142A4">
        <w:t xml:space="preserve"> </w:t>
      </w:r>
      <w:r w:rsidR="00DB4CB6">
        <w:t>However</w:t>
      </w:r>
      <w:r w:rsidR="006F393E">
        <w:t>,</w:t>
      </w:r>
      <w:r w:rsidR="002F60D8">
        <w:t xml:space="preserve"> w</w:t>
      </w:r>
      <w:r>
        <w:t xml:space="preserve">e will need to wait until the proposals are developed in more detail before we can come to any firm conclusions about this.  </w:t>
      </w:r>
    </w:p>
    <w:p w14:paraId="6A1F6799" w14:textId="77777777" w:rsidR="00604948" w:rsidRDefault="00604948" w:rsidP="00604948">
      <w:pPr>
        <w:pStyle w:val="NumberedParagraph"/>
      </w:pPr>
      <w:r>
        <w:t>Therefore</w:t>
      </w:r>
      <w:r w:rsidR="006F393E">
        <w:t>,</w:t>
      </w:r>
      <w:r>
        <w:t xml:space="preserve"> we recommend New Zealand continue to participate in the OECD discussions, with a view to supporting an international </w:t>
      </w:r>
      <w:r w:rsidR="000637E5">
        <w:t>solution</w:t>
      </w:r>
      <w:r>
        <w:t xml:space="preserve"> (bearing in mind its effect on our export sector).  </w:t>
      </w:r>
    </w:p>
    <w:p w14:paraId="51D642D4" w14:textId="77777777" w:rsidR="00776376" w:rsidRPr="00776376" w:rsidRDefault="00892DF7" w:rsidP="00235517">
      <w:pPr>
        <w:pStyle w:val="NumberedParagraph"/>
        <w:numPr>
          <w:ilvl w:val="0"/>
          <w:numId w:val="0"/>
        </w:numPr>
        <w:rPr>
          <w:b/>
        </w:rPr>
      </w:pPr>
      <w:r>
        <w:rPr>
          <w:b/>
        </w:rPr>
        <w:t xml:space="preserve">Commence </w:t>
      </w:r>
      <w:r w:rsidR="00235517">
        <w:rPr>
          <w:b/>
        </w:rPr>
        <w:t xml:space="preserve">formal </w:t>
      </w:r>
      <w:r>
        <w:rPr>
          <w:b/>
        </w:rPr>
        <w:t>consideration of</w:t>
      </w:r>
      <w:r w:rsidR="00776376">
        <w:rPr>
          <w:b/>
        </w:rPr>
        <w:t xml:space="preserve"> a DST in the interim</w:t>
      </w:r>
    </w:p>
    <w:p w14:paraId="23CEAE96" w14:textId="77777777" w:rsidR="001834C2" w:rsidRDefault="009F6EE5" w:rsidP="00BF1327">
      <w:pPr>
        <w:pStyle w:val="NumberedParagraph"/>
      </w:pPr>
      <w:r>
        <w:t>T</w:t>
      </w:r>
      <w:r w:rsidR="004C67E8">
        <w:t>h</w:t>
      </w:r>
      <w:r w:rsidR="001834C2">
        <w:t xml:space="preserve">ere may be benefits in adopting </w:t>
      </w:r>
      <w:r>
        <w:t>a DST</w:t>
      </w:r>
      <w:r w:rsidR="001834C2">
        <w:t xml:space="preserve"> in the following circumstances:</w:t>
      </w:r>
    </w:p>
    <w:p w14:paraId="4B0C75BA" w14:textId="77777777" w:rsidR="004C67E8" w:rsidRDefault="009F6EE5" w:rsidP="001834C2">
      <w:pPr>
        <w:pStyle w:val="NumberedParagraph"/>
        <w:numPr>
          <w:ilvl w:val="0"/>
          <w:numId w:val="22"/>
        </w:numPr>
      </w:pPr>
      <w:r>
        <w:t>t</w:t>
      </w:r>
      <w:r w:rsidR="004C67E8">
        <w:t>he OECD cannot achieve an international solution in a reasonable timeframe</w:t>
      </w:r>
      <w:r w:rsidR="00BF1327">
        <w:t xml:space="preserve"> (as any DST would need to be repealed once that solution was achieved)</w:t>
      </w:r>
      <w:r w:rsidR="004C67E8">
        <w:t>;</w:t>
      </w:r>
    </w:p>
    <w:p w14:paraId="380D341E" w14:textId="22C53342" w:rsidR="001834C2" w:rsidRDefault="004C67E8" w:rsidP="001834C2">
      <w:pPr>
        <w:pStyle w:val="NumberedParagraph"/>
        <w:numPr>
          <w:ilvl w:val="0"/>
          <w:numId w:val="22"/>
        </w:numPr>
      </w:pPr>
      <w:r>
        <w:t>a</w:t>
      </w:r>
      <w:r w:rsidR="001834C2">
        <w:t xml:space="preserve"> critical mass of other countries also adopt</w:t>
      </w:r>
      <w:r w:rsidR="00FE20A5">
        <w:t>s</w:t>
      </w:r>
      <w:r w:rsidR="001834C2">
        <w:t xml:space="preserve"> </w:t>
      </w:r>
      <w:r w:rsidR="000637E5">
        <w:t>a DST</w:t>
      </w:r>
      <w:r>
        <w:t>,</w:t>
      </w:r>
      <w:r w:rsidR="001834C2">
        <w:t xml:space="preserve"> particularly Australia</w:t>
      </w:r>
      <w:r w:rsidR="003F3EC8">
        <w:t xml:space="preserve"> (to reduce the reputational risks of adopting a DST)</w:t>
      </w:r>
      <w:r w:rsidR="001834C2">
        <w:t xml:space="preserve">; </w:t>
      </w:r>
    </w:p>
    <w:p w14:paraId="6D952AAD" w14:textId="77777777" w:rsidR="001834C2" w:rsidRDefault="001834C2" w:rsidP="001834C2">
      <w:pPr>
        <w:pStyle w:val="NumberedParagraph"/>
        <w:numPr>
          <w:ilvl w:val="0"/>
          <w:numId w:val="22"/>
        </w:numPr>
      </w:pPr>
      <w:r>
        <w:t xml:space="preserve">New Zealand companies are not unduly affected by </w:t>
      </w:r>
      <w:r w:rsidR="000637E5">
        <w:t>the DST</w:t>
      </w:r>
      <w:r>
        <w:t>; and</w:t>
      </w:r>
    </w:p>
    <w:p w14:paraId="0E932F81" w14:textId="77777777" w:rsidR="001834C2" w:rsidRDefault="001834C2" w:rsidP="001834C2">
      <w:pPr>
        <w:pStyle w:val="NumberedParagraph"/>
        <w:numPr>
          <w:ilvl w:val="0"/>
          <w:numId w:val="22"/>
        </w:numPr>
      </w:pPr>
      <w:r>
        <w:t xml:space="preserve">the </w:t>
      </w:r>
      <w:r w:rsidR="000637E5">
        <w:t>DST</w:t>
      </w:r>
      <w:r>
        <w:t xml:space="preserve"> will not just be passed on to New Zealand consumers.</w:t>
      </w:r>
    </w:p>
    <w:p w14:paraId="5234165A" w14:textId="6DA4F809" w:rsidR="001834C2" w:rsidRDefault="00895475" w:rsidP="00895475">
      <w:pPr>
        <w:pStyle w:val="NumberedParagraph"/>
      </w:pPr>
      <w:r>
        <w:t xml:space="preserve">This </w:t>
      </w:r>
      <w:r w:rsidR="00B4025A">
        <w:t>evaluation</w:t>
      </w:r>
      <w:r>
        <w:t xml:space="preserve"> is also consistent with the Tax Working Group’s </w:t>
      </w:r>
      <w:r w:rsidR="00FE20A5">
        <w:t>recommendations on</w:t>
      </w:r>
      <w:r>
        <w:t xml:space="preserve"> a DST in their interim report.   </w:t>
      </w:r>
    </w:p>
    <w:p w14:paraId="118A1BED" w14:textId="1BD41449" w:rsidR="00A14F43" w:rsidRDefault="00FE20A5" w:rsidP="00895475">
      <w:pPr>
        <w:pStyle w:val="NumberedParagraph"/>
      </w:pPr>
      <w:r>
        <w:t>W</w:t>
      </w:r>
      <w:r w:rsidR="00A14F43">
        <w:t>e recommend that the Government</w:t>
      </w:r>
      <w:r w:rsidR="008F6558">
        <w:t xml:space="preserve"> </w:t>
      </w:r>
      <w:r w:rsidR="0020153A">
        <w:t>start considering</w:t>
      </w:r>
      <w:r w:rsidR="00D24F52">
        <w:t xml:space="preserve"> </w:t>
      </w:r>
      <w:r w:rsidR="00DA43CA">
        <w:t>a DST as another option for taxing the digital economy</w:t>
      </w:r>
      <w:r w:rsidR="008F6558">
        <w:t xml:space="preserve">. </w:t>
      </w:r>
      <w:r w:rsidR="00895475">
        <w:t xml:space="preserve"> T</w:t>
      </w:r>
      <w:r w:rsidR="008F6558">
        <w:t>o commence, we recommend publishing</w:t>
      </w:r>
      <w:r w:rsidR="00A14F43">
        <w:t xml:space="preserve"> </w:t>
      </w:r>
      <w:r w:rsidR="00D24F52">
        <w:t>a discussion</w:t>
      </w:r>
      <w:r w:rsidR="00A14F43">
        <w:t xml:space="preserve"> </w:t>
      </w:r>
      <w:r w:rsidR="00D24F52">
        <w:t>document</w:t>
      </w:r>
      <w:r w:rsidR="00A14F43">
        <w:t xml:space="preserve">.  </w:t>
      </w:r>
      <w:r w:rsidR="008F6558">
        <w:t xml:space="preserve">This </w:t>
      </w:r>
      <w:r w:rsidR="00A14F43">
        <w:t xml:space="preserve">will also help to identify some of the advantages and disadvantages of a DST, and so will put the Government in a better position to subsequently decide whether </w:t>
      </w:r>
      <w:r w:rsidR="00BC4833">
        <w:t>it should</w:t>
      </w:r>
      <w:r w:rsidR="00A14F43">
        <w:t xml:space="preserve"> introduce </w:t>
      </w:r>
      <w:r w:rsidR="00CB2834">
        <w:t>one</w:t>
      </w:r>
      <w:r w:rsidR="00A14F43">
        <w:t xml:space="preserve">.  </w:t>
      </w:r>
    </w:p>
    <w:p w14:paraId="7A5E11F6" w14:textId="77777777" w:rsidR="008F6EF1" w:rsidRPr="00632847" w:rsidRDefault="008F6EF1" w:rsidP="008F6EF1">
      <w:pPr>
        <w:pStyle w:val="Heading1"/>
      </w:pPr>
      <w:r>
        <w:t xml:space="preserve">Contents of the </w:t>
      </w:r>
      <w:r w:rsidR="00D24F52">
        <w:t>discussion document</w:t>
      </w:r>
    </w:p>
    <w:p w14:paraId="0176595C" w14:textId="3AB040EB" w:rsidR="00503FA6" w:rsidRDefault="008F6558" w:rsidP="00976200">
      <w:pPr>
        <w:pStyle w:val="NumberedParagraph"/>
      </w:pPr>
      <w:r>
        <w:t xml:space="preserve">The </w:t>
      </w:r>
      <w:r w:rsidR="00D24F52">
        <w:t>discussion document</w:t>
      </w:r>
      <w:r>
        <w:t xml:space="preserve"> should </w:t>
      </w:r>
      <w:r w:rsidR="00A3569B">
        <w:t xml:space="preserve">broadly </w:t>
      </w:r>
      <w:r>
        <w:t xml:space="preserve">outline </w:t>
      </w:r>
      <w:r w:rsidR="00D24F52">
        <w:t xml:space="preserve">the </w:t>
      </w:r>
      <w:r w:rsidR="00DA43CA">
        <w:t xml:space="preserve">two </w:t>
      </w:r>
      <w:r w:rsidR="00D24F52">
        <w:t>options for taxing the digital economy</w:t>
      </w:r>
      <w:r w:rsidR="00895475">
        <w:t xml:space="preserve"> – namely an OECD led international solution, and a unilateral DST</w:t>
      </w:r>
      <w:r w:rsidR="00FE20A5">
        <w:t>.  The DST proposed should include the common features discussed above.</w:t>
      </w:r>
      <w:r w:rsidR="00B4025A">
        <w:t xml:space="preserve"> </w:t>
      </w:r>
      <w:r w:rsidR="00895475">
        <w:t xml:space="preserve"> </w:t>
      </w:r>
      <w:r w:rsidR="00FE20A5">
        <w:t xml:space="preserve">In </w:t>
      </w:r>
      <w:r w:rsidR="000278F4">
        <w:t>addition,</w:t>
      </w:r>
      <w:r w:rsidR="00FE20A5">
        <w:t xml:space="preserve"> we</w:t>
      </w:r>
      <w:r w:rsidR="00895475">
        <w:t xml:space="preserve"> understand that the OECD is planning to </w:t>
      </w:r>
      <w:r w:rsidR="00976200">
        <w:t>publicly</w:t>
      </w:r>
      <w:r w:rsidR="00895475">
        <w:t xml:space="preserve"> consult on it</w:t>
      </w:r>
      <w:r w:rsidR="002D6CE6">
        <w:t>s</w:t>
      </w:r>
      <w:r w:rsidR="00895475">
        <w:t xml:space="preserve"> </w:t>
      </w:r>
      <w:r w:rsidR="002D6CE6">
        <w:t>proposed international solutions</w:t>
      </w:r>
      <w:r w:rsidR="00895475">
        <w:t xml:space="preserve"> in February 2019.   </w:t>
      </w:r>
      <w:r w:rsidR="00976200">
        <w:t>Accordingly,</w:t>
      </w:r>
      <w:r w:rsidR="00895475">
        <w:t xml:space="preserve"> the discussion document can also describe the OECD’s proposed options in detail and invite feedback to the Government</w:t>
      </w:r>
      <w:r w:rsidR="00FE20A5" w:rsidRPr="00FE20A5">
        <w:t xml:space="preserve"> </w:t>
      </w:r>
      <w:r w:rsidR="00FE20A5">
        <w:t>on them</w:t>
      </w:r>
      <w:r w:rsidR="00895475">
        <w:t>.</w:t>
      </w:r>
      <w:r w:rsidR="00A3569B">
        <w:t xml:space="preserve">  We suggest the </w:t>
      </w:r>
      <w:r w:rsidR="00D24F52">
        <w:t>discussion document</w:t>
      </w:r>
      <w:r w:rsidR="00A3569B">
        <w:t xml:space="preserve"> be framed as exploring the </w:t>
      </w:r>
      <w:r w:rsidR="00D24F52">
        <w:t>options</w:t>
      </w:r>
      <w:r w:rsidR="00A3569B">
        <w:t xml:space="preserve"> (as with the Australian discussion document</w:t>
      </w:r>
      <w:r w:rsidR="0019690D">
        <w:t xml:space="preserve"> on the digital economy</w:t>
      </w:r>
      <w:r w:rsidR="00A3569B">
        <w:t xml:space="preserve">), rather than consulting on a </w:t>
      </w:r>
      <w:r w:rsidR="00DA43CA">
        <w:t>preferred approach</w:t>
      </w:r>
      <w:r w:rsidR="00A3569B">
        <w:t xml:space="preserve">.  </w:t>
      </w:r>
      <w:r w:rsidR="00BC4833">
        <w:t xml:space="preserve">  </w:t>
      </w:r>
    </w:p>
    <w:p w14:paraId="3F723C28" w14:textId="77777777" w:rsidR="00CD36CE" w:rsidRDefault="00CD36CE" w:rsidP="00CD36CE">
      <w:pPr>
        <w:pStyle w:val="NumberedParagraph"/>
      </w:pPr>
      <w:r>
        <w:t xml:space="preserve">We also recommend that the </w:t>
      </w:r>
      <w:r w:rsidR="00D24F52">
        <w:t>discussion document</w:t>
      </w:r>
      <w:r>
        <w:t xml:space="preserve"> </w:t>
      </w:r>
      <w:r w:rsidR="00374EC1">
        <w:t>make it clear that</w:t>
      </w:r>
      <w:r>
        <w:t>:</w:t>
      </w:r>
      <w:r w:rsidRPr="00CD36CE">
        <w:t xml:space="preserve"> </w:t>
      </w:r>
    </w:p>
    <w:p w14:paraId="1C7AA80B" w14:textId="5A76A418" w:rsidR="00CD36CE" w:rsidRDefault="0019690D" w:rsidP="0019690D">
      <w:pPr>
        <w:pStyle w:val="NumberedParagraph"/>
        <w:numPr>
          <w:ilvl w:val="0"/>
          <w:numId w:val="28"/>
        </w:numPr>
        <w:ind w:left="1440"/>
      </w:pPr>
      <w:r>
        <w:t>t</w:t>
      </w:r>
      <w:r w:rsidR="00DA7185">
        <w:t>he Government has not yet decided to whether to int</w:t>
      </w:r>
      <w:r>
        <w:t>roduce a DST</w:t>
      </w:r>
      <w:r w:rsidR="00851B1C">
        <w:t>, but is considering it as an option</w:t>
      </w:r>
      <w:r>
        <w:t>;</w:t>
      </w:r>
      <w:r w:rsidR="00DA7185">
        <w:t xml:space="preserve"> </w:t>
      </w:r>
    </w:p>
    <w:p w14:paraId="288D7BD9" w14:textId="77777777" w:rsidR="00621A76" w:rsidRDefault="00CD36CE" w:rsidP="0019690D">
      <w:pPr>
        <w:pStyle w:val="NumberedParagraph"/>
        <w:numPr>
          <w:ilvl w:val="0"/>
          <w:numId w:val="28"/>
        </w:numPr>
        <w:ind w:left="1440"/>
      </w:pPr>
      <w:r>
        <w:lastRenderedPageBreak/>
        <w:t>the</w:t>
      </w:r>
      <w:r w:rsidR="00374EC1">
        <w:t xml:space="preserve"> DST would only be introduced in the event the OCED is unable to reach an international solution in a reasonable </w:t>
      </w:r>
      <w:r w:rsidR="00DA7185">
        <w:t>timeframe</w:t>
      </w:r>
      <w:r>
        <w:t xml:space="preserve"> and a critical mass of other countries also adopt DSTs</w:t>
      </w:r>
      <w:r w:rsidR="0019690D">
        <w:t>; and</w:t>
      </w:r>
      <w:r w:rsidR="00374EC1">
        <w:t xml:space="preserve"> </w:t>
      </w:r>
    </w:p>
    <w:p w14:paraId="067FD804" w14:textId="5522C64C" w:rsidR="00895475" w:rsidRDefault="00895475" w:rsidP="0019690D">
      <w:pPr>
        <w:pStyle w:val="NumberedParagraph"/>
        <w:numPr>
          <w:ilvl w:val="0"/>
          <w:numId w:val="28"/>
        </w:numPr>
        <w:ind w:left="1440"/>
      </w:pPr>
      <w:r>
        <w:t>The tax would be repealed when an international solution was fully implemented.</w:t>
      </w:r>
    </w:p>
    <w:p w14:paraId="44E50364" w14:textId="77777777" w:rsidR="00811AC6" w:rsidRDefault="00811AC6" w:rsidP="00FE256A">
      <w:pPr>
        <w:pStyle w:val="Heading1"/>
      </w:pPr>
      <w:r>
        <w:t>Consultation</w:t>
      </w:r>
    </w:p>
    <w:p w14:paraId="4898D221" w14:textId="77777777" w:rsidR="00FA5E6F" w:rsidRPr="00FA5E6F" w:rsidRDefault="00FA5E6F" w:rsidP="00FA5E6F">
      <w:pPr>
        <w:pStyle w:val="NumberedParagraph"/>
      </w:pPr>
      <w:r w:rsidRPr="00FA5E6F">
        <w:t>We consulted with the Ministry of Foreign Affairs and Trade on this report.</w:t>
      </w:r>
    </w:p>
    <w:p w14:paraId="29C2239E" w14:textId="1AAEACD5" w:rsidR="00FA5E6F" w:rsidRPr="00FA5E6F" w:rsidRDefault="002142A4" w:rsidP="002142A4">
      <w:pPr>
        <w:pStyle w:val="NumberedParagraph"/>
        <w:spacing w:after="0"/>
      </w:pPr>
      <w:r w:rsidRPr="002142A4">
        <w:rPr>
          <w:shd w:val="clear" w:color="auto" w:fill="BFBFBF" w:themeFill="background1" w:themeFillShade="BF"/>
        </w:rPr>
        <w:t>s 9(2)(h)</w:t>
      </w:r>
      <w:r w:rsidRPr="002142A4">
        <w:rPr>
          <w:color w:val="BFBFBF" w:themeColor="background1" w:themeShade="BF"/>
          <w:shd w:val="clear" w:color="auto" w:fill="BFBFBF" w:themeFill="background1" w:themeFillShade="BF"/>
        </w:rPr>
        <w:t>……………………………………………………………………………………………………………………...</w:t>
      </w:r>
      <w:r w:rsidRPr="002142A4">
        <w:rPr>
          <w:color w:val="BFBFBF" w:themeColor="background1" w:themeShade="BF"/>
          <w:shd w:val="clear" w:color="auto" w:fill="BFBFBF" w:themeFill="background1" w:themeFillShade="BF"/>
        </w:rPr>
        <w:br/>
        <w:t>………………………………………………………………………………………………………………………………………</w:t>
      </w:r>
      <w:r w:rsidRPr="002142A4">
        <w:rPr>
          <w:color w:val="BFBFBF" w:themeColor="background1" w:themeShade="BF"/>
          <w:shd w:val="clear" w:color="auto" w:fill="BFBFBF" w:themeFill="background1" w:themeFillShade="BF"/>
        </w:rPr>
        <w:br/>
        <w:t>………………………………………………………………………………………………………………………………………</w:t>
      </w:r>
      <w:r w:rsidRPr="002142A4">
        <w:rPr>
          <w:color w:val="BFBFBF" w:themeColor="background1" w:themeShade="BF"/>
          <w:shd w:val="clear" w:color="auto" w:fill="BFBFBF" w:themeFill="background1" w:themeFillShade="BF"/>
        </w:rPr>
        <w:br/>
        <w:t>………………………………………………………………………………………………………………………………………</w:t>
      </w:r>
      <w:r w:rsidRPr="002142A4">
        <w:rPr>
          <w:color w:val="BFBFBF" w:themeColor="background1" w:themeShade="BF"/>
          <w:shd w:val="clear" w:color="auto" w:fill="BFBFBF" w:themeFill="background1" w:themeFillShade="BF"/>
        </w:rPr>
        <w:br/>
        <w:t>………………………………………………………………………………………………………………………………………</w:t>
      </w:r>
      <w:r w:rsidRPr="002142A4">
        <w:rPr>
          <w:color w:val="BFBFBF" w:themeColor="background1" w:themeShade="BF"/>
          <w:shd w:val="clear" w:color="auto" w:fill="BFBFBF" w:themeFill="background1" w:themeFillShade="BF"/>
        </w:rPr>
        <w:br/>
        <w:t>………………………………………………………………………………………………………………………………………</w:t>
      </w:r>
      <w:r w:rsidRPr="002142A4">
        <w:rPr>
          <w:color w:val="BFBFBF" w:themeColor="background1" w:themeShade="BF"/>
          <w:shd w:val="clear" w:color="auto" w:fill="BFBFBF" w:themeFill="background1" w:themeFillShade="BF"/>
        </w:rPr>
        <w:br/>
        <w:t>………………………………………………………………………………………………………………………………………</w:t>
      </w:r>
      <w:r w:rsidRPr="002142A4">
        <w:rPr>
          <w:color w:val="BFBFBF" w:themeColor="background1" w:themeShade="BF"/>
          <w:shd w:val="clear" w:color="auto" w:fill="BFBFBF" w:themeFill="background1" w:themeFillShade="BF"/>
        </w:rPr>
        <w:br/>
        <w:t>………………………………………………………………………………………………………………………………………</w:t>
      </w:r>
    </w:p>
    <w:p w14:paraId="17DD1FE5" w14:textId="47940FA3" w:rsidR="00FA5E6F" w:rsidRPr="00FA5E6F" w:rsidRDefault="002142A4" w:rsidP="00FA5E6F">
      <w:pPr>
        <w:pStyle w:val="NumberedParagraph"/>
      </w:pPr>
      <w:r w:rsidRPr="002142A4">
        <w:rPr>
          <w:color w:val="BFBFBF" w:themeColor="background1" w:themeShade="BF"/>
          <w:shd w:val="clear" w:color="auto" w:fill="BFBFBF" w:themeFill="background1" w:themeFillShade="BF"/>
        </w:rPr>
        <w:t>………………………………………………………………………………………………………………………………………</w:t>
      </w:r>
      <w:r w:rsidRPr="002142A4">
        <w:rPr>
          <w:color w:val="BFBFBF" w:themeColor="background1" w:themeShade="BF"/>
          <w:shd w:val="clear" w:color="auto" w:fill="BFBFBF" w:themeFill="background1" w:themeFillShade="BF"/>
        </w:rPr>
        <w:br/>
        <w:t>………………………………………………………………………………………………………………………………………</w:t>
      </w:r>
      <w:r w:rsidRPr="002142A4">
        <w:rPr>
          <w:color w:val="BFBFBF" w:themeColor="background1" w:themeShade="BF"/>
          <w:shd w:val="clear" w:color="auto" w:fill="BFBFBF" w:themeFill="background1" w:themeFillShade="BF"/>
        </w:rPr>
        <w:br/>
        <w:t>………………………………………………………………………………………………………………………………………</w:t>
      </w:r>
      <w:r w:rsidRPr="002142A4">
        <w:rPr>
          <w:color w:val="BFBFBF" w:themeColor="background1" w:themeShade="BF"/>
          <w:shd w:val="clear" w:color="auto" w:fill="BFBFBF" w:themeFill="background1" w:themeFillShade="BF"/>
        </w:rPr>
        <w:br/>
        <w:t>………………………………………………………………………………………………………………………………………</w:t>
      </w:r>
    </w:p>
    <w:p w14:paraId="41AE0D17" w14:textId="77777777" w:rsidR="00811AC6" w:rsidRDefault="00811AC6" w:rsidP="00FE256A">
      <w:pPr>
        <w:pStyle w:val="Heading1"/>
      </w:pPr>
      <w:r>
        <w:t>Next steps</w:t>
      </w:r>
    </w:p>
    <w:p w14:paraId="4D391395" w14:textId="67ED790D" w:rsidR="00682BD5" w:rsidRDefault="00CD36CE" w:rsidP="00BD7D88">
      <w:pPr>
        <w:pStyle w:val="NumberedParagraph"/>
      </w:pPr>
      <w:bookmarkStart w:id="16" w:name="_Hlk531016491"/>
      <w:r>
        <w:t xml:space="preserve">If you agree, we would aim to publish </w:t>
      </w:r>
      <w:r w:rsidR="00D24F52">
        <w:t>a discussion document</w:t>
      </w:r>
      <w:r>
        <w:t xml:space="preserve"> for public consultation </w:t>
      </w:r>
      <w:r w:rsidR="0019690D">
        <w:t xml:space="preserve">in </w:t>
      </w:r>
      <w:r w:rsidR="00B973E6">
        <w:t>the first half of</w:t>
      </w:r>
      <w:r w:rsidR="00F2479A">
        <w:t xml:space="preserve"> </w:t>
      </w:r>
      <w:r w:rsidR="00C750A5">
        <w:t>2019</w:t>
      </w:r>
      <w:r w:rsidR="000D5590">
        <w:t xml:space="preserve"> (following C</w:t>
      </w:r>
      <w:r w:rsidR="00B973E6">
        <w:t>abinet approval).  We would report back to you on the consultation, together with final policy recommendations, in the second half of 2019.</w:t>
      </w:r>
    </w:p>
    <w:p w14:paraId="06FFB913" w14:textId="6475C5B6" w:rsidR="00B973E6" w:rsidRDefault="00B973E6" w:rsidP="00BD7D88">
      <w:pPr>
        <w:pStyle w:val="NumberedParagraph"/>
      </w:pPr>
      <w:r>
        <w:t xml:space="preserve">The subsequent steps will depend in part on developments at the OECD (particularly whether the G20 endorse the OECD’s </w:t>
      </w:r>
      <w:r w:rsidR="000D5590">
        <w:t>preferred proposals</w:t>
      </w:r>
      <w:r>
        <w:t xml:space="preserve"> in June 2019), </w:t>
      </w:r>
      <w:r w:rsidR="00976200">
        <w:t>and</w:t>
      </w:r>
      <w:r>
        <w:t xml:space="preserve"> on the work programme adopted by the Government following the Tax Working Group’s final report.  We will be in a better position to provide you with a timeline for </w:t>
      </w:r>
      <w:r w:rsidR="00F241A5">
        <w:t>these subsequent</w:t>
      </w:r>
      <w:r>
        <w:t xml:space="preserve"> </w:t>
      </w:r>
      <w:r w:rsidR="00F241A5">
        <w:t>steps</w:t>
      </w:r>
      <w:r>
        <w:t xml:space="preserve"> </w:t>
      </w:r>
      <w:r w:rsidR="00F241A5">
        <w:t>when we report back in the second half of</w:t>
      </w:r>
      <w:r>
        <w:t xml:space="preserve"> 2019.</w:t>
      </w:r>
      <w:bookmarkEnd w:id="16"/>
    </w:p>
    <w:p w14:paraId="703C3A5E" w14:textId="4382F8EE" w:rsidR="00492853" w:rsidRDefault="00492853">
      <w:pPr>
        <w:spacing w:after="160" w:line="259" w:lineRule="auto"/>
        <w:jc w:val="left"/>
        <w:rPr>
          <w:b/>
          <w:szCs w:val="23"/>
          <w:lang w:eastAsia="en-NZ"/>
        </w:rPr>
      </w:pPr>
      <w:r>
        <w:rPr>
          <w:b/>
        </w:rPr>
        <w:br w:type="page"/>
      </w:r>
    </w:p>
    <w:p w14:paraId="12949FC0" w14:textId="204190F2" w:rsidR="00487A24" w:rsidRDefault="00492853" w:rsidP="00492853">
      <w:pPr>
        <w:pStyle w:val="NumberedParagraph"/>
        <w:numPr>
          <w:ilvl w:val="0"/>
          <w:numId w:val="0"/>
        </w:numPr>
        <w:ind w:left="709"/>
        <w:jc w:val="center"/>
      </w:pPr>
      <w:r>
        <w:rPr>
          <w:b/>
        </w:rPr>
        <w:lastRenderedPageBreak/>
        <w:t>Annex – article from Tax Notes International</w:t>
      </w:r>
    </w:p>
    <w:p w14:paraId="4D0A46EE" w14:textId="77777777" w:rsidR="00492853" w:rsidRPr="00492853" w:rsidRDefault="00492853" w:rsidP="00492853">
      <w:pPr>
        <w:pStyle w:val="NumberedParagraph"/>
        <w:numPr>
          <w:ilvl w:val="0"/>
          <w:numId w:val="0"/>
        </w:numPr>
        <w:ind w:left="709"/>
        <w:jc w:val="center"/>
      </w:pPr>
    </w:p>
    <w:p w14:paraId="7819D411" w14:textId="77777777" w:rsidR="00FD57E7" w:rsidRDefault="00FB4A15" w:rsidP="00A32FCF">
      <w:pPr>
        <w:shd w:val="clear" w:color="auto" w:fill="BFBFBF" w:themeFill="background1" w:themeFillShade="BF"/>
        <w:rPr>
          <w:sz w:val="16"/>
          <w:szCs w:val="16"/>
        </w:rPr>
      </w:pPr>
      <w:r>
        <w:rPr>
          <w:noProof/>
          <w:sz w:val="16"/>
          <w:szCs w:val="16"/>
        </w:rPr>
        <w:drawing>
          <wp:anchor distT="0" distB="0" distL="114300" distR="114300" simplePos="0" relativeHeight="251660288" behindDoc="0" locked="0" layoutInCell="1" allowOverlap="1" wp14:anchorId="2C1B0296" wp14:editId="721A36C5">
            <wp:simplePos x="0" y="0"/>
            <wp:positionH relativeFrom="column">
              <wp:posOffset>4445</wp:posOffset>
            </wp:positionH>
            <wp:positionV relativeFrom="paragraph">
              <wp:posOffset>3175</wp:posOffset>
            </wp:positionV>
            <wp:extent cx="3474720" cy="10058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4720" cy="1005840"/>
                    </a:xfrm>
                    <a:prstGeom prst="rect">
                      <a:avLst/>
                    </a:prstGeom>
                    <a:noFill/>
                    <a:ln>
                      <a:noFill/>
                    </a:ln>
                  </pic:spPr>
                </pic:pic>
              </a:graphicData>
            </a:graphic>
          </wp:anchor>
        </w:drawing>
      </w:r>
    </w:p>
    <w:p w14:paraId="340562B3" w14:textId="77777777" w:rsidR="00FD57E7" w:rsidRDefault="00FD57E7" w:rsidP="00A32FCF">
      <w:pPr>
        <w:shd w:val="clear" w:color="auto" w:fill="BFBFBF" w:themeFill="background1" w:themeFillShade="BF"/>
        <w:rPr>
          <w:sz w:val="16"/>
          <w:szCs w:val="16"/>
        </w:rPr>
      </w:pPr>
    </w:p>
    <w:p w14:paraId="50A726F1" w14:textId="77777777" w:rsidR="00FD57E7" w:rsidRDefault="00FD57E7" w:rsidP="00A32FCF">
      <w:pPr>
        <w:shd w:val="clear" w:color="auto" w:fill="BFBFBF" w:themeFill="background1" w:themeFillShade="BF"/>
        <w:rPr>
          <w:sz w:val="16"/>
          <w:szCs w:val="16"/>
        </w:rPr>
      </w:pPr>
    </w:p>
    <w:p w14:paraId="72680ABB" w14:textId="77777777" w:rsidR="00FD57E7" w:rsidRDefault="00FD57E7" w:rsidP="00A32FCF">
      <w:pPr>
        <w:shd w:val="clear" w:color="auto" w:fill="BFBFBF" w:themeFill="background1" w:themeFillShade="BF"/>
        <w:rPr>
          <w:sz w:val="16"/>
          <w:szCs w:val="16"/>
        </w:rPr>
      </w:pPr>
    </w:p>
    <w:p w14:paraId="53BF1B33" w14:textId="77777777" w:rsidR="00FD57E7" w:rsidRDefault="00FD57E7" w:rsidP="00A32FCF">
      <w:pPr>
        <w:shd w:val="clear" w:color="auto" w:fill="BFBFBF" w:themeFill="background1" w:themeFillShade="BF"/>
        <w:rPr>
          <w:sz w:val="16"/>
          <w:szCs w:val="16"/>
        </w:rPr>
      </w:pPr>
    </w:p>
    <w:p w14:paraId="1EF8683B" w14:textId="77777777" w:rsidR="00FD57E7" w:rsidRDefault="00FD57E7" w:rsidP="00A32FCF">
      <w:pPr>
        <w:shd w:val="clear" w:color="auto" w:fill="BFBFBF" w:themeFill="background1" w:themeFillShade="BF"/>
        <w:rPr>
          <w:sz w:val="16"/>
          <w:szCs w:val="16"/>
        </w:rPr>
      </w:pPr>
    </w:p>
    <w:p w14:paraId="27031B1D" w14:textId="77777777" w:rsidR="00FD57E7" w:rsidRDefault="00FD57E7" w:rsidP="00A32FCF">
      <w:pPr>
        <w:shd w:val="clear" w:color="auto" w:fill="BFBFBF" w:themeFill="background1" w:themeFillShade="BF"/>
        <w:rPr>
          <w:sz w:val="16"/>
          <w:szCs w:val="16"/>
        </w:rPr>
      </w:pPr>
    </w:p>
    <w:p w14:paraId="0F5CCDF4" w14:textId="77777777" w:rsidR="00FD57E7" w:rsidRDefault="00FD57E7" w:rsidP="00A32FCF">
      <w:pPr>
        <w:shd w:val="clear" w:color="auto" w:fill="BFBFBF" w:themeFill="background1" w:themeFillShade="BF"/>
        <w:rPr>
          <w:sz w:val="16"/>
          <w:szCs w:val="16"/>
        </w:rPr>
      </w:pPr>
    </w:p>
    <w:p w14:paraId="37958879" w14:textId="20E514D4" w:rsidR="002142A4" w:rsidRPr="00A32FCF" w:rsidRDefault="002142A4" w:rsidP="00A32FCF">
      <w:pPr>
        <w:shd w:val="clear" w:color="auto" w:fill="BFBFBF" w:themeFill="background1" w:themeFillShade="BF"/>
        <w:rPr>
          <w:sz w:val="16"/>
          <w:szCs w:val="16"/>
        </w:rPr>
      </w:pPr>
      <w:r w:rsidRPr="00A32FCF">
        <w:rPr>
          <w:sz w:val="16"/>
          <w:szCs w:val="16"/>
        </w:rPr>
        <w:t>Tax Notes International - 10 December 2018 - available at https://www.taxnotes.com/tax-notes-international/</w:t>
      </w:r>
    </w:p>
    <w:p w14:paraId="1C6D7B5E" w14:textId="0D6D1727" w:rsidR="002142A4" w:rsidRDefault="002142A4" w:rsidP="00A32FCF">
      <w:pPr>
        <w:shd w:val="clear" w:color="auto" w:fill="BFBFBF" w:themeFill="background1" w:themeFillShade="BF"/>
        <w:rPr>
          <w:sz w:val="16"/>
          <w:szCs w:val="16"/>
        </w:rPr>
      </w:pPr>
      <w:r w:rsidRPr="00A32FCF">
        <w:rPr>
          <w:sz w:val="16"/>
          <w:szCs w:val="16"/>
        </w:rPr>
        <w:t>information-exchange/g-20-leader-unity-key-digital-taxation-agreement-oecd-says/2018/12/10/28n61, Withheld</w:t>
      </w:r>
      <w:r w:rsidR="00A32FCF">
        <w:rPr>
          <w:sz w:val="16"/>
          <w:szCs w:val="16"/>
        </w:rPr>
        <w:t xml:space="preserve"> </w:t>
      </w:r>
      <w:r w:rsidRPr="00A32FCF">
        <w:rPr>
          <w:sz w:val="16"/>
          <w:szCs w:val="16"/>
        </w:rPr>
        <w:t>under section 18(d) of the Official Information Act 1982</w:t>
      </w:r>
    </w:p>
    <w:p w14:paraId="2D1DFD59" w14:textId="434DCC0B" w:rsidR="00A32FCF" w:rsidRDefault="00A32FCF" w:rsidP="00A32FCF">
      <w:pPr>
        <w:shd w:val="clear" w:color="auto" w:fill="BFBFBF" w:themeFill="background1" w:themeFillShade="BF"/>
        <w:rPr>
          <w:sz w:val="16"/>
          <w:szCs w:val="16"/>
        </w:rPr>
      </w:pPr>
    </w:p>
    <w:p w14:paraId="1A9990AC" w14:textId="46AF07F1" w:rsidR="00A32FCF" w:rsidRDefault="00A32FCF" w:rsidP="00A32FCF">
      <w:pPr>
        <w:shd w:val="clear" w:color="auto" w:fill="BFBFBF" w:themeFill="background1" w:themeFillShade="BF"/>
        <w:rPr>
          <w:sz w:val="16"/>
          <w:szCs w:val="16"/>
        </w:rPr>
      </w:pPr>
    </w:p>
    <w:p w14:paraId="43D07966" w14:textId="729D8674" w:rsidR="00A32FCF" w:rsidRDefault="00A32FCF" w:rsidP="00A32FCF">
      <w:pPr>
        <w:shd w:val="clear" w:color="auto" w:fill="BFBFBF" w:themeFill="background1" w:themeFillShade="BF"/>
        <w:rPr>
          <w:sz w:val="16"/>
          <w:szCs w:val="16"/>
        </w:rPr>
      </w:pPr>
    </w:p>
    <w:p w14:paraId="203BF91E" w14:textId="5C6668AC" w:rsidR="00A32FCF" w:rsidRDefault="00A32FCF" w:rsidP="00A32FCF">
      <w:pPr>
        <w:shd w:val="clear" w:color="auto" w:fill="BFBFBF" w:themeFill="background1" w:themeFillShade="BF"/>
        <w:rPr>
          <w:sz w:val="16"/>
          <w:szCs w:val="16"/>
        </w:rPr>
      </w:pPr>
    </w:p>
    <w:p w14:paraId="5FCA7B34" w14:textId="6D318F61" w:rsidR="00A32FCF" w:rsidRDefault="00A32FCF" w:rsidP="00A32FCF">
      <w:pPr>
        <w:shd w:val="clear" w:color="auto" w:fill="BFBFBF" w:themeFill="background1" w:themeFillShade="BF"/>
        <w:rPr>
          <w:sz w:val="16"/>
          <w:szCs w:val="16"/>
        </w:rPr>
      </w:pPr>
    </w:p>
    <w:p w14:paraId="2156752D" w14:textId="40488155" w:rsidR="00A32FCF" w:rsidRDefault="00A32FCF" w:rsidP="00A32FCF">
      <w:pPr>
        <w:shd w:val="clear" w:color="auto" w:fill="BFBFBF" w:themeFill="background1" w:themeFillShade="BF"/>
        <w:rPr>
          <w:sz w:val="16"/>
          <w:szCs w:val="16"/>
        </w:rPr>
      </w:pPr>
    </w:p>
    <w:p w14:paraId="3896778A" w14:textId="03FBD1C5" w:rsidR="00A32FCF" w:rsidRDefault="00A32FCF" w:rsidP="00A32FCF">
      <w:pPr>
        <w:shd w:val="clear" w:color="auto" w:fill="BFBFBF" w:themeFill="background1" w:themeFillShade="BF"/>
        <w:rPr>
          <w:sz w:val="16"/>
          <w:szCs w:val="16"/>
        </w:rPr>
      </w:pPr>
    </w:p>
    <w:p w14:paraId="6EAB249E" w14:textId="268B75C1" w:rsidR="00A32FCF" w:rsidRDefault="00A32FCF" w:rsidP="00A32FCF">
      <w:pPr>
        <w:shd w:val="clear" w:color="auto" w:fill="BFBFBF" w:themeFill="background1" w:themeFillShade="BF"/>
        <w:rPr>
          <w:sz w:val="16"/>
          <w:szCs w:val="16"/>
        </w:rPr>
      </w:pPr>
    </w:p>
    <w:p w14:paraId="4F312156" w14:textId="61C7E33C" w:rsidR="00A32FCF" w:rsidRDefault="00A32FCF" w:rsidP="00A32FCF">
      <w:pPr>
        <w:shd w:val="clear" w:color="auto" w:fill="BFBFBF" w:themeFill="background1" w:themeFillShade="BF"/>
        <w:rPr>
          <w:sz w:val="16"/>
          <w:szCs w:val="16"/>
        </w:rPr>
      </w:pPr>
    </w:p>
    <w:p w14:paraId="4C6557B4" w14:textId="3B6B27CA" w:rsidR="00A32FCF" w:rsidRDefault="00A32FCF" w:rsidP="00A32FCF">
      <w:pPr>
        <w:shd w:val="clear" w:color="auto" w:fill="BFBFBF" w:themeFill="background1" w:themeFillShade="BF"/>
        <w:rPr>
          <w:sz w:val="16"/>
          <w:szCs w:val="16"/>
        </w:rPr>
      </w:pPr>
    </w:p>
    <w:p w14:paraId="18E25670" w14:textId="1520EC35" w:rsidR="00A32FCF" w:rsidRDefault="00A32FCF" w:rsidP="00A32FCF">
      <w:pPr>
        <w:shd w:val="clear" w:color="auto" w:fill="BFBFBF" w:themeFill="background1" w:themeFillShade="BF"/>
        <w:rPr>
          <w:sz w:val="16"/>
          <w:szCs w:val="16"/>
        </w:rPr>
      </w:pPr>
    </w:p>
    <w:p w14:paraId="2B125A96" w14:textId="02BE87E6" w:rsidR="00A32FCF" w:rsidRDefault="00A32FCF" w:rsidP="00A32FCF">
      <w:pPr>
        <w:shd w:val="clear" w:color="auto" w:fill="BFBFBF" w:themeFill="background1" w:themeFillShade="BF"/>
        <w:rPr>
          <w:sz w:val="16"/>
          <w:szCs w:val="16"/>
        </w:rPr>
      </w:pPr>
    </w:p>
    <w:p w14:paraId="58022EEF" w14:textId="52470E78" w:rsidR="00A32FCF" w:rsidRDefault="00A32FCF" w:rsidP="00A32FCF">
      <w:pPr>
        <w:shd w:val="clear" w:color="auto" w:fill="BFBFBF" w:themeFill="background1" w:themeFillShade="BF"/>
        <w:rPr>
          <w:sz w:val="16"/>
          <w:szCs w:val="16"/>
        </w:rPr>
      </w:pPr>
    </w:p>
    <w:p w14:paraId="0B02F5DA" w14:textId="2DFE8829" w:rsidR="00A32FCF" w:rsidRDefault="00A32FCF" w:rsidP="00A32FCF">
      <w:pPr>
        <w:shd w:val="clear" w:color="auto" w:fill="BFBFBF" w:themeFill="background1" w:themeFillShade="BF"/>
        <w:rPr>
          <w:sz w:val="16"/>
          <w:szCs w:val="16"/>
        </w:rPr>
      </w:pPr>
    </w:p>
    <w:p w14:paraId="18BA6397" w14:textId="5F269281" w:rsidR="00A32FCF" w:rsidRDefault="00A32FCF" w:rsidP="00A32FCF">
      <w:pPr>
        <w:shd w:val="clear" w:color="auto" w:fill="BFBFBF" w:themeFill="background1" w:themeFillShade="BF"/>
        <w:rPr>
          <w:sz w:val="16"/>
          <w:szCs w:val="16"/>
        </w:rPr>
      </w:pPr>
    </w:p>
    <w:p w14:paraId="65CF47B0" w14:textId="030C7B06" w:rsidR="00A32FCF" w:rsidRDefault="00A32FCF" w:rsidP="00A32FCF">
      <w:pPr>
        <w:shd w:val="clear" w:color="auto" w:fill="BFBFBF" w:themeFill="background1" w:themeFillShade="BF"/>
        <w:rPr>
          <w:sz w:val="16"/>
          <w:szCs w:val="16"/>
        </w:rPr>
      </w:pPr>
    </w:p>
    <w:p w14:paraId="10D834CD" w14:textId="47486BB0" w:rsidR="00A32FCF" w:rsidRDefault="00A32FCF" w:rsidP="00A32FCF">
      <w:pPr>
        <w:shd w:val="clear" w:color="auto" w:fill="BFBFBF" w:themeFill="background1" w:themeFillShade="BF"/>
        <w:rPr>
          <w:sz w:val="16"/>
          <w:szCs w:val="16"/>
        </w:rPr>
      </w:pPr>
    </w:p>
    <w:p w14:paraId="40581B79" w14:textId="678E56F5" w:rsidR="00A32FCF" w:rsidRDefault="00A32FCF" w:rsidP="00A32FCF">
      <w:pPr>
        <w:shd w:val="clear" w:color="auto" w:fill="BFBFBF" w:themeFill="background1" w:themeFillShade="BF"/>
        <w:rPr>
          <w:sz w:val="16"/>
          <w:szCs w:val="16"/>
        </w:rPr>
      </w:pPr>
    </w:p>
    <w:p w14:paraId="5AAADDAD" w14:textId="486A4017" w:rsidR="00A32FCF" w:rsidRDefault="00A32FCF" w:rsidP="00A32FCF">
      <w:pPr>
        <w:shd w:val="clear" w:color="auto" w:fill="BFBFBF" w:themeFill="background1" w:themeFillShade="BF"/>
        <w:rPr>
          <w:sz w:val="16"/>
          <w:szCs w:val="16"/>
        </w:rPr>
      </w:pPr>
    </w:p>
    <w:p w14:paraId="2F2980F5" w14:textId="6F1C75BF" w:rsidR="00A32FCF" w:rsidRDefault="00A32FCF" w:rsidP="00A32FCF">
      <w:pPr>
        <w:shd w:val="clear" w:color="auto" w:fill="BFBFBF" w:themeFill="background1" w:themeFillShade="BF"/>
        <w:rPr>
          <w:sz w:val="16"/>
          <w:szCs w:val="16"/>
        </w:rPr>
      </w:pPr>
    </w:p>
    <w:p w14:paraId="31DE1114" w14:textId="62F08FFF" w:rsidR="00A32FCF" w:rsidRDefault="00A32FCF" w:rsidP="00A32FCF">
      <w:pPr>
        <w:shd w:val="clear" w:color="auto" w:fill="BFBFBF" w:themeFill="background1" w:themeFillShade="BF"/>
        <w:rPr>
          <w:sz w:val="16"/>
          <w:szCs w:val="16"/>
        </w:rPr>
      </w:pPr>
    </w:p>
    <w:p w14:paraId="41D10580" w14:textId="67904B10" w:rsidR="00A32FCF" w:rsidRDefault="00A32FCF" w:rsidP="00A32FCF">
      <w:pPr>
        <w:shd w:val="clear" w:color="auto" w:fill="BFBFBF" w:themeFill="background1" w:themeFillShade="BF"/>
        <w:rPr>
          <w:sz w:val="16"/>
          <w:szCs w:val="16"/>
        </w:rPr>
      </w:pPr>
    </w:p>
    <w:p w14:paraId="259C8912" w14:textId="72810CC1" w:rsidR="00A32FCF" w:rsidRDefault="00A32FCF" w:rsidP="00A32FCF">
      <w:pPr>
        <w:shd w:val="clear" w:color="auto" w:fill="BFBFBF" w:themeFill="background1" w:themeFillShade="BF"/>
        <w:rPr>
          <w:sz w:val="16"/>
          <w:szCs w:val="16"/>
        </w:rPr>
      </w:pPr>
    </w:p>
    <w:p w14:paraId="5BD32C71" w14:textId="556B812C" w:rsidR="00A32FCF" w:rsidRDefault="00A32FCF" w:rsidP="00A32FCF">
      <w:pPr>
        <w:shd w:val="clear" w:color="auto" w:fill="BFBFBF" w:themeFill="background1" w:themeFillShade="BF"/>
        <w:rPr>
          <w:sz w:val="16"/>
          <w:szCs w:val="16"/>
        </w:rPr>
      </w:pPr>
    </w:p>
    <w:p w14:paraId="18474D41" w14:textId="2BEEF9E4" w:rsidR="00A32FCF" w:rsidRDefault="00A32FCF" w:rsidP="00A32FCF">
      <w:pPr>
        <w:shd w:val="clear" w:color="auto" w:fill="BFBFBF" w:themeFill="background1" w:themeFillShade="BF"/>
        <w:rPr>
          <w:sz w:val="16"/>
          <w:szCs w:val="16"/>
        </w:rPr>
      </w:pPr>
    </w:p>
    <w:p w14:paraId="09F55AE0" w14:textId="0F5640B0" w:rsidR="00A32FCF" w:rsidRDefault="00A32FCF" w:rsidP="00A32FCF">
      <w:pPr>
        <w:shd w:val="clear" w:color="auto" w:fill="BFBFBF" w:themeFill="background1" w:themeFillShade="BF"/>
        <w:rPr>
          <w:sz w:val="16"/>
          <w:szCs w:val="16"/>
        </w:rPr>
      </w:pPr>
    </w:p>
    <w:p w14:paraId="7AFC5D9A" w14:textId="11BB4ABA" w:rsidR="00A32FCF" w:rsidRDefault="00A32FCF" w:rsidP="00A32FCF">
      <w:pPr>
        <w:shd w:val="clear" w:color="auto" w:fill="BFBFBF" w:themeFill="background1" w:themeFillShade="BF"/>
        <w:rPr>
          <w:sz w:val="16"/>
          <w:szCs w:val="16"/>
        </w:rPr>
      </w:pPr>
    </w:p>
    <w:p w14:paraId="592E7BAD" w14:textId="1A7AC096" w:rsidR="00A32FCF" w:rsidRDefault="00A32FCF" w:rsidP="00A32FCF">
      <w:pPr>
        <w:shd w:val="clear" w:color="auto" w:fill="BFBFBF" w:themeFill="background1" w:themeFillShade="BF"/>
        <w:rPr>
          <w:sz w:val="16"/>
          <w:szCs w:val="16"/>
        </w:rPr>
      </w:pPr>
    </w:p>
    <w:p w14:paraId="723AF336" w14:textId="34082D0D" w:rsidR="00A32FCF" w:rsidRDefault="00A32FCF" w:rsidP="00A32FCF">
      <w:pPr>
        <w:shd w:val="clear" w:color="auto" w:fill="BFBFBF" w:themeFill="background1" w:themeFillShade="BF"/>
        <w:rPr>
          <w:sz w:val="16"/>
          <w:szCs w:val="16"/>
        </w:rPr>
      </w:pPr>
    </w:p>
    <w:p w14:paraId="38B51DC5" w14:textId="55BEE253" w:rsidR="00A32FCF" w:rsidRDefault="00A32FCF" w:rsidP="00A32FCF">
      <w:pPr>
        <w:shd w:val="clear" w:color="auto" w:fill="BFBFBF" w:themeFill="background1" w:themeFillShade="BF"/>
        <w:rPr>
          <w:sz w:val="16"/>
          <w:szCs w:val="16"/>
        </w:rPr>
      </w:pPr>
    </w:p>
    <w:p w14:paraId="16FD6AE3" w14:textId="41057237" w:rsidR="00A32FCF" w:rsidRDefault="00A32FCF" w:rsidP="00A32FCF">
      <w:pPr>
        <w:shd w:val="clear" w:color="auto" w:fill="BFBFBF" w:themeFill="background1" w:themeFillShade="BF"/>
        <w:rPr>
          <w:sz w:val="16"/>
          <w:szCs w:val="16"/>
        </w:rPr>
      </w:pPr>
    </w:p>
    <w:p w14:paraId="08FB8904" w14:textId="1536E82C" w:rsidR="00A32FCF" w:rsidRDefault="00A32FCF" w:rsidP="00A32FCF">
      <w:pPr>
        <w:shd w:val="clear" w:color="auto" w:fill="BFBFBF" w:themeFill="background1" w:themeFillShade="BF"/>
        <w:rPr>
          <w:sz w:val="16"/>
          <w:szCs w:val="16"/>
        </w:rPr>
      </w:pPr>
    </w:p>
    <w:p w14:paraId="76758C90" w14:textId="648839FD" w:rsidR="00A32FCF" w:rsidRDefault="00A32FCF" w:rsidP="00A32FCF">
      <w:pPr>
        <w:shd w:val="clear" w:color="auto" w:fill="BFBFBF" w:themeFill="background1" w:themeFillShade="BF"/>
        <w:rPr>
          <w:sz w:val="16"/>
          <w:szCs w:val="16"/>
        </w:rPr>
      </w:pPr>
    </w:p>
    <w:p w14:paraId="592599DE" w14:textId="124110FA" w:rsidR="00A32FCF" w:rsidRDefault="00A32FCF" w:rsidP="00A32FCF">
      <w:pPr>
        <w:shd w:val="clear" w:color="auto" w:fill="BFBFBF" w:themeFill="background1" w:themeFillShade="BF"/>
        <w:rPr>
          <w:sz w:val="16"/>
          <w:szCs w:val="16"/>
        </w:rPr>
      </w:pPr>
    </w:p>
    <w:p w14:paraId="6534FC8B" w14:textId="7356E52A" w:rsidR="00A32FCF" w:rsidRDefault="00A32FCF" w:rsidP="00A32FCF">
      <w:pPr>
        <w:shd w:val="clear" w:color="auto" w:fill="BFBFBF" w:themeFill="background1" w:themeFillShade="BF"/>
        <w:rPr>
          <w:sz w:val="16"/>
          <w:szCs w:val="16"/>
        </w:rPr>
      </w:pPr>
    </w:p>
    <w:p w14:paraId="67A277D0" w14:textId="0CA2D73A" w:rsidR="00A32FCF" w:rsidRDefault="00A32FCF" w:rsidP="00A32FCF">
      <w:pPr>
        <w:shd w:val="clear" w:color="auto" w:fill="BFBFBF" w:themeFill="background1" w:themeFillShade="BF"/>
        <w:rPr>
          <w:sz w:val="16"/>
          <w:szCs w:val="16"/>
        </w:rPr>
      </w:pPr>
    </w:p>
    <w:p w14:paraId="5E278C5B" w14:textId="6CF5AC01" w:rsidR="00A32FCF" w:rsidRDefault="00A32FCF" w:rsidP="00A32FCF">
      <w:pPr>
        <w:shd w:val="clear" w:color="auto" w:fill="BFBFBF" w:themeFill="background1" w:themeFillShade="BF"/>
        <w:rPr>
          <w:sz w:val="16"/>
          <w:szCs w:val="16"/>
        </w:rPr>
      </w:pPr>
    </w:p>
    <w:p w14:paraId="27D4A02B" w14:textId="075006D2" w:rsidR="00A32FCF" w:rsidRDefault="00A32FCF" w:rsidP="00A32FCF">
      <w:pPr>
        <w:shd w:val="clear" w:color="auto" w:fill="BFBFBF" w:themeFill="background1" w:themeFillShade="BF"/>
        <w:rPr>
          <w:sz w:val="16"/>
          <w:szCs w:val="16"/>
        </w:rPr>
      </w:pPr>
    </w:p>
    <w:p w14:paraId="24226B26" w14:textId="013809FA" w:rsidR="00A32FCF" w:rsidRDefault="00A32FCF" w:rsidP="00A32FCF">
      <w:pPr>
        <w:shd w:val="clear" w:color="auto" w:fill="BFBFBF" w:themeFill="background1" w:themeFillShade="BF"/>
        <w:rPr>
          <w:sz w:val="16"/>
          <w:szCs w:val="16"/>
        </w:rPr>
      </w:pPr>
    </w:p>
    <w:p w14:paraId="5DE37CDB" w14:textId="7CE24912" w:rsidR="00A32FCF" w:rsidRDefault="00A32FCF" w:rsidP="00A32FCF">
      <w:pPr>
        <w:shd w:val="clear" w:color="auto" w:fill="BFBFBF" w:themeFill="background1" w:themeFillShade="BF"/>
        <w:rPr>
          <w:sz w:val="16"/>
          <w:szCs w:val="16"/>
        </w:rPr>
      </w:pPr>
    </w:p>
    <w:p w14:paraId="101A2EC1" w14:textId="5E5793DE" w:rsidR="00A32FCF" w:rsidRDefault="00A32FCF" w:rsidP="00A32FCF">
      <w:pPr>
        <w:shd w:val="clear" w:color="auto" w:fill="BFBFBF" w:themeFill="background1" w:themeFillShade="BF"/>
        <w:rPr>
          <w:sz w:val="16"/>
          <w:szCs w:val="16"/>
        </w:rPr>
      </w:pPr>
    </w:p>
    <w:p w14:paraId="60D09ED0" w14:textId="5F526393" w:rsidR="00A32FCF" w:rsidRDefault="00A32FCF" w:rsidP="00A32FCF">
      <w:pPr>
        <w:shd w:val="clear" w:color="auto" w:fill="BFBFBF" w:themeFill="background1" w:themeFillShade="BF"/>
        <w:rPr>
          <w:sz w:val="16"/>
          <w:szCs w:val="16"/>
        </w:rPr>
      </w:pPr>
    </w:p>
    <w:p w14:paraId="003044FF" w14:textId="77777777" w:rsidR="00A32FCF" w:rsidRPr="00A32FCF" w:rsidRDefault="00A32FCF" w:rsidP="00A32FCF"/>
    <w:sectPr w:rsidR="00A32FCF" w:rsidRPr="00A32FCF" w:rsidSect="00E331E1">
      <w:headerReference w:type="default" r:id="rId12"/>
      <w:footerReference w:type="default" r:id="rId13"/>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54E62" w14:textId="77777777" w:rsidR="002142A4" w:rsidRDefault="002142A4" w:rsidP="002F43C5">
      <w:pPr>
        <w:spacing w:line="240" w:lineRule="auto"/>
      </w:pPr>
      <w:r>
        <w:separator/>
      </w:r>
    </w:p>
  </w:endnote>
  <w:endnote w:type="continuationSeparator" w:id="0">
    <w:p w14:paraId="5FFE34E8" w14:textId="77777777" w:rsidR="002142A4" w:rsidRDefault="002142A4" w:rsidP="002F43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E6662" w14:textId="77777777" w:rsidR="002142A4" w:rsidRDefault="002142A4">
    <w:pPr>
      <w:pStyle w:val="Footer"/>
    </w:pPr>
    <w:r>
      <w:rPr>
        <w:noProof/>
        <w:lang w:eastAsia="en-NZ"/>
      </w:rPr>
      <mc:AlternateContent>
        <mc:Choice Requires="wps">
          <w:drawing>
            <wp:anchor distT="0" distB="0" distL="114300" distR="114300" simplePos="0" relativeHeight="251659264" behindDoc="0" locked="0" layoutInCell="0" allowOverlap="1" wp14:anchorId="4E31ECC6" wp14:editId="6C555120">
              <wp:simplePos x="0" y="0"/>
              <wp:positionH relativeFrom="page">
                <wp:posOffset>0</wp:posOffset>
              </wp:positionH>
              <wp:positionV relativeFrom="page">
                <wp:posOffset>10234930</wp:posOffset>
              </wp:positionV>
              <wp:extent cx="7560310" cy="266700"/>
              <wp:effectExtent l="0" t="0" r="0" b="0"/>
              <wp:wrapNone/>
              <wp:docPr id="1" name="MSIPCM951a42618100b187aea306b2" descr="{&quot;HashCode&quot;:4043168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AC6867" w14:textId="77777777" w:rsidR="002142A4" w:rsidRPr="003A1455" w:rsidRDefault="002142A4" w:rsidP="003A1455">
                          <w:pPr>
                            <w:jc w:val="center"/>
                            <w:rPr>
                              <w:color w:val="000000"/>
                            </w:rPr>
                          </w:pPr>
                          <w:r w:rsidRPr="003A1455">
                            <w:rPr>
                              <w:color w:val="00000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31ECC6" id="_x0000_t202" coordsize="21600,21600" o:spt="202" path="m,l,21600r21600,l21600,xe">
              <v:stroke joinstyle="miter"/>
              <v:path gradientshapeok="t" o:connecttype="rect"/>
            </v:shapetype>
            <v:shape id="MSIPCM951a42618100b187aea306b2" o:spid="_x0000_s1026" type="#_x0000_t202" alt="{&quot;HashCode&quot;:404316862,&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" o:allowincell="f" filled="f" stroked="f" strokeweight=".5pt">
              <v:textbox inset=",0,,0">
                <w:txbxContent>
                  <w:p w14:paraId="7AAC6867" w14:textId="77777777" w:rsidR="002142A4" w:rsidRPr="003A1455" w:rsidRDefault="002142A4" w:rsidP="003A1455">
                    <w:pPr>
                      <w:jc w:val="center"/>
                      <w:rPr>
                        <w:color w:val="000000"/>
                      </w:rPr>
                    </w:pPr>
                    <w:r w:rsidRPr="003A1455">
                      <w:rPr>
                        <w:color w:val="000000"/>
                      </w:rPr>
                      <w:t>IN CONFIDENCE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40BCB" w14:textId="0C307BE7" w:rsidR="002142A4" w:rsidRPr="00E331E1" w:rsidRDefault="002142A4" w:rsidP="00E331E1">
    <w:pPr>
      <w:pStyle w:val="Footer"/>
      <w:tabs>
        <w:tab w:val="clear" w:pos="4513"/>
      </w:tabs>
    </w:pPr>
    <w:r w:rsidRPr="00DB3CF5">
      <w:rPr>
        <w:noProof/>
        <w:highlight w:val="yellow"/>
        <w:lang w:eastAsia="en-NZ"/>
      </w:rPr>
      <mc:AlternateContent>
        <mc:Choice Requires="wps">
          <w:drawing>
            <wp:anchor distT="0" distB="0" distL="114300" distR="114300" simplePos="0" relativeHeight="251660288" behindDoc="0" locked="0" layoutInCell="0" allowOverlap="1" wp14:anchorId="201639BB" wp14:editId="0FB16D37">
              <wp:simplePos x="0" y="0"/>
              <wp:positionH relativeFrom="page">
                <wp:posOffset>0</wp:posOffset>
              </wp:positionH>
              <wp:positionV relativeFrom="page">
                <wp:posOffset>10234930</wp:posOffset>
              </wp:positionV>
              <wp:extent cx="7560310" cy="266700"/>
              <wp:effectExtent l="0" t="0" r="0" b="0"/>
              <wp:wrapNone/>
              <wp:docPr id="3" name="MSIPCMd68343bf98f341244e650d8d" descr="{&quot;HashCode&quot;:40431686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AE19C8" w14:textId="77777777" w:rsidR="002142A4" w:rsidRPr="003A1455" w:rsidRDefault="002142A4" w:rsidP="003A1455">
                          <w:pPr>
                            <w:jc w:val="center"/>
                            <w:rPr>
                              <w:color w:val="000000"/>
                            </w:rPr>
                          </w:pPr>
                          <w:r w:rsidRPr="003A1455">
                            <w:rPr>
                              <w:color w:val="00000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01639BB" id="_x0000_t202" coordsize="21600,21600" o:spt="202" path="m,l,21600r21600,l21600,xe">
              <v:stroke joinstyle="miter"/>
              <v:path gradientshapeok="t" o:connecttype="rect"/>
            </v:shapetype>
            <v:shape id="MSIPCMd68343bf98f341244e650d8d" o:spid="_x0000_s1027" type="#_x0000_t202" alt="{&quot;HashCode&quot;:404316862,&quot;Height&quot;:841.0,&quot;Width&quot;:595.0,&quot;Placement&quot;:&quot;Footer&quot;,&quot;Index&quot;:&quot;Primary&quot;,&quot;Section&quot;:2,&quot;Top&quot;:0.0,&quot;Left&quot;:0.0}" style="position:absolute;left:0;text-align:left;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" o:allowincell="f" filled="f" stroked="f" strokeweight=".5pt">
              <v:textbox inset=",0,,0">
                <w:txbxContent>
                  <w:p w14:paraId="5FAE19C8" w14:textId="77777777" w:rsidR="002142A4" w:rsidRPr="003A1455" w:rsidRDefault="002142A4" w:rsidP="003A1455">
                    <w:pPr>
                      <w:jc w:val="center"/>
                      <w:rPr>
                        <w:color w:val="000000"/>
                      </w:rPr>
                    </w:pPr>
                    <w:r w:rsidRPr="003A1455">
                      <w:rPr>
                        <w:color w:val="000000"/>
                      </w:rPr>
                      <w:t>IN CONFIDENCE</w:t>
                    </w:r>
                  </w:p>
                </w:txbxContent>
              </v:textbox>
              <w10:wrap anchorx="page" anchory="page"/>
            </v:shape>
          </w:pict>
        </mc:Fallback>
      </mc:AlternateContent>
    </w:r>
    <w:r w:rsidRPr="00EF5AFF">
      <w:t xml:space="preserve"> </w:t>
    </w:r>
    <w:r w:rsidRPr="00EF5AFF">
      <w:rPr>
        <w:lang w:val="mi-NZ"/>
      </w:rPr>
      <w:t xml:space="preserve">IR2018/801; T2018/3710: </w:t>
    </w:r>
    <w:r w:rsidRPr="00EF5AFF">
      <w:t>Options for taxing the digital economy</w:t>
    </w:r>
    <w:r>
      <w:rPr>
        <w:lang w:val="mi-NZ"/>
      </w:rPr>
      <w:tab/>
    </w:r>
    <w:sdt>
      <w:sdtPr>
        <w:id w:val="98381352"/>
        <w:docPartObj>
          <w:docPartGallery w:val="Page Numbers (Top of Page)"/>
          <w:docPartUnique/>
        </w:docPartObj>
      </w:sdtPr>
      <w:sdtEndPr/>
      <w:sdtContent>
        <w:r w:rsidRPr="00E331E1">
          <w:t xml:space="preserve">Page </w:t>
        </w:r>
        <w:r w:rsidRPr="00E331E1">
          <w:rPr>
            <w:b/>
            <w:bCs/>
          </w:rPr>
          <w:fldChar w:fldCharType="begin"/>
        </w:r>
        <w:r w:rsidRPr="00E331E1">
          <w:rPr>
            <w:b/>
            <w:bCs/>
          </w:rPr>
          <w:instrText xml:space="preserve"> PAGE </w:instrText>
        </w:r>
        <w:r w:rsidRPr="00E331E1">
          <w:rPr>
            <w:b/>
            <w:bCs/>
          </w:rPr>
          <w:fldChar w:fldCharType="separate"/>
        </w:r>
        <w:r>
          <w:rPr>
            <w:b/>
            <w:bCs/>
            <w:noProof/>
          </w:rPr>
          <w:t>1</w:t>
        </w:r>
        <w:r w:rsidRPr="00E331E1">
          <w:rPr>
            <w:lang w:val="mi-NZ"/>
          </w:rPr>
          <w:fldChar w:fldCharType="end"/>
        </w:r>
        <w:r w:rsidRPr="00E331E1">
          <w:t xml:space="preserve"> of </w:t>
        </w:r>
        <w:r w:rsidRPr="00E331E1">
          <w:rPr>
            <w:b/>
            <w:bCs/>
          </w:rPr>
          <w:fldChar w:fldCharType="begin"/>
        </w:r>
        <w:r w:rsidRPr="00E331E1">
          <w:rPr>
            <w:b/>
            <w:bCs/>
          </w:rPr>
          <w:instrText xml:space="preserve"> </w:instrText>
        </w:r>
        <w:r>
          <w:rPr>
            <w:b/>
            <w:bCs/>
          </w:rPr>
          <w:instrText>SECTIONPAGES</w:instrText>
        </w:r>
        <w:r w:rsidRPr="00E331E1">
          <w:rPr>
            <w:b/>
            <w:bCs/>
          </w:rPr>
          <w:instrText xml:space="preserve"> </w:instrText>
        </w:r>
        <w:r w:rsidRPr="00E331E1">
          <w:rPr>
            <w:b/>
            <w:bCs/>
          </w:rPr>
          <w:fldChar w:fldCharType="separate"/>
        </w:r>
        <w:r w:rsidR="00334DC6">
          <w:rPr>
            <w:b/>
            <w:bCs/>
            <w:noProof/>
          </w:rPr>
          <w:t>10</w:t>
        </w:r>
        <w:r w:rsidRPr="00E331E1">
          <w:rPr>
            <w:lang w:val="mi-NZ"/>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6F611" w14:textId="77777777" w:rsidR="002142A4" w:rsidRDefault="002142A4" w:rsidP="002F43C5">
      <w:pPr>
        <w:spacing w:line="240" w:lineRule="auto"/>
      </w:pPr>
      <w:r>
        <w:separator/>
      </w:r>
    </w:p>
  </w:footnote>
  <w:footnote w:type="continuationSeparator" w:id="0">
    <w:p w14:paraId="351108C5" w14:textId="77777777" w:rsidR="002142A4" w:rsidRDefault="002142A4" w:rsidP="002F43C5">
      <w:pPr>
        <w:spacing w:line="240" w:lineRule="auto"/>
      </w:pPr>
      <w:r>
        <w:continuationSeparator/>
      </w:r>
    </w:p>
  </w:footnote>
  <w:footnote w:id="1">
    <w:p w14:paraId="24B785E3" w14:textId="77777777" w:rsidR="002142A4" w:rsidRDefault="002142A4" w:rsidP="009E5E8F">
      <w:pPr>
        <w:pStyle w:val="FootnoteText"/>
        <w:ind w:left="720" w:hanging="720"/>
      </w:pPr>
      <w:r>
        <w:rPr>
          <w:rStyle w:val="FootnoteReference"/>
        </w:rPr>
        <w:footnoteRef/>
      </w:r>
      <w:r>
        <w:t xml:space="preserve"> </w:t>
      </w:r>
      <w:r>
        <w:tab/>
        <w:t xml:space="preserve">This is based on a rough bottom-up estimate of what we think a DST would raise in New Zealand, combined with top down estimates based on what the EU and UK have forecast their DSTs to raise, adjusted for differences in GDP and exchange rates.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ecurity Classification"/>
      <w:tag w:val="Security Classification"/>
      <w:id w:val="-603806425"/>
      <w:placeholder>
        <w:docPart w:val="C2743B0DB0DD4D8A8E60CB7CF5FAD9FE"/>
      </w:placeholder>
      <w:dropDownList>
        <w:listItem w:value="[Choose a security classification – minimum of In Confidence]"/>
        <w:listItem w:displayText="In Confidence" w:value="In Confidence"/>
        <w:listItem w:displayText="Sensitive" w:value="Sensitive"/>
        <w:listItem w:displayText="Sensitive - Budget" w:value="Sensitive - Budget"/>
        <w:listItem w:displayText="Restricted" w:value="Restricted"/>
      </w:dropDownList>
    </w:sdtPr>
    <w:sdtEndPr/>
    <w:sdtContent>
      <w:p w14:paraId="3BB810EB" w14:textId="77777777" w:rsidR="002142A4" w:rsidRDefault="002142A4" w:rsidP="007C0037">
        <w:pPr>
          <w:pStyle w:val="Header"/>
          <w:jc w:val="right"/>
        </w:pPr>
        <w:r>
          <w:t>In Confidence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E9B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4243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C2E7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E445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D854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1A0B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1683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3E6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B8A9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9C34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03869"/>
    <w:multiLevelType w:val="hybridMultilevel"/>
    <w:tmpl w:val="8CAC41BE"/>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1" w15:restartNumberingAfterBreak="0">
    <w:nsid w:val="0978713D"/>
    <w:multiLevelType w:val="hybridMultilevel"/>
    <w:tmpl w:val="1BC833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84D73C0"/>
    <w:multiLevelType w:val="hybridMultilevel"/>
    <w:tmpl w:val="AA7E4B36"/>
    <w:lvl w:ilvl="0" w:tplc="14090001">
      <w:start w:val="1"/>
      <w:numFmt w:val="bullet"/>
      <w:lvlText w:val=""/>
      <w:lvlJc w:val="left"/>
      <w:pPr>
        <w:ind w:left="1500" w:hanging="360"/>
      </w:pPr>
      <w:rPr>
        <w:rFonts w:ascii="Symbol" w:hAnsi="Symbol"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13" w15:restartNumberingAfterBreak="0">
    <w:nsid w:val="21BA0CC5"/>
    <w:multiLevelType w:val="multilevel"/>
    <w:tmpl w:val="275082A8"/>
    <w:lvl w:ilvl="0">
      <w:start w:val="1"/>
      <w:numFmt w:val="decimal"/>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4" w15:restartNumberingAfterBreak="0">
    <w:nsid w:val="22961BA8"/>
    <w:multiLevelType w:val="hybridMultilevel"/>
    <w:tmpl w:val="4CA24040"/>
    <w:lvl w:ilvl="0" w:tplc="14090001">
      <w:start w:val="1"/>
      <w:numFmt w:val="bullet"/>
      <w:lvlText w:val=""/>
      <w:lvlJc w:val="left"/>
      <w:pPr>
        <w:ind w:left="1500" w:hanging="360"/>
      </w:pPr>
      <w:rPr>
        <w:rFonts w:ascii="Symbol" w:hAnsi="Symbol"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15" w15:restartNumberingAfterBreak="0">
    <w:nsid w:val="34B00636"/>
    <w:multiLevelType w:val="multilevel"/>
    <w:tmpl w:val="AE98789A"/>
    <w:lvl w:ilvl="0">
      <w:start w:val="1"/>
      <w:numFmt w:val="bullet"/>
      <w:pStyle w:val="BulletedParagraphIndented"/>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16" w15:restartNumberingAfterBreak="0">
    <w:nsid w:val="35011289"/>
    <w:multiLevelType w:val="multilevel"/>
    <w:tmpl w:val="6848285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9411EA"/>
    <w:multiLevelType w:val="hybridMultilevel"/>
    <w:tmpl w:val="9A3436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8215AC1"/>
    <w:multiLevelType w:val="hybridMultilevel"/>
    <w:tmpl w:val="BA42EFF6"/>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9" w15:restartNumberingAfterBreak="0">
    <w:nsid w:val="4A155B41"/>
    <w:multiLevelType w:val="hybridMultilevel"/>
    <w:tmpl w:val="370082D6"/>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0" w15:restartNumberingAfterBreak="0">
    <w:nsid w:val="4A2B1297"/>
    <w:multiLevelType w:val="hybridMultilevel"/>
    <w:tmpl w:val="BFB065E4"/>
    <w:lvl w:ilvl="0" w:tplc="14090001">
      <w:start w:val="1"/>
      <w:numFmt w:val="bullet"/>
      <w:lvlText w:val=""/>
      <w:lvlJc w:val="left"/>
      <w:pPr>
        <w:ind w:left="1500" w:hanging="360"/>
      </w:pPr>
      <w:rPr>
        <w:rFonts w:ascii="Symbol" w:hAnsi="Symbol"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21" w15:restartNumberingAfterBreak="0">
    <w:nsid w:val="53512200"/>
    <w:multiLevelType w:val="hybridMultilevel"/>
    <w:tmpl w:val="D01E84C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556B28DB"/>
    <w:multiLevelType w:val="hybridMultilevel"/>
    <w:tmpl w:val="8548976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3" w15:restartNumberingAfterBreak="0">
    <w:nsid w:val="5F3E1354"/>
    <w:multiLevelType w:val="hybridMultilevel"/>
    <w:tmpl w:val="3E1415BA"/>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4" w15:restartNumberingAfterBreak="0">
    <w:nsid w:val="625C2827"/>
    <w:multiLevelType w:val="hybridMultilevel"/>
    <w:tmpl w:val="41FA7D34"/>
    <w:lvl w:ilvl="0" w:tplc="14090001">
      <w:start w:val="1"/>
      <w:numFmt w:val="bullet"/>
      <w:lvlText w:val=""/>
      <w:lvlJc w:val="left"/>
      <w:pPr>
        <w:ind w:left="1500" w:hanging="360"/>
      </w:pPr>
      <w:rPr>
        <w:rFonts w:ascii="Symbol" w:hAnsi="Symbol" w:hint="default"/>
      </w:rPr>
    </w:lvl>
    <w:lvl w:ilvl="1" w:tplc="14090003">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25" w15:restartNumberingAfterBreak="0">
    <w:nsid w:val="63993153"/>
    <w:multiLevelType w:val="multilevel"/>
    <w:tmpl w:val="76E4737A"/>
    <w:lvl w:ilvl="0">
      <w:start w:val="1"/>
      <w:numFmt w:val="decimal"/>
      <w:pStyle w:val="NumberedParagraph"/>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26" w15:restartNumberingAfterBreak="0">
    <w:nsid w:val="65B47ECD"/>
    <w:multiLevelType w:val="hybridMultilevel"/>
    <w:tmpl w:val="99C249E6"/>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7" w15:restartNumberingAfterBreak="0">
    <w:nsid w:val="717D1402"/>
    <w:multiLevelType w:val="hybridMultilevel"/>
    <w:tmpl w:val="51384DE0"/>
    <w:lvl w:ilvl="0" w:tplc="27BCBC08">
      <w:start w:val="1"/>
      <w:numFmt w:val="lowerLetter"/>
      <w:pStyle w:val="Recommendation"/>
      <w:lvlText w:val="%1"/>
      <w:lvlJc w:val="left"/>
      <w:pPr>
        <w:ind w:left="502" w:hanging="360"/>
      </w:pPr>
      <w:rPr>
        <w:rFonts w:hint="default"/>
        <w:b w:val="0"/>
        <w:i w:val="0"/>
      </w:rPr>
    </w:lvl>
    <w:lvl w:ilvl="1" w:tplc="14090001">
      <w:start w:val="1"/>
      <w:numFmt w:val="bullet"/>
      <w:lvlText w:val=""/>
      <w:lvlJc w:val="left"/>
      <w:pPr>
        <w:ind w:left="1222" w:hanging="360"/>
      </w:pPr>
      <w:rPr>
        <w:rFonts w:ascii="Symbol" w:hAnsi="Symbol" w:hint="default"/>
      </w:rPr>
    </w:lvl>
    <w:lvl w:ilvl="2" w:tplc="1409001B">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28" w15:restartNumberingAfterBreak="0">
    <w:nsid w:val="73C0552A"/>
    <w:multiLevelType w:val="hybridMultilevel"/>
    <w:tmpl w:val="06205B2E"/>
    <w:lvl w:ilvl="0" w:tplc="14090001">
      <w:start w:val="1"/>
      <w:numFmt w:val="bullet"/>
      <w:lvlText w:val=""/>
      <w:lvlJc w:val="left"/>
      <w:pPr>
        <w:ind w:left="1496" w:hanging="360"/>
      </w:pPr>
      <w:rPr>
        <w:rFonts w:ascii="Symbol" w:hAnsi="Symbol" w:hint="default"/>
      </w:rPr>
    </w:lvl>
    <w:lvl w:ilvl="1" w:tplc="14090003" w:tentative="1">
      <w:start w:val="1"/>
      <w:numFmt w:val="bullet"/>
      <w:lvlText w:val="o"/>
      <w:lvlJc w:val="left"/>
      <w:pPr>
        <w:ind w:left="2216" w:hanging="360"/>
      </w:pPr>
      <w:rPr>
        <w:rFonts w:ascii="Courier New" w:hAnsi="Courier New" w:cs="Courier New" w:hint="default"/>
      </w:rPr>
    </w:lvl>
    <w:lvl w:ilvl="2" w:tplc="14090005" w:tentative="1">
      <w:start w:val="1"/>
      <w:numFmt w:val="bullet"/>
      <w:lvlText w:val=""/>
      <w:lvlJc w:val="left"/>
      <w:pPr>
        <w:ind w:left="2936" w:hanging="360"/>
      </w:pPr>
      <w:rPr>
        <w:rFonts w:ascii="Wingdings" w:hAnsi="Wingdings" w:hint="default"/>
      </w:rPr>
    </w:lvl>
    <w:lvl w:ilvl="3" w:tplc="14090001" w:tentative="1">
      <w:start w:val="1"/>
      <w:numFmt w:val="bullet"/>
      <w:lvlText w:val=""/>
      <w:lvlJc w:val="left"/>
      <w:pPr>
        <w:ind w:left="3656" w:hanging="360"/>
      </w:pPr>
      <w:rPr>
        <w:rFonts w:ascii="Symbol" w:hAnsi="Symbol" w:hint="default"/>
      </w:rPr>
    </w:lvl>
    <w:lvl w:ilvl="4" w:tplc="14090003" w:tentative="1">
      <w:start w:val="1"/>
      <w:numFmt w:val="bullet"/>
      <w:lvlText w:val="o"/>
      <w:lvlJc w:val="left"/>
      <w:pPr>
        <w:ind w:left="4376" w:hanging="360"/>
      </w:pPr>
      <w:rPr>
        <w:rFonts w:ascii="Courier New" w:hAnsi="Courier New" w:cs="Courier New" w:hint="default"/>
      </w:rPr>
    </w:lvl>
    <w:lvl w:ilvl="5" w:tplc="14090005" w:tentative="1">
      <w:start w:val="1"/>
      <w:numFmt w:val="bullet"/>
      <w:lvlText w:val=""/>
      <w:lvlJc w:val="left"/>
      <w:pPr>
        <w:ind w:left="5096" w:hanging="360"/>
      </w:pPr>
      <w:rPr>
        <w:rFonts w:ascii="Wingdings" w:hAnsi="Wingdings" w:hint="default"/>
      </w:rPr>
    </w:lvl>
    <w:lvl w:ilvl="6" w:tplc="14090001" w:tentative="1">
      <w:start w:val="1"/>
      <w:numFmt w:val="bullet"/>
      <w:lvlText w:val=""/>
      <w:lvlJc w:val="left"/>
      <w:pPr>
        <w:ind w:left="5816" w:hanging="360"/>
      </w:pPr>
      <w:rPr>
        <w:rFonts w:ascii="Symbol" w:hAnsi="Symbol" w:hint="default"/>
      </w:rPr>
    </w:lvl>
    <w:lvl w:ilvl="7" w:tplc="14090003" w:tentative="1">
      <w:start w:val="1"/>
      <w:numFmt w:val="bullet"/>
      <w:lvlText w:val="o"/>
      <w:lvlJc w:val="left"/>
      <w:pPr>
        <w:ind w:left="6536" w:hanging="360"/>
      </w:pPr>
      <w:rPr>
        <w:rFonts w:ascii="Courier New" w:hAnsi="Courier New" w:cs="Courier New" w:hint="default"/>
      </w:rPr>
    </w:lvl>
    <w:lvl w:ilvl="8" w:tplc="14090005" w:tentative="1">
      <w:start w:val="1"/>
      <w:numFmt w:val="bullet"/>
      <w:lvlText w:val=""/>
      <w:lvlJc w:val="left"/>
      <w:pPr>
        <w:ind w:left="7256" w:hanging="360"/>
      </w:pPr>
      <w:rPr>
        <w:rFonts w:ascii="Wingdings" w:hAnsi="Wingdings" w:hint="default"/>
      </w:rPr>
    </w:lvl>
  </w:abstractNum>
  <w:abstractNum w:abstractNumId="29" w15:restartNumberingAfterBreak="0">
    <w:nsid w:val="77E2735C"/>
    <w:multiLevelType w:val="hybridMultilevel"/>
    <w:tmpl w:val="44FCD2E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30" w15:restartNumberingAfterBreak="0">
    <w:nsid w:val="7B2A4E9F"/>
    <w:multiLevelType w:val="hybridMultilevel"/>
    <w:tmpl w:val="23FCC28E"/>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31" w15:restartNumberingAfterBreak="0">
    <w:nsid w:val="7BF70122"/>
    <w:multiLevelType w:val="hybridMultilevel"/>
    <w:tmpl w:val="62D02748"/>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3"/>
  </w:num>
  <w:num w:numId="13">
    <w:abstractNumId w:val="15"/>
  </w:num>
  <w:num w:numId="14">
    <w:abstractNumId w:val="27"/>
  </w:num>
  <w:num w:numId="15">
    <w:abstractNumId w:val="22"/>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num>
  <w:num w:numId="19">
    <w:abstractNumId w:val="1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3"/>
  </w:num>
  <w:num w:numId="23">
    <w:abstractNumId w:val="31"/>
  </w:num>
  <w:num w:numId="24">
    <w:abstractNumId w:val="14"/>
  </w:num>
  <w:num w:numId="25">
    <w:abstractNumId w:val="18"/>
  </w:num>
  <w:num w:numId="26">
    <w:abstractNumId w:val="11"/>
  </w:num>
  <w:num w:numId="27">
    <w:abstractNumId w:val="20"/>
  </w:num>
  <w:num w:numId="28">
    <w:abstractNumId w:val="17"/>
  </w:num>
  <w:num w:numId="29">
    <w:abstractNumId w:val="19"/>
  </w:num>
  <w:num w:numId="30">
    <w:abstractNumId w:val="12"/>
  </w:num>
  <w:num w:numId="31">
    <w:abstractNumId w:val="26"/>
  </w:num>
  <w:num w:numId="32">
    <w:abstractNumId w:val="24"/>
  </w:num>
  <w:num w:numId="33">
    <w:abstractNumId w:val="25"/>
  </w:num>
  <w:num w:numId="34">
    <w:abstractNumId w:val="25"/>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81"/>
  <w:drawingGridVerticalSpacing w:val="181"/>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455"/>
    <w:rsid w:val="0000278E"/>
    <w:rsid w:val="0002767A"/>
    <w:rsid w:val="000278F4"/>
    <w:rsid w:val="00030C3B"/>
    <w:rsid w:val="00041CB5"/>
    <w:rsid w:val="00042DF4"/>
    <w:rsid w:val="00042E14"/>
    <w:rsid w:val="00045DF4"/>
    <w:rsid w:val="0005144C"/>
    <w:rsid w:val="000637E5"/>
    <w:rsid w:val="00065ADD"/>
    <w:rsid w:val="00080D20"/>
    <w:rsid w:val="00087A1B"/>
    <w:rsid w:val="000901AE"/>
    <w:rsid w:val="000919B6"/>
    <w:rsid w:val="00096FC6"/>
    <w:rsid w:val="000B0BC1"/>
    <w:rsid w:val="000B27CE"/>
    <w:rsid w:val="000B2ED1"/>
    <w:rsid w:val="000C0ED5"/>
    <w:rsid w:val="000C5BD2"/>
    <w:rsid w:val="000C75F9"/>
    <w:rsid w:val="000D10B3"/>
    <w:rsid w:val="000D5590"/>
    <w:rsid w:val="000E4005"/>
    <w:rsid w:val="000F343E"/>
    <w:rsid w:val="000F5720"/>
    <w:rsid w:val="00101312"/>
    <w:rsid w:val="00110A42"/>
    <w:rsid w:val="001115A3"/>
    <w:rsid w:val="001275A0"/>
    <w:rsid w:val="00127692"/>
    <w:rsid w:val="001349D4"/>
    <w:rsid w:val="00135D91"/>
    <w:rsid w:val="00145B30"/>
    <w:rsid w:val="00171BF4"/>
    <w:rsid w:val="001753D8"/>
    <w:rsid w:val="001834C2"/>
    <w:rsid w:val="0018398B"/>
    <w:rsid w:val="0018703E"/>
    <w:rsid w:val="00192135"/>
    <w:rsid w:val="0019690D"/>
    <w:rsid w:val="001A59DC"/>
    <w:rsid w:val="001C3BC5"/>
    <w:rsid w:val="001D0013"/>
    <w:rsid w:val="001D07C5"/>
    <w:rsid w:val="001D715C"/>
    <w:rsid w:val="001D79E3"/>
    <w:rsid w:val="001D7ADB"/>
    <w:rsid w:val="001E04A3"/>
    <w:rsid w:val="001E6B68"/>
    <w:rsid w:val="001F622A"/>
    <w:rsid w:val="001F7A4C"/>
    <w:rsid w:val="0020153A"/>
    <w:rsid w:val="0020313D"/>
    <w:rsid w:val="00203F1B"/>
    <w:rsid w:val="00204CBA"/>
    <w:rsid w:val="002142A4"/>
    <w:rsid w:val="00221AAE"/>
    <w:rsid w:val="0022726B"/>
    <w:rsid w:val="00227F60"/>
    <w:rsid w:val="00233663"/>
    <w:rsid w:val="00235517"/>
    <w:rsid w:val="00247909"/>
    <w:rsid w:val="002506FE"/>
    <w:rsid w:val="00255A6F"/>
    <w:rsid w:val="002572CA"/>
    <w:rsid w:val="002967CD"/>
    <w:rsid w:val="002A1499"/>
    <w:rsid w:val="002A6808"/>
    <w:rsid w:val="002B05B2"/>
    <w:rsid w:val="002B36D5"/>
    <w:rsid w:val="002C3D26"/>
    <w:rsid w:val="002C5A14"/>
    <w:rsid w:val="002C76A6"/>
    <w:rsid w:val="002D2747"/>
    <w:rsid w:val="002D4593"/>
    <w:rsid w:val="002D595B"/>
    <w:rsid w:val="002D6CE6"/>
    <w:rsid w:val="002E055E"/>
    <w:rsid w:val="002E1F9A"/>
    <w:rsid w:val="002E5446"/>
    <w:rsid w:val="002E6EEC"/>
    <w:rsid w:val="002F43C5"/>
    <w:rsid w:val="002F60D8"/>
    <w:rsid w:val="002F7209"/>
    <w:rsid w:val="002F7D8A"/>
    <w:rsid w:val="003113D3"/>
    <w:rsid w:val="00313C9F"/>
    <w:rsid w:val="0032027A"/>
    <w:rsid w:val="00325783"/>
    <w:rsid w:val="00325F48"/>
    <w:rsid w:val="00327186"/>
    <w:rsid w:val="00327C47"/>
    <w:rsid w:val="003320AD"/>
    <w:rsid w:val="00334DC6"/>
    <w:rsid w:val="00336300"/>
    <w:rsid w:val="003375F0"/>
    <w:rsid w:val="00337654"/>
    <w:rsid w:val="00344417"/>
    <w:rsid w:val="00345901"/>
    <w:rsid w:val="00361486"/>
    <w:rsid w:val="00367B77"/>
    <w:rsid w:val="00374EC1"/>
    <w:rsid w:val="00382AF8"/>
    <w:rsid w:val="003866C9"/>
    <w:rsid w:val="00387AEA"/>
    <w:rsid w:val="003A060B"/>
    <w:rsid w:val="003A1455"/>
    <w:rsid w:val="003A280C"/>
    <w:rsid w:val="003C036E"/>
    <w:rsid w:val="003C2FA4"/>
    <w:rsid w:val="003D479D"/>
    <w:rsid w:val="003D63B3"/>
    <w:rsid w:val="003D64BA"/>
    <w:rsid w:val="003F031B"/>
    <w:rsid w:val="003F30D8"/>
    <w:rsid w:val="003F3EC8"/>
    <w:rsid w:val="0040064C"/>
    <w:rsid w:val="00425E5D"/>
    <w:rsid w:val="004339E4"/>
    <w:rsid w:val="004454B2"/>
    <w:rsid w:val="00445D19"/>
    <w:rsid w:val="00463488"/>
    <w:rsid w:val="004678CD"/>
    <w:rsid w:val="00484541"/>
    <w:rsid w:val="00485A4F"/>
    <w:rsid w:val="00487A24"/>
    <w:rsid w:val="00492853"/>
    <w:rsid w:val="004A007F"/>
    <w:rsid w:val="004A04E2"/>
    <w:rsid w:val="004A07BE"/>
    <w:rsid w:val="004A1822"/>
    <w:rsid w:val="004A6EF6"/>
    <w:rsid w:val="004B064C"/>
    <w:rsid w:val="004C67E8"/>
    <w:rsid w:val="004E4731"/>
    <w:rsid w:val="004E6DDC"/>
    <w:rsid w:val="004F4864"/>
    <w:rsid w:val="004F5DD6"/>
    <w:rsid w:val="00503FA6"/>
    <w:rsid w:val="00507E3F"/>
    <w:rsid w:val="005105BF"/>
    <w:rsid w:val="00517CC3"/>
    <w:rsid w:val="00521F8D"/>
    <w:rsid w:val="005367FE"/>
    <w:rsid w:val="00541E87"/>
    <w:rsid w:val="005531B0"/>
    <w:rsid w:val="00555C68"/>
    <w:rsid w:val="00561744"/>
    <w:rsid w:val="005655A9"/>
    <w:rsid w:val="0058104D"/>
    <w:rsid w:val="005818B6"/>
    <w:rsid w:val="0058224E"/>
    <w:rsid w:val="00583095"/>
    <w:rsid w:val="00590CB9"/>
    <w:rsid w:val="00591F07"/>
    <w:rsid w:val="00592522"/>
    <w:rsid w:val="00594B35"/>
    <w:rsid w:val="00596DE8"/>
    <w:rsid w:val="005A192A"/>
    <w:rsid w:val="005A6597"/>
    <w:rsid w:val="005B0297"/>
    <w:rsid w:val="005B1540"/>
    <w:rsid w:val="005B202F"/>
    <w:rsid w:val="005B7DF3"/>
    <w:rsid w:val="005C6B70"/>
    <w:rsid w:val="005C6DE1"/>
    <w:rsid w:val="005D7446"/>
    <w:rsid w:val="005D7AA2"/>
    <w:rsid w:val="005E0DFF"/>
    <w:rsid w:val="005E41B2"/>
    <w:rsid w:val="005E6679"/>
    <w:rsid w:val="00600BBD"/>
    <w:rsid w:val="006039E1"/>
    <w:rsid w:val="00604948"/>
    <w:rsid w:val="00611EBE"/>
    <w:rsid w:val="0061384F"/>
    <w:rsid w:val="00616617"/>
    <w:rsid w:val="00621A76"/>
    <w:rsid w:val="006222B9"/>
    <w:rsid w:val="00622755"/>
    <w:rsid w:val="00625CB3"/>
    <w:rsid w:val="006266F5"/>
    <w:rsid w:val="00632847"/>
    <w:rsid w:val="00647112"/>
    <w:rsid w:val="00647D11"/>
    <w:rsid w:val="00653809"/>
    <w:rsid w:val="00660F5C"/>
    <w:rsid w:val="00664664"/>
    <w:rsid w:val="00665AE0"/>
    <w:rsid w:val="00670CF2"/>
    <w:rsid w:val="006742B5"/>
    <w:rsid w:val="006824E9"/>
    <w:rsid w:val="00682BD5"/>
    <w:rsid w:val="0069254B"/>
    <w:rsid w:val="006A2C13"/>
    <w:rsid w:val="006A57A1"/>
    <w:rsid w:val="006A706A"/>
    <w:rsid w:val="006B1F45"/>
    <w:rsid w:val="006C1D66"/>
    <w:rsid w:val="006E31E0"/>
    <w:rsid w:val="006F2AD0"/>
    <w:rsid w:val="006F393E"/>
    <w:rsid w:val="00705DC2"/>
    <w:rsid w:val="0070630A"/>
    <w:rsid w:val="007209BC"/>
    <w:rsid w:val="007225A5"/>
    <w:rsid w:val="0072393E"/>
    <w:rsid w:val="00737808"/>
    <w:rsid w:val="00741490"/>
    <w:rsid w:val="0074188B"/>
    <w:rsid w:val="00742700"/>
    <w:rsid w:val="007535DE"/>
    <w:rsid w:val="00762C2C"/>
    <w:rsid w:val="00766765"/>
    <w:rsid w:val="00775590"/>
    <w:rsid w:val="00776376"/>
    <w:rsid w:val="00790914"/>
    <w:rsid w:val="00796432"/>
    <w:rsid w:val="00797E34"/>
    <w:rsid w:val="007B328D"/>
    <w:rsid w:val="007C0037"/>
    <w:rsid w:val="007C15EF"/>
    <w:rsid w:val="007C361F"/>
    <w:rsid w:val="007D360E"/>
    <w:rsid w:val="007E27C4"/>
    <w:rsid w:val="007E34C4"/>
    <w:rsid w:val="007F187F"/>
    <w:rsid w:val="007F1AF0"/>
    <w:rsid w:val="007F7217"/>
    <w:rsid w:val="00811AC6"/>
    <w:rsid w:val="00814365"/>
    <w:rsid w:val="008157C3"/>
    <w:rsid w:val="0081760B"/>
    <w:rsid w:val="00820D59"/>
    <w:rsid w:val="00830307"/>
    <w:rsid w:val="008331C2"/>
    <w:rsid w:val="0083625C"/>
    <w:rsid w:val="00842C06"/>
    <w:rsid w:val="008512E4"/>
    <w:rsid w:val="00851B1C"/>
    <w:rsid w:val="00852F2A"/>
    <w:rsid w:val="00853E9D"/>
    <w:rsid w:val="00857CBC"/>
    <w:rsid w:val="00876278"/>
    <w:rsid w:val="00885F81"/>
    <w:rsid w:val="00891517"/>
    <w:rsid w:val="00892DF7"/>
    <w:rsid w:val="00894000"/>
    <w:rsid w:val="00895475"/>
    <w:rsid w:val="00895A62"/>
    <w:rsid w:val="00896CBC"/>
    <w:rsid w:val="008A05D5"/>
    <w:rsid w:val="008A134E"/>
    <w:rsid w:val="008B13EE"/>
    <w:rsid w:val="008B4138"/>
    <w:rsid w:val="008B49B5"/>
    <w:rsid w:val="008B5B93"/>
    <w:rsid w:val="008C202E"/>
    <w:rsid w:val="008D0B4F"/>
    <w:rsid w:val="008D5CC2"/>
    <w:rsid w:val="008E11EA"/>
    <w:rsid w:val="008F1B14"/>
    <w:rsid w:val="008F6558"/>
    <w:rsid w:val="008F6EF1"/>
    <w:rsid w:val="00901BF8"/>
    <w:rsid w:val="0090342B"/>
    <w:rsid w:val="0091035E"/>
    <w:rsid w:val="009129C7"/>
    <w:rsid w:val="0091567A"/>
    <w:rsid w:val="00915EB9"/>
    <w:rsid w:val="009201D4"/>
    <w:rsid w:val="00924F98"/>
    <w:rsid w:val="00937A38"/>
    <w:rsid w:val="009402AA"/>
    <w:rsid w:val="0094246F"/>
    <w:rsid w:val="00946713"/>
    <w:rsid w:val="009510B2"/>
    <w:rsid w:val="00966477"/>
    <w:rsid w:val="00970337"/>
    <w:rsid w:val="00976200"/>
    <w:rsid w:val="00977E3F"/>
    <w:rsid w:val="0098049B"/>
    <w:rsid w:val="00985A09"/>
    <w:rsid w:val="00987A2D"/>
    <w:rsid w:val="009A3711"/>
    <w:rsid w:val="009B5185"/>
    <w:rsid w:val="009B5A86"/>
    <w:rsid w:val="009C3B50"/>
    <w:rsid w:val="009D1D36"/>
    <w:rsid w:val="009D3D77"/>
    <w:rsid w:val="009E519A"/>
    <w:rsid w:val="009E5E8F"/>
    <w:rsid w:val="009E66A2"/>
    <w:rsid w:val="009F0DFC"/>
    <w:rsid w:val="009F6EE5"/>
    <w:rsid w:val="00A01213"/>
    <w:rsid w:val="00A14F43"/>
    <w:rsid w:val="00A17971"/>
    <w:rsid w:val="00A2547F"/>
    <w:rsid w:val="00A30C8B"/>
    <w:rsid w:val="00A32FCF"/>
    <w:rsid w:val="00A3569B"/>
    <w:rsid w:val="00A364AA"/>
    <w:rsid w:val="00A40CCA"/>
    <w:rsid w:val="00A41417"/>
    <w:rsid w:val="00A4193B"/>
    <w:rsid w:val="00A41992"/>
    <w:rsid w:val="00A63460"/>
    <w:rsid w:val="00A64FF1"/>
    <w:rsid w:val="00A75966"/>
    <w:rsid w:val="00A81637"/>
    <w:rsid w:val="00A83F40"/>
    <w:rsid w:val="00A91E3C"/>
    <w:rsid w:val="00AA200E"/>
    <w:rsid w:val="00AA48FC"/>
    <w:rsid w:val="00AA6CC6"/>
    <w:rsid w:val="00AB06F8"/>
    <w:rsid w:val="00AB0A16"/>
    <w:rsid w:val="00AB0A89"/>
    <w:rsid w:val="00AC4A3A"/>
    <w:rsid w:val="00AE2C80"/>
    <w:rsid w:val="00AF6320"/>
    <w:rsid w:val="00B01439"/>
    <w:rsid w:val="00B028CD"/>
    <w:rsid w:val="00B22BA9"/>
    <w:rsid w:val="00B24CEA"/>
    <w:rsid w:val="00B3357D"/>
    <w:rsid w:val="00B3583E"/>
    <w:rsid w:val="00B36756"/>
    <w:rsid w:val="00B4025A"/>
    <w:rsid w:val="00B7154D"/>
    <w:rsid w:val="00B73500"/>
    <w:rsid w:val="00B75998"/>
    <w:rsid w:val="00B9404E"/>
    <w:rsid w:val="00B973E6"/>
    <w:rsid w:val="00BA1B42"/>
    <w:rsid w:val="00BA2A7C"/>
    <w:rsid w:val="00BA2BD1"/>
    <w:rsid w:val="00BA44A4"/>
    <w:rsid w:val="00BA4808"/>
    <w:rsid w:val="00BA6794"/>
    <w:rsid w:val="00BC4833"/>
    <w:rsid w:val="00BD5237"/>
    <w:rsid w:val="00BD5D0C"/>
    <w:rsid w:val="00BD7D88"/>
    <w:rsid w:val="00BE3C6A"/>
    <w:rsid w:val="00BE46EA"/>
    <w:rsid w:val="00BE7532"/>
    <w:rsid w:val="00BF00D5"/>
    <w:rsid w:val="00BF1327"/>
    <w:rsid w:val="00BF3DA6"/>
    <w:rsid w:val="00BF46E3"/>
    <w:rsid w:val="00C0382F"/>
    <w:rsid w:val="00C05FE0"/>
    <w:rsid w:val="00C065A7"/>
    <w:rsid w:val="00C10E92"/>
    <w:rsid w:val="00C11E9D"/>
    <w:rsid w:val="00C2749F"/>
    <w:rsid w:val="00C32B69"/>
    <w:rsid w:val="00C32F41"/>
    <w:rsid w:val="00C35537"/>
    <w:rsid w:val="00C42A4D"/>
    <w:rsid w:val="00C44EDE"/>
    <w:rsid w:val="00C51072"/>
    <w:rsid w:val="00C5436B"/>
    <w:rsid w:val="00C54EBF"/>
    <w:rsid w:val="00C750A5"/>
    <w:rsid w:val="00C75D6B"/>
    <w:rsid w:val="00C80393"/>
    <w:rsid w:val="00C82257"/>
    <w:rsid w:val="00C83978"/>
    <w:rsid w:val="00CB0C47"/>
    <w:rsid w:val="00CB14EF"/>
    <w:rsid w:val="00CB2834"/>
    <w:rsid w:val="00CB6064"/>
    <w:rsid w:val="00CB7E24"/>
    <w:rsid w:val="00CC36B2"/>
    <w:rsid w:val="00CC43C9"/>
    <w:rsid w:val="00CD36CE"/>
    <w:rsid w:val="00CE3BF1"/>
    <w:rsid w:val="00CF4F3E"/>
    <w:rsid w:val="00CF5A0B"/>
    <w:rsid w:val="00CF7398"/>
    <w:rsid w:val="00D00D12"/>
    <w:rsid w:val="00D012E1"/>
    <w:rsid w:val="00D07B4A"/>
    <w:rsid w:val="00D11ECD"/>
    <w:rsid w:val="00D16E9D"/>
    <w:rsid w:val="00D20576"/>
    <w:rsid w:val="00D24F52"/>
    <w:rsid w:val="00D346F9"/>
    <w:rsid w:val="00D35241"/>
    <w:rsid w:val="00D35439"/>
    <w:rsid w:val="00D36F6E"/>
    <w:rsid w:val="00D53F58"/>
    <w:rsid w:val="00D6363A"/>
    <w:rsid w:val="00D66AB2"/>
    <w:rsid w:val="00D7176C"/>
    <w:rsid w:val="00D8752E"/>
    <w:rsid w:val="00D9687F"/>
    <w:rsid w:val="00DA43CA"/>
    <w:rsid w:val="00DA6F42"/>
    <w:rsid w:val="00DA7185"/>
    <w:rsid w:val="00DB2C8A"/>
    <w:rsid w:val="00DB3CF5"/>
    <w:rsid w:val="00DB4CB6"/>
    <w:rsid w:val="00DB6A1F"/>
    <w:rsid w:val="00DC527B"/>
    <w:rsid w:val="00DD4F04"/>
    <w:rsid w:val="00DD623A"/>
    <w:rsid w:val="00DE0CC9"/>
    <w:rsid w:val="00DE404E"/>
    <w:rsid w:val="00DF0DE3"/>
    <w:rsid w:val="00DF7141"/>
    <w:rsid w:val="00E00C21"/>
    <w:rsid w:val="00E0138C"/>
    <w:rsid w:val="00E03162"/>
    <w:rsid w:val="00E047D5"/>
    <w:rsid w:val="00E14051"/>
    <w:rsid w:val="00E331E1"/>
    <w:rsid w:val="00E4635E"/>
    <w:rsid w:val="00E52267"/>
    <w:rsid w:val="00E66F56"/>
    <w:rsid w:val="00E73039"/>
    <w:rsid w:val="00E751DB"/>
    <w:rsid w:val="00E80F77"/>
    <w:rsid w:val="00E85F64"/>
    <w:rsid w:val="00E95125"/>
    <w:rsid w:val="00E969DE"/>
    <w:rsid w:val="00EA48BF"/>
    <w:rsid w:val="00EA4FC4"/>
    <w:rsid w:val="00EB70DE"/>
    <w:rsid w:val="00EB7BC0"/>
    <w:rsid w:val="00EC5AAB"/>
    <w:rsid w:val="00ED0DBD"/>
    <w:rsid w:val="00ED5D33"/>
    <w:rsid w:val="00EF292F"/>
    <w:rsid w:val="00EF5586"/>
    <w:rsid w:val="00EF5AFF"/>
    <w:rsid w:val="00EF656C"/>
    <w:rsid w:val="00F241A5"/>
    <w:rsid w:val="00F2479A"/>
    <w:rsid w:val="00F248E3"/>
    <w:rsid w:val="00F479B5"/>
    <w:rsid w:val="00F70092"/>
    <w:rsid w:val="00F70145"/>
    <w:rsid w:val="00F807E9"/>
    <w:rsid w:val="00F80880"/>
    <w:rsid w:val="00F8335F"/>
    <w:rsid w:val="00F86079"/>
    <w:rsid w:val="00F92E93"/>
    <w:rsid w:val="00F97246"/>
    <w:rsid w:val="00FA5E6F"/>
    <w:rsid w:val="00FB2F64"/>
    <w:rsid w:val="00FB4A15"/>
    <w:rsid w:val="00FB5BEC"/>
    <w:rsid w:val="00FD57E7"/>
    <w:rsid w:val="00FD68CA"/>
    <w:rsid w:val="00FE0F95"/>
    <w:rsid w:val="00FE20A5"/>
    <w:rsid w:val="00FE256A"/>
    <w:rsid w:val="00FE4BF2"/>
    <w:rsid w:val="00FE627E"/>
    <w:rsid w:val="00FF38AB"/>
    <w:rsid w:val="00FF5A3A"/>
    <w:rsid w:val="00FF60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76A5B5"/>
  <w15:chartTrackingRefBased/>
  <w15:docId w15:val="{F13C9BF9-BDAC-42D2-81C2-AD6B3B85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CBA"/>
    <w:pPr>
      <w:spacing w:after="0" w:line="276" w:lineRule="auto"/>
      <w:jc w:val="both"/>
    </w:pPr>
  </w:style>
  <w:style w:type="paragraph" w:styleId="Heading1">
    <w:name w:val="heading 1"/>
    <w:basedOn w:val="Normal"/>
    <w:next w:val="Normal"/>
    <w:link w:val="Heading1Char"/>
    <w:uiPriority w:val="9"/>
    <w:qFormat/>
    <w:rsid w:val="002A1499"/>
    <w:pPr>
      <w:keepNext/>
      <w:pBdr>
        <w:bottom w:val="single" w:sz="4" w:space="1" w:color="auto"/>
      </w:pBdr>
      <w:spacing w:before="400" w:after="200"/>
      <w:outlineLvl w:val="0"/>
    </w:pPr>
    <w:rPr>
      <w:b/>
    </w:rPr>
  </w:style>
  <w:style w:type="paragraph" w:styleId="Heading2">
    <w:name w:val="heading 2"/>
    <w:basedOn w:val="Normal"/>
    <w:next w:val="Normal"/>
    <w:link w:val="Heading2Char"/>
    <w:uiPriority w:val="9"/>
    <w:unhideWhenUsed/>
    <w:qFormat/>
    <w:rsid w:val="002A1499"/>
    <w:pPr>
      <w:keepNext/>
      <w:spacing w:before="400" w:after="200"/>
      <w:outlineLvl w:val="1"/>
    </w:pPr>
    <w:rPr>
      <w:b/>
    </w:rPr>
  </w:style>
  <w:style w:type="paragraph" w:styleId="Heading3">
    <w:name w:val="heading 3"/>
    <w:basedOn w:val="Heading2"/>
    <w:next w:val="Normal"/>
    <w:link w:val="Heading3Char"/>
    <w:uiPriority w:val="9"/>
    <w:unhideWhenUsed/>
    <w:qFormat/>
    <w:rsid w:val="00A2547F"/>
    <w:pPr>
      <w:outlineLvl w:val="2"/>
    </w:pPr>
    <w:rPr>
      <w:i/>
    </w:rPr>
  </w:style>
  <w:style w:type="paragraph" w:styleId="Heading4">
    <w:name w:val="heading 4"/>
    <w:basedOn w:val="Heading3"/>
    <w:next w:val="Normal"/>
    <w:link w:val="Heading4Char"/>
    <w:uiPriority w:val="9"/>
    <w:unhideWhenUsed/>
    <w:qFormat/>
    <w:rsid w:val="002A1499"/>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 Text"/>
    <w:basedOn w:val="Normal"/>
    <w:qFormat/>
    <w:rsid w:val="006222B9"/>
    <w:pPr>
      <w:spacing w:before="60" w:after="60"/>
      <w:jc w:val="left"/>
    </w:pPr>
  </w:style>
  <w:style w:type="character" w:styleId="CommentReference">
    <w:name w:val="annotation reference"/>
    <w:uiPriority w:val="99"/>
    <w:semiHidden/>
    <w:rsid w:val="00DD623A"/>
    <w:rPr>
      <w:sz w:val="16"/>
      <w:szCs w:val="16"/>
    </w:rPr>
  </w:style>
  <w:style w:type="paragraph" w:styleId="CommentText">
    <w:name w:val="annotation text"/>
    <w:basedOn w:val="Normal"/>
    <w:link w:val="CommentTextChar"/>
    <w:uiPriority w:val="99"/>
    <w:semiHidden/>
    <w:rsid w:val="00DD623A"/>
    <w:rPr>
      <w:rFonts w:ascii="Times New Roman" w:eastAsia="Times New Roman" w:hAnsi="Times New Roman" w:cs="Times New Roman"/>
      <w:lang w:eastAsia="en-AU"/>
    </w:rPr>
  </w:style>
  <w:style w:type="character" w:customStyle="1" w:styleId="CommentTextChar">
    <w:name w:val="Comment Text Char"/>
    <w:basedOn w:val="DefaultParagraphFont"/>
    <w:link w:val="CommentText"/>
    <w:uiPriority w:val="99"/>
    <w:semiHidden/>
    <w:rsid w:val="00DD623A"/>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DD6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23A"/>
    <w:rPr>
      <w:rFonts w:ascii="Segoe UI" w:hAnsi="Segoe UI" w:cs="Segoe UI"/>
      <w:sz w:val="18"/>
      <w:szCs w:val="18"/>
    </w:rPr>
  </w:style>
  <w:style w:type="character" w:styleId="Strong">
    <w:name w:val="Strong"/>
    <w:basedOn w:val="DefaultParagraphFont"/>
    <w:uiPriority w:val="22"/>
    <w:qFormat/>
    <w:rsid w:val="00705DC2"/>
    <w:rPr>
      <w:b/>
      <w:bCs/>
    </w:rPr>
  </w:style>
  <w:style w:type="paragraph" w:customStyle="1" w:styleId="ReportCover-Title">
    <w:name w:val="Report Cover - Title"/>
    <w:basedOn w:val="Normal"/>
    <w:next w:val="Normal"/>
    <w:rsid w:val="00BE7532"/>
    <w:pPr>
      <w:pBdr>
        <w:bottom w:val="single" w:sz="8" w:space="1" w:color="auto"/>
      </w:pBdr>
      <w:spacing w:before="360" w:after="720" w:line="300" w:lineRule="atLeast"/>
      <w:ind w:left="2835" w:hanging="2835"/>
    </w:pPr>
    <w:rPr>
      <w:rFonts w:eastAsia="Times New Roman" w:cs="Times New Roman"/>
      <w:b/>
      <w:sz w:val="22"/>
    </w:rPr>
  </w:style>
  <w:style w:type="paragraph" w:customStyle="1" w:styleId="ReportCover-Heading">
    <w:name w:val="Report Cover - Heading"/>
    <w:basedOn w:val="Normal"/>
    <w:next w:val="Normal"/>
    <w:rsid w:val="00A364AA"/>
    <w:pPr>
      <w:pBdr>
        <w:bottom w:val="single" w:sz="4" w:space="1" w:color="auto"/>
      </w:pBdr>
      <w:spacing w:before="720" w:after="360"/>
      <w:jc w:val="left"/>
    </w:pPr>
    <w:rPr>
      <w:rFonts w:eastAsia="Times New Roman" w:cs="Times New Roman"/>
      <w:b/>
      <w:bCs/>
    </w:rPr>
  </w:style>
  <w:style w:type="paragraph" w:customStyle="1" w:styleId="Table-Heading">
    <w:name w:val="Table - Heading"/>
    <w:basedOn w:val="Table-Text"/>
    <w:next w:val="Table-Text"/>
    <w:qFormat/>
    <w:rsid w:val="000B2ED1"/>
    <w:rPr>
      <w:b/>
    </w:rPr>
  </w:style>
  <w:style w:type="character" w:customStyle="1" w:styleId="Heading1Char">
    <w:name w:val="Heading 1 Char"/>
    <w:basedOn w:val="DefaultParagraphFont"/>
    <w:link w:val="Heading1"/>
    <w:uiPriority w:val="9"/>
    <w:rsid w:val="002A1499"/>
    <w:rPr>
      <w:b/>
    </w:rPr>
  </w:style>
  <w:style w:type="character" w:customStyle="1" w:styleId="Heading2Char">
    <w:name w:val="Heading 2 Char"/>
    <w:basedOn w:val="DefaultParagraphFont"/>
    <w:link w:val="Heading2"/>
    <w:uiPriority w:val="9"/>
    <w:rsid w:val="002A1499"/>
    <w:rPr>
      <w:b/>
    </w:rPr>
  </w:style>
  <w:style w:type="character" w:customStyle="1" w:styleId="Heading3Char">
    <w:name w:val="Heading 3 Char"/>
    <w:basedOn w:val="DefaultParagraphFont"/>
    <w:link w:val="Heading3"/>
    <w:uiPriority w:val="9"/>
    <w:rsid w:val="00A2547F"/>
    <w:rPr>
      <w:b/>
      <w:i/>
    </w:rPr>
  </w:style>
  <w:style w:type="paragraph" w:customStyle="1" w:styleId="NumberedParagraph">
    <w:name w:val="Numbered Paragraph"/>
    <w:basedOn w:val="Normal"/>
    <w:qFormat/>
    <w:rsid w:val="003113D3"/>
    <w:pPr>
      <w:numPr>
        <w:numId w:val="11"/>
      </w:numPr>
      <w:spacing w:after="200" w:line="240" w:lineRule="auto"/>
    </w:pPr>
    <w:rPr>
      <w:szCs w:val="23"/>
      <w:lang w:eastAsia="en-NZ"/>
    </w:rPr>
  </w:style>
  <w:style w:type="paragraph" w:customStyle="1" w:styleId="BulletedParagraphIndented">
    <w:name w:val="Bulleted Paragraph (Indented)"/>
    <w:basedOn w:val="Normal"/>
    <w:uiPriority w:val="1"/>
    <w:qFormat/>
    <w:rsid w:val="00AB0A89"/>
    <w:pPr>
      <w:numPr>
        <w:numId w:val="13"/>
      </w:numPr>
      <w:spacing w:after="200" w:line="240" w:lineRule="auto"/>
    </w:pPr>
    <w:rPr>
      <w:szCs w:val="23"/>
      <w:lang w:eastAsia="en-NZ"/>
    </w:rPr>
  </w:style>
  <w:style w:type="character" w:customStyle="1" w:styleId="Heading4Char">
    <w:name w:val="Heading 4 Char"/>
    <w:basedOn w:val="DefaultParagraphFont"/>
    <w:link w:val="Heading4"/>
    <w:uiPriority w:val="9"/>
    <w:rsid w:val="002A1499"/>
    <w:rPr>
      <w:i/>
    </w:rPr>
  </w:style>
  <w:style w:type="paragraph" w:styleId="BodyText">
    <w:name w:val="Body Text"/>
    <w:basedOn w:val="Normal"/>
    <w:link w:val="BodyTextChar"/>
    <w:rsid w:val="005C6B70"/>
    <w:pPr>
      <w:spacing w:line="300" w:lineRule="exact"/>
    </w:pPr>
    <w:rPr>
      <w:rFonts w:ascii="Times New Roman" w:eastAsia="Times New Roman" w:hAnsi="Times New Roman" w:cs="Times New Roman"/>
      <w:sz w:val="24"/>
      <w:lang w:eastAsia="en-AU"/>
    </w:rPr>
  </w:style>
  <w:style w:type="character" w:customStyle="1" w:styleId="BodyTextChar">
    <w:name w:val="Body Text Char"/>
    <w:basedOn w:val="DefaultParagraphFont"/>
    <w:link w:val="BodyText"/>
    <w:rsid w:val="005C6B70"/>
    <w:rPr>
      <w:rFonts w:ascii="Times New Roman" w:eastAsia="Times New Roman" w:hAnsi="Times New Roman" w:cs="Times New Roman"/>
      <w:sz w:val="24"/>
      <w:lang w:eastAsia="en-AU"/>
    </w:rPr>
  </w:style>
  <w:style w:type="table" w:styleId="TableGrid">
    <w:name w:val="Table Grid"/>
    <w:basedOn w:val="TableNormal"/>
    <w:rsid w:val="00387AEA"/>
    <w:pPr>
      <w:spacing w:before="60" w:after="60" w:line="240" w:lineRule="auto"/>
    </w:pPr>
    <w:rPr>
      <w:rFonts w:eastAsia="Times New Roman" w:cs="Times New Roman"/>
      <w:sz w:val="18"/>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Recommendation">
    <w:name w:val="Recommendation"/>
    <w:basedOn w:val="Normal"/>
    <w:link w:val="RecommendationChar"/>
    <w:qFormat/>
    <w:rsid w:val="005C6B70"/>
    <w:pPr>
      <w:numPr>
        <w:numId w:val="14"/>
      </w:numPr>
      <w:spacing w:before="60" w:after="120" w:line="240" w:lineRule="auto"/>
      <w:jc w:val="left"/>
    </w:pPr>
    <w:rPr>
      <w:rFonts w:ascii="Arial" w:eastAsia="Times New Roman" w:hAnsi="Arial" w:cs="Arial"/>
      <w:b/>
      <w:sz w:val="22"/>
    </w:rPr>
  </w:style>
  <w:style w:type="character" w:customStyle="1" w:styleId="RecommendationChar">
    <w:name w:val="Recommendation Char"/>
    <w:aliases w:val="List Paragraph Char,List Paragraph1 Char,List Paragraph11 Char,Dot pt Char,F5 List Paragraph Char,No Spacing1 Char,List Paragraph Char Char Char Char,Indicator Text Char,Colorful List - Accent 11 Char,Numbered Para 1 Char"/>
    <w:basedOn w:val="DefaultParagraphFont"/>
    <w:link w:val="Recommendation"/>
    <w:uiPriority w:val="34"/>
    <w:rsid w:val="005C6B70"/>
    <w:rPr>
      <w:rFonts w:ascii="Arial" w:eastAsia="Times New Roman" w:hAnsi="Arial" w:cs="Arial"/>
      <w:b/>
      <w:sz w:val="22"/>
    </w:rPr>
  </w:style>
  <w:style w:type="paragraph" w:customStyle="1" w:styleId="StyleTable-Textindentednumbered">
    <w:name w:val="Style Table - Text (indented + numbered)"/>
    <w:basedOn w:val="Table-Text"/>
    <w:rsid w:val="006222B9"/>
    <w:pPr>
      <w:ind w:left="321" w:hanging="321"/>
    </w:pPr>
    <w:rPr>
      <w:rFonts w:eastAsia="Times New Roman" w:cs="Times New Roman"/>
      <w:sz w:val="18"/>
    </w:rPr>
  </w:style>
  <w:style w:type="paragraph" w:customStyle="1" w:styleId="StyleTable-TextIndented">
    <w:name w:val="Style Table - Text Indented"/>
    <w:basedOn w:val="Table-Text"/>
    <w:rsid w:val="006222B9"/>
    <w:pPr>
      <w:ind w:left="321" w:hanging="321"/>
    </w:pPr>
    <w:rPr>
      <w:rFonts w:eastAsia="Times New Roman" w:cs="Times New Roman"/>
      <w:sz w:val="18"/>
    </w:rPr>
  </w:style>
  <w:style w:type="character" w:styleId="IntenseEmphasis">
    <w:name w:val="Intense Emphasis"/>
    <w:basedOn w:val="DefaultParagraphFont"/>
    <w:uiPriority w:val="21"/>
    <w:qFormat/>
    <w:rsid w:val="008331C2"/>
    <w:rPr>
      <w:b/>
      <w:i/>
      <w:iCs/>
      <w:color w:val="auto"/>
    </w:rPr>
  </w:style>
  <w:style w:type="paragraph" w:customStyle="1" w:styleId="Example-Text">
    <w:name w:val="Example - Text"/>
    <w:basedOn w:val="Normal"/>
    <w:qFormat/>
    <w:rsid w:val="009D3D77"/>
    <w:pPr>
      <w:pBdr>
        <w:top w:val="single" w:sz="4" w:space="10" w:color="auto"/>
        <w:left w:val="single" w:sz="4" w:space="4" w:color="auto"/>
        <w:bottom w:val="single" w:sz="4" w:space="10" w:color="auto"/>
        <w:right w:val="single" w:sz="4" w:space="4" w:color="auto"/>
      </w:pBdr>
      <w:spacing w:after="90"/>
    </w:pPr>
    <w:rPr>
      <w:sz w:val="18"/>
    </w:rPr>
  </w:style>
  <w:style w:type="paragraph" w:customStyle="1" w:styleId="Example-Heading1">
    <w:name w:val="Example - Heading 1"/>
    <w:basedOn w:val="Example-Text"/>
    <w:qFormat/>
    <w:rsid w:val="009D3D77"/>
    <w:pPr>
      <w:spacing w:after="180"/>
    </w:pPr>
    <w:rPr>
      <w:b/>
    </w:rPr>
  </w:style>
  <w:style w:type="paragraph" w:styleId="Caption">
    <w:name w:val="caption"/>
    <w:basedOn w:val="Normal"/>
    <w:next w:val="Normal"/>
    <w:uiPriority w:val="35"/>
    <w:unhideWhenUsed/>
    <w:qFormat/>
    <w:rsid w:val="00425E5D"/>
    <w:pPr>
      <w:spacing w:after="200" w:line="240" w:lineRule="auto"/>
      <w:jc w:val="left"/>
    </w:pPr>
    <w:rPr>
      <w:b/>
      <w:iCs/>
      <w:sz w:val="18"/>
      <w:szCs w:val="18"/>
    </w:rPr>
  </w:style>
  <w:style w:type="paragraph" w:styleId="Header">
    <w:name w:val="header"/>
    <w:basedOn w:val="Normal"/>
    <w:link w:val="HeaderChar"/>
    <w:uiPriority w:val="99"/>
    <w:unhideWhenUsed/>
    <w:rsid w:val="001D0013"/>
    <w:pPr>
      <w:tabs>
        <w:tab w:val="center" w:pos="4513"/>
        <w:tab w:val="right" w:pos="9026"/>
      </w:tabs>
      <w:spacing w:line="240" w:lineRule="auto"/>
    </w:pPr>
    <w:rPr>
      <w:b/>
      <w:sz w:val="16"/>
    </w:rPr>
  </w:style>
  <w:style w:type="character" w:customStyle="1" w:styleId="HeaderChar">
    <w:name w:val="Header Char"/>
    <w:basedOn w:val="DefaultParagraphFont"/>
    <w:link w:val="Header"/>
    <w:uiPriority w:val="99"/>
    <w:rsid w:val="001D0013"/>
    <w:rPr>
      <w:b/>
      <w:sz w:val="16"/>
    </w:rPr>
  </w:style>
  <w:style w:type="paragraph" w:styleId="Footer">
    <w:name w:val="footer"/>
    <w:basedOn w:val="Normal"/>
    <w:link w:val="FooterChar"/>
    <w:uiPriority w:val="99"/>
    <w:unhideWhenUsed/>
    <w:rsid w:val="00E331E1"/>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E331E1"/>
    <w:rPr>
      <w:sz w:val="16"/>
    </w:rPr>
  </w:style>
  <w:style w:type="paragraph" w:styleId="FootnoteText">
    <w:name w:val="footnote text"/>
    <w:basedOn w:val="Normal"/>
    <w:link w:val="FootnoteTextChar"/>
    <w:unhideWhenUsed/>
    <w:rsid w:val="00DD4F04"/>
    <w:pPr>
      <w:spacing w:line="240" w:lineRule="auto"/>
    </w:pPr>
    <w:rPr>
      <w:sz w:val="16"/>
    </w:rPr>
  </w:style>
  <w:style w:type="character" w:customStyle="1" w:styleId="FootnoteTextChar">
    <w:name w:val="Footnote Text Char"/>
    <w:basedOn w:val="DefaultParagraphFont"/>
    <w:link w:val="FootnoteText"/>
    <w:rsid w:val="00DD4F04"/>
    <w:rPr>
      <w:sz w:val="16"/>
    </w:rPr>
  </w:style>
  <w:style w:type="character" w:styleId="FootnoteReference">
    <w:name w:val="footnote reference"/>
    <w:basedOn w:val="DefaultParagraphFont"/>
    <w:uiPriority w:val="99"/>
    <w:semiHidden/>
    <w:unhideWhenUsed/>
    <w:rsid w:val="00DD4F04"/>
    <w:rPr>
      <w:vertAlign w:val="superscript"/>
    </w:rPr>
  </w:style>
  <w:style w:type="paragraph" w:styleId="Quote">
    <w:name w:val="Quote"/>
    <w:basedOn w:val="Normal"/>
    <w:next w:val="Normal"/>
    <w:link w:val="QuoteChar"/>
    <w:uiPriority w:val="29"/>
    <w:qFormat/>
    <w:rsid w:val="00DD4F04"/>
    <w:pPr>
      <w:spacing w:after="200"/>
      <w:ind w:left="851" w:right="851"/>
    </w:pPr>
    <w:rPr>
      <w:iCs/>
    </w:rPr>
  </w:style>
  <w:style w:type="character" w:customStyle="1" w:styleId="QuoteChar">
    <w:name w:val="Quote Char"/>
    <w:basedOn w:val="DefaultParagraphFont"/>
    <w:link w:val="Quote"/>
    <w:uiPriority w:val="29"/>
    <w:rsid w:val="00DD4F04"/>
    <w:rPr>
      <w:iCs/>
    </w:rPr>
  </w:style>
  <w:style w:type="paragraph" w:customStyle="1" w:styleId="Quote-Italics">
    <w:name w:val="Quote - Italics"/>
    <w:basedOn w:val="Quote"/>
    <w:qFormat/>
    <w:rsid w:val="00DD4F04"/>
    <w:rPr>
      <w:i/>
    </w:rPr>
  </w:style>
  <w:style w:type="paragraph" w:customStyle="1" w:styleId="Decision">
    <w:name w:val="Decision"/>
    <w:basedOn w:val="Normal"/>
    <w:rsid w:val="00204CBA"/>
    <w:pPr>
      <w:tabs>
        <w:tab w:val="left" w:pos="5670"/>
      </w:tabs>
      <w:spacing w:after="200"/>
      <w:ind w:left="709"/>
    </w:pPr>
    <w:rPr>
      <w:rFonts w:eastAsia="Times New Roman" w:cs="Times New Roman"/>
    </w:rPr>
  </w:style>
  <w:style w:type="paragraph" w:customStyle="1" w:styleId="Table-Recommendations">
    <w:name w:val="Table - Recommendations"/>
    <w:basedOn w:val="Table-Text"/>
    <w:rsid w:val="00247909"/>
    <w:pPr>
      <w:ind w:left="604" w:hanging="604"/>
    </w:pPr>
    <w:rPr>
      <w:rFonts w:eastAsia="Times New Roman" w:cs="Times New Roman"/>
      <w:sz w:val="18"/>
    </w:rPr>
  </w:style>
  <w:style w:type="paragraph" w:customStyle="1" w:styleId="PAS-Groupname">
    <w:name w:val="PAS - Group name"/>
    <w:basedOn w:val="Normal"/>
    <w:rsid w:val="00B73500"/>
    <w:pPr>
      <w:spacing w:before="240" w:after="480"/>
      <w:jc w:val="center"/>
    </w:pPr>
    <w:rPr>
      <w:rFonts w:eastAsia="Times New Roman" w:cs="Times New Roman"/>
      <w:b/>
      <w:bCs/>
      <w:sz w:val="24"/>
    </w:rPr>
  </w:style>
  <w:style w:type="paragraph" w:customStyle="1" w:styleId="PAS-Groupname-Joint">
    <w:name w:val="PAS - Group name - Joint"/>
    <w:basedOn w:val="Normal"/>
    <w:rsid w:val="003D64BA"/>
    <w:pPr>
      <w:spacing w:before="120" w:after="1200"/>
    </w:pPr>
    <w:rPr>
      <w:rFonts w:eastAsia="Times New Roman" w:cs="Times New Roman"/>
    </w:rPr>
  </w:style>
  <w:style w:type="paragraph" w:customStyle="1" w:styleId="Example-Heading2">
    <w:name w:val="Example - Heading 2"/>
    <w:basedOn w:val="Example-Heading1"/>
    <w:qFormat/>
    <w:rsid w:val="00891517"/>
    <w:pPr>
      <w:spacing w:after="90"/>
    </w:pPr>
    <w:rPr>
      <w:i/>
    </w:rPr>
  </w:style>
  <w:style w:type="paragraph" w:customStyle="1" w:styleId="StyleTable-Heading-Centered">
    <w:name w:val="Style Table - Heading - Centered"/>
    <w:basedOn w:val="Table-Heading"/>
    <w:rsid w:val="00C05FE0"/>
    <w:pPr>
      <w:jc w:val="center"/>
    </w:pPr>
    <w:rPr>
      <w:rFonts w:eastAsia="Times New Roman" w:cs="Times New Roman"/>
      <w:bCs/>
      <w:sz w:val="18"/>
    </w:rPr>
  </w:style>
  <w:style w:type="paragraph" w:customStyle="1" w:styleId="StyleTable-TextRightalignedBold">
    <w:name w:val="Style Table - Text + Right aligned + Bold"/>
    <w:basedOn w:val="Table-Text"/>
    <w:rsid w:val="00C05FE0"/>
    <w:pPr>
      <w:ind w:right="96"/>
      <w:jc w:val="right"/>
    </w:pPr>
    <w:rPr>
      <w:rFonts w:eastAsia="Times New Roman" w:cs="Times New Roman"/>
      <w:b/>
      <w:bCs/>
      <w:sz w:val="18"/>
    </w:rPr>
  </w:style>
  <w:style w:type="paragraph" w:customStyle="1" w:styleId="StyleTable-TextCentered">
    <w:name w:val="Style Table - Text + Centered"/>
    <w:basedOn w:val="Table-Text"/>
    <w:rsid w:val="00C05FE0"/>
    <w:pPr>
      <w:jc w:val="center"/>
    </w:pPr>
    <w:rPr>
      <w:rFonts w:eastAsia="Times New Roman" w:cs="Times New Roman"/>
      <w:sz w:val="18"/>
    </w:rPr>
  </w:style>
  <w:style w:type="character" w:styleId="PlaceholderText">
    <w:name w:val="Placeholder Text"/>
    <w:basedOn w:val="DefaultParagraphFont"/>
    <w:uiPriority w:val="99"/>
    <w:semiHidden/>
    <w:rsid w:val="00DC527B"/>
    <w:rPr>
      <w:color w:val="808080"/>
    </w:rPr>
  </w:style>
  <w:style w:type="character" w:styleId="Hyperlink">
    <w:name w:val="Hyperlink"/>
    <w:basedOn w:val="DefaultParagraphFont"/>
    <w:uiPriority w:val="99"/>
    <w:unhideWhenUsed/>
    <w:rsid w:val="001A59DC"/>
    <w:rPr>
      <w:color w:val="0563C1" w:themeColor="hyperlink"/>
      <w:u w:val="single"/>
    </w:rPr>
  </w:style>
  <w:style w:type="character" w:customStyle="1" w:styleId="UnresolvedMention1">
    <w:name w:val="Unresolved Mention1"/>
    <w:basedOn w:val="DefaultParagraphFont"/>
    <w:uiPriority w:val="99"/>
    <w:semiHidden/>
    <w:unhideWhenUsed/>
    <w:rsid w:val="001A59DC"/>
    <w:rPr>
      <w:color w:val="808080"/>
      <w:shd w:val="clear" w:color="auto" w:fill="E6E6E6"/>
    </w:rPr>
  </w:style>
  <w:style w:type="character" w:customStyle="1" w:styleId="Citation-Title">
    <w:name w:val="Citation - Title"/>
    <w:basedOn w:val="DefaultParagraphFont"/>
    <w:uiPriority w:val="1"/>
    <w:qFormat/>
    <w:rsid w:val="00901BF8"/>
    <w:rPr>
      <w:i/>
    </w:rPr>
  </w:style>
  <w:style w:type="paragraph" w:customStyle="1" w:styleId="Example-Figure">
    <w:name w:val="Example - Figure"/>
    <w:basedOn w:val="Example-Text"/>
    <w:rsid w:val="005C6DE1"/>
    <w:pPr>
      <w:jc w:val="center"/>
    </w:pPr>
    <w:rPr>
      <w:rFonts w:eastAsia="Times New Roman" w:cs="Times New Roman"/>
    </w:rPr>
  </w:style>
  <w:style w:type="paragraph" w:customStyle="1" w:styleId="Report-Title">
    <w:name w:val="Report - Title"/>
    <w:basedOn w:val="ReportCover-Title"/>
    <w:rsid w:val="006742B5"/>
    <w:pPr>
      <w:ind w:left="0" w:firstLine="0"/>
    </w:pPr>
  </w:style>
  <w:style w:type="paragraph" w:styleId="ListParagraph">
    <w:name w:val="List Paragraph"/>
    <w:aliases w:val="List Paragraph1,List Paragraph11,Dot pt,F5 List Paragraph,No Spacing1,List Paragraph Char Char Char,Indicator Text,Colorful List - Accent 11,Numbered Para 1,Bullet 1,Párrafo de lista,List Paragraph2,Rec para"/>
    <w:basedOn w:val="Normal"/>
    <w:uiPriority w:val="34"/>
    <w:qFormat/>
    <w:rsid w:val="004454B2"/>
    <w:pPr>
      <w:spacing w:line="280" w:lineRule="atLeast"/>
      <w:ind w:left="720"/>
      <w:contextualSpacing/>
      <w:jc w:val="left"/>
    </w:pPr>
    <w:rPr>
      <w:rFonts w:ascii="Arial" w:hAnsi="Arial" w:cs="Arial"/>
    </w:rPr>
  </w:style>
  <w:style w:type="paragraph" w:styleId="CommentSubject">
    <w:name w:val="annotation subject"/>
    <w:basedOn w:val="CommentText"/>
    <w:next w:val="CommentText"/>
    <w:link w:val="CommentSubjectChar"/>
    <w:uiPriority w:val="99"/>
    <w:semiHidden/>
    <w:unhideWhenUsed/>
    <w:rsid w:val="00D07B4A"/>
    <w:pPr>
      <w:spacing w:line="240" w:lineRule="auto"/>
    </w:pPr>
    <w:rPr>
      <w:rFonts w:ascii="Verdana" w:eastAsiaTheme="minorHAnsi" w:hAnsi="Verdana" w:cstheme="minorBidi"/>
      <w:b/>
      <w:bCs/>
      <w:lang w:eastAsia="en-US"/>
    </w:rPr>
  </w:style>
  <w:style w:type="character" w:customStyle="1" w:styleId="CommentSubjectChar">
    <w:name w:val="Comment Subject Char"/>
    <w:basedOn w:val="CommentTextChar"/>
    <w:link w:val="CommentSubject"/>
    <w:uiPriority w:val="99"/>
    <w:semiHidden/>
    <w:rsid w:val="00D07B4A"/>
    <w:rPr>
      <w:rFonts w:ascii="Times New Roman" w:eastAsia="Times New Roman" w:hAnsi="Times New Roman" w:cs="Times New Roman"/>
      <w:b/>
      <w:bCs/>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430510">
      <w:bodyDiv w:val="1"/>
      <w:marLeft w:val="0"/>
      <w:marRight w:val="0"/>
      <w:marTop w:val="0"/>
      <w:marBottom w:val="0"/>
      <w:divBdr>
        <w:top w:val="none" w:sz="0" w:space="0" w:color="auto"/>
        <w:left w:val="none" w:sz="0" w:space="0" w:color="auto"/>
        <w:bottom w:val="none" w:sz="0" w:space="0" w:color="auto"/>
        <w:right w:val="none" w:sz="0" w:space="0" w:color="auto"/>
      </w:divBdr>
    </w:div>
    <w:div w:id="872351631">
      <w:bodyDiv w:val="1"/>
      <w:marLeft w:val="0"/>
      <w:marRight w:val="0"/>
      <w:marTop w:val="0"/>
      <w:marBottom w:val="0"/>
      <w:divBdr>
        <w:top w:val="none" w:sz="0" w:space="0" w:color="auto"/>
        <w:left w:val="none" w:sz="0" w:space="0" w:color="auto"/>
        <w:bottom w:val="none" w:sz="0" w:space="0" w:color="auto"/>
        <w:right w:val="none" w:sz="0" w:space="0" w:color="auto"/>
      </w:divBdr>
    </w:div>
    <w:div w:id="1847746326">
      <w:bodyDiv w:val="1"/>
      <w:marLeft w:val="0"/>
      <w:marRight w:val="0"/>
      <w:marTop w:val="0"/>
      <w:marBottom w:val="0"/>
      <w:divBdr>
        <w:top w:val="none" w:sz="0" w:space="0" w:color="auto"/>
        <w:left w:val="none" w:sz="0" w:space="0" w:color="auto"/>
        <w:bottom w:val="none" w:sz="0" w:space="0" w:color="auto"/>
        <w:right w:val="none" w:sz="0" w:space="0" w:color="auto"/>
      </w:divBdr>
    </w:div>
    <w:div w:id="192367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50A042F21C446A9CF448BDAA43940D"/>
        <w:category>
          <w:name w:val="General"/>
          <w:gallery w:val="placeholder"/>
        </w:category>
        <w:types>
          <w:type w:val="bbPlcHdr"/>
        </w:types>
        <w:behaviors>
          <w:behavior w:val="content"/>
        </w:behaviors>
        <w:guid w:val="{C170CCF2-AA1A-439F-A713-FC0B927E02E6}"/>
      </w:docPartPr>
      <w:docPartBody>
        <w:p w:rsidR="00E115D4" w:rsidRDefault="00E115D4">
          <w:pPr>
            <w:pStyle w:val="1B50A042F21C446A9CF448BDAA43940D"/>
          </w:pPr>
          <w:r w:rsidRPr="00733356">
            <w:rPr>
              <w:rStyle w:val="PlaceholderText"/>
            </w:rPr>
            <w:t>[</w:t>
          </w:r>
          <w:r>
            <w:rPr>
              <w:rStyle w:val="PlaceholderText"/>
            </w:rPr>
            <w:t>Choose a report priority</w:t>
          </w:r>
          <w:r w:rsidRPr="00733356">
            <w:rPr>
              <w:rStyle w:val="PlaceholderText"/>
            </w:rPr>
            <w:t>]</w:t>
          </w:r>
        </w:p>
      </w:docPartBody>
    </w:docPart>
    <w:docPart>
      <w:docPartPr>
        <w:name w:val="C2743B0DB0DD4D8A8E60CB7CF5FAD9FE"/>
        <w:category>
          <w:name w:val="General"/>
          <w:gallery w:val="placeholder"/>
        </w:category>
        <w:types>
          <w:type w:val="bbPlcHdr"/>
        </w:types>
        <w:behaviors>
          <w:behavior w:val="content"/>
        </w:behaviors>
        <w:guid w:val="{54A9B531-B007-4EC7-944D-32FB704254D8}"/>
      </w:docPartPr>
      <w:docPartBody>
        <w:p w:rsidR="00E115D4" w:rsidRDefault="00E115D4">
          <w:pPr>
            <w:pStyle w:val="C2743B0DB0DD4D8A8E60CB7CF5FAD9FE"/>
          </w:pPr>
          <w:r w:rsidRPr="00733356">
            <w:rPr>
              <w:rStyle w:val="PlaceholderText"/>
            </w:rPr>
            <w:t>[</w:t>
          </w:r>
          <w:r>
            <w:rPr>
              <w:rStyle w:val="PlaceholderText"/>
            </w:rPr>
            <w:t>Choose</w:t>
          </w:r>
          <w:r w:rsidRPr="00733356">
            <w:rPr>
              <w:rStyle w:val="PlaceholderText"/>
            </w:rPr>
            <w:t xml:space="preserve"> </w:t>
          </w:r>
          <w:r>
            <w:rPr>
              <w:rStyle w:val="PlaceholderText"/>
            </w:rPr>
            <w:t xml:space="preserve">a </w:t>
          </w:r>
          <w:r w:rsidRPr="00733356">
            <w:rPr>
              <w:rStyle w:val="PlaceholderText"/>
            </w:rPr>
            <w:t xml:space="preserve">security classification </w:t>
          </w:r>
          <w:r>
            <w:rPr>
              <w:rStyle w:val="PlaceholderText"/>
              <w:rFonts w:ascii="Times New Roman" w:hAnsi="Times New Roman" w:cs="Times New Roman"/>
            </w:rPr>
            <w:t>–</w:t>
          </w:r>
          <w:r w:rsidRPr="00733356">
            <w:rPr>
              <w:rStyle w:val="PlaceholderText"/>
            </w:rPr>
            <w:t xml:space="preserve"> minimum of In Confidence]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5D4"/>
    <w:rsid w:val="000443B8"/>
    <w:rsid w:val="001B6CD8"/>
    <w:rsid w:val="001C6E81"/>
    <w:rsid w:val="00607DB3"/>
    <w:rsid w:val="006142BE"/>
    <w:rsid w:val="00655EB1"/>
    <w:rsid w:val="00745F75"/>
    <w:rsid w:val="009B4DF4"/>
    <w:rsid w:val="009E1ADE"/>
    <w:rsid w:val="00AF6AF5"/>
    <w:rsid w:val="00BB7709"/>
    <w:rsid w:val="00C14A8C"/>
    <w:rsid w:val="00CB5C02"/>
    <w:rsid w:val="00CC0E59"/>
    <w:rsid w:val="00E115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B50A042F21C446A9CF448BDAA43940D">
    <w:name w:val="1B50A042F21C446A9CF448BDAA43940D"/>
  </w:style>
  <w:style w:type="paragraph" w:customStyle="1" w:styleId="680B583978C949BFB818CF215BB6CBEB">
    <w:name w:val="680B583978C949BFB818CF215BB6CBEB"/>
  </w:style>
  <w:style w:type="paragraph" w:customStyle="1" w:styleId="C2743B0DB0DD4D8A8E60CB7CF5FAD9FE">
    <w:name w:val="C2743B0DB0DD4D8A8E60CB7CF5FAD9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11E1E-DC87-4BCA-A700-C7B21DB9D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3646</Words>
  <Characters>20787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IR2018/801|T2018/3710 - Tax policy report: Options for taxing the digital economy (13 December 2018)</vt:lpstr>
    </vt:vector>
  </TitlesOfParts>
  <Company/>
  <LinksUpToDate>false</LinksUpToDate>
  <CharactersWithSpaces>24385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IR2018/801|T2018/3710 - Tax policy report: Options for taxing the digital economy (13 December 2018)</dc:title>
  <dc:subject/>
  <dc:creator>Inland Revenue + Treasury</dc:creator>
  <cp:keywords/>
  <dc:description/>
  <dcterms:created xsi:type="dcterms:W3CDTF">2019-07-20T05:13:00Z</dcterms:created>
  <dcterms:modified xsi:type="dcterms:W3CDTF">2019-07-20T05:27:00Z</dcterms:modified>
</cp:coreProperties>
</file>