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167" w:rsidRPr="00D03A70" w:rsidRDefault="00E73167" w:rsidP="002E1F16">
      <w:bookmarkStart w:id="0" w:name="_Toc135445744"/>
      <w:bookmarkStart w:id="1" w:name="_GoBack"/>
      <w:bookmarkEnd w:id="1"/>
      <w:r w:rsidRPr="00D03A70">
        <w:t>August 2018</w:t>
      </w:r>
    </w:p>
    <w:p w:rsidR="00E73167" w:rsidRPr="00457806" w:rsidRDefault="00E73167" w:rsidP="00457806"/>
    <w:p w:rsidR="00E73167" w:rsidRPr="00457806" w:rsidRDefault="00E73167" w:rsidP="00457806">
      <w:pPr>
        <w:jc w:val="left"/>
        <w:rPr>
          <w:sz w:val="28"/>
          <w:szCs w:val="28"/>
        </w:rPr>
      </w:pPr>
      <w:r w:rsidRPr="00457806">
        <w:rPr>
          <w:rStyle w:val="Title-Documenttype"/>
        </w:rPr>
        <w:t>A special report from</w:t>
      </w:r>
      <w:r w:rsidR="00414D65" w:rsidRPr="00457806">
        <w:rPr>
          <w:sz w:val="28"/>
          <w:szCs w:val="28"/>
        </w:rPr>
        <w:br/>
      </w:r>
      <w:r w:rsidRPr="00457806">
        <w:rPr>
          <w:sz w:val="28"/>
          <w:szCs w:val="28"/>
        </w:rPr>
        <w:t>Policy and Strategy, Inland Revenue</w:t>
      </w:r>
    </w:p>
    <w:p w:rsidR="00E73167" w:rsidRPr="00457806" w:rsidRDefault="00E73167" w:rsidP="00457806"/>
    <w:p w:rsidR="00E73167" w:rsidRPr="00457806" w:rsidRDefault="00E73167" w:rsidP="00457806"/>
    <w:p w:rsidR="00E905BA" w:rsidRPr="00D03A70" w:rsidRDefault="00E370DD" w:rsidP="00E905BA">
      <w:pPr>
        <w:pStyle w:val="Title-Specialreport"/>
      </w:pPr>
      <w:r w:rsidRPr="00D03A70">
        <w:t xml:space="preserve">Transfer </w:t>
      </w:r>
      <w:r w:rsidR="00124237">
        <w:t>p</w:t>
      </w:r>
      <w:r w:rsidRPr="00D03A70">
        <w:t xml:space="preserve">ricing </w:t>
      </w:r>
      <w:r w:rsidR="00124237">
        <w:t>r</w:t>
      </w:r>
      <w:r w:rsidRPr="00D03A70">
        <w:t>ules</w:t>
      </w:r>
    </w:p>
    <w:bookmarkEnd w:id="0"/>
    <w:p w:rsidR="002279EB" w:rsidRPr="00D03A70" w:rsidRDefault="002279EB" w:rsidP="002E1F16"/>
    <w:p w:rsidR="00E370DD" w:rsidRPr="00D03A70" w:rsidRDefault="00260630" w:rsidP="00414D65">
      <w:pPr>
        <w:pStyle w:val="Section"/>
      </w:pPr>
      <w:r w:rsidRPr="00D03A70">
        <w:t xml:space="preserve">Sections GC 6 </w:t>
      </w:r>
      <w:r w:rsidR="005934AB" w:rsidRPr="00D03A70">
        <w:t>to</w:t>
      </w:r>
      <w:r w:rsidRPr="00D03A70">
        <w:t xml:space="preserve"> GC 13</w:t>
      </w:r>
      <w:r w:rsidR="00E73167" w:rsidRPr="00D03A70">
        <w:t xml:space="preserve"> of the Income Tax Act 2007</w:t>
      </w:r>
    </w:p>
    <w:p w:rsidR="00E370DD" w:rsidRDefault="00E370DD" w:rsidP="00E370DD">
      <w:pPr>
        <w:rPr>
          <w:szCs w:val="20"/>
          <w:lang w:eastAsia="en-AU"/>
        </w:rPr>
      </w:pPr>
    </w:p>
    <w:sdt>
      <w:sdtPr>
        <w:rPr>
          <w:noProof w:val="0"/>
        </w:rPr>
        <w:id w:val="803277865"/>
        <w:docPartObj>
          <w:docPartGallery w:val="Table of Contents"/>
          <w:docPartUnique/>
        </w:docPartObj>
      </w:sdtPr>
      <w:sdtEndPr>
        <w:rPr>
          <w:b/>
          <w:bCs/>
        </w:rPr>
      </w:sdtEndPr>
      <w:sdtContent>
        <w:p w:rsidR="00851E49" w:rsidRDefault="00432EB6">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522633836" w:history="1">
            <w:r w:rsidR="00851E49" w:rsidRPr="003D68B3">
              <w:rPr>
                <w:rStyle w:val="Hyperlink"/>
              </w:rPr>
              <w:t>Summary of amendments</w:t>
            </w:r>
            <w:r w:rsidR="00851E49">
              <w:rPr>
                <w:webHidden/>
              </w:rPr>
              <w:tab/>
            </w:r>
            <w:r w:rsidR="00851E49">
              <w:rPr>
                <w:webHidden/>
              </w:rPr>
              <w:fldChar w:fldCharType="begin"/>
            </w:r>
            <w:r w:rsidR="00851E49">
              <w:rPr>
                <w:webHidden/>
              </w:rPr>
              <w:instrText xml:space="preserve"> PAGEREF _Toc522633836 \h </w:instrText>
            </w:r>
            <w:r w:rsidR="00851E49">
              <w:rPr>
                <w:webHidden/>
              </w:rPr>
            </w:r>
            <w:r w:rsidR="00851E49">
              <w:rPr>
                <w:webHidden/>
              </w:rPr>
              <w:fldChar w:fldCharType="separate"/>
            </w:r>
            <w:r w:rsidR="00D60737">
              <w:rPr>
                <w:webHidden/>
              </w:rPr>
              <w:t>1</w:t>
            </w:r>
            <w:r w:rsidR="00851E49">
              <w:rPr>
                <w:webHidden/>
              </w:rPr>
              <w:fldChar w:fldCharType="end"/>
            </w:r>
          </w:hyperlink>
        </w:p>
        <w:p w:rsidR="00851E49" w:rsidRDefault="00CE6C1E">
          <w:pPr>
            <w:pStyle w:val="TOC1"/>
            <w:rPr>
              <w:rFonts w:asciiTheme="minorHAnsi" w:eastAsiaTheme="minorEastAsia" w:hAnsiTheme="minorHAnsi" w:cstheme="minorBidi"/>
              <w:sz w:val="22"/>
              <w:szCs w:val="22"/>
            </w:rPr>
          </w:pPr>
          <w:hyperlink w:anchor="_Toc522633837" w:history="1">
            <w:r w:rsidR="00851E49" w:rsidRPr="003D68B3">
              <w:rPr>
                <w:rStyle w:val="Hyperlink"/>
              </w:rPr>
              <w:t>Application date</w:t>
            </w:r>
            <w:r w:rsidR="00851E49">
              <w:rPr>
                <w:webHidden/>
              </w:rPr>
              <w:tab/>
            </w:r>
            <w:r w:rsidR="00851E49">
              <w:rPr>
                <w:webHidden/>
              </w:rPr>
              <w:fldChar w:fldCharType="begin"/>
            </w:r>
            <w:r w:rsidR="00851E49">
              <w:rPr>
                <w:webHidden/>
              </w:rPr>
              <w:instrText xml:space="preserve"> PAGEREF _Toc522633837 \h </w:instrText>
            </w:r>
            <w:r w:rsidR="00851E49">
              <w:rPr>
                <w:webHidden/>
              </w:rPr>
            </w:r>
            <w:r w:rsidR="00851E49">
              <w:rPr>
                <w:webHidden/>
              </w:rPr>
              <w:fldChar w:fldCharType="separate"/>
            </w:r>
            <w:r w:rsidR="00D60737">
              <w:rPr>
                <w:webHidden/>
              </w:rPr>
              <w:t>1</w:t>
            </w:r>
            <w:r w:rsidR="00851E49">
              <w:rPr>
                <w:webHidden/>
              </w:rPr>
              <w:fldChar w:fldCharType="end"/>
            </w:r>
          </w:hyperlink>
        </w:p>
        <w:p w:rsidR="00851E49" w:rsidRDefault="00CE6C1E">
          <w:pPr>
            <w:pStyle w:val="TOC1"/>
            <w:rPr>
              <w:rFonts w:asciiTheme="minorHAnsi" w:eastAsiaTheme="minorEastAsia" w:hAnsiTheme="minorHAnsi" w:cstheme="minorBidi"/>
              <w:sz w:val="22"/>
              <w:szCs w:val="22"/>
            </w:rPr>
          </w:pPr>
          <w:hyperlink w:anchor="_Toc522633838" w:history="1">
            <w:r w:rsidR="00851E49" w:rsidRPr="003D68B3">
              <w:rPr>
                <w:rStyle w:val="Hyperlink"/>
              </w:rPr>
              <w:t>Key features</w:t>
            </w:r>
            <w:r w:rsidR="00851E49">
              <w:rPr>
                <w:webHidden/>
              </w:rPr>
              <w:tab/>
            </w:r>
            <w:r w:rsidR="00851E49">
              <w:rPr>
                <w:webHidden/>
              </w:rPr>
              <w:fldChar w:fldCharType="begin"/>
            </w:r>
            <w:r w:rsidR="00851E49">
              <w:rPr>
                <w:webHidden/>
              </w:rPr>
              <w:instrText xml:space="preserve"> PAGEREF _Toc522633838 \h </w:instrText>
            </w:r>
            <w:r w:rsidR="00851E49">
              <w:rPr>
                <w:webHidden/>
              </w:rPr>
            </w:r>
            <w:r w:rsidR="00851E49">
              <w:rPr>
                <w:webHidden/>
              </w:rPr>
              <w:fldChar w:fldCharType="separate"/>
            </w:r>
            <w:r w:rsidR="00D60737">
              <w:rPr>
                <w:webHidden/>
              </w:rPr>
              <w:t>2</w:t>
            </w:r>
            <w:r w:rsidR="00851E49">
              <w:rPr>
                <w:webHidden/>
              </w:rPr>
              <w:fldChar w:fldCharType="end"/>
            </w:r>
          </w:hyperlink>
        </w:p>
        <w:p w:rsidR="00851E49" w:rsidRDefault="00CE6C1E">
          <w:pPr>
            <w:pStyle w:val="TOC1"/>
            <w:rPr>
              <w:rFonts w:asciiTheme="minorHAnsi" w:eastAsiaTheme="minorEastAsia" w:hAnsiTheme="minorHAnsi" w:cstheme="minorBidi"/>
              <w:sz w:val="22"/>
              <w:szCs w:val="22"/>
            </w:rPr>
          </w:pPr>
          <w:hyperlink w:anchor="_Toc522633839" w:history="1">
            <w:r w:rsidR="00851E49" w:rsidRPr="003D68B3">
              <w:rPr>
                <w:rStyle w:val="Hyperlink"/>
              </w:rPr>
              <w:t>Background</w:t>
            </w:r>
            <w:r w:rsidR="00851E49">
              <w:rPr>
                <w:webHidden/>
              </w:rPr>
              <w:tab/>
            </w:r>
            <w:r w:rsidR="00851E49">
              <w:rPr>
                <w:webHidden/>
              </w:rPr>
              <w:fldChar w:fldCharType="begin"/>
            </w:r>
            <w:r w:rsidR="00851E49">
              <w:rPr>
                <w:webHidden/>
              </w:rPr>
              <w:instrText xml:space="preserve"> PAGEREF _Toc522633839 \h </w:instrText>
            </w:r>
            <w:r w:rsidR="00851E49">
              <w:rPr>
                <w:webHidden/>
              </w:rPr>
            </w:r>
            <w:r w:rsidR="00851E49">
              <w:rPr>
                <w:webHidden/>
              </w:rPr>
              <w:fldChar w:fldCharType="separate"/>
            </w:r>
            <w:r w:rsidR="00D60737">
              <w:rPr>
                <w:webHidden/>
              </w:rPr>
              <w:t>2</w:t>
            </w:r>
            <w:r w:rsidR="00851E49">
              <w:rPr>
                <w:webHidden/>
              </w:rPr>
              <w:fldChar w:fldCharType="end"/>
            </w:r>
          </w:hyperlink>
        </w:p>
        <w:p w:rsidR="00851E49" w:rsidRDefault="00CE6C1E">
          <w:pPr>
            <w:pStyle w:val="TOC1"/>
            <w:rPr>
              <w:rFonts w:asciiTheme="minorHAnsi" w:eastAsiaTheme="minorEastAsia" w:hAnsiTheme="minorHAnsi" w:cstheme="minorBidi"/>
              <w:sz w:val="22"/>
              <w:szCs w:val="22"/>
            </w:rPr>
          </w:pPr>
          <w:hyperlink w:anchor="_Toc522633840" w:history="1">
            <w:r w:rsidR="00851E49" w:rsidRPr="003D68B3">
              <w:rPr>
                <w:rStyle w:val="Hyperlink"/>
              </w:rPr>
              <w:t>Detailed analysis</w:t>
            </w:r>
            <w:r w:rsidR="00851E49">
              <w:rPr>
                <w:webHidden/>
              </w:rPr>
              <w:tab/>
            </w:r>
            <w:r w:rsidR="00851E49">
              <w:rPr>
                <w:webHidden/>
              </w:rPr>
              <w:fldChar w:fldCharType="begin"/>
            </w:r>
            <w:r w:rsidR="00851E49">
              <w:rPr>
                <w:webHidden/>
              </w:rPr>
              <w:instrText xml:space="preserve"> PAGEREF _Toc522633840 \h </w:instrText>
            </w:r>
            <w:r w:rsidR="00851E49">
              <w:rPr>
                <w:webHidden/>
              </w:rPr>
            </w:r>
            <w:r w:rsidR="00851E49">
              <w:rPr>
                <w:webHidden/>
              </w:rPr>
              <w:fldChar w:fldCharType="separate"/>
            </w:r>
            <w:r w:rsidR="00D60737">
              <w:rPr>
                <w:webHidden/>
              </w:rPr>
              <w:t>3</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1" w:history="1">
            <w:r w:rsidR="00851E49" w:rsidRPr="003D68B3">
              <w:rPr>
                <w:rStyle w:val="Hyperlink"/>
              </w:rPr>
              <w:t>GC 6(1): Purpose of the transfer pricing rules</w:t>
            </w:r>
            <w:r w:rsidR="00851E49">
              <w:rPr>
                <w:webHidden/>
              </w:rPr>
              <w:tab/>
            </w:r>
            <w:r w:rsidR="00851E49">
              <w:rPr>
                <w:webHidden/>
              </w:rPr>
              <w:fldChar w:fldCharType="begin"/>
            </w:r>
            <w:r w:rsidR="00851E49">
              <w:rPr>
                <w:webHidden/>
              </w:rPr>
              <w:instrText xml:space="preserve"> PAGEREF _Toc522633841 \h </w:instrText>
            </w:r>
            <w:r w:rsidR="00851E49">
              <w:rPr>
                <w:webHidden/>
              </w:rPr>
            </w:r>
            <w:r w:rsidR="00851E49">
              <w:rPr>
                <w:webHidden/>
              </w:rPr>
              <w:fldChar w:fldCharType="separate"/>
            </w:r>
            <w:r w:rsidR="00D60737">
              <w:rPr>
                <w:webHidden/>
              </w:rPr>
              <w:t>3</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2" w:history="1">
            <w:r w:rsidR="00851E49" w:rsidRPr="003D68B3">
              <w:rPr>
                <w:rStyle w:val="Hyperlink"/>
              </w:rPr>
              <w:t>GC 6(1B): Applying the OECD transfer pricing guidelines</w:t>
            </w:r>
            <w:r w:rsidR="00851E49">
              <w:rPr>
                <w:webHidden/>
              </w:rPr>
              <w:tab/>
            </w:r>
            <w:r w:rsidR="00851E49">
              <w:rPr>
                <w:webHidden/>
              </w:rPr>
              <w:fldChar w:fldCharType="begin"/>
            </w:r>
            <w:r w:rsidR="00851E49">
              <w:rPr>
                <w:webHidden/>
              </w:rPr>
              <w:instrText xml:space="preserve"> PAGEREF _Toc522633842 \h </w:instrText>
            </w:r>
            <w:r w:rsidR="00851E49">
              <w:rPr>
                <w:webHidden/>
              </w:rPr>
            </w:r>
            <w:r w:rsidR="00851E49">
              <w:rPr>
                <w:webHidden/>
              </w:rPr>
              <w:fldChar w:fldCharType="separate"/>
            </w:r>
            <w:r w:rsidR="00D60737">
              <w:rPr>
                <w:webHidden/>
              </w:rPr>
              <w:t>4</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3" w:history="1">
            <w:r w:rsidR="00851E49" w:rsidRPr="003D68B3">
              <w:rPr>
                <w:rStyle w:val="Hyperlink"/>
              </w:rPr>
              <w:t>GC 6(2)(b): Defining the related party arr</w:t>
            </w:r>
            <w:r w:rsidR="00851E49">
              <w:rPr>
                <w:rStyle w:val="Hyperlink"/>
              </w:rPr>
              <w:t>angements to which the transfer</w:t>
            </w:r>
            <w:r w:rsidR="00851E49">
              <w:rPr>
                <w:rStyle w:val="Hyperlink"/>
              </w:rPr>
              <w:br/>
            </w:r>
            <w:r w:rsidR="00851E49" w:rsidRPr="003D68B3">
              <w:rPr>
                <w:rStyle w:val="Hyperlink"/>
              </w:rPr>
              <w:t>pricing rules apply</w:t>
            </w:r>
            <w:r w:rsidR="00851E49">
              <w:rPr>
                <w:webHidden/>
              </w:rPr>
              <w:tab/>
            </w:r>
            <w:r w:rsidR="00851E49">
              <w:rPr>
                <w:webHidden/>
              </w:rPr>
              <w:fldChar w:fldCharType="begin"/>
            </w:r>
            <w:r w:rsidR="00851E49">
              <w:rPr>
                <w:webHidden/>
              </w:rPr>
              <w:instrText xml:space="preserve"> PAGEREF _Toc522633843 \h </w:instrText>
            </w:r>
            <w:r w:rsidR="00851E49">
              <w:rPr>
                <w:webHidden/>
              </w:rPr>
            </w:r>
            <w:r w:rsidR="00851E49">
              <w:rPr>
                <w:webHidden/>
              </w:rPr>
              <w:fldChar w:fldCharType="separate"/>
            </w:r>
            <w:r w:rsidR="00D60737">
              <w:rPr>
                <w:webHidden/>
              </w:rPr>
              <w:t>5</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4" w:history="1">
            <w:r w:rsidR="00851E49" w:rsidRPr="003D68B3">
              <w:rPr>
                <w:rStyle w:val="Hyperlink"/>
              </w:rPr>
              <w:t>GC 7 to GC 12</w:t>
            </w:r>
            <w:r w:rsidR="00851E49">
              <w:rPr>
                <w:webHidden/>
              </w:rPr>
              <w:tab/>
            </w:r>
            <w:r w:rsidR="00851E49">
              <w:rPr>
                <w:webHidden/>
              </w:rPr>
              <w:fldChar w:fldCharType="begin"/>
            </w:r>
            <w:r w:rsidR="00851E49">
              <w:rPr>
                <w:webHidden/>
              </w:rPr>
              <w:instrText xml:space="preserve"> PAGEREF _Toc522633844 \h </w:instrText>
            </w:r>
            <w:r w:rsidR="00851E49">
              <w:rPr>
                <w:webHidden/>
              </w:rPr>
            </w:r>
            <w:r w:rsidR="00851E49">
              <w:rPr>
                <w:webHidden/>
              </w:rPr>
              <w:fldChar w:fldCharType="separate"/>
            </w:r>
            <w:r w:rsidR="00D60737">
              <w:rPr>
                <w:webHidden/>
              </w:rPr>
              <w:t>7</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5" w:history="1">
            <w:r w:rsidR="00851E49" w:rsidRPr="003D68B3">
              <w:rPr>
                <w:rStyle w:val="Hyperlink"/>
              </w:rPr>
              <w:t>GC 13(1): Determining arm’s length amounts</w:t>
            </w:r>
            <w:r w:rsidR="00851E49">
              <w:rPr>
                <w:webHidden/>
              </w:rPr>
              <w:tab/>
            </w:r>
            <w:r w:rsidR="00851E49">
              <w:rPr>
                <w:webHidden/>
              </w:rPr>
              <w:fldChar w:fldCharType="begin"/>
            </w:r>
            <w:r w:rsidR="00851E49">
              <w:rPr>
                <w:webHidden/>
              </w:rPr>
              <w:instrText xml:space="preserve"> PAGEREF _Toc522633845 \h </w:instrText>
            </w:r>
            <w:r w:rsidR="00851E49">
              <w:rPr>
                <w:webHidden/>
              </w:rPr>
            </w:r>
            <w:r w:rsidR="00851E49">
              <w:rPr>
                <w:webHidden/>
              </w:rPr>
              <w:fldChar w:fldCharType="separate"/>
            </w:r>
            <w:r w:rsidR="00D60737">
              <w:rPr>
                <w:webHidden/>
              </w:rPr>
              <w:t>7</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6" w:history="1">
            <w:r w:rsidR="00851E49" w:rsidRPr="003D68B3">
              <w:rPr>
                <w:rStyle w:val="Hyperlink"/>
              </w:rPr>
              <w:t>GC 13(1)(b): Arm’s length conditions</w:t>
            </w:r>
            <w:r w:rsidR="00851E49">
              <w:rPr>
                <w:webHidden/>
              </w:rPr>
              <w:tab/>
            </w:r>
            <w:r w:rsidR="00851E49">
              <w:rPr>
                <w:webHidden/>
              </w:rPr>
              <w:fldChar w:fldCharType="begin"/>
            </w:r>
            <w:r w:rsidR="00851E49">
              <w:rPr>
                <w:webHidden/>
              </w:rPr>
              <w:instrText xml:space="preserve"> PAGEREF _Toc522633846 \h </w:instrText>
            </w:r>
            <w:r w:rsidR="00851E49">
              <w:rPr>
                <w:webHidden/>
              </w:rPr>
            </w:r>
            <w:r w:rsidR="00851E49">
              <w:rPr>
                <w:webHidden/>
              </w:rPr>
              <w:fldChar w:fldCharType="separate"/>
            </w:r>
            <w:r w:rsidR="00D60737">
              <w:rPr>
                <w:webHidden/>
              </w:rPr>
              <w:t>8</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7" w:history="1">
            <w:r w:rsidR="00851E49" w:rsidRPr="003D68B3">
              <w:rPr>
                <w:rStyle w:val="Hyperlink"/>
              </w:rPr>
              <w:t>GC 13(1B): Determination of identified transaction</w:t>
            </w:r>
            <w:r w:rsidR="00851E49">
              <w:rPr>
                <w:webHidden/>
              </w:rPr>
              <w:tab/>
            </w:r>
            <w:r w:rsidR="00851E49">
              <w:rPr>
                <w:webHidden/>
              </w:rPr>
              <w:fldChar w:fldCharType="begin"/>
            </w:r>
            <w:r w:rsidR="00851E49">
              <w:rPr>
                <w:webHidden/>
              </w:rPr>
              <w:instrText xml:space="preserve"> PAGEREF _Toc522633847 \h </w:instrText>
            </w:r>
            <w:r w:rsidR="00851E49">
              <w:rPr>
                <w:webHidden/>
              </w:rPr>
            </w:r>
            <w:r w:rsidR="00851E49">
              <w:rPr>
                <w:webHidden/>
              </w:rPr>
              <w:fldChar w:fldCharType="separate"/>
            </w:r>
            <w:r w:rsidR="00D60737">
              <w:rPr>
                <w:webHidden/>
              </w:rPr>
              <w:t>9</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8" w:history="1">
            <w:r w:rsidR="00851E49" w:rsidRPr="003D68B3">
              <w:rPr>
                <w:rStyle w:val="Hyperlink"/>
              </w:rPr>
              <w:t>GC 13(1C): No transaction or differing transaction</w:t>
            </w:r>
            <w:r w:rsidR="00851E49">
              <w:rPr>
                <w:webHidden/>
              </w:rPr>
              <w:tab/>
            </w:r>
            <w:r w:rsidR="00851E49">
              <w:rPr>
                <w:webHidden/>
              </w:rPr>
              <w:fldChar w:fldCharType="begin"/>
            </w:r>
            <w:r w:rsidR="00851E49">
              <w:rPr>
                <w:webHidden/>
              </w:rPr>
              <w:instrText xml:space="preserve"> PAGEREF _Toc522633848 \h </w:instrText>
            </w:r>
            <w:r w:rsidR="00851E49">
              <w:rPr>
                <w:webHidden/>
              </w:rPr>
            </w:r>
            <w:r w:rsidR="00851E49">
              <w:rPr>
                <w:webHidden/>
              </w:rPr>
              <w:fldChar w:fldCharType="separate"/>
            </w:r>
            <w:r w:rsidR="00D60737">
              <w:rPr>
                <w:webHidden/>
              </w:rPr>
              <w:t>10</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49" w:history="1">
            <w:r w:rsidR="00851E49" w:rsidRPr="003D68B3">
              <w:rPr>
                <w:rStyle w:val="Hyperlink"/>
              </w:rPr>
              <w:t>GC 13(2): Approved transfer pricing methods</w:t>
            </w:r>
            <w:r w:rsidR="00851E49">
              <w:rPr>
                <w:webHidden/>
              </w:rPr>
              <w:tab/>
            </w:r>
            <w:r w:rsidR="00851E49">
              <w:rPr>
                <w:webHidden/>
              </w:rPr>
              <w:fldChar w:fldCharType="begin"/>
            </w:r>
            <w:r w:rsidR="00851E49">
              <w:rPr>
                <w:webHidden/>
              </w:rPr>
              <w:instrText xml:space="preserve"> PAGEREF _Toc522633849 \h </w:instrText>
            </w:r>
            <w:r w:rsidR="00851E49">
              <w:rPr>
                <w:webHidden/>
              </w:rPr>
            </w:r>
            <w:r w:rsidR="00851E49">
              <w:rPr>
                <w:webHidden/>
              </w:rPr>
              <w:fldChar w:fldCharType="separate"/>
            </w:r>
            <w:r w:rsidR="00D60737">
              <w:rPr>
                <w:webHidden/>
              </w:rPr>
              <w:t>11</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50" w:history="1">
            <w:r w:rsidR="00851E49" w:rsidRPr="003D68B3">
              <w:rPr>
                <w:rStyle w:val="Hyperlink"/>
              </w:rPr>
              <w:t>Onus of proof shifted to the taxpayer</w:t>
            </w:r>
            <w:r w:rsidR="00851E49">
              <w:rPr>
                <w:webHidden/>
              </w:rPr>
              <w:tab/>
            </w:r>
            <w:r w:rsidR="00851E49">
              <w:rPr>
                <w:webHidden/>
              </w:rPr>
              <w:fldChar w:fldCharType="begin"/>
            </w:r>
            <w:r w:rsidR="00851E49">
              <w:rPr>
                <w:webHidden/>
              </w:rPr>
              <w:instrText xml:space="preserve"> PAGEREF _Toc522633850 \h </w:instrText>
            </w:r>
            <w:r w:rsidR="00851E49">
              <w:rPr>
                <w:webHidden/>
              </w:rPr>
            </w:r>
            <w:r w:rsidR="00851E49">
              <w:rPr>
                <w:webHidden/>
              </w:rPr>
              <w:fldChar w:fldCharType="separate"/>
            </w:r>
            <w:r w:rsidR="00D60737">
              <w:rPr>
                <w:webHidden/>
              </w:rPr>
              <w:t>12</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51" w:history="1">
            <w:r w:rsidR="00851E49" w:rsidRPr="003D68B3">
              <w:rPr>
                <w:rStyle w:val="Hyperlink"/>
              </w:rPr>
              <w:t>Documentation</w:t>
            </w:r>
            <w:r w:rsidR="00851E49">
              <w:rPr>
                <w:webHidden/>
              </w:rPr>
              <w:tab/>
            </w:r>
            <w:r w:rsidR="00851E49">
              <w:rPr>
                <w:webHidden/>
              </w:rPr>
              <w:fldChar w:fldCharType="begin"/>
            </w:r>
            <w:r w:rsidR="00851E49">
              <w:rPr>
                <w:webHidden/>
              </w:rPr>
              <w:instrText xml:space="preserve"> PAGEREF _Toc522633851 \h </w:instrText>
            </w:r>
            <w:r w:rsidR="00851E49">
              <w:rPr>
                <w:webHidden/>
              </w:rPr>
            </w:r>
            <w:r w:rsidR="00851E49">
              <w:rPr>
                <w:webHidden/>
              </w:rPr>
              <w:fldChar w:fldCharType="separate"/>
            </w:r>
            <w:r w:rsidR="00D60737">
              <w:rPr>
                <w:webHidden/>
              </w:rPr>
              <w:t>13</w:t>
            </w:r>
            <w:r w:rsidR="00851E49">
              <w:rPr>
                <w:webHidden/>
              </w:rPr>
              <w:fldChar w:fldCharType="end"/>
            </w:r>
          </w:hyperlink>
        </w:p>
        <w:p w:rsidR="00851E49" w:rsidRDefault="00CE6C1E">
          <w:pPr>
            <w:pStyle w:val="TOC2"/>
            <w:rPr>
              <w:rFonts w:asciiTheme="minorHAnsi" w:eastAsiaTheme="minorEastAsia" w:hAnsiTheme="minorHAnsi" w:cstheme="minorBidi"/>
              <w:sz w:val="22"/>
              <w:szCs w:val="22"/>
            </w:rPr>
          </w:pPr>
          <w:hyperlink w:anchor="_Toc522633852" w:history="1">
            <w:r w:rsidR="00851E49" w:rsidRPr="003D68B3">
              <w:rPr>
                <w:rStyle w:val="Hyperlink"/>
              </w:rPr>
              <w:t>Seven year time bar for transfer pricing issues in some circumstances</w:t>
            </w:r>
            <w:r w:rsidR="00851E49">
              <w:rPr>
                <w:webHidden/>
              </w:rPr>
              <w:tab/>
            </w:r>
            <w:r w:rsidR="00851E49">
              <w:rPr>
                <w:webHidden/>
              </w:rPr>
              <w:fldChar w:fldCharType="begin"/>
            </w:r>
            <w:r w:rsidR="00851E49">
              <w:rPr>
                <w:webHidden/>
              </w:rPr>
              <w:instrText xml:space="preserve"> PAGEREF _Toc522633852 \h </w:instrText>
            </w:r>
            <w:r w:rsidR="00851E49">
              <w:rPr>
                <w:webHidden/>
              </w:rPr>
            </w:r>
            <w:r w:rsidR="00851E49">
              <w:rPr>
                <w:webHidden/>
              </w:rPr>
              <w:fldChar w:fldCharType="separate"/>
            </w:r>
            <w:r w:rsidR="00D60737">
              <w:rPr>
                <w:webHidden/>
              </w:rPr>
              <w:t>14</w:t>
            </w:r>
            <w:r w:rsidR="00851E49">
              <w:rPr>
                <w:webHidden/>
              </w:rPr>
              <w:fldChar w:fldCharType="end"/>
            </w:r>
          </w:hyperlink>
        </w:p>
        <w:p w:rsidR="00432EB6" w:rsidRDefault="00432EB6">
          <w:r>
            <w:rPr>
              <w:noProof/>
            </w:rPr>
            <w:fldChar w:fldCharType="end"/>
          </w:r>
        </w:p>
      </w:sdtContent>
    </w:sdt>
    <w:p w:rsidR="00E370DD" w:rsidRPr="00D03A70" w:rsidRDefault="00E370DD" w:rsidP="006B573F">
      <w:pPr>
        <w:pStyle w:val="Heading1"/>
      </w:pPr>
      <w:bookmarkStart w:id="2" w:name="_Toc522633836"/>
      <w:r w:rsidRPr="00D03A70">
        <w:t>Summary of</w:t>
      </w:r>
      <w:r w:rsidR="00260630" w:rsidRPr="00D03A70">
        <w:t xml:space="preserve"> </w:t>
      </w:r>
      <w:r w:rsidRPr="00D03A70">
        <w:t>amendments</w:t>
      </w:r>
      <w:bookmarkEnd w:id="2"/>
    </w:p>
    <w:p w:rsidR="00E370DD" w:rsidRPr="00D03A70" w:rsidRDefault="00E370DD" w:rsidP="00E370DD">
      <w:pPr>
        <w:rPr>
          <w:szCs w:val="20"/>
          <w:lang w:eastAsia="en-AU"/>
        </w:rPr>
      </w:pPr>
    </w:p>
    <w:p w:rsidR="00E370DD" w:rsidRPr="00D03A70" w:rsidRDefault="00E370DD" w:rsidP="00414D65">
      <w:r w:rsidRPr="00D03A70">
        <w:t xml:space="preserve">Transfer pricing rules guard against multinationals using related-party </w:t>
      </w:r>
      <w:r w:rsidR="00861571" w:rsidRPr="00D03A70">
        <w:t xml:space="preserve">arrangements </w:t>
      </w:r>
      <w:r w:rsidRPr="00D03A70">
        <w:t>to shift profits offshore by requiring the</w:t>
      </w:r>
      <w:r w:rsidR="00861571" w:rsidRPr="00D03A70">
        <w:t xml:space="preserve"> profits </w:t>
      </w:r>
      <w:r w:rsidR="0010577F" w:rsidRPr="00D03A70">
        <w:t xml:space="preserve">from </w:t>
      </w:r>
      <w:r w:rsidR="00861571" w:rsidRPr="00D03A70">
        <w:t>these arrangements to be determined using</w:t>
      </w:r>
      <w:r w:rsidR="0010577F" w:rsidRPr="00D03A70">
        <w:t xml:space="preserve"> the</w:t>
      </w:r>
      <w:r w:rsidR="00861571" w:rsidRPr="00D03A70">
        <w:t xml:space="preserve"> </w:t>
      </w:r>
      <w:r w:rsidR="00BD1069" w:rsidRPr="00D03A70">
        <w:t xml:space="preserve">arm’s length conditions, including </w:t>
      </w:r>
      <w:r w:rsidR="007F4E09" w:rsidRPr="00D03A70">
        <w:t>price, which</w:t>
      </w:r>
      <w:r w:rsidR="00861571" w:rsidRPr="00D03A70">
        <w:t xml:space="preserve"> </w:t>
      </w:r>
      <w:r w:rsidRPr="00D03A70">
        <w:t>unrelated parties would agree to</w:t>
      </w:r>
      <w:r w:rsidR="0010577F" w:rsidRPr="00D03A70">
        <w:t xml:space="preserve"> use</w:t>
      </w:r>
      <w:r w:rsidRPr="00D03A70">
        <w:t>.</w:t>
      </w:r>
    </w:p>
    <w:p w:rsidR="00E370DD" w:rsidRPr="00D03A70" w:rsidRDefault="00E370DD" w:rsidP="00414D65"/>
    <w:p w:rsidR="00E370DD" w:rsidRPr="00D03A70" w:rsidRDefault="005A1DC3" w:rsidP="00414D65">
      <w:r w:rsidRPr="00D03A70">
        <w:t>S</w:t>
      </w:r>
      <w:r w:rsidR="00260630" w:rsidRPr="00D03A70">
        <w:t>ections GC 6 and GC 13</w:t>
      </w:r>
      <w:r w:rsidRPr="00D03A70">
        <w:t xml:space="preserve"> have been amended to</w:t>
      </w:r>
      <w:r w:rsidR="00E370DD" w:rsidRPr="00D03A70">
        <w:t xml:space="preserve"> strengthen the transfer pricing rules so they align with the OECD’s transfer pricing guidelines and Australia’s transfer pricing rules.</w:t>
      </w:r>
    </w:p>
    <w:p w:rsidR="00E370DD" w:rsidRPr="00D03A70" w:rsidRDefault="00E370DD" w:rsidP="00414D65"/>
    <w:p w:rsidR="00414D65" w:rsidRPr="00D03A70" w:rsidRDefault="00414D65" w:rsidP="00414D65"/>
    <w:p w:rsidR="00E370DD" w:rsidRPr="00D03A70" w:rsidRDefault="00E370DD" w:rsidP="006B573F">
      <w:pPr>
        <w:pStyle w:val="Heading1"/>
      </w:pPr>
      <w:bookmarkStart w:id="3" w:name="_Toc522633837"/>
      <w:r w:rsidRPr="00D03A70">
        <w:t>Application date</w:t>
      </w:r>
      <w:bookmarkEnd w:id="3"/>
    </w:p>
    <w:p w:rsidR="00E370DD" w:rsidRPr="00D03A70" w:rsidRDefault="00E370DD" w:rsidP="00414D65"/>
    <w:p w:rsidR="005A1DC3" w:rsidRPr="00D03A70" w:rsidRDefault="00E370DD" w:rsidP="00414D65">
      <w:r w:rsidRPr="00D03A70">
        <w:t>The amendments to the transfer pricing rules generally apply from income years begi</w:t>
      </w:r>
      <w:r w:rsidR="00414D65" w:rsidRPr="00D03A70">
        <w:t>nning on or after 1 July 2018.</w:t>
      </w:r>
    </w:p>
    <w:p w:rsidR="005A1DC3" w:rsidRPr="00D03A70" w:rsidRDefault="005A1DC3" w:rsidP="00414D65"/>
    <w:p w:rsidR="00E370DD" w:rsidRPr="00D03A70" w:rsidRDefault="00E370DD" w:rsidP="00414D65">
      <w:r w:rsidRPr="00D03A70">
        <w:t xml:space="preserve">Arrangements that comply with an Advance Pricing Agreement issued by the Commissioner </w:t>
      </w:r>
      <w:r w:rsidR="005B3260" w:rsidRPr="00D03A70">
        <w:t xml:space="preserve">of Inland Revenue </w:t>
      </w:r>
      <w:r w:rsidRPr="00D03A70">
        <w:t xml:space="preserve">before 1 July 2018 will be grand-parented so they remain subject to the </w:t>
      </w:r>
      <w:r w:rsidR="005A1DC3" w:rsidRPr="00D03A70">
        <w:t xml:space="preserve">old </w:t>
      </w:r>
      <w:r w:rsidRPr="00D03A70">
        <w:t>transfer pricing rules until the Advance Pricing Agreement expires.</w:t>
      </w:r>
    </w:p>
    <w:p w:rsidR="005A1DC3" w:rsidRPr="00D03A70" w:rsidRDefault="005A1DC3" w:rsidP="00414D65"/>
    <w:p w:rsidR="00414D65" w:rsidRPr="00D03A70" w:rsidRDefault="00414D65" w:rsidP="00414D65"/>
    <w:p w:rsidR="00E370DD" w:rsidRPr="00D03A70" w:rsidRDefault="00E370DD" w:rsidP="006B573F">
      <w:pPr>
        <w:pStyle w:val="Heading1"/>
      </w:pPr>
      <w:bookmarkStart w:id="4" w:name="_Toc522633838"/>
      <w:r w:rsidRPr="00D03A70">
        <w:t>Key features</w:t>
      </w:r>
      <w:bookmarkEnd w:id="4"/>
    </w:p>
    <w:p w:rsidR="00E370DD" w:rsidRPr="00D03A70" w:rsidRDefault="00E370DD" w:rsidP="00E370DD">
      <w:pPr>
        <w:rPr>
          <w:szCs w:val="20"/>
          <w:lang w:eastAsia="en-AU"/>
        </w:rPr>
      </w:pPr>
    </w:p>
    <w:p w:rsidR="00E370DD" w:rsidRPr="00D03A70" w:rsidRDefault="00E370DD" w:rsidP="00E370DD">
      <w:pPr>
        <w:rPr>
          <w:szCs w:val="20"/>
          <w:lang w:eastAsia="en-AU"/>
        </w:rPr>
      </w:pPr>
      <w:r w:rsidRPr="00D03A70">
        <w:rPr>
          <w:szCs w:val="20"/>
          <w:lang w:eastAsia="en-AU"/>
        </w:rPr>
        <w:t xml:space="preserve">The </w:t>
      </w:r>
      <w:r w:rsidR="00260630" w:rsidRPr="00D03A70">
        <w:rPr>
          <w:szCs w:val="20"/>
          <w:lang w:eastAsia="en-AU"/>
        </w:rPr>
        <w:t>Act</w:t>
      </w:r>
      <w:r w:rsidR="0049682D" w:rsidRPr="00D03A70">
        <w:rPr>
          <w:szCs w:val="20"/>
          <w:lang w:eastAsia="en-AU"/>
        </w:rPr>
        <w:t xml:space="preserve"> makes</w:t>
      </w:r>
      <w:r w:rsidRPr="00D03A70">
        <w:rPr>
          <w:szCs w:val="20"/>
          <w:lang w:eastAsia="en-AU"/>
        </w:rPr>
        <w:t xml:space="preserve"> the following amendments to New Zealand’s transfer pricing legislation:</w:t>
      </w:r>
    </w:p>
    <w:p w:rsidR="00E370DD" w:rsidRPr="00D03A70" w:rsidRDefault="00E370DD" w:rsidP="00414D65"/>
    <w:p w:rsidR="00414D65" w:rsidRPr="00D03A70" w:rsidRDefault="0049682D" w:rsidP="00414D65">
      <w:pPr>
        <w:pStyle w:val="Bullets"/>
      </w:pPr>
      <w:r w:rsidRPr="00D03A70">
        <w:t>In addition to applying to transactions between associated persons, the transfer pricing rules will also apply when there are transactions between members of non-resident owning bodies and companies, and to cross-border related borrowings</w:t>
      </w:r>
      <w:r w:rsidR="001F01D1" w:rsidRPr="00D03A70">
        <w:t>.</w:t>
      </w:r>
      <w:r w:rsidR="00970B7B" w:rsidRPr="00D03A70">
        <w:t xml:space="preserve"> (</w:t>
      </w:r>
      <w:r w:rsidR="001F01D1" w:rsidRPr="00D03A70">
        <w:rPr>
          <w:rStyle w:val="Emphasis"/>
        </w:rPr>
        <w:t>S</w:t>
      </w:r>
      <w:r w:rsidR="00F30C03" w:rsidRPr="00D03A70">
        <w:rPr>
          <w:rStyle w:val="Emphasis"/>
        </w:rPr>
        <w:t>ection</w:t>
      </w:r>
      <w:r w:rsidR="001F01D1" w:rsidRPr="00D03A70">
        <w:rPr>
          <w:rStyle w:val="Emphasis"/>
        </w:rPr>
        <w:t> </w:t>
      </w:r>
      <w:r w:rsidR="00970B7B" w:rsidRPr="00D03A70">
        <w:rPr>
          <w:rStyle w:val="Emphasis"/>
        </w:rPr>
        <w:t>GC</w:t>
      </w:r>
      <w:r w:rsidR="00F30C03" w:rsidRPr="00D03A70">
        <w:rPr>
          <w:rStyle w:val="Emphasis"/>
        </w:rPr>
        <w:t> </w:t>
      </w:r>
      <w:r w:rsidR="00970B7B" w:rsidRPr="00D03A70">
        <w:rPr>
          <w:rStyle w:val="Emphasis"/>
        </w:rPr>
        <w:t>6(</w:t>
      </w:r>
      <w:r w:rsidR="00DE1E5C" w:rsidRPr="00D03A70">
        <w:rPr>
          <w:rStyle w:val="Emphasis"/>
        </w:rPr>
        <w:t>2</w:t>
      </w:r>
      <w:r w:rsidR="00970B7B" w:rsidRPr="00D03A70">
        <w:rPr>
          <w:rStyle w:val="Emphasis"/>
        </w:rPr>
        <w:t>)</w:t>
      </w:r>
      <w:r w:rsidR="00DE1E5C" w:rsidRPr="00D03A70">
        <w:rPr>
          <w:rStyle w:val="Emphasis"/>
        </w:rPr>
        <w:t>(b)</w:t>
      </w:r>
      <w:r w:rsidR="00970B7B" w:rsidRPr="00D03A70">
        <w:t>)</w:t>
      </w:r>
    </w:p>
    <w:p w:rsidR="00414D65" w:rsidRPr="00D03A70" w:rsidRDefault="00E370DD" w:rsidP="00414D65">
      <w:pPr>
        <w:pStyle w:val="Bullets"/>
      </w:pPr>
      <w:r w:rsidRPr="00D03A70">
        <w:t>Including a reference to using the 2017 OECD transfer pricing guidelines as guidanc</w:t>
      </w:r>
      <w:r w:rsidR="0049682D" w:rsidRPr="00D03A70">
        <w:t>e for how the transfer pricing rules are applied</w:t>
      </w:r>
      <w:r w:rsidR="001F01D1" w:rsidRPr="00D03A70">
        <w:t>.</w:t>
      </w:r>
      <w:r w:rsidR="0049682D" w:rsidRPr="00D03A70">
        <w:t xml:space="preserve"> (</w:t>
      </w:r>
      <w:r w:rsidR="001F01D1" w:rsidRPr="00D03A70">
        <w:rPr>
          <w:rStyle w:val="Emphasis"/>
        </w:rPr>
        <w:t>S</w:t>
      </w:r>
      <w:r w:rsidR="0049682D" w:rsidRPr="00D03A70">
        <w:rPr>
          <w:rStyle w:val="Emphasis"/>
        </w:rPr>
        <w:t>ection GC 6(1B)</w:t>
      </w:r>
      <w:r w:rsidR="0049682D" w:rsidRPr="00D03A70">
        <w:t>)</w:t>
      </w:r>
    </w:p>
    <w:p w:rsidR="00414D65" w:rsidRPr="00D03A70" w:rsidRDefault="00E370DD" w:rsidP="00414D65">
      <w:pPr>
        <w:pStyle w:val="Bullets"/>
      </w:pPr>
      <w:r w:rsidRPr="00D03A70">
        <w:t>The economic substance and actual conduct of the parties</w:t>
      </w:r>
      <w:r w:rsidR="00C91EC2" w:rsidRPr="00D03A70">
        <w:t>, along with the legal contract, will inform the transfer pricing analysis</w:t>
      </w:r>
      <w:r w:rsidR="00354848" w:rsidRPr="00D03A70">
        <w:t xml:space="preserve">. In </w:t>
      </w:r>
      <w:r w:rsidR="00C91EC2" w:rsidRPr="00D03A70">
        <w:t>certain circumstances</w:t>
      </w:r>
      <w:r w:rsidR="00354848" w:rsidRPr="00D03A70">
        <w:t>,</w:t>
      </w:r>
      <w:r w:rsidR="00C91EC2" w:rsidRPr="00D03A70">
        <w:t xml:space="preserve"> </w:t>
      </w:r>
      <w:r w:rsidR="00354848" w:rsidRPr="00D03A70">
        <w:t xml:space="preserve">the economic substance and actual conduct </w:t>
      </w:r>
      <w:r w:rsidRPr="00D03A70">
        <w:t xml:space="preserve">will have priority over the terms of the legal contract. This is achieved by requiring the transfer pricing transaction to be “accurately delineated” </w:t>
      </w:r>
      <w:r w:rsidR="0049682D" w:rsidRPr="00D03A70">
        <w:t>using the approach in</w:t>
      </w:r>
      <w:r w:rsidRPr="00D03A70">
        <w:t xml:space="preserve"> section D.1 of chapter I of the </w:t>
      </w:r>
      <w:r w:rsidR="00105774" w:rsidRPr="00D03A70">
        <w:t xml:space="preserve">2017 </w:t>
      </w:r>
      <w:r w:rsidRPr="00D03A70">
        <w:t>O</w:t>
      </w:r>
      <w:r w:rsidR="0049682D" w:rsidRPr="00D03A70">
        <w:t>ECD transfer pricing guidelines</w:t>
      </w:r>
      <w:r w:rsidR="001F01D1" w:rsidRPr="00D03A70">
        <w:t>.</w:t>
      </w:r>
      <w:r w:rsidR="0049682D" w:rsidRPr="00D03A70">
        <w:t xml:space="preserve"> (</w:t>
      </w:r>
      <w:r w:rsidR="001F01D1" w:rsidRPr="00D03A70">
        <w:rPr>
          <w:rStyle w:val="Emphasis"/>
        </w:rPr>
        <w:t>Se</w:t>
      </w:r>
      <w:r w:rsidR="0049682D" w:rsidRPr="00D03A70">
        <w:rPr>
          <w:rStyle w:val="Emphasis"/>
        </w:rPr>
        <w:t>ction GC 13(1B)</w:t>
      </w:r>
      <w:r w:rsidR="0049682D" w:rsidRPr="00D03A70">
        <w:t>)</w:t>
      </w:r>
    </w:p>
    <w:p w:rsidR="00414D65" w:rsidRPr="00D03A70" w:rsidRDefault="00271350" w:rsidP="00414D65">
      <w:pPr>
        <w:pStyle w:val="Bullets"/>
      </w:pPr>
      <w:r w:rsidRPr="00D03A70">
        <w:lastRenderedPageBreak/>
        <w:t>Where a transfer pricing arrangement is not commercially rational because it include</w:t>
      </w:r>
      <w:r w:rsidR="00E8238A" w:rsidRPr="00D03A70">
        <w:t>s</w:t>
      </w:r>
      <w:r w:rsidRPr="00D03A70">
        <w:t xml:space="preserve"> unrealistic terms that unrelated parties would not be willing to agree, t</w:t>
      </w:r>
      <w:r w:rsidR="00E370DD" w:rsidRPr="00D03A70">
        <w:t xml:space="preserve">he </w:t>
      </w:r>
      <w:r w:rsidRPr="00D03A70">
        <w:t xml:space="preserve">approach described </w:t>
      </w:r>
      <w:r w:rsidR="00E370DD" w:rsidRPr="00D03A70">
        <w:t>in section D.2 of chapter I of the new OECD guidelines</w:t>
      </w:r>
      <w:r w:rsidRPr="00D03A70">
        <w:t xml:space="preserve"> may apply to disregard </w:t>
      </w:r>
      <w:r w:rsidR="00861571" w:rsidRPr="00D03A70">
        <w:t xml:space="preserve">and, if appropriate, </w:t>
      </w:r>
      <w:r w:rsidRPr="00D03A70">
        <w:t>replace the transaction</w:t>
      </w:r>
      <w:r w:rsidR="001F01D1" w:rsidRPr="00D03A70">
        <w:t>.</w:t>
      </w:r>
      <w:r w:rsidR="0049682D" w:rsidRPr="00D03A70">
        <w:t xml:space="preserve"> (</w:t>
      </w:r>
      <w:r w:rsidR="001F01D1" w:rsidRPr="00D03A70">
        <w:rPr>
          <w:rStyle w:val="Emphasis"/>
        </w:rPr>
        <w:t>S</w:t>
      </w:r>
      <w:r w:rsidR="0049682D" w:rsidRPr="00D03A70">
        <w:rPr>
          <w:rStyle w:val="Emphasis"/>
        </w:rPr>
        <w:t>ection GC 13(1C)</w:t>
      </w:r>
      <w:r w:rsidR="0049682D" w:rsidRPr="00D03A70">
        <w:t>)</w:t>
      </w:r>
    </w:p>
    <w:p w:rsidR="00414D65" w:rsidRPr="00D03A70" w:rsidRDefault="00271350" w:rsidP="00414D65">
      <w:pPr>
        <w:pStyle w:val="Bullets"/>
      </w:pPr>
      <w:r w:rsidRPr="00D03A70">
        <w:t>R</w:t>
      </w:r>
      <w:r w:rsidR="00E370DD" w:rsidRPr="00D03A70">
        <w:t>e</w:t>
      </w:r>
      <w:r w:rsidRPr="00D03A70">
        <w:t>quiring</w:t>
      </w:r>
      <w:r w:rsidR="00E370DD" w:rsidRPr="00D03A70">
        <w:t xml:space="preserve"> </w:t>
      </w:r>
      <w:r w:rsidRPr="00D03A70">
        <w:t xml:space="preserve">the arm’s length amount of consideration to be determined using arm’s length conditions. This </w:t>
      </w:r>
      <w:r w:rsidR="00E370DD" w:rsidRPr="00D03A70">
        <w:t>clarif</w:t>
      </w:r>
      <w:r w:rsidRPr="00D03A70">
        <w:t>ies that it may be necessary to</w:t>
      </w:r>
      <w:r w:rsidR="00E370DD" w:rsidRPr="00D03A70">
        <w:t xml:space="preserve"> adjust </w:t>
      </w:r>
      <w:r w:rsidRPr="00D03A70">
        <w:t xml:space="preserve">some </w:t>
      </w:r>
      <w:r w:rsidR="00E370DD" w:rsidRPr="00D03A70">
        <w:t>conditions</w:t>
      </w:r>
      <w:r w:rsidRPr="00D03A70">
        <w:t xml:space="preserve"> of the arrangement</w:t>
      </w:r>
      <w:r w:rsidR="00E370DD" w:rsidRPr="00D03A70">
        <w:t xml:space="preserve"> other than the price</w:t>
      </w:r>
      <w:r w:rsidRPr="00D03A70">
        <w:t>, in order to determine the arm’s length price</w:t>
      </w:r>
      <w:r w:rsidR="001F01D1" w:rsidRPr="00D03A70">
        <w:t>.</w:t>
      </w:r>
      <w:r w:rsidR="0049682D" w:rsidRPr="00D03A70">
        <w:t xml:space="preserve"> (</w:t>
      </w:r>
      <w:r w:rsidR="001F01D1" w:rsidRPr="00D03A70">
        <w:t>S</w:t>
      </w:r>
      <w:r w:rsidR="0049682D" w:rsidRPr="00D03A70">
        <w:rPr>
          <w:rStyle w:val="Emphasis"/>
        </w:rPr>
        <w:t>ection GC 13(1)(b)</w:t>
      </w:r>
      <w:r w:rsidR="0049682D" w:rsidRPr="00D03A70">
        <w:t>)</w:t>
      </w:r>
    </w:p>
    <w:p w:rsidR="00414D65" w:rsidRPr="00D03A70" w:rsidRDefault="00BF36EC" w:rsidP="00414D65">
      <w:pPr>
        <w:pStyle w:val="Bullets"/>
      </w:pPr>
      <w:r w:rsidRPr="00D03A70">
        <w:t>Placing the</w:t>
      </w:r>
      <w:r w:rsidR="00E370DD" w:rsidRPr="00D03A70">
        <w:t xml:space="preserve"> onus of proof </w:t>
      </w:r>
      <w:r w:rsidRPr="00D03A70">
        <w:t xml:space="preserve">onto the taxpayer </w:t>
      </w:r>
      <w:r w:rsidR="00E370DD" w:rsidRPr="00D03A70">
        <w:t xml:space="preserve">for </w:t>
      </w:r>
      <w:r w:rsidRPr="00D03A70">
        <w:t>providing evidence (such as transfer pricing documentation) that their</w:t>
      </w:r>
      <w:r w:rsidR="00E370DD" w:rsidRPr="00D03A70">
        <w:t xml:space="preserve"> transfer pricing position</w:t>
      </w:r>
      <w:r w:rsidR="0006292A" w:rsidRPr="00D03A70">
        <w:t>s</w:t>
      </w:r>
      <w:r w:rsidR="00E370DD" w:rsidRPr="00D03A70">
        <w:t xml:space="preserve"> </w:t>
      </w:r>
      <w:r w:rsidR="0006292A" w:rsidRPr="00D03A70">
        <w:t>are</w:t>
      </w:r>
      <w:r w:rsidR="00271350" w:rsidRPr="00D03A70">
        <w:t xml:space="preserve"> correct</w:t>
      </w:r>
      <w:r w:rsidR="0006292A" w:rsidRPr="00D03A70">
        <w:t xml:space="preserve"> (</w:t>
      </w:r>
      <w:r w:rsidR="006B573F" w:rsidRPr="00D03A70">
        <w:t>that is, they</w:t>
      </w:r>
      <w:r w:rsidR="0006292A" w:rsidRPr="00D03A70">
        <w:t xml:space="preserve"> are determined using arm’s length conditions)</w:t>
      </w:r>
      <w:r w:rsidRPr="00D03A70">
        <w:t>.</w:t>
      </w:r>
      <w:r w:rsidR="00E370DD" w:rsidRPr="00D03A70">
        <w:t xml:space="preserve"> </w:t>
      </w:r>
      <w:r w:rsidRPr="00D03A70">
        <w:t>T</w:t>
      </w:r>
      <w:r w:rsidR="00970B7B" w:rsidRPr="00D03A70">
        <w:t xml:space="preserve">he general onus of proof in section 149A(2)(b) of the Tax Administration Act </w:t>
      </w:r>
      <w:r w:rsidR="006A08E0">
        <w:t xml:space="preserve">1994 </w:t>
      </w:r>
      <w:r w:rsidR="00970B7B" w:rsidRPr="00D03A70">
        <w:t>will now apply to transfer pricing as well as other tax matters</w:t>
      </w:r>
      <w:r w:rsidR="00E370DD" w:rsidRPr="00D03A70">
        <w:t>.</w:t>
      </w:r>
    </w:p>
    <w:p w:rsidR="00E370DD" w:rsidRPr="00D03A70" w:rsidRDefault="00E370DD" w:rsidP="002E1F16">
      <w:pPr>
        <w:pStyle w:val="Bullets-Last"/>
      </w:pPr>
      <w:r w:rsidRPr="00D03A70">
        <w:t xml:space="preserve">The time bar that limits Inland Revenue’s ability to adjust a taxpayer’s transfer pricing </w:t>
      </w:r>
      <w:r w:rsidR="00271350" w:rsidRPr="00D03A70">
        <w:t>position can be</w:t>
      </w:r>
      <w:r w:rsidRPr="00D03A70">
        <w:t xml:space="preserve"> incr</w:t>
      </w:r>
      <w:r w:rsidR="0049682D" w:rsidRPr="00D03A70">
        <w:t>eased to seven years</w:t>
      </w:r>
      <w:r w:rsidR="00271350" w:rsidRPr="00D03A70">
        <w:t>, in those cases where</w:t>
      </w:r>
      <w:r w:rsidR="003A5AF0" w:rsidRPr="00D03A70">
        <w:t xml:space="preserve"> the Commissioner </w:t>
      </w:r>
      <w:r w:rsidR="00271350" w:rsidRPr="00D03A70">
        <w:t xml:space="preserve">of Inland Revenue has </w:t>
      </w:r>
      <w:r w:rsidR="003A5AF0" w:rsidRPr="00D03A70">
        <w:t>notifi</w:t>
      </w:r>
      <w:r w:rsidR="00271350" w:rsidRPr="00D03A70">
        <w:t>ed</w:t>
      </w:r>
      <w:r w:rsidR="003A5AF0" w:rsidRPr="00D03A70">
        <w:t xml:space="preserve"> the taxpayer that a tax audit or investigation has commenced within the usual four-year time bar</w:t>
      </w:r>
      <w:r w:rsidR="001F01D1" w:rsidRPr="00D03A70">
        <w:t>.</w:t>
      </w:r>
      <w:r w:rsidR="00970B7B" w:rsidRPr="00D03A70">
        <w:t xml:space="preserve"> (</w:t>
      </w:r>
      <w:r w:rsidR="001F01D1" w:rsidRPr="00D03A70">
        <w:t>S</w:t>
      </w:r>
      <w:r w:rsidR="00970B7B" w:rsidRPr="00D03A70">
        <w:rPr>
          <w:rStyle w:val="Emphasis"/>
        </w:rPr>
        <w:t>ection GC 13(6)</w:t>
      </w:r>
      <w:r w:rsidR="00E8238A" w:rsidRPr="00D03A70">
        <w:t>)</w:t>
      </w:r>
    </w:p>
    <w:p w:rsidR="00E370DD" w:rsidRPr="00D03A70" w:rsidRDefault="00E370DD" w:rsidP="00414D65"/>
    <w:p w:rsidR="005B3260" w:rsidRPr="00D03A70" w:rsidRDefault="005B3260" w:rsidP="00184C11"/>
    <w:p w:rsidR="00E370DD" w:rsidRPr="00D03A70" w:rsidRDefault="00E370DD" w:rsidP="006B573F">
      <w:pPr>
        <w:pStyle w:val="Heading1"/>
      </w:pPr>
      <w:bookmarkStart w:id="5" w:name="_Toc522633839"/>
      <w:r w:rsidRPr="00D03A70">
        <w:t>Background</w:t>
      </w:r>
      <w:bookmarkEnd w:id="5"/>
    </w:p>
    <w:p w:rsidR="00E370DD" w:rsidRPr="00D03A70" w:rsidRDefault="00E370DD" w:rsidP="00184C11"/>
    <w:p w:rsidR="00E370DD" w:rsidRPr="00D03A70" w:rsidRDefault="00E370DD" w:rsidP="002E1F16">
      <w:r w:rsidRPr="00D03A70">
        <w:t xml:space="preserve">The OECD’s transfer pricing guidelines were substantially updated in 2017 as part of the OECD’s BEPS project. The updates to </w:t>
      </w:r>
      <w:r w:rsidR="00057149">
        <w:t>c</w:t>
      </w:r>
      <w:r w:rsidRPr="00D03A70">
        <w:t xml:space="preserve">hapter I of the </w:t>
      </w:r>
      <w:r w:rsidR="00057149">
        <w:t>g</w:t>
      </w:r>
      <w:r w:rsidRPr="00D03A70">
        <w:t>uidelines were designed to align transfer pricing outcomes with value creation (BEPS Actions 8–10). The OECD has noted that the new guidance ensures that:</w:t>
      </w:r>
    </w:p>
    <w:p w:rsidR="00E370DD" w:rsidRPr="00D03A70" w:rsidRDefault="00E370DD" w:rsidP="00184C11"/>
    <w:p w:rsidR="00E370DD" w:rsidRPr="00D03A70" w:rsidRDefault="00E370DD" w:rsidP="00184C11">
      <w:pPr>
        <w:pStyle w:val="Bullets"/>
      </w:pPr>
      <w:r w:rsidRPr="00D03A70">
        <w:t>actual business transactions undertaken by associated enterprises are identified, and transfer pricing is not based on contractual arrangements that do not reflect economic reality;</w:t>
      </w:r>
    </w:p>
    <w:p w:rsidR="00E370DD" w:rsidRPr="00D03A70" w:rsidRDefault="00E370DD" w:rsidP="00184C11">
      <w:pPr>
        <w:pStyle w:val="Bullets"/>
      </w:pPr>
      <w:r w:rsidRPr="00D03A70">
        <w:t>contractual allocations of risk are respected only when they are supported by actual decision-making;</w:t>
      </w:r>
    </w:p>
    <w:p w:rsidR="00E370DD" w:rsidRPr="00D03A70" w:rsidRDefault="00E370DD" w:rsidP="00184C11">
      <w:pPr>
        <w:pStyle w:val="Bullets"/>
      </w:pPr>
      <w:r w:rsidRPr="00D03A70">
        <w:t>capital without functionality will generate no more than a risk-free return, assuring that no premium returns will be allocated to cash boxes without relevant substance; and</w:t>
      </w:r>
    </w:p>
    <w:p w:rsidR="00E370DD" w:rsidRPr="00D03A70" w:rsidRDefault="00E370DD" w:rsidP="002E1F16">
      <w:pPr>
        <w:pStyle w:val="Bullets-Last"/>
      </w:pPr>
      <w:r w:rsidRPr="00D03A70">
        <w:t>tax administrations may disregard transactions which are commercially irrational.</w:t>
      </w:r>
    </w:p>
    <w:p w:rsidR="00E370DD" w:rsidRPr="00D03A70" w:rsidRDefault="00E370DD" w:rsidP="00184C11"/>
    <w:p w:rsidR="00E370DD" w:rsidRPr="00D03A70" w:rsidRDefault="00E370DD" w:rsidP="00E370DD">
      <w:pPr>
        <w:rPr>
          <w:szCs w:val="20"/>
          <w:lang w:eastAsia="en-AU"/>
        </w:rPr>
      </w:pPr>
      <w:r w:rsidRPr="00D03A70">
        <w:rPr>
          <w:szCs w:val="20"/>
          <w:lang w:eastAsia="en-AU"/>
        </w:rPr>
        <w:t xml:space="preserve">The </w:t>
      </w:r>
      <w:r w:rsidR="00BF36EC" w:rsidRPr="00D03A70">
        <w:rPr>
          <w:szCs w:val="20"/>
          <w:lang w:eastAsia="en-AU"/>
        </w:rPr>
        <w:t>Act amends</w:t>
      </w:r>
      <w:r w:rsidRPr="00D03A70">
        <w:rPr>
          <w:szCs w:val="20"/>
          <w:lang w:eastAsia="en-AU"/>
        </w:rPr>
        <w:t xml:space="preserve"> New Zealand’s transfer pricing legislation </w:t>
      </w:r>
      <w:r w:rsidR="00BF36EC" w:rsidRPr="00D03A70">
        <w:rPr>
          <w:szCs w:val="20"/>
          <w:lang w:eastAsia="en-AU"/>
        </w:rPr>
        <w:t>to ensure</w:t>
      </w:r>
      <w:r w:rsidRPr="00D03A70">
        <w:rPr>
          <w:szCs w:val="20"/>
          <w:lang w:eastAsia="en-AU"/>
        </w:rPr>
        <w:t xml:space="preserve"> New Zealand</w:t>
      </w:r>
      <w:r w:rsidR="00BF36EC" w:rsidRPr="00D03A70">
        <w:rPr>
          <w:szCs w:val="20"/>
          <w:lang w:eastAsia="en-AU"/>
        </w:rPr>
        <w:t>’s legislation aligns with the new OECD transfer pricing guidelines and that our rules remain effective at combatting BEPS.</w:t>
      </w:r>
    </w:p>
    <w:p w:rsidR="00BF36EC" w:rsidRPr="00D03A70" w:rsidRDefault="00BF36EC" w:rsidP="00E370DD">
      <w:pPr>
        <w:rPr>
          <w:szCs w:val="20"/>
          <w:lang w:eastAsia="en-AU"/>
        </w:rPr>
      </w:pPr>
    </w:p>
    <w:p w:rsidR="00BF36EC" w:rsidRPr="00D03A70" w:rsidRDefault="003D29AB" w:rsidP="00E370DD">
      <w:pPr>
        <w:rPr>
          <w:szCs w:val="20"/>
          <w:lang w:eastAsia="en-AU"/>
        </w:rPr>
      </w:pPr>
      <w:r w:rsidRPr="00D03A70">
        <w:rPr>
          <w:szCs w:val="20"/>
          <w:lang w:eastAsia="en-AU"/>
        </w:rPr>
        <w:t>Other changes</w:t>
      </w:r>
      <w:r w:rsidR="00BF36EC" w:rsidRPr="00D03A70">
        <w:rPr>
          <w:szCs w:val="20"/>
          <w:lang w:eastAsia="en-AU"/>
        </w:rPr>
        <w:t xml:space="preserve"> have been made to strengthen Inland Revenue’s ability to monitor and enforce the new transfer pricin</w:t>
      </w:r>
      <w:r w:rsidR="00C626DD" w:rsidRPr="00D03A70">
        <w:rPr>
          <w:szCs w:val="20"/>
          <w:lang w:eastAsia="en-AU"/>
        </w:rPr>
        <w:t>g rules. These changes include:</w:t>
      </w:r>
    </w:p>
    <w:p w:rsidR="00BF36EC" w:rsidRPr="00D03A70" w:rsidRDefault="00BF36EC" w:rsidP="00E370DD">
      <w:pPr>
        <w:rPr>
          <w:szCs w:val="20"/>
          <w:lang w:eastAsia="en-AU"/>
        </w:rPr>
      </w:pPr>
    </w:p>
    <w:p w:rsidR="00BF36EC" w:rsidRPr="00D03A70" w:rsidRDefault="00BF36EC" w:rsidP="00184C11">
      <w:pPr>
        <w:pStyle w:val="Bullets"/>
      </w:pPr>
      <w:r w:rsidRPr="00D03A70">
        <w:t>Putting the onus of proof onto the taxpayer for providing evidence (such as documentation) that their transfer pricing positions are correct</w:t>
      </w:r>
      <w:r w:rsidR="0006292A" w:rsidRPr="00D03A70">
        <w:t xml:space="preserve"> (</w:t>
      </w:r>
      <w:r w:rsidR="006B573F" w:rsidRPr="00D03A70">
        <w:t>that is, they</w:t>
      </w:r>
      <w:r w:rsidR="0006292A" w:rsidRPr="00D03A70">
        <w:t xml:space="preserve"> are determined using arm’s length conditions)</w:t>
      </w:r>
      <w:r w:rsidRPr="00D03A70">
        <w:t>.</w:t>
      </w:r>
    </w:p>
    <w:p w:rsidR="00BF36EC" w:rsidRPr="00D03A70" w:rsidRDefault="00BF36EC" w:rsidP="00184C11">
      <w:pPr>
        <w:pStyle w:val="Bullets"/>
      </w:pPr>
      <w:r w:rsidRPr="00D03A70">
        <w:t>Allowing Inland Revenue to extend the time bar for assessing transfer pricing issues to seven years, in those cases where Inland Revenue has notified the taxpayer that a tax audit or investigation has commenced within the usual four-year time bar.</w:t>
      </w:r>
    </w:p>
    <w:p w:rsidR="00BF36EC" w:rsidRPr="00D03A70" w:rsidRDefault="003D29AB" w:rsidP="002E1F16">
      <w:pPr>
        <w:pStyle w:val="Bullets-Last"/>
      </w:pPr>
      <w:r w:rsidRPr="00D03A70">
        <w:lastRenderedPageBreak/>
        <w:t xml:space="preserve">Amendments to the Tax Administration Act 1994 to provide Inland Revenue with additional powers to request information from large multinational groups in order to assist a tax investigation of the relevant multinational. These information changes are explained </w:t>
      </w:r>
      <w:r w:rsidR="00861571" w:rsidRPr="00D03A70">
        <w:t>in</w:t>
      </w:r>
      <w:r w:rsidR="009F3E48" w:rsidRPr="00D03A70">
        <w:t xml:space="preserve"> </w:t>
      </w:r>
      <w:r w:rsidR="009C26C4">
        <w:t xml:space="preserve">the special report on administrative measures (see </w:t>
      </w:r>
      <w:r w:rsidR="009F3E48" w:rsidRPr="00D03A70">
        <w:t xml:space="preserve">the section </w:t>
      </w:r>
      <w:r w:rsidR="009C26C4">
        <w:t xml:space="preserve">on </w:t>
      </w:r>
      <w:r w:rsidR="009F3E48" w:rsidRPr="00D03A70">
        <w:rPr>
          <w:rStyle w:val="Emphasis"/>
        </w:rPr>
        <w:t>“Requesting information from large multinational groups”</w:t>
      </w:r>
      <w:r w:rsidR="009C26C4" w:rsidRPr="009C26C4">
        <w:t>)</w:t>
      </w:r>
      <w:r w:rsidR="009F3E48" w:rsidRPr="00D03A70">
        <w:t>.</w:t>
      </w:r>
    </w:p>
    <w:p w:rsidR="007725DC" w:rsidRPr="00D03A70" w:rsidRDefault="007725DC" w:rsidP="00184C11"/>
    <w:p w:rsidR="00184C11" w:rsidRPr="00D03A70" w:rsidRDefault="00184C11" w:rsidP="00184C11"/>
    <w:p w:rsidR="00E370DD" w:rsidRPr="00D03A70" w:rsidRDefault="00E370DD" w:rsidP="006B573F">
      <w:pPr>
        <w:pStyle w:val="Heading1"/>
      </w:pPr>
      <w:bookmarkStart w:id="6" w:name="_Toc522633840"/>
      <w:r w:rsidRPr="00D03A70">
        <w:t>Detailed analysis</w:t>
      </w:r>
      <w:bookmarkEnd w:id="6"/>
    </w:p>
    <w:p w:rsidR="007725DC" w:rsidRPr="00D03A70" w:rsidRDefault="007725DC" w:rsidP="00184C11"/>
    <w:p w:rsidR="00855C23" w:rsidRPr="00D03A70" w:rsidRDefault="00855C23" w:rsidP="006B573F">
      <w:pPr>
        <w:pStyle w:val="Heading2"/>
      </w:pPr>
      <w:bookmarkStart w:id="7" w:name="_Toc522633841"/>
      <w:r w:rsidRPr="00D03A70">
        <w:t>GC 6(1)</w:t>
      </w:r>
      <w:r w:rsidR="00C626DD" w:rsidRPr="00D03A70">
        <w:t>: Purpose of the t</w:t>
      </w:r>
      <w:r w:rsidR="0060660F" w:rsidRPr="00D03A70">
        <w:t xml:space="preserve">ransfer </w:t>
      </w:r>
      <w:r w:rsidR="00C626DD" w:rsidRPr="00D03A70">
        <w:t>p</w:t>
      </w:r>
      <w:r w:rsidR="0060660F" w:rsidRPr="00D03A70">
        <w:t xml:space="preserve">ricing </w:t>
      </w:r>
      <w:r w:rsidR="00C626DD" w:rsidRPr="00D03A70">
        <w:t>r</w:t>
      </w:r>
      <w:r w:rsidR="0060660F" w:rsidRPr="00D03A70">
        <w:t>ules</w:t>
      </w:r>
      <w:bookmarkEnd w:id="7"/>
    </w:p>
    <w:p w:rsidR="00855C23" w:rsidRPr="00D03A70" w:rsidRDefault="00855C23" w:rsidP="00184C11"/>
    <w:p w:rsidR="00315CA0" w:rsidRPr="00D03A70" w:rsidRDefault="00315CA0" w:rsidP="00184C11">
      <w:r w:rsidRPr="00D03A70">
        <w:t>The purpose of the transfer pricing rules is to substitute an arm’s length amount of consideration if a person’s net income has been reduced by the conditions of a cross-border ar</w:t>
      </w:r>
      <w:r w:rsidR="00F30C03" w:rsidRPr="00D03A70">
        <w:t>rangement with a related party.</w:t>
      </w:r>
    </w:p>
    <w:p w:rsidR="00315CA0" w:rsidRPr="00D03A70" w:rsidRDefault="00315CA0" w:rsidP="00184C11"/>
    <w:p w:rsidR="0060660F" w:rsidRPr="00D03A70" w:rsidRDefault="0060660F" w:rsidP="00184C11">
      <w:r w:rsidRPr="00D03A70">
        <w:t>T</w:t>
      </w:r>
      <w:r w:rsidR="00315CA0" w:rsidRPr="00D03A70">
        <w:t>he purpose statement</w:t>
      </w:r>
      <w:r w:rsidRPr="00D03A70">
        <w:t xml:space="preserve"> </w:t>
      </w:r>
      <w:r w:rsidR="00315CA0" w:rsidRPr="00D03A70">
        <w:t xml:space="preserve">in section GC 6(1) </w:t>
      </w:r>
      <w:r w:rsidRPr="00D03A70">
        <w:t>has been updated so it refers to the special rules for pricing cross-border related borrowing as well as the general transfer pricing rules for pricing the acquisition or supply of goo</w:t>
      </w:r>
      <w:r w:rsidR="00F30C03" w:rsidRPr="00D03A70">
        <w:t>ds, services, or anything else.</w:t>
      </w:r>
    </w:p>
    <w:p w:rsidR="0060660F" w:rsidRPr="00D03A70" w:rsidRDefault="0060660F" w:rsidP="00184C11"/>
    <w:p w:rsidR="000C3C46" w:rsidRPr="00D03A70" w:rsidRDefault="0060660F" w:rsidP="00184C11">
      <w:r w:rsidRPr="00D03A70">
        <w:t>This reflects the fact that t</w:t>
      </w:r>
      <w:r w:rsidR="000C3C46" w:rsidRPr="00D03A70">
        <w:t xml:space="preserve">he transfer pricing rules now include some special rules </w:t>
      </w:r>
      <w:r w:rsidRPr="00D03A70">
        <w:t xml:space="preserve">for determining how </w:t>
      </w:r>
      <w:r w:rsidR="000C3C46" w:rsidRPr="00D03A70">
        <w:t>cross-border related borrowing is priced</w:t>
      </w:r>
      <w:r w:rsidRPr="00D03A70">
        <w:t xml:space="preserve">. These rules are </w:t>
      </w:r>
      <w:r w:rsidR="000C3C46" w:rsidRPr="00D03A70">
        <w:t>in sections GC</w:t>
      </w:r>
      <w:r w:rsidR="00F30C03" w:rsidRPr="00D03A70">
        <w:t> </w:t>
      </w:r>
      <w:r w:rsidR="000C3C46" w:rsidRPr="00D03A70">
        <w:t>6(3B) and GC 15 to 19</w:t>
      </w:r>
      <w:r w:rsidRPr="00D03A70">
        <w:t xml:space="preserve"> and require certain adjustments to be made to the credit rating of the borrower and conditions of the financial arrangement, prior to the general transfer pricing rules in sections GC 6 to GC 14 being used to price the adjusted financial arrangement</w:t>
      </w:r>
      <w:r w:rsidR="00F30C03" w:rsidRPr="00D03A70">
        <w:t>.</w:t>
      </w:r>
    </w:p>
    <w:p w:rsidR="0060660F" w:rsidRPr="00D03A70" w:rsidRDefault="0060660F" w:rsidP="00184C11"/>
    <w:p w:rsidR="009F3E48" w:rsidRPr="00D03A70" w:rsidRDefault="0060660F" w:rsidP="00184C11">
      <w:r w:rsidRPr="00D03A70">
        <w:t xml:space="preserve">The special rules for </w:t>
      </w:r>
      <w:r w:rsidR="000D1CD3" w:rsidRPr="00D03A70">
        <w:t>cross-border related borrowing</w:t>
      </w:r>
      <w:r w:rsidRPr="00D03A70">
        <w:t xml:space="preserve"> are explained in</w:t>
      </w:r>
      <w:r w:rsidR="00861571" w:rsidRPr="00D03A70">
        <w:t xml:space="preserve"> </w:t>
      </w:r>
      <w:r w:rsidR="009F3E48" w:rsidRPr="00D03A70">
        <w:t xml:space="preserve">the special report on </w:t>
      </w:r>
      <w:r w:rsidR="00C626DD" w:rsidRPr="00D03A70">
        <w:t>i</w:t>
      </w:r>
      <w:r w:rsidR="0078142C" w:rsidRPr="00D03A70">
        <w:t xml:space="preserve">nterest </w:t>
      </w:r>
      <w:r w:rsidR="00C626DD" w:rsidRPr="00D03A70">
        <w:t>l</w:t>
      </w:r>
      <w:r w:rsidR="0078142C" w:rsidRPr="00D03A70">
        <w:t xml:space="preserve">imitation </w:t>
      </w:r>
      <w:r w:rsidR="009F3E48" w:rsidRPr="00D03A70">
        <w:t>(see the section</w:t>
      </w:r>
      <w:r w:rsidR="00124237">
        <w:t xml:space="preserve"> on</w:t>
      </w:r>
      <w:r w:rsidR="009F3E48" w:rsidRPr="00D03A70">
        <w:t xml:space="preserve"> </w:t>
      </w:r>
      <w:r w:rsidR="00C626DD" w:rsidRPr="00D03A70">
        <w:rPr>
          <w:rStyle w:val="Emphasis"/>
        </w:rPr>
        <w:t>“</w:t>
      </w:r>
      <w:r w:rsidR="009F3E48" w:rsidRPr="00D03A70">
        <w:rPr>
          <w:rStyle w:val="Emphasis"/>
        </w:rPr>
        <w:t>Cross-border related borrowing</w:t>
      </w:r>
      <w:r w:rsidR="00C626DD" w:rsidRPr="00D03A70">
        <w:rPr>
          <w:rStyle w:val="Emphasis"/>
        </w:rPr>
        <w:t>”</w:t>
      </w:r>
      <w:r w:rsidR="009F3E48" w:rsidRPr="00D03A70">
        <w:t>).</w:t>
      </w:r>
    </w:p>
    <w:p w:rsidR="00F26A17" w:rsidRPr="00D03A70" w:rsidRDefault="00F26A17" w:rsidP="00184C11"/>
    <w:p w:rsidR="00E370DD" w:rsidRPr="00D03A70" w:rsidRDefault="00C626DD" w:rsidP="006B573F">
      <w:pPr>
        <w:pStyle w:val="Heading2"/>
      </w:pPr>
      <w:bookmarkStart w:id="8" w:name="_Toc522633842"/>
      <w:r w:rsidRPr="00D03A70">
        <w:t>GC 6(1B): Applying the OECD t</w:t>
      </w:r>
      <w:r w:rsidR="00E370DD" w:rsidRPr="00D03A70">
        <w:t xml:space="preserve">ransfer </w:t>
      </w:r>
      <w:r w:rsidRPr="00D03A70">
        <w:t>p</w:t>
      </w:r>
      <w:r w:rsidR="00E370DD" w:rsidRPr="00D03A70">
        <w:t xml:space="preserve">ricing </w:t>
      </w:r>
      <w:r w:rsidRPr="00D03A70">
        <w:t>g</w:t>
      </w:r>
      <w:r w:rsidR="00E370DD" w:rsidRPr="00D03A70">
        <w:t>uidelines</w:t>
      </w:r>
      <w:bookmarkEnd w:id="8"/>
    </w:p>
    <w:p w:rsidR="00E370DD" w:rsidRPr="00D03A70" w:rsidRDefault="00E370DD" w:rsidP="00184C11"/>
    <w:p w:rsidR="00E370DD" w:rsidRPr="00D03A70" w:rsidRDefault="00E370DD" w:rsidP="00E370DD">
      <w:pPr>
        <w:rPr>
          <w:szCs w:val="20"/>
          <w:lang w:eastAsia="en-AU"/>
        </w:rPr>
      </w:pPr>
      <w:r w:rsidRPr="00D03A70">
        <w:rPr>
          <w:szCs w:val="20"/>
          <w:lang w:eastAsia="en-AU"/>
        </w:rPr>
        <w:t>New Zealand has contributed to and applied the OECD’s transfer pricing guidelines since they were first published in 1995. As transfer pricing practices have become more sophisticated, the OECD through its BEPS work has updated its guidelines to represent the agreed international best practice.</w:t>
      </w:r>
    </w:p>
    <w:p w:rsidR="00E370DD" w:rsidRPr="00D03A70" w:rsidRDefault="00E370DD" w:rsidP="00E370DD">
      <w:pPr>
        <w:rPr>
          <w:szCs w:val="20"/>
          <w:lang w:eastAsia="en-AU"/>
        </w:rPr>
      </w:pPr>
    </w:p>
    <w:p w:rsidR="00E370DD" w:rsidRPr="00D03A70" w:rsidRDefault="003B5268" w:rsidP="00E370DD">
      <w:pPr>
        <w:rPr>
          <w:szCs w:val="20"/>
          <w:lang w:eastAsia="en-AU"/>
        </w:rPr>
      </w:pPr>
      <w:r w:rsidRPr="00D03A70">
        <w:rPr>
          <w:szCs w:val="20"/>
          <w:lang w:eastAsia="en-AU"/>
        </w:rPr>
        <w:t>Subs</w:t>
      </w:r>
      <w:r w:rsidR="006D3331" w:rsidRPr="00D03A70">
        <w:rPr>
          <w:szCs w:val="20"/>
          <w:lang w:eastAsia="en-AU"/>
        </w:rPr>
        <w:t>ection GC 6(1B) has been added</w:t>
      </w:r>
      <w:r w:rsidRPr="00D03A70">
        <w:rPr>
          <w:szCs w:val="20"/>
          <w:lang w:eastAsia="en-AU"/>
        </w:rPr>
        <w:t xml:space="preserve"> so that </w:t>
      </w:r>
      <w:r w:rsidR="00E370DD" w:rsidRPr="00D03A70">
        <w:rPr>
          <w:szCs w:val="20"/>
          <w:lang w:eastAsia="en-AU"/>
        </w:rPr>
        <w:t>New Zealand’s transfer pricing legislation</w:t>
      </w:r>
      <w:r w:rsidR="00FD0327" w:rsidRPr="00D03A70">
        <w:rPr>
          <w:szCs w:val="20"/>
          <w:lang w:eastAsia="en-AU"/>
        </w:rPr>
        <w:t xml:space="preserve"> </w:t>
      </w:r>
      <w:r w:rsidR="00E370DD" w:rsidRPr="00D03A70">
        <w:rPr>
          <w:szCs w:val="20"/>
          <w:lang w:eastAsia="en-AU"/>
        </w:rPr>
        <w:t>explicitly refer</w:t>
      </w:r>
      <w:r w:rsidR="006D3331" w:rsidRPr="00D03A70">
        <w:rPr>
          <w:szCs w:val="20"/>
          <w:lang w:eastAsia="en-AU"/>
        </w:rPr>
        <w:t>s</w:t>
      </w:r>
      <w:r w:rsidR="00E370DD" w:rsidRPr="00D03A70">
        <w:rPr>
          <w:szCs w:val="20"/>
          <w:lang w:eastAsia="en-AU"/>
        </w:rPr>
        <w:t xml:space="preserve"> to the OECD transfer pricing guidelines by requiring the </w:t>
      </w:r>
      <w:r w:rsidR="003A5A5E" w:rsidRPr="00D03A70">
        <w:rPr>
          <w:szCs w:val="20"/>
          <w:lang w:eastAsia="en-AU"/>
        </w:rPr>
        <w:t xml:space="preserve">transfer pricing </w:t>
      </w:r>
      <w:r w:rsidR="00E370DD" w:rsidRPr="00D03A70">
        <w:rPr>
          <w:szCs w:val="20"/>
          <w:lang w:eastAsia="en-AU"/>
        </w:rPr>
        <w:t>rules</w:t>
      </w:r>
      <w:r w:rsidR="003A5A5E" w:rsidRPr="00D03A70">
        <w:rPr>
          <w:szCs w:val="20"/>
          <w:lang w:eastAsia="en-AU"/>
        </w:rPr>
        <w:t xml:space="preserve"> in sections GC 6 to GC 14</w:t>
      </w:r>
      <w:r w:rsidR="00E370DD" w:rsidRPr="00D03A70">
        <w:rPr>
          <w:szCs w:val="20"/>
          <w:lang w:eastAsia="en-AU"/>
        </w:rPr>
        <w:t xml:space="preserve"> to be applied consistently with these guidelines.</w:t>
      </w:r>
    </w:p>
    <w:p w:rsidR="00E370DD" w:rsidRPr="00D03A70" w:rsidRDefault="00E370DD" w:rsidP="00E370DD">
      <w:pPr>
        <w:rPr>
          <w:szCs w:val="20"/>
          <w:lang w:eastAsia="en-AU"/>
        </w:rPr>
      </w:pPr>
    </w:p>
    <w:p w:rsidR="00E370DD" w:rsidRPr="00D03A70" w:rsidRDefault="00E370DD" w:rsidP="00E370DD">
      <w:pPr>
        <w:rPr>
          <w:szCs w:val="20"/>
          <w:lang w:eastAsia="en-AU"/>
        </w:rPr>
      </w:pPr>
      <w:r w:rsidRPr="00D03A70">
        <w:rPr>
          <w:szCs w:val="20"/>
          <w:lang w:eastAsia="en-AU"/>
        </w:rPr>
        <w:t xml:space="preserve">The OECD transfer pricing guidelines are defined in section YA 1 as the guidelines published by the Organisation for Economic Co-operation and Development as </w:t>
      </w:r>
      <w:r w:rsidRPr="00D03A70">
        <w:rPr>
          <w:i/>
          <w:szCs w:val="20"/>
          <w:lang w:eastAsia="en-AU"/>
        </w:rPr>
        <w:t>OECD 2017, OECD Transfer Pricing Guidelines for Multinational Enterprises and Tax Administration</w:t>
      </w:r>
      <w:r w:rsidRPr="00D03A70">
        <w:rPr>
          <w:szCs w:val="20"/>
          <w:lang w:eastAsia="en-AU"/>
        </w:rPr>
        <w:t>s</w:t>
      </w:r>
      <w:r w:rsidRPr="00D03A70">
        <w:rPr>
          <w:i/>
          <w:szCs w:val="20"/>
          <w:lang w:eastAsia="en-AU"/>
        </w:rPr>
        <w:t xml:space="preserve"> 2017</w:t>
      </w:r>
      <w:r w:rsidRPr="00D03A70">
        <w:rPr>
          <w:szCs w:val="20"/>
          <w:lang w:eastAsia="en-AU"/>
        </w:rPr>
        <w:t xml:space="preserve">, OECD Publishing, Paris. This definition refers to the July 2017 edition of the guidelines available on </w:t>
      </w:r>
      <w:r w:rsidR="006D3331" w:rsidRPr="00D03A70">
        <w:rPr>
          <w:szCs w:val="20"/>
          <w:lang w:eastAsia="en-AU"/>
        </w:rPr>
        <w:t xml:space="preserve">the </w:t>
      </w:r>
      <w:r w:rsidRPr="00D03A70">
        <w:rPr>
          <w:szCs w:val="20"/>
          <w:lang w:eastAsia="en-AU"/>
        </w:rPr>
        <w:t xml:space="preserve">OECD’s website at </w:t>
      </w:r>
      <w:hyperlink r:id="rId9" w:history="1">
        <w:r w:rsidRPr="00D03A70">
          <w:rPr>
            <w:color w:val="0000FF" w:themeColor="hyperlink"/>
            <w:szCs w:val="20"/>
            <w:u w:val="single"/>
            <w:lang w:eastAsia="en-AU"/>
          </w:rPr>
          <w:t>http://www.oecd.org/tax/transfer-pricing</w:t>
        </w:r>
      </w:hyperlink>
      <w:r w:rsidRPr="00D03A70">
        <w:rPr>
          <w:szCs w:val="20"/>
          <w:lang w:eastAsia="en-AU"/>
        </w:rPr>
        <w:t>.</w:t>
      </w:r>
    </w:p>
    <w:p w:rsidR="00E370DD" w:rsidRPr="00D03A70" w:rsidRDefault="00E370DD" w:rsidP="00E370DD">
      <w:pPr>
        <w:rPr>
          <w:szCs w:val="20"/>
          <w:lang w:eastAsia="en-AU"/>
        </w:rPr>
      </w:pPr>
    </w:p>
    <w:p w:rsidR="007725DC" w:rsidRPr="00D03A70" w:rsidRDefault="007725DC" w:rsidP="00E370DD">
      <w:pPr>
        <w:rPr>
          <w:szCs w:val="20"/>
          <w:lang w:eastAsia="en-AU"/>
        </w:rPr>
      </w:pPr>
      <w:r w:rsidRPr="00D03A70">
        <w:rPr>
          <w:szCs w:val="20"/>
          <w:lang w:eastAsia="en-AU"/>
        </w:rPr>
        <w:t xml:space="preserve">The </w:t>
      </w:r>
      <w:r w:rsidR="003D29AB" w:rsidRPr="00D03A70">
        <w:rPr>
          <w:szCs w:val="20"/>
          <w:lang w:eastAsia="en-AU"/>
        </w:rPr>
        <w:t xml:space="preserve">general </w:t>
      </w:r>
      <w:r w:rsidR="00A8404D" w:rsidRPr="00D03A70">
        <w:rPr>
          <w:szCs w:val="20"/>
          <w:lang w:eastAsia="en-AU"/>
        </w:rPr>
        <w:t>policy intention is that when a</w:t>
      </w:r>
      <w:r w:rsidRPr="00D03A70">
        <w:rPr>
          <w:szCs w:val="20"/>
          <w:lang w:eastAsia="en-AU"/>
        </w:rPr>
        <w:t xml:space="preserve"> taxpayer has correctly applied the OECD transfer pricing guidelines to perform a transfer pricing analysis </w:t>
      </w:r>
      <w:r w:rsidR="003D29AB" w:rsidRPr="00D03A70">
        <w:rPr>
          <w:szCs w:val="20"/>
          <w:lang w:eastAsia="en-AU"/>
        </w:rPr>
        <w:t>that demonstrates</w:t>
      </w:r>
      <w:r w:rsidRPr="00D03A70">
        <w:rPr>
          <w:szCs w:val="20"/>
          <w:lang w:eastAsia="en-AU"/>
        </w:rPr>
        <w:t xml:space="preserve"> that their</w:t>
      </w:r>
      <w:r w:rsidR="003D29AB" w:rsidRPr="00D03A70">
        <w:rPr>
          <w:szCs w:val="20"/>
          <w:lang w:eastAsia="en-AU"/>
        </w:rPr>
        <w:t xml:space="preserve"> transfer pricing</w:t>
      </w:r>
      <w:r w:rsidRPr="00D03A70">
        <w:rPr>
          <w:szCs w:val="20"/>
          <w:lang w:eastAsia="en-AU"/>
        </w:rPr>
        <w:t xml:space="preserve"> positions</w:t>
      </w:r>
      <w:r w:rsidR="00C63E58" w:rsidRPr="00D03A70">
        <w:rPr>
          <w:szCs w:val="20"/>
          <w:lang w:eastAsia="en-AU"/>
        </w:rPr>
        <w:t xml:space="preserve"> satisfy the</w:t>
      </w:r>
      <w:r w:rsidR="003D29AB" w:rsidRPr="00D03A70">
        <w:rPr>
          <w:szCs w:val="20"/>
          <w:lang w:eastAsia="en-AU"/>
        </w:rPr>
        <w:t xml:space="preserve"> arm’s length </w:t>
      </w:r>
      <w:r w:rsidR="00C63E58" w:rsidRPr="00D03A70">
        <w:rPr>
          <w:szCs w:val="20"/>
          <w:lang w:eastAsia="en-AU"/>
        </w:rPr>
        <w:t xml:space="preserve">principle, </w:t>
      </w:r>
      <w:r w:rsidRPr="00D03A70">
        <w:rPr>
          <w:szCs w:val="20"/>
          <w:lang w:eastAsia="en-AU"/>
        </w:rPr>
        <w:t xml:space="preserve">they should have a reasonable degree of certainty that </w:t>
      </w:r>
      <w:r w:rsidR="003D29AB" w:rsidRPr="00D03A70">
        <w:rPr>
          <w:szCs w:val="20"/>
          <w:lang w:eastAsia="en-AU"/>
        </w:rPr>
        <w:t>these</w:t>
      </w:r>
      <w:r w:rsidR="00507953" w:rsidRPr="00D03A70">
        <w:rPr>
          <w:szCs w:val="20"/>
          <w:lang w:eastAsia="en-AU"/>
        </w:rPr>
        <w:t xml:space="preserve"> </w:t>
      </w:r>
      <w:r w:rsidR="003D29AB" w:rsidRPr="00D03A70">
        <w:rPr>
          <w:szCs w:val="20"/>
          <w:lang w:eastAsia="en-AU"/>
        </w:rPr>
        <w:t xml:space="preserve">tax </w:t>
      </w:r>
      <w:r w:rsidR="00507953" w:rsidRPr="00D03A70">
        <w:rPr>
          <w:szCs w:val="20"/>
          <w:lang w:eastAsia="en-AU"/>
        </w:rPr>
        <w:t>positions will</w:t>
      </w:r>
      <w:r w:rsidR="00C63E58" w:rsidRPr="00D03A70">
        <w:rPr>
          <w:szCs w:val="20"/>
          <w:lang w:eastAsia="en-AU"/>
        </w:rPr>
        <w:t xml:space="preserve"> also</w:t>
      </w:r>
      <w:r w:rsidR="00507953" w:rsidRPr="00D03A70">
        <w:rPr>
          <w:szCs w:val="20"/>
          <w:lang w:eastAsia="en-AU"/>
        </w:rPr>
        <w:t xml:space="preserve"> </w:t>
      </w:r>
      <w:r w:rsidR="003D29AB" w:rsidRPr="00D03A70">
        <w:rPr>
          <w:szCs w:val="20"/>
          <w:lang w:eastAsia="en-AU"/>
        </w:rPr>
        <w:t xml:space="preserve">meet </w:t>
      </w:r>
      <w:r w:rsidR="00507953" w:rsidRPr="00D03A70">
        <w:rPr>
          <w:szCs w:val="20"/>
          <w:lang w:eastAsia="en-AU"/>
        </w:rPr>
        <w:t>the requirements of New Ze</w:t>
      </w:r>
      <w:r w:rsidR="00C626DD" w:rsidRPr="00D03A70">
        <w:rPr>
          <w:szCs w:val="20"/>
          <w:lang w:eastAsia="en-AU"/>
        </w:rPr>
        <w:t>aland’s transfer pricing rules.</w:t>
      </w:r>
    </w:p>
    <w:p w:rsidR="007725DC" w:rsidRPr="00D03A70" w:rsidRDefault="007725DC" w:rsidP="00E370DD">
      <w:pPr>
        <w:rPr>
          <w:szCs w:val="20"/>
          <w:lang w:eastAsia="en-AU"/>
        </w:rPr>
      </w:pPr>
    </w:p>
    <w:p w:rsidR="00861571" w:rsidRPr="00D03A70" w:rsidRDefault="00861571" w:rsidP="00E370DD">
      <w:pPr>
        <w:rPr>
          <w:szCs w:val="20"/>
          <w:lang w:eastAsia="en-AU"/>
        </w:rPr>
      </w:pPr>
      <w:r w:rsidRPr="00D03A70">
        <w:rPr>
          <w:szCs w:val="20"/>
          <w:lang w:eastAsia="en-AU"/>
        </w:rPr>
        <w:t>However, the guidelines still need to be applied in conjunction with New Zealand’s legislation as there are some specific rules in New Zealand’s legislation which are additional to the guidance material i</w:t>
      </w:r>
      <w:r w:rsidR="00C626DD" w:rsidRPr="00D03A70">
        <w:rPr>
          <w:szCs w:val="20"/>
          <w:lang w:eastAsia="en-AU"/>
        </w:rPr>
        <w:t>n the OECD transfer guidelines.</w:t>
      </w:r>
    </w:p>
    <w:p w:rsidR="00861571" w:rsidRPr="00D03A70" w:rsidRDefault="00861571" w:rsidP="00E370DD">
      <w:pPr>
        <w:rPr>
          <w:szCs w:val="20"/>
          <w:lang w:eastAsia="en-AU"/>
        </w:rPr>
      </w:pPr>
    </w:p>
    <w:p w:rsidR="00861571" w:rsidRPr="00D03A70" w:rsidRDefault="00861571" w:rsidP="00E370DD">
      <w:pPr>
        <w:rPr>
          <w:szCs w:val="20"/>
          <w:lang w:eastAsia="en-AU"/>
        </w:rPr>
      </w:pPr>
      <w:r w:rsidRPr="00D03A70">
        <w:rPr>
          <w:szCs w:val="20"/>
          <w:lang w:eastAsia="en-AU"/>
        </w:rPr>
        <w:t>For example, the OECD transfer pricing guidelines were developed to provide guidance for how to apply Article 9 of the OECD model double tax agreement to “associated enterprises” as defined in that Article. New Zealand’s transfer pricing legislation applies to a wider range of cross-border related party arrangements (as is further explained in section GC 6(2)(b) below).</w:t>
      </w:r>
    </w:p>
    <w:p w:rsidR="00861571" w:rsidRPr="00D03A70" w:rsidRDefault="00861571" w:rsidP="00E370DD">
      <w:pPr>
        <w:rPr>
          <w:szCs w:val="20"/>
          <w:lang w:eastAsia="en-AU"/>
        </w:rPr>
      </w:pPr>
    </w:p>
    <w:p w:rsidR="005F6759" w:rsidRPr="00D03A70" w:rsidRDefault="00861571" w:rsidP="002E1F16">
      <w:r w:rsidRPr="00D03A70">
        <w:t>Another area where</w:t>
      </w:r>
      <w:r w:rsidR="007725DC" w:rsidRPr="00D03A70">
        <w:t xml:space="preserve"> New Zealand’s transfer pricing rules</w:t>
      </w:r>
      <w:r w:rsidRPr="00D03A70">
        <w:t xml:space="preserve"> are more prescriptive</w:t>
      </w:r>
      <w:r w:rsidR="007725DC" w:rsidRPr="00D03A70">
        <w:t xml:space="preserve"> </w:t>
      </w:r>
      <w:r w:rsidRPr="00D03A70">
        <w:t xml:space="preserve">is that New Zealand’s legislation has </w:t>
      </w:r>
      <w:r w:rsidR="007725DC" w:rsidRPr="00D03A70">
        <w:t xml:space="preserve">special rules that must be used for </w:t>
      </w:r>
      <w:r w:rsidR="00507953" w:rsidRPr="00D03A70">
        <w:t>determining how cross-border related borrowing is priced.</w:t>
      </w:r>
      <w:r w:rsidR="005F6759" w:rsidRPr="00D03A70">
        <w:t xml:space="preserve"> These rules are in sections GC 6(3B) and GC 15 to 19 and can require certain adjustments to be made to the credit rating of the borrower and conditions of the financial arrangement, prior to the general transfer pricing rules in sections GC 6 to GC 14 (and the OECD transfer pricing guidelines) being used to price the adjusted financial arrangement.</w:t>
      </w:r>
    </w:p>
    <w:p w:rsidR="007725DC" w:rsidRPr="00D03A70" w:rsidRDefault="007725DC" w:rsidP="00E370DD">
      <w:pPr>
        <w:rPr>
          <w:szCs w:val="20"/>
          <w:lang w:eastAsia="en-AU"/>
        </w:rPr>
      </w:pPr>
    </w:p>
    <w:p w:rsidR="00CB690F" w:rsidRPr="00D03A70" w:rsidRDefault="00E370DD" w:rsidP="00E370DD">
      <w:pPr>
        <w:rPr>
          <w:szCs w:val="20"/>
          <w:lang w:eastAsia="en-AU"/>
        </w:rPr>
      </w:pPr>
      <w:r w:rsidRPr="00D03A70">
        <w:rPr>
          <w:szCs w:val="20"/>
          <w:lang w:eastAsia="en-AU"/>
        </w:rPr>
        <w:t xml:space="preserve">The OECD transfer pricing guidelines are periodically updated by </w:t>
      </w:r>
      <w:r w:rsidR="00C40B1D" w:rsidRPr="00D03A70">
        <w:rPr>
          <w:szCs w:val="20"/>
          <w:lang w:eastAsia="en-AU"/>
        </w:rPr>
        <w:t xml:space="preserve">the </w:t>
      </w:r>
      <w:r w:rsidRPr="00D03A70">
        <w:rPr>
          <w:szCs w:val="20"/>
          <w:lang w:eastAsia="en-AU"/>
        </w:rPr>
        <w:t xml:space="preserve">OECD </w:t>
      </w:r>
      <w:r w:rsidR="009F3E48" w:rsidRPr="00D03A70">
        <w:rPr>
          <w:szCs w:val="20"/>
          <w:lang w:eastAsia="en-AU"/>
        </w:rPr>
        <w:t xml:space="preserve">and </w:t>
      </w:r>
      <w:r w:rsidRPr="00D03A70">
        <w:rPr>
          <w:szCs w:val="20"/>
          <w:lang w:eastAsia="en-AU"/>
        </w:rPr>
        <w:t>New Zealand participates in</w:t>
      </w:r>
      <w:r w:rsidR="009F3E48" w:rsidRPr="00D03A70">
        <w:rPr>
          <w:szCs w:val="20"/>
          <w:lang w:eastAsia="en-AU"/>
        </w:rPr>
        <w:t xml:space="preserve"> developing the updated guidelines</w:t>
      </w:r>
      <w:r w:rsidR="00C40B1D" w:rsidRPr="00D03A70">
        <w:rPr>
          <w:szCs w:val="20"/>
          <w:lang w:eastAsia="en-AU"/>
        </w:rPr>
        <w:t>.</w:t>
      </w:r>
      <w:r w:rsidR="007A59C7" w:rsidRPr="00D03A70">
        <w:rPr>
          <w:szCs w:val="20"/>
          <w:lang w:eastAsia="en-AU"/>
        </w:rPr>
        <w:t xml:space="preserve"> </w:t>
      </w:r>
      <w:r w:rsidRPr="00D03A70">
        <w:rPr>
          <w:szCs w:val="20"/>
          <w:lang w:eastAsia="en-AU"/>
        </w:rPr>
        <w:t>When these updates occur, we will review the revisions to the guidelines with a view to updating the definition of the OECD transfer pricing guidelines in section YA 1 so it refers to the latest version</w:t>
      </w:r>
      <w:r w:rsidR="00C626DD" w:rsidRPr="00D03A70">
        <w:rPr>
          <w:szCs w:val="20"/>
          <w:lang w:eastAsia="en-AU"/>
        </w:rPr>
        <w:t xml:space="preserve"> of the guidelines. </w:t>
      </w:r>
      <w:r w:rsidRPr="00D03A70">
        <w:rPr>
          <w:szCs w:val="20"/>
          <w:lang w:eastAsia="en-AU"/>
        </w:rPr>
        <w:t>Future taxation bills would be used to include these updates to the definition in section YA 1.</w:t>
      </w:r>
    </w:p>
    <w:p w:rsidR="00E370DD" w:rsidRPr="00D03A70" w:rsidRDefault="00E370DD" w:rsidP="00E370DD">
      <w:pPr>
        <w:rPr>
          <w:szCs w:val="20"/>
          <w:lang w:eastAsia="en-AU"/>
        </w:rPr>
      </w:pPr>
    </w:p>
    <w:p w:rsidR="007A59C7" w:rsidRPr="00D03A70" w:rsidRDefault="007A59C7" w:rsidP="007A59C7">
      <w:pPr>
        <w:rPr>
          <w:szCs w:val="20"/>
          <w:lang w:eastAsia="en-AU"/>
        </w:rPr>
      </w:pPr>
      <w:r w:rsidRPr="00D03A70">
        <w:rPr>
          <w:szCs w:val="20"/>
          <w:lang w:eastAsia="en-AU"/>
        </w:rPr>
        <w:t xml:space="preserve">In many cases the updates to the guidelines clarify or provide further guidance on existing concepts, rather than </w:t>
      </w:r>
      <w:r w:rsidR="006C0503" w:rsidRPr="00D03A70">
        <w:rPr>
          <w:szCs w:val="20"/>
          <w:lang w:eastAsia="en-AU"/>
        </w:rPr>
        <w:t xml:space="preserve">introducing </w:t>
      </w:r>
      <w:r w:rsidRPr="00D03A70">
        <w:rPr>
          <w:szCs w:val="20"/>
          <w:lang w:eastAsia="en-AU"/>
        </w:rPr>
        <w:t>significant</w:t>
      </w:r>
      <w:r w:rsidR="006C0503" w:rsidRPr="00D03A70">
        <w:rPr>
          <w:szCs w:val="20"/>
          <w:lang w:eastAsia="en-AU"/>
        </w:rPr>
        <w:t xml:space="preserve"> new concepts or practices</w:t>
      </w:r>
      <w:r w:rsidRPr="00D03A70">
        <w:rPr>
          <w:szCs w:val="20"/>
          <w:lang w:eastAsia="en-AU"/>
        </w:rPr>
        <w:t xml:space="preserve">. In this regard applying the latest version of the OECD’s transfer pricing guidelines can aid with the application and interpretation of transfer pricing </w:t>
      </w:r>
      <w:r w:rsidR="006C0503" w:rsidRPr="00D03A70">
        <w:rPr>
          <w:szCs w:val="20"/>
          <w:lang w:eastAsia="en-AU"/>
        </w:rPr>
        <w:t>legislation that was enacted earlier</w:t>
      </w:r>
      <w:r w:rsidRPr="00D03A70">
        <w:rPr>
          <w:szCs w:val="20"/>
          <w:lang w:eastAsia="en-AU"/>
        </w:rPr>
        <w:t xml:space="preserve">. Inland Revenue and many taxpayers routinely apply the latest versions of the guidelines to </w:t>
      </w:r>
      <w:r w:rsidR="006C0503" w:rsidRPr="00D03A70">
        <w:rPr>
          <w:szCs w:val="20"/>
          <w:lang w:eastAsia="en-AU"/>
        </w:rPr>
        <w:t xml:space="preserve">assist in analysing </w:t>
      </w:r>
      <w:r w:rsidRPr="00D03A70">
        <w:rPr>
          <w:szCs w:val="20"/>
          <w:lang w:eastAsia="en-AU"/>
        </w:rPr>
        <w:t>cases from earlier years, as the</w:t>
      </w:r>
      <w:r w:rsidR="006C0503" w:rsidRPr="00D03A70">
        <w:rPr>
          <w:szCs w:val="20"/>
          <w:lang w:eastAsia="en-AU"/>
        </w:rPr>
        <w:t xml:space="preserve"> latest</w:t>
      </w:r>
      <w:r w:rsidRPr="00D03A70">
        <w:rPr>
          <w:szCs w:val="20"/>
          <w:lang w:eastAsia="en-AU"/>
        </w:rPr>
        <w:t xml:space="preserve"> guidelines are generally co</w:t>
      </w:r>
      <w:r w:rsidR="00184C11" w:rsidRPr="00D03A70">
        <w:rPr>
          <w:szCs w:val="20"/>
          <w:lang w:eastAsia="en-AU"/>
        </w:rPr>
        <w:t>nsistent with our existing law.</w:t>
      </w:r>
    </w:p>
    <w:p w:rsidR="007A59C7" w:rsidRPr="00D03A70" w:rsidRDefault="007A59C7" w:rsidP="00E370DD">
      <w:pPr>
        <w:rPr>
          <w:szCs w:val="20"/>
          <w:lang w:eastAsia="en-AU"/>
        </w:rPr>
      </w:pPr>
    </w:p>
    <w:p w:rsidR="00E370DD" w:rsidRPr="00D03A70" w:rsidRDefault="00E370DD" w:rsidP="00E370DD">
      <w:pPr>
        <w:rPr>
          <w:szCs w:val="20"/>
          <w:lang w:eastAsia="en-AU"/>
        </w:rPr>
      </w:pPr>
      <w:r w:rsidRPr="00D03A70">
        <w:rPr>
          <w:szCs w:val="20"/>
          <w:lang w:eastAsia="en-AU"/>
        </w:rPr>
        <w:t>The application date for new section GC 6(1B) is income years beginning on or after 1</w:t>
      </w:r>
      <w:r w:rsidR="00F30C03" w:rsidRPr="00D03A70">
        <w:rPr>
          <w:szCs w:val="20"/>
          <w:lang w:eastAsia="en-AU"/>
        </w:rPr>
        <w:t> </w:t>
      </w:r>
      <w:r w:rsidRPr="00D03A70">
        <w:rPr>
          <w:szCs w:val="20"/>
          <w:lang w:eastAsia="en-AU"/>
        </w:rPr>
        <w:t>July</w:t>
      </w:r>
      <w:r w:rsidR="00F30C03" w:rsidRPr="00D03A70">
        <w:rPr>
          <w:szCs w:val="20"/>
          <w:lang w:eastAsia="en-AU"/>
        </w:rPr>
        <w:t> </w:t>
      </w:r>
      <w:r w:rsidRPr="00D03A70">
        <w:rPr>
          <w:szCs w:val="20"/>
          <w:lang w:eastAsia="en-AU"/>
        </w:rPr>
        <w:t>2018. This means transfer pricing positions taken on or after 1 July 2018 will need to be analysed in a way that is consistent with the July 2017 version of the OECD transfer pricing guidelines.</w:t>
      </w:r>
    </w:p>
    <w:p w:rsidR="00184C11" w:rsidRDefault="00184C11" w:rsidP="00184C11"/>
    <w:p w:rsidR="00F26A17" w:rsidRPr="00D03A70" w:rsidRDefault="00F26A17" w:rsidP="00184C11"/>
    <w:p w:rsidR="00E370DD" w:rsidRPr="00D03A70" w:rsidRDefault="00E370DD" w:rsidP="006B573F">
      <w:pPr>
        <w:pStyle w:val="Heading2"/>
      </w:pPr>
      <w:bookmarkStart w:id="9" w:name="_Toc522633843"/>
      <w:r w:rsidRPr="00D03A70">
        <w:t xml:space="preserve">GC 6(2)(b): </w:t>
      </w:r>
      <w:r w:rsidR="003A5A5E" w:rsidRPr="00D03A70">
        <w:t>Defining the related party arrangements to which t</w:t>
      </w:r>
      <w:r w:rsidR="00C626DD" w:rsidRPr="00D03A70">
        <w:t>he transfer pricing rules apply</w:t>
      </w:r>
      <w:bookmarkEnd w:id="9"/>
    </w:p>
    <w:p w:rsidR="00E370DD" w:rsidRPr="00D03A70" w:rsidRDefault="00E370DD" w:rsidP="00184C11"/>
    <w:p w:rsidR="00F87625" w:rsidRPr="00D03A70" w:rsidRDefault="00EC27AB" w:rsidP="00184C11">
      <w:r w:rsidRPr="00D03A70">
        <w:t xml:space="preserve">Section GC 6(2) defines </w:t>
      </w:r>
      <w:r w:rsidR="005C021E" w:rsidRPr="00D03A70">
        <w:t xml:space="preserve">the transfer pricing arrangements </w:t>
      </w:r>
      <w:r w:rsidR="00A5401D" w:rsidRPr="00D03A70">
        <w:t xml:space="preserve">that </w:t>
      </w:r>
      <w:r w:rsidR="005C021E" w:rsidRPr="00D03A70">
        <w:t xml:space="preserve">the transfer pricing rules apply to. </w:t>
      </w:r>
      <w:r w:rsidR="00F87625" w:rsidRPr="00D03A70">
        <w:t>A transfer pricing arrangement is a cross-border arran</w:t>
      </w:r>
      <w:r w:rsidR="00184C11" w:rsidRPr="00D03A70">
        <w:t>gement between related parties.</w:t>
      </w:r>
    </w:p>
    <w:p w:rsidR="00F87625" w:rsidRPr="00D03A70" w:rsidRDefault="00F87625" w:rsidP="00184C11"/>
    <w:p w:rsidR="00D05D87" w:rsidRPr="00D03A70" w:rsidRDefault="00D05D87" w:rsidP="00184C11">
      <w:r w:rsidRPr="00D03A70">
        <w:t>The meaning of “arrangement” (which is described in section GC 6(2)(a)) and “cross-border arrangement” (which is defined in section GC 6(3)), are unchanged under the new legislation.</w:t>
      </w:r>
    </w:p>
    <w:p w:rsidR="00D05D87" w:rsidRPr="00D03A70" w:rsidRDefault="00D05D87" w:rsidP="00184C11"/>
    <w:p w:rsidR="00F87625" w:rsidRPr="00D03A70" w:rsidRDefault="00D05D87" w:rsidP="00184C11">
      <w:r w:rsidRPr="00D03A70">
        <w:t xml:space="preserve">However, the </w:t>
      </w:r>
      <w:r w:rsidR="00F87625" w:rsidRPr="00D03A70">
        <w:t xml:space="preserve">concept of </w:t>
      </w:r>
      <w:r w:rsidR="00C40B1D" w:rsidRPr="00D03A70">
        <w:t>“</w:t>
      </w:r>
      <w:r w:rsidR="00F87625" w:rsidRPr="00D03A70">
        <w:t>related party</w:t>
      </w:r>
      <w:r w:rsidR="00C40B1D" w:rsidRPr="00D03A70">
        <w:t>”</w:t>
      </w:r>
      <w:r w:rsidR="00A5401D" w:rsidRPr="00D03A70">
        <w:t xml:space="preserve"> has been</w:t>
      </w:r>
      <w:r w:rsidR="00F87625" w:rsidRPr="00D03A70">
        <w:t xml:space="preserve"> expa</w:t>
      </w:r>
      <w:r w:rsidR="00C626DD" w:rsidRPr="00D03A70">
        <w:t>nded under the new legislation.</w:t>
      </w:r>
    </w:p>
    <w:p w:rsidR="00D05D87" w:rsidRPr="00D03A70" w:rsidRDefault="00D05D87" w:rsidP="00184C11"/>
    <w:p w:rsidR="00D05D87" w:rsidRPr="00D03A70" w:rsidRDefault="00D05D87" w:rsidP="00184C11">
      <w:r w:rsidRPr="00D03A70">
        <w:t xml:space="preserve">Prior to July 2018, the transfer pricing rules only applied to arrangements between “associated persons” as defined in section </w:t>
      </w:r>
      <w:r w:rsidR="00FA3756" w:rsidRPr="00D03A70">
        <w:t>YA 1</w:t>
      </w:r>
      <w:r w:rsidRPr="00D03A70">
        <w:t xml:space="preserve">. For example, two companies are associated persons if they have </w:t>
      </w:r>
      <w:r w:rsidR="006B573F" w:rsidRPr="00D03A70">
        <w:t>fifty percent</w:t>
      </w:r>
      <w:r w:rsidR="00184C11" w:rsidRPr="00D03A70">
        <w:t xml:space="preserve"> or more common ownership.</w:t>
      </w:r>
    </w:p>
    <w:p w:rsidR="005C021E" w:rsidRPr="00D03A70" w:rsidRDefault="005C021E" w:rsidP="00184C11"/>
    <w:p w:rsidR="00D05D87" w:rsidRPr="00D03A70" w:rsidRDefault="00D05D87" w:rsidP="00184C11">
      <w:r w:rsidRPr="00D03A70">
        <w:t>The new rules apply to cross-border arrangements between:</w:t>
      </w:r>
    </w:p>
    <w:p w:rsidR="00D05D87" w:rsidRPr="00D03A70" w:rsidRDefault="00D05D87" w:rsidP="00184C11"/>
    <w:p w:rsidR="00D05D87" w:rsidRPr="00D03A70" w:rsidRDefault="00C626DD" w:rsidP="00184C11">
      <w:pPr>
        <w:pStyle w:val="Bullets"/>
      </w:pPr>
      <w:r w:rsidRPr="00D03A70">
        <w:t>a</w:t>
      </w:r>
      <w:r w:rsidR="00D05D87" w:rsidRPr="00D03A70">
        <w:t>ssociated persons (as defined in section Y</w:t>
      </w:r>
      <w:r w:rsidR="00FA3756" w:rsidRPr="00D03A70">
        <w:t>A 1</w:t>
      </w:r>
      <w:r w:rsidR="00D05D87" w:rsidRPr="00D03A70">
        <w:t>)</w:t>
      </w:r>
      <w:r w:rsidR="00B85B2B" w:rsidRPr="00D03A70">
        <w:t>;</w:t>
      </w:r>
    </w:p>
    <w:p w:rsidR="00B85B2B" w:rsidRPr="00D03A70" w:rsidRDefault="00C626DD" w:rsidP="00184C11">
      <w:pPr>
        <w:pStyle w:val="Bullets"/>
      </w:pPr>
      <w:r w:rsidRPr="00D03A70">
        <w:t>a</w:t>
      </w:r>
      <w:r w:rsidR="00D05D87" w:rsidRPr="00D03A70">
        <w:t xml:space="preserve"> company and a member of a non-resident owning body where the members of </w:t>
      </w:r>
      <w:r w:rsidR="00437967" w:rsidRPr="00D03A70">
        <w:t>t</w:t>
      </w:r>
      <w:r w:rsidR="00D05D87" w:rsidRPr="00D03A70">
        <w:t xml:space="preserve">he non-resident owning body collectively </w:t>
      </w:r>
      <w:r w:rsidR="00437967" w:rsidRPr="00D03A70">
        <w:t xml:space="preserve">have </w:t>
      </w:r>
      <w:r w:rsidR="00D05D87" w:rsidRPr="00D03A70">
        <w:t>voting or market value interest</w:t>
      </w:r>
      <w:r w:rsidR="00437967" w:rsidRPr="00D03A70">
        <w:t>s</w:t>
      </w:r>
      <w:r w:rsidR="00184C11" w:rsidRPr="00D03A70">
        <w:t xml:space="preserve"> in the company of</w:t>
      </w:r>
      <w:r w:rsidR="006B573F" w:rsidRPr="00D03A70">
        <w:t xml:space="preserve"> fifty percent</w:t>
      </w:r>
      <w:r w:rsidR="00184C11" w:rsidRPr="00D03A70">
        <w:t xml:space="preserve"> or more;</w:t>
      </w:r>
      <w:r w:rsidRPr="00D03A70">
        <w:t xml:space="preserve"> and</w:t>
      </w:r>
    </w:p>
    <w:p w:rsidR="00D05D87" w:rsidRPr="00D03A70" w:rsidRDefault="00C626DD" w:rsidP="002E1F16">
      <w:pPr>
        <w:pStyle w:val="Bullets-Last"/>
      </w:pPr>
      <w:r w:rsidRPr="00D03A70">
        <w:t>a</w:t>
      </w:r>
      <w:r w:rsidR="00D05D87" w:rsidRPr="00D03A70">
        <w:t xml:space="preserve"> non-resident (lender) and another person (borrower) that includes a financial arrangement that is a cross-border related borrowing</w:t>
      </w:r>
      <w:r w:rsidR="00437967" w:rsidRPr="00D03A70">
        <w:t xml:space="preserve"> (as defined in GC 6(3)).</w:t>
      </w:r>
    </w:p>
    <w:p w:rsidR="00F26A17" w:rsidRPr="00D03A70" w:rsidRDefault="00F26A17" w:rsidP="00184C11"/>
    <w:p w:rsidR="00D05D87" w:rsidRPr="00D03A70" w:rsidRDefault="00D05D87" w:rsidP="00124237">
      <w:pPr>
        <w:pStyle w:val="Heading3"/>
      </w:pPr>
      <w:r w:rsidRPr="00D03A70">
        <w:t>Associated persons</w:t>
      </w:r>
    </w:p>
    <w:p w:rsidR="00D05D87" w:rsidRPr="00D03A70" w:rsidRDefault="00D05D87" w:rsidP="00184C11"/>
    <w:p w:rsidR="00503F37" w:rsidRPr="00D03A70" w:rsidRDefault="00B85B2B" w:rsidP="00E370DD">
      <w:pPr>
        <w:rPr>
          <w:szCs w:val="20"/>
          <w:lang w:eastAsia="en-AU"/>
        </w:rPr>
      </w:pPr>
      <w:r w:rsidRPr="00D03A70">
        <w:rPr>
          <w:szCs w:val="20"/>
          <w:lang w:eastAsia="en-AU"/>
        </w:rPr>
        <w:t>Associated persons are defined in section Y</w:t>
      </w:r>
      <w:r w:rsidR="00FA3756" w:rsidRPr="00D03A70">
        <w:rPr>
          <w:szCs w:val="20"/>
          <w:lang w:eastAsia="en-AU"/>
        </w:rPr>
        <w:t>A</w:t>
      </w:r>
      <w:r w:rsidRPr="00D03A70">
        <w:rPr>
          <w:szCs w:val="20"/>
          <w:lang w:eastAsia="en-AU"/>
        </w:rPr>
        <w:t xml:space="preserve"> </w:t>
      </w:r>
      <w:r w:rsidR="00FA3756" w:rsidRPr="00D03A70">
        <w:rPr>
          <w:szCs w:val="20"/>
          <w:lang w:eastAsia="en-AU"/>
        </w:rPr>
        <w:t>1</w:t>
      </w:r>
      <w:r w:rsidR="00503F37" w:rsidRPr="00D03A70">
        <w:rPr>
          <w:szCs w:val="20"/>
          <w:lang w:eastAsia="en-AU"/>
        </w:rPr>
        <w:t xml:space="preserve"> of the Income Tax Act 2007</w:t>
      </w:r>
      <w:r w:rsidR="00184C11" w:rsidRPr="00D03A70">
        <w:rPr>
          <w:szCs w:val="20"/>
          <w:lang w:eastAsia="en-AU"/>
        </w:rPr>
        <w:t>.</w:t>
      </w:r>
    </w:p>
    <w:p w:rsidR="00503F37" w:rsidRPr="00D03A70" w:rsidRDefault="00503F37" w:rsidP="00E370DD">
      <w:pPr>
        <w:rPr>
          <w:szCs w:val="20"/>
          <w:lang w:eastAsia="en-AU"/>
        </w:rPr>
      </w:pPr>
    </w:p>
    <w:p w:rsidR="00B85B2B" w:rsidRPr="00D03A70" w:rsidRDefault="00503F37" w:rsidP="00E370DD">
      <w:pPr>
        <w:rPr>
          <w:szCs w:val="20"/>
          <w:lang w:eastAsia="en-AU"/>
        </w:rPr>
      </w:pPr>
      <w:r w:rsidRPr="00D03A70">
        <w:rPr>
          <w:szCs w:val="20"/>
          <w:lang w:eastAsia="en-AU"/>
        </w:rPr>
        <w:t xml:space="preserve">The definition of “associated persons” </w:t>
      </w:r>
      <w:r w:rsidR="00625C5E" w:rsidRPr="00D03A70">
        <w:rPr>
          <w:szCs w:val="20"/>
          <w:lang w:eastAsia="en-AU"/>
        </w:rPr>
        <w:t>is unchanged by</w:t>
      </w:r>
      <w:r w:rsidRPr="00D03A70">
        <w:rPr>
          <w:szCs w:val="20"/>
          <w:lang w:eastAsia="en-AU"/>
        </w:rPr>
        <w:t xml:space="preserve"> the Taxation (Neutralising Base Erosion and Profit Shifting) Act</w:t>
      </w:r>
      <w:r w:rsidR="006A08E0">
        <w:rPr>
          <w:szCs w:val="20"/>
          <w:lang w:eastAsia="en-AU"/>
        </w:rPr>
        <w:t xml:space="preserve"> 2018</w:t>
      </w:r>
      <w:r w:rsidR="00B85B2B" w:rsidRPr="00D03A70">
        <w:rPr>
          <w:szCs w:val="20"/>
          <w:lang w:eastAsia="en-AU"/>
        </w:rPr>
        <w:t xml:space="preserve">. This means the set of “associated persons” who were required to apply the transfer pricing rules prior to 1 July 2018, will continue to be subject to the transfer pricing rules </w:t>
      </w:r>
      <w:r w:rsidRPr="00D03A70">
        <w:rPr>
          <w:szCs w:val="20"/>
          <w:lang w:eastAsia="en-AU"/>
        </w:rPr>
        <w:t>after 1 July 2018 (assuming they</w:t>
      </w:r>
      <w:r w:rsidR="00B85B2B" w:rsidRPr="00D03A70">
        <w:rPr>
          <w:szCs w:val="20"/>
          <w:lang w:eastAsia="en-AU"/>
        </w:rPr>
        <w:t xml:space="preserve"> continue to meet the definition</w:t>
      </w:r>
      <w:r w:rsidRPr="00D03A70">
        <w:rPr>
          <w:szCs w:val="20"/>
          <w:lang w:eastAsia="en-AU"/>
        </w:rPr>
        <w:t xml:space="preserve"> of “associated persons”</w:t>
      </w:r>
      <w:r w:rsidR="00B85B2B" w:rsidRPr="00D03A70">
        <w:rPr>
          <w:szCs w:val="20"/>
          <w:lang w:eastAsia="en-AU"/>
        </w:rPr>
        <w:t xml:space="preserve"> in section Y</w:t>
      </w:r>
      <w:r w:rsidR="00FA3756" w:rsidRPr="00D03A70">
        <w:rPr>
          <w:szCs w:val="20"/>
          <w:lang w:eastAsia="en-AU"/>
        </w:rPr>
        <w:t>A 1</w:t>
      </w:r>
      <w:r w:rsidR="00B85B2B" w:rsidRPr="00D03A70">
        <w:rPr>
          <w:szCs w:val="20"/>
          <w:lang w:eastAsia="en-AU"/>
        </w:rPr>
        <w:t>).</w:t>
      </w:r>
    </w:p>
    <w:p w:rsidR="00503F37" w:rsidRPr="00D03A70" w:rsidRDefault="00503F37" w:rsidP="00E370DD">
      <w:pPr>
        <w:rPr>
          <w:szCs w:val="20"/>
          <w:lang w:eastAsia="en-AU"/>
        </w:rPr>
      </w:pPr>
    </w:p>
    <w:p w:rsidR="00B85B2B" w:rsidRPr="00D03A70" w:rsidRDefault="00B85B2B" w:rsidP="00E370DD">
      <w:pPr>
        <w:rPr>
          <w:szCs w:val="20"/>
          <w:lang w:eastAsia="en-AU"/>
        </w:rPr>
      </w:pPr>
      <w:r w:rsidRPr="00D03A70">
        <w:rPr>
          <w:szCs w:val="20"/>
          <w:lang w:eastAsia="en-AU"/>
        </w:rPr>
        <w:t>Some typical cases where persons are associated include:</w:t>
      </w:r>
    </w:p>
    <w:p w:rsidR="00B85B2B" w:rsidRPr="00D03A70" w:rsidRDefault="00B85B2B" w:rsidP="00E370DD">
      <w:pPr>
        <w:rPr>
          <w:szCs w:val="20"/>
          <w:lang w:eastAsia="en-AU"/>
        </w:rPr>
      </w:pPr>
    </w:p>
    <w:p w:rsidR="00A24382" w:rsidRPr="00D03A70" w:rsidRDefault="00B85B2B" w:rsidP="00184C11">
      <w:pPr>
        <w:pStyle w:val="Bullets"/>
      </w:pPr>
      <w:r w:rsidRPr="00D03A70">
        <w:t>Two companies</w:t>
      </w:r>
      <w:r w:rsidR="00B132F9" w:rsidRPr="00D03A70">
        <w:t>,</w:t>
      </w:r>
      <w:r w:rsidRPr="00D03A70">
        <w:t xml:space="preserve"> w</w:t>
      </w:r>
      <w:r w:rsidR="00B132F9" w:rsidRPr="00D03A70">
        <w:t>here the same group of persons own</w:t>
      </w:r>
      <w:r w:rsidR="006B573F" w:rsidRPr="00D03A70">
        <w:t xml:space="preserve"> fifty percent</w:t>
      </w:r>
      <w:r w:rsidRPr="00D03A70">
        <w:t xml:space="preserve"> or more</w:t>
      </w:r>
      <w:r w:rsidR="00B132F9" w:rsidRPr="00D03A70">
        <w:t xml:space="preserve"> of the</w:t>
      </w:r>
      <w:r w:rsidRPr="00D03A70">
        <w:t xml:space="preserve"> voting interests, market value interests or </w:t>
      </w:r>
      <w:r w:rsidR="00B132F9" w:rsidRPr="00D03A70">
        <w:t xml:space="preserve">control by other </w:t>
      </w:r>
      <w:r w:rsidR="006B573F" w:rsidRPr="00D03A70">
        <w:t>means in both of the companies.</w:t>
      </w:r>
    </w:p>
    <w:p w:rsidR="00B132F9" w:rsidRPr="00D03A70" w:rsidRDefault="00B132F9" w:rsidP="00184C11">
      <w:pPr>
        <w:pStyle w:val="Bullets"/>
      </w:pPr>
      <w:r w:rsidRPr="00D03A70">
        <w:t xml:space="preserve">When a person who is not a company owns </w:t>
      </w:r>
      <w:r w:rsidR="006B573F" w:rsidRPr="00D03A70">
        <w:t>twenty five percent</w:t>
      </w:r>
      <w:r w:rsidRPr="00D03A70">
        <w:t xml:space="preserve"> or more of the voting interests or market value interests of the company.</w:t>
      </w:r>
    </w:p>
    <w:p w:rsidR="00B132F9" w:rsidRPr="00D03A70" w:rsidRDefault="00B132F9" w:rsidP="00184C11">
      <w:pPr>
        <w:pStyle w:val="Bullets"/>
      </w:pPr>
      <w:r w:rsidRPr="00D03A70">
        <w:t xml:space="preserve">A limited partnership and a partner when the partner owns </w:t>
      </w:r>
      <w:r w:rsidR="006B573F" w:rsidRPr="00D03A70">
        <w:t>twenty five percent</w:t>
      </w:r>
      <w:r w:rsidRPr="00D03A70">
        <w:t xml:space="preserve"> or more in a right, obligation, or other property, status or thing of the limited partnership.</w:t>
      </w:r>
    </w:p>
    <w:p w:rsidR="00B132F9" w:rsidRPr="00D03A70" w:rsidRDefault="00B132F9" w:rsidP="00184C11">
      <w:pPr>
        <w:pStyle w:val="Bullets"/>
      </w:pPr>
      <w:r w:rsidRPr="00D03A70">
        <w:t>A non-limited partnership and a partner in the partnership</w:t>
      </w:r>
      <w:r w:rsidR="00282279" w:rsidRPr="00D03A70">
        <w:t>.</w:t>
      </w:r>
    </w:p>
    <w:p w:rsidR="00B132F9" w:rsidRPr="00D03A70" w:rsidRDefault="00B132F9" w:rsidP="002E1F16">
      <w:pPr>
        <w:pStyle w:val="Bullets-Last"/>
      </w:pPr>
      <w:r w:rsidRPr="00D03A70">
        <w:t>Natural persons who are</w:t>
      </w:r>
      <w:r w:rsidR="0000264D" w:rsidRPr="00D03A70">
        <w:t xml:space="preserve"> close</w:t>
      </w:r>
      <w:r w:rsidRPr="00D03A70">
        <w:t xml:space="preserve"> relatives</w:t>
      </w:r>
      <w:r w:rsidR="00282279" w:rsidRPr="00D03A70">
        <w:t>.</w:t>
      </w:r>
    </w:p>
    <w:p w:rsidR="00B132F9" w:rsidRPr="00D03A70" w:rsidRDefault="00B132F9" w:rsidP="00184C11"/>
    <w:p w:rsidR="00B132F9" w:rsidRPr="00D03A70" w:rsidRDefault="00625C5E" w:rsidP="00184C11">
      <w:r w:rsidRPr="00D03A70">
        <w:t xml:space="preserve">Many </w:t>
      </w:r>
      <w:r w:rsidR="00B132F9" w:rsidRPr="00D03A70">
        <w:t xml:space="preserve">of these tests also include aggregation rules whereby if two </w:t>
      </w:r>
      <w:r w:rsidR="00CC45CE" w:rsidRPr="00D03A70">
        <w:t>person</w:t>
      </w:r>
      <w:r w:rsidR="00B132F9" w:rsidRPr="00D03A70">
        <w:t>s are associated under another rule</w:t>
      </w:r>
      <w:r w:rsidR="0000264D" w:rsidRPr="00D03A70">
        <w:t xml:space="preserve"> their interests are aggregated for determining whether the</w:t>
      </w:r>
      <w:r w:rsidR="009C5611" w:rsidRPr="00D03A70">
        <w:t xml:space="preserve"> relevant voting, market value or</w:t>
      </w:r>
      <w:r w:rsidR="0000264D" w:rsidRPr="00D03A70">
        <w:t xml:space="preserve"> </w:t>
      </w:r>
      <w:r w:rsidR="009C5611" w:rsidRPr="00D03A70">
        <w:t>control thresholds are met.</w:t>
      </w:r>
      <w:r w:rsidR="00CC45CE" w:rsidRPr="00D03A70">
        <w:t xml:space="preserve"> So, for example if a mother owns more than </w:t>
      </w:r>
      <w:r w:rsidR="006B573F" w:rsidRPr="00D03A70">
        <w:t>fifty percent</w:t>
      </w:r>
      <w:r w:rsidR="00CC45CE" w:rsidRPr="00D03A70">
        <w:t xml:space="preserve"> of one company and her </w:t>
      </w:r>
      <w:r w:rsidRPr="00D03A70">
        <w:t>daughter</w:t>
      </w:r>
      <w:r w:rsidR="00CC45CE" w:rsidRPr="00D03A70">
        <w:t xml:space="preserve"> owns more than </w:t>
      </w:r>
      <w:r w:rsidR="006B573F" w:rsidRPr="00D03A70">
        <w:t>fifty percent</w:t>
      </w:r>
      <w:r w:rsidR="00CC45CE" w:rsidRPr="00D03A70">
        <w:t xml:space="preserve"> of another, the companies would be associated with each other.</w:t>
      </w:r>
    </w:p>
    <w:p w:rsidR="00F26A17" w:rsidRPr="00D03A70" w:rsidRDefault="00F26A17" w:rsidP="00184C11"/>
    <w:p w:rsidR="00D05D87" w:rsidRPr="00D03A70" w:rsidRDefault="00D05D87" w:rsidP="00124237">
      <w:pPr>
        <w:pStyle w:val="Heading3"/>
      </w:pPr>
      <w:r w:rsidRPr="00D03A70">
        <w:t>Non-resident owning bodies</w:t>
      </w:r>
    </w:p>
    <w:p w:rsidR="00D05D87" w:rsidRPr="00D03A70" w:rsidRDefault="00D05D87" w:rsidP="00184C11"/>
    <w:p w:rsidR="00D05D87" w:rsidRPr="00D03A70" w:rsidRDefault="00A24382" w:rsidP="00E370DD">
      <w:pPr>
        <w:rPr>
          <w:szCs w:val="20"/>
          <w:lang w:eastAsia="en-AU"/>
        </w:rPr>
      </w:pPr>
      <w:r w:rsidRPr="00D03A70">
        <w:rPr>
          <w:szCs w:val="20"/>
          <w:lang w:eastAsia="en-AU"/>
        </w:rPr>
        <w:t xml:space="preserve">Section GC 6(2)(b) </w:t>
      </w:r>
      <w:r w:rsidR="00F87625" w:rsidRPr="00D03A70">
        <w:rPr>
          <w:szCs w:val="20"/>
          <w:lang w:eastAsia="en-AU"/>
        </w:rPr>
        <w:t xml:space="preserve">extends the application of the transfer pricing rules so they also apply </w:t>
      </w:r>
      <w:r w:rsidR="00E370DD" w:rsidRPr="00D03A70">
        <w:rPr>
          <w:szCs w:val="20"/>
          <w:lang w:eastAsia="en-AU"/>
        </w:rPr>
        <w:t>when</w:t>
      </w:r>
      <w:r w:rsidR="009A4322" w:rsidRPr="00D03A70">
        <w:rPr>
          <w:szCs w:val="20"/>
          <w:lang w:eastAsia="en-AU"/>
        </w:rPr>
        <w:t xml:space="preserve"> the</w:t>
      </w:r>
      <w:r w:rsidR="00D05D87" w:rsidRPr="00D03A70">
        <w:rPr>
          <w:szCs w:val="20"/>
          <w:lang w:eastAsia="en-AU"/>
        </w:rPr>
        <w:t xml:space="preserve"> transfer pricing arrangement</w:t>
      </w:r>
      <w:r w:rsidR="009A4322" w:rsidRPr="00D03A70">
        <w:rPr>
          <w:szCs w:val="20"/>
          <w:lang w:eastAsia="en-AU"/>
        </w:rPr>
        <w:t xml:space="preserve"> is between a company and a person who is </w:t>
      </w:r>
      <w:r w:rsidR="00F51374" w:rsidRPr="00D03A70">
        <w:rPr>
          <w:szCs w:val="20"/>
          <w:lang w:eastAsia="en-AU"/>
        </w:rPr>
        <w:t xml:space="preserve">a </w:t>
      </w:r>
      <w:r w:rsidR="009A4322" w:rsidRPr="00D03A70">
        <w:rPr>
          <w:szCs w:val="20"/>
          <w:lang w:eastAsia="en-AU"/>
        </w:rPr>
        <w:t xml:space="preserve">member of a non-resident owning body that has at least </w:t>
      </w:r>
      <w:r w:rsidR="006B573F" w:rsidRPr="00D03A70">
        <w:rPr>
          <w:szCs w:val="20"/>
          <w:lang w:eastAsia="en-AU"/>
        </w:rPr>
        <w:t>fifty percent</w:t>
      </w:r>
      <w:r w:rsidR="009A4322" w:rsidRPr="00D03A70">
        <w:rPr>
          <w:szCs w:val="20"/>
          <w:lang w:eastAsia="en-AU"/>
        </w:rPr>
        <w:t xml:space="preserve"> of the ownership interests in the company.</w:t>
      </w:r>
    </w:p>
    <w:p w:rsidR="00625C5E" w:rsidRPr="00D03A70" w:rsidRDefault="00625C5E" w:rsidP="00E370DD">
      <w:pPr>
        <w:rPr>
          <w:szCs w:val="20"/>
          <w:lang w:eastAsia="en-AU"/>
        </w:rPr>
      </w:pPr>
    </w:p>
    <w:p w:rsidR="00104769" w:rsidRPr="00D03A70" w:rsidRDefault="00625C5E" w:rsidP="00E370DD">
      <w:pPr>
        <w:rPr>
          <w:szCs w:val="20"/>
          <w:lang w:eastAsia="en-AU"/>
        </w:rPr>
      </w:pPr>
      <w:r w:rsidRPr="00D03A70">
        <w:rPr>
          <w:szCs w:val="20"/>
          <w:lang w:eastAsia="en-AU"/>
        </w:rPr>
        <w:t xml:space="preserve">This rule is intended to capture private equity structures where it is common for a group of shareholders to co-ordinate on how to debt fund the New Zealand company. In addition to using debt funding such private equity structures can also use other arrangements such as service fees or royalties to shift profits out of New Zealand in order to reduce the overall tax paid on their investments. </w:t>
      </w:r>
      <w:r w:rsidR="00C80BFC" w:rsidRPr="00D03A70">
        <w:rPr>
          <w:szCs w:val="20"/>
          <w:lang w:eastAsia="en-AU"/>
        </w:rPr>
        <w:t>The extension of the application of the transfer pricing rules to non-resident owning bodies means that the</w:t>
      </w:r>
      <w:r w:rsidRPr="00D03A70">
        <w:rPr>
          <w:szCs w:val="20"/>
          <w:lang w:eastAsia="en-AU"/>
        </w:rPr>
        <w:t xml:space="preserve"> transfer pricing</w:t>
      </w:r>
      <w:r w:rsidR="00C80BFC" w:rsidRPr="00D03A70">
        <w:rPr>
          <w:szCs w:val="20"/>
          <w:lang w:eastAsia="en-AU"/>
        </w:rPr>
        <w:t xml:space="preserve"> rules will apply to both debt and non-debt transactions that members</w:t>
      </w:r>
      <w:r w:rsidR="005934AB" w:rsidRPr="00D03A70">
        <w:rPr>
          <w:szCs w:val="20"/>
          <w:lang w:eastAsia="en-AU"/>
        </w:rPr>
        <w:t xml:space="preserve"> of these non-resident owning bodies</w:t>
      </w:r>
      <w:r w:rsidR="00C80BFC" w:rsidRPr="00D03A70">
        <w:rPr>
          <w:szCs w:val="20"/>
          <w:lang w:eastAsia="en-AU"/>
        </w:rPr>
        <w:t xml:space="preserve"> have</w:t>
      </w:r>
      <w:r w:rsidR="00C626DD" w:rsidRPr="00D03A70">
        <w:rPr>
          <w:szCs w:val="20"/>
          <w:lang w:eastAsia="en-AU"/>
        </w:rPr>
        <w:t xml:space="preserve"> with companies in New Zealand.</w:t>
      </w:r>
    </w:p>
    <w:p w:rsidR="00625C5E" w:rsidRPr="00D03A70" w:rsidRDefault="00625C5E" w:rsidP="00E370DD">
      <w:pPr>
        <w:rPr>
          <w:szCs w:val="20"/>
          <w:lang w:eastAsia="en-AU"/>
        </w:rPr>
      </w:pPr>
    </w:p>
    <w:p w:rsidR="00EE5A61" w:rsidRPr="00D03A70" w:rsidRDefault="00A5401D" w:rsidP="00E370DD">
      <w:pPr>
        <w:rPr>
          <w:szCs w:val="20"/>
          <w:lang w:eastAsia="en-AU"/>
        </w:rPr>
      </w:pPr>
      <w:r w:rsidRPr="00D03A70">
        <w:rPr>
          <w:szCs w:val="20"/>
          <w:lang w:eastAsia="en-AU"/>
        </w:rPr>
        <w:t xml:space="preserve">The concept of a “non-resident owning body” is </w:t>
      </w:r>
      <w:r w:rsidR="00104769" w:rsidRPr="00D03A70">
        <w:rPr>
          <w:szCs w:val="20"/>
          <w:lang w:eastAsia="en-AU"/>
        </w:rPr>
        <w:t xml:space="preserve">defined in section YA 1. It is </w:t>
      </w:r>
      <w:r w:rsidRPr="00D03A70">
        <w:rPr>
          <w:szCs w:val="20"/>
          <w:lang w:eastAsia="en-AU"/>
        </w:rPr>
        <w:t xml:space="preserve">used in the </w:t>
      </w:r>
      <w:r w:rsidR="006B573F" w:rsidRPr="00D03A70">
        <w:rPr>
          <w:szCs w:val="20"/>
          <w:lang w:eastAsia="en-AU"/>
        </w:rPr>
        <w:t>non-r</w:t>
      </w:r>
      <w:r w:rsidRPr="00D03A70">
        <w:rPr>
          <w:szCs w:val="20"/>
          <w:lang w:eastAsia="en-AU"/>
        </w:rPr>
        <w:t xml:space="preserve">esident </w:t>
      </w:r>
      <w:r w:rsidR="006B573F" w:rsidRPr="00D03A70">
        <w:rPr>
          <w:szCs w:val="20"/>
          <w:lang w:eastAsia="en-AU"/>
        </w:rPr>
        <w:t>w</w:t>
      </w:r>
      <w:r w:rsidRPr="00D03A70">
        <w:rPr>
          <w:szCs w:val="20"/>
          <w:lang w:eastAsia="en-AU"/>
        </w:rPr>
        <w:t xml:space="preserve">ithholding </w:t>
      </w:r>
      <w:r w:rsidR="006B573F" w:rsidRPr="00D03A70">
        <w:rPr>
          <w:szCs w:val="20"/>
          <w:lang w:eastAsia="en-AU"/>
        </w:rPr>
        <w:t>t</w:t>
      </w:r>
      <w:r w:rsidRPr="00D03A70">
        <w:rPr>
          <w:szCs w:val="20"/>
          <w:lang w:eastAsia="en-AU"/>
        </w:rPr>
        <w:t>ax</w:t>
      </w:r>
      <w:r w:rsidR="00EE5A61" w:rsidRPr="00D03A70">
        <w:rPr>
          <w:szCs w:val="20"/>
          <w:lang w:eastAsia="en-AU"/>
        </w:rPr>
        <w:t xml:space="preserve"> (NRWT)</w:t>
      </w:r>
      <w:r w:rsidRPr="00D03A70">
        <w:rPr>
          <w:szCs w:val="20"/>
          <w:lang w:eastAsia="en-AU"/>
        </w:rPr>
        <w:t xml:space="preserve"> r</w:t>
      </w:r>
      <w:r w:rsidR="00104769" w:rsidRPr="00D03A70">
        <w:rPr>
          <w:szCs w:val="20"/>
          <w:lang w:eastAsia="en-AU"/>
        </w:rPr>
        <w:t>ules as an interest payment to a member of a non-resident owning body is not eligible</w:t>
      </w:r>
      <w:r w:rsidRPr="00D03A70">
        <w:rPr>
          <w:szCs w:val="20"/>
          <w:lang w:eastAsia="en-AU"/>
        </w:rPr>
        <w:t xml:space="preserve"> for</w:t>
      </w:r>
      <w:r w:rsidR="00104769" w:rsidRPr="00D03A70">
        <w:rPr>
          <w:szCs w:val="20"/>
          <w:lang w:eastAsia="en-AU"/>
        </w:rPr>
        <w:t xml:space="preserve"> a 0% rate of NRWT (when the approved issuer levy has been paid</w:t>
      </w:r>
      <w:r w:rsidR="00EE5A61" w:rsidRPr="00D03A70">
        <w:rPr>
          <w:szCs w:val="20"/>
          <w:lang w:eastAsia="en-AU"/>
        </w:rPr>
        <w:t xml:space="preserve"> by the borrower</w:t>
      </w:r>
      <w:r w:rsidR="00104769" w:rsidRPr="00D03A70">
        <w:rPr>
          <w:szCs w:val="20"/>
          <w:lang w:eastAsia="en-AU"/>
        </w:rPr>
        <w:t xml:space="preserve">). </w:t>
      </w:r>
      <w:r w:rsidR="00F51374" w:rsidRPr="00D03A70">
        <w:rPr>
          <w:szCs w:val="20"/>
          <w:lang w:eastAsia="en-AU"/>
        </w:rPr>
        <w:t xml:space="preserve">The concept </w:t>
      </w:r>
      <w:r w:rsidR="00104769" w:rsidRPr="00D03A70">
        <w:rPr>
          <w:szCs w:val="20"/>
          <w:lang w:eastAsia="en-AU"/>
        </w:rPr>
        <w:t>is also used for</w:t>
      </w:r>
      <w:r w:rsidRPr="00D03A70">
        <w:rPr>
          <w:szCs w:val="20"/>
          <w:lang w:eastAsia="en-AU"/>
        </w:rPr>
        <w:t xml:space="preserve"> determining whether the thin capitalisati</w:t>
      </w:r>
      <w:r w:rsidR="00104769" w:rsidRPr="00D03A70">
        <w:rPr>
          <w:szCs w:val="20"/>
          <w:lang w:eastAsia="en-AU"/>
        </w:rPr>
        <w:t>on rules apply as</w:t>
      </w:r>
      <w:r w:rsidRPr="00D03A70">
        <w:rPr>
          <w:szCs w:val="20"/>
          <w:lang w:eastAsia="en-AU"/>
        </w:rPr>
        <w:t xml:space="preserve"> </w:t>
      </w:r>
      <w:r w:rsidR="00104769" w:rsidRPr="00D03A70">
        <w:rPr>
          <w:szCs w:val="20"/>
          <w:lang w:eastAsia="en-AU"/>
        </w:rPr>
        <w:t>companies which are controlled by a non-resident owing body are subject to thin capitalisation rules.</w:t>
      </w:r>
    </w:p>
    <w:p w:rsidR="00EE5A61" w:rsidRPr="00D03A70" w:rsidRDefault="00EE5A61" w:rsidP="00E370DD">
      <w:pPr>
        <w:rPr>
          <w:szCs w:val="20"/>
          <w:lang w:eastAsia="en-AU"/>
        </w:rPr>
      </w:pPr>
    </w:p>
    <w:p w:rsidR="00EE5A61" w:rsidRPr="00D03A70" w:rsidRDefault="00EE5A61" w:rsidP="00E370DD">
      <w:pPr>
        <w:rPr>
          <w:szCs w:val="20"/>
          <w:lang w:eastAsia="en-AU"/>
        </w:rPr>
      </w:pPr>
      <w:r w:rsidRPr="00D03A70">
        <w:rPr>
          <w:szCs w:val="20"/>
          <w:lang w:eastAsia="en-AU"/>
        </w:rPr>
        <w:t xml:space="preserve">This means that the transfer pricing rules will generally apply to </w:t>
      </w:r>
      <w:r w:rsidR="000C7FB1" w:rsidRPr="00D03A70">
        <w:rPr>
          <w:szCs w:val="20"/>
          <w:lang w:eastAsia="en-AU"/>
        </w:rPr>
        <w:t xml:space="preserve">the </w:t>
      </w:r>
      <w:r w:rsidRPr="00D03A70">
        <w:rPr>
          <w:szCs w:val="20"/>
          <w:lang w:eastAsia="en-AU"/>
        </w:rPr>
        <w:t>same set of companies and non-resident investors as the thin capitalisation rules and the NRWT rules for related party inter</w:t>
      </w:r>
      <w:r w:rsidR="00C626DD" w:rsidRPr="00D03A70">
        <w:rPr>
          <w:szCs w:val="20"/>
          <w:lang w:eastAsia="en-AU"/>
        </w:rPr>
        <w:t>est payments.</w:t>
      </w:r>
    </w:p>
    <w:p w:rsidR="00EE5A61" w:rsidRPr="00D03A70" w:rsidRDefault="00EE5A61" w:rsidP="00E370DD">
      <w:pPr>
        <w:rPr>
          <w:szCs w:val="20"/>
          <w:lang w:eastAsia="en-AU"/>
        </w:rPr>
      </w:pPr>
    </w:p>
    <w:p w:rsidR="006E52B9" w:rsidRPr="00D03A70" w:rsidRDefault="006E52B9" w:rsidP="006E52B9">
      <w:pPr>
        <w:rPr>
          <w:szCs w:val="20"/>
          <w:lang w:eastAsia="en-AU"/>
        </w:rPr>
      </w:pPr>
      <w:r w:rsidRPr="00D03A70">
        <w:rPr>
          <w:szCs w:val="20"/>
          <w:lang w:eastAsia="en-AU"/>
        </w:rPr>
        <w:t>A non-resident owning body is a group of non-residents or entities (such as trusts settled by non-residents), that have one or more characteristics indicating they are acting together to debt-fund a New Zealand company. These characteristics include:</w:t>
      </w:r>
    </w:p>
    <w:p w:rsidR="006E52B9" w:rsidRPr="00D03A70" w:rsidRDefault="006E52B9" w:rsidP="006E52B9">
      <w:pPr>
        <w:rPr>
          <w:szCs w:val="20"/>
          <w:lang w:eastAsia="en-AU"/>
        </w:rPr>
      </w:pPr>
    </w:p>
    <w:p w:rsidR="00720B7E" w:rsidRPr="00D03A70" w:rsidRDefault="006E52B9" w:rsidP="00A05167">
      <w:pPr>
        <w:pStyle w:val="Bullets"/>
      </w:pPr>
      <w:r w:rsidRPr="00D03A70">
        <w:t>having proportionate levels of debt and equity among the group</w:t>
      </w:r>
      <w:r w:rsidR="00720B7E" w:rsidRPr="00D03A70">
        <w:t>. Proportionality is a characteristic of acting together as it generally requires a de</w:t>
      </w:r>
      <w:r w:rsidR="006B573F" w:rsidRPr="00D03A70">
        <w:t>gree of coordination to achieve;</w:t>
      </w:r>
    </w:p>
    <w:p w:rsidR="006E52B9" w:rsidRPr="00D03A70" w:rsidRDefault="00696D9A" w:rsidP="00A05167">
      <w:pPr>
        <w:pStyle w:val="Bullets"/>
      </w:pPr>
      <w:r w:rsidRPr="00D03A70">
        <w:t xml:space="preserve">having </w:t>
      </w:r>
      <w:r w:rsidR="006E52B9" w:rsidRPr="00D03A70">
        <w:t xml:space="preserve">an agreement that sets out how the company should be funded with </w:t>
      </w:r>
      <w:r w:rsidR="00720B7E" w:rsidRPr="00D03A70">
        <w:t xml:space="preserve">an arrangement between the members of the group concerning debt </w:t>
      </w:r>
      <w:r w:rsidR="006E52B9" w:rsidRPr="00D03A70">
        <w:t>if the company is not widely held</w:t>
      </w:r>
      <w:r w:rsidR="00720B7E" w:rsidRPr="00D03A70">
        <w:t>. Widely held is</w:t>
      </w:r>
      <w:r w:rsidR="006E52B9" w:rsidRPr="00D03A70">
        <w:t xml:space="preserve"> defined in section YA 1</w:t>
      </w:r>
      <w:r w:rsidR="00720B7E" w:rsidRPr="00D03A70">
        <w:t xml:space="preserve"> and means a company has at least 25 shareholders (counting any associated shareholders as one shareholder) and is not controlled by </w:t>
      </w:r>
      <w:r w:rsidR="009C26C4">
        <w:t>five</w:t>
      </w:r>
      <w:r w:rsidR="00720B7E" w:rsidRPr="00D03A70">
        <w:t xml:space="preserve"> or fewer of these shareholders</w:t>
      </w:r>
      <w:r w:rsidR="006E52B9" w:rsidRPr="00D03A70">
        <w:t>; and</w:t>
      </w:r>
    </w:p>
    <w:p w:rsidR="006E52B9" w:rsidRPr="00D03A70" w:rsidRDefault="00696D9A" w:rsidP="002E1F16">
      <w:pPr>
        <w:pStyle w:val="Bullets-Last"/>
      </w:pPr>
      <w:r w:rsidRPr="00D03A70">
        <w:t xml:space="preserve">having an arrangement between the members of the group concerning debt </w:t>
      </w:r>
      <w:r w:rsidR="006E52B9" w:rsidRPr="00D03A70">
        <w:t>in the company in a way recommended by a person (such as a private equity manager), or implemented on behalf of the members.</w:t>
      </w:r>
    </w:p>
    <w:p w:rsidR="00720B7E" w:rsidRPr="00D03A70" w:rsidRDefault="00720B7E" w:rsidP="004133E4">
      <w:pPr>
        <w:rPr>
          <w:szCs w:val="20"/>
          <w:lang w:eastAsia="en-AU"/>
        </w:rPr>
      </w:pPr>
    </w:p>
    <w:p w:rsidR="004133E4" w:rsidRPr="00D03A70" w:rsidRDefault="004133E4" w:rsidP="004133E4">
      <w:pPr>
        <w:rPr>
          <w:szCs w:val="20"/>
          <w:lang w:eastAsia="en-AU"/>
        </w:rPr>
      </w:pPr>
      <w:r w:rsidRPr="00D03A70">
        <w:rPr>
          <w:szCs w:val="20"/>
          <w:lang w:eastAsia="en-AU"/>
        </w:rPr>
        <w:t>Because the definition of a non-resident owning body requires the shareholders to hold debt in the company in proportion to their shareholding or for the relevant agreement or arrangement to be a co-ordinated debt funding arrangement, the transfer pricing rules should not apply simply because a company has a typical shareholder’s agreement setting out how shareholders agree to exercise their individual shareholder rights.</w:t>
      </w:r>
    </w:p>
    <w:p w:rsidR="004133E4" w:rsidRPr="00D03A70" w:rsidRDefault="004133E4" w:rsidP="004133E4">
      <w:pPr>
        <w:rPr>
          <w:szCs w:val="20"/>
          <w:lang w:eastAsia="en-AU"/>
        </w:rPr>
      </w:pPr>
    </w:p>
    <w:p w:rsidR="008C5425" w:rsidRPr="00D03A70" w:rsidRDefault="008C5425" w:rsidP="00E370DD">
      <w:pPr>
        <w:rPr>
          <w:szCs w:val="20"/>
          <w:lang w:eastAsia="en-AU"/>
        </w:rPr>
      </w:pPr>
      <w:r w:rsidRPr="00D03A70">
        <w:rPr>
          <w:szCs w:val="20"/>
          <w:lang w:eastAsia="en-AU"/>
        </w:rPr>
        <w:t>Ownership interest</w:t>
      </w:r>
      <w:r w:rsidR="00720B7E" w:rsidRPr="00D03A70">
        <w:rPr>
          <w:szCs w:val="20"/>
          <w:lang w:eastAsia="en-AU"/>
        </w:rPr>
        <w:t xml:space="preserve"> is defined in YA 1 </w:t>
      </w:r>
      <w:r w:rsidRPr="00D03A70">
        <w:rPr>
          <w:szCs w:val="20"/>
          <w:lang w:eastAsia="en-AU"/>
        </w:rPr>
        <w:t xml:space="preserve">to mean voting or market value interests. Therefore if the group of members in the non-resident owning body collectively own </w:t>
      </w:r>
      <w:r w:rsidR="009C26C4">
        <w:rPr>
          <w:szCs w:val="20"/>
          <w:lang w:eastAsia="en-AU"/>
        </w:rPr>
        <w:t>fifty</w:t>
      </w:r>
      <w:r w:rsidRPr="00D03A70">
        <w:rPr>
          <w:szCs w:val="20"/>
          <w:lang w:eastAsia="en-AU"/>
        </w:rPr>
        <w:t xml:space="preserve"> percent or more of the voting or market value interests of the company, the </w:t>
      </w:r>
      <w:r w:rsidR="00D05D87" w:rsidRPr="00D03A70">
        <w:rPr>
          <w:szCs w:val="20"/>
          <w:lang w:eastAsia="en-AU"/>
        </w:rPr>
        <w:t>transfer pricing rules will apply to all debt and non-debt arrangements between the company and a member o</w:t>
      </w:r>
      <w:r w:rsidR="00A05167" w:rsidRPr="00D03A70">
        <w:rPr>
          <w:szCs w:val="20"/>
          <w:lang w:eastAsia="en-AU"/>
        </w:rPr>
        <w:t>f the non-resident owning body.</w:t>
      </w:r>
    </w:p>
    <w:p w:rsidR="00933001" w:rsidRPr="00F26A17" w:rsidRDefault="00933001" w:rsidP="00F26A17"/>
    <w:p w:rsidR="00D05D87" w:rsidRPr="00D03A70" w:rsidRDefault="00D05D87" w:rsidP="00124237">
      <w:pPr>
        <w:pStyle w:val="Heading3"/>
      </w:pPr>
      <w:r w:rsidRPr="00D03A70">
        <w:t>Cross-border related borrowings</w:t>
      </w:r>
    </w:p>
    <w:p w:rsidR="00EC27AB" w:rsidRPr="00D03A70" w:rsidRDefault="00EC27AB" w:rsidP="00A05167"/>
    <w:p w:rsidR="00D05D87" w:rsidRPr="00D03A70" w:rsidRDefault="00B82EA0" w:rsidP="006E52B9">
      <w:pPr>
        <w:rPr>
          <w:szCs w:val="20"/>
          <w:lang w:eastAsia="en-AU"/>
        </w:rPr>
      </w:pPr>
      <w:r w:rsidRPr="00D03A70">
        <w:rPr>
          <w:szCs w:val="20"/>
          <w:lang w:eastAsia="en-AU"/>
        </w:rPr>
        <w:t xml:space="preserve">The application of the rules </w:t>
      </w:r>
      <w:r w:rsidR="00C80BFC" w:rsidRPr="00D03A70">
        <w:rPr>
          <w:szCs w:val="20"/>
          <w:lang w:eastAsia="en-AU"/>
        </w:rPr>
        <w:t xml:space="preserve">also </w:t>
      </w:r>
      <w:r w:rsidRPr="00D03A70">
        <w:rPr>
          <w:szCs w:val="20"/>
          <w:lang w:eastAsia="en-AU"/>
        </w:rPr>
        <w:t>specifically</w:t>
      </w:r>
      <w:r w:rsidR="009A4322" w:rsidRPr="00D03A70">
        <w:rPr>
          <w:szCs w:val="20"/>
          <w:lang w:eastAsia="en-AU"/>
        </w:rPr>
        <w:t xml:space="preserve"> includes cross-border related borrowings</w:t>
      </w:r>
      <w:r w:rsidR="00C80BFC" w:rsidRPr="00D03A70">
        <w:rPr>
          <w:szCs w:val="20"/>
          <w:lang w:eastAsia="en-AU"/>
        </w:rPr>
        <w:t xml:space="preserve"> subject to the new transfer pricing rules</w:t>
      </w:r>
      <w:r w:rsidR="006E52B9" w:rsidRPr="00D03A70">
        <w:rPr>
          <w:szCs w:val="20"/>
          <w:lang w:eastAsia="en-AU"/>
        </w:rPr>
        <w:t xml:space="preserve"> for debt </w:t>
      </w:r>
      <w:r w:rsidR="00D05D87" w:rsidRPr="00D03A70">
        <w:rPr>
          <w:szCs w:val="20"/>
          <w:lang w:eastAsia="en-AU"/>
        </w:rPr>
        <w:t>arrangements</w:t>
      </w:r>
      <w:r w:rsidR="00A05167" w:rsidRPr="00D03A70">
        <w:rPr>
          <w:szCs w:val="20"/>
          <w:lang w:eastAsia="en-AU"/>
        </w:rPr>
        <w:t>.</w:t>
      </w:r>
    </w:p>
    <w:p w:rsidR="00D05D87" w:rsidRPr="00D03A70" w:rsidRDefault="00D05D87" w:rsidP="006E52B9">
      <w:pPr>
        <w:rPr>
          <w:szCs w:val="20"/>
          <w:lang w:eastAsia="en-AU"/>
        </w:rPr>
      </w:pPr>
    </w:p>
    <w:p w:rsidR="00DC2C58" w:rsidRPr="00D03A70" w:rsidRDefault="00DC2C58" w:rsidP="00E370DD">
      <w:pPr>
        <w:rPr>
          <w:szCs w:val="20"/>
          <w:lang w:eastAsia="en-AU"/>
        </w:rPr>
      </w:pPr>
      <w:r w:rsidRPr="00D03A70">
        <w:rPr>
          <w:szCs w:val="20"/>
          <w:lang w:eastAsia="en-AU"/>
        </w:rPr>
        <w:t xml:space="preserve">A cross-border related borrowing is defined in section GC 6(3B). This definition is further explained in </w:t>
      </w:r>
      <w:r w:rsidR="00124237">
        <w:rPr>
          <w:szCs w:val="20"/>
          <w:lang w:eastAsia="en-AU"/>
        </w:rPr>
        <w:t>the special report on i</w:t>
      </w:r>
      <w:r w:rsidR="0078142C" w:rsidRPr="00D03A70">
        <w:rPr>
          <w:szCs w:val="20"/>
          <w:lang w:eastAsia="en-AU"/>
        </w:rPr>
        <w:t xml:space="preserve">nterest </w:t>
      </w:r>
      <w:r w:rsidR="00124237">
        <w:rPr>
          <w:szCs w:val="20"/>
          <w:lang w:eastAsia="en-AU"/>
        </w:rPr>
        <w:t>l</w:t>
      </w:r>
      <w:r w:rsidR="0078142C" w:rsidRPr="00D03A70">
        <w:rPr>
          <w:szCs w:val="20"/>
          <w:lang w:eastAsia="en-AU"/>
        </w:rPr>
        <w:t xml:space="preserve">imitation (see the section </w:t>
      </w:r>
      <w:r w:rsidR="00124237">
        <w:rPr>
          <w:szCs w:val="20"/>
          <w:lang w:eastAsia="en-AU"/>
        </w:rPr>
        <w:t xml:space="preserve">on </w:t>
      </w:r>
      <w:r w:rsidR="00A05167" w:rsidRPr="00D03A70">
        <w:rPr>
          <w:szCs w:val="20"/>
          <w:lang w:eastAsia="en-AU"/>
        </w:rPr>
        <w:t>“</w:t>
      </w:r>
      <w:r w:rsidR="0078142C" w:rsidRPr="00D03A70">
        <w:rPr>
          <w:i/>
        </w:rPr>
        <w:t>Cross-border related borrowing</w:t>
      </w:r>
      <w:r w:rsidR="00A05167" w:rsidRPr="00D03A70">
        <w:rPr>
          <w:i/>
        </w:rPr>
        <w:t>”</w:t>
      </w:r>
      <w:r w:rsidR="0078142C" w:rsidRPr="00D03A70">
        <w:t>).</w:t>
      </w:r>
    </w:p>
    <w:p w:rsidR="001958DA" w:rsidRDefault="001958DA" w:rsidP="00A05167"/>
    <w:p w:rsidR="00F26A17" w:rsidRPr="00D03A70" w:rsidRDefault="00F26A17" w:rsidP="00A05167"/>
    <w:p w:rsidR="003A2812" w:rsidRPr="00D03A70" w:rsidRDefault="003A2812" w:rsidP="006B573F">
      <w:pPr>
        <w:pStyle w:val="Heading2"/>
      </w:pPr>
      <w:bookmarkStart w:id="10" w:name="_Toc522633844"/>
      <w:r w:rsidRPr="00D03A70">
        <w:t xml:space="preserve">GC </w:t>
      </w:r>
      <w:r w:rsidR="00EB5E35" w:rsidRPr="00D03A70">
        <w:t xml:space="preserve">7 </w:t>
      </w:r>
      <w:r w:rsidRPr="00D03A70">
        <w:t>to GC 12</w:t>
      </w:r>
      <w:bookmarkEnd w:id="10"/>
    </w:p>
    <w:p w:rsidR="003A2812" w:rsidRPr="00D03A70" w:rsidRDefault="003A2812" w:rsidP="00A05167"/>
    <w:p w:rsidR="003A2812" w:rsidRPr="00D03A70" w:rsidRDefault="003A2812" w:rsidP="00A05167">
      <w:r w:rsidRPr="00D03A70">
        <w:t xml:space="preserve">Sections GC </w:t>
      </w:r>
      <w:r w:rsidR="00EB5E35" w:rsidRPr="00D03A70">
        <w:t>7</w:t>
      </w:r>
      <w:r w:rsidRPr="00D03A70">
        <w:t xml:space="preserve"> to GC 12 are unchanged under the new legislation. These sections go through the various cases where the amount of consideration is substituted with an arm’s length amount of consideration because a person’s net income has been reduced by the conditions of a cross-border arrangement with a related party.</w:t>
      </w:r>
    </w:p>
    <w:p w:rsidR="003A2812" w:rsidRDefault="003A2812" w:rsidP="00A05167"/>
    <w:p w:rsidR="00F26A17" w:rsidRPr="00D03A70" w:rsidRDefault="00F26A17" w:rsidP="00A05167"/>
    <w:p w:rsidR="003A2812" w:rsidRPr="00D03A70" w:rsidRDefault="003A2812" w:rsidP="006B573F">
      <w:pPr>
        <w:pStyle w:val="Heading2"/>
      </w:pPr>
      <w:bookmarkStart w:id="11" w:name="_Toc522633845"/>
      <w:r w:rsidRPr="00D03A70">
        <w:t>GC 13(1)</w:t>
      </w:r>
      <w:r w:rsidR="00507230" w:rsidRPr="00D03A70">
        <w:t>: Determining arm’s length amounts</w:t>
      </w:r>
      <w:bookmarkEnd w:id="11"/>
    </w:p>
    <w:p w:rsidR="003A2812" w:rsidRPr="00D03A70" w:rsidRDefault="003A2812" w:rsidP="00A05167"/>
    <w:p w:rsidR="00B94773" w:rsidRPr="00D03A70" w:rsidRDefault="003A2812" w:rsidP="00A05167">
      <w:r w:rsidRPr="00D03A70">
        <w:t>Section GC 13(1) outlines the process for determining an arm’s</w:t>
      </w:r>
      <w:r w:rsidR="00A770F2" w:rsidRPr="00D03A70">
        <w:t xml:space="preserve"> length amount of consideration.</w:t>
      </w:r>
    </w:p>
    <w:p w:rsidR="00B94773" w:rsidRPr="00D03A70" w:rsidRDefault="00B94773" w:rsidP="00A05167"/>
    <w:p w:rsidR="009E6351" w:rsidRPr="00D03A70" w:rsidRDefault="00B94773" w:rsidP="00A05167">
      <w:r w:rsidRPr="00D03A70">
        <w:t>This is the amount of consideration that independent parties after real and independent bargaining would have agreed upon as the price for the identified transaction if the identified transaction had occurred under arm’s length conditions.</w:t>
      </w:r>
    </w:p>
    <w:p w:rsidR="00445DA5" w:rsidRPr="00D03A70" w:rsidRDefault="00445DA5" w:rsidP="00A05167"/>
    <w:p w:rsidR="00466A89" w:rsidRPr="00D03A70" w:rsidRDefault="00466A89" w:rsidP="006B573F">
      <w:pPr>
        <w:pStyle w:val="Heading3"/>
      </w:pPr>
      <w:r w:rsidRPr="00D03A70">
        <w:t>Identifying the related party transaction</w:t>
      </w:r>
    </w:p>
    <w:p w:rsidR="00466A89" w:rsidRPr="00D03A70" w:rsidRDefault="00466A89" w:rsidP="00A05167"/>
    <w:p w:rsidR="001E49AC" w:rsidRPr="00D03A70" w:rsidRDefault="00445DA5" w:rsidP="00D2750F">
      <w:pPr>
        <w:rPr>
          <w:szCs w:val="20"/>
          <w:lang w:eastAsia="en-AU"/>
        </w:rPr>
      </w:pPr>
      <w:r w:rsidRPr="00D03A70">
        <w:rPr>
          <w:szCs w:val="20"/>
          <w:lang w:eastAsia="en-AU"/>
        </w:rPr>
        <w:t>The first step is to take the transfer pricing arrangement (between the related parties) and apply</w:t>
      </w:r>
      <w:r w:rsidR="0071707C" w:rsidRPr="00D03A70">
        <w:rPr>
          <w:szCs w:val="20"/>
          <w:lang w:eastAsia="en-AU"/>
        </w:rPr>
        <w:t xml:space="preserve"> </w:t>
      </w:r>
      <w:r w:rsidR="0076720A" w:rsidRPr="00D03A70">
        <w:rPr>
          <w:szCs w:val="20"/>
          <w:lang w:eastAsia="en-AU"/>
        </w:rPr>
        <w:t>section D.</w:t>
      </w:r>
      <w:r w:rsidRPr="00D03A70">
        <w:rPr>
          <w:szCs w:val="20"/>
          <w:lang w:eastAsia="en-AU"/>
        </w:rPr>
        <w:t>1</w:t>
      </w:r>
      <w:r w:rsidR="0076720A" w:rsidRPr="00D03A70">
        <w:rPr>
          <w:szCs w:val="20"/>
          <w:lang w:eastAsia="en-AU"/>
        </w:rPr>
        <w:t xml:space="preserve"> </w:t>
      </w:r>
      <w:r w:rsidR="001E49AC" w:rsidRPr="00D03A70">
        <w:rPr>
          <w:szCs w:val="20"/>
          <w:lang w:eastAsia="en-AU"/>
        </w:rPr>
        <w:t xml:space="preserve">of </w:t>
      </w:r>
      <w:r w:rsidR="00057149">
        <w:rPr>
          <w:szCs w:val="20"/>
          <w:lang w:eastAsia="en-AU"/>
        </w:rPr>
        <w:t>c</w:t>
      </w:r>
      <w:r w:rsidR="0076720A" w:rsidRPr="00D03A70">
        <w:rPr>
          <w:szCs w:val="20"/>
          <w:lang w:eastAsia="en-AU"/>
        </w:rPr>
        <w:t>hapter I of the OECD transfer pricing guidelines</w:t>
      </w:r>
      <w:r w:rsidRPr="00D03A70">
        <w:rPr>
          <w:szCs w:val="20"/>
          <w:lang w:eastAsia="en-AU"/>
        </w:rPr>
        <w:t xml:space="preserve"> to accura</w:t>
      </w:r>
      <w:r w:rsidR="00C626DD" w:rsidRPr="00D03A70">
        <w:rPr>
          <w:szCs w:val="20"/>
          <w:lang w:eastAsia="en-AU"/>
        </w:rPr>
        <w:t>tely delineate the transaction.</w:t>
      </w:r>
    </w:p>
    <w:p w:rsidR="001E49AC" w:rsidRPr="00D03A70" w:rsidRDefault="001E49AC" w:rsidP="00A05167"/>
    <w:p w:rsidR="00445DA5" w:rsidRPr="00D03A70" w:rsidRDefault="00445DA5" w:rsidP="00D2750F">
      <w:pPr>
        <w:rPr>
          <w:szCs w:val="20"/>
          <w:lang w:eastAsia="en-AU"/>
        </w:rPr>
      </w:pPr>
      <w:r w:rsidRPr="00D03A70">
        <w:rPr>
          <w:szCs w:val="20"/>
          <w:lang w:eastAsia="en-AU"/>
        </w:rPr>
        <w:t xml:space="preserve">If </w:t>
      </w:r>
      <w:r w:rsidR="001622DD" w:rsidRPr="00D03A70">
        <w:rPr>
          <w:szCs w:val="20"/>
          <w:lang w:eastAsia="en-AU"/>
        </w:rPr>
        <w:t xml:space="preserve">the accurately delineated transaction is not commercially rational so that there is no price which would be acceptable to independent parties in exchange for the relevant goods or services being supplied, the approach </w:t>
      </w:r>
      <w:r w:rsidR="00057149">
        <w:rPr>
          <w:szCs w:val="20"/>
          <w:lang w:eastAsia="en-AU"/>
        </w:rPr>
        <w:t>described in section D.2 of c</w:t>
      </w:r>
      <w:r w:rsidRPr="00D03A70">
        <w:rPr>
          <w:szCs w:val="20"/>
          <w:lang w:eastAsia="en-AU"/>
        </w:rPr>
        <w:t xml:space="preserve">hapter I of the </w:t>
      </w:r>
      <w:r w:rsidR="001E49AC" w:rsidRPr="00D03A70">
        <w:rPr>
          <w:szCs w:val="20"/>
          <w:lang w:eastAsia="en-AU"/>
        </w:rPr>
        <w:t>guidelines</w:t>
      </w:r>
      <w:r w:rsidRPr="00D03A70">
        <w:rPr>
          <w:szCs w:val="20"/>
          <w:lang w:eastAsia="en-AU"/>
        </w:rPr>
        <w:t xml:space="preserve"> </w:t>
      </w:r>
      <w:r w:rsidR="00F51374" w:rsidRPr="00D03A70">
        <w:rPr>
          <w:szCs w:val="20"/>
          <w:lang w:eastAsia="en-AU"/>
        </w:rPr>
        <w:t xml:space="preserve">will </w:t>
      </w:r>
      <w:r w:rsidRPr="00D03A70">
        <w:rPr>
          <w:szCs w:val="20"/>
          <w:lang w:eastAsia="en-AU"/>
        </w:rPr>
        <w:t>apply</w:t>
      </w:r>
      <w:r w:rsidR="001E49AC" w:rsidRPr="00D03A70">
        <w:rPr>
          <w:szCs w:val="20"/>
          <w:lang w:eastAsia="en-AU"/>
        </w:rPr>
        <w:t xml:space="preserve">, </w:t>
      </w:r>
      <w:r w:rsidR="00F51374" w:rsidRPr="00D03A70">
        <w:rPr>
          <w:szCs w:val="20"/>
          <w:lang w:eastAsia="en-AU"/>
        </w:rPr>
        <w:t xml:space="preserve">and </w:t>
      </w:r>
      <w:r w:rsidR="001E49AC" w:rsidRPr="00D03A70">
        <w:rPr>
          <w:szCs w:val="20"/>
          <w:lang w:eastAsia="en-AU"/>
        </w:rPr>
        <w:t>can be</w:t>
      </w:r>
      <w:r w:rsidR="001622DD" w:rsidRPr="00D03A70">
        <w:rPr>
          <w:szCs w:val="20"/>
          <w:lang w:eastAsia="en-AU"/>
        </w:rPr>
        <w:t xml:space="preserve"> used to disregard or replace</w:t>
      </w:r>
      <w:r w:rsidR="001E49AC" w:rsidRPr="00D03A70">
        <w:rPr>
          <w:szCs w:val="20"/>
          <w:lang w:eastAsia="en-AU"/>
        </w:rPr>
        <w:t xml:space="preserve"> </w:t>
      </w:r>
      <w:r w:rsidR="001622DD" w:rsidRPr="00D03A70">
        <w:rPr>
          <w:szCs w:val="20"/>
          <w:lang w:eastAsia="en-AU"/>
        </w:rPr>
        <w:t>the transaction.</w:t>
      </w:r>
    </w:p>
    <w:p w:rsidR="00445DA5" w:rsidRPr="00D03A70" w:rsidRDefault="00445DA5" w:rsidP="00A05167"/>
    <w:p w:rsidR="00466A89" w:rsidRPr="00D03A70" w:rsidRDefault="00550994" w:rsidP="00D2750F">
      <w:pPr>
        <w:rPr>
          <w:szCs w:val="20"/>
          <w:lang w:eastAsia="en-AU"/>
        </w:rPr>
      </w:pPr>
      <w:r w:rsidRPr="00D03A70">
        <w:rPr>
          <w:szCs w:val="20"/>
          <w:lang w:eastAsia="en-AU"/>
        </w:rPr>
        <w:t>Section GC 13(1)(a) defines the term “the identified transaction”. In most cases this</w:t>
      </w:r>
      <w:r w:rsidR="003E25A2" w:rsidRPr="00D03A70">
        <w:rPr>
          <w:szCs w:val="20"/>
          <w:lang w:eastAsia="en-AU"/>
        </w:rPr>
        <w:t xml:space="preserve"> </w:t>
      </w:r>
      <w:r w:rsidR="001622DD" w:rsidRPr="00D03A70">
        <w:rPr>
          <w:szCs w:val="20"/>
          <w:lang w:eastAsia="en-AU"/>
        </w:rPr>
        <w:t>will be the accurately delineated transaction</w:t>
      </w:r>
      <w:r w:rsidR="00A770F2" w:rsidRPr="00D03A70">
        <w:rPr>
          <w:szCs w:val="20"/>
          <w:lang w:eastAsia="en-AU"/>
        </w:rPr>
        <w:t xml:space="preserve"> fo</w:t>
      </w:r>
      <w:r w:rsidR="00057149">
        <w:rPr>
          <w:szCs w:val="20"/>
          <w:lang w:eastAsia="en-AU"/>
        </w:rPr>
        <w:t>und by applying section D.1 of c</w:t>
      </w:r>
      <w:r w:rsidR="00A770F2" w:rsidRPr="00D03A70">
        <w:rPr>
          <w:szCs w:val="20"/>
          <w:lang w:eastAsia="en-AU"/>
        </w:rPr>
        <w:t>hapter I</w:t>
      </w:r>
      <w:r w:rsidR="003E25A2" w:rsidRPr="00D03A70">
        <w:rPr>
          <w:szCs w:val="20"/>
          <w:lang w:eastAsia="en-AU"/>
        </w:rPr>
        <w:t xml:space="preserve">. However, </w:t>
      </w:r>
      <w:r w:rsidR="001622DD" w:rsidRPr="00D03A70">
        <w:rPr>
          <w:szCs w:val="20"/>
          <w:lang w:eastAsia="en-AU"/>
        </w:rPr>
        <w:t xml:space="preserve">in cases where section D.2. </w:t>
      </w:r>
      <w:r w:rsidR="00057149">
        <w:rPr>
          <w:szCs w:val="20"/>
          <w:lang w:eastAsia="en-AU"/>
        </w:rPr>
        <w:t>of c</w:t>
      </w:r>
      <w:r w:rsidR="00A770F2" w:rsidRPr="00D03A70">
        <w:rPr>
          <w:szCs w:val="20"/>
          <w:lang w:eastAsia="en-AU"/>
        </w:rPr>
        <w:t xml:space="preserve">hapter I </w:t>
      </w:r>
      <w:r w:rsidR="001622DD" w:rsidRPr="00D03A70">
        <w:rPr>
          <w:szCs w:val="20"/>
          <w:lang w:eastAsia="en-AU"/>
        </w:rPr>
        <w:t>applies to replace the transaction,</w:t>
      </w:r>
      <w:r w:rsidR="00A770F2" w:rsidRPr="00D03A70">
        <w:rPr>
          <w:szCs w:val="20"/>
          <w:lang w:eastAsia="en-AU"/>
        </w:rPr>
        <w:t xml:space="preserve"> the “identified transaction”</w:t>
      </w:r>
      <w:r w:rsidR="001622DD" w:rsidRPr="00D03A70">
        <w:rPr>
          <w:szCs w:val="20"/>
          <w:lang w:eastAsia="en-AU"/>
        </w:rPr>
        <w:t xml:space="preserve"> will </w:t>
      </w:r>
      <w:r w:rsidR="00A770F2" w:rsidRPr="00D03A70">
        <w:rPr>
          <w:szCs w:val="20"/>
          <w:lang w:eastAsia="en-AU"/>
        </w:rPr>
        <w:t xml:space="preserve">instead </w:t>
      </w:r>
      <w:r w:rsidR="00A05167" w:rsidRPr="00D03A70">
        <w:rPr>
          <w:szCs w:val="20"/>
          <w:lang w:eastAsia="en-AU"/>
        </w:rPr>
        <w:t>be the replacement transaction.</w:t>
      </w:r>
    </w:p>
    <w:p w:rsidR="006F00A8" w:rsidRPr="00D03A70" w:rsidRDefault="006F00A8" w:rsidP="00A05167"/>
    <w:p w:rsidR="00466A89" w:rsidRPr="00D03A70" w:rsidRDefault="00D2750F" w:rsidP="006B573F">
      <w:pPr>
        <w:pStyle w:val="Heading3"/>
      </w:pPr>
      <w:r w:rsidRPr="00D03A70">
        <w:t>Comparability analysis</w:t>
      </w:r>
    </w:p>
    <w:p w:rsidR="00D2750F" w:rsidRPr="00D03A70" w:rsidRDefault="00D2750F" w:rsidP="00A05167"/>
    <w:p w:rsidR="00550994" w:rsidRPr="00D03A70" w:rsidRDefault="002246C9" w:rsidP="00D2750F">
      <w:pPr>
        <w:rPr>
          <w:szCs w:val="20"/>
          <w:lang w:eastAsia="en-AU"/>
        </w:rPr>
      </w:pPr>
      <w:r w:rsidRPr="00D03A70">
        <w:rPr>
          <w:szCs w:val="20"/>
          <w:lang w:eastAsia="en-AU"/>
        </w:rPr>
        <w:t>In order to determine the arm’s length conditions, including the arm’s length price, t</w:t>
      </w:r>
      <w:r w:rsidR="00D2750F" w:rsidRPr="00D03A70">
        <w:rPr>
          <w:szCs w:val="20"/>
          <w:lang w:eastAsia="en-AU"/>
        </w:rPr>
        <w:t xml:space="preserve">he identified transaction is </w:t>
      </w:r>
      <w:r w:rsidR="00550994" w:rsidRPr="00D03A70">
        <w:rPr>
          <w:szCs w:val="20"/>
          <w:lang w:eastAsia="en-AU"/>
        </w:rPr>
        <w:t>benchmarked against</w:t>
      </w:r>
      <w:r w:rsidR="008022DD" w:rsidRPr="00D03A70">
        <w:rPr>
          <w:szCs w:val="20"/>
          <w:lang w:eastAsia="en-AU"/>
        </w:rPr>
        <w:t xml:space="preserve"> comparable transactions between independent parties</w:t>
      </w:r>
      <w:r w:rsidR="00550994" w:rsidRPr="00D03A70">
        <w:rPr>
          <w:szCs w:val="20"/>
          <w:lang w:eastAsia="en-AU"/>
        </w:rPr>
        <w:t>.</w:t>
      </w:r>
      <w:r w:rsidR="00D2750F" w:rsidRPr="00D03A70">
        <w:rPr>
          <w:szCs w:val="20"/>
          <w:lang w:eastAsia="en-AU"/>
        </w:rPr>
        <w:t xml:space="preserve"> This involves </w:t>
      </w:r>
      <w:r w:rsidR="00550994" w:rsidRPr="00D03A70">
        <w:rPr>
          <w:szCs w:val="20"/>
          <w:lang w:eastAsia="en-AU"/>
        </w:rPr>
        <w:t>the use of a comparability</w:t>
      </w:r>
      <w:r w:rsidR="00C626DD" w:rsidRPr="00D03A70">
        <w:rPr>
          <w:szCs w:val="20"/>
          <w:lang w:eastAsia="en-AU"/>
        </w:rPr>
        <w:t xml:space="preserve"> analysis whereby the taxpayer:</w:t>
      </w:r>
    </w:p>
    <w:p w:rsidR="00550994" w:rsidRPr="00D03A70" w:rsidRDefault="00550994" w:rsidP="00425B68"/>
    <w:p w:rsidR="00550994" w:rsidRPr="00D03A70" w:rsidRDefault="008022DD" w:rsidP="00425B68">
      <w:pPr>
        <w:pStyle w:val="Bullets"/>
      </w:pPr>
      <w:r w:rsidRPr="00D03A70">
        <w:t>identif</w:t>
      </w:r>
      <w:r w:rsidR="00550994" w:rsidRPr="00D03A70">
        <w:t>ies</w:t>
      </w:r>
      <w:r w:rsidRPr="00D03A70">
        <w:t xml:space="preserve"> </w:t>
      </w:r>
      <w:r w:rsidR="00D2750F" w:rsidRPr="00D03A70">
        <w:t xml:space="preserve">the arm’s length conditions which </w:t>
      </w:r>
      <w:r w:rsidRPr="00D03A70">
        <w:t xml:space="preserve">might be expected to </w:t>
      </w:r>
      <w:r w:rsidR="00861571" w:rsidRPr="00D03A70">
        <w:t>be agreed between independent parties operating at arm’s length for</w:t>
      </w:r>
      <w:r w:rsidR="00D2750F" w:rsidRPr="00D03A70">
        <w:t xml:space="preserve"> comparable arrangements to the identified transaction</w:t>
      </w:r>
      <w:r w:rsidR="002246C9" w:rsidRPr="00D03A70">
        <w:t>; and</w:t>
      </w:r>
    </w:p>
    <w:p w:rsidR="00D2750F" w:rsidRPr="00D03A70" w:rsidRDefault="008022DD" w:rsidP="002E1F16">
      <w:pPr>
        <w:pStyle w:val="Bullets-Last"/>
      </w:pPr>
      <w:r w:rsidRPr="00D03A70">
        <w:t>us</w:t>
      </w:r>
      <w:r w:rsidR="002246C9" w:rsidRPr="00D03A70">
        <w:t>es</w:t>
      </w:r>
      <w:r w:rsidRPr="00D03A70">
        <w:t xml:space="preserve"> </w:t>
      </w:r>
      <w:r w:rsidR="002246C9" w:rsidRPr="00D03A70">
        <w:t>one or more</w:t>
      </w:r>
      <w:r w:rsidRPr="00D03A70">
        <w:t xml:space="preserve"> </w:t>
      </w:r>
      <w:r w:rsidR="002246C9" w:rsidRPr="00D03A70">
        <w:t xml:space="preserve">of the approved </w:t>
      </w:r>
      <w:r w:rsidRPr="00D03A70">
        <w:t>transfer pricing method</w:t>
      </w:r>
      <w:r w:rsidR="002246C9" w:rsidRPr="00D03A70">
        <w:t>s</w:t>
      </w:r>
      <w:r w:rsidRPr="00D03A70">
        <w:t xml:space="preserve"> to </w:t>
      </w:r>
      <w:r w:rsidR="00861571" w:rsidRPr="00D03A70">
        <w:t xml:space="preserve">produce the most reliable measure of </w:t>
      </w:r>
      <w:r w:rsidRPr="00D03A70">
        <w:t xml:space="preserve">the arm’s length </w:t>
      </w:r>
      <w:r w:rsidR="00861571" w:rsidRPr="00D03A70">
        <w:t xml:space="preserve">amount of </w:t>
      </w:r>
      <w:r w:rsidRPr="00D03A70">
        <w:t>consideration</w:t>
      </w:r>
      <w:r w:rsidR="00861571" w:rsidRPr="00D03A70">
        <w:t xml:space="preserve"> that would be agreed upon as part of the arm’s length conditions.</w:t>
      </w:r>
    </w:p>
    <w:p w:rsidR="00A770F2" w:rsidRPr="00D03A70" w:rsidRDefault="00A770F2" w:rsidP="007B08FD">
      <w:pPr>
        <w:rPr>
          <w:szCs w:val="20"/>
          <w:lang w:eastAsia="en-AU"/>
        </w:rPr>
      </w:pPr>
    </w:p>
    <w:p w:rsidR="00D2750F" w:rsidRPr="00D03A70" w:rsidRDefault="00D2750F" w:rsidP="00D2750F">
      <w:pPr>
        <w:rPr>
          <w:szCs w:val="20"/>
          <w:lang w:eastAsia="en-AU"/>
        </w:rPr>
      </w:pPr>
      <w:r w:rsidRPr="00D03A70">
        <w:rPr>
          <w:szCs w:val="20"/>
          <w:lang w:eastAsia="en-AU"/>
        </w:rPr>
        <w:t>One of the five approved</w:t>
      </w:r>
      <w:r w:rsidR="00A770F2" w:rsidRPr="00D03A70">
        <w:rPr>
          <w:szCs w:val="20"/>
          <w:lang w:eastAsia="en-AU"/>
        </w:rPr>
        <w:t xml:space="preserve"> transfer pricing method</w:t>
      </w:r>
      <w:r w:rsidRPr="00D03A70">
        <w:rPr>
          <w:szCs w:val="20"/>
          <w:lang w:eastAsia="en-AU"/>
        </w:rPr>
        <w:t xml:space="preserve">s (or a combination of these methods) described in </w:t>
      </w:r>
      <w:r w:rsidR="00057149">
        <w:rPr>
          <w:szCs w:val="20"/>
          <w:lang w:eastAsia="en-AU"/>
        </w:rPr>
        <w:t>c</w:t>
      </w:r>
      <w:r w:rsidRPr="00D03A70">
        <w:rPr>
          <w:szCs w:val="20"/>
          <w:lang w:eastAsia="en-AU"/>
        </w:rPr>
        <w:t xml:space="preserve">hapter III of the OECD </w:t>
      </w:r>
      <w:r w:rsidR="00124237">
        <w:rPr>
          <w:szCs w:val="20"/>
          <w:lang w:eastAsia="en-AU"/>
        </w:rPr>
        <w:t>t</w:t>
      </w:r>
      <w:r w:rsidRPr="00D03A70">
        <w:rPr>
          <w:szCs w:val="20"/>
          <w:lang w:eastAsia="en-AU"/>
        </w:rPr>
        <w:t xml:space="preserve">ransfer </w:t>
      </w:r>
      <w:r w:rsidR="00124237">
        <w:rPr>
          <w:szCs w:val="20"/>
          <w:lang w:eastAsia="en-AU"/>
        </w:rPr>
        <w:t>p</w:t>
      </w:r>
      <w:r w:rsidRPr="00D03A70">
        <w:rPr>
          <w:szCs w:val="20"/>
          <w:lang w:eastAsia="en-AU"/>
        </w:rPr>
        <w:t xml:space="preserve">ricing </w:t>
      </w:r>
      <w:r w:rsidR="00124237">
        <w:rPr>
          <w:szCs w:val="20"/>
          <w:lang w:eastAsia="en-AU"/>
        </w:rPr>
        <w:t>g</w:t>
      </w:r>
      <w:r w:rsidRPr="00D03A70">
        <w:rPr>
          <w:szCs w:val="20"/>
          <w:lang w:eastAsia="en-AU"/>
        </w:rPr>
        <w:t>uidelines</w:t>
      </w:r>
      <w:r w:rsidR="00A770F2" w:rsidRPr="00D03A70">
        <w:rPr>
          <w:szCs w:val="20"/>
          <w:lang w:eastAsia="en-AU"/>
        </w:rPr>
        <w:t xml:space="preserve"> must be </w:t>
      </w:r>
      <w:r w:rsidRPr="00D03A70">
        <w:rPr>
          <w:szCs w:val="20"/>
          <w:lang w:eastAsia="en-AU"/>
        </w:rPr>
        <w:t>used to</w:t>
      </w:r>
      <w:r w:rsidR="00A770F2" w:rsidRPr="00D03A70">
        <w:rPr>
          <w:szCs w:val="20"/>
          <w:lang w:eastAsia="en-AU"/>
        </w:rPr>
        <w:t xml:space="preserve"> perform </w:t>
      </w:r>
      <w:r w:rsidRPr="00D03A70">
        <w:rPr>
          <w:szCs w:val="20"/>
          <w:lang w:eastAsia="en-AU"/>
        </w:rPr>
        <w:t>the</w:t>
      </w:r>
      <w:r w:rsidR="00A770F2" w:rsidRPr="00D03A70">
        <w:rPr>
          <w:szCs w:val="20"/>
          <w:lang w:eastAsia="en-AU"/>
        </w:rPr>
        <w:t xml:space="preserve"> comparability analysis</w:t>
      </w:r>
      <w:r w:rsidRPr="00D03A70">
        <w:rPr>
          <w:szCs w:val="20"/>
          <w:lang w:eastAsia="en-AU"/>
        </w:rPr>
        <w:t>.</w:t>
      </w:r>
    </w:p>
    <w:p w:rsidR="007B08FD" w:rsidRPr="00D03A70" w:rsidRDefault="007B08FD" w:rsidP="007B08FD">
      <w:pPr>
        <w:rPr>
          <w:szCs w:val="20"/>
          <w:lang w:eastAsia="en-AU"/>
        </w:rPr>
      </w:pPr>
    </w:p>
    <w:p w:rsidR="007B08FD" w:rsidRPr="00D03A70" w:rsidRDefault="007B08FD" w:rsidP="007B08FD">
      <w:pPr>
        <w:rPr>
          <w:szCs w:val="20"/>
          <w:lang w:eastAsia="en-AU"/>
        </w:rPr>
      </w:pPr>
      <w:r w:rsidRPr="00D03A70">
        <w:rPr>
          <w:szCs w:val="20"/>
          <w:lang w:eastAsia="en-AU"/>
        </w:rPr>
        <w:t>The references in GC 13(1) to the “identified transaction” are not intended to limit the methods that taxpayers may use to perform a comparability analysis – any of the five methods listed in GC 13(2) can be used to perform this analysis.</w:t>
      </w:r>
    </w:p>
    <w:p w:rsidR="00D2750F" w:rsidRPr="00D03A70" w:rsidRDefault="00D2750F" w:rsidP="00D2750F">
      <w:pPr>
        <w:rPr>
          <w:szCs w:val="20"/>
          <w:lang w:eastAsia="en-AU"/>
        </w:rPr>
      </w:pPr>
    </w:p>
    <w:p w:rsidR="00445DA5" w:rsidRPr="00D03A70" w:rsidRDefault="00B94773" w:rsidP="00090978">
      <w:pPr>
        <w:rPr>
          <w:szCs w:val="20"/>
          <w:lang w:eastAsia="en-AU"/>
        </w:rPr>
      </w:pPr>
      <w:r w:rsidRPr="00D03A70">
        <w:rPr>
          <w:szCs w:val="20"/>
          <w:lang w:eastAsia="en-AU"/>
        </w:rPr>
        <w:t>The meaning of “identified transaction”, arm’s length conditions and “arm’s length amount of consideration” are further explained below.</w:t>
      </w:r>
    </w:p>
    <w:p w:rsidR="00445DA5" w:rsidRDefault="00445DA5" w:rsidP="00425B68"/>
    <w:p w:rsidR="00F26A17" w:rsidRPr="00D03A70" w:rsidRDefault="00F26A17" w:rsidP="00425B68"/>
    <w:p w:rsidR="00E370DD" w:rsidRPr="00D03A70" w:rsidRDefault="007E31F9" w:rsidP="006B573F">
      <w:pPr>
        <w:pStyle w:val="Heading2"/>
      </w:pPr>
      <w:bookmarkStart w:id="12" w:name="_Toc522633846"/>
      <w:r w:rsidRPr="00D03A70">
        <w:t>GC 13(</w:t>
      </w:r>
      <w:r w:rsidR="0049682D" w:rsidRPr="00D03A70">
        <w:t>1</w:t>
      </w:r>
      <w:r w:rsidRPr="00D03A70">
        <w:t xml:space="preserve">)(b): </w:t>
      </w:r>
      <w:r w:rsidR="00C42A05" w:rsidRPr="00D03A70">
        <w:t>A</w:t>
      </w:r>
      <w:r w:rsidR="00E370DD" w:rsidRPr="00D03A70">
        <w:t>rm’s length conditions</w:t>
      </w:r>
      <w:bookmarkEnd w:id="12"/>
    </w:p>
    <w:p w:rsidR="005F08DB" w:rsidRPr="00D03A70" w:rsidRDefault="005F08DB" w:rsidP="00425B68"/>
    <w:p w:rsidR="00B94773" w:rsidRPr="00D03A70" w:rsidRDefault="00B94773" w:rsidP="00425B68">
      <w:r w:rsidRPr="00D03A70">
        <w:t>“Arm’s length conditions” are</w:t>
      </w:r>
      <w:r w:rsidR="002246C9" w:rsidRPr="00D03A70">
        <w:t xml:space="preserve"> defined in section GC 13(b) as</w:t>
      </w:r>
      <w:r w:rsidRPr="00D03A70">
        <w:t xml:space="preserve"> the conditions independent parties after real and independent bargaining might be expected to agree upon </w:t>
      </w:r>
      <w:r w:rsidR="00425B68" w:rsidRPr="00D03A70">
        <w:t>for the identified transaction.</w:t>
      </w:r>
    </w:p>
    <w:p w:rsidR="00425B68" w:rsidRPr="00D03A70" w:rsidRDefault="00425B68" w:rsidP="00425B68"/>
    <w:p w:rsidR="00297048" w:rsidRPr="00D03A70" w:rsidRDefault="00F71A0E" w:rsidP="00425B68">
      <w:r w:rsidRPr="00D03A70">
        <w:t>In the phrase “arm’s length conditions”,</w:t>
      </w:r>
      <w:r w:rsidR="00E370DD" w:rsidRPr="00D03A70">
        <w:t xml:space="preserve"> “conditions” is not a defined term in the </w:t>
      </w:r>
      <w:r w:rsidR="007E31F9" w:rsidRPr="00D03A70">
        <w:t xml:space="preserve">Act </w:t>
      </w:r>
      <w:r w:rsidR="00E370DD" w:rsidRPr="00D03A70">
        <w:t>but is intended to include financial values such as the price, gross margin, net profit, and the division of profit between the acquirer and suppl</w:t>
      </w:r>
      <w:r w:rsidR="007E31F9" w:rsidRPr="00D03A70">
        <w:t>ier as well as other conditions</w:t>
      </w:r>
      <w:r w:rsidR="00E370DD" w:rsidRPr="00D03A70">
        <w:t>. This is consistent with paragraph 1.7 of the 2017 OECD transfer pricing guidelines which refers to “</w:t>
      </w:r>
      <w:r w:rsidR="00E370DD" w:rsidRPr="00D03A70">
        <w:rPr>
          <w:rStyle w:val="Emphasis"/>
        </w:rPr>
        <w:t>…conditions (including prices, but not only prices)</w:t>
      </w:r>
      <w:r w:rsidR="00E370DD" w:rsidRPr="00D03A70">
        <w:t>.”</w:t>
      </w:r>
    </w:p>
    <w:p w:rsidR="00297048" w:rsidRPr="00D03A70" w:rsidRDefault="00297048" w:rsidP="00425B68"/>
    <w:p w:rsidR="00E370DD" w:rsidRPr="00D03A70" w:rsidRDefault="00297048" w:rsidP="00425B68">
      <w:r w:rsidRPr="00D03A70">
        <w:t>Conditions may also include features going beyond the financial indicators relevant in applying transfer pricing methods.</w:t>
      </w:r>
    </w:p>
    <w:p w:rsidR="005F08DB" w:rsidRPr="00D03A70" w:rsidRDefault="005F08DB" w:rsidP="00425B68"/>
    <w:p w:rsidR="005F08DB" w:rsidRPr="00D03A70" w:rsidRDefault="005F08DB" w:rsidP="00425B68">
      <w:r w:rsidRPr="00D03A70">
        <w:t>The insertion of “conditions” is intended</w:t>
      </w:r>
      <w:r w:rsidR="00F71A0E" w:rsidRPr="00D03A70">
        <w:t xml:space="preserve"> to</w:t>
      </w:r>
      <w:r w:rsidRPr="00D03A70">
        <w:t xml:space="preserve"> </w:t>
      </w:r>
      <w:r w:rsidR="00503F37" w:rsidRPr="00D03A70">
        <w:t>clarify that a wider set of features, other than the price may be relevant when considering if the conditions of the transfer pricing arrangement need to be substituted with the conditions that would apply under comparable arm’s length arrangements</w:t>
      </w:r>
      <w:r w:rsidRPr="00D03A70">
        <w:t>.</w:t>
      </w:r>
    </w:p>
    <w:p w:rsidR="005F08DB" w:rsidRPr="00D03A70" w:rsidRDefault="005F08DB" w:rsidP="00425B68"/>
    <w:p w:rsidR="00297048" w:rsidRPr="00D03A70" w:rsidRDefault="002246C9" w:rsidP="00425B68">
      <w:r w:rsidRPr="00D03A70">
        <w:t xml:space="preserve">New Zealand’s transfer pricing legislation also refers to the concept of an “arm’s length amount of consideration” (and has done so since the rules were first introduced 1995). </w:t>
      </w:r>
      <w:r w:rsidR="005F08DB" w:rsidRPr="00D03A70">
        <w:t xml:space="preserve">The Federal Court in </w:t>
      </w:r>
      <w:r w:rsidR="005F08DB" w:rsidRPr="00D03A70">
        <w:rPr>
          <w:rStyle w:val="Emphasis"/>
        </w:rPr>
        <w:t>Chevron Australia Holdings Pty Ltd v Commissioner of Taxation [2015] FCA 1092</w:t>
      </w:r>
      <w:r w:rsidR="005F08DB" w:rsidRPr="00D03A70">
        <w:t xml:space="preserve"> found that the term “consideration”, which was used in Australia’s transfer pricing rules at the time the disputed transaction took place, had a broader meaning than just the price (interest rate). The Federal Court agreed that the Commissioner could make adjustments to other conditions (security and loan covenants in the Chevron case), that could have an impact on the price.</w:t>
      </w:r>
    </w:p>
    <w:p w:rsidR="006F00A8" w:rsidRDefault="006F00A8" w:rsidP="00425B68"/>
    <w:p w:rsidR="00F26A17" w:rsidRPr="00D03A70" w:rsidRDefault="00F26A17" w:rsidP="00425B68"/>
    <w:p w:rsidR="005F08DB" w:rsidRPr="00D03A70" w:rsidRDefault="005F08DB" w:rsidP="006B573F">
      <w:pPr>
        <w:pStyle w:val="Heading2"/>
      </w:pPr>
      <w:bookmarkStart w:id="13" w:name="_Toc522633847"/>
      <w:r w:rsidRPr="00D03A70">
        <w:t xml:space="preserve">GC 13(1B): </w:t>
      </w:r>
      <w:r w:rsidR="00507230" w:rsidRPr="00D03A70">
        <w:t>Determination of identified transaction</w:t>
      </w:r>
      <w:bookmarkEnd w:id="13"/>
    </w:p>
    <w:p w:rsidR="005F08DB" w:rsidRPr="00D03A70" w:rsidRDefault="005F08DB" w:rsidP="00425B68"/>
    <w:p w:rsidR="005F08DB" w:rsidRPr="00D03A70" w:rsidRDefault="005F08DB" w:rsidP="00425B68">
      <w:r w:rsidRPr="00D03A70">
        <w:t>The transfer pricing rules require the overall economic substance of the arrangement to be considered. The analysis is not limited to the legal contracts and takes into account the wider economic arrangement and commercial environment. In particular, if the legal contracts do not reflect the actual conduct of the parties, the actual conduct of the parties will be used to apply the transfer pricing rules.</w:t>
      </w:r>
    </w:p>
    <w:p w:rsidR="005F08DB" w:rsidRPr="00D03A70" w:rsidRDefault="005F08DB" w:rsidP="00425B68"/>
    <w:p w:rsidR="005F08DB" w:rsidRPr="00D03A70" w:rsidRDefault="005F08DB" w:rsidP="00425B68">
      <w:r w:rsidRPr="00D03A70">
        <w:t>New section GC 13(1B) achieves these outcomes by requiring the transfer pricing arrangement to be “accurately delineated using the approa</w:t>
      </w:r>
      <w:r w:rsidR="00057149">
        <w:t>ch described in section D.1 of c</w:t>
      </w:r>
      <w:r w:rsidRPr="00D03A70">
        <w:t>hapter I of the OECD transfer pricing guidelines.</w:t>
      </w:r>
      <w:r w:rsidR="00507230" w:rsidRPr="00D03A70">
        <w:t>”</w:t>
      </w:r>
    </w:p>
    <w:p w:rsidR="005F08DB" w:rsidRPr="00D03A70" w:rsidRDefault="005F08DB" w:rsidP="00425B68"/>
    <w:p w:rsidR="005F08DB" w:rsidRPr="00D03A70" w:rsidRDefault="005F08DB" w:rsidP="00425B68">
      <w:r w:rsidRPr="00D03A70">
        <w:t>Section D.1 of the OECD transfer pricing guidelines describes the process for accuratel</w:t>
      </w:r>
      <w:r w:rsidR="00425B68" w:rsidRPr="00D03A70">
        <w:t xml:space="preserve">y delineating the transaction. </w:t>
      </w:r>
      <w:r w:rsidRPr="00D03A70">
        <w:t>This process involves identifying the econom</w:t>
      </w:r>
      <w:r w:rsidR="00562E85" w:rsidRPr="00D03A70">
        <w:t>ically relevant characteristics. Some broad categories of the economically relevant characteristics are listed in paragraph 1.36</w:t>
      </w:r>
      <w:r w:rsidR="00F71A0E" w:rsidRPr="00D03A70">
        <w:t xml:space="preserve"> of the guidelines </w:t>
      </w:r>
      <w:r w:rsidR="00562E85" w:rsidRPr="00D03A70">
        <w:t>as:</w:t>
      </w:r>
    </w:p>
    <w:p w:rsidR="005F08DB" w:rsidRPr="00D03A70" w:rsidRDefault="005F08DB" w:rsidP="00425B68"/>
    <w:p w:rsidR="005F08DB" w:rsidRPr="00D03A70" w:rsidRDefault="005F08DB" w:rsidP="00425B68">
      <w:pPr>
        <w:pStyle w:val="Bullets"/>
      </w:pPr>
      <w:r w:rsidRPr="00D03A70">
        <w:t>The contractual terms of the transaction (as described in section D.1.1).</w:t>
      </w:r>
    </w:p>
    <w:p w:rsidR="005F08DB" w:rsidRPr="00D03A70" w:rsidRDefault="005F08DB" w:rsidP="00425B68">
      <w:pPr>
        <w:pStyle w:val="Bullets"/>
      </w:pPr>
      <w:r w:rsidRPr="00D03A70">
        <w:t>The functions performed by each of the parties to the transaction, taking into account assets used and risks assumed, including:</w:t>
      </w:r>
    </w:p>
    <w:p w:rsidR="00D3145F" w:rsidRPr="00D03A70" w:rsidRDefault="005F08DB" w:rsidP="00425B68">
      <w:pPr>
        <w:pStyle w:val="Bullets2"/>
        <w:rPr>
          <w:lang w:val="en-NZ"/>
        </w:rPr>
      </w:pPr>
      <w:r w:rsidRPr="00D03A70">
        <w:rPr>
          <w:lang w:val="en-NZ"/>
        </w:rPr>
        <w:t xml:space="preserve">how those functions relate to the wider generation of value by the </w:t>
      </w:r>
      <w:r w:rsidR="00057149">
        <w:rPr>
          <w:lang w:val="en-NZ"/>
        </w:rPr>
        <w:t>multinational enterprise</w:t>
      </w:r>
      <w:r w:rsidRPr="00D03A70">
        <w:rPr>
          <w:lang w:val="en-NZ"/>
        </w:rPr>
        <w:t xml:space="preserve"> gro</w:t>
      </w:r>
      <w:r w:rsidR="00C626DD" w:rsidRPr="00D03A70">
        <w:rPr>
          <w:lang w:val="en-NZ"/>
        </w:rPr>
        <w:t>up to which the parties belong;</w:t>
      </w:r>
    </w:p>
    <w:p w:rsidR="005F08DB" w:rsidRPr="00D03A70" w:rsidRDefault="005F08DB" w:rsidP="00425B68">
      <w:pPr>
        <w:pStyle w:val="Bullets2"/>
        <w:rPr>
          <w:lang w:val="en-NZ"/>
        </w:rPr>
      </w:pPr>
      <w:r w:rsidRPr="00D03A70">
        <w:rPr>
          <w:lang w:val="en-NZ"/>
        </w:rPr>
        <w:t>the circumstances surrounding the transaction; and</w:t>
      </w:r>
    </w:p>
    <w:p w:rsidR="005F08DB" w:rsidRPr="00D03A70" w:rsidRDefault="005F08DB" w:rsidP="002E1F16">
      <w:pPr>
        <w:pStyle w:val="Bullets2-Last"/>
        <w:rPr>
          <w:lang w:val="en-NZ"/>
        </w:rPr>
      </w:pPr>
      <w:r w:rsidRPr="00D03A70">
        <w:rPr>
          <w:lang w:val="en-NZ"/>
        </w:rPr>
        <w:t>industry practices (D.1.2).</w:t>
      </w:r>
    </w:p>
    <w:p w:rsidR="005F08DB" w:rsidRPr="00D03A70" w:rsidRDefault="005F08DB" w:rsidP="00425B68">
      <w:pPr>
        <w:pStyle w:val="Bullets"/>
      </w:pPr>
      <w:r w:rsidRPr="00D03A70">
        <w:t>The characteristics of property transferred or services provided (D.1.3).</w:t>
      </w:r>
    </w:p>
    <w:p w:rsidR="005F08DB" w:rsidRPr="00D03A70" w:rsidRDefault="005F08DB" w:rsidP="00425B68">
      <w:pPr>
        <w:pStyle w:val="Bullets"/>
      </w:pPr>
      <w:r w:rsidRPr="00D03A70">
        <w:t>The economic circumstances of the parties and of the market in which the parties operate (D.1.4).</w:t>
      </w:r>
    </w:p>
    <w:p w:rsidR="005F08DB" w:rsidRPr="00D03A70" w:rsidRDefault="005F08DB" w:rsidP="002E1F16">
      <w:pPr>
        <w:pStyle w:val="Bullets-Last"/>
      </w:pPr>
      <w:r w:rsidRPr="00D03A70">
        <w:t>The business strategies pursued by the parties (D.1.5).</w:t>
      </w:r>
    </w:p>
    <w:p w:rsidR="005F08DB" w:rsidRPr="00D03A70" w:rsidRDefault="005F08DB" w:rsidP="00425B68"/>
    <w:p w:rsidR="005F08DB" w:rsidRPr="00D03A70" w:rsidRDefault="005F08DB" w:rsidP="00425B68">
      <w:r w:rsidRPr="00D03A70">
        <w:t>As part of accurately delineating the controlled transaction, the terms of the legal agreement may be disregarded to the extent that they are inconsistent with the actual conduct of the parties. This is explained in paragraphs 1.45 and 1.46 of the OECD transfer pricing guidelines.</w:t>
      </w:r>
    </w:p>
    <w:p w:rsidR="001622DD" w:rsidRPr="00D03A70" w:rsidRDefault="001622DD" w:rsidP="00425B68"/>
    <w:p w:rsidR="00861571" w:rsidRPr="00D03A70" w:rsidRDefault="005F08DB" w:rsidP="00425B68">
      <w:r w:rsidRPr="00D03A70">
        <w:t>The OECD transfer pricing guidelines provide several examples that illustrate particular aspects of how to accurately delineate transactions. This includes examples of</w:t>
      </w:r>
      <w:r w:rsidR="00861571" w:rsidRPr="00D03A70">
        <w:t>:</w:t>
      </w:r>
    </w:p>
    <w:p w:rsidR="00861571" w:rsidRPr="00D03A70" w:rsidRDefault="00861571" w:rsidP="00425B68"/>
    <w:p w:rsidR="00861571" w:rsidRPr="00D03A70" w:rsidRDefault="00861571" w:rsidP="00425B68">
      <w:pPr>
        <w:pStyle w:val="Bullets"/>
      </w:pPr>
      <w:r w:rsidRPr="00D03A70">
        <w:t xml:space="preserve">how </w:t>
      </w:r>
      <w:r w:rsidR="005F08DB" w:rsidRPr="00D03A70">
        <w:t xml:space="preserve">the terms of the written contract </w:t>
      </w:r>
      <w:r w:rsidRPr="00D03A70">
        <w:t xml:space="preserve">may be clarified or supplemented by examining </w:t>
      </w:r>
      <w:r w:rsidR="005F08DB" w:rsidRPr="00D03A70">
        <w:t>the actual conduct of t</w:t>
      </w:r>
      <w:r w:rsidR="00C626DD" w:rsidRPr="00D03A70">
        <w:t>he parties (see paragraph 1.44);</w:t>
      </w:r>
    </w:p>
    <w:p w:rsidR="00861571" w:rsidRPr="00D03A70" w:rsidRDefault="00861571" w:rsidP="00425B68">
      <w:pPr>
        <w:pStyle w:val="Bullets"/>
      </w:pPr>
      <w:r w:rsidRPr="00D03A70">
        <w:t>how to deal with differences between written contractual terms and conduct of the parties, with the result being that the actual conduct of the parties is used to accurately delineate the transaction (paragraph 1.48)</w:t>
      </w:r>
      <w:r w:rsidR="00C626DD" w:rsidRPr="00D03A70">
        <w:t>;</w:t>
      </w:r>
    </w:p>
    <w:p w:rsidR="00861571" w:rsidRPr="00D03A70" w:rsidRDefault="00D3145F" w:rsidP="00425B68">
      <w:pPr>
        <w:pStyle w:val="Bullets"/>
      </w:pPr>
      <w:r w:rsidRPr="00D03A70">
        <w:t>u</w:t>
      </w:r>
      <w:r w:rsidR="00861571" w:rsidRPr="00D03A70">
        <w:t>sing the conduct of the parties to identify a transaction where one has not been identified by the multinational (paragraph 1.50)</w:t>
      </w:r>
      <w:r w:rsidR="00C626DD" w:rsidRPr="00D03A70">
        <w:t>; and</w:t>
      </w:r>
    </w:p>
    <w:p w:rsidR="005F08DB" w:rsidRPr="00D03A70" w:rsidRDefault="005F08DB" w:rsidP="00F26A17">
      <w:pPr>
        <w:pStyle w:val="Bullets-Last"/>
      </w:pPr>
      <w:r w:rsidRPr="00D03A70">
        <w:t>how risks should be assumed according to how the parties actually manage and control these risks (see paragraphs 1.83–1.85 and 1.89).</w:t>
      </w:r>
    </w:p>
    <w:p w:rsidR="001E49AC" w:rsidRDefault="001E49AC" w:rsidP="00425B68"/>
    <w:p w:rsidR="00F26A17" w:rsidRPr="00D03A70" w:rsidRDefault="00F26A17" w:rsidP="00425B68"/>
    <w:p w:rsidR="00E370DD" w:rsidRPr="00D03A70" w:rsidRDefault="00E370DD" w:rsidP="006B573F">
      <w:pPr>
        <w:pStyle w:val="Heading2"/>
      </w:pPr>
      <w:bookmarkStart w:id="14" w:name="_Toc522633848"/>
      <w:r w:rsidRPr="00D03A70">
        <w:t>GC 13(</w:t>
      </w:r>
      <w:r w:rsidR="005F08DB" w:rsidRPr="00D03A70">
        <w:t>1C)</w:t>
      </w:r>
      <w:r w:rsidRPr="00D03A70">
        <w:t xml:space="preserve">: </w:t>
      </w:r>
      <w:r w:rsidR="00507230" w:rsidRPr="00D03A70">
        <w:t>No transaction or differing transaction</w:t>
      </w:r>
      <w:bookmarkEnd w:id="14"/>
    </w:p>
    <w:p w:rsidR="00E370DD" w:rsidRPr="00D03A70" w:rsidRDefault="00E370DD" w:rsidP="00425B68"/>
    <w:p w:rsidR="00E370DD" w:rsidRPr="00D03A70" w:rsidRDefault="00E370DD" w:rsidP="00E370DD">
      <w:pPr>
        <w:rPr>
          <w:szCs w:val="20"/>
          <w:lang w:eastAsia="en-AU"/>
        </w:rPr>
      </w:pPr>
      <w:r w:rsidRPr="00D03A70">
        <w:rPr>
          <w:szCs w:val="20"/>
          <w:lang w:eastAsia="en-AU"/>
        </w:rPr>
        <w:t>Where the transfer pricing arrangements entered into are not commercially rational there is consequently no price which would be acceptable to independent parties in exchange for the relevant goods or services being supplied and acquired.</w:t>
      </w:r>
    </w:p>
    <w:p w:rsidR="00E370DD" w:rsidRPr="00D03A70" w:rsidRDefault="00E370DD" w:rsidP="00E370DD">
      <w:pPr>
        <w:rPr>
          <w:szCs w:val="20"/>
          <w:lang w:eastAsia="en-AU"/>
        </w:rPr>
      </w:pPr>
    </w:p>
    <w:p w:rsidR="00E370DD" w:rsidRPr="00D03A70" w:rsidRDefault="00E370DD" w:rsidP="00E370DD">
      <w:pPr>
        <w:rPr>
          <w:szCs w:val="20"/>
          <w:lang w:eastAsia="en-AU"/>
        </w:rPr>
      </w:pPr>
      <w:r w:rsidRPr="00D03A70">
        <w:rPr>
          <w:szCs w:val="20"/>
          <w:lang w:eastAsia="en-AU"/>
        </w:rPr>
        <w:t>In such cases it is not possible to apply a transfer pricing analysis as transfer pricing relies on being able to identify the arm’s length price which would be agreed between independent parties.</w:t>
      </w:r>
    </w:p>
    <w:p w:rsidR="00E370DD" w:rsidRPr="00D03A70" w:rsidRDefault="00E370DD" w:rsidP="00E370DD">
      <w:pPr>
        <w:rPr>
          <w:szCs w:val="20"/>
          <w:lang w:eastAsia="en-AU"/>
        </w:rPr>
      </w:pPr>
    </w:p>
    <w:p w:rsidR="00E370DD" w:rsidRPr="00D03A70" w:rsidRDefault="00E370DD" w:rsidP="00E370DD">
      <w:pPr>
        <w:rPr>
          <w:szCs w:val="20"/>
          <w:lang w:eastAsia="en-AU"/>
        </w:rPr>
      </w:pPr>
      <w:r w:rsidRPr="00D03A70">
        <w:rPr>
          <w:szCs w:val="20"/>
          <w:lang w:eastAsia="en-AU"/>
        </w:rPr>
        <w:t>To address this problem, section D.2 of chapter I of the OECD transfer pricing guidelines provides guidance about the circumstances where a transaction can be disregarded</w:t>
      </w:r>
      <w:r w:rsidR="00CF0C96" w:rsidRPr="00D03A70">
        <w:rPr>
          <w:szCs w:val="20"/>
          <w:lang w:eastAsia="en-AU"/>
        </w:rPr>
        <w:t>, and if appropriate</w:t>
      </w:r>
      <w:r w:rsidRPr="00D03A70">
        <w:rPr>
          <w:szCs w:val="20"/>
          <w:lang w:eastAsia="en-AU"/>
        </w:rPr>
        <w:t xml:space="preserve"> replaced with an alternative transaction that allows for a transfer pricing analysis to be performed.</w:t>
      </w:r>
    </w:p>
    <w:p w:rsidR="00E370DD" w:rsidRPr="00D03A70" w:rsidRDefault="00E370DD" w:rsidP="00E370DD">
      <w:pPr>
        <w:rPr>
          <w:szCs w:val="20"/>
          <w:lang w:eastAsia="en-AU"/>
        </w:rPr>
      </w:pPr>
    </w:p>
    <w:p w:rsidR="00E370DD" w:rsidRPr="00D03A70" w:rsidRDefault="00E370DD" w:rsidP="00E370DD">
      <w:pPr>
        <w:rPr>
          <w:szCs w:val="20"/>
          <w:lang w:eastAsia="en-AU"/>
        </w:rPr>
      </w:pPr>
      <w:r w:rsidRPr="00D03A70">
        <w:rPr>
          <w:szCs w:val="20"/>
          <w:lang w:eastAsia="en-AU"/>
        </w:rPr>
        <w:t>Proposed new section GC 13(</w:t>
      </w:r>
      <w:r w:rsidR="001E49AC" w:rsidRPr="00D03A70">
        <w:rPr>
          <w:szCs w:val="20"/>
          <w:lang w:eastAsia="en-AU"/>
        </w:rPr>
        <w:t>1C</w:t>
      </w:r>
      <w:r w:rsidRPr="00D03A70">
        <w:rPr>
          <w:szCs w:val="20"/>
          <w:lang w:eastAsia="en-AU"/>
        </w:rPr>
        <w:t>) applies when the requirements of paragraph 1.122 of the OECD transfer pricing guidelines are met. In summary, this paragraph states that the accurately delineated transaction can be disregarded</w:t>
      </w:r>
      <w:r w:rsidR="007B08FD" w:rsidRPr="00D03A70">
        <w:rPr>
          <w:szCs w:val="20"/>
          <w:lang w:eastAsia="en-AU"/>
        </w:rPr>
        <w:t xml:space="preserve"> and potentially replaced</w:t>
      </w:r>
      <w:r w:rsidRPr="00D03A70">
        <w:rPr>
          <w:szCs w:val="20"/>
          <w:lang w:eastAsia="en-AU"/>
        </w:rPr>
        <w:t>, if it would not be commercially rational for independent enterprises to enter into the transaction, because it would not be possible to determine a price which would be acceptable to both of the independent parties at the time that the transaction was entered into.</w:t>
      </w:r>
    </w:p>
    <w:p w:rsidR="0085180A" w:rsidRPr="00D03A70" w:rsidRDefault="0085180A" w:rsidP="0085180A">
      <w:pPr>
        <w:rPr>
          <w:szCs w:val="20"/>
          <w:lang w:eastAsia="en-AU"/>
        </w:rPr>
      </w:pPr>
    </w:p>
    <w:p w:rsidR="007B08FD" w:rsidRPr="00D03A70" w:rsidRDefault="007B08FD" w:rsidP="0085180A">
      <w:pPr>
        <w:rPr>
          <w:szCs w:val="20"/>
          <w:lang w:eastAsia="en-AU"/>
        </w:rPr>
      </w:pPr>
      <w:r w:rsidRPr="00D03A70">
        <w:rPr>
          <w:szCs w:val="20"/>
          <w:lang w:eastAsia="en-AU"/>
        </w:rPr>
        <w:t>The full text of paragraph 1.122 of the OECD transfer pricing guidelines:</w:t>
      </w:r>
    </w:p>
    <w:p w:rsidR="007B08FD" w:rsidRPr="00D03A70" w:rsidRDefault="007B08FD" w:rsidP="00425B68"/>
    <w:p w:rsidR="007B08FD" w:rsidRPr="00D03A70" w:rsidRDefault="009C26C4" w:rsidP="00425B68">
      <w:pPr>
        <w:pStyle w:val="Quote-Tax"/>
      </w:pPr>
      <w:r>
        <w:t>“</w:t>
      </w:r>
      <w:r w:rsidR="007B08FD" w:rsidRPr="00D03A70">
        <w:t>1.122</w:t>
      </w:r>
      <w:r w:rsidR="007B08FD" w:rsidRPr="00D03A70">
        <w:tab/>
        <w:t>This section sets out circumstances in which the transaction between the parties as accurately delineated can be disregarded for transfer pricing purposes. Because nonrecognition can be contentious and a source of double taxation, every effort should be made to determine the actual nature of the transaction and apply arm’s length pricing to the accurately delineated transaction, and to ensure that non-recognition is not used simply because determining an arm’s length price is difficult. Where the same transaction can be seen between independent parties in comparable circumstances (i.e. where all economically relevant characteristics are the same as those under which the tested transaction occurs other than that the parties are associated enterprises) non-recognition would not apply. Importantly, the mere fact that the transaction may not be seen between independent parties does not mean that it should not be recognised. Associated enterprises may have the ability to enter into a much greater variety of arrangements than can independent enterprises, and may conclude transactions of a specific nature that are not encountered, or are only very rarely encountered, between independent parties, and may do so for sound business reasons. The transaction as accurately delineated may be disregarded, and if appropriate, replaced by an alternative transaction, where the arrangements made in relation to the transaction, viewed in their totality, differ from those which would have been adopted by independent enterprises behaving in a commercially rational manner in comparable circumstances, thereby preventing determination of a price that would be acceptable to both of the parties taking into account their respective perspectives and the options realistically available to each of them at the time of entering into the transaction. It is also a relevant pointer to consider whether the MNE group as a whole is left worse off on a pre-tax basis since this may be an indicator that the transaction viewed in its entirety lacks the commercial rationality of arrangements between unrelated parties.</w:t>
      </w:r>
      <w:r>
        <w:t>”</w:t>
      </w:r>
    </w:p>
    <w:p w:rsidR="00F06C2F" w:rsidRPr="00D03A70" w:rsidRDefault="00F06C2F" w:rsidP="00425B68"/>
    <w:p w:rsidR="00E370DD" w:rsidRPr="00D03A70" w:rsidRDefault="00E370DD" w:rsidP="00425B68">
      <w:r w:rsidRPr="00D03A70">
        <w:t xml:space="preserve">In cases where the </w:t>
      </w:r>
      <w:r w:rsidR="00F47AFE" w:rsidRPr="00D03A70">
        <w:t xml:space="preserve">accurately delineated </w:t>
      </w:r>
      <w:r w:rsidRPr="00D03A70">
        <w:t>transaction is replaced it should be replaced with a new t</w:t>
      </w:r>
      <w:r w:rsidR="00F47AFE" w:rsidRPr="00D03A70">
        <w:t>ransaction</w:t>
      </w:r>
      <w:r w:rsidRPr="00D03A70">
        <w:t xml:space="preserve"> that enables a price that would be commercially rational for independent enterprises to agree </w:t>
      </w:r>
      <w:r w:rsidR="00F71A0E" w:rsidRPr="00D03A70">
        <w:t>to</w:t>
      </w:r>
      <w:r w:rsidRPr="00D03A70">
        <w:t xml:space="preserve">. As noted in paragraph 1.124 of the OECD transfer pricing guidelines, the </w:t>
      </w:r>
      <w:r w:rsidR="00F47AFE" w:rsidRPr="00D03A70">
        <w:t>replacement</w:t>
      </w:r>
      <w:r w:rsidRPr="00D03A70">
        <w:t xml:space="preserve"> </w:t>
      </w:r>
      <w:r w:rsidR="00F47AFE" w:rsidRPr="00D03A70">
        <w:t>transaction</w:t>
      </w:r>
      <w:r w:rsidRPr="00D03A70">
        <w:t xml:space="preserve"> should </w:t>
      </w:r>
      <w:r w:rsidR="00F47AFE" w:rsidRPr="00D03A70">
        <w:t>closely adhere to the</w:t>
      </w:r>
      <w:r w:rsidRPr="00D03A70">
        <w:t xml:space="preserve"> facts </w:t>
      </w:r>
      <w:r w:rsidR="00C824FD" w:rsidRPr="00D03A70">
        <w:t xml:space="preserve">(as accurately delineated) </w:t>
      </w:r>
      <w:r w:rsidRPr="00D03A70">
        <w:t>of the origin</w:t>
      </w:r>
      <w:r w:rsidR="00F47AFE" w:rsidRPr="00D03A70">
        <w:t>al transfer pricing transaction and only di</w:t>
      </w:r>
      <w:r w:rsidR="00C824FD" w:rsidRPr="00D03A70">
        <w:t>verge</w:t>
      </w:r>
      <w:r w:rsidR="00F47AFE" w:rsidRPr="00D03A70">
        <w:t xml:space="preserve"> from those facts to the </w:t>
      </w:r>
      <w:r w:rsidRPr="00D03A70">
        <w:t>e</w:t>
      </w:r>
      <w:r w:rsidR="007B08FD" w:rsidRPr="00D03A70">
        <w:t xml:space="preserve">xtent that </w:t>
      </w:r>
      <w:r w:rsidR="00F47AFE" w:rsidRPr="00D03A70">
        <w:t>it is necessary to achieve a commercially rational outcome:</w:t>
      </w:r>
    </w:p>
    <w:p w:rsidR="007B08FD" w:rsidRPr="00D03A70" w:rsidRDefault="007B08FD" w:rsidP="00425B68"/>
    <w:p w:rsidR="007B08FD" w:rsidRPr="00D03A70" w:rsidRDefault="009C26C4" w:rsidP="00425B68">
      <w:pPr>
        <w:pStyle w:val="Quote-Tax"/>
      </w:pPr>
      <w:r>
        <w:t>“</w:t>
      </w:r>
      <w:r w:rsidR="00425B68" w:rsidRPr="00D03A70">
        <w:t>1.124</w:t>
      </w:r>
      <w:r w:rsidR="007B08FD" w:rsidRPr="00D03A70">
        <w:tab/>
        <w:t>The structure that for transfer pricing purposes, replaces that actually adopted by the taxpayers should comport as closely as possible with the facts of the actual transaction undertaken whilst achieving a commercially rational expected result that would have enabled the parties to come to a price acceptable to both of them at the time the arrangement was entered into.</w:t>
      </w:r>
      <w:r>
        <w:t>”</w:t>
      </w:r>
    </w:p>
    <w:p w:rsidR="00656322" w:rsidRPr="00D03A70" w:rsidRDefault="00656322" w:rsidP="00425B68"/>
    <w:p w:rsidR="00E370DD" w:rsidRPr="00D03A70" w:rsidRDefault="00E370DD" w:rsidP="00425B68">
      <w:r w:rsidRPr="00D03A70">
        <w:t>Paragraph 1.128 of the OECD transfer pricing guidelines provides an example where an arrangement is replaced. The example involves a lump sum payment for all future intangibles developed by an associated company over the next 20 years. This arrangement would not be commercially rational for independent parties to agree on as it is not possible to value these future intangibles. In this example, a number of potential replacement transactions could be considered including a financing arrangement, a contract for research services or a licencing agreement for some specific identified intangibles.</w:t>
      </w:r>
    </w:p>
    <w:p w:rsidR="00E370DD" w:rsidRPr="00D03A70" w:rsidRDefault="00E370DD" w:rsidP="00425B68"/>
    <w:p w:rsidR="00E370DD" w:rsidRPr="00D03A70" w:rsidRDefault="00656322" w:rsidP="00425B68">
      <w:r w:rsidRPr="00D03A70">
        <w:t xml:space="preserve">The transaction will be disregarded </w:t>
      </w:r>
      <w:r w:rsidR="005C43E9" w:rsidRPr="00D03A70">
        <w:t xml:space="preserve">and not replaced </w:t>
      </w:r>
      <w:r w:rsidRPr="00D03A70">
        <w:t xml:space="preserve">if the commercially rational deal that independent parties would accept in comparable circumstances is one that involves no supply or acquisition. </w:t>
      </w:r>
      <w:r w:rsidR="00E370DD" w:rsidRPr="00D03A70">
        <w:t>This is provi</w:t>
      </w:r>
      <w:r w:rsidR="001E49AC" w:rsidRPr="00D03A70">
        <w:t xml:space="preserve">ded </w:t>
      </w:r>
      <w:r w:rsidR="00F30C03" w:rsidRPr="00D03A70">
        <w:t xml:space="preserve">for by new section </w:t>
      </w:r>
      <w:r w:rsidR="001E49AC" w:rsidRPr="00D03A70">
        <w:t>GC (13)(1C</w:t>
      </w:r>
      <w:r w:rsidRPr="00D03A70">
        <w:t xml:space="preserve">)(a). If </w:t>
      </w:r>
      <w:r w:rsidR="00E370DD" w:rsidRPr="00D03A70">
        <w:t xml:space="preserve">the transaction is </w:t>
      </w:r>
      <w:r w:rsidRPr="00D03A70">
        <w:t>disregarded under section GC 13(1C)(a) of the transfer pricing rules it will be</w:t>
      </w:r>
      <w:r w:rsidR="00E370DD" w:rsidRPr="00D03A70">
        <w:t xml:space="preserve"> null and void for determining the person’s </w:t>
      </w:r>
      <w:r w:rsidRPr="00D03A70">
        <w:t>New Zealand income tax liability</w:t>
      </w:r>
      <w:r w:rsidR="00E370DD" w:rsidRPr="00D03A70">
        <w:t>. Note that there may still be NRWT on the payments as existing section GC 12 means that transfer pricing adjustments do not affect NRWT obligations.</w:t>
      </w:r>
    </w:p>
    <w:p w:rsidR="00E370DD" w:rsidRPr="00D03A70" w:rsidRDefault="00E370DD" w:rsidP="00425B68"/>
    <w:p w:rsidR="00E370DD" w:rsidRPr="00D03A70" w:rsidRDefault="00E370DD" w:rsidP="00425B68">
      <w:r w:rsidRPr="00D03A70">
        <w:t>Paragraphs 1.126 and 1.127 of the OECD transfer pricing guidelines provide an example of a transaction which is disregarded and not replaced. This example involves a property prone to flooding which an independent insurer would not agree to insure as evidenced by there being no active insurance market for properties in that area.</w:t>
      </w:r>
    </w:p>
    <w:p w:rsidR="001E49AC" w:rsidRDefault="001E49AC" w:rsidP="00425B68"/>
    <w:p w:rsidR="00F26A17" w:rsidRPr="00D03A70" w:rsidRDefault="00F26A17" w:rsidP="00425B68"/>
    <w:p w:rsidR="003A2812" w:rsidRPr="00D03A70" w:rsidRDefault="003A2812" w:rsidP="006B573F">
      <w:pPr>
        <w:pStyle w:val="Heading2"/>
      </w:pPr>
      <w:bookmarkStart w:id="15" w:name="_Toc522633849"/>
      <w:r w:rsidRPr="00D03A70">
        <w:t>GC 13(2): Approved transfer pricing methods</w:t>
      </w:r>
      <w:bookmarkEnd w:id="15"/>
    </w:p>
    <w:p w:rsidR="003A2812" w:rsidRPr="00D03A70" w:rsidRDefault="003A2812" w:rsidP="00425B68"/>
    <w:p w:rsidR="003A2812" w:rsidRPr="00D03A70" w:rsidRDefault="003A2812" w:rsidP="00425B68">
      <w:r w:rsidRPr="00D03A70">
        <w:t xml:space="preserve">Section GC 13(2) requires the taxpayer to determine the arm’s length amount of consideration under arm’s length conditions by performing a comparability analysis as required by the OECD transfer pricing guidelines, chapter III, using any </w:t>
      </w:r>
      <w:r w:rsidR="00F71A0E" w:rsidRPr="00D03A70">
        <w:t xml:space="preserve">one </w:t>
      </w:r>
      <w:r w:rsidRPr="00D03A70">
        <w:t xml:space="preserve">or a combination of the five transfer pricing methods that are described in </w:t>
      </w:r>
      <w:r w:rsidR="00057149">
        <w:t>c</w:t>
      </w:r>
      <w:r w:rsidRPr="00D03A70">
        <w:t>hapter II of the OECD transfer pricing guidelines.</w:t>
      </w:r>
    </w:p>
    <w:p w:rsidR="003A2812" w:rsidRPr="00D03A70" w:rsidRDefault="003A2812" w:rsidP="00425B68"/>
    <w:p w:rsidR="00027060" w:rsidRPr="00D03A70" w:rsidRDefault="00027060" w:rsidP="00425B68">
      <w:r w:rsidRPr="00D03A70">
        <w:t>The choice of method that should be used is the method (or combination of methods) which produces the most reliable measure of the arm’s length amount</w:t>
      </w:r>
      <w:r w:rsidR="00350A21" w:rsidRPr="00D03A70">
        <w:t xml:space="preserve"> of consideratio</w:t>
      </w:r>
      <w:r w:rsidR="00C626DD" w:rsidRPr="00D03A70">
        <w:t>n</w:t>
      </w:r>
      <w:r w:rsidR="00350A21" w:rsidRPr="00D03A70">
        <w:t xml:space="preserve"> (see </w:t>
      </w:r>
      <w:r w:rsidRPr="00D03A70">
        <w:t>section</w:t>
      </w:r>
      <w:r w:rsidR="00C626DD" w:rsidRPr="00D03A70">
        <w:t> </w:t>
      </w:r>
      <w:r w:rsidRPr="00D03A70">
        <w:t>GC</w:t>
      </w:r>
      <w:r w:rsidR="00C626DD" w:rsidRPr="00D03A70">
        <w:t> </w:t>
      </w:r>
      <w:r w:rsidRPr="00D03A70">
        <w:t>13(1)(c)).</w:t>
      </w:r>
      <w:r w:rsidR="00AA417D" w:rsidRPr="00D03A70">
        <w:t xml:space="preserve"> Chapter II of the OECD transfer pricing guidelines includes some further guidance on what transfer pricing method should be used, depending on the relevant circumstances of the arrangement and data availability.</w:t>
      </w:r>
    </w:p>
    <w:p w:rsidR="00AA417D" w:rsidRPr="00D03A70" w:rsidRDefault="00AA417D" w:rsidP="00425B68"/>
    <w:p w:rsidR="00EF10FA" w:rsidRPr="00D03A70" w:rsidRDefault="00294DFB" w:rsidP="00425B68">
      <w:r w:rsidRPr="00D03A70">
        <w:t>The requirements under the updated section GC 13(2) are very</w:t>
      </w:r>
      <w:r w:rsidR="00AA417D" w:rsidRPr="00D03A70">
        <w:t xml:space="preserve"> </w:t>
      </w:r>
      <w:r w:rsidRPr="00D03A70">
        <w:t xml:space="preserve">similar to requirements under </w:t>
      </w:r>
      <w:r w:rsidR="00AA417D" w:rsidRPr="00D03A70">
        <w:t xml:space="preserve">the </w:t>
      </w:r>
      <w:r w:rsidRPr="00D03A70">
        <w:t>previous</w:t>
      </w:r>
      <w:r w:rsidR="00AA417D" w:rsidRPr="00D03A70">
        <w:t xml:space="preserve"> section </w:t>
      </w:r>
      <w:r w:rsidRPr="00D03A70">
        <w:t xml:space="preserve">GC 13(2) </w:t>
      </w:r>
      <w:r w:rsidR="00EF10FA" w:rsidRPr="00D03A70">
        <w:t>of the Income Tax Act 2007. The main difference</w:t>
      </w:r>
      <w:r w:rsidRPr="00D03A70">
        <w:t>s are</w:t>
      </w:r>
      <w:r w:rsidR="00EF10FA" w:rsidRPr="00D03A70">
        <w:t xml:space="preserve"> that the</w:t>
      </w:r>
      <w:r w:rsidR="00AA417D" w:rsidRPr="00D03A70">
        <w:t xml:space="preserve"> names of the transfer p</w:t>
      </w:r>
      <w:r w:rsidR="00EF10FA" w:rsidRPr="00D03A70">
        <w:t>ricing methods have been</w:t>
      </w:r>
      <w:r w:rsidRPr="00D03A70">
        <w:t xml:space="preserve"> updated to the modern terminology and the updated provision now refers to using the OECD guidelines as guidance for how to perform a comparability analysis using the methods described in those guidelines.</w:t>
      </w:r>
    </w:p>
    <w:p w:rsidR="00EF10FA" w:rsidRPr="00D03A70" w:rsidRDefault="00EF10FA" w:rsidP="00425B68"/>
    <w:p w:rsidR="002145DD" w:rsidRPr="00D03A70" w:rsidRDefault="00562E85" w:rsidP="00425B68">
      <w:r w:rsidRPr="00D03A70">
        <w:t xml:space="preserve">In addition to the guidance in chapter III of the OECD transfer pricing guidelines, there is some relevant guidance </w:t>
      </w:r>
      <w:r w:rsidR="002145DD" w:rsidRPr="00D03A70">
        <w:t xml:space="preserve">on the factors that a comparability analysis should take into account </w:t>
      </w:r>
      <w:r w:rsidRPr="00D03A70">
        <w:t xml:space="preserve">in </w:t>
      </w:r>
      <w:r w:rsidR="002145DD" w:rsidRPr="00D03A70">
        <w:t xml:space="preserve">section D.1 of </w:t>
      </w:r>
      <w:r w:rsidRPr="00D03A70">
        <w:t>chapter I of the OECD guidelines</w:t>
      </w:r>
      <w:r w:rsidR="00C626DD" w:rsidRPr="00D03A70">
        <w:t>.</w:t>
      </w:r>
    </w:p>
    <w:p w:rsidR="002145DD" w:rsidRPr="00D03A70" w:rsidRDefault="002145DD" w:rsidP="00425B68"/>
    <w:p w:rsidR="002145DD" w:rsidRPr="00D03A70" w:rsidRDefault="002145DD" w:rsidP="00425B68">
      <w:r w:rsidRPr="00D03A70">
        <w:t xml:space="preserve">In particular, paragraph 1.39 of </w:t>
      </w:r>
      <w:r w:rsidR="00F71A0E" w:rsidRPr="00D03A70">
        <w:t xml:space="preserve">the </w:t>
      </w:r>
      <w:r w:rsidRPr="00D03A70">
        <w:t>OECD guidelines notes</w:t>
      </w:r>
      <w:r w:rsidR="00562E85" w:rsidRPr="00D03A70">
        <w:t xml:space="preserve"> that “</w:t>
      </w:r>
      <w:r w:rsidR="00562E85" w:rsidRPr="00D03A70">
        <w:rPr>
          <w:rStyle w:val="Emphasis"/>
        </w:rPr>
        <w:t>differences in economically relevant characteristics between the controlled and uncontrolled arrangements need to be taken into account when establishing whether there is comparability between the situations being compared and what adjustments may be necessary to achieve comparability.</w:t>
      </w:r>
      <w:r w:rsidR="00562E85" w:rsidRPr="00D03A70">
        <w:t>”</w:t>
      </w:r>
    </w:p>
    <w:p w:rsidR="002145DD" w:rsidRPr="00D03A70" w:rsidRDefault="002145DD" w:rsidP="00425B68"/>
    <w:p w:rsidR="00BF7907" w:rsidRPr="00D03A70" w:rsidRDefault="008F18B8" w:rsidP="00425B68">
      <w:r w:rsidRPr="00D03A70">
        <w:t>T</w:t>
      </w:r>
      <w:r w:rsidR="00BF7907" w:rsidRPr="00D03A70">
        <w:t>he economically relevant characteristics are</w:t>
      </w:r>
      <w:r w:rsidRPr="00D03A70">
        <w:t xml:space="preserve"> the same characteristics that were considered when accurately delineating the identified transaction. Some broad categories of what these economically relevant characteristics could include are</w:t>
      </w:r>
      <w:r w:rsidR="00BF7907" w:rsidRPr="00D03A70">
        <w:t xml:space="preserve"> listed in paragraph 1.36 of the OECD guidelines</w:t>
      </w:r>
      <w:r w:rsidRPr="00D03A70">
        <w:t>.</w:t>
      </w:r>
    </w:p>
    <w:p w:rsidR="00BF7907" w:rsidRDefault="00BF7907" w:rsidP="00425B68"/>
    <w:p w:rsidR="00F26A17" w:rsidRPr="00D03A70" w:rsidRDefault="00F26A17" w:rsidP="00425B68"/>
    <w:p w:rsidR="00E370DD" w:rsidRPr="00D03A70" w:rsidRDefault="00E370DD" w:rsidP="006B573F">
      <w:pPr>
        <w:pStyle w:val="Heading2"/>
      </w:pPr>
      <w:bookmarkStart w:id="16" w:name="_Toc522633850"/>
      <w:r w:rsidRPr="00D03A70">
        <w:t>Onus of proof shifted to the taxpayer</w:t>
      </w:r>
      <w:bookmarkEnd w:id="16"/>
    </w:p>
    <w:p w:rsidR="009F2266" w:rsidRPr="00D03A70" w:rsidRDefault="009F2266" w:rsidP="001C6A5D"/>
    <w:p w:rsidR="00E370DD" w:rsidRPr="00D03A70" w:rsidRDefault="00E370DD" w:rsidP="001C6A5D">
      <w:r w:rsidRPr="00D03A70">
        <w:t xml:space="preserve">When New Zealand’s transfer pricing rules were introduced in 1995 they placed the onus of proof on the Commissioner. That is, the arm’s length amount of consideration </w:t>
      </w:r>
      <w:r w:rsidR="00B82EA0" w:rsidRPr="00D03A70">
        <w:t>has</w:t>
      </w:r>
      <w:r w:rsidRPr="00D03A70">
        <w:t xml:space="preserve"> generally </w:t>
      </w:r>
      <w:r w:rsidR="00B82EA0" w:rsidRPr="00D03A70">
        <w:t xml:space="preserve">been </w:t>
      </w:r>
      <w:r w:rsidRPr="00D03A70">
        <w:t xml:space="preserve">determined by the taxpayer under section GC </w:t>
      </w:r>
      <w:r w:rsidR="00207F04" w:rsidRPr="00D03A70">
        <w:t xml:space="preserve">13 </w:t>
      </w:r>
      <w:r w:rsidRPr="00D03A70">
        <w:t>of the Income Tax Act 2007.</w:t>
      </w:r>
    </w:p>
    <w:p w:rsidR="00E370DD" w:rsidRPr="00D03A70" w:rsidRDefault="00E370DD" w:rsidP="001C6A5D"/>
    <w:p w:rsidR="00E370DD" w:rsidRPr="00D03A70" w:rsidRDefault="00B82EA0" w:rsidP="001C6A5D">
      <w:r w:rsidRPr="00D03A70">
        <w:t xml:space="preserve">This position has changed with the repeal of sections GC 13(4) and (5). </w:t>
      </w:r>
      <w:r w:rsidR="00E370DD" w:rsidRPr="00D03A70">
        <w:t xml:space="preserve">This means that the general onus of proof in section 149A(2)(b) of the Tax Administration Act 1994 will place the onus of proof for transfer pricing issues onto the taxpayer. </w:t>
      </w:r>
      <w:r w:rsidR="00F71A0E" w:rsidRPr="00D03A70">
        <w:t xml:space="preserve">New Zealand’s tax system operates on a self-assessment basis, where the taxpayer is expected to keep sufficient records to support its tax position. </w:t>
      </w:r>
      <w:r w:rsidR="00E370DD" w:rsidRPr="00D03A70">
        <w:t xml:space="preserve">This </w:t>
      </w:r>
      <w:r w:rsidRPr="00D03A70">
        <w:t xml:space="preserve">change </w:t>
      </w:r>
      <w:r w:rsidR="00E370DD" w:rsidRPr="00D03A70">
        <w:t xml:space="preserve">is </w:t>
      </w:r>
      <w:r w:rsidR="00F71A0E" w:rsidRPr="00D03A70">
        <w:t xml:space="preserve">therefore </w:t>
      </w:r>
      <w:r w:rsidR="00E370DD" w:rsidRPr="00D03A70">
        <w:t>consistent with the fact that the onus of proof is already on the taxpayer for other tax matters.</w:t>
      </w:r>
    </w:p>
    <w:p w:rsidR="00E370DD" w:rsidRPr="00D03A70" w:rsidRDefault="00E370DD" w:rsidP="001C6A5D"/>
    <w:p w:rsidR="00E370DD" w:rsidRPr="00D03A70" w:rsidRDefault="00E370DD" w:rsidP="001C6A5D">
      <w:r w:rsidRPr="00D03A70">
        <w:t xml:space="preserve">It also reflects the practical reality of </w:t>
      </w:r>
      <w:r w:rsidR="00207F04" w:rsidRPr="00D03A70">
        <w:t xml:space="preserve">a </w:t>
      </w:r>
      <w:r w:rsidRPr="00D03A70">
        <w:t>transfer pricing analysis. As transfer pricing is driven by specific facts and circumstances and involves comparisons with similar arm’s length transactions, the taxpayer is far more likely to hold the relevant information to support its pricing than Inland Revenue.</w:t>
      </w:r>
    </w:p>
    <w:p w:rsidR="00E370DD" w:rsidRPr="00D03A70" w:rsidRDefault="00E370DD" w:rsidP="001C6A5D"/>
    <w:p w:rsidR="00E370DD" w:rsidRPr="00D03A70" w:rsidRDefault="002B3A85" w:rsidP="001C6A5D">
      <w:r w:rsidRPr="00D03A70">
        <w:t>At the time of publication, the onus of proof was on the taxpayer for transfer pricing matters in Australia, the U</w:t>
      </w:r>
      <w:r w:rsidR="00C626DD" w:rsidRPr="00D03A70">
        <w:t>nited States</w:t>
      </w:r>
      <w:r w:rsidRPr="00D03A70">
        <w:t>, Canada, China, Hong Kong, Singapore, the U</w:t>
      </w:r>
      <w:r w:rsidR="00C626DD" w:rsidRPr="00D03A70">
        <w:t xml:space="preserve">nited </w:t>
      </w:r>
      <w:r w:rsidRPr="00D03A70">
        <w:t>K</w:t>
      </w:r>
      <w:r w:rsidR="00C626DD" w:rsidRPr="00D03A70">
        <w:t>ingdom</w:t>
      </w:r>
      <w:r w:rsidRPr="00D03A70">
        <w:t>, Ireland, France and Germany. This means most multinationals already prepare transfer pricing documentation that satisfies the burden of proof for other countries</w:t>
      </w:r>
      <w:r w:rsidR="001C6A5D" w:rsidRPr="00D03A70">
        <w:t>.</w:t>
      </w:r>
    </w:p>
    <w:p w:rsidR="005F6759" w:rsidRPr="00D03A70" w:rsidRDefault="005F6759" w:rsidP="001C6A5D"/>
    <w:p w:rsidR="00E074D9" w:rsidRPr="00D03A70" w:rsidRDefault="00491A1B" w:rsidP="001C6A5D">
      <w:r w:rsidRPr="00D03A70">
        <w:t xml:space="preserve">Putting the onus of proof for transfer pricing matters onto the taxpayer </w:t>
      </w:r>
      <w:r w:rsidR="00E074D9" w:rsidRPr="00D03A70">
        <w:t>means that</w:t>
      </w:r>
      <w:r w:rsidRPr="00D03A70">
        <w:t xml:space="preserve"> taxpayers</w:t>
      </w:r>
      <w:r w:rsidR="00E074D9" w:rsidRPr="00D03A70">
        <w:t xml:space="preserve"> who have material transfer pricing arrangements will need</w:t>
      </w:r>
      <w:r w:rsidRPr="00D03A70">
        <w:t xml:space="preserve"> to prepare </w:t>
      </w:r>
      <w:r w:rsidR="00E074D9" w:rsidRPr="00D03A70">
        <w:t>transfer pricing documentation that provides adequate evidence that their transfer pricing positions are correct</w:t>
      </w:r>
      <w:r w:rsidR="0006292A" w:rsidRPr="00D03A70">
        <w:t xml:space="preserve"> (</w:t>
      </w:r>
      <w:r w:rsidR="006B573F" w:rsidRPr="00D03A70">
        <w:t>that is, they</w:t>
      </w:r>
      <w:r w:rsidR="0006292A" w:rsidRPr="00D03A70">
        <w:t xml:space="preserve"> are determined using arm’s length conditions)</w:t>
      </w:r>
      <w:r w:rsidR="00E074D9" w:rsidRPr="00D03A70">
        <w:t>.</w:t>
      </w:r>
    </w:p>
    <w:p w:rsidR="00E074D9" w:rsidRPr="00D03A70" w:rsidRDefault="00E074D9" w:rsidP="001C6A5D"/>
    <w:p w:rsidR="00E074D9" w:rsidRPr="00D03A70" w:rsidRDefault="00E074D9" w:rsidP="001C6A5D">
      <w:r w:rsidRPr="00D03A70">
        <w:t xml:space="preserve">The standard of proof required </w:t>
      </w:r>
      <w:r w:rsidR="00861571" w:rsidRPr="00D03A70">
        <w:t xml:space="preserve">to apply a civil penalty such as a shortfall penalty imposed on an incorrect transfer pricing position </w:t>
      </w:r>
      <w:r w:rsidRPr="00D03A70">
        <w:t>is the “balance of probabilities” (under section 149A(1) of the Tax Administration Act</w:t>
      </w:r>
      <w:r w:rsidR="006A08E0">
        <w:t xml:space="preserve"> 1994</w:t>
      </w:r>
      <w:r w:rsidRPr="00D03A70">
        <w:t>).</w:t>
      </w:r>
      <w:r w:rsidR="00861571" w:rsidRPr="00D03A70">
        <w:t xml:space="preserve"> This means that there must be a reasonable degree of probability that the offence was committed.</w:t>
      </w:r>
    </w:p>
    <w:p w:rsidR="006B573F" w:rsidRPr="00D03A70" w:rsidRDefault="006B573F" w:rsidP="001C6A5D"/>
    <w:p w:rsidR="004E7E9C" w:rsidRPr="00D03A70" w:rsidRDefault="00E074D9" w:rsidP="001C6A5D">
      <w:r w:rsidRPr="00D03A70">
        <w:t xml:space="preserve">Inland Revenue’s administrative practice and the OECD </w:t>
      </w:r>
      <w:r w:rsidR="00124237">
        <w:t>t</w:t>
      </w:r>
      <w:r w:rsidRPr="00D03A70">
        <w:t xml:space="preserve">ransfer </w:t>
      </w:r>
      <w:r w:rsidR="00124237">
        <w:t>p</w:t>
      </w:r>
      <w:r w:rsidRPr="00D03A70">
        <w:t xml:space="preserve">ricing </w:t>
      </w:r>
      <w:r w:rsidR="00124237">
        <w:t>g</w:t>
      </w:r>
      <w:r w:rsidRPr="00D03A70">
        <w:t xml:space="preserve">uidelines both acknowledge that there </w:t>
      </w:r>
      <w:r w:rsidR="00C85404" w:rsidRPr="00D03A70">
        <w:t xml:space="preserve">may be </w:t>
      </w:r>
      <w:r w:rsidRPr="00D03A70">
        <w:t xml:space="preserve">a range of conditions that can be considered to be arm’s length conditions. </w:t>
      </w:r>
      <w:r w:rsidR="00C85404" w:rsidRPr="00D03A70">
        <w:t>T</w:t>
      </w:r>
      <w:r w:rsidRPr="00D03A70">
        <w:t>he OECD guidelines state that “</w:t>
      </w:r>
      <w:r w:rsidRPr="00D03A70">
        <w:rPr>
          <w:rStyle w:val="Emphasis"/>
        </w:rPr>
        <w:t>If the relevant condition of the controlled transaction (e.g. price or margin) is within the arm’s length range, no adjustment should be made.</w:t>
      </w:r>
      <w:r w:rsidRPr="00D03A70">
        <w:t>”</w:t>
      </w:r>
    </w:p>
    <w:p w:rsidR="004E7E9C" w:rsidRDefault="004E7E9C" w:rsidP="001C6A5D"/>
    <w:p w:rsidR="00F26A17" w:rsidRPr="00D03A70" w:rsidRDefault="00F26A17" w:rsidP="001C6A5D"/>
    <w:p w:rsidR="004E7E9C" w:rsidRPr="00D03A70" w:rsidRDefault="004E7E9C" w:rsidP="006B573F">
      <w:pPr>
        <w:pStyle w:val="Heading2"/>
      </w:pPr>
      <w:bookmarkStart w:id="17" w:name="_Toc522633851"/>
      <w:r w:rsidRPr="00D03A70">
        <w:t>Documentation</w:t>
      </w:r>
      <w:bookmarkEnd w:id="17"/>
    </w:p>
    <w:p w:rsidR="004E7E9C" w:rsidRPr="00D03A70" w:rsidRDefault="004E7E9C" w:rsidP="001C6A5D"/>
    <w:p w:rsidR="00287E90" w:rsidRPr="00D03A70" w:rsidRDefault="00287E90" w:rsidP="001C6A5D">
      <w:r w:rsidRPr="00D03A70">
        <w:t>The r</w:t>
      </w:r>
      <w:r w:rsidR="00124237">
        <w:t xml:space="preserve">evised </w:t>
      </w:r>
      <w:r w:rsidR="00057149">
        <w:t>c</w:t>
      </w:r>
      <w:r w:rsidR="00124237">
        <w:t>hapter V of the OECD’s t</w:t>
      </w:r>
      <w:r w:rsidRPr="00D03A70">
        <w:t xml:space="preserve">ransfer </w:t>
      </w:r>
      <w:r w:rsidR="00124237">
        <w:t>p</w:t>
      </w:r>
      <w:r w:rsidRPr="00D03A70">
        <w:t xml:space="preserve">ricing </w:t>
      </w:r>
      <w:r w:rsidR="00124237">
        <w:t>g</w:t>
      </w:r>
      <w:r w:rsidRPr="00D03A70">
        <w:t xml:space="preserve">uidelines recommends </w:t>
      </w:r>
      <w:r w:rsidR="00605680" w:rsidRPr="00D03A70">
        <w:t xml:space="preserve">a three-tiered approach to </w:t>
      </w:r>
      <w:r w:rsidRPr="00D03A70">
        <w:t>transfer pricing documentation:</w:t>
      </w:r>
    </w:p>
    <w:p w:rsidR="00287E90" w:rsidRPr="00D03A70" w:rsidRDefault="00287E90" w:rsidP="001C6A5D"/>
    <w:p w:rsidR="00287E90" w:rsidRPr="00D03A70" w:rsidRDefault="00287E90" w:rsidP="001C6A5D">
      <w:pPr>
        <w:pStyle w:val="Bullets"/>
      </w:pPr>
      <w:r w:rsidRPr="00D03A70">
        <w:t>a master file providing a</w:t>
      </w:r>
      <w:r w:rsidR="00605680" w:rsidRPr="00D03A70">
        <w:t>n</w:t>
      </w:r>
      <w:r w:rsidRPr="00D03A70">
        <w:t xml:space="preserve"> overview of the multinational's global business operations</w:t>
      </w:r>
      <w:r w:rsidR="00605680" w:rsidRPr="00D03A70">
        <w:t xml:space="preserve">, </w:t>
      </w:r>
      <w:r w:rsidRPr="00D03A70">
        <w:t>transfer pricing policies</w:t>
      </w:r>
      <w:r w:rsidR="00605680" w:rsidRPr="00D03A70">
        <w:t xml:space="preserve"> and global allocation of income and economic activity</w:t>
      </w:r>
      <w:r w:rsidR="001C6A5D" w:rsidRPr="00D03A70">
        <w:t>;</w:t>
      </w:r>
    </w:p>
    <w:p w:rsidR="00287E90" w:rsidRPr="00D03A70" w:rsidRDefault="00287E90" w:rsidP="001C6A5D">
      <w:pPr>
        <w:pStyle w:val="Bullets"/>
      </w:pPr>
      <w:r w:rsidRPr="00D03A70">
        <w:t>a local file providing detailed information regarding material related party transactions</w:t>
      </w:r>
      <w:r w:rsidR="001C6A5D" w:rsidRPr="00D03A70">
        <w:t>;</w:t>
      </w:r>
      <w:r w:rsidR="00605680" w:rsidRPr="00D03A70">
        <w:t xml:space="preserve"> and</w:t>
      </w:r>
    </w:p>
    <w:p w:rsidR="00605680" w:rsidRPr="00D03A70" w:rsidRDefault="00605680" w:rsidP="002E1F16">
      <w:pPr>
        <w:pStyle w:val="Bullets-Last"/>
      </w:pPr>
      <w:r w:rsidRPr="00D03A70">
        <w:t>a Country-by-Country report</w:t>
      </w:r>
      <w:r w:rsidR="00FC61A9" w:rsidRPr="00D03A70">
        <w:t xml:space="preserve"> which must be prepared and filed by large multinational groups. New Zealand’s Country-by-Country reporting requirements apply to New Zealand-headquartered multinational groups with EUR </w:t>
      </w:r>
      <w:r w:rsidR="00F71A0E" w:rsidRPr="00D03A70">
        <w:t>€</w:t>
      </w:r>
      <w:r w:rsidR="00FC61A9" w:rsidRPr="00D03A70">
        <w:t xml:space="preserve">750m of consolidated revenue in the preceding income year. These requirements are further described in </w:t>
      </w:r>
      <w:r w:rsidR="001958DA" w:rsidRPr="00D03A70">
        <w:t xml:space="preserve">the </w:t>
      </w:r>
      <w:r w:rsidR="009C26C4">
        <w:t xml:space="preserve">special report on administrative measures (see the </w:t>
      </w:r>
      <w:r w:rsidR="001958DA" w:rsidRPr="00D03A70">
        <w:t>section</w:t>
      </w:r>
      <w:r w:rsidR="009C26C4">
        <w:t xml:space="preserve"> on “</w:t>
      </w:r>
      <w:r w:rsidR="001958DA" w:rsidRPr="00D03A70">
        <w:rPr>
          <w:rStyle w:val="Emphasis"/>
        </w:rPr>
        <w:t>Country-by-Country reports</w:t>
      </w:r>
      <w:r w:rsidR="009C26C4">
        <w:rPr>
          <w:rStyle w:val="Emphasis"/>
        </w:rPr>
        <w:t xml:space="preserve">” </w:t>
      </w:r>
      <w:r w:rsidR="009C26C4">
        <w:t xml:space="preserve">covering the </w:t>
      </w:r>
      <w:r w:rsidR="00FC61A9" w:rsidRPr="00D03A70">
        <w:t>new section 78G of the Tax Administration Act 1994).</w:t>
      </w:r>
    </w:p>
    <w:p w:rsidR="00287E90" w:rsidRPr="00D03A70" w:rsidRDefault="00287E90" w:rsidP="001C6A5D"/>
    <w:p w:rsidR="00287E90" w:rsidRPr="00D03A70" w:rsidRDefault="00287E90" w:rsidP="001C6A5D">
      <w:r w:rsidRPr="00D03A70">
        <w:t xml:space="preserve">New Zealand endorses this approach to transfer pricing documentation. Further guidance on transfer pricing documentation is available in </w:t>
      </w:r>
      <w:r w:rsidR="00057149">
        <w:t>c</w:t>
      </w:r>
      <w:r w:rsidRPr="00D03A70">
        <w:t>hapter V of the OECD guidelin</w:t>
      </w:r>
      <w:r w:rsidR="00057149">
        <w:t>es and the annexes I and II to c</w:t>
      </w:r>
      <w:r w:rsidRPr="00D03A70">
        <w:t xml:space="preserve">hapter V which outline the information which should be included in the </w:t>
      </w:r>
      <w:r w:rsidR="001F01D1" w:rsidRPr="00D03A70">
        <w:t>master file and the local file.</w:t>
      </w:r>
    </w:p>
    <w:p w:rsidR="00287E90" w:rsidRPr="00D03A70" w:rsidRDefault="00287E90" w:rsidP="001C6A5D"/>
    <w:p w:rsidR="00287E90" w:rsidRPr="00D03A70" w:rsidRDefault="00287E90" w:rsidP="001C6A5D">
      <w:r w:rsidRPr="00D03A70">
        <w:t>To supplement the OECD guidelines, Inland Revenue publishes some short guidance on certain transfe</w:t>
      </w:r>
      <w:r w:rsidR="006B573F" w:rsidRPr="00D03A70">
        <w:t>r pricing topics on its website at</w:t>
      </w:r>
      <w:r w:rsidRPr="00D03A70">
        <w:tab/>
        <w:t xml:space="preserve"> </w:t>
      </w:r>
      <w:hyperlink r:id="rId10" w:history="1">
        <w:r w:rsidRPr="00D03A70">
          <w:rPr>
            <w:rStyle w:val="Hyperlink"/>
          </w:rPr>
          <w:t>https://www.ird.govt.nz/international/business/transfer-pricing/</w:t>
        </w:r>
      </w:hyperlink>
      <w:r w:rsidRPr="00D03A70">
        <w:t>.</w:t>
      </w:r>
    </w:p>
    <w:p w:rsidR="00287E90" w:rsidRPr="00D03A70" w:rsidRDefault="00287E90" w:rsidP="001C6A5D"/>
    <w:p w:rsidR="00287E90" w:rsidRPr="00D03A70" w:rsidRDefault="00287E90" w:rsidP="001C6A5D">
      <w:r w:rsidRPr="00D03A70">
        <w:t>This supplementary guidance includes a topic on Inland Revenue’s view on best practices for preparing useful and suitably focused transfer pricing documentation</w:t>
      </w:r>
      <w:r w:rsidR="006B573F" w:rsidRPr="00D03A70">
        <w:t xml:space="preserve"> at</w:t>
      </w:r>
      <w:r w:rsidR="001C6A5D" w:rsidRPr="00D03A70">
        <w:t xml:space="preserve"> </w:t>
      </w:r>
    </w:p>
    <w:p w:rsidR="00287E90" w:rsidRPr="00D03A70" w:rsidRDefault="00CE6C1E" w:rsidP="001C6A5D">
      <w:hyperlink r:id="rId11" w:history="1">
        <w:r w:rsidR="00287E90" w:rsidRPr="00D03A70">
          <w:rPr>
            <w:rStyle w:val="Hyperlink"/>
          </w:rPr>
          <w:t>https://www.ird.govt.nz/international/business/transfer-pricing/transfer-pricing/practice/transfer-pricing-practice-documentation.html</w:t>
        </w:r>
      </w:hyperlink>
      <w:r w:rsidR="001F01D1" w:rsidRPr="00D03A70">
        <w:t>.</w:t>
      </w:r>
    </w:p>
    <w:p w:rsidR="004E7E9C" w:rsidRPr="00D03A70" w:rsidRDefault="004E7E9C" w:rsidP="001C6A5D"/>
    <w:p w:rsidR="004E7E9C" w:rsidRPr="00D03A70" w:rsidRDefault="004E7E9C" w:rsidP="001C6A5D">
      <w:r w:rsidRPr="00D03A70">
        <w:t>In practice, the actual level of documentation required to demonstrate compliance with the transfer pricing rules will depend on the complexity and risk profile of the relevant transactions. Some transfer pricing practices can be easily shown to align with comparable arm’s length arrangements whilst others require more evidence. Inland Revenue considers that taxpayers are best</w:t>
      </w:r>
      <w:r w:rsidR="00F71A0E" w:rsidRPr="00D03A70">
        <w:t xml:space="preserve"> </w:t>
      </w:r>
      <w:r w:rsidRPr="00D03A70">
        <w:t>placed to exercise their own judgement and prepare documentation that manages their associated transfer pricing tax risks.</w:t>
      </w:r>
    </w:p>
    <w:p w:rsidR="004E7E9C" w:rsidRPr="00D03A70" w:rsidRDefault="004E7E9C" w:rsidP="001C6A5D"/>
    <w:p w:rsidR="00287E90" w:rsidRPr="00D03A70" w:rsidRDefault="00287E90" w:rsidP="001C6A5D">
      <w:r w:rsidRPr="00D03A70">
        <w:t xml:space="preserve">New Zealand does not require taxpayers to file their transfer pricing documentation with Inland Revenue unless Inland Revenue has specifically requested the documentation as </w:t>
      </w:r>
      <w:r w:rsidR="001C6A5D" w:rsidRPr="00D03A70">
        <w:t>part of a risk review or audit.</w:t>
      </w:r>
    </w:p>
    <w:p w:rsidR="00287E90" w:rsidRPr="00D03A70" w:rsidRDefault="00287E90" w:rsidP="001C6A5D"/>
    <w:p w:rsidR="00287E90" w:rsidRPr="00D03A70" w:rsidRDefault="00287E90" w:rsidP="001C6A5D">
      <w:r w:rsidRPr="00D03A70">
        <w:t>However, a failure to prepare adequate transfer pricing documentation or acceptance of pricing that is clearly incorrect could result in a 40% shortfall penalty for gross carelessness if problems involving material associated party transactions are identified as a result of an Inland Revenue audit.</w:t>
      </w:r>
    </w:p>
    <w:p w:rsidR="00287E90" w:rsidRPr="00D03A70" w:rsidRDefault="00287E90" w:rsidP="001C6A5D"/>
    <w:p w:rsidR="00287E90" w:rsidRPr="00D03A70" w:rsidRDefault="004E7E9C" w:rsidP="001C6A5D">
      <w:r w:rsidRPr="00D03A70">
        <w:t>Although there is no explicit requirement for taxpayers to prepare the documentation c</w:t>
      </w:r>
      <w:r w:rsidR="00D3145F" w:rsidRPr="00D03A70">
        <w:t>ontemporaneously</w:t>
      </w:r>
      <w:r w:rsidRPr="00D03A70">
        <w:t xml:space="preserve">, </w:t>
      </w:r>
      <w:r w:rsidR="00287E90" w:rsidRPr="00D03A70">
        <w:t xml:space="preserve">Inland Revenue will generally apply a </w:t>
      </w:r>
      <w:r w:rsidR="00861571" w:rsidRPr="00D03A70">
        <w:t xml:space="preserve">20% </w:t>
      </w:r>
      <w:r w:rsidR="00287E90" w:rsidRPr="00D03A70">
        <w:t>“lack of reasonable care” penalty to incorrect transfer pricing positions taken by taxpayers who have failed to adequately document their transfer pricing positions at the time those tax positions were taken.</w:t>
      </w:r>
    </w:p>
    <w:p w:rsidR="00287E90" w:rsidRPr="00D03A70" w:rsidRDefault="00287E90" w:rsidP="001C6A5D"/>
    <w:p w:rsidR="00132606" w:rsidRPr="00D03A70" w:rsidRDefault="00D3145F" w:rsidP="001C6A5D">
      <w:r w:rsidRPr="00D03A70">
        <w:t xml:space="preserve">There is no New Zealand-specific prescribed format for transfer pricing documentation. </w:t>
      </w:r>
      <w:r w:rsidR="003A2443" w:rsidRPr="00D03A70">
        <w:t>M</w:t>
      </w:r>
      <w:r w:rsidR="005F6759" w:rsidRPr="00D03A70">
        <w:t>ultinationals may</w:t>
      </w:r>
      <w:r w:rsidRPr="00D03A70">
        <w:t xml:space="preserve"> therefore</w:t>
      </w:r>
      <w:r w:rsidR="005F6759" w:rsidRPr="00D03A70">
        <w:t xml:space="preserve"> be able to </w:t>
      </w:r>
      <w:r w:rsidR="00132606" w:rsidRPr="00D03A70">
        <w:t>leverage off</w:t>
      </w:r>
      <w:r w:rsidR="005F6759" w:rsidRPr="00D03A70">
        <w:t xml:space="preserve"> the </w:t>
      </w:r>
      <w:r w:rsidRPr="00D03A70">
        <w:t xml:space="preserve">local file </w:t>
      </w:r>
      <w:r w:rsidR="005F6759" w:rsidRPr="00D03A70">
        <w:t>documentation they ha</w:t>
      </w:r>
      <w:r w:rsidRPr="00D03A70">
        <w:t>ve prepared for other countries (as these will also include the transact</w:t>
      </w:r>
      <w:r w:rsidR="001C6A5D" w:rsidRPr="00D03A70">
        <w:t>ions with New Zealand parties).</w:t>
      </w:r>
    </w:p>
    <w:p w:rsidR="00132606" w:rsidRPr="00D03A70" w:rsidRDefault="00132606" w:rsidP="001C6A5D"/>
    <w:p w:rsidR="00287E90" w:rsidRPr="00D03A70" w:rsidRDefault="00132606" w:rsidP="001C6A5D">
      <w:r w:rsidRPr="00D03A70">
        <w:t>However, in those cases where the transfer pricing documentation has been prepared on a worldwide basis (</w:t>
      </w:r>
      <w:r w:rsidR="006B573F" w:rsidRPr="00D03A70">
        <w:t>for example,</w:t>
      </w:r>
      <w:r w:rsidRPr="00D03A70">
        <w:t xml:space="preserve"> </w:t>
      </w:r>
      <w:r w:rsidR="00A46140" w:rsidRPr="00D03A70">
        <w:t>by</w:t>
      </w:r>
      <w:r w:rsidRPr="00D03A70">
        <w:t xml:space="preserve"> the headquarters of the multinational) it may be necessary to do some further work to adapt or add to the </w:t>
      </w:r>
      <w:r w:rsidR="001036E9" w:rsidRPr="00D03A70">
        <w:t>information that is included in the</w:t>
      </w:r>
      <w:r w:rsidR="00AA6E1F" w:rsidRPr="00D03A70">
        <w:t xml:space="preserve"> </w:t>
      </w:r>
      <w:r w:rsidR="0025658D" w:rsidRPr="00D03A70">
        <w:t>local file</w:t>
      </w:r>
      <w:r w:rsidR="001036E9" w:rsidRPr="00D03A70">
        <w:t xml:space="preserve"> for New Zealand</w:t>
      </w:r>
      <w:r w:rsidR="0025658D" w:rsidRPr="00D03A70">
        <w:t xml:space="preserve"> </w:t>
      </w:r>
      <w:r w:rsidRPr="00D03A70">
        <w:t>to ensure that it accurately reflects the reality of the market place in which each company is</w:t>
      </w:r>
      <w:r w:rsidR="001C6A5D" w:rsidRPr="00D03A70">
        <w:t xml:space="preserve"> operating.</w:t>
      </w:r>
    </w:p>
    <w:p w:rsidR="00491A1B" w:rsidRPr="00D03A70" w:rsidRDefault="00491A1B" w:rsidP="001C6A5D"/>
    <w:p w:rsidR="00D253AC" w:rsidRPr="00D03A70" w:rsidRDefault="0025658D" w:rsidP="001C6A5D">
      <w:r w:rsidRPr="00D03A70">
        <w:t xml:space="preserve">For example, a </w:t>
      </w:r>
      <w:r w:rsidR="001036E9" w:rsidRPr="00D03A70">
        <w:t xml:space="preserve">multinational </w:t>
      </w:r>
      <w:r w:rsidRPr="00D03A70">
        <w:t xml:space="preserve">may provide the same intangible property rights to its subsidiaries. </w:t>
      </w:r>
      <w:r w:rsidR="00087A42" w:rsidRPr="00D03A70">
        <w:t xml:space="preserve">The </w:t>
      </w:r>
      <w:r w:rsidRPr="00D03A70">
        <w:t>US subsidiary is a market leader and the intangible property is highly recognised. The New Zealand subsidiary has a low market share and the intangible p</w:t>
      </w:r>
      <w:r w:rsidR="001C6A5D" w:rsidRPr="00D03A70">
        <w:t>roperty is not well recognised.</w:t>
      </w:r>
      <w:r w:rsidRPr="00D03A70">
        <w:t xml:space="preserve"> </w:t>
      </w:r>
      <w:r w:rsidR="00087A42" w:rsidRPr="00D03A70">
        <w:t xml:space="preserve">Documentation prepared for the US subsidiary </w:t>
      </w:r>
      <w:r w:rsidRPr="00D03A70">
        <w:t>may be leveraged</w:t>
      </w:r>
      <w:r w:rsidR="00087A42" w:rsidRPr="00D03A70">
        <w:t xml:space="preserve"> to prepa</w:t>
      </w:r>
      <w:r w:rsidR="001C6A5D" w:rsidRPr="00D03A70">
        <w:t xml:space="preserve">re the New Zealand local file. </w:t>
      </w:r>
      <w:r w:rsidR="00087A42" w:rsidRPr="00D03A70">
        <w:t xml:space="preserve">However, </w:t>
      </w:r>
      <w:r w:rsidRPr="00D03A70">
        <w:t xml:space="preserve">it </w:t>
      </w:r>
      <w:r w:rsidR="00087A42" w:rsidRPr="00D03A70">
        <w:t xml:space="preserve">would </w:t>
      </w:r>
      <w:r w:rsidRPr="00D03A70">
        <w:t xml:space="preserve">need to be </w:t>
      </w:r>
      <w:r w:rsidR="00087A42" w:rsidRPr="00D03A70">
        <w:t xml:space="preserve">added to and </w:t>
      </w:r>
      <w:r w:rsidRPr="00D03A70">
        <w:t>adapted</w:t>
      </w:r>
      <w:r w:rsidR="00087A42" w:rsidRPr="00D03A70">
        <w:t xml:space="preserve"> to</w:t>
      </w:r>
      <w:r w:rsidRPr="00D03A70">
        <w:t xml:space="preserve"> ensure that the New Zealand specific circumstances</w:t>
      </w:r>
      <w:r w:rsidR="00087A42" w:rsidRPr="00D03A70">
        <w:t xml:space="preserve"> are adequately documented</w:t>
      </w:r>
      <w:r w:rsidRPr="00D03A70">
        <w:t>.</w:t>
      </w:r>
    </w:p>
    <w:p w:rsidR="00D253AC" w:rsidRPr="00D03A70" w:rsidRDefault="00D253AC" w:rsidP="001C6A5D"/>
    <w:p w:rsidR="005F6759" w:rsidRPr="00D03A70" w:rsidRDefault="009F0B56" w:rsidP="001C6A5D">
      <w:r w:rsidRPr="00D03A70">
        <w:t>Another area</w:t>
      </w:r>
      <w:r w:rsidR="005F6759" w:rsidRPr="00D03A70">
        <w:t xml:space="preserve"> where</w:t>
      </w:r>
      <w:r w:rsidRPr="00D03A70">
        <w:t xml:space="preserve"> it may be necessary to adapt the documentation for</w:t>
      </w:r>
      <w:r w:rsidR="005F6759" w:rsidRPr="00D03A70">
        <w:t xml:space="preserve"> New Zealand’s transfer pricing rules is that New Zealand has special rules determining how cross-border related borrowing is priced. These rules are in sections GC 6(3B) and GC 15 to 19 and can require certain adjustments to be made to the credit rating of the borrower and conditions of the financial arrangement, prior to the general transfer pricing rules in sections GC 6 to GC 14 (and the OECD transfer pricing guidelines) being used to price the adjusted financial arrangement.</w:t>
      </w:r>
    </w:p>
    <w:p w:rsidR="00EF10FA" w:rsidRDefault="00EF10FA" w:rsidP="001C6A5D"/>
    <w:p w:rsidR="00F26A17" w:rsidRPr="00D03A70" w:rsidRDefault="00F26A17" w:rsidP="001C6A5D"/>
    <w:p w:rsidR="00E370DD" w:rsidRPr="00D03A70" w:rsidRDefault="004737F8" w:rsidP="006B573F">
      <w:pPr>
        <w:pStyle w:val="Heading2"/>
      </w:pPr>
      <w:bookmarkStart w:id="18" w:name="_Toc522633852"/>
      <w:r w:rsidRPr="00D03A70">
        <w:t>S</w:t>
      </w:r>
      <w:r w:rsidR="00E370DD" w:rsidRPr="00D03A70">
        <w:t>even year</w:t>
      </w:r>
      <w:r w:rsidRPr="00D03A70">
        <w:t xml:space="preserve"> time bar for transfer pricing issues in some circumstances</w:t>
      </w:r>
      <w:bookmarkEnd w:id="18"/>
    </w:p>
    <w:p w:rsidR="00E370DD" w:rsidRPr="00D03A70" w:rsidRDefault="00E370DD" w:rsidP="001C6A5D"/>
    <w:p w:rsidR="001C4274" w:rsidRPr="00D03A70" w:rsidRDefault="00E370DD" w:rsidP="001C6A5D">
      <w:r w:rsidRPr="00D03A70">
        <w:t xml:space="preserve">Inland Revenue </w:t>
      </w:r>
      <w:r w:rsidR="00B94773" w:rsidRPr="00D03A70">
        <w:t xml:space="preserve">generally has </w:t>
      </w:r>
      <w:r w:rsidRPr="00D03A70">
        <w:t>four years from the end of the tax year in which a taxpayer files an income tax return to investigate and amend the tax position taken by the taxpayer in their return. This four year limit is known as the time bar.</w:t>
      </w:r>
    </w:p>
    <w:p w:rsidR="001C4274" w:rsidRPr="00D03A70" w:rsidRDefault="001C4274" w:rsidP="001C6A5D"/>
    <w:p w:rsidR="004737F8" w:rsidRPr="00D03A70" w:rsidRDefault="000E5422" w:rsidP="001C6A5D">
      <w:r w:rsidRPr="00D03A70">
        <w:t xml:space="preserve">The general four year time bar has been extended to seven years for the purposes of the transfer pricing rules in limited circumstances. </w:t>
      </w:r>
      <w:r w:rsidR="00E13609" w:rsidRPr="00D03A70">
        <w:t>New s</w:t>
      </w:r>
      <w:r w:rsidRPr="00D03A70">
        <w:t>ection GC 13(6) extends the time bar by allowing</w:t>
      </w:r>
      <w:r w:rsidR="00E370DD" w:rsidRPr="00D03A70">
        <w:t xml:space="preserve"> the Commissioner to amend an assessment of tax, under the transfer pricing rules, within a seven year period after the tax year in which the relevant tax return was originally filed</w:t>
      </w:r>
      <w:r w:rsidR="001F66F5" w:rsidRPr="00D03A70">
        <w:t xml:space="preserve">, if the Commissioner notifies the taxpayer that a tax audit or investigation has </w:t>
      </w:r>
      <w:r w:rsidR="002E357D" w:rsidRPr="00D03A70">
        <w:t>commenced within the usual four year time bar.</w:t>
      </w:r>
    </w:p>
    <w:p w:rsidR="004737F8" w:rsidRPr="00D03A70" w:rsidRDefault="004737F8" w:rsidP="001C6A5D"/>
    <w:p w:rsidR="004E7E9C" w:rsidRPr="00D03A70" w:rsidRDefault="004E7E9C" w:rsidP="001C6A5D">
      <w:r w:rsidRPr="00D03A70">
        <w:t>The notification that a tax audit or investigation has commenced and that the Commissioner is applying GC 13(</w:t>
      </w:r>
      <w:r w:rsidR="00C626DD" w:rsidRPr="00D03A70">
        <w:t>6) will be provided in writing.</w:t>
      </w:r>
    </w:p>
    <w:p w:rsidR="00EE4FBB" w:rsidRPr="00D03A70" w:rsidRDefault="00EE4FBB" w:rsidP="001C6A5D"/>
    <w:p w:rsidR="007D32A8" w:rsidRPr="00D03A70" w:rsidRDefault="005F6ECB" w:rsidP="001C6A5D">
      <w:r w:rsidRPr="00D03A70">
        <w:t>If the Commissioner of Inland Revenue (or an officer of Inland Revenue who has been delegated this authority) has not provided the relevant taxpayer with a written notification within four years of the tax return being filed</w:t>
      </w:r>
      <w:r w:rsidR="0022266F" w:rsidRPr="00D03A70">
        <w:t>, the general time bar in section 108 of the Tax Administration Act 1994 will apply.</w:t>
      </w:r>
    </w:p>
    <w:p w:rsidR="004E7E9C" w:rsidRPr="00D03A70" w:rsidRDefault="004E7E9C" w:rsidP="001C6A5D"/>
    <w:p w:rsidR="004E7E9C" w:rsidRPr="00D03A70" w:rsidRDefault="004E7E9C" w:rsidP="001C6A5D">
      <w:r w:rsidRPr="00D03A70">
        <w:t>The notification requirement means the majority of taxpayers will have the same level of certainty as the general four year time bar as they will know after four years that since Inland Revenue has not provided written notification that the time bar for their transfer pricing positions is being extended that these positions are final.</w:t>
      </w:r>
    </w:p>
    <w:p w:rsidR="001958DA" w:rsidRDefault="001958DA" w:rsidP="001C6A5D"/>
    <w:p w:rsidR="004A146F" w:rsidRPr="00D03A70" w:rsidRDefault="004A146F" w:rsidP="001C6A5D"/>
    <w:p w:rsidR="001958DA" w:rsidRPr="00D03A70" w:rsidRDefault="001C6A5D" w:rsidP="0038137A">
      <w:pPr>
        <w:pStyle w:val="Exampleheading"/>
      </w:pPr>
      <w:r w:rsidRPr="00D03A70">
        <w:t>Example</w:t>
      </w:r>
    </w:p>
    <w:p w:rsidR="001958DA" w:rsidRPr="00D03A70" w:rsidRDefault="001958DA" w:rsidP="0038137A">
      <w:pPr>
        <w:pStyle w:val="Exampletext"/>
      </w:pPr>
    </w:p>
    <w:p w:rsidR="004C396D" w:rsidRPr="00D03A70" w:rsidRDefault="004C396D" w:rsidP="0038137A">
      <w:pPr>
        <w:pStyle w:val="Exampletext"/>
      </w:pPr>
      <w:r w:rsidRPr="00D03A70">
        <w:t xml:space="preserve">In May 2020, </w:t>
      </w:r>
      <w:r w:rsidR="006A08E0">
        <w:t>C</w:t>
      </w:r>
      <w:r w:rsidRPr="00D03A70">
        <w:t>ompany B files a tax return for their income year from 1 April 2019 to 3</w:t>
      </w:r>
      <w:r w:rsidR="00F8128F" w:rsidRPr="00D03A70">
        <w:t>1</w:t>
      </w:r>
      <w:r w:rsidRPr="00D03A70">
        <w:t xml:space="preserve"> March 2020 which includes some transfer pricing positions.</w:t>
      </w:r>
    </w:p>
    <w:p w:rsidR="004C396D" w:rsidRPr="00D03A70" w:rsidRDefault="004C396D" w:rsidP="0038137A">
      <w:pPr>
        <w:pStyle w:val="Exampletext"/>
      </w:pPr>
    </w:p>
    <w:p w:rsidR="003942EE" w:rsidRPr="00D03A70" w:rsidRDefault="004C396D" w:rsidP="0038137A">
      <w:pPr>
        <w:pStyle w:val="Exampletext"/>
      </w:pPr>
      <w:r w:rsidRPr="00D03A70">
        <w:t>In May 2024, four years have passed since the tax return was filed. As Inland Revenue has not notified the taxpayer that their transfer pricing positions are being investigated, the taxpayer will have certainty that their transfer pricing positions (and any other tax positions) taken in their May 2020 tax return can be considered final under the general time bar in section 108 of the Tax Administration Act 1994.</w:t>
      </w:r>
    </w:p>
    <w:p w:rsidR="004C396D" w:rsidRPr="00D03A70" w:rsidRDefault="004C396D" w:rsidP="001C6A5D"/>
    <w:p w:rsidR="000E5422" w:rsidRPr="00D03A70" w:rsidRDefault="000E5422" w:rsidP="001C6A5D">
      <w:r w:rsidRPr="00D03A70">
        <w:t xml:space="preserve">In other cases, where Inland Revenue identified a tax risk and notifies the taxpayer </w:t>
      </w:r>
      <w:r w:rsidR="00650C82" w:rsidRPr="00D03A70">
        <w:t>within four years of the relevant tax return being filed</w:t>
      </w:r>
      <w:r w:rsidRPr="00D03A70">
        <w:t xml:space="preserve">, </w:t>
      </w:r>
      <w:r w:rsidR="00650C82" w:rsidRPr="00D03A70">
        <w:t>Inland Revenue will have seven years from the date the tax return was filed to make a transfer pricing adjustment.</w:t>
      </w:r>
    </w:p>
    <w:p w:rsidR="00650C82" w:rsidRPr="00D03A70" w:rsidRDefault="00650C82" w:rsidP="001C6A5D"/>
    <w:p w:rsidR="004E7E9C" w:rsidRPr="00D03A70" w:rsidRDefault="004E7E9C" w:rsidP="001C6A5D">
      <w:r w:rsidRPr="00D03A70">
        <w:t>The use of the words “</w:t>
      </w:r>
      <w:r w:rsidRPr="00D03A70">
        <w:rPr>
          <w:rStyle w:val="Emphasis"/>
        </w:rPr>
        <w:t>despite the time bar…</w:t>
      </w:r>
      <w:r w:rsidRPr="00D03A70">
        <w:t>” in section GC 13(6) means the that in those cases where 13(6) applies, the seven year time bar overrides the general time bar in section</w:t>
      </w:r>
      <w:r w:rsidR="00F30C03" w:rsidRPr="00D03A70">
        <w:t> </w:t>
      </w:r>
      <w:r w:rsidRPr="00D03A70">
        <w:t>108 of the Tax Administration Act 1994.</w:t>
      </w:r>
    </w:p>
    <w:p w:rsidR="00EA340A" w:rsidRPr="00D03A70" w:rsidRDefault="00EA340A" w:rsidP="001C6A5D"/>
    <w:p w:rsidR="00EA340A" w:rsidRPr="00D03A70" w:rsidRDefault="00EA340A" w:rsidP="001C6A5D">
      <w:r w:rsidRPr="00D03A70">
        <w:t>The seven year time bar can be applied for all transfer pricing issues that are subject to sections GC 6 to GC 19, including “cross-border related loans” that are subject to sections</w:t>
      </w:r>
      <w:r w:rsidR="00F30C03" w:rsidRPr="00D03A70">
        <w:t> </w:t>
      </w:r>
      <w:r w:rsidRPr="00D03A70">
        <w:t>GC</w:t>
      </w:r>
      <w:r w:rsidR="00F30C03" w:rsidRPr="00D03A70">
        <w:t> </w:t>
      </w:r>
      <w:r w:rsidRPr="00D03A70">
        <w:t>15 to 19.</w:t>
      </w:r>
    </w:p>
    <w:p w:rsidR="00EA340A" w:rsidRPr="00D03A70" w:rsidRDefault="00EA340A" w:rsidP="001C6A5D"/>
    <w:p w:rsidR="00EA340A" w:rsidRPr="00D03A70" w:rsidRDefault="00EA340A" w:rsidP="001C6A5D">
      <w:r w:rsidRPr="00D03A70">
        <w:t>The ability to extend the time bar for transfer pricing issues to seven years under section GC</w:t>
      </w:r>
      <w:r w:rsidR="00F30C03" w:rsidRPr="00D03A70">
        <w:t> </w:t>
      </w:r>
      <w:r w:rsidRPr="00D03A70">
        <w:t>13(6) applies from income years beginning on or after 1 July 2018. This means that tax positions taken in returns relating to income years that began before 1 July 2018 will continue to be subject to the existing four year time bar.</w:t>
      </w:r>
    </w:p>
    <w:p w:rsidR="00D3145F" w:rsidRPr="00D03A70" w:rsidRDefault="00D3145F" w:rsidP="001C6A5D"/>
    <w:p w:rsidR="00432EB6" w:rsidRPr="00432EB6" w:rsidRDefault="00432EB6" w:rsidP="00432EB6">
      <w:r w:rsidRPr="00432EB6">
        <w:br w:type="page"/>
      </w:r>
    </w:p>
    <w:p w:rsidR="00EA340A" w:rsidRPr="00D03A70" w:rsidRDefault="00414D65" w:rsidP="0038137A">
      <w:pPr>
        <w:pStyle w:val="Exampleheading"/>
      </w:pPr>
      <w:r w:rsidRPr="00D03A70">
        <w:t>Example</w:t>
      </w:r>
    </w:p>
    <w:p w:rsidR="00EA340A" w:rsidRPr="00D03A70" w:rsidRDefault="00EA340A" w:rsidP="0038137A">
      <w:pPr>
        <w:pStyle w:val="Exampletext"/>
      </w:pPr>
    </w:p>
    <w:p w:rsidR="00EA340A" w:rsidRPr="00D03A70" w:rsidRDefault="006A08E0" w:rsidP="0038137A">
      <w:pPr>
        <w:pStyle w:val="Exampletext"/>
      </w:pPr>
      <w:r>
        <w:t>In June 2020, C</w:t>
      </w:r>
      <w:r w:rsidR="00EA340A" w:rsidRPr="00D03A70">
        <w:t>ompany C files a tax return for their income year from</w:t>
      </w:r>
      <w:r w:rsidR="00C626DD" w:rsidRPr="00D03A70">
        <w:t xml:space="preserve"> 1 April 2019 to 31 March 2020.</w:t>
      </w:r>
    </w:p>
    <w:p w:rsidR="00EA340A" w:rsidRPr="00D03A70" w:rsidRDefault="00EA340A" w:rsidP="0038137A">
      <w:pPr>
        <w:pStyle w:val="Exampletext"/>
      </w:pPr>
    </w:p>
    <w:p w:rsidR="00EA340A" w:rsidRPr="00D03A70" w:rsidRDefault="00EA340A" w:rsidP="0038137A">
      <w:pPr>
        <w:pStyle w:val="Exampletext"/>
      </w:pPr>
      <w:r w:rsidRPr="00D03A70">
        <w:t>In 2021, Inland Revenue begins an investigation of Company C’s tax return for their 2019/20 tax year. The investigation involves a series of meetings, site visits, interviews, and requests for information held by Company</w:t>
      </w:r>
      <w:r w:rsidR="006A08E0">
        <w:t> </w:t>
      </w:r>
      <w:r w:rsidRPr="00D03A70">
        <w:t>C and other members of their group as well as procuring expert views on certain issues from indepen</w:t>
      </w:r>
      <w:r w:rsidR="00C626DD" w:rsidRPr="00D03A70">
        <w:t>dent international specialists.</w:t>
      </w:r>
    </w:p>
    <w:p w:rsidR="00EA340A" w:rsidRPr="00D03A70" w:rsidRDefault="00EA340A" w:rsidP="0038137A">
      <w:pPr>
        <w:pStyle w:val="Exampletext"/>
      </w:pPr>
    </w:p>
    <w:p w:rsidR="00EA340A" w:rsidRPr="0038137A" w:rsidRDefault="00EA340A" w:rsidP="0038137A">
      <w:pPr>
        <w:pStyle w:val="Exampletext"/>
      </w:pPr>
      <w:r w:rsidRPr="0038137A">
        <w:t>In January 2024 Inland Revenue pr</w:t>
      </w:r>
      <w:r w:rsidR="006A08E0" w:rsidRPr="0038137A">
        <w:t>ovides written notification to C</w:t>
      </w:r>
      <w:r w:rsidRPr="0038137A">
        <w:t>ompany C that they are being investigated for the transfer pricing positions that they have taken in their June 2020 tax return and that the Commissioner is applying section GC 13(6) to extend the time bar for the transfer pricing issues so adjustments can potentia</w:t>
      </w:r>
      <w:r w:rsidR="00C626DD" w:rsidRPr="0038137A">
        <w:t>lly be made up until June 2027.</w:t>
      </w:r>
    </w:p>
    <w:p w:rsidR="00EA340A" w:rsidRPr="00D03A70" w:rsidRDefault="00EA340A" w:rsidP="0038137A">
      <w:pPr>
        <w:pStyle w:val="Exampletext"/>
      </w:pPr>
    </w:p>
    <w:p w:rsidR="00EA340A" w:rsidRPr="00D03A70" w:rsidRDefault="00EA340A" w:rsidP="0038137A">
      <w:pPr>
        <w:pStyle w:val="Exampletext"/>
      </w:pPr>
      <w:r w:rsidRPr="00D03A70">
        <w:t xml:space="preserve">In March 2024, Inland Revenue issues a Notice of Proposed Adjustment to Company C regarding their transfer pricing position in their June 2020 tax return. In this case, the extension of the time bar was not actually required, as an assessment was made within </w:t>
      </w:r>
      <w:r w:rsidR="009C26C4">
        <w:t>four</w:t>
      </w:r>
      <w:r w:rsidRPr="00D03A70">
        <w:t xml:space="preserve"> years of the relevant tax return being filed.</w:t>
      </w:r>
    </w:p>
    <w:p w:rsidR="001958DA" w:rsidRPr="00D03A70" w:rsidRDefault="001958DA" w:rsidP="002E1F16"/>
    <w:sectPr w:rsidR="001958DA" w:rsidRPr="00D03A70" w:rsidSect="0050054A">
      <w:footerReference w:type="even" r:id="rId12"/>
      <w:footerReference w:type="default" r:id="rId13"/>
      <w:headerReference w:type="first" r:id="rId14"/>
      <w:footerReference w:type="first" r:id="rId15"/>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C1" w:rsidRDefault="00145EC1">
      <w:r>
        <w:separator/>
      </w:r>
    </w:p>
  </w:endnote>
  <w:endnote w:type="continuationSeparator" w:id="0">
    <w:p w:rsidR="00145EC1" w:rsidRDefault="0014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C1" w:rsidRDefault="00145EC1"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5F3B1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C1" w:rsidRDefault="00145EC1"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5F3B12">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C1" w:rsidRDefault="00145EC1" w:rsidP="00F92496">
    <w:pPr>
      <w:jc w:val="center"/>
    </w:pPr>
    <w:r>
      <w:rPr>
        <w:rStyle w:val="PageNumber"/>
      </w:rPr>
      <w:fldChar w:fldCharType="begin"/>
    </w:r>
    <w:r>
      <w:rPr>
        <w:rStyle w:val="PageNumber"/>
      </w:rPr>
      <w:instrText xml:space="preserve"> PAGE </w:instrText>
    </w:r>
    <w:r>
      <w:rPr>
        <w:rStyle w:val="PageNumber"/>
      </w:rPr>
      <w:fldChar w:fldCharType="separate"/>
    </w:r>
    <w:r w:rsidR="005F3B1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C1" w:rsidRDefault="00145EC1">
      <w:r>
        <w:separator/>
      </w:r>
    </w:p>
  </w:footnote>
  <w:footnote w:type="continuationSeparator" w:id="0">
    <w:p w:rsidR="00145EC1" w:rsidRDefault="0014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237304"/>
      <w:docPartObj>
        <w:docPartGallery w:val="Watermarks"/>
        <w:docPartUnique/>
      </w:docPartObj>
    </w:sdtPr>
    <w:sdtEndPr/>
    <w:sdtContent>
      <w:p w:rsidR="00A40682" w:rsidRDefault="00CE6C1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318685B"/>
    <w:multiLevelType w:val="hybridMultilevel"/>
    <w:tmpl w:val="76EC9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403231E"/>
    <w:multiLevelType w:val="hybridMultilevel"/>
    <w:tmpl w:val="FBA8214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56D461F"/>
    <w:multiLevelType w:val="hybridMultilevel"/>
    <w:tmpl w:val="A57C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AF3BB9"/>
    <w:multiLevelType w:val="hybridMultilevel"/>
    <w:tmpl w:val="F5AEA30A"/>
    <w:lvl w:ilvl="0" w:tplc="A4ACC2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6A62CBA"/>
    <w:multiLevelType w:val="hybridMultilevel"/>
    <w:tmpl w:val="1C2ACBEA"/>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8BD6217"/>
    <w:multiLevelType w:val="hybridMultilevel"/>
    <w:tmpl w:val="B148A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1847FE"/>
    <w:multiLevelType w:val="hybridMultilevel"/>
    <w:tmpl w:val="18CA5288"/>
    <w:lvl w:ilvl="0" w:tplc="2410CD52">
      <w:start w:val="1"/>
      <w:numFmt w:val="bullet"/>
      <w:lvlText w:val=""/>
      <w:lvlJc w:val="left"/>
      <w:pPr>
        <w:ind w:left="720" w:hanging="360"/>
      </w:pPr>
      <w:rPr>
        <w:rFonts w:ascii="Symbol" w:hAnsi="Symbol" w:hint="default"/>
        <w:sz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0414551"/>
    <w:multiLevelType w:val="hybridMultilevel"/>
    <w:tmpl w:val="EA602080"/>
    <w:lvl w:ilvl="0" w:tplc="14090001">
      <w:start w:val="1"/>
      <w:numFmt w:val="bullet"/>
      <w:lvlText w:val=""/>
      <w:lvlJc w:val="left"/>
      <w:pPr>
        <w:ind w:left="898" w:hanging="360"/>
      </w:pPr>
      <w:rPr>
        <w:rFonts w:ascii="Symbol" w:hAnsi="Symbol" w:hint="default"/>
      </w:rPr>
    </w:lvl>
    <w:lvl w:ilvl="1" w:tplc="14090003" w:tentative="1">
      <w:start w:val="1"/>
      <w:numFmt w:val="bullet"/>
      <w:lvlText w:val="o"/>
      <w:lvlJc w:val="left"/>
      <w:pPr>
        <w:ind w:left="1618" w:hanging="360"/>
      </w:pPr>
      <w:rPr>
        <w:rFonts w:ascii="Courier New" w:hAnsi="Courier New" w:cs="Courier New" w:hint="default"/>
      </w:rPr>
    </w:lvl>
    <w:lvl w:ilvl="2" w:tplc="14090005" w:tentative="1">
      <w:start w:val="1"/>
      <w:numFmt w:val="bullet"/>
      <w:lvlText w:val=""/>
      <w:lvlJc w:val="left"/>
      <w:pPr>
        <w:ind w:left="2338" w:hanging="360"/>
      </w:pPr>
      <w:rPr>
        <w:rFonts w:ascii="Wingdings" w:hAnsi="Wingdings" w:hint="default"/>
      </w:rPr>
    </w:lvl>
    <w:lvl w:ilvl="3" w:tplc="14090001" w:tentative="1">
      <w:start w:val="1"/>
      <w:numFmt w:val="bullet"/>
      <w:lvlText w:val=""/>
      <w:lvlJc w:val="left"/>
      <w:pPr>
        <w:ind w:left="3058" w:hanging="360"/>
      </w:pPr>
      <w:rPr>
        <w:rFonts w:ascii="Symbol" w:hAnsi="Symbol" w:hint="default"/>
      </w:rPr>
    </w:lvl>
    <w:lvl w:ilvl="4" w:tplc="14090003" w:tentative="1">
      <w:start w:val="1"/>
      <w:numFmt w:val="bullet"/>
      <w:lvlText w:val="o"/>
      <w:lvlJc w:val="left"/>
      <w:pPr>
        <w:ind w:left="3778" w:hanging="360"/>
      </w:pPr>
      <w:rPr>
        <w:rFonts w:ascii="Courier New" w:hAnsi="Courier New" w:cs="Courier New" w:hint="default"/>
      </w:rPr>
    </w:lvl>
    <w:lvl w:ilvl="5" w:tplc="14090005" w:tentative="1">
      <w:start w:val="1"/>
      <w:numFmt w:val="bullet"/>
      <w:lvlText w:val=""/>
      <w:lvlJc w:val="left"/>
      <w:pPr>
        <w:ind w:left="4498" w:hanging="360"/>
      </w:pPr>
      <w:rPr>
        <w:rFonts w:ascii="Wingdings" w:hAnsi="Wingdings" w:hint="default"/>
      </w:rPr>
    </w:lvl>
    <w:lvl w:ilvl="6" w:tplc="14090001" w:tentative="1">
      <w:start w:val="1"/>
      <w:numFmt w:val="bullet"/>
      <w:lvlText w:val=""/>
      <w:lvlJc w:val="left"/>
      <w:pPr>
        <w:ind w:left="5218" w:hanging="360"/>
      </w:pPr>
      <w:rPr>
        <w:rFonts w:ascii="Symbol" w:hAnsi="Symbol" w:hint="default"/>
      </w:rPr>
    </w:lvl>
    <w:lvl w:ilvl="7" w:tplc="14090003" w:tentative="1">
      <w:start w:val="1"/>
      <w:numFmt w:val="bullet"/>
      <w:lvlText w:val="o"/>
      <w:lvlJc w:val="left"/>
      <w:pPr>
        <w:ind w:left="5938" w:hanging="360"/>
      </w:pPr>
      <w:rPr>
        <w:rFonts w:ascii="Courier New" w:hAnsi="Courier New" w:cs="Courier New" w:hint="default"/>
      </w:rPr>
    </w:lvl>
    <w:lvl w:ilvl="8" w:tplc="14090005" w:tentative="1">
      <w:start w:val="1"/>
      <w:numFmt w:val="bullet"/>
      <w:lvlText w:val=""/>
      <w:lvlJc w:val="left"/>
      <w:pPr>
        <w:ind w:left="6658" w:hanging="360"/>
      </w:pPr>
      <w:rPr>
        <w:rFonts w:ascii="Wingdings" w:hAnsi="Wingdings" w:hint="default"/>
      </w:rPr>
    </w:lvl>
  </w:abstractNum>
  <w:abstractNum w:abstractNumId="17" w15:restartNumberingAfterBreak="0">
    <w:nsid w:val="13F019B6"/>
    <w:multiLevelType w:val="hybridMultilevel"/>
    <w:tmpl w:val="1778C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7723494"/>
    <w:multiLevelType w:val="hybridMultilevel"/>
    <w:tmpl w:val="AA62DD10"/>
    <w:lvl w:ilvl="0" w:tplc="2410CD52">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96D20E3"/>
    <w:multiLevelType w:val="hybridMultilevel"/>
    <w:tmpl w:val="CE90E0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A1E27EA"/>
    <w:multiLevelType w:val="hybridMultilevel"/>
    <w:tmpl w:val="03042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1" w15:restartNumberingAfterBreak="0">
    <w:nsid w:val="1CD00225"/>
    <w:multiLevelType w:val="hybridMultilevel"/>
    <w:tmpl w:val="F78ECE7E"/>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1015AAF"/>
    <w:multiLevelType w:val="hybridMultilevel"/>
    <w:tmpl w:val="64B03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31D541C"/>
    <w:multiLevelType w:val="hybridMultilevel"/>
    <w:tmpl w:val="F5AEC9AC"/>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35815A3"/>
    <w:multiLevelType w:val="hybridMultilevel"/>
    <w:tmpl w:val="7884D42E"/>
    <w:lvl w:ilvl="0" w:tplc="2410CD52">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3954246"/>
    <w:multiLevelType w:val="hybridMultilevel"/>
    <w:tmpl w:val="8C42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45D4C72"/>
    <w:multiLevelType w:val="hybridMultilevel"/>
    <w:tmpl w:val="B642B102"/>
    <w:lvl w:ilvl="0" w:tplc="4DA0575E">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7EC3E07"/>
    <w:multiLevelType w:val="hybridMultilevel"/>
    <w:tmpl w:val="A654925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9A8543C"/>
    <w:multiLevelType w:val="hybridMultilevel"/>
    <w:tmpl w:val="84868416"/>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B201F7E"/>
    <w:multiLevelType w:val="hybridMultilevel"/>
    <w:tmpl w:val="D95AFA3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1" w15:restartNumberingAfterBreak="0">
    <w:nsid w:val="2E2E5106"/>
    <w:multiLevelType w:val="hybridMultilevel"/>
    <w:tmpl w:val="707822B4"/>
    <w:lvl w:ilvl="0" w:tplc="A4ACC2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1A8439E"/>
    <w:multiLevelType w:val="hybridMultilevel"/>
    <w:tmpl w:val="8B941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61160B3"/>
    <w:multiLevelType w:val="hybridMultilevel"/>
    <w:tmpl w:val="6C66F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35" w15:restartNumberingAfterBreak="0">
    <w:nsid w:val="376A15FF"/>
    <w:multiLevelType w:val="hybridMultilevel"/>
    <w:tmpl w:val="11C8665C"/>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390A682B"/>
    <w:multiLevelType w:val="hybridMultilevel"/>
    <w:tmpl w:val="EDC67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1842354"/>
    <w:multiLevelType w:val="hybridMultilevel"/>
    <w:tmpl w:val="31BC43A8"/>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5A1675B"/>
    <w:multiLevelType w:val="hybridMultilevel"/>
    <w:tmpl w:val="62BADC2C"/>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9" w15:restartNumberingAfterBreak="0">
    <w:nsid w:val="4DD110C4"/>
    <w:multiLevelType w:val="hybridMultilevel"/>
    <w:tmpl w:val="E6A84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E1F3586"/>
    <w:multiLevelType w:val="hybridMultilevel"/>
    <w:tmpl w:val="3A5094AC"/>
    <w:lvl w:ilvl="0" w:tplc="A4ACC2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E6E057E"/>
    <w:multiLevelType w:val="hybridMultilevel"/>
    <w:tmpl w:val="D6FAC82A"/>
    <w:lvl w:ilvl="0" w:tplc="2410CD52">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E9020FE"/>
    <w:multiLevelType w:val="hybridMultilevel"/>
    <w:tmpl w:val="DAD48298"/>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530E1198"/>
    <w:multiLevelType w:val="hybridMultilevel"/>
    <w:tmpl w:val="4C605D5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4" w15:restartNumberingAfterBreak="0">
    <w:nsid w:val="53535A5F"/>
    <w:multiLevelType w:val="hybridMultilevel"/>
    <w:tmpl w:val="8D2E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6246FA3"/>
    <w:multiLevelType w:val="hybridMultilevel"/>
    <w:tmpl w:val="2D36BDF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46" w15:restartNumberingAfterBreak="0">
    <w:nsid w:val="5CC10F65"/>
    <w:multiLevelType w:val="hybridMultilevel"/>
    <w:tmpl w:val="A7CA6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EAC40F2"/>
    <w:multiLevelType w:val="hybridMultilevel"/>
    <w:tmpl w:val="AA82D0B2"/>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0A61CD0"/>
    <w:multiLevelType w:val="hybridMultilevel"/>
    <w:tmpl w:val="2D2A1CCC"/>
    <w:lvl w:ilvl="0" w:tplc="14090001">
      <w:start w:val="1"/>
      <w:numFmt w:val="bullet"/>
      <w:lvlText w:val=""/>
      <w:lvlJc w:val="left"/>
      <w:pPr>
        <w:ind w:left="838" w:hanging="360"/>
      </w:pPr>
      <w:rPr>
        <w:rFonts w:ascii="Symbol" w:hAnsi="Symbol" w:hint="default"/>
      </w:rPr>
    </w:lvl>
    <w:lvl w:ilvl="1" w:tplc="14090003" w:tentative="1">
      <w:start w:val="1"/>
      <w:numFmt w:val="bullet"/>
      <w:lvlText w:val="o"/>
      <w:lvlJc w:val="left"/>
      <w:pPr>
        <w:ind w:left="1558" w:hanging="360"/>
      </w:pPr>
      <w:rPr>
        <w:rFonts w:ascii="Courier New" w:hAnsi="Courier New" w:cs="Courier New" w:hint="default"/>
      </w:rPr>
    </w:lvl>
    <w:lvl w:ilvl="2" w:tplc="14090005" w:tentative="1">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49" w15:restartNumberingAfterBreak="0">
    <w:nsid w:val="61A41379"/>
    <w:multiLevelType w:val="multilevel"/>
    <w:tmpl w:val="839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E00F2C"/>
    <w:multiLevelType w:val="hybridMultilevel"/>
    <w:tmpl w:val="6066A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23C5523"/>
    <w:multiLevelType w:val="hybridMultilevel"/>
    <w:tmpl w:val="C99E568A"/>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69D58F4"/>
    <w:multiLevelType w:val="hybridMultilevel"/>
    <w:tmpl w:val="A2E24004"/>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9704D42"/>
    <w:multiLevelType w:val="hybridMultilevel"/>
    <w:tmpl w:val="5EA09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909323E"/>
    <w:multiLevelType w:val="hybridMultilevel"/>
    <w:tmpl w:val="3D44C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CFF03E9"/>
    <w:multiLevelType w:val="hybridMultilevel"/>
    <w:tmpl w:val="5EBCD7AE"/>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F885618"/>
    <w:multiLevelType w:val="hybridMultilevel"/>
    <w:tmpl w:val="4A16989A"/>
    <w:lvl w:ilvl="0" w:tplc="14090001">
      <w:start w:val="1"/>
      <w:numFmt w:val="bullet"/>
      <w:lvlText w:val=""/>
      <w:lvlJc w:val="left"/>
      <w:pPr>
        <w:ind w:left="779" w:hanging="360"/>
      </w:pPr>
      <w:rPr>
        <w:rFonts w:ascii="Symbol" w:hAnsi="Symbol" w:hint="default"/>
      </w:rPr>
    </w:lvl>
    <w:lvl w:ilvl="1" w:tplc="14090003" w:tentative="1">
      <w:start w:val="1"/>
      <w:numFmt w:val="bullet"/>
      <w:lvlText w:val="o"/>
      <w:lvlJc w:val="left"/>
      <w:pPr>
        <w:ind w:left="1499" w:hanging="360"/>
      </w:pPr>
      <w:rPr>
        <w:rFonts w:ascii="Courier New" w:hAnsi="Courier New" w:cs="Courier New" w:hint="default"/>
      </w:rPr>
    </w:lvl>
    <w:lvl w:ilvl="2" w:tplc="14090005" w:tentative="1">
      <w:start w:val="1"/>
      <w:numFmt w:val="bullet"/>
      <w:lvlText w:val=""/>
      <w:lvlJc w:val="left"/>
      <w:pPr>
        <w:ind w:left="2219" w:hanging="360"/>
      </w:pPr>
      <w:rPr>
        <w:rFonts w:ascii="Wingdings" w:hAnsi="Wingdings" w:hint="default"/>
      </w:rPr>
    </w:lvl>
    <w:lvl w:ilvl="3" w:tplc="14090001" w:tentative="1">
      <w:start w:val="1"/>
      <w:numFmt w:val="bullet"/>
      <w:lvlText w:val=""/>
      <w:lvlJc w:val="left"/>
      <w:pPr>
        <w:ind w:left="2939" w:hanging="360"/>
      </w:pPr>
      <w:rPr>
        <w:rFonts w:ascii="Symbol" w:hAnsi="Symbol" w:hint="default"/>
      </w:rPr>
    </w:lvl>
    <w:lvl w:ilvl="4" w:tplc="14090003" w:tentative="1">
      <w:start w:val="1"/>
      <w:numFmt w:val="bullet"/>
      <w:lvlText w:val="o"/>
      <w:lvlJc w:val="left"/>
      <w:pPr>
        <w:ind w:left="3659" w:hanging="360"/>
      </w:pPr>
      <w:rPr>
        <w:rFonts w:ascii="Courier New" w:hAnsi="Courier New" w:cs="Courier New" w:hint="default"/>
      </w:rPr>
    </w:lvl>
    <w:lvl w:ilvl="5" w:tplc="14090005" w:tentative="1">
      <w:start w:val="1"/>
      <w:numFmt w:val="bullet"/>
      <w:lvlText w:val=""/>
      <w:lvlJc w:val="left"/>
      <w:pPr>
        <w:ind w:left="4379" w:hanging="360"/>
      </w:pPr>
      <w:rPr>
        <w:rFonts w:ascii="Wingdings" w:hAnsi="Wingdings" w:hint="default"/>
      </w:rPr>
    </w:lvl>
    <w:lvl w:ilvl="6" w:tplc="14090001" w:tentative="1">
      <w:start w:val="1"/>
      <w:numFmt w:val="bullet"/>
      <w:lvlText w:val=""/>
      <w:lvlJc w:val="left"/>
      <w:pPr>
        <w:ind w:left="5099" w:hanging="360"/>
      </w:pPr>
      <w:rPr>
        <w:rFonts w:ascii="Symbol" w:hAnsi="Symbol" w:hint="default"/>
      </w:rPr>
    </w:lvl>
    <w:lvl w:ilvl="7" w:tplc="14090003" w:tentative="1">
      <w:start w:val="1"/>
      <w:numFmt w:val="bullet"/>
      <w:lvlText w:val="o"/>
      <w:lvlJc w:val="left"/>
      <w:pPr>
        <w:ind w:left="5819" w:hanging="360"/>
      </w:pPr>
      <w:rPr>
        <w:rFonts w:ascii="Courier New" w:hAnsi="Courier New" w:cs="Courier New" w:hint="default"/>
      </w:rPr>
    </w:lvl>
    <w:lvl w:ilvl="8" w:tplc="14090005" w:tentative="1">
      <w:start w:val="1"/>
      <w:numFmt w:val="bullet"/>
      <w:lvlText w:val=""/>
      <w:lvlJc w:val="left"/>
      <w:pPr>
        <w:ind w:left="6539" w:hanging="360"/>
      </w:pPr>
      <w:rPr>
        <w:rFonts w:ascii="Wingdings" w:hAnsi="Wingdings" w:hint="default"/>
      </w:rPr>
    </w:lvl>
  </w:abstractNum>
  <w:num w:numId="1">
    <w:abstractNumId w:val="34"/>
  </w:num>
  <w:num w:numId="2">
    <w:abstractNumId w:val="26"/>
  </w:num>
  <w:num w:numId="3">
    <w:abstractNumId w:val="30"/>
  </w:num>
  <w:num w:numId="4">
    <w:abstractNumId w:val="50"/>
  </w:num>
  <w:num w:numId="5">
    <w:abstractNumId w:val="23"/>
  </w:num>
  <w:num w:numId="6">
    <w:abstractNumId w:val="55"/>
  </w:num>
  <w:num w:numId="7">
    <w:abstractNumId w:val="51"/>
  </w:num>
  <w:num w:numId="8">
    <w:abstractNumId w:val="47"/>
  </w:num>
  <w:num w:numId="9">
    <w:abstractNumId w:val="10"/>
  </w:num>
  <w:num w:numId="10">
    <w:abstractNumId w:val="28"/>
  </w:num>
  <w:num w:numId="11">
    <w:abstractNumId w:val="52"/>
  </w:num>
  <w:num w:numId="12">
    <w:abstractNumId w:val="42"/>
  </w:num>
  <w:num w:numId="13">
    <w:abstractNumId w:val="29"/>
  </w:num>
  <w:num w:numId="14">
    <w:abstractNumId w:val="27"/>
  </w:num>
  <w:num w:numId="15">
    <w:abstractNumId w:val="35"/>
  </w:num>
  <w:num w:numId="16">
    <w:abstractNumId w:val="37"/>
  </w:num>
  <w:num w:numId="17">
    <w:abstractNumId w:val="21"/>
  </w:num>
  <w:num w:numId="18">
    <w:abstractNumId w:val="53"/>
  </w:num>
  <w:num w:numId="19">
    <w:abstractNumId w:val="56"/>
  </w:num>
  <w:num w:numId="20">
    <w:abstractNumId w:val="16"/>
  </w:num>
  <w:num w:numId="21">
    <w:abstractNumId w:val="48"/>
  </w:num>
  <w:num w:numId="22">
    <w:abstractNumId w:val="44"/>
  </w:num>
  <w:num w:numId="23">
    <w:abstractNumId w:val="33"/>
  </w:num>
  <w:num w:numId="24">
    <w:abstractNumId w:val="25"/>
  </w:num>
  <w:num w:numId="25">
    <w:abstractNumId w:val="46"/>
  </w:num>
  <w:num w:numId="26">
    <w:abstractNumId w:val="9"/>
  </w:num>
  <w:num w:numId="27">
    <w:abstractNumId w:val="19"/>
  </w:num>
  <w:num w:numId="28">
    <w:abstractNumId w:val="39"/>
  </w:num>
  <w:num w:numId="29">
    <w:abstractNumId w:val="13"/>
  </w:num>
  <w:num w:numId="30">
    <w:abstractNumId w:val="17"/>
  </w:num>
  <w:num w:numId="31">
    <w:abstractNumId w:val="11"/>
  </w:num>
  <w:num w:numId="32">
    <w:abstractNumId w:val="15"/>
  </w:num>
  <w:num w:numId="33">
    <w:abstractNumId w:val="31"/>
  </w:num>
  <w:num w:numId="34">
    <w:abstractNumId w:val="12"/>
  </w:num>
  <w:num w:numId="35">
    <w:abstractNumId w:val="40"/>
  </w:num>
  <w:num w:numId="36">
    <w:abstractNumId w:val="24"/>
  </w:num>
  <w:num w:numId="37">
    <w:abstractNumId w:val="18"/>
  </w:num>
  <w:num w:numId="38">
    <w:abstractNumId w:val="41"/>
  </w:num>
  <w:num w:numId="39">
    <w:abstractNumId w:val="20"/>
  </w:num>
  <w:num w:numId="40">
    <w:abstractNumId w:val="49"/>
  </w:num>
  <w:num w:numId="41">
    <w:abstractNumId w:val="38"/>
  </w:num>
  <w:num w:numId="42">
    <w:abstractNumId w:val="22"/>
  </w:num>
  <w:num w:numId="43">
    <w:abstractNumId w:val="14"/>
  </w:num>
  <w:num w:numId="44">
    <w:abstractNumId w:val="43"/>
  </w:num>
  <w:num w:numId="45">
    <w:abstractNumId w:val="36"/>
  </w:num>
  <w:num w:numId="46">
    <w:abstractNumId w:val="54"/>
  </w:num>
  <w:num w:numId="47">
    <w:abstractNumId w:val="45"/>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9EB"/>
    <w:rsid w:val="0000264D"/>
    <w:rsid w:val="000034E4"/>
    <w:rsid w:val="0000643E"/>
    <w:rsid w:val="00007CEA"/>
    <w:rsid w:val="00013243"/>
    <w:rsid w:val="00013308"/>
    <w:rsid w:val="000149CA"/>
    <w:rsid w:val="000150C5"/>
    <w:rsid w:val="000152EB"/>
    <w:rsid w:val="0001760E"/>
    <w:rsid w:val="00020711"/>
    <w:rsid w:val="00020744"/>
    <w:rsid w:val="0002221A"/>
    <w:rsid w:val="00023290"/>
    <w:rsid w:val="00025BE7"/>
    <w:rsid w:val="00026DAC"/>
    <w:rsid w:val="00027060"/>
    <w:rsid w:val="00027484"/>
    <w:rsid w:val="00033EED"/>
    <w:rsid w:val="0003488D"/>
    <w:rsid w:val="00035DBF"/>
    <w:rsid w:val="00040CC7"/>
    <w:rsid w:val="00042C14"/>
    <w:rsid w:val="00042F8F"/>
    <w:rsid w:val="00045B48"/>
    <w:rsid w:val="000473CD"/>
    <w:rsid w:val="00047717"/>
    <w:rsid w:val="000510A9"/>
    <w:rsid w:val="000521CA"/>
    <w:rsid w:val="00052C5D"/>
    <w:rsid w:val="0005341D"/>
    <w:rsid w:val="00053E45"/>
    <w:rsid w:val="0005420A"/>
    <w:rsid w:val="00054716"/>
    <w:rsid w:val="00055510"/>
    <w:rsid w:val="00057149"/>
    <w:rsid w:val="000613C8"/>
    <w:rsid w:val="000618E3"/>
    <w:rsid w:val="00062429"/>
    <w:rsid w:val="0006292A"/>
    <w:rsid w:val="00065D36"/>
    <w:rsid w:val="00065FE0"/>
    <w:rsid w:val="00067D45"/>
    <w:rsid w:val="000715D0"/>
    <w:rsid w:val="00075431"/>
    <w:rsid w:val="00080DB2"/>
    <w:rsid w:val="0008169D"/>
    <w:rsid w:val="00083446"/>
    <w:rsid w:val="0008360C"/>
    <w:rsid w:val="000840FE"/>
    <w:rsid w:val="0008538B"/>
    <w:rsid w:val="00087A42"/>
    <w:rsid w:val="00090978"/>
    <w:rsid w:val="000921B6"/>
    <w:rsid w:val="00092A59"/>
    <w:rsid w:val="00097E39"/>
    <w:rsid w:val="000A1493"/>
    <w:rsid w:val="000A1C36"/>
    <w:rsid w:val="000A232E"/>
    <w:rsid w:val="000A4D6B"/>
    <w:rsid w:val="000A5F97"/>
    <w:rsid w:val="000A6B25"/>
    <w:rsid w:val="000A7611"/>
    <w:rsid w:val="000B5A0C"/>
    <w:rsid w:val="000B750B"/>
    <w:rsid w:val="000B7FDB"/>
    <w:rsid w:val="000C0A59"/>
    <w:rsid w:val="000C3C46"/>
    <w:rsid w:val="000C54F9"/>
    <w:rsid w:val="000C5E76"/>
    <w:rsid w:val="000C668D"/>
    <w:rsid w:val="000C71B4"/>
    <w:rsid w:val="000C7390"/>
    <w:rsid w:val="000C7FA6"/>
    <w:rsid w:val="000C7FB1"/>
    <w:rsid w:val="000D1C59"/>
    <w:rsid w:val="000D1CD3"/>
    <w:rsid w:val="000D256A"/>
    <w:rsid w:val="000D41C2"/>
    <w:rsid w:val="000D7FED"/>
    <w:rsid w:val="000E0216"/>
    <w:rsid w:val="000E07C9"/>
    <w:rsid w:val="000E1A56"/>
    <w:rsid w:val="000E3183"/>
    <w:rsid w:val="000E3A2A"/>
    <w:rsid w:val="000E53E8"/>
    <w:rsid w:val="000E5422"/>
    <w:rsid w:val="000E5690"/>
    <w:rsid w:val="000E66A3"/>
    <w:rsid w:val="000E689D"/>
    <w:rsid w:val="000E75F4"/>
    <w:rsid w:val="000F1790"/>
    <w:rsid w:val="000F4B2D"/>
    <w:rsid w:val="000F5374"/>
    <w:rsid w:val="000F6009"/>
    <w:rsid w:val="000F61A7"/>
    <w:rsid w:val="000F6464"/>
    <w:rsid w:val="000F7647"/>
    <w:rsid w:val="00101EF8"/>
    <w:rsid w:val="001020F5"/>
    <w:rsid w:val="00102934"/>
    <w:rsid w:val="001036E9"/>
    <w:rsid w:val="00104769"/>
    <w:rsid w:val="00105774"/>
    <w:rsid w:val="0010577F"/>
    <w:rsid w:val="00106525"/>
    <w:rsid w:val="00110357"/>
    <w:rsid w:val="0011207E"/>
    <w:rsid w:val="001140A6"/>
    <w:rsid w:val="001157AB"/>
    <w:rsid w:val="00115983"/>
    <w:rsid w:val="001202D8"/>
    <w:rsid w:val="0012047F"/>
    <w:rsid w:val="001206DF"/>
    <w:rsid w:val="00121BB5"/>
    <w:rsid w:val="0012265B"/>
    <w:rsid w:val="00124237"/>
    <w:rsid w:val="001305AB"/>
    <w:rsid w:val="00130694"/>
    <w:rsid w:val="001312DC"/>
    <w:rsid w:val="00131F15"/>
    <w:rsid w:val="00132606"/>
    <w:rsid w:val="00132A78"/>
    <w:rsid w:val="00132BA4"/>
    <w:rsid w:val="00133D39"/>
    <w:rsid w:val="00134A41"/>
    <w:rsid w:val="0013693B"/>
    <w:rsid w:val="00136F65"/>
    <w:rsid w:val="00136F70"/>
    <w:rsid w:val="00137E58"/>
    <w:rsid w:val="00141FF8"/>
    <w:rsid w:val="00143FA0"/>
    <w:rsid w:val="001453C8"/>
    <w:rsid w:val="00145EC1"/>
    <w:rsid w:val="00146187"/>
    <w:rsid w:val="00147086"/>
    <w:rsid w:val="00147B10"/>
    <w:rsid w:val="00151282"/>
    <w:rsid w:val="00151C88"/>
    <w:rsid w:val="001521EC"/>
    <w:rsid w:val="001550F6"/>
    <w:rsid w:val="00157B92"/>
    <w:rsid w:val="001605DF"/>
    <w:rsid w:val="00160C0F"/>
    <w:rsid w:val="001619FA"/>
    <w:rsid w:val="00161CEC"/>
    <w:rsid w:val="00161F44"/>
    <w:rsid w:val="001622DD"/>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84C11"/>
    <w:rsid w:val="00186832"/>
    <w:rsid w:val="00191809"/>
    <w:rsid w:val="00193B6E"/>
    <w:rsid w:val="00194170"/>
    <w:rsid w:val="001958BF"/>
    <w:rsid w:val="001958DA"/>
    <w:rsid w:val="001A037B"/>
    <w:rsid w:val="001A0498"/>
    <w:rsid w:val="001B1675"/>
    <w:rsid w:val="001B1B56"/>
    <w:rsid w:val="001B48DF"/>
    <w:rsid w:val="001B4FE5"/>
    <w:rsid w:val="001B60AF"/>
    <w:rsid w:val="001B6257"/>
    <w:rsid w:val="001B7B4B"/>
    <w:rsid w:val="001C059C"/>
    <w:rsid w:val="001C123E"/>
    <w:rsid w:val="001C37BE"/>
    <w:rsid w:val="001C4274"/>
    <w:rsid w:val="001C679B"/>
    <w:rsid w:val="001C6A5D"/>
    <w:rsid w:val="001C6CDC"/>
    <w:rsid w:val="001D10E7"/>
    <w:rsid w:val="001D442B"/>
    <w:rsid w:val="001D5078"/>
    <w:rsid w:val="001D5137"/>
    <w:rsid w:val="001D5786"/>
    <w:rsid w:val="001E0014"/>
    <w:rsid w:val="001E02F4"/>
    <w:rsid w:val="001E4616"/>
    <w:rsid w:val="001E49AC"/>
    <w:rsid w:val="001E5865"/>
    <w:rsid w:val="001E6E11"/>
    <w:rsid w:val="001F01D1"/>
    <w:rsid w:val="001F1AE5"/>
    <w:rsid w:val="001F1F14"/>
    <w:rsid w:val="001F2EF7"/>
    <w:rsid w:val="001F3E9B"/>
    <w:rsid w:val="001F6199"/>
    <w:rsid w:val="001F66F5"/>
    <w:rsid w:val="001F6E22"/>
    <w:rsid w:val="001F7A6C"/>
    <w:rsid w:val="001F7FD8"/>
    <w:rsid w:val="002029C2"/>
    <w:rsid w:val="002057B5"/>
    <w:rsid w:val="00207F04"/>
    <w:rsid w:val="00210F91"/>
    <w:rsid w:val="00211E2F"/>
    <w:rsid w:val="0021228F"/>
    <w:rsid w:val="002126FE"/>
    <w:rsid w:val="002145DD"/>
    <w:rsid w:val="0022266F"/>
    <w:rsid w:val="002246C9"/>
    <w:rsid w:val="002251F5"/>
    <w:rsid w:val="002279EB"/>
    <w:rsid w:val="00230529"/>
    <w:rsid w:val="00231206"/>
    <w:rsid w:val="00231DFE"/>
    <w:rsid w:val="00233778"/>
    <w:rsid w:val="00233CA0"/>
    <w:rsid w:val="00234552"/>
    <w:rsid w:val="002348EB"/>
    <w:rsid w:val="00234B38"/>
    <w:rsid w:val="00235351"/>
    <w:rsid w:val="00235C30"/>
    <w:rsid w:val="00236300"/>
    <w:rsid w:val="002372F2"/>
    <w:rsid w:val="00240645"/>
    <w:rsid w:val="002417FD"/>
    <w:rsid w:val="00241D92"/>
    <w:rsid w:val="00241FF1"/>
    <w:rsid w:val="002429FA"/>
    <w:rsid w:val="00244E87"/>
    <w:rsid w:val="00245ECF"/>
    <w:rsid w:val="00247EAF"/>
    <w:rsid w:val="002528D2"/>
    <w:rsid w:val="00252B0C"/>
    <w:rsid w:val="00253B19"/>
    <w:rsid w:val="00253DC2"/>
    <w:rsid w:val="002552F3"/>
    <w:rsid w:val="0025658D"/>
    <w:rsid w:val="002577DA"/>
    <w:rsid w:val="002579B5"/>
    <w:rsid w:val="00257B15"/>
    <w:rsid w:val="00260630"/>
    <w:rsid w:val="002645D8"/>
    <w:rsid w:val="00264DC2"/>
    <w:rsid w:val="002650E4"/>
    <w:rsid w:val="00267BAE"/>
    <w:rsid w:val="00270407"/>
    <w:rsid w:val="00271350"/>
    <w:rsid w:val="00272A39"/>
    <w:rsid w:val="00274C07"/>
    <w:rsid w:val="00274F48"/>
    <w:rsid w:val="00280070"/>
    <w:rsid w:val="00281F54"/>
    <w:rsid w:val="00282279"/>
    <w:rsid w:val="00283999"/>
    <w:rsid w:val="00285AED"/>
    <w:rsid w:val="00287E90"/>
    <w:rsid w:val="002900F2"/>
    <w:rsid w:val="0029427E"/>
    <w:rsid w:val="00294DFB"/>
    <w:rsid w:val="00295A5B"/>
    <w:rsid w:val="00296585"/>
    <w:rsid w:val="00296F48"/>
    <w:rsid w:val="00297048"/>
    <w:rsid w:val="00297BF3"/>
    <w:rsid w:val="002A1AE7"/>
    <w:rsid w:val="002A4834"/>
    <w:rsid w:val="002A53AB"/>
    <w:rsid w:val="002A6AFD"/>
    <w:rsid w:val="002B0BFC"/>
    <w:rsid w:val="002B2172"/>
    <w:rsid w:val="002B2224"/>
    <w:rsid w:val="002B2BC8"/>
    <w:rsid w:val="002B3A85"/>
    <w:rsid w:val="002B6000"/>
    <w:rsid w:val="002B631E"/>
    <w:rsid w:val="002C16CE"/>
    <w:rsid w:val="002C33E4"/>
    <w:rsid w:val="002C42BA"/>
    <w:rsid w:val="002C4F59"/>
    <w:rsid w:val="002C4F7D"/>
    <w:rsid w:val="002C6914"/>
    <w:rsid w:val="002C6E37"/>
    <w:rsid w:val="002C747C"/>
    <w:rsid w:val="002C7915"/>
    <w:rsid w:val="002D1029"/>
    <w:rsid w:val="002D19B2"/>
    <w:rsid w:val="002D23A4"/>
    <w:rsid w:val="002D592D"/>
    <w:rsid w:val="002D5A10"/>
    <w:rsid w:val="002D5D68"/>
    <w:rsid w:val="002D6816"/>
    <w:rsid w:val="002D73F6"/>
    <w:rsid w:val="002E1F16"/>
    <w:rsid w:val="002E357D"/>
    <w:rsid w:val="002E3E30"/>
    <w:rsid w:val="002E4E49"/>
    <w:rsid w:val="002E5DFE"/>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06A3"/>
    <w:rsid w:val="00312C16"/>
    <w:rsid w:val="00314334"/>
    <w:rsid w:val="003144F1"/>
    <w:rsid w:val="00314597"/>
    <w:rsid w:val="00315CA0"/>
    <w:rsid w:val="003234DC"/>
    <w:rsid w:val="003255AF"/>
    <w:rsid w:val="00331584"/>
    <w:rsid w:val="0033164B"/>
    <w:rsid w:val="00333745"/>
    <w:rsid w:val="00333EBA"/>
    <w:rsid w:val="003345E7"/>
    <w:rsid w:val="00336189"/>
    <w:rsid w:val="00336CEB"/>
    <w:rsid w:val="00337CC2"/>
    <w:rsid w:val="00341950"/>
    <w:rsid w:val="003442B5"/>
    <w:rsid w:val="00344B5F"/>
    <w:rsid w:val="0034511F"/>
    <w:rsid w:val="00350A21"/>
    <w:rsid w:val="0035123F"/>
    <w:rsid w:val="00351855"/>
    <w:rsid w:val="00352A8C"/>
    <w:rsid w:val="00353BD9"/>
    <w:rsid w:val="00354848"/>
    <w:rsid w:val="00356C5D"/>
    <w:rsid w:val="00357E34"/>
    <w:rsid w:val="0036085C"/>
    <w:rsid w:val="00362F36"/>
    <w:rsid w:val="003659E4"/>
    <w:rsid w:val="00365FCC"/>
    <w:rsid w:val="003672B7"/>
    <w:rsid w:val="0036735D"/>
    <w:rsid w:val="00367CD0"/>
    <w:rsid w:val="00370250"/>
    <w:rsid w:val="00370446"/>
    <w:rsid w:val="00370B0E"/>
    <w:rsid w:val="003746CE"/>
    <w:rsid w:val="003748A2"/>
    <w:rsid w:val="0038053F"/>
    <w:rsid w:val="0038137A"/>
    <w:rsid w:val="003852C0"/>
    <w:rsid w:val="0038745F"/>
    <w:rsid w:val="00392649"/>
    <w:rsid w:val="003942EE"/>
    <w:rsid w:val="00395DB4"/>
    <w:rsid w:val="003A1DE2"/>
    <w:rsid w:val="003A2443"/>
    <w:rsid w:val="003A2466"/>
    <w:rsid w:val="003A2812"/>
    <w:rsid w:val="003A2E2C"/>
    <w:rsid w:val="003A39DE"/>
    <w:rsid w:val="003A5A5E"/>
    <w:rsid w:val="003A5AF0"/>
    <w:rsid w:val="003A6385"/>
    <w:rsid w:val="003A7BF3"/>
    <w:rsid w:val="003B412E"/>
    <w:rsid w:val="003B5268"/>
    <w:rsid w:val="003B6938"/>
    <w:rsid w:val="003C23D9"/>
    <w:rsid w:val="003C339D"/>
    <w:rsid w:val="003C50B9"/>
    <w:rsid w:val="003C7D67"/>
    <w:rsid w:val="003D29AB"/>
    <w:rsid w:val="003D29D3"/>
    <w:rsid w:val="003E1BDC"/>
    <w:rsid w:val="003E25A2"/>
    <w:rsid w:val="003E2A94"/>
    <w:rsid w:val="003E4702"/>
    <w:rsid w:val="003E4E61"/>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33E4"/>
    <w:rsid w:val="00414D65"/>
    <w:rsid w:val="00416157"/>
    <w:rsid w:val="00416605"/>
    <w:rsid w:val="00420B53"/>
    <w:rsid w:val="00421068"/>
    <w:rsid w:val="004257AA"/>
    <w:rsid w:val="00425B68"/>
    <w:rsid w:val="004263BB"/>
    <w:rsid w:val="00426BA8"/>
    <w:rsid w:val="00426C7B"/>
    <w:rsid w:val="00427B4B"/>
    <w:rsid w:val="004313DF"/>
    <w:rsid w:val="00432EB6"/>
    <w:rsid w:val="00434170"/>
    <w:rsid w:val="0043447B"/>
    <w:rsid w:val="0043594C"/>
    <w:rsid w:val="004363DC"/>
    <w:rsid w:val="00436AFF"/>
    <w:rsid w:val="00436C4D"/>
    <w:rsid w:val="00437967"/>
    <w:rsid w:val="00437EE6"/>
    <w:rsid w:val="00443D64"/>
    <w:rsid w:val="00445554"/>
    <w:rsid w:val="00445CC8"/>
    <w:rsid w:val="00445DA5"/>
    <w:rsid w:val="004466DB"/>
    <w:rsid w:val="00446C0B"/>
    <w:rsid w:val="004535FD"/>
    <w:rsid w:val="00454D1C"/>
    <w:rsid w:val="0045718A"/>
    <w:rsid w:val="00457806"/>
    <w:rsid w:val="004632E4"/>
    <w:rsid w:val="004647CC"/>
    <w:rsid w:val="0046590D"/>
    <w:rsid w:val="00466490"/>
    <w:rsid w:val="00466A89"/>
    <w:rsid w:val="004708CD"/>
    <w:rsid w:val="00470CFA"/>
    <w:rsid w:val="004737F8"/>
    <w:rsid w:val="004740FA"/>
    <w:rsid w:val="00474151"/>
    <w:rsid w:val="004744F8"/>
    <w:rsid w:val="00476124"/>
    <w:rsid w:val="00477498"/>
    <w:rsid w:val="00477751"/>
    <w:rsid w:val="0048127C"/>
    <w:rsid w:val="00481CDD"/>
    <w:rsid w:val="00482401"/>
    <w:rsid w:val="0048339D"/>
    <w:rsid w:val="00485089"/>
    <w:rsid w:val="00485DC9"/>
    <w:rsid w:val="00487734"/>
    <w:rsid w:val="00490382"/>
    <w:rsid w:val="00491A1B"/>
    <w:rsid w:val="00491DB1"/>
    <w:rsid w:val="00496065"/>
    <w:rsid w:val="0049682D"/>
    <w:rsid w:val="004971D1"/>
    <w:rsid w:val="004A0D45"/>
    <w:rsid w:val="004A0E5D"/>
    <w:rsid w:val="004A146F"/>
    <w:rsid w:val="004A15A3"/>
    <w:rsid w:val="004A35DB"/>
    <w:rsid w:val="004A3970"/>
    <w:rsid w:val="004A41C1"/>
    <w:rsid w:val="004A4B95"/>
    <w:rsid w:val="004B0475"/>
    <w:rsid w:val="004B0FD3"/>
    <w:rsid w:val="004B4C96"/>
    <w:rsid w:val="004B5054"/>
    <w:rsid w:val="004B5309"/>
    <w:rsid w:val="004B5C8D"/>
    <w:rsid w:val="004B6B22"/>
    <w:rsid w:val="004C131B"/>
    <w:rsid w:val="004C396D"/>
    <w:rsid w:val="004C3AA8"/>
    <w:rsid w:val="004C3D51"/>
    <w:rsid w:val="004C49CC"/>
    <w:rsid w:val="004C4D10"/>
    <w:rsid w:val="004C4FFD"/>
    <w:rsid w:val="004D019D"/>
    <w:rsid w:val="004D174C"/>
    <w:rsid w:val="004D2EC2"/>
    <w:rsid w:val="004D7880"/>
    <w:rsid w:val="004E02D5"/>
    <w:rsid w:val="004E0BB2"/>
    <w:rsid w:val="004E1587"/>
    <w:rsid w:val="004E29F6"/>
    <w:rsid w:val="004E2D30"/>
    <w:rsid w:val="004E3508"/>
    <w:rsid w:val="004E3CA8"/>
    <w:rsid w:val="004E781C"/>
    <w:rsid w:val="004E7E9C"/>
    <w:rsid w:val="004F0169"/>
    <w:rsid w:val="004F17A2"/>
    <w:rsid w:val="004F1930"/>
    <w:rsid w:val="004F2FEB"/>
    <w:rsid w:val="004F35AF"/>
    <w:rsid w:val="004F3B08"/>
    <w:rsid w:val="004F5377"/>
    <w:rsid w:val="004F6238"/>
    <w:rsid w:val="004F6CE5"/>
    <w:rsid w:val="004F7936"/>
    <w:rsid w:val="004F7F93"/>
    <w:rsid w:val="0050054A"/>
    <w:rsid w:val="00500EFA"/>
    <w:rsid w:val="00501301"/>
    <w:rsid w:val="00502548"/>
    <w:rsid w:val="00502FCC"/>
    <w:rsid w:val="00503F37"/>
    <w:rsid w:val="005040ED"/>
    <w:rsid w:val="00505635"/>
    <w:rsid w:val="00506252"/>
    <w:rsid w:val="00507230"/>
    <w:rsid w:val="00507235"/>
    <w:rsid w:val="00507953"/>
    <w:rsid w:val="00507FFA"/>
    <w:rsid w:val="00512F6D"/>
    <w:rsid w:val="00513353"/>
    <w:rsid w:val="005141F3"/>
    <w:rsid w:val="005146F5"/>
    <w:rsid w:val="005166EC"/>
    <w:rsid w:val="00522148"/>
    <w:rsid w:val="00524EDD"/>
    <w:rsid w:val="005262E9"/>
    <w:rsid w:val="005271EE"/>
    <w:rsid w:val="005276F0"/>
    <w:rsid w:val="00527BE3"/>
    <w:rsid w:val="00530085"/>
    <w:rsid w:val="005313B5"/>
    <w:rsid w:val="00531F36"/>
    <w:rsid w:val="005320A7"/>
    <w:rsid w:val="00532B43"/>
    <w:rsid w:val="0053503E"/>
    <w:rsid w:val="005353F8"/>
    <w:rsid w:val="00536055"/>
    <w:rsid w:val="00536A30"/>
    <w:rsid w:val="00536A33"/>
    <w:rsid w:val="00540445"/>
    <w:rsid w:val="0054061B"/>
    <w:rsid w:val="00541862"/>
    <w:rsid w:val="00541ED0"/>
    <w:rsid w:val="00542BD0"/>
    <w:rsid w:val="00543341"/>
    <w:rsid w:val="00543F0E"/>
    <w:rsid w:val="00544040"/>
    <w:rsid w:val="0054477B"/>
    <w:rsid w:val="005452FD"/>
    <w:rsid w:val="0054555A"/>
    <w:rsid w:val="00545A51"/>
    <w:rsid w:val="00547EB0"/>
    <w:rsid w:val="00550994"/>
    <w:rsid w:val="005538D9"/>
    <w:rsid w:val="005546CA"/>
    <w:rsid w:val="00554FE4"/>
    <w:rsid w:val="005556D7"/>
    <w:rsid w:val="00555CDE"/>
    <w:rsid w:val="00556B1D"/>
    <w:rsid w:val="00556F13"/>
    <w:rsid w:val="00560976"/>
    <w:rsid w:val="005613FE"/>
    <w:rsid w:val="00562116"/>
    <w:rsid w:val="005626E0"/>
    <w:rsid w:val="00562E85"/>
    <w:rsid w:val="0056487E"/>
    <w:rsid w:val="00565143"/>
    <w:rsid w:val="0056548F"/>
    <w:rsid w:val="00565B16"/>
    <w:rsid w:val="00565D35"/>
    <w:rsid w:val="00570370"/>
    <w:rsid w:val="00571D44"/>
    <w:rsid w:val="00577153"/>
    <w:rsid w:val="0057720D"/>
    <w:rsid w:val="00577A7D"/>
    <w:rsid w:val="005815DF"/>
    <w:rsid w:val="0058200E"/>
    <w:rsid w:val="00582060"/>
    <w:rsid w:val="00583636"/>
    <w:rsid w:val="00584DC7"/>
    <w:rsid w:val="00586376"/>
    <w:rsid w:val="00590622"/>
    <w:rsid w:val="00590ED6"/>
    <w:rsid w:val="0059127A"/>
    <w:rsid w:val="005912A8"/>
    <w:rsid w:val="005934AB"/>
    <w:rsid w:val="00596E6D"/>
    <w:rsid w:val="005A036E"/>
    <w:rsid w:val="005A1BEC"/>
    <w:rsid w:val="005A1DC3"/>
    <w:rsid w:val="005A2A59"/>
    <w:rsid w:val="005A70C0"/>
    <w:rsid w:val="005A7865"/>
    <w:rsid w:val="005B25AD"/>
    <w:rsid w:val="005B3260"/>
    <w:rsid w:val="005B3C01"/>
    <w:rsid w:val="005B4FAE"/>
    <w:rsid w:val="005C021E"/>
    <w:rsid w:val="005C3A0C"/>
    <w:rsid w:val="005C43E9"/>
    <w:rsid w:val="005C4598"/>
    <w:rsid w:val="005C56EA"/>
    <w:rsid w:val="005C5D28"/>
    <w:rsid w:val="005D0580"/>
    <w:rsid w:val="005D216E"/>
    <w:rsid w:val="005D2356"/>
    <w:rsid w:val="005D2D3E"/>
    <w:rsid w:val="005D5AA9"/>
    <w:rsid w:val="005D79CE"/>
    <w:rsid w:val="005E11E4"/>
    <w:rsid w:val="005E2F27"/>
    <w:rsid w:val="005E3623"/>
    <w:rsid w:val="005E3652"/>
    <w:rsid w:val="005E3CFA"/>
    <w:rsid w:val="005E41A7"/>
    <w:rsid w:val="005E4B2F"/>
    <w:rsid w:val="005E505F"/>
    <w:rsid w:val="005E59C5"/>
    <w:rsid w:val="005E6386"/>
    <w:rsid w:val="005E7967"/>
    <w:rsid w:val="005F08DB"/>
    <w:rsid w:val="005F0FAF"/>
    <w:rsid w:val="005F1417"/>
    <w:rsid w:val="005F1468"/>
    <w:rsid w:val="005F3917"/>
    <w:rsid w:val="005F3B12"/>
    <w:rsid w:val="005F3C75"/>
    <w:rsid w:val="005F4624"/>
    <w:rsid w:val="005F5349"/>
    <w:rsid w:val="005F6759"/>
    <w:rsid w:val="005F6ECB"/>
    <w:rsid w:val="005F6F3C"/>
    <w:rsid w:val="005F79B3"/>
    <w:rsid w:val="00602953"/>
    <w:rsid w:val="00605680"/>
    <w:rsid w:val="0060660F"/>
    <w:rsid w:val="00607131"/>
    <w:rsid w:val="00611E7F"/>
    <w:rsid w:val="00614075"/>
    <w:rsid w:val="0061552A"/>
    <w:rsid w:val="00616056"/>
    <w:rsid w:val="006164E6"/>
    <w:rsid w:val="006169E2"/>
    <w:rsid w:val="00616EC1"/>
    <w:rsid w:val="00617654"/>
    <w:rsid w:val="0062124B"/>
    <w:rsid w:val="0062240D"/>
    <w:rsid w:val="00622969"/>
    <w:rsid w:val="00622F30"/>
    <w:rsid w:val="006252FC"/>
    <w:rsid w:val="00625501"/>
    <w:rsid w:val="00625C5E"/>
    <w:rsid w:val="00625E36"/>
    <w:rsid w:val="00626C73"/>
    <w:rsid w:val="00626E79"/>
    <w:rsid w:val="00627EA5"/>
    <w:rsid w:val="00627EC1"/>
    <w:rsid w:val="00630A64"/>
    <w:rsid w:val="0063216E"/>
    <w:rsid w:val="0063232A"/>
    <w:rsid w:val="00633C6D"/>
    <w:rsid w:val="00633F09"/>
    <w:rsid w:val="00633FFC"/>
    <w:rsid w:val="00634BD4"/>
    <w:rsid w:val="00634C1B"/>
    <w:rsid w:val="00636738"/>
    <w:rsid w:val="0064178E"/>
    <w:rsid w:val="00643C6D"/>
    <w:rsid w:val="00646F5F"/>
    <w:rsid w:val="0064751A"/>
    <w:rsid w:val="00650421"/>
    <w:rsid w:val="00650C82"/>
    <w:rsid w:val="00651185"/>
    <w:rsid w:val="00653975"/>
    <w:rsid w:val="006542AB"/>
    <w:rsid w:val="0065542F"/>
    <w:rsid w:val="006554CF"/>
    <w:rsid w:val="00655C8E"/>
    <w:rsid w:val="00656322"/>
    <w:rsid w:val="00656D3D"/>
    <w:rsid w:val="00657AA6"/>
    <w:rsid w:val="0066117E"/>
    <w:rsid w:val="0066236C"/>
    <w:rsid w:val="00662B5C"/>
    <w:rsid w:val="00665473"/>
    <w:rsid w:val="00665CFF"/>
    <w:rsid w:val="00665F7B"/>
    <w:rsid w:val="00667CD1"/>
    <w:rsid w:val="00670619"/>
    <w:rsid w:val="00670DFA"/>
    <w:rsid w:val="00670F9B"/>
    <w:rsid w:val="006727EB"/>
    <w:rsid w:val="00673263"/>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B7A"/>
    <w:rsid w:val="00696250"/>
    <w:rsid w:val="00696D9A"/>
    <w:rsid w:val="00697054"/>
    <w:rsid w:val="00697D56"/>
    <w:rsid w:val="006A08E0"/>
    <w:rsid w:val="006A26ED"/>
    <w:rsid w:val="006A3D15"/>
    <w:rsid w:val="006B2156"/>
    <w:rsid w:val="006B4190"/>
    <w:rsid w:val="006B573F"/>
    <w:rsid w:val="006B62D8"/>
    <w:rsid w:val="006C0503"/>
    <w:rsid w:val="006C0D04"/>
    <w:rsid w:val="006C1E67"/>
    <w:rsid w:val="006C1EBC"/>
    <w:rsid w:val="006C2C2E"/>
    <w:rsid w:val="006C5775"/>
    <w:rsid w:val="006C5C71"/>
    <w:rsid w:val="006C66D9"/>
    <w:rsid w:val="006D2BB4"/>
    <w:rsid w:val="006D3331"/>
    <w:rsid w:val="006D6F6B"/>
    <w:rsid w:val="006D7A6A"/>
    <w:rsid w:val="006E0097"/>
    <w:rsid w:val="006E521B"/>
    <w:rsid w:val="006E52B9"/>
    <w:rsid w:val="006E6730"/>
    <w:rsid w:val="006F00A8"/>
    <w:rsid w:val="006F05D7"/>
    <w:rsid w:val="006F36E0"/>
    <w:rsid w:val="006F471E"/>
    <w:rsid w:val="006F53A3"/>
    <w:rsid w:val="00700D79"/>
    <w:rsid w:val="007026E6"/>
    <w:rsid w:val="0070307B"/>
    <w:rsid w:val="0070662A"/>
    <w:rsid w:val="00711177"/>
    <w:rsid w:val="00711B09"/>
    <w:rsid w:val="00712887"/>
    <w:rsid w:val="0071707C"/>
    <w:rsid w:val="00720B7E"/>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619F7"/>
    <w:rsid w:val="00765348"/>
    <w:rsid w:val="00765FBD"/>
    <w:rsid w:val="0076720A"/>
    <w:rsid w:val="007706E1"/>
    <w:rsid w:val="007712D9"/>
    <w:rsid w:val="007718D4"/>
    <w:rsid w:val="007725DC"/>
    <w:rsid w:val="00772E15"/>
    <w:rsid w:val="00773121"/>
    <w:rsid w:val="00773B70"/>
    <w:rsid w:val="00775720"/>
    <w:rsid w:val="007759D8"/>
    <w:rsid w:val="00775A72"/>
    <w:rsid w:val="007800C2"/>
    <w:rsid w:val="00780C4C"/>
    <w:rsid w:val="007811B9"/>
    <w:rsid w:val="0078137D"/>
    <w:rsid w:val="0078142C"/>
    <w:rsid w:val="00783B88"/>
    <w:rsid w:val="007862B7"/>
    <w:rsid w:val="0078743A"/>
    <w:rsid w:val="00793081"/>
    <w:rsid w:val="007932FF"/>
    <w:rsid w:val="00793D70"/>
    <w:rsid w:val="0079532A"/>
    <w:rsid w:val="00795384"/>
    <w:rsid w:val="00796EBE"/>
    <w:rsid w:val="00796EC3"/>
    <w:rsid w:val="007A0D61"/>
    <w:rsid w:val="007A174E"/>
    <w:rsid w:val="007A4380"/>
    <w:rsid w:val="007A508D"/>
    <w:rsid w:val="007A5931"/>
    <w:rsid w:val="007A59C7"/>
    <w:rsid w:val="007A5BC1"/>
    <w:rsid w:val="007A7433"/>
    <w:rsid w:val="007B08FD"/>
    <w:rsid w:val="007B29DC"/>
    <w:rsid w:val="007B2E4A"/>
    <w:rsid w:val="007B51CD"/>
    <w:rsid w:val="007B54CD"/>
    <w:rsid w:val="007B61F8"/>
    <w:rsid w:val="007B6EDE"/>
    <w:rsid w:val="007B7B70"/>
    <w:rsid w:val="007C06FF"/>
    <w:rsid w:val="007C4E48"/>
    <w:rsid w:val="007C54AD"/>
    <w:rsid w:val="007C653F"/>
    <w:rsid w:val="007C7E00"/>
    <w:rsid w:val="007C7F18"/>
    <w:rsid w:val="007D32A8"/>
    <w:rsid w:val="007D6549"/>
    <w:rsid w:val="007D6742"/>
    <w:rsid w:val="007D7B91"/>
    <w:rsid w:val="007E0325"/>
    <w:rsid w:val="007E2A82"/>
    <w:rsid w:val="007E2ED4"/>
    <w:rsid w:val="007E309C"/>
    <w:rsid w:val="007E31F9"/>
    <w:rsid w:val="007E3F1F"/>
    <w:rsid w:val="007E42A1"/>
    <w:rsid w:val="007E638D"/>
    <w:rsid w:val="007E725C"/>
    <w:rsid w:val="007F14F1"/>
    <w:rsid w:val="007F334F"/>
    <w:rsid w:val="007F4E09"/>
    <w:rsid w:val="007F5AA3"/>
    <w:rsid w:val="007F6166"/>
    <w:rsid w:val="007F6F69"/>
    <w:rsid w:val="00800315"/>
    <w:rsid w:val="008011D4"/>
    <w:rsid w:val="0080175D"/>
    <w:rsid w:val="00802098"/>
    <w:rsid w:val="008022DD"/>
    <w:rsid w:val="00802747"/>
    <w:rsid w:val="00803AFD"/>
    <w:rsid w:val="00803D12"/>
    <w:rsid w:val="0080466A"/>
    <w:rsid w:val="00805D69"/>
    <w:rsid w:val="008070C5"/>
    <w:rsid w:val="008129BF"/>
    <w:rsid w:val="008149BF"/>
    <w:rsid w:val="00817C22"/>
    <w:rsid w:val="00820795"/>
    <w:rsid w:val="00820C32"/>
    <w:rsid w:val="0082250A"/>
    <w:rsid w:val="00824F10"/>
    <w:rsid w:val="00824F24"/>
    <w:rsid w:val="00826CE7"/>
    <w:rsid w:val="00826DB8"/>
    <w:rsid w:val="00830B68"/>
    <w:rsid w:val="0083194F"/>
    <w:rsid w:val="008343B0"/>
    <w:rsid w:val="0083554D"/>
    <w:rsid w:val="008379D0"/>
    <w:rsid w:val="00844755"/>
    <w:rsid w:val="00845790"/>
    <w:rsid w:val="008463B6"/>
    <w:rsid w:val="00846ED5"/>
    <w:rsid w:val="00850356"/>
    <w:rsid w:val="008505C0"/>
    <w:rsid w:val="0085180A"/>
    <w:rsid w:val="00851E49"/>
    <w:rsid w:val="0085223C"/>
    <w:rsid w:val="0085500B"/>
    <w:rsid w:val="008554EC"/>
    <w:rsid w:val="00855C23"/>
    <w:rsid w:val="0085797E"/>
    <w:rsid w:val="00857E7C"/>
    <w:rsid w:val="00860659"/>
    <w:rsid w:val="0086144E"/>
    <w:rsid w:val="00861571"/>
    <w:rsid w:val="00863FFB"/>
    <w:rsid w:val="00864272"/>
    <w:rsid w:val="00871114"/>
    <w:rsid w:val="00872C00"/>
    <w:rsid w:val="0087610A"/>
    <w:rsid w:val="00880A2D"/>
    <w:rsid w:val="00882076"/>
    <w:rsid w:val="00883A9E"/>
    <w:rsid w:val="00884186"/>
    <w:rsid w:val="008858E7"/>
    <w:rsid w:val="00885D77"/>
    <w:rsid w:val="008901BD"/>
    <w:rsid w:val="0089129E"/>
    <w:rsid w:val="008912A7"/>
    <w:rsid w:val="0089245F"/>
    <w:rsid w:val="0089247D"/>
    <w:rsid w:val="00892B02"/>
    <w:rsid w:val="00892F41"/>
    <w:rsid w:val="00893432"/>
    <w:rsid w:val="00897357"/>
    <w:rsid w:val="008A7CBF"/>
    <w:rsid w:val="008A7D3D"/>
    <w:rsid w:val="008B0680"/>
    <w:rsid w:val="008B0F64"/>
    <w:rsid w:val="008B2303"/>
    <w:rsid w:val="008B4EA9"/>
    <w:rsid w:val="008B5493"/>
    <w:rsid w:val="008B663F"/>
    <w:rsid w:val="008B6A2D"/>
    <w:rsid w:val="008B6ADE"/>
    <w:rsid w:val="008B7F9C"/>
    <w:rsid w:val="008C1F47"/>
    <w:rsid w:val="008C5425"/>
    <w:rsid w:val="008C7031"/>
    <w:rsid w:val="008D0513"/>
    <w:rsid w:val="008D5149"/>
    <w:rsid w:val="008E10B0"/>
    <w:rsid w:val="008E2D4B"/>
    <w:rsid w:val="008E2E85"/>
    <w:rsid w:val="008E3E06"/>
    <w:rsid w:val="008E450F"/>
    <w:rsid w:val="008E6941"/>
    <w:rsid w:val="008F05B4"/>
    <w:rsid w:val="008F134B"/>
    <w:rsid w:val="008F18B8"/>
    <w:rsid w:val="008F2AF5"/>
    <w:rsid w:val="008F52C1"/>
    <w:rsid w:val="008F6628"/>
    <w:rsid w:val="0090087F"/>
    <w:rsid w:val="00901F54"/>
    <w:rsid w:val="0090321E"/>
    <w:rsid w:val="00904328"/>
    <w:rsid w:val="00905DF2"/>
    <w:rsid w:val="00907690"/>
    <w:rsid w:val="009119E0"/>
    <w:rsid w:val="009127B9"/>
    <w:rsid w:val="009139BE"/>
    <w:rsid w:val="009149BC"/>
    <w:rsid w:val="0091570D"/>
    <w:rsid w:val="009163AC"/>
    <w:rsid w:val="00917076"/>
    <w:rsid w:val="009175A9"/>
    <w:rsid w:val="00920DFD"/>
    <w:rsid w:val="00921EB7"/>
    <w:rsid w:val="00922ABD"/>
    <w:rsid w:val="0092301B"/>
    <w:rsid w:val="00925A3A"/>
    <w:rsid w:val="009273FD"/>
    <w:rsid w:val="00930AC5"/>
    <w:rsid w:val="00931404"/>
    <w:rsid w:val="00932193"/>
    <w:rsid w:val="00933001"/>
    <w:rsid w:val="009334B5"/>
    <w:rsid w:val="009339B7"/>
    <w:rsid w:val="00935540"/>
    <w:rsid w:val="00937B85"/>
    <w:rsid w:val="00942566"/>
    <w:rsid w:val="00945A66"/>
    <w:rsid w:val="00945A7C"/>
    <w:rsid w:val="00947420"/>
    <w:rsid w:val="00947EE5"/>
    <w:rsid w:val="00954FBD"/>
    <w:rsid w:val="00956D65"/>
    <w:rsid w:val="00957AE5"/>
    <w:rsid w:val="00957D9A"/>
    <w:rsid w:val="00960CD1"/>
    <w:rsid w:val="00960DF5"/>
    <w:rsid w:val="00963072"/>
    <w:rsid w:val="009632CA"/>
    <w:rsid w:val="00963A74"/>
    <w:rsid w:val="00963D76"/>
    <w:rsid w:val="0096599D"/>
    <w:rsid w:val="00967A8E"/>
    <w:rsid w:val="00970B7B"/>
    <w:rsid w:val="009732B3"/>
    <w:rsid w:val="009804B2"/>
    <w:rsid w:val="00991BFD"/>
    <w:rsid w:val="00991DAA"/>
    <w:rsid w:val="00992E95"/>
    <w:rsid w:val="00995DCE"/>
    <w:rsid w:val="00997180"/>
    <w:rsid w:val="009A0D28"/>
    <w:rsid w:val="009A12A6"/>
    <w:rsid w:val="009A2749"/>
    <w:rsid w:val="009A4322"/>
    <w:rsid w:val="009A62D3"/>
    <w:rsid w:val="009B15F6"/>
    <w:rsid w:val="009B1821"/>
    <w:rsid w:val="009B1B04"/>
    <w:rsid w:val="009B367C"/>
    <w:rsid w:val="009B3CCC"/>
    <w:rsid w:val="009B7DE1"/>
    <w:rsid w:val="009C26C4"/>
    <w:rsid w:val="009C3101"/>
    <w:rsid w:val="009C4994"/>
    <w:rsid w:val="009C5611"/>
    <w:rsid w:val="009C5FBE"/>
    <w:rsid w:val="009C7915"/>
    <w:rsid w:val="009C7DA0"/>
    <w:rsid w:val="009D02E3"/>
    <w:rsid w:val="009D343E"/>
    <w:rsid w:val="009D489A"/>
    <w:rsid w:val="009D4B71"/>
    <w:rsid w:val="009D519B"/>
    <w:rsid w:val="009D651F"/>
    <w:rsid w:val="009E20FD"/>
    <w:rsid w:val="009E217D"/>
    <w:rsid w:val="009E258B"/>
    <w:rsid w:val="009E2929"/>
    <w:rsid w:val="009E56D8"/>
    <w:rsid w:val="009E6351"/>
    <w:rsid w:val="009E7CD7"/>
    <w:rsid w:val="009F0B56"/>
    <w:rsid w:val="009F1996"/>
    <w:rsid w:val="009F2266"/>
    <w:rsid w:val="009F387B"/>
    <w:rsid w:val="009F3E48"/>
    <w:rsid w:val="009F437F"/>
    <w:rsid w:val="009F4DD7"/>
    <w:rsid w:val="009F66D6"/>
    <w:rsid w:val="00A01A4C"/>
    <w:rsid w:val="00A02E50"/>
    <w:rsid w:val="00A031CB"/>
    <w:rsid w:val="00A05167"/>
    <w:rsid w:val="00A060B9"/>
    <w:rsid w:val="00A108AE"/>
    <w:rsid w:val="00A152F8"/>
    <w:rsid w:val="00A16536"/>
    <w:rsid w:val="00A16A17"/>
    <w:rsid w:val="00A17D38"/>
    <w:rsid w:val="00A20D7C"/>
    <w:rsid w:val="00A221EE"/>
    <w:rsid w:val="00A23AC0"/>
    <w:rsid w:val="00A24382"/>
    <w:rsid w:val="00A27BF9"/>
    <w:rsid w:val="00A3195B"/>
    <w:rsid w:val="00A31C1F"/>
    <w:rsid w:val="00A32B96"/>
    <w:rsid w:val="00A32BB5"/>
    <w:rsid w:val="00A34472"/>
    <w:rsid w:val="00A368A7"/>
    <w:rsid w:val="00A37650"/>
    <w:rsid w:val="00A4013C"/>
    <w:rsid w:val="00A40682"/>
    <w:rsid w:val="00A44C7D"/>
    <w:rsid w:val="00A44D2F"/>
    <w:rsid w:val="00A460C7"/>
    <w:rsid w:val="00A46140"/>
    <w:rsid w:val="00A46304"/>
    <w:rsid w:val="00A50970"/>
    <w:rsid w:val="00A50BFD"/>
    <w:rsid w:val="00A51DDA"/>
    <w:rsid w:val="00A530BB"/>
    <w:rsid w:val="00A5401D"/>
    <w:rsid w:val="00A558F4"/>
    <w:rsid w:val="00A564AF"/>
    <w:rsid w:val="00A61D34"/>
    <w:rsid w:val="00A61DCA"/>
    <w:rsid w:val="00A62577"/>
    <w:rsid w:val="00A62E26"/>
    <w:rsid w:val="00A6470B"/>
    <w:rsid w:val="00A65654"/>
    <w:rsid w:val="00A65B11"/>
    <w:rsid w:val="00A66B53"/>
    <w:rsid w:val="00A70502"/>
    <w:rsid w:val="00A70667"/>
    <w:rsid w:val="00A74819"/>
    <w:rsid w:val="00A749A1"/>
    <w:rsid w:val="00A752A1"/>
    <w:rsid w:val="00A7540A"/>
    <w:rsid w:val="00A759EB"/>
    <w:rsid w:val="00A76BD6"/>
    <w:rsid w:val="00A770F2"/>
    <w:rsid w:val="00A77FF4"/>
    <w:rsid w:val="00A80177"/>
    <w:rsid w:val="00A824C3"/>
    <w:rsid w:val="00A82744"/>
    <w:rsid w:val="00A8404D"/>
    <w:rsid w:val="00A8571E"/>
    <w:rsid w:val="00A87113"/>
    <w:rsid w:val="00A91F9C"/>
    <w:rsid w:val="00A93E1C"/>
    <w:rsid w:val="00AA3141"/>
    <w:rsid w:val="00AA417D"/>
    <w:rsid w:val="00AA6E1F"/>
    <w:rsid w:val="00AA7FC6"/>
    <w:rsid w:val="00AB2005"/>
    <w:rsid w:val="00AB4981"/>
    <w:rsid w:val="00AB64B6"/>
    <w:rsid w:val="00AB7613"/>
    <w:rsid w:val="00AB7782"/>
    <w:rsid w:val="00AB7CCC"/>
    <w:rsid w:val="00AC055E"/>
    <w:rsid w:val="00AC1BF4"/>
    <w:rsid w:val="00AC3C16"/>
    <w:rsid w:val="00AC4311"/>
    <w:rsid w:val="00AC4552"/>
    <w:rsid w:val="00AC478A"/>
    <w:rsid w:val="00AD2C26"/>
    <w:rsid w:val="00AD5987"/>
    <w:rsid w:val="00AD6183"/>
    <w:rsid w:val="00AD7897"/>
    <w:rsid w:val="00AE0226"/>
    <w:rsid w:val="00AE5764"/>
    <w:rsid w:val="00AE74FB"/>
    <w:rsid w:val="00AE768B"/>
    <w:rsid w:val="00AF0465"/>
    <w:rsid w:val="00AF2600"/>
    <w:rsid w:val="00AF7FB0"/>
    <w:rsid w:val="00B02098"/>
    <w:rsid w:val="00B03A09"/>
    <w:rsid w:val="00B04C80"/>
    <w:rsid w:val="00B04CEE"/>
    <w:rsid w:val="00B05D9A"/>
    <w:rsid w:val="00B063B9"/>
    <w:rsid w:val="00B10609"/>
    <w:rsid w:val="00B10E86"/>
    <w:rsid w:val="00B1122F"/>
    <w:rsid w:val="00B1212F"/>
    <w:rsid w:val="00B12B60"/>
    <w:rsid w:val="00B132F9"/>
    <w:rsid w:val="00B13D3F"/>
    <w:rsid w:val="00B14637"/>
    <w:rsid w:val="00B159AB"/>
    <w:rsid w:val="00B210BB"/>
    <w:rsid w:val="00B2524A"/>
    <w:rsid w:val="00B2623D"/>
    <w:rsid w:val="00B2716E"/>
    <w:rsid w:val="00B27D4A"/>
    <w:rsid w:val="00B300E9"/>
    <w:rsid w:val="00B30958"/>
    <w:rsid w:val="00B30DC1"/>
    <w:rsid w:val="00B3100E"/>
    <w:rsid w:val="00B32A3D"/>
    <w:rsid w:val="00B34CCF"/>
    <w:rsid w:val="00B350C3"/>
    <w:rsid w:val="00B36C72"/>
    <w:rsid w:val="00B37616"/>
    <w:rsid w:val="00B41EF1"/>
    <w:rsid w:val="00B43745"/>
    <w:rsid w:val="00B450E9"/>
    <w:rsid w:val="00B506B9"/>
    <w:rsid w:val="00B5154A"/>
    <w:rsid w:val="00B53948"/>
    <w:rsid w:val="00B53ED5"/>
    <w:rsid w:val="00B55084"/>
    <w:rsid w:val="00B55A74"/>
    <w:rsid w:val="00B55EE4"/>
    <w:rsid w:val="00B571CC"/>
    <w:rsid w:val="00B57395"/>
    <w:rsid w:val="00B57467"/>
    <w:rsid w:val="00B603BA"/>
    <w:rsid w:val="00B63061"/>
    <w:rsid w:val="00B653A2"/>
    <w:rsid w:val="00B659A8"/>
    <w:rsid w:val="00B674E8"/>
    <w:rsid w:val="00B711DB"/>
    <w:rsid w:val="00B71708"/>
    <w:rsid w:val="00B72EA7"/>
    <w:rsid w:val="00B73DAD"/>
    <w:rsid w:val="00B76B78"/>
    <w:rsid w:val="00B76CC5"/>
    <w:rsid w:val="00B82EA0"/>
    <w:rsid w:val="00B83AE4"/>
    <w:rsid w:val="00B85B2B"/>
    <w:rsid w:val="00B86B52"/>
    <w:rsid w:val="00B90B5E"/>
    <w:rsid w:val="00B9173A"/>
    <w:rsid w:val="00B94773"/>
    <w:rsid w:val="00B95B8B"/>
    <w:rsid w:val="00B95E24"/>
    <w:rsid w:val="00B973B7"/>
    <w:rsid w:val="00B97A0F"/>
    <w:rsid w:val="00BA100C"/>
    <w:rsid w:val="00BA2DD1"/>
    <w:rsid w:val="00BA2FF6"/>
    <w:rsid w:val="00BA3E54"/>
    <w:rsid w:val="00BA504E"/>
    <w:rsid w:val="00BB2467"/>
    <w:rsid w:val="00BB2A60"/>
    <w:rsid w:val="00BB3297"/>
    <w:rsid w:val="00BB6343"/>
    <w:rsid w:val="00BB6AFC"/>
    <w:rsid w:val="00BC08ED"/>
    <w:rsid w:val="00BC0E7E"/>
    <w:rsid w:val="00BC153C"/>
    <w:rsid w:val="00BC1576"/>
    <w:rsid w:val="00BC39EE"/>
    <w:rsid w:val="00BC47D6"/>
    <w:rsid w:val="00BC61F5"/>
    <w:rsid w:val="00BD03D9"/>
    <w:rsid w:val="00BD1069"/>
    <w:rsid w:val="00BD12E2"/>
    <w:rsid w:val="00BD2646"/>
    <w:rsid w:val="00BD2FB2"/>
    <w:rsid w:val="00BD4029"/>
    <w:rsid w:val="00BD432B"/>
    <w:rsid w:val="00BD5C19"/>
    <w:rsid w:val="00BD6010"/>
    <w:rsid w:val="00BE1ABE"/>
    <w:rsid w:val="00BE680B"/>
    <w:rsid w:val="00BE70BA"/>
    <w:rsid w:val="00BE7889"/>
    <w:rsid w:val="00BF0BDB"/>
    <w:rsid w:val="00BF1584"/>
    <w:rsid w:val="00BF17B6"/>
    <w:rsid w:val="00BF3492"/>
    <w:rsid w:val="00BF36EC"/>
    <w:rsid w:val="00BF3ED1"/>
    <w:rsid w:val="00BF6774"/>
    <w:rsid w:val="00BF763C"/>
    <w:rsid w:val="00BF7907"/>
    <w:rsid w:val="00C006FC"/>
    <w:rsid w:val="00C00FB6"/>
    <w:rsid w:val="00C0128A"/>
    <w:rsid w:val="00C01F32"/>
    <w:rsid w:val="00C02A9B"/>
    <w:rsid w:val="00C02B73"/>
    <w:rsid w:val="00C04D09"/>
    <w:rsid w:val="00C0632E"/>
    <w:rsid w:val="00C175CC"/>
    <w:rsid w:val="00C2032F"/>
    <w:rsid w:val="00C20C28"/>
    <w:rsid w:val="00C20F0F"/>
    <w:rsid w:val="00C21BC7"/>
    <w:rsid w:val="00C22231"/>
    <w:rsid w:val="00C22D54"/>
    <w:rsid w:val="00C266A7"/>
    <w:rsid w:val="00C30DB5"/>
    <w:rsid w:val="00C30F1E"/>
    <w:rsid w:val="00C317C4"/>
    <w:rsid w:val="00C32383"/>
    <w:rsid w:val="00C3250B"/>
    <w:rsid w:val="00C35130"/>
    <w:rsid w:val="00C35FD6"/>
    <w:rsid w:val="00C36260"/>
    <w:rsid w:val="00C36F1D"/>
    <w:rsid w:val="00C37D97"/>
    <w:rsid w:val="00C37FC5"/>
    <w:rsid w:val="00C40B1D"/>
    <w:rsid w:val="00C417DC"/>
    <w:rsid w:val="00C422BC"/>
    <w:rsid w:val="00C42A05"/>
    <w:rsid w:val="00C43DB1"/>
    <w:rsid w:val="00C4646A"/>
    <w:rsid w:val="00C47628"/>
    <w:rsid w:val="00C478DD"/>
    <w:rsid w:val="00C50DBF"/>
    <w:rsid w:val="00C563CF"/>
    <w:rsid w:val="00C56AE1"/>
    <w:rsid w:val="00C576F2"/>
    <w:rsid w:val="00C626DD"/>
    <w:rsid w:val="00C63562"/>
    <w:rsid w:val="00C63E58"/>
    <w:rsid w:val="00C6617E"/>
    <w:rsid w:val="00C66EF4"/>
    <w:rsid w:val="00C70FAC"/>
    <w:rsid w:val="00C7187F"/>
    <w:rsid w:val="00C73733"/>
    <w:rsid w:val="00C742E7"/>
    <w:rsid w:val="00C80BFC"/>
    <w:rsid w:val="00C816AC"/>
    <w:rsid w:val="00C824FD"/>
    <w:rsid w:val="00C83450"/>
    <w:rsid w:val="00C85404"/>
    <w:rsid w:val="00C867FC"/>
    <w:rsid w:val="00C86F21"/>
    <w:rsid w:val="00C9076F"/>
    <w:rsid w:val="00C90A24"/>
    <w:rsid w:val="00C916C3"/>
    <w:rsid w:val="00C91EC2"/>
    <w:rsid w:val="00C9289F"/>
    <w:rsid w:val="00C93D77"/>
    <w:rsid w:val="00C9607D"/>
    <w:rsid w:val="00C960B6"/>
    <w:rsid w:val="00C970BA"/>
    <w:rsid w:val="00CA093E"/>
    <w:rsid w:val="00CA0E5B"/>
    <w:rsid w:val="00CA1C20"/>
    <w:rsid w:val="00CA1DF4"/>
    <w:rsid w:val="00CA2F25"/>
    <w:rsid w:val="00CA5A5B"/>
    <w:rsid w:val="00CA62B3"/>
    <w:rsid w:val="00CB3B52"/>
    <w:rsid w:val="00CB5A89"/>
    <w:rsid w:val="00CB60DF"/>
    <w:rsid w:val="00CB690F"/>
    <w:rsid w:val="00CB7881"/>
    <w:rsid w:val="00CB7EFD"/>
    <w:rsid w:val="00CC105D"/>
    <w:rsid w:val="00CC2DB1"/>
    <w:rsid w:val="00CC3F64"/>
    <w:rsid w:val="00CC45CE"/>
    <w:rsid w:val="00CC503B"/>
    <w:rsid w:val="00CC6B45"/>
    <w:rsid w:val="00CC6D66"/>
    <w:rsid w:val="00CC7AFB"/>
    <w:rsid w:val="00CC7D26"/>
    <w:rsid w:val="00CD0D78"/>
    <w:rsid w:val="00CD1846"/>
    <w:rsid w:val="00CD228E"/>
    <w:rsid w:val="00CD66AC"/>
    <w:rsid w:val="00CD6F93"/>
    <w:rsid w:val="00CD719E"/>
    <w:rsid w:val="00CD7EC8"/>
    <w:rsid w:val="00CE042B"/>
    <w:rsid w:val="00CE3CD4"/>
    <w:rsid w:val="00CE3FBA"/>
    <w:rsid w:val="00CE6C1E"/>
    <w:rsid w:val="00CE7026"/>
    <w:rsid w:val="00CF017A"/>
    <w:rsid w:val="00CF039C"/>
    <w:rsid w:val="00CF0C96"/>
    <w:rsid w:val="00CF0D61"/>
    <w:rsid w:val="00CF23C8"/>
    <w:rsid w:val="00CF2A7A"/>
    <w:rsid w:val="00CF42A3"/>
    <w:rsid w:val="00CF478F"/>
    <w:rsid w:val="00CF5C26"/>
    <w:rsid w:val="00CF60BE"/>
    <w:rsid w:val="00D02DE3"/>
    <w:rsid w:val="00D02F61"/>
    <w:rsid w:val="00D03A70"/>
    <w:rsid w:val="00D0492A"/>
    <w:rsid w:val="00D04B2E"/>
    <w:rsid w:val="00D04D09"/>
    <w:rsid w:val="00D05041"/>
    <w:rsid w:val="00D05D87"/>
    <w:rsid w:val="00D06447"/>
    <w:rsid w:val="00D07907"/>
    <w:rsid w:val="00D07C48"/>
    <w:rsid w:val="00D10ADF"/>
    <w:rsid w:val="00D113DE"/>
    <w:rsid w:val="00D148BB"/>
    <w:rsid w:val="00D163CA"/>
    <w:rsid w:val="00D229E9"/>
    <w:rsid w:val="00D236C9"/>
    <w:rsid w:val="00D243E3"/>
    <w:rsid w:val="00D25297"/>
    <w:rsid w:val="00D253AC"/>
    <w:rsid w:val="00D2750F"/>
    <w:rsid w:val="00D3145F"/>
    <w:rsid w:val="00D321C9"/>
    <w:rsid w:val="00D36283"/>
    <w:rsid w:val="00D37742"/>
    <w:rsid w:val="00D43AF4"/>
    <w:rsid w:val="00D4489D"/>
    <w:rsid w:val="00D45FFB"/>
    <w:rsid w:val="00D4679A"/>
    <w:rsid w:val="00D510A2"/>
    <w:rsid w:val="00D51DAB"/>
    <w:rsid w:val="00D55D20"/>
    <w:rsid w:val="00D57748"/>
    <w:rsid w:val="00D60737"/>
    <w:rsid w:val="00D6358B"/>
    <w:rsid w:val="00D63816"/>
    <w:rsid w:val="00D65DFB"/>
    <w:rsid w:val="00D676FB"/>
    <w:rsid w:val="00D67E07"/>
    <w:rsid w:val="00D70451"/>
    <w:rsid w:val="00D71E05"/>
    <w:rsid w:val="00D73528"/>
    <w:rsid w:val="00D73BD4"/>
    <w:rsid w:val="00D75AE4"/>
    <w:rsid w:val="00D76144"/>
    <w:rsid w:val="00D81535"/>
    <w:rsid w:val="00D833C9"/>
    <w:rsid w:val="00D83FDE"/>
    <w:rsid w:val="00D90911"/>
    <w:rsid w:val="00D923A3"/>
    <w:rsid w:val="00D9272C"/>
    <w:rsid w:val="00D93DC9"/>
    <w:rsid w:val="00D9633D"/>
    <w:rsid w:val="00D96BC7"/>
    <w:rsid w:val="00D9787E"/>
    <w:rsid w:val="00DA1663"/>
    <w:rsid w:val="00DA2694"/>
    <w:rsid w:val="00DA666A"/>
    <w:rsid w:val="00DA6DCC"/>
    <w:rsid w:val="00DB08C2"/>
    <w:rsid w:val="00DB1F10"/>
    <w:rsid w:val="00DB2119"/>
    <w:rsid w:val="00DB26FF"/>
    <w:rsid w:val="00DB31F6"/>
    <w:rsid w:val="00DB42AC"/>
    <w:rsid w:val="00DB5397"/>
    <w:rsid w:val="00DB6FD5"/>
    <w:rsid w:val="00DC23E4"/>
    <w:rsid w:val="00DC2C58"/>
    <w:rsid w:val="00DC348E"/>
    <w:rsid w:val="00DC45D8"/>
    <w:rsid w:val="00DC533C"/>
    <w:rsid w:val="00DC5A96"/>
    <w:rsid w:val="00DC7399"/>
    <w:rsid w:val="00DD1E7A"/>
    <w:rsid w:val="00DD3FFF"/>
    <w:rsid w:val="00DD5236"/>
    <w:rsid w:val="00DD5444"/>
    <w:rsid w:val="00DD575C"/>
    <w:rsid w:val="00DD5886"/>
    <w:rsid w:val="00DD6DEC"/>
    <w:rsid w:val="00DD7ABB"/>
    <w:rsid w:val="00DE182B"/>
    <w:rsid w:val="00DE1E5C"/>
    <w:rsid w:val="00DE2EF7"/>
    <w:rsid w:val="00DE38A2"/>
    <w:rsid w:val="00DE3E9E"/>
    <w:rsid w:val="00DE6F3B"/>
    <w:rsid w:val="00DE79FD"/>
    <w:rsid w:val="00DF0CF8"/>
    <w:rsid w:val="00DF1EC4"/>
    <w:rsid w:val="00DF24A3"/>
    <w:rsid w:val="00DF4D0E"/>
    <w:rsid w:val="00DF627A"/>
    <w:rsid w:val="00E02C61"/>
    <w:rsid w:val="00E039E5"/>
    <w:rsid w:val="00E03BC1"/>
    <w:rsid w:val="00E043ED"/>
    <w:rsid w:val="00E04F60"/>
    <w:rsid w:val="00E074D9"/>
    <w:rsid w:val="00E076A3"/>
    <w:rsid w:val="00E10A54"/>
    <w:rsid w:val="00E126A7"/>
    <w:rsid w:val="00E13609"/>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0DD"/>
    <w:rsid w:val="00E377F6"/>
    <w:rsid w:val="00E40632"/>
    <w:rsid w:val="00E44101"/>
    <w:rsid w:val="00E4519A"/>
    <w:rsid w:val="00E46141"/>
    <w:rsid w:val="00E52E47"/>
    <w:rsid w:val="00E53127"/>
    <w:rsid w:val="00E53D45"/>
    <w:rsid w:val="00E55B33"/>
    <w:rsid w:val="00E56E0A"/>
    <w:rsid w:val="00E6181C"/>
    <w:rsid w:val="00E621B0"/>
    <w:rsid w:val="00E62A0F"/>
    <w:rsid w:val="00E67764"/>
    <w:rsid w:val="00E70954"/>
    <w:rsid w:val="00E72AA0"/>
    <w:rsid w:val="00E73167"/>
    <w:rsid w:val="00E73731"/>
    <w:rsid w:val="00E73D72"/>
    <w:rsid w:val="00E763FD"/>
    <w:rsid w:val="00E80169"/>
    <w:rsid w:val="00E80F3F"/>
    <w:rsid w:val="00E817F5"/>
    <w:rsid w:val="00E8238A"/>
    <w:rsid w:val="00E82E30"/>
    <w:rsid w:val="00E83CBB"/>
    <w:rsid w:val="00E84F93"/>
    <w:rsid w:val="00E851A4"/>
    <w:rsid w:val="00E852A0"/>
    <w:rsid w:val="00E8743E"/>
    <w:rsid w:val="00E905BA"/>
    <w:rsid w:val="00E91A96"/>
    <w:rsid w:val="00E93C4E"/>
    <w:rsid w:val="00E9422A"/>
    <w:rsid w:val="00E97237"/>
    <w:rsid w:val="00EA1447"/>
    <w:rsid w:val="00EA1C11"/>
    <w:rsid w:val="00EA2F4E"/>
    <w:rsid w:val="00EA340A"/>
    <w:rsid w:val="00EA555A"/>
    <w:rsid w:val="00EA5D44"/>
    <w:rsid w:val="00EA65AF"/>
    <w:rsid w:val="00EA6BA6"/>
    <w:rsid w:val="00EA6BDF"/>
    <w:rsid w:val="00EA6D34"/>
    <w:rsid w:val="00EB0F19"/>
    <w:rsid w:val="00EB1820"/>
    <w:rsid w:val="00EB1C5A"/>
    <w:rsid w:val="00EB3E64"/>
    <w:rsid w:val="00EB5E35"/>
    <w:rsid w:val="00EB66F5"/>
    <w:rsid w:val="00EB6ED1"/>
    <w:rsid w:val="00EC1217"/>
    <w:rsid w:val="00EC27AB"/>
    <w:rsid w:val="00EC374D"/>
    <w:rsid w:val="00EC4488"/>
    <w:rsid w:val="00EC508D"/>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4FBB"/>
    <w:rsid w:val="00EE55ED"/>
    <w:rsid w:val="00EE5A61"/>
    <w:rsid w:val="00EE5D00"/>
    <w:rsid w:val="00EF10FA"/>
    <w:rsid w:val="00EF18A2"/>
    <w:rsid w:val="00EF2232"/>
    <w:rsid w:val="00EF3D91"/>
    <w:rsid w:val="00EF4CD3"/>
    <w:rsid w:val="00F02D24"/>
    <w:rsid w:val="00F038DC"/>
    <w:rsid w:val="00F03C3D"/>
    <w:rsid w:val="00F03D1C"/>
    <w:rsid w:val="00F041B5"/>
    <w:rsid w:val="00F04EBF"/>
    <w:rsid w:val="00F05B16"/>
    <w:rsid w:val="00F06C2F"/>
    <w:rsid w:val="00F07274"/>
    <w:rsid w:val="00F119D5"/>
    <w:rsid w:val="00F12B22"/>
    <w:rsid w:val="00F12F91"/>
    <w:rsid w:val="00F179B4"/>
    <w:rsid w:val="00F20840"/>
    <w:rsid w:val="00F20FEC"/>
    <w:rsid w:val="00F21C4C"/>
    <w:rsid w:val="00F2218D"/>
    <w:rsid w:val="00F23F27"/>
    <w:rsid w:val="00F26A17"/>
    <w:rsid w:val="00F26EF5"/>
    <w:rsid w:val="00F26F0F"/>
    <w:rsid w:val="00F30C03"/>
    <w:rsid w:val="00F35050"/>
    <w:rsid w:val="00F363D9"/>
    <w:rsid w:val="00F36BF9"/>
    <w:rsid w:val="00F40137"/>
    <w:rsid w:val="00F4387B"/>
    <w:rsid w:val="00F44BF5"/>
    <w:rsid w:val="00F47AFE"/>
    <w:rsid w:val="00F51374"/>
    <w:rsid w:val="00F51702"/>
    <w:rsid w:val="00F52A7B"/>
    <w:rsid w:val="00F54B26"/>
    <w:rsid w:val="00F57E5E"/>
    <w:rsid w:val="00F60B32"/>
    <w:rsid w:val="00F639F8"/>
    <w:rsid w:val="00F64583"/>
    <w:rsid w:val="00F64DC4"/>
    <w:rsid w:val="00F66211"/>
    <w:rsid w:val="00F672A9"/>
    <w:rsid w:val="00F67D07"/>
    <w:rsid w:val="00F700B6"/>
    <w:rsid w:val="00F70FC2"/>
    <w:rsid w:val="00F7113E"/>
    <w:rsid w:val="00F71A0E"/>
    <w:rsid w:val="00F73F78"/>
    <w:rsid w:val="00F746EE"/>
    <w:rsid w:val="00F74CBB"/>
    <w:rsid w:val="00F74EBF"/>
    <w:rsid w:val="00F7613C"/>
    <w:rsid w:val="00F76E12"/>
    <w:rsid w:val="00F774AF"/>
    <w:rsid w:val="00F80C29"/>
    <w:rsid w:val="00F8128F"/>
    <w:rsid w:val="00F81EA6"/>
    <w:rsid w:val="00F86315"/>
    <w:rsid w:val="00F867D0"/>
    <w:rsid w:val="00F86F85"/>
    <w:rsid w:val="00F87625"/>
    <w:rsid w:val="00F912B0"/>
    <w:rsid w:val="00F91F59"/>
    <w:rsid w:val="00F9217E"/>
    <w:rsid w:val="00F92496"/>
    <w:rsid w:val="00F92E52"/>
    <w:rsid w:val="00F939A3"/>
    <w:rsid w:val="00F94A67"/>
    <w:rsid w:val="00F95703"/>
    <w:rsid w:val="00F95AF3"/>
    <w:rsid w:val="00F969BF"/>
    <w:rsid w:val="00F96CC0"/>
    <w:rsid w:val="00FA00A8"/>
    <w:rsid w:val="00FA2D4D"/>
    <w:rsid w:val="00FA3756"/>
    <w:rsid w:val="00FA4422"/>
    <w:rsid w:val="00FA57B1"/>
    <w:rsid w:val="00FA5833"/>
    <w:rsid w:val="00FA66F4"/>
    <w:rsid w:val="00FA6EF3"/>
    <w:rsid w:val="00FB2266"/>
    <w:rsid w:val="00FB2B74"/>
    <w:rsid w:val="00FB2FDA"/>
    <w:rsid w:val="00FB325B"/>
    <w:rsid w:val="00FC02F2"/>
    <w:rsid w:val="00FC0602"/>
    <w:rsid w:val="00FC261E"/>
    <w:rsid w:val="00FC2FE0"/>
    <w:rsid w:val="00FC36F8"/>
    <w:rsid w:val="00FC61A9"/>
    <w:rsid w:val="00FC6930"/>
    <w:rsid w:val="00FC7378"/>
    <w:rsid w:val="00FC7502"/>
    <w:rsid w:val="00FD0327"/>
    <w:rsid w:val="00FD061B"/>
    <w:rsid w:val="00FD1F4D"/>
    <w:rsid w:val="00FE0F60"/>
    <w:rsid w:val="00FE1813"/>
    <w:rsid w:val="00FE28C4"/>
    <w:rsid w:val="00FE2DC3"/>
    <w:rsid w:val="00FE48E6"/>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5CDC53E-2292-465E-827A-2F3FCBD1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26"/>
    <w:pPr>
      <w:jc w:val="both"/>
    </w:pPr>
  </w:style>
  <w:style w:type="paragraph" w:styleId="Heading1">
    <w:name w:val="heading 1"/>
    <w:basedOn w:val="Normal"/>
    <w:next w:val="Normal"/>
    <w:link w:val="Heading1Char"/>
    <w:qFormat/>
    <w:rsid w:val="006B573F"/>
    <w:pPr>
      <w:jc w:val="left"/>
      <w:outlineLvl w:val="0"/>
    </w:pPr>
    <w:rPr>
      <w:b/>
      <w:sz w:val="28"/>
      <w:szCs w:val="28"/>
    </w:rPr>
  </w:style>
  <w:style w:type="paragraph" w:styleId="Heading2">
    <w:name w:val="heading 2"/>
    <w:basedOn w:val="Normal"/>
    <w:next w:val="Normal"/>
    <w:link w:val="Heading2Char"/>
    <w:qFormat/>
    <w:rsid w:val="006B573F"/>
    <w:pPr>
      <w:jc w:val="left"/>
      <w:outlineLvl w:val="1"/>
    </w:pPr>
    <w:rPr>
      <w:b/>
    </w:rPr>
  </w:style>
  <w:style w:type="paragraph" w:styleId="Heading3">
    <w:name w:val="heading 3"/>
    <w:basedOn w:val="Normal"/>
    <w:next w:val="Normal"/>
    <w:link w:val="Heading3Char"/>
    <w:qFormat/>
    <w:rsid w:val="006B573F"/>
    <w:pPr>
      <w:jc w:val="lef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basedOn w:val="Normal"/>
    <w:next w:val="Normal"/>
    <w:link w:val="Heading5Char"/>
    <w:qFormat/>
    <w:pPr>
      <w:keepNext/>
      <w:ind w:left="567"/>
      <w:outlineLvl w:val="4"/>
    </w:pPr>
    <w:rPr>
      <w:smallCaps/>
      <w:sz w:val="22"/>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z w:val="28"/>
    </w:rPr>
  </w:style>
  <w:style w:type="paragraph" w:styleId="Heading8">
    <w:name w:val="heading 8"/>
    <w:aliases w:val="Table heading"/>
    <w:basedOn w:val="Normal"/>
    <w:next w:val="Normal"/>
    <w:link w:val="Heading8Char"/>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73F"/>
    <w:rPr>
      <w:b/>
      <w:sz w:val="28"/>
      <w:szCs w:val="28"/>
    </w:rPr>
  </w:style>
  <w:style w:type="character" w:customStyle="1" w:styleId="Heading2Char">
    <w:name w:val="Heading 2 Char"/>
    <w:basedOn w:val="DefaultParagraphFont"/>
    <w:link w:val="Heading2"/>
    <w:rsid w:val="006B573F"/>
    <w:rPr>
      <w:b/>
    </w:rPr>
  </w:style>
  <w:style w:type="character" w:customStyle="1" w:styleId="Heading3Char">
    <w:name w:val="Heading 3 Char"/>
    <w:basedOn w:val="DefaultParagraphFont"/>
    <w:link w:val="Heading3"/>
    <w:rsid w:val="006B573F"/>
    <w:rPr>
      <w:b/>
      <w:i/>
    </w:rPr>
  </w:style>
  <w:style w:type="character" w:customStyle="1" w:styleId="Title-Documenttype">
    <w:name w:val="Title - Document type"/>
    <w:basedOn w:val="Emphasis"/>
    <w:rsid w:val="00457806"/>
    <w:rPr>
      <w:i/>
      <w:iCs/>
      <w:sz w:val="28"/>
    </w:rPr>
  </w:style>
  <w:style w:type="character" w:styleId="PageNumber">
    <w:name w:val="page number"/>
    <w:basedOn w:val="DefaultParagraphFont"/>
    <w:rsid w:val="00A62E26"/>
    <w:rPr>
      <w:rFonts w:ascii="Times New Roman" w:hAnsi="Times New Roman"/>
      <w:sz w:val="22"/>
    </w:rPr>
  </w:style>
  <w:style w:type="paragraph" w:styleId="Header">
    <w:name w:val="header"/>
    <w:basedOn w:val="Normal"/>
    <w:link w:val="HeaderChar"/>
    <w:unhideWhenUsed/>
    <w:rsid w:val="00A65B11"/>
    <w:pPr>
      <w:tabs>
        <w:tab w:val="center" w:pos="4513"/>
        <w:tab w:val="right" w:pos="9026"/>
      </w:tabs>
    </w:pPr>
  </w:style>
  <w:style w:type="character" w:styleId="FootnoteReference">
    <w:name w:val="footnote reference"/>
    <w:basedOn w:val="DefaultParagraphFont"/>
    <w:rPr>
      <w:rFonts w:ascii="Times New Roman" w:hAnsi="Times New Roman"/>
      <w:vertAlign w:val="superscript"/>
    </w:rPr>
  </w:style>
  <w:style w:type="paragraph" w:styleId="TOC1">
    <w:name w:val="toc 1"/>
    <w:basedOn w:val="Normal"/>
    <w:next w:val="Normal"/>
    <w:autoRedefine/>
    <w:uiPriority w:val="39"/>
    <w:rsid w:val="00432EB6"/>
    <w:pPr>
      <w:tabs>
        <w:tab w:val="right" w:pos="8789"/>
      </w:tabs>
      <w:spacing w:before="120" w:after="120"/>
    </w:pPr>
    <w:rPr>
      <w:noProof/>
    </w:rPr>
  </w:style>
  <w:style w:type="paragraph" w:styleId="TOC2">
    <w:name w:val="toc 2"/>
    <w:basedOn w:val="Normal"/>
    <w:next w:val="Normal"/>
    <w:autoRedefine/>
    <w:uiPriority w:val="39"/>
    <w:rsid w:val="00432EB6"/>
    <w:pPr>
      <w:tabs>
        <w:tab w:val="right" w:pos="8789"/>
      </w:tabs>
      <w:spacing w:before="80" w:after="80"/>
      <w:ind w:left="567"/>
      <w:jc w:val="left"/>
    </w:pPr>
    <w:rPr>
      <w:noProof/>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link w:val="DocumentMapChar"/>
    <w:semiHidden/>
    <w:pPr>
      <w:shd w:val="clear" w:color="auto" w:fill="000080"/>
    </w:pPr>
    <w:rPr>
      <w:rFonts w:ascii="Tahoma" w:hAnsi="Tahoma"/>
    </w:rPr>
  </w:style>
  <w:style w:type="paragraph" w:customStyle="1" w:styleId="Exampleheading">
    <w:name w:val="Example heading"/>
    <w:basedOn w:val="Exampletext"/>
    <w:next w:val="Exampletext"/>
    <w:link w:val="ExampleheadingChar"/>
    <w:uiPriority w:val="3"/>
    <w:qFormat/>
    <w:rsid w:val="001F01D1"/>
    <w:rPr>
      <w:b/>
    </w:rPr>
  </w:style>
  <w:style w:type="paragraph" w:customStyle="1" w:styleId="Exampletext">
    <w:name w:val="Example text"/>
    <w:basedOn w:val="Normal"/>
    <w:next w:val="Normal"/>
    <w:uiPriority w:val="3"/>
    <w:qFormat/>
    <w:rsid w:val="0038137A"/>
    <w:pPr>
      <w:pBdr>
        <w:top w:val="single" w:sz="4" w:space="10" w:color="auto"/>
        <w:left w:val="single" w:sz="4" w:space="10" w:color="auto"/>
        <w:bottom w:val="single" w:sz="4" w:space="10" w:color="auto"/>
        <w:right w:val="single" w:sz="4" w:space="10" w:color="auto"/>
      </w:pBdr>
      <w:ind w:left="284" w:right="139"/>
    </w:pPr>
    <w:rPr>
      <w:sz w:val="20"/>
    </w:rPr>
  </w:style>
  <w:style w:type="character" w:customStyle="1" w:styleId="ExampleheadingChar">
    <w:name w:val="Example heading Char"/>
    <w:basedOn w:val="DefaultParagraphFont"/>
    <w:link w:val="Exampleheading"/>
    <w:uiPriority w:val="3"/>
    <w:rsid w:val="001F01D1"/>
    <w:rPr>
      <w:b/>
      <w:sz w:val="20"/>
    </w:rPr>
  </w:style>
  <w:style w:type="paragraph" w:styleId="BalloonText">
    <w:name w:val="Balloon Text"/>
    <w:basedOn w:val="Normal"/>
    <w:link w:val="BalloonTextChar"/>
    <w:uiPriority w:val="99"/>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link w:val="CommentTextChar"/>
    <w:semiHidden/>
    <w:rsid w:val="00297BF3"/>
    <w:rPr>
      <w:sz w:val="20"/>
    </w:rPr>
  </w:style>
  <w:style w:type="paragraph" w:styleId="CommentSubject">
    <w:name w:val="annotation subject"/>
    <w:basedOn w:val="CommentText"/>
    <w:next w:val="CommentText"/>
    <w:link w:val="CommentSubjectChar"/>
    <w:uiPriority w:val="99"/>
    <w:semiHidden/>
    <w:rsid w:val="00297BF3"/>
    <w:rPr>
      <w:b/>
      <w:bCs/>
    </w:rPr>
  </w:style>
  <w:style w:type="paragraph" w:styleId="TOCHeading">
    <w:name w:val="TOC Heading"/>
    <w:basedOn w:val="Heading1"/>
    <w:next w:val="Normal"/>
    <w:uiPriority w:val="39"/>
    <w:unhideWhenUsed/>
    <w:qFormat/>
    <w:rsid w:val="00432EB6"/>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HeaderChar">
    <w:name w:val="Header Char"/>
    <w:basedOn w:val="DefaultParagraphFont"/>
    <w:link w:val="Header"/>
    <w:rsid w:val="00A65B11"/>
  </w:style>
  <w:style w:type="paragraph" w:styleId="NormalWeb">
    <w:name w:val="Normal (Web)"/>
    <w:basedOn w:val="Normal"/>
    <w:uiPriority w:val="99"/>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2"/>
      </w:numPr>
      <w:spacing w:after="140"/>
      <w:ind w:left="567" w:hanging="567"/>
    </w:pPr>
    <w:rPr>
      <w:szCs w:val="20"/>
      <w:lang w:eastAsia="en-AU"/>
    </w:rPr>
  </w:style>
  <w:style w:type="paragraph" w:styleId="FootnoteText">
    <w:name w:val="footnote text"/>
    <w:basedOn w:val="Normal"/>
    <w:link w:val="FootnoteTextChar"/>
    <w:uiPriority w:val="99"/>
    <w:rsid w:val="000C5E76"/>
    <w:rPr>
      <w:sz w:val="20"/>
      <w:szCs w:val="20"/>
      <w:lang w:val="en-GB" w:eastAsia="en-AU"/>
    </w:rPr>
  </w:style>
  <w:style w:type="character" w:customStyle="1" w:styleId="FootnoteTextChar">
    <w:name w:val="Footnote Text Char"/>
    <w:basedOn w:val="DefaultParagraphFont"/>
    <w:link w:val="FootnoteText"/>
    <w:uiPriority w:val="99"/>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numbering" w:customStyle="1" w:styleId="NoList1">
    <w:name w:val="No List1"/>
    <w:next w:val="NoList"/>
    <w:uiPriority w:val="99"/>
    <w:semiHidden/>
    <w:unhideWhenUsed/>
    <w:rsid w:val="00925A3A"/>
  </w:style>
  <w:style w:type="character" w:customStyle="1" w:styleId="Heading4Char">
    <w:name w:val="Heading 4 Char"/>
    <w:basedOn w:val="DefaultParagraphFont"/>
    <w:link w:val="Heading4"/>
    <w:rsid w:val="00925A3A"/>
    <w:rPr>
      <w:i/>
    </w:rPr>
  </w:style>
  <w:style w:type="character" w:customStyle="1" w:styleId="Heading5Char">
    <w:name w:val="Heading 5 Char"/>
    <w:basedOn w:val="DefaultParagraphFont"/>
    <w:link w:val="Heading5"/>
    <w:rsid w:val="00925A3A"/>
    <w:rPr>
      <w:smallCaps/>
      <w:sz w:val="22"/>
    </w:rPr>
  </w:style>
  <w:style w:type="character" w:customStyle="1" w:styleId="Heading6Char">
    <w:name w:val="Heading 6 Char"/>
    <w:basedOn w:val="DefaultParagraphFont"/>
    <w:link w:val="Heading6"/>
    <w:rsid w:val="00925A3A"/>
    <w:rPr>
      <w:i/>
      <w:sz w:val="32"/>
    </w:rPr>
  </w:style>
  <w:style w:type="character" w:customStyle="1" w:styleId="Heading7Char">
    <w:name w:val="Heading 7 Char"/>
    <w:basedOn w:val="DefaultParagraphFont"/>
    <w:link w:val="Heading7"/>
    <w:rsid w:val="00925A3A"/>
    <w:rPr>
      <w:b/>
      <w:sz w:val="28"/>
    </w:rPr>
  </w:style>
  <w:style w:type="character" w:customStyle="1" w:styleId="Heading8Char">
    <w:name w:val="Heading 8 Char"/>
    <w:aliases w:val="Table heading Char"/>
    <w:basedOn w:val="DefaultParagraphFont"/>
    <w:link w:val="Heading8"/>
    <w:rsid w:val="00925A3A"/>
    <w:rPr>
      <w:sz w:val="28"/>
    </w:rPr>
  </w:style>
  <w:style w:type="character" w:customStyle="1" w:styleId="Heading9Char">
    <w:name w:val="Heading 9 Char"/>
    <w:basedOn w:val="DefaultParagraphFont"/>
    <w:link w:val="Heading9"/>
    <w:rsid w:val="00925A3A"/>
    <w:rPr>
      <w:b/>
      <w:snapToGrid w:val="0"/>
      <w:color w:val="000000"/>
      <w:sz w:val="22"/>
    </w:rPr>
  </w:style>
  <w:style w:type="character" w:customStyle="1" w:styleId="FooterChar">
    <w:name w:val="Footer Char"/>
    <w:basedOn w:val="DefaultParagraphFont"/>
    <w:link w:val="Footer"/>
    <w:uiPriority w:val="99"/>
    <w:rsid w:val="00925A3A"/>
    <w:rPr>
      <w:sz w:val="22"/>
      <w:lang w:val="en-GB" w:eastAsia="en-AU"/>
    </w:rPr>
  </w:style>
  <w:style w:type="paragraph" w:styleId="Footer">
    <w:name w:val="footer"/>
    <w:basedOn w:val="Normal"/>
    <w:link w:val="FooterChar"/>
    <w:uiPriority w:val="99"/>
    <w:rsid w:val="00925A3A"/>
    <w:pPr>
      <w:tabs>
        <w:tab w:val="center" w:pos="4153"/>
        <w:tab w:val="right" w:pos="8306"/>
      </w:tabs>
      <w:jc w:val="center"/>
    </w:pPr>
    <w:rPr>
      <w:sz w:val="22"/>
      <w:lang w:val="en-GB" w:eastAsia="en-AU"/>
    </w:rPr>
  </w:style>
  <w:style w:type="character" w:customStyle="1" w:styleId="FooterChar1">
    <w:name w:val="Footer Char1"/>
    <w:basedOn w:val="DefaultParagraphFont"/>
    <w:uiPriority w:val="99"/>
    <w:semiHidden/>
    <w:rsid w:val="00925A3A"/>
  </w:style>
  <w:style w:type="character" w:customStyle="1" w:styleId="DocumentMapChar">
    <w:name w:val="Document Map Char"/>
    <w:basedOn w:val="DefaultParagraphFont"/>
    <w:link w:val="DocumentMap"/>
    <w:semiHidden/>
    <w:rsid w:val="00925A3A"/>
    <w:rPr>
      <w:rFonts w:ascii="Tahoma" w:hAnsi="Tahoma"/>
      <w:shd w:val="clear" w:color="auto" w:fill="000080"/>
    </w:rPr>
  </w:style>
  <w:style w:type="character" w:customStyle="1" w:styleId="CommentTextChar">
    <w:name w:val="Comment Text Char"/>
    <w:basedOn w:val="DefaultParagraphFont"/>
    <w:link w:val="CommentText"/>
    <w:semiHidden/>
    <w:rsid w:val="00925A3A"/>
    <w:rPr>
      <w:sz w:val="20"/>
    </w:rPr>
  </w:style>
  <w:style w:type="paragraph" w:customStyle="1" w:styleId="Bullets2">
    <w:name w:val="Bullets2"/>
    <w:basedOn w:val="Normal"/>
    <w:qFormat/>
    <w:rsid w:val="00925A3A"/>
    <w:pPr>
      <w:numPr>
        <w:numId w:val="3"/>
      </w:numPr>
      <w:ind w:left="1134" w:hanging="567"/>
      <w:contextualSpacing/>
    </w:pPr>
    <w:rPr>
      <w:szCs w:val="20"/>
      <w:lang w:val="en-GB" w:eastAsia="en-AU"/>
    </w:rPr>
  </w:style>
  <w:style w:type="paragraph" w:customStyle="1" w:styleId="Bullets-Last">
    <w:name w:val="Bullets - Last"/>
    <w:basedOn w:val="Bullets"/>
    <w:next w:val="Normal"/>
    <w:rsid w:val="002E1F16"/>
    <w:pPr>
      <w:spacing w:after="0"/>
    </w:pPr>
  </w:style>
  <w:style w:type="paragraph" w:customStyle="1" w:styleId="Bullets2-Last">
    <w:name w:val="Bullets2 - Last"/>
    <w:basedOn w:val="Bullets2"/>
    <w:rsid w:val="002E1F16"/>
    <w:pPr>
      <w:spacing w:after="120"/>
    </w:pPr>
  </w:style>
  <w:style w:type="character" w:styleId="Strong">
    <w:name w:val="Strong"/>
    <w:basedOn w:val="DefaultParagraphFont"/>
    <w:uiPriority w:val="22"/>
    <w:qFormat/>
    <w:rsid w:val="00925A3A"/>
    <w:rPr>
      <w:b/>
      <w:bCs/>
    </w:rPr>
  </w:style>
  <w:style w:type="character" w:customStyle="1" w:styleId="BalloonTextChar">
    <w:name w:val="Balloon Text Char"/>
    <w:basedOn w:val="DefaultParagraphFont"/>
    <w:link w:val="BalloonText"/>
    <w:uiPriority w:val="99"/>
    <w:semiHidden/>
    <w:rsid w:val="00925A3A"/>
    <w:rPr>
      <w:rFonts w:ascii="Tahoma" w:hAnsi="Tahoma" w:cs="Tahoma"/>
      <w:sz w:val="16"/>
      <w:szCs w:val="16"/>
    </w:rPr>
  </w:style>
  <w:style w:type="table" w:customStyle="1" w:styleId="TableGrid1">
    <w:name w:val="Table Grid1"/>
    <w:basedOn w:val="TableNormal"/>
    <w:next w:val="TableGrid"/>
    <w:uiPriority w:val="59"/>
    <w:rsid w:val="00925A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925A3A"/>
    <w:rPr>
      <w:b/>
      <w:bCs/>
      <w:sz w:val="20"/>
    </w:rPr>
  </w:style>
  <w:style w:type="character" w:styleId="Hyperlink">
    <w:name w:val="Hyperlink"/>
    <w:basedOn w:val="DefaultParagraphFont"/>
    <w:uiPriority w:val="99"/>
    <w:unhideWhenUsed/>
    <w:rsid w:val="00925A3A"/>
    <w:rPr>
      <w:color w:val="0000FF" w:themeColor="hyperlink"/>
      <w:u w:val="single"/>
    </w:rPr>
  </w:style>
  <w:style w:type="paragraph" w:customStyle="1" w:styleId="Clause">
    <w:name w:val="Clause"/>
    <w:basedOn w:val="Normal"/>
    <w:next w:val="Normal"/>
    <w:qFormat/>
    <w:rsid w:val="00925A3A"/>
    <w:rPr>
      <w:b/>
      <w:i/>
      <w:szCs w:val="20"/>
      <w:lang w:val="en-GB" w:eastAsia="en-AU"/>
    </w:rPr>
  </w:style>
  <w:style w:type="character" w:styleId="FollowedHyperlink">
    <w:name w:val="FollowedHyperlink"/>
    <w:basedOn w:val="DefaultParagraphFont"/>
    <w:uiPriority w:val="99"/>
    <w:semiHidden/>
    <w:unhideWhenUsed/>
    <w:rsid w:val="00E44101"/>
    <w:rPr>
      <w:color w:val="800080" w:themeColor="followedHyperlink"/>
      <w:u w:val="single"/>
    </w:rPr>
  </w:style>
  <w:style w:type="character" w:styleId="Emphasis">
    <w:name w:val="Emphasis"/>
    <w:aliases w:val="Emphasis - Italic"/>
    <w:basedOn w:val="DefaultParagraphFont"/>
    <w:uiPriority w:val="20"/>
    <w:qFormat/>
    <w:rsid w:val="00E074D9"/>
    <w:rPr>
      <w:i/>
      <w:iCs/>
    </w:rPr>
  </w:style>
  <w:style w:type="paragraph" w:customStyle="1" w:styleId="Section">
    <w:name w:val="Section"/>
    <w:basedOn w:val="Normal"/>
    <w:next w:val="Normal"/>
    <w:qFormat/>
    <w:rsid w:val="00414D65"/>
    <w:rPr>
      <w:b/>
      <w:i/>
      <w:szCs w:val="20"/>
      <w:lang w:eastAsia="en-AU"/>
    </w:rPr>
  </w:style>
  <w:style w:type="paragraph" w:customStyle="1" w:styleId="Quote-Tax">
    <w:name w:val="Quote - Tax"/>
    <w:basedOn w:val="Normal"/>
    <w:qFormat/>
    <w:rsid w:val="00425B68"/>
    <w:pPr>
      <w:ind w:left="567" w:right="281"/>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34746">
      <w:bodyDiv w:val="1"/>
      <w:marLeft w:val="0"/>
      <w:marRight w:val="0"/>
      <w:marTop w:val="0"/>
      <w:marBottom w:val="0"/>
      <w:divBdr>
        <w:top w:val="none" w:sz="0" w:space="0" w:color="auto"/>
        <w:left w:val="none" w:sz="0" w:space="0" w:color="auto"/>
        <w:bottom w:val="none" w:sz="0" w:space="0" w:color="auto"/>
        <w:right w:val="none" w:sz="0" w:space="0" w:color="auto"/>
      </w:divBdr>
      <w:divsChild>
        <w:div w:id="230698856">
          <w:marLeft w:val="0"/>
          <w:marRight w:val="0"/>
          <w:marTop w:val="83"/>
          <w:marBottom w:val="0"/>
          <w:divBdr>
            <w:top w:val="none" w:sz="0" w:space="0" w:color="auto"/>
            <w:left w:val="none" w:sz="0" w:space="0" w:color="auto"/>
            <w:bottom w:val="none" w:sz="0" w:space="0" w:color="auto"/>
            <w:right w:val="none" w:sz="0" w:space="0" w:color="auto"/>
          </w:divBdr>
        </w:div>
        <w:div w:id="840581070">
          <w:marLeft w:val="0"/>
          <w:marRight w:val="0"/>
          <w:marTop w:val="83"/>
          <w:marBottom w:val="0"/>
          <w:divBdr>
            <w:top w:val="none" w:sz="0" w:space="0" w:color="auto"/>
            <w:left w:val="none" w:sz="0" w:space="0" w:color="auto"/>
            <w:bottom w:val="none" w:sz="0" w:space="0" w:color="auto"/>
            <w:right w:val="none" w:sz="0" w:space="0" w:color="auto"/>
          </w:divBdr>
        </w:div>
        <w:div w:id="1363286608">
          <w:marLeft w:val="0"/>
          <w:marRight w:val="0"/>
          <w:marTop w:val="83"/>
          <w:marBottom w:val="0"/>
          <w:divBdr>
            <w:top w:val="none" w:sz="0" w:space="0" w:color="auto"/>
            <w:left w:val="none" w:sz="0" w:space="0" w:color="auto"/>
            <w:bottom w:val="none" w:sz="0" w:space="0" w:color="auto"/>
            <w:right w:val="none" w:sz="0" w:space="0" w:color="auto"/>
          </w:divBdr>
        </w:div>
        <w:div w:id="1508208996">
          <w:marLeft w:val="0"/>
          <w:marRight w:val="0"/>
          <w:marTop w:val="83"/>
          <w:marBottom w:val="0"/>
          <w:divBdr>
            <w:top w:val="none" w:sz="0" w:space="0" w:color="auto"/>
            <w:left w:val="none" w:sz="0" w:space="0" w:color="auto"/>
            <w:bottom w:val="none" w:sz="0" w:space="0" w:color="auto"/>
            <w:right w:val="none" w:sz="0" w:space="0" w:color="auto"/>
          </w:divBdr>
        </w:div>
        <w:div w:id="1878545753">
          <w:marLeft w:val="0"/>
          <w:marRight w:val="0"/>
          <w:marTop w:val="83"/>
          <w:marBottom w:val="0"/>
          <w:divBdr>
            <w:top w:val="none" w:sz="0" w:space="0" w:color="auto"/>
            <w:left w:val="none" w:sz="0" w:space="0" w:color="auto"/>
            <w:bottom w:val="none" w:sz="0" w:space="0" w:color="auto"/>
            <w:right w:val="none" w:sz="0" w:space="0" w:color="auto"/>
          </w:divBdr>
        </w:div>
      </w:divsChild>
    </w:div>
    <w:div w:id="1009330619">
      <w:bodyDiv w:val="1"/>
      <w:marLeft w:val="0"/>
      <w:marRight w:val="0"/>
      <w:marTop w:val="0"/>
      <w:marBottom w:val="0"/>
      <w:divBdr>
        <w:top w:val="none" w:sz="0" w:space="0" w:color="auto"/>
        <w:left w:val="none" w:sz="0" w:space="0" w:color="auto"/>
        <w:bottom w:val="none" w:sz="0" w:space="0" w:color="auto"/>
        <w:right w:val="none" w:sz="0" w:space="0" w:color="auto"/>
      </w:divBdr>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 w:id="1845707162">
      <w:bodyDiv w:val="1"/>
      <w:marLeft w:val="0"/>
      <w:marRight w:val="0"/>
      <w:marTop w:val="0"/>
      <w:marBottom w:val="0"/>
      <w:divBdr>
        <w:top w:val="none" w:sz="0" w:space="0" w:color="auto"/>
        <w:left w:val="none" w:sz="0" w:space="0" w:color="auto"/>
        <w:bottom w:val="none" w:sz="0" w:space="0" w:color="auto"/>
        <w:right w:val="none" w:sz="0" w:space="0" w:color="auto"/>
      </w:divBdr>
    </w:div>
    <w:div w:id="21258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rd.govt.nz/international/business/transfer-pricing/transfer-pricing/practice/transfer-pricing-practice-documentation.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ird.govt.nz/international/business/transfer-pricing/" TargetMode="External"/><Relationship Id="rId4" Type="http://schemas.openxmlformats.org/officeDocument/2006/relationships/styles" Target="styles.xml"/><Relationship Id="rId9" Type="http://schemas.openxmlformats.org/officeDocument/2006/relationships/hyperlink" Target="http://www.oecd.org/tax/transfer-pricing/oecd-transfer-pricing-guidelines-for-multinational-enterprises-and-tax-administrations-20769717.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F501-603A-4910-AACD-AC0BFE42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6921</Words>
  <Characters>39453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Draft special report - BEPS - transfer pricing rules (August 2018)</vt:lpstr>
    </vt:vector>
  </TitlesOfParts>
  <Manager/>
  <Company>Inland Revenue</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report - BEPS - transfer pricing rules (August 2018)</dc:title>
  <dc:subject/>
  <dc:creator>Policy and Strategy</dc:creator>
  <dcterms:created xsi:type="dcterms:W3CDTF">2019-04-29T00:08:00Z</dcterms:created>
  <dcterms:modified xsi:type="dcterms:W3CDTF">2019-04-29T00:09:00Z</dcterms:modified>
</cp:coreProperties>
</file>