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05" w:rsidRPr="00A170F9" w:rsidRDefault="00076A05" w:rsidP="00076A05">
      <w:bookmarkStart w:id="0" w:name="_Toc500159935"/>
      <w:bookmarkStart w:id="1" w:name="_Hlt509367909"/>
      <w:bookmarkStart w:id="2" w:name="_GoBack"/>
      <w:bookmarkEnd w:id="2"/>
      <w:r>
        <w:t>August 2018</w:t>
      </w:r>
    </w:p>
    <w:p w:rsidR="00076A05" w:rsidRPr="00A170F9" w:rsidRDefault="00076A05" w:rsidP="00076A05">
      <w:pPr>
        <w:autoSpaceDE w:val="0"/>
        <w:autoSpaceDN w:val="0"/>
        <w:adjustRightInd w:val="0"/>
        <w:rPr>
          <w:iCs/>
          <w:sz w:val="28"/>
          <w:szCs w:val="28"/>
        </w:rPr>
      </w:pPr>
    </w:p>
    <w:p w:rsidR="00076A05" w:rsidRPr="00A170F9" w:rsidRDefault="00076A05" w:rsidP="00076A05">
      <w:pPr>
        <w:autoSpaceDE w:val="0"/>
        <w:autoSpaceDN w:val="0"/>
        <w:adjustRightInd w:val="0"/>
        <w:rPr>
          <w:i/>
          <w:iCs/>
          <w:sz w:val="28"/>
          <w:szCs w:val="28"/>
        </w:rPr>
      </w:pPr>
      <w:r w:rsidRPr="00A170F9">
        <w:rPr>
          <w:i/>
          <w:iCs/>
          <w:sz w:val="28"/>
          <w:szCs w:val="28"/>
        </w:rPr>
        <w:t>A special report from</w:t>
      </w:r>
    </w:p>
    <w:p w:rsidR="00076A05" w:rsidRPr="00A170F9" w:rsidRDefault="00076A05" w:rsidP="00076A05">
      <w:pPr>
        <w:rPr>
          <w:sz w:val="28"/>
          <w:szCs w:val="28"/>
        </w:rPr>
      </w:pPr>
      <w:r w:rsidRPr="00A170F9">
        <w:rPr>
          <w:sz w:val="28"/>
          <w:szCs w:val="28"/>
        </w:rPr>
        <w:t>Policy and Strategy, Inland Revenue</w:t>
      </w:r>
    </w:p>
    <w:p w:rsidR="00076A05" w:rsidRPr="00A170F9" w:rsidRDefault="00076A05" w:rsidP="00076A05">
      <w:pPr>
        <w:rPr>
          <w:sz w:val="28"/>
          <w:szCs w:val="28"/>
        </w:rPr>
      </w:pPr>
    </w:p>
    <w:p w:rsidR="00076A05" w:rsidRPr="00A170F9" w:rsidRDefault="00076A05" w:rsidP="00076A05">
      <w:pPr>
        <w:rPr>
          <w:sz w:val="28"/>
          <w:szCs w:val="28"/>
        </w:rPr>
      </w:pPr>
    </w:p>
    <w:p w:rsidR="00076A05" w:rsidRPr="00A170F9" w:rsidRDefault="00076A05" w:rsidP="00076A05">
      <w:pPr>
        <w:pStyle w:val="Title-Specialreport"/>
      </w:pPr>
      <w:r>
        <w:t>Interest limitation rules</w:t>
      </w:r>
    </w:p>
    <w:p w:rsidR="00076A05" w:rsidRDefault="00076A05" w:rsidP="00076A05"/>
    <w:p w:rsidR="00076A05" w:rsidRDefault="00076A05" w:rsidP="00076A05"/>
    <w:p w:rsidR="00192B65" w:rsidRPr="004F5D4C" w:rsidRDefault="00192B65" w:rsidP="00192B65">
      <w:pPr>
        <w:pStyle w:val="Heading1"/>
      </w:pPr>
      <w:r w:rsidRPr="005D435F">
        <w:t>Restricted transfer pricing</w:t>
      </w:r>
      <w:bookmarkEnd w:id="0"/>
      <w:r w:rsidR="00603E99">
        <w:t xml:space="preserve"> for cross-border related borrowing</w:t>
      </w:r>
    </w:p>
    <w:p w:rsidR="00192B65" w:rsidRPr="00F049F7" w:rsidRDefault="00192B65" w:rsidP="00192B65"/>
    <w:p w:rsidR="00192B65" w:rsidRPr="00705A2D" w:rsidRDefault="00221FE8" w:rsidP="00192B65">
      <w:pPr>
        <w:pStyle w:val="Heading3"/>
        <w:rPr>
          <w:lang w:val="en-NZ"/>
        </w:rPr>
      </w:pPr>
      <w:r w:rsidRPr="00705A2D">
        <w:rPr>
          <w:lang w:val="en-NZ"/>
        </w:rPr>
        <w:t>Sections GC 6, GC 15 to GC 19 and YA 1 (</w:t>
      </w:r>
      <w:r w:rsidR="008B6F3F" w:rsidRPr="00705A2D">
        <w:rPr>
          <w:lang w:val="en-NZ"/>
        </w:rPr>
        <w:t xml:space="preserve">cross-border related borrowing, and </w:t>
      </w:r>
      <w:r w:rsidRPr="00705A2D">
        <w:rPr>
          <w:lang w:val="en-NZ"/>
        </w:rPr>
        <w:t>related-party debt) of the Income Tax Act 2007</w:t>
      </w:r>
    </w:p>
    <w:p w:rsidR="00192B65" w:rsidRPr="00F049F7" w:rsidRDefault="00192B65" w:rsidP="00192B65"/>
    <w:p w:rsidR="00192B65" w:rsidRPr="00F049F7" w:rsidRDefault="00192B65" w:rsidP="00192B65"/>
    <w:p w:rsidR="00581032" w:rsidRPr="00581032" w:rsidRDefault="00D51BB9" w:rsidP="00581032">
      <w:r>
        <w:t>N</w:t>
      </w:r>
      <w:r w:rsidR="00581032" w:rsidRPr="00581032">
        <w:t xml:space="preserve">ew rules </w:t>
      </w:r>
      <w:r>
        <w:t xml:space="preserve">have been introduced </w:t>
      </w:r>
      <w:r w:rsidR="00581032" w:rsidRPr="00581032">
        <w:t xml:space="preserve">requiring related-party loans between a non-resident lender and a New Zealand-resident borrower to be priced using a restricted transfer pricing approach. Under these rules, specific rules and parameters </w:t>
      </w:r>
      <w:r>
        <w:t xml:space="preserve">are </w:t>
      </w:r>
      <w:r w:rsidR="00581032" w:rsidRPr="00581032">
        <w:t xml:space="preserve">applied to </w:t>
      </w:r>
      <w:r>
        <w:t xml:space="preserve">certain </w:t>
      </w:r>
      <w:r w:rsidR="00A06DB2">
        <w:t>inbound related-party loans to:</w:t>
      </w:r>
    </w:p>
    <w:p w:rsidR="00581032" w:rsidRPr="00581032" w:rsidRDefault="00581032" w:rsidP="00581032"/>
    <w:p w:rsidR="00581032" w:rsidRDefault="00581032" w:rsidP="00581032">
      <w:pPr>
        <w:pStyle w:val="Bullets"/>
      </w:pPr>
      <w:r>
        <w:t xml:space="preserve">determine the credit rating of New Zealand borrowers at a high risk of BEPS, which will typically be </w:t>
      </w:r>
      <w:r w:rsidR="00D51BB9">
        <w:t xml:space="preserve">either </w:t>
      </w:r>
      <w:r>
        <w:t xml:space="preserve">one </w:t>
      </w:r>
      <w:r w:rsidR="00D51BB9">
        <w:t xml:space="preserve">or two </w:t>
      </w:r>
      <w:r>
        <w:t>notch</w:t>
      </w:r>
      <w:r w:rsidR="00D51BB9">
        <w:t>es</w:t>
      </w:r>
      <w:r>
        <w:t xml:space="preserve"> below the ultimate parent’s credit rating; and</w:t>
      </w:r>
    </w:p>
    <w:p w:rsidR="00581032" w:rsidRDefault="00581032" w:rsidP="00581032">
      <w:pPr>
        <w:pStyle w:val="Bullets"/>
        <w:spacing w:after="0"/>
      </w:pPr>
      <w:r>
        <w:t xml:space="preserve">remove any features not typically found in third party debt in order to calculate (in combination with the credit rating rule) the </w:t>
      </w:r>
      <w:r w:rsidR="00603E99">
        <w:t>appropriate</w:t>
      </w:r>
      <w:r>
        <w:t xml:space="preserve"> amount of interest that is deductible on the debt.</w:t>
      </w:r>
    </w:p>
    <w:p w:rsidR="00192B65" w:rsidRDefault="00192B65" w:rsidP="00192B65">
      <w:pPr>
        <w:rPr>
          <w:lang w:val="en-NZ"/>
        </w:rPr>
      </w:pPr>
    </w:p>
    <w:p w:rsidR="00192B65" w:rsidRDefault="00192B65" w:rsidP="00192B65">
      <w:pPr>
        <w:rPr>
          <w:lang w:val="en-NZ"/>
        </w:rPr>
      </w:pPr>
      <w:r>
        <w:rPr>
          <w:lang w:val="en-NZ"/>
        </w:rPr>
        <w:t xml:space="preserve">Separate rules apply </w:t>
      </w:r>
      <w:r w:rsidR="00E77E6B">
        <w:rPr>
          <w:lang w:val="en-NZ"/>
        </w:rPr>
        <w:t xml:space="preserve">to </w:t>
      </w:r>
      <w:r>
        <w:rPr>
          <w:lang w:val="en-NZ"/>
        </w:rPr>
        <w:t>financial institutions such as banks and insurance companies.</w:t>
      </w:r>
    </w:p>
    <w:p w:rsidR="00192B65" w:rsidRDefault="00192B65" w:rsidP="00192B65">
      <w:pPr>
        <w:rPr>
          <w:lang w:val="en-NZ"/>
        </w:rPr>
      </w:pPr>
    </w:p>
    <w:p w:rsidR="00192B65" w:rsidRPr="004F5D4C" w:rsidRDefault="00192B65" w:rsidP="00192B65">
      <w:pPr>
        <w:rPr>
          <w:lang w:val="en-NZ"/>
        </w:rPr>
      </w:pPr>
    </w:p>
    <w:p w:rsidR="00192B65" w:rsidRPr="004F5D4C" w:rsidRDefault="00192B65" w:rsidP="00192B65">
      <w:pPr>
        <w:pStyle w:val="Heading2"/>
        <w:rPr>
          <w:lang w:val="en-NZ"/>
        </w:rPr>
      </w:pPr>
      <w:r w:rsidRPr="004F5D4C">
        <w:rPr>
          <w:lang w:val="en-NZ"/>
        </w:rPr>
        <w:t>Application date</w:t>
      </w:r>
    </w:p>
    <w:p w:rsidR="00192B65" w:rsidRPr="00F049F7" w:rsidRDefault="00192B65" w:rsidP="00192B65"/>
    <w:p w:rsidR="00192B65" w:rsidRDefault="00192B65" w:rsidP="00192B65">
      <w:pPr>
        <w:rPr>
          <w:lang w:val="en-NZ"/>
        </w:rPr>
      </w:pPr>
      <w:r>
        <w:rPr>
          <w:lang w:val="en-NZ"/>
        </w:rPr>
        <w:t>The amendments apply to income years starting on or after 1 July 2018.</w:t>
      </w:r>
      <w:r w:rsidR="00292098">
        <w:rPr>
          <w:lang w:val="en-NZ"/>
        </w:rPr>
        <w:t xml:space="preserve"> </w:t>
      </w:r>
      <w:r w:rsidR="009B3F77">
        <w:rPr>
          <w:lang w:val="en-NZ"/>
        </w:rPr>
        <w:t>The amendments will not apply to an arrangement that complies with an advance pricing agreement issued by the Commissioner before 1 July 2018.</w:t>
      </w:r>
    </w:p>
    <w:p w:rsidR="002C543C" w:rsidRDefault="002C543C" w:rsidP="00192B65">
      <w:pPr>
        <w:rPr>
          <w:lang w:val="en-NZ"/>
        </w:rPr>
      </w:pPr>
    </w:p>
    <w:p w:rsidR="00192B65" w:rsidRPr="004F5D4C" w:rsidRDefault="00192B65" w:rsidP="00192B65">
      <w:pPr>
        <w:rPr>
          <w:lang w:val="en-NZ"/>
        </w:rPr>
      </w:pPr>
    </w:p>
    <w:p w:rsidR="00192B65" w:rsidRPr="004F5D4C" w:rsidRDefault="00192B65" w:rsidP="00192B65">
      <w:pPr>
        <w:pStyle w:val="Heading2"/>
        <w:rPr>
          <w:lang w:val="en-NZ"/>
        </w:rPr>
      </w:pPr>
      <w:r w:rsidRPr="004F5D4C">
        <w:rPr>
          <w:lang w:val="en-NZ"/>
        </w:rPr>
        <w:t>Key features</w:t>
      </w:r>
    </w:p>
    <w:p w:rsidR="00192B65" w:rsidRPr="004F5D4C" w:rsidRDefault="00192B65" w:rsidP="002C543C">
      <w:pPr>
        <w:rPr>
          <w:lang w:val="en-NZ"/>
        </w:rPr>
      </w:pPr>
    </w:p>
    <w:p w:rsidR="00192B65" w:rsidRDefault="00993B38" w:rsidP="00192B65">
      <w:pPr>
        <w:rPr>
          <w:lang w:val="en-NZ"/>
        </w:rPr>
      </w:pPr>
      <w:r w:rsidRPr="00B64001">
        <w:rPr>
          <w:lang w:val="en-NZ"/>
        </w:rPr>
        <w:t>Amendments to section</w:t>
      </w:r>
      <w:r w:rsidR="00192B65" w:rsidRPr="00B64001">
        <w:rPr>
          <w:lang w:val="en-NZ"/>
        </w:rPr>
        <w:t xml:space="preserve"> GC 6</w:t>
      </w:r>
      <w:r w:rsidRPr="00B64001">
        <w:rPr>
          <w:lang w:val="en-NZ"/>
        </w:rPr>
        <w:t>, including the introduction of subsection</w:t>
      </w:r>
      <w:r w:rsidR="00373CA7">
        <w:rPr>
          <w:lang w:val="en-NZ"/>
        </w:rPr>
        <w:t>s</w:t>
      </w:r>
      <w:r w:rsidRPr="00B64001">
        <w:rPr>
          <w:lang w:val="en-NZ"/>
        </w:rPr>
        <w:t xml:space="preserve"> GC 6(3B) to </w:t>
      </w:r>
      <w:r w:rsidR="00373CA7">
        <w:rPr>
          <w:lang w:val="en-NZ"/>
        </w:rPr>
        <w:t>(3E</w:t>
      </w:r>
      <w:r w:rsidRPr="00B64001">
        <w:rPr>
          <w:lang w:val="en-NZ"/>
        </w:rPr>
        <w:t>),</w:t>
      </w:r>
      <w:r w:rsidR="00192B65" w:rsidRPr="00B64001">
        <w:rPr>
          <w:lang w:val="en-NZ"/>
        </w:rPr>
        <w:t xml:space="preserve"> provide for the rules to restrict interest deductions </w:t>
      </w:r>
      <w:r w:rsidR="00B64001" w:rsidRPr="00B64001">
        <w:rPr>
          <w:lang w:val="en-NZ"/>
        </w:rPr>
        <w:t xml:space="preserve">on </w:t>
      </w:r>
      <w:r w:rsidR="00A06DB2">
        <w:rPr>
          <w:lang w:val="en-NZ"/>
        </w:rPr>
        <w:t>cross-border related borrowing.</w:t>
      </w:r>
    </w:p>
    <w:p w:rsidR="00192B65" w:rsidRDefault="00192B65" w:rsidP="00192B65">
      <w:pPr>
        <w:rPr>
          <w:lang w:val="en-NZ"/>
        </w:rPr>
      </w:pPr>
    </w:p>
    <w:p w:rsidR="00192B65" w:rsidRPr="004F5D4C" w:rsidRDefault="00192B65" w:rsidP="00192B65">
      <w:pPr>
        <w:rPr>
          <w:lang w:val="en-NZ"/>
        </w:rPr>
      </w:pPr>
      <w:r>
        <w:rPr>
          <w:lang w:val="en-NZ"/>
        </w:rPr>
        <w:t xml:space="preserve">The rules, where they apply, alter the terms and conditions of a borrower and/or an instrument considered before applying the general transfer pricing rules, including the </w:t>
      </w:r>
      <w:r>
        <w:rPr>
          <w:lang w:val="en-NZ"/>
        </w:rPr>
        <w:lastRenderedPageBreak/>
        <w:t xml:space="preserve">amendments to transfer pricing also </w:t>
      </w:r>
      <w:r w:rsidR="00D51BB9">
        <w:rPr>
          <w:lang w:val="en-NZ"/>
        </w:rPr>
        <w:t>amended by the</w:t>
      </w:r>
      <w:r>
        <w:rPr>
          <w:lang w:val="en-NZ"/>
        </w:rPr>
        <w:t xml:space="preserve"> </w:t>
      </w:r>
      <w:r w:rsidR="00D43AFA">
        <w:rPr>
          <w:lang w:val="en-NZ"/>
        </w:rPr>
        <w:t>Taxation (Neutralising Base Erosion and Profit Shifting) Act</w:t>
      </w:r>
      <w:r w:rsidR="00EC76AD">
        <w:rPr>
          <w:lang w:val="en-NZ"/>
        </w:rPr>
        <w:t xml:space="preserve"> </w:t>
      </w:r>
      <w:r w:rsidR="00D43AFA">
        <w:rPr>
          <w:lang w:val="en-NZ"/>
        </w:rPr>
        <w:t>2018</w:t>
      </w:r>
      <w:r w:rsidR="00EC76AD">
        <w:rPr>
          <w:lang w:val="en-NZ"/>
        </w:rPr>
        <w:t xml:space="preserve"> </w:t>
      </w:r>
      <w:r>
        <w:rPr>
          <w:lang w:val="en-NZ"/>
        </w:rPr>
        <w:t xml:space="preserve">and discussed elsewhere in this </w:t>
      </w:r>
      <w:r w:rsidR="00D51BB9">
        <w:rPr>
          <w:lang w:val="en-NZ"/>
        </w:rPr>
        <w:t>special report</w:t>
      </w:r>
      <w:r>
        <w:rPr>
          <w:lang w:val="en-NZ"/>
        </w:rPr>
        <w:t>.</w:t>
      </w:r>
    </w:p>
    <w:p w:rsidR="00192B65" w:rsidRDefault="00192B65" w:rsidP="00192B65">
      <w:pPr>
        <w:rPr>
          <w:lang w:val="en-NZ"/>
        </w:rPr>
      </w:pPr>
    </w:p>
    <w:p w:rsidR="00192B65" w:rsidRDefault="00192B65" w:rsidP="00192B65">
      <w:pPr>
        <w:rPr>
          <w:lang w:val="en-NZ"/>
        </w:rPr>
      </w:pPr>
      <w:r>
        <w:rPr>
          <w:lang w:val="en-NZ"/>
        </w:rPr>
        <w:t>The rules are contained in sections GC 15 to GC 1</w:t>
      </w:r>
      <w:r w:rsidR="00D51BB9">
        <w:rPr>
          <w:lang w:val="en-NZ"/>
        </w:rPr>
        <w:t>9</w:t>
      </w:r>
      <w:r>
        <w:rPr>
          <w:lang w:val="en-NZ"/>
        </w:rPr>
        <w:t>:</w:t>
      </w:r>
    </w:p>
    <w:p w:rsidR="00192B65" w:rsidRDefault="00192B65" w:rsidP="00192B65">
      <w:pPr>
        <w:rPr>
          <w:lang w:val="en-NZ"/>
        </w:rPr>
      </w:pPr>
    </w:p>
    <w:p w:rsidR="00192B65" w:rsidRDefault="00192B65" w:rsidP="002C0293">
      <w:pPr>
        <w:pStyle w:val="Indentbullet"/>
        <w:numPr>
          <w:ilvl w:val="0"/>
          <w:numId w:val="2"/>
        </w:numPr>
        <w:rPr>
          <w:lang w:val="en-NZ"/>
        </w:rPr>
      </w:pPr>
      <w:r>
        <w:rPr>
          <w:lang w:val="en-NZ"/>
        </w:rPr>
        <w:t>Section GC 15 sets out how the rules operate and also defines an “insuring or lending person” as the rules operate differently for these persons.</w:t>
      </w:r>
    </w:p>
    <w:p w:rsidR="00192B65" w:rsidRDefault="00192B65" w:rsidP="002C0293">
      <w:pPr>
        <w:pStyle w:val="Indentbullet"/>
        <w:numPr>
          <w:ilvl w:val="0"/>
          <w:numId w:val="2"/>
        </w:numPr>
        <w:rPr>
          <w:lang w:val="en-NZ"/>
        </w:rPr>
      </w:pPr>
      <w:r>
        <w:rPr>
          <w:lang w:val="en-NZ"/>
        </w:rPr>
        <w:t>Section GC 16 calculates how the credit rating of a borrower, other than an insuring or lending person, may be adjusted.</w:t>
      </w:r>
    </w:p>
    <w:p w:rsidR="00192B65" w:rsidRDefault="00192B65" w:rsidP="002C0293">
      <w:pPr>
        <w:pStyle w:val="Indentbullet"/>
        <w:numPr>
          <w:ilvl w:val="0"/>
          <w:numId w:val="2"/>
        </w:numPr>
        <w:rPr>
          <w:lang w:val="en-NZ"/>
        </w:rPr>
      </w:pPr>
      <w:r>
        <w:rPr>
          <w:lang w:val="en-NZ"/>
        </w:rPr>
        <w:t>Section GC 17 calculates how the credit rating of an insuring or lending person may be adjusted.</w:t>
      </w:r>
    </w:p>
    <w:p w:rsidR="00192B65" w:rsidRDefault="00192B65" w:rsidP="00603E99">
      <w:pPr>
        <w:pStyle w:val="Indentbullet"/>
        <w:numPr>
          <w:ilvl w:val="0"/>
          <w:numId w:val="2"/>
        </w:numPr>
        <w:rPr>
          <w:lang w:val="en-NZ"/>
        </w:rPr>
      </w:pPr>
      <w:r>
        <w:rPr>
          <w:lang w:val="en-NZ"/>
        </w:rPr>
        <w:t>Section GC 18 disregards certain features of a financial arrangement for the purpose of calculating an interest rate.</w:t>
      </w:r>
    </w:p>
    <w:p w:rsidR="004F567E" w:rsidRPr="00A64E5F" w:rsidRDefault="004F567E" w:rsidP="002C0293">
      <w:pPr>
        <w:pStyle w:val="Indentbullet"/>
        <w:numPr>
          <w:ilvl w:val="0"/>
          <w:numId w:val="2"/>
        </w:numPr>
        <w:spacing w:after="0"/>
        <w:rPr>
          <w:lang w:val="en-NZ"/>
        </w:rPr>
      </w:pPr>
      <w:r>
        <w:rPr>
          <w:lang w:val="en-NZ"/>
        </w:rPr>
        <w:t>Section GC 19 confirms that for arrangements existing before the new rules apply the loan must be repriced at the last day before the new rules apply that the loan was priced or repriced.</w:t>
      </w:r>
    </w:p>
    <w:p w:rsidR="00192B65" w:rsidRDefault="00192B65" w:rsidP="00192B65">
      <w:pPr>
        <w:rPr>
          <w:lang w:val="en-NZ"/>
        </w:rPr>
      </w:pPr>
    </w:p>
    <w:p w:rsidR="00192B65" w:rsidRPr="004F5D4C" w:rsidRDefault="00192B65" w:rsidP="00192B65">
      <w:pPr>
        <w:rPr>
          <w:lang w:val="en-NZ"/>
        </w:rPr>
      </w:pPr>
    </w:p>
    <w:p w:rsidR="00192B65" w:rsidRPr="004F5D4C" w:rsidRDefault="00192B65" w:rsidP="00192B65">
      <w:pPr>
        <w:pStyle w:val="Heading2"/>
        <w:rPr>
          <w:lang w:val="en-NZ"/>
        </w:rPr>
      </w:pPr>
      <w:r w:rsidRPr="004F5D4C">
        <w:rPr>
          <w:lang w:val="en-NZ"/>
        </w:rPr>
        <w:t>Background</w:t>
      </w:r>
    </w:p>
    <w:p w:rsidR="00192B65" w:rsidRPr="00F049F7" w:rsidRDefault="00192B65" w:rsidP="00192B65"/>
    <w:p w:rsidR="00192B65" w:rsidRPr="00FC0EC8" w:rsidRDefault="00192B65" w:rsidP="00192B65">
      <w:pPr>
        <w:rPr>
          <w:lang w:val="en-NZ"/>
        </w:rPr>
      </w:pPr>
      <w:r w:rsidRPr="00FC0EC8">
        <w:rPr>
          <w:lang w:val="en-NZ"/>
        </w:rPr>
        <w:t>New Zealand’s thin capitalisation rules limit the amount of deductible debt a company can have, rather than directly limiting interest deductions.</w:t>
      </w:r>
      <w:r w:rsidR="00292098">
        <w:rPr>
          <w:lang w:val="en-NZ"/>
        </w:rPr>
        <w:t xml:space="preserve"> </w:t>
      </w:r>
      <w:r w:rsidRPr="00FC0EC8">
        <w:rPr>
          <w:lang w:val="en-NZ"/>
        </w:rPr>
        <w:t>In order for the rules to be effective at actually limiting interest deductions in New Zealand to an appropriate level, allowable interest rates on debt also need to be limited.</w:t>
      </w:r>
    </w:p>
    <w:p w:rsidR="00192B65" w:rsidRPr="00FC0EC8" w:rsidRDefault="00192B65" w:rsidP="00192B65">
      <w:pPr>
        <w:rPr>
          <w:lang w:val="en-NZ"/>
        </w:rPr>
      </w:pPr>
    </w:p>
    <w:p w:rsidR="00192B65" w:rsidRPr="00FC0EC8" w:rsidRDefault="00192B65" w:rsidP="00192B65">
      <w:pPr>
        <w:rPr>
          <w:lang w:val="en-NZ"/>
        </w:rPr>
      </w:pPr>
      <w:r w:rsidRPr="00FC0EC8">
        <w:rPr>
          <w:lang w:val="en-NZ"/>
        </w:rPr>
        <w:t>Historically this limitation has been achieved through transfer pricing.</w:t>
      </w:r>
      <w:r w:rsidR="00292098">
        <w:rPr>
          <w:lang w:val="en-NZ"/>
        </w:rPr>
        <w:t xml:space="preserve"> </w:t>
      </w:r>
      <w:r w:rsidRPr="00FC0EC8">
        <w:rPr>
          <w:lang w:val="en-NZ"/>
        </w:rPr>
        <w:t>However</w:t>
      </w:r>
      <w:r>
        <w:rPr>
          <w:lang w:val="en-NZ"/>
        </w:rPr>
        <w:t xml:space="preserve">, </w:t>
      </w:r>
      <w:r w:rsidRPr="00FC0EC8">
        <w:rPr>
          <w:lang w:val="en-NZ"/>
        </w:rPr>
        <w:t>this approach has not been wholly effective.</w:t>
      </w:r>
    </w:p>
    <w:p w:rsidR="00192B65" w:rsidRPr="00FC0EC8" w:rsidRDefault="00192B65" w:rsidP="00192B65">
      <w:pPr>
        <w:rPr>
          <w:lang w:val="en-NZ"/>
        </w:rPr>
      </w:pPr>
    </w:p>
    <w:p w:rsidR="00192B65" w:rsidRPr="00FC0EC8" w:rsidRDefault="001723AC" w:rsidP="00192B65">
      <w:pPr>
        <w:rPr>
          <w:lang w:val="en-NZ"/>
        </w:rPr>
      </w:pPr>
      <w:r w:rsidRPr="00FC0EC8">
        <w:rPr>
          <w:lang w:val="en-NZ"/>
        </w:rPr>
        <w:t xml:space="preserve">The transfer pricing rules require taxpayers to adjust the </w:t>
      </w:r>
      <w:r>
        <w:rPr>
          <w:lang w:val="en-NZ"/>
        </w:rPr>
        <w:t xml:space="preserve">payments for </w:t>
      </w:r>
      <w:r w:rsidRPr="00FC0EC8">
        <w:rPr>
          <w:lang w:val="en-NZ"/>
        </w:rPr>
        <w:t xml:space="preserve">cross-border related party transactions so </w:t>
      </w:r>
      <w:r>
        <w:rPr>
          <w:lang w:val="en-NZ"/>
        </w:rPr>
        <w:t>they align</w:t>
      </w:r>
      <w:r w:rsidRPr="00FC0EC8">
        <w:rPr>
          <w:lang w:val="en-NZ"/>
        </w:rPr>
        <w:t xml:space="preserve"> with the arm’s length </w:t>
      </w:r>
      <w:r>
        <w:rPr>
          <w:lang w:val="en-NZ"/>
        </w:rPr>
        <w:t xml:space="preserve">conditions </w:t>
      </w:r>
      <w:r w:rsidRPr="00FC0EC8">
        <w:rPr>
          <w:lang w:val="en-NZ"/>
        </w:rPr>
        <w:t xml:space="preserve">that would be </w:t>
      </w:r>
      <w:r>
        <w:rPr>
          <w:lang w:val="en-NZ"/>
        </w:rPr>
        <w:t xml:space="preserve">agreed to </w:t>
      </w:r>
      <w:r w:rsidRPr="00FC0EC8">
        <w:rPr>
          <w:lang w:val="en-NZ"/>
        </w:rPr>
        <w:t xml:space="preserve">by a third party </w:t>
      </w:r>
      <w:r>
        <w:rPr>
          <w:lang w:val="en-NZ"/>
        </w:rPr>
        <w:t>i</w:t>
      </w:r>
      <w:r w:rsidRPr="00FC0EC8">
        <w:rPr>
          <w:lang w:val="en-NZ"/>
        </w:rPr>
        <w:t>n a comparable transaction</w:t>
      </w:r>
      <w:r w:rsidR="007306EA">
        <w:rPr>
          <w:lang w:val="en-NZ"/>
        </w:rPr>
        <w:t xml:space="preserve">. </w:t>
      </w:r>
      <w:r w:rsidR="00192B65" w:rsidRPr="00FC0EC8">
        <w:rPr>
          <w:lang w:val="en-NZ"/>
        </w:rPr>
        <w:t>The arm’s length interest rate on a debt is affected by a number of factors including its term, level of subordination, whether any security is offered, and the credit rating of the borrower.</w:t>
      </w:r>
    </w:p>
    <w:p w:rsidR="00192B65" w:rsidRPr="00FC0EC8" w:rsidRDefault="00192B65" w:rsidP="00192B65">
      <w:pPr>
        <w:rPr>
          <w:lang w:val="en-NZ"/>
        </w:rPr>
      </w:pPr>
    </w:p>
    <w:p w:rsidR="00192B65" w:rsidRPr="00FC0EC8" w:rsidRDefault="00192B65" w:rsidP="00192B65">
      <w:pPr>
        <w:rPr>
          <w:lang w:val="en-NZ"/>
        </w:rPr>
      </w:pPr>
      <w:r w:rsidRPr="00FC0EC8">
        <w:rPr>
          <w:lang w:val="en-NZ"/>
        </w:rPr>
        <w:t xml:space="preserve">New Zealand's transfer pricing rules </w:t>
      </w:r>
      <w:r w:rsidR="004F567E">
        <w:rPr>
          <w:lang w:val="en-NZ"/>
        </w:rPr>
        <w:t>have been updated and strengthened</w:t>
      </w:r>
      <w:r w:rsidR="00E77E6B">
        <w:rPr>
          <w:lang w:val="en-NZ"/>
        </w:rPr>
        <w:t xml:space="preserve"> by</w:t>
      </w:r>
      <w:r w:rsidR="004F567E">
        <w:rPr>
          <w:lang w:val="en-NZ"/>
        </w:rPr>
        <w:t xml:space="preserve"> </w:t>
      </w:r>
      <w:r w:rsidRPr="00FC0EC8">
        <w:rPr>
          <w:lang w:val="en-NZ"/>
        </w:rPr>
        <w:t>including adopting economic substance and reconstruction provisions similar to Australia’s rules</w:t>
      </w:r>
      <w:r w:rsidR="00603E99">
        <w:rPr>
          <w:lang w:val="en-NZ"/>
        </w:rPr>
        <w:t xml:space="preserve"> through the Taxation (Neutralising Base Erosion and Profit Shifting) Act 2018</w:t>
      </w:r>
      <w:r w:rsidRPr="00FC0EC8">
        <w:rPr>
          <w:lang w:val="en-NZ"/>
        </w:rPr>
        <w:t>.</w:t>
      </w:r>
      <w:r w:rsidR="00292098">
        <w:rPr>
          <w:lang w:val="en-NZ"/>
        </w:rPr>
        <w:t xml:space="preserve"> </w:t>
      </w:r>
      <w:r w:rsidRPr="00FC0EC8">
        <w:rPr>
          <w:lang w:val="en-NZ"/>
        </w:rPr>
        <w:t xml:space="preserve">The </w:t>
      </w:r>
      <w:r w:rsidR="00FC526B">
        <w:rPr>
          <w:lang w:val="en-NZ"/>
        </w:rPr>
        <w:t xml:space="preserve">amended </w:t>
      </w:r>
      <w:r w:rsidRPr="00FC0EC8">
        <w:rPr>
          <w:lang w:val="en-NZ"/>
        </w:rPr>
        <w:t>transfer pricing rules disregard legal form if it does not align with the actual economic substance of the transaction.</w:t>
      </w:r>
      <w:r w:rsidR="00292098">
        <w:rPr>
          <w:lang w:val="en-NZ"/>
        </w:rPr>
        <w:t xml:space="preserve"> </w:t>
      </w:r>
      <w:r w:rsidRPr="00FC0EC8">
        <w:rPr>
          <w:lang w:val="en-NZ"/>
        </w:rPr>
        <w:t xml:space="preserve">They also allow transactions to be reconstructed or disregarded if such arrangements </w:t>
      </w:r>
      <w:r w:rsidR="001723AC">
        <w:rPr>
          <w:lang w:val="en-NZ"/>
        </w:rPr>
        <w:t xml:space="preserve">are commercially irrational and </w:t>
      </w:r>
      <w:r w:rsidRPr="00FC0EC8">
        <w:rPr>
          <w:lang w:val="en-NZ"/>
        </w:rPr>
        <w:t>would not be entered into by third par</w:t>
      </w:r>
      <w:r>
        <w:rPr>
          <w:lang w:val="en-NZ"/>
        </w:rPr>
        <w:t>ties operating at arm’s length.</w:t>
      </w:r>
    </w:p>
    <w:p w:rsidR="00192B65" w:rsidRPr="00FC0EC8" w:rsidRDefault="00192B65" w:rsidP="00192B65">
      <w:pPr>
        <w:rPr>
          <w:lang w:val="en-NZ"/>
        </w:rPr>
      </w:pPr>
    </w:p>
    <w:p w:rsidR="00192B65" w:rsidRPr="00FC0EC8" w:rsidRDefault="00192B65" w:rsidP="00192B65">
      <w:pPr>
        <w:rPr>
          <w:lang w:val="en-NZ"/>
        </w:rPr>
      </w:pPr>
      <w:r w:rsidRPr="00FC0EC8">
        <w:rPr>
          <w:lang w:val="en-NZ"/>
        </w:rPr>
        <w:t xml:space="preserve">Even with these stronger transfer pricing rules, transfer pricing </w:t>
      </w:r>
      <w:r w:rsidR="00FC526B">
        <w:rPr>
          <w:lang w:val="en-NZ"/>
        </w:rPr>
        <w:t xml:space="preserve">is </w:t>
      </w:r>
      <w:r>
        <w:rPr>
          <w:lang w:val="en-NZ"/>
        </w:rPr>
        <w:t xml:space="preserve">not </w:t>
      </w:r>
      <w:r w:rsidRPr="00FC0EC8">
        <w:rPr>
          <w:lang w:val="en-NZ"/>
        </w:rPr>
        <w:t>the most effective way to prevent profit-shifting using high-pr</w:t>
      </w:r>
      <w:r>
        <w:rPr>
          <w:lang w:val="en-NZ"/>
        </w:rPr>
        <w:t>iced related party debt.</w:t>
      </w:r>
    </w:p>
    <w:p w:rsidR="00192B65" w:rsidRPr="00FC0EC8" w:rsidRDefault="00192B65" w:rsidP="00192B65">
      <w:pPr>
        <w:rPr>
          <w:lang w:val="en-NZ"/>
        </w:rPr>
      </w:pPr>
    </w:p>
    <w:p w:rsidR="00192B65" w:rsidRPr="00FC0EC8" w:rsidRDefault="00192B65" w:rsidP="00192B65">
      <w:pPr>
        <w:rPr>
          <w:lang w:val="en-NZ"/>
        </w:rPr>
      </w:pPr>
      <w:r w:rsidRPr="00FC0EC8">
        <w:rPr>
          <w:lang w:val="en-NZ"/>
        </w:rPr>
        <w:t xml:space="preserve">When borrowing from a third-party, commercial pressures will drive the borrower to try to obtain as low an interest rate as possible </w:t>
      </w:r>
      <w:r w:rsidR="00CF6F92">
        <w:rPr>
          <w:lang w:val="en-NZ"/>
        </w:rPr>
        <w:t xml:space="preserve">and on the best terms and conditions </w:t>
      </w:r>
      <w:r w:rsidRPr="00FC0EC8">
        <w:rPr>
          <w:lang w:val="en-NZ"/>
        </w:rPr>
        <w:t xml:space="preserve">– for example, by providing security on a loan, and by ensuring their credit </w:t>
      </w:r>
      <w:r w:rsidR="00CF6F92">
        <w:rPr>
          <w:lang w:val="en-NZ"/>
        </w:rPr>
        <w:t xml:space="preserve">standing or </w:t>
      </w:r>
      <w:r w:rsidRPr="00FC0EC8">
        <w:rPr>
          <w:lang w:val="en-NZ"/>
        </w:rPr>
        <w:t>rating is not adversely affecte</w:t>
      </w:r>
      <w:r>
        <w:rPr>
          <w:lang w:val="en-NZ"/>
        </w:rPr>
        <w:t>d by the amount being borrowed</w:t>
      </w:r>
      <w:r w:rsidR="00CF6F92">
        <w:rPr>
          <w:lang w:val="en-NZ"/>
        </w:rPr>
        <w:t xml:space="preserve"> and the borrowing rate</w:t>
      </w:r>
      <w:r>
        <w:rPr>
          <w:lang w:val="en-NZ"/>
        </w:rPr>
        <w:t>.</w:t>
      </w:r>
    </w:p>
    <w:p w:rsidR="00192B65" w:rsidRDefault="00192B65" w:rsidP="00192B65">
      <w:pPr>
        <w:rPr>
          <w:lang w:val="en-NZ"/>
        </w:rPr>
      </w:pPr>
    </w:p>
    <w:p w:rsidR="00192B65" w:rsidRPr="00FC0EC8" w:rsidRDefault="00192B65" w:rsidP="00192B65">
      <w:pPr>
        <w:rPr>
          <w:lang w:val="en-NZ"/>
        </w:rPr>
      </w:pPr>
      <w:r w:rsidRPr="00FC0EC8">
        <w:rPr>
          <w:lang w:val="en-NZ"/>
        </w:rPr>
        <w:lastRenderedPageBreak/>
        <w:t>These same pressures do not exist in a related-party context.</w:t>
      </w:r>
      <w:r w:rsidR="00292098">
        <w:rPr>
          <w:lang w:val="en-NZ"/>
        </w:rPr>
        <w:t xml:space="preserve"> </w:t>
      </w:r>
      <w:r w:rsidRPr="00FC0EC8">
        <w:rPr>
          <w:lang w:val="en-NZ"/>
        </w:rPr>
        <w:t>A related-party interest payment, such as from the New Zealand subsidiary of a multinational to its foreign parent, is not a true expense from the perspective of the company’s shareholders.</w:t>
      </w:r>
      <w:r w:rsidR="00292098">
        <w:rPr>
          <w:lang w:val="en-NZ"/>
        </w:rPr>
        <w:t xml:space="preserve"> </w:t>
      </w:r>
      <w:r w:rsidRPr="00FC0EC8">
        <w:rPr>
          <w:lang w:val="en-NZ"/>
        </w:rPr>
        <w:t>Rather, it is a transfer from one group member to another.</w:t>
      </w:r>
      <w:r w:rsidR="00292098">
        <w:rPr>
          <w:lang w:val="en-NZ"/>
        </w:rPr>
        <w:t xml:space="preserve"> </w:t>
      </w:r>
      <w:r w:rsidRPr="00FC0EC8">
        <w:rPr>
          <w:lang w:val="en-NZ"/>
        </w:rPr>
        <w:t>There are no commercial tensions driving interest rates to a market rate.</w:t>
      </w:r>
      <w:r w:rsidR="00292098">
        <w:rPr>
          <w:lang w:val="en-NZ"/>
        </w:rPr>
        <w:t xml:space="preserve"> </w:t>
      </w:r>
      <w:r w:rsidRPr="00FC0EC8">
        <w:rPr>
          <w:lang w:val="en-NZ"/>
        </w:rPr>
        <w:t xml:space="preserve">Indeed, it can be profitable to increase the interest rate on related-party debt </w:t>
      </w:r>
      <w:r w:rsidR="00CF6F92">
        <w:rPr>
          <w:lang w:val="en-NZ"/>
        </w:rPr>
        <w:t xml:space="preserve">above a market rate </w:t>
      </w:r>
      <w:r w:rsidRPr="00FC0EC8">
        <w:rPr>
          <w:lang w:val="en-NZ"/>
        </w:rPr>
        <w:t>– for example, if the value of the interest deduction is higher than the tax cost on</w:t>
      </w:r>
      <w:r>
        <w:rPr>
          <w:lang w:val="en-NZ"/>
        </w:rPr>
        <w:t xml:space="preserve"> the resulting interest income.</w:t>
      </w:r>
    </w:p>
    <w:p w:rsidR="00192B65" w:rsidRPr="00FC0EC8" w:rsidRDefault="00192B65" w:rsidP="00192B65">
      <w:pPr>
        <w:rPr>
          <w:lang w:val="en-NZ"/>
        </w:rPr>
      </w:pPr>
    </w:p>
    <w:p w:rsidR="00192B65" w:rsidRPr="00FC0EC8" w:rsidRDefault="00192B65" w:rsidP="00192B65">
      <w:pPr>
        <w:rPr>
          <w:lang w:val="en-NZ"/>
        </w:rPr>
      </w:pPr>
      <w:r w:rsidRPr="00FC0EC8">
        <w:rPr>
          <w:lang w:val="en-NZ"/>
        </w:rPr>
        <w:t>In addition, related-party transactions are fundamentally different to third-party transactions.</w:t>
      </w:r>
      <w:r w:rsidR="00292098">
        <w:rPr>
          <w:lang w:val="en-NZ"/>
        </w:rPr>
        <w:t xml:space="preserve"> </w:t>
      </w:r>
      <w:r w:rsidRPr="00FC0EC8">
        <w:rPr>
          <w:lang w:val="en-NZ"/>
        </w:rPr>
        <w:t>Factors that increase the riskiness of a loan between unrelated-parties (such as whether the debt can be converted into shares or the total indebtedness of the borrower) are less relevant in a related-party context.</w:t>
      </w:r>
      <w:r w:rsidR="00292098">
        <w:rPr>
          <w:lang w:val="en-NZ"/>
        </w:rPr>
        <w:t xml:space="preserve"> </w:t>
      </w:r>
      <w:r w:rsidRPr="00FC0EC8">
        <w:rPr>
          <w:lang w:val="en-NZ"/>
        </w:rPr>
        <w:t>For example, the more a third-party lends to a company, the more money is at risk if the company fails.</w:t>
      </w:r>
      <w:r w:rsidR="00292098">
        <w:rPr>
          <w:lang w:val="en-NZ"/>
        </w:rPr>
        <w:t xml:space="preserve"> </w:t>
      </w:r>
      <w:r w:rsidRPr="00FC0EC8">
        <w:rPr>
          <w:lang w:val="en-NZ"/>
        </w:rPr>
        <w:t>However, the risks facing a foreign parent investing in New Zealand do not change whether it capitalises its investment wit</w:t>
      </w:r>
      <w:r>
        <w:rPr>
          <w:lang w:val="en-NZ"/>
        </w:rPr>
        <w:t>h debt or equity.</w:t>
      </w:r>
    </w:p>
    <w:p w:rsidR="00192B65" w:rsidRDefault="00192B65" w:rsidP="00192B65">
      <w:pPr>
        <w:rPr>
          <w:lang w:val="en-NZ"/>
        </w:rPr>
      </w:pPr>
    </w:p>
    <w:p w:rsidR="00192B65" w:rsidRPr="00FC0EC8" w:rsidRDefault="0046633F" w:rsidP="00192B65">
      <w:pPr>
        <w:rPr>
          <w:lang w:val="en-NZ"/>
        </w:rPr>
      </w:pPr>
      <w:r>
        <w:rPr>
          <w:lang w:val="en-NZ"/>
        </w:rPr>
        <w:t xml:space="preserve">As the foreign parent </w:t>
      </w:r>
      <w:r w:rsidR="00243BAE">
        <w:rPr>
          <w:lang w:val="en-NZ"/>
        </w:rPr>
        <w:t xml:space="preserve">and </w:t>
      </w:r>
      <w:r>
        <w:rPr>
          <w:lang w:val="en-NZ"/>
        </w:rPr>
        <w:t>New Zealand subsidiary</w:t>
      </w:r>
      <w:r w:rsidR="00243BAE">
        <w:rPr>
          <w:lang w:val="en-NZ"/>
        </w:rPr>
        <w:t xml:space="preserve"> are commonly controlled, in many cases the terms and conditions of any loan can be set having regard to taxation, rather than the commercial considerations that would be most important in an actual arm’s length loan.</w:t>
      </w:r>
      <w:r w:rsidR="00243BAE" w:rsidDel="00243BAE">
        <w:rPr>
          <w:lang w:val="en-NZ"/>
        </w:rPr>
        <w:t xml:space="preserve"> </w:t>
      </w:r>
      <w:r w:rsidR="00243BAE">
        <w:rPr>
          <w:lang w:val="en-NZ"/>
        </w:rPr>
        <w:t>R</w:t>
      </w:r>
      <w:r w:rsidR="00192B65" w:rsidRPr="00FC0EC8">
        <w:rPr>
          <w:lang w:val="en-NZ"/>
        </w:rPr>
        <w:t xml:space="preserve">elated-party loans </w:t>
      </w:r>
      <w:r>
        <w:rPr>
          <w:lang w:val="en-NZ"/>
        </w:rPr>
        <w:t xml:space="preserve">can </w:t>
      </w:r>
      <w:r w:rsidR="00192B65" w:rsidRPr="00FC0EC8">
        <w:rPr>
          <w:lang w:val="en-NZ"/>
        </w:rPr>
        <w:t xml:space="preserve">feature unnecessary and uncommercial terms (such as being repayable </w:t>
      </w:r>
      <w:r w:rsidR="005F417B">
        <w:rPr>
          <w:lang w:val="en-NZ"/>
        </w:rPr>
        <w:t>at the borrower’s discretion</w:t>
      </w:r>
      <w:r w:rsidR="00192B65" w:rsidRPr="00FC0EC8">
        <w:rPr>
          <w:lang w:val="en-NZ"/>
        </w:rPr>
        <w:t xml:space="preserve"> or having </w:t>
      </w:r>
      <w:r w:rsidR="000C3823">
        <w:rPr>
          <w:lang w:val="en-NZ"/>
        </w:rPr>
        <w:t xml:space="preserve">an </w:t>
      </w:r>
      <w:r w:rsidR="00192B65" w:rsidRPr="00FC0EC8">
        <w:rPr>
          <w:lang w:val="en-NZ"/>
        </w:rPr>
        <w:t>extremely long term) that are used to justify a high interest rate.</w:t>
      </w:r>
      <w:r w:rsidR="00292098">
        <w:rPr>
          <w:lang w:val="en-NZ"/>
        </w:rPr>
        <w:t xml:space="preserve"> </w:t>
      </w:r>
      <w:r w:rsidR="00192B65" w:rsidRPr="00FC0EC8">
        <w:rPr>
          <w:lang w:val="en-NZ"/>
        </w:rPr>
        <w:t xml:space="preserve">Simply making the related party debt subordinated or subject to </w:t>
      </w:r>
      <w:r w:rsidR="00CF6F92">
        <w:rPr>
          <w:lang w:val="en-NZ"/>
        </w:rPr>
        <w:t xml:space="preserve">repayment </w:t>
      </w:r>
      <w:r w:rsidR="00192B65" w:rsidRPr="00FC0EC8">
        <w:rPr>
          <w:lang w:val="en-NZ"/>
        </w:rPr>
        <w:t>optionality may also be used as justifications for a higher interest rate.</w:t>
      </w:r>
      <w:r w:rsidR="00292098">
        <w:rPr>
          <w:lang w:val="en-NZ"/>
        </w:rPr>
        <w:t xml:space="preserve"> </w:t>
      </w:r>
      <w:r w:rsidR="00192B65" w:rsidRPr="00FC0EC8">
        <w:rPr>
          <w:lang w:val="en-NZ"/>
        </w:rPr>
        <w:t>In other cases, a very high level of related party debt may be loaded into a New Zealand subsidiary to depress the subsidiary’s credit</w:t>
      </w:r>
      <w:r w:rsidR="00243BAE">
        <w:rPr>
          <w:lang w:val="en-NZ"/>
        </w:rPr>
        <w:t>worthiness</w:t>
      </w:r>
      <w:r w:rsidR="00192B65" w:rsidRPr="00FC0EC8">
        <w:rPr>
          <w:lang w:val="en-NZ"/>
        </w:rPr>
        <w:t>, which also is used to j</w:t>
      </w:r>
      <w:r w:rsidR="00192B65">
        <w:rPr>
          <w:lang w:val="en-NZ"/>
        </w:rPr>
        <w:t>ustify a higher interest rate.</w:t>
      </w:r>
    </w:p>
    <w:p w:rsidR="00192B65" w:rsidRPr="00FC0EC8" w:rsidRDefault="00192B65" w:rsidP="00192B65">
      <w:pPr>
        <w:rPr>
          <w:lang w:val="en-NZ"/>
        </w:rPr>
      </w:pPr>
    </w:p>
    <w:p w:rsidR="00192B65" w:rsidRPr="00FC0EC8" w:rsidRDefault="001723AC" w:rsidP="00192B65">
      <w:pPr>
        <w:rPr>
          <w:lang w:val="en-NZ"/>
        </w:rPr>
      </w:pPr>
      <w:r w:rsidRPr="00FC0EC8">
        <w:rPr>
          <w:lang w:val="en-NZ"/>
        </w:rPr>
        <w:t xml:space="preserve">It can be difficult </w:t>
      </w:r>
      <w:r>
        <w:rPr>
          <w:lang w:val="en-NZ"/>
        </w:rPr>
        <w:t xml:space="preserve">for Inland Revenue </w:t>
      </w:r>
      <w:r w:rsidRPr="00FC0EC8">
        <w:rPr>
          <w:lang w:val="en-NZ"/>
        </w:rPr>
        <w:t xml:space="preserve">to challenge such arrangements under the transfer pricing rules </w:t>
      </w:r>
      <w:r w:rsidR="00A739B1">
        <w:rPr>
          <w:lang w:val="en-NZ"/>
        </w:rPr>
        <w:t xml:space="preserve">as </w:t>
      </w:r>
      <w:r>
        <w:rPr>
          <w:lang w:val="en-NZ"/>
        </w:rPr>
        <w:t xml:space="preserve">similar conditions are not generally </w:t>
      </w:r>
      <w:r w:rsidR="00243BAE">
        <w:rPr>
          <w:lang w:val="en-NZ"/>
        </w:rPr>
        <w:t xml:space="preserve">found </w:t>
      </w:r>
      <w:r w:rsidR="005F417B">
        <w:rPr>
          <w:lang w:val="en-NZ"/>
        </w:rPr>
        <w:t xml:space="preserve">in arrangements </w:t>
      </w:r>
      <w:r>
        <w:rPr>
          <w:lang w:val="en-NZ"/>
        </w:rPr>
        <w:t>entered into by third parties in comparable circumstances</w:t>
      </w:r>
      <w:r w:rsidR="007306EA">
        <w:rPr>
          <w:lang w:val="en-NZ"/>
        </w:rPr>
        <w:t xml:space="preserve">. </w:t>
      </w:r>
      <w:r w:rsidR="00192B65" w:rsidRPr="00FC0EC8">
        <w:rPr>
          <w:lang w:val="en-NZ"/>
        </w:rPr>
        <w:t xml:space="preserve">With the </w:t>
      </w:r>
      <w:r w:rsidR="00FC526B">
        <w:rPr>
          <w:lang w:val="en-NZ"/>
        </w:rPr>
        <w:t xml:space="preserve">new </w:t>
      </w:r>
      <w:r w:rsidR="00192B65" w:rsidRPr="00FC0EC8">
        <w:rPr>
          <w:lang w:val="en-NZ"/>
        </w:rPr>
        <w:t xml:space="preserve">stronger transfer pricing rules, the taxpayer would have to provide evidence that the legal form was consistent with the economic substance and that a third party operating at arm’s length would agree to enter </w:t>
      </w:r>
      <w:r w:rsidR="000C3823">
        <w:rPr>
          <w:lang w:val="en-NZ"/>
        </w:rPr>
        <w:t xml:space="preserve">into </w:t>
      </w:r>
      <w:r w:rsidR="00192B65" w:rsidRPr="00FC0EC8">
        <w:rPr>
          <w:lang w:val="en-NZ"/>
        </w:rPr>
        <w:t>the arrangement.</w:t>
      </w:r>
      <w:r w:rsidR="00292098">
        <w:rPr>
          <w:lang w:val="en-NZ"/>
        </w:rPr>
        <w:t xml:space="preserve"> </w:t>
      </w:r>
      <w:r w:rsidR="00192B65" w:rsidRPr="00FC0EC8">
        <w:rPr>
          <w:lang w:val="en-NZ"/>
        </w:rPr>
        <w:t>These new requirements should limit the use of artificial or commercially irrational funding arrangements.</w:t>
      </w:r>
      <w:r w:rsidR="00292098">
        <w:rPr>
          <w:lang w:val="en-NZ"/>
        </w:rPr>
        <w:t xml:space="preserve"> </w:t>
      </w:r>
      <w:r w:rsidR="00192B65" w:rsidRPr="00FC0EC8">
        <w:rPr>
          <w:lang w:val="en-NZ"/>
        </w:rPr>
        <w:t xml:space="preserve">However, </w:t>
      </w:r>
      <w:r w:rsidR="004D512E">
        <w:rPr>
          <w:lang w:val="en-NZ"/>
        </w:rPr>
        <w:t xml:space="preserve">in isolation, </w:t>
      </w:r>
      <w:r w:rsidR="00192B65">
        <w:rPr>
          <w:lang w:val="en-NZ"/>
        </w:rPr>
        <w:t>the</w:t>
      </w:r>
      <w:r w:rsidR="00603E99">
        <w:rPr>
          <w:lang w:val="en-NZ"/>
        </w:rPr>
        <w:t>y</w:t>
      </w:r>
      <w:r w:rsidR="00192B65">
        <w:rPr>
          <w:lang w:val="en-NZ"/>
        </w:rPr>
        <w:t xml:space="preserve"> </w:t>
      </w:r>
      <w:r w:rsidR="004D512E">
        <w:rPr>
          <w:lang w:val="en-NZ"/>
        </w:rPr>
        <w:t xml:space="preserve">would </w:t>
      </w:r>
      <w:r w:rsidR="00192B65" w:rsidRPr="00FC0EC8">
        <w:rPr>
          <w:lang w:val="en-NZ"/>
        </w:rPr>
        <w:t>still provide scope for taxpayers to choose to borrow from related parties using higher-priced forms of debt than they would typically choose when borrowing from third parties.</w:t>
      </w:r>
    </w:p>
    <w:p w:rsidR="00192B65" w:rsidRPr="00FC0EC8" w:rsidRDefault="00192B65" w:rsidP="00192B65">
      <w:pPr>
        <w:rPr>
          <w:lang w:val="en-NZ"/>
        </w:rPr>
      </w:pPr>
    </w:p>
    <w:p w:rsidR="00192B65" w:rsidRPr="00FC0EC8" w:rsidRDefault="00192B65" w:rsidP="00192B65">
      <w:pPr>
        <w:rPr>
          <w:lang w:val="en-NZ"/>
        </w:rPr>
      </w:pPr>
      <w:r w:rsidRPr="00FC0EC8">
        <w:rPr>
          <w:lang w:val="en-NZ"/>
        </w:rPr>
        <w:t xml:space="preserve">In addition, the highly </w:t>
      </w:r>
      <w:r>
        <w:rPr>
          <w:lang w:val="en-NZ"/>
        </w:rPr>
        <w:t>fact</w:t>
      </w:r>
      <w:r w:rsidR="00E77E6B">
        <w:rPr>
          <w:lang w:val="en-NZ"/>
        </w:rPr>
        <w:t>-</w:t>
      </w:r>
      <w:r>
        <w:rPr>
          <w:lang w:val="en-NZ"/>
        </w:rPr>
        <w:t>dependent</w:t>
      </w:r>
      <w:r w:rsidRPr="00FC0EC8">
        <w:rPr>
          <w:lang w:val="en-NZ"/>
        </w:rPr>
        <w:t xml:space="preserve"> and subjective nature of transfer pricing can make the rules complex and uncertain to apply.</w:t>
      </w:r>
      <w:r w:rsidR="00292098">
        <w:rPr>
          <w:lang w:val="en-NZ"/>
        </w:rPr>
        <w:t xml:space="preserve"> </w:t>
      </w:r>
      <w:r w:rsidRPr="00FC0EC8">
        <w:rPr>
          <w:lang w:val="en-NZ"/>
        </w:rPr>
        <w:t xml:space="preserve">Assessing compliance with the arm’s length principle requires very detailed and specific information and analysis of how a comparable transaction between unrelated parties would have been </w:t>
      </w:r>
      <w:r w:rsidR="005F417B">
        <w:rPr>
          <w:lang w:val="en-NZ"/>
        </w:rPr>
        <w:t>document</w:t>
      </w:r>
      <w:r w:rsidR="00243BAE">
        <w:rPr>
          <w:lang w:val="en-NZ"/>
        </w:rPr>
        <w:t>ed</w:t>
      </w:r>
      <w:r w:rsidRPr="00FC0EC8">
        <w:rPr>
          <w:lang w:val="en-NZ"/>
        </w:rPr>
        <w:t>.</w:t>
      </w:r>
      <w:r w:rsidR="00292098">
        <w:rPr>
          <w:lang w:val="en-NZ"/>
        </w:rPr>
        <w:t xml:space="preserve"> </w:t>
      </w:r>
      <w:r w:rsidRPr="00FC0EC8">
        <w:rPr>
          <w:lang w:val="en-NZ"/>
        </w:rPr>
        <w:t>This makes complying with the transfer pricing rules a resource-intensive exercise which can have high compliance costs and risk of errors.</w:t>
      </w:r>
      <w:r w:rsidR="00292098">
        <w:rPr>
          <w:lang w:val="en-NZ"/>
        </w:rPr>
        <w:t xml:space="preserve"> </w:t>
      </w:r>
      <w:r w:rsidRPr="00FC0EC8">
        <w:rPr>
          <w:lang w:val="en-NZ"/>
        </w:rPr>
        <w:t>Transfer pricing disputes can take years to resolve and can have high costs fo</w:t>
      </w:r>
      <w:r>
        <w:rPr>
          <w:lang w:val="en-NZ"/>
        </w:rPr>
        <w:t>r taxpayers and Inland Revenue.</w:t>
      </w:r>
    </w:p>
    <w:p w:rsidR="00192B65" w:rsidRPr="00FC0EC8" w:rsidRDefault="00192B65" w:rsidP="00192B65">
      <w:pPr>
        <w:rPr>
          <w:lang w:val="en-NZ"/>
        </w:rPr>
      </w:pPr>
    </w:p>
    <w:p w:rsidR="00192B65" w:rsidRPr="004F5D4C" w:rsidRDefault="00192B65" w:rsidP="00192B65">
      <w:pPr>
        <w:rPr>
          <w:lang w:val="en-NZ"/>
        </w:rPr>
      </w:pPr>
      <w:r>
        <w:rPr>
          <w:lang w:val="en-NZ"/>
        </w:rPr>
        <w:t xml:space="preserve">New Zealand is </w:t>
      </w:r>
      <w:r w:rsidRPr="00FC0EC8">
        <w:rPr>
          <w:lang w:val="en-NZ"/>
        </w:rPr>
        <w:t>not alone in these concerns.</w:t>
      </w:r>
      <w:r w:rsidR="00292098">
        <w:rPr>
          <w:lang w:val="en-NZ"/>
        </w:rPr>
        <w:t xml:space="preserve"> </w:t>
      </w:r>
      <w:r w:rsidRPr="00FC0EC8">
        <w:rPr>
          <w:lang w:val="en-NZ"/>
        </w:rPr>
        <w:t>The OECD’s final report on interest limitation rules notes that thin capitalisation rules are vulnerable to loans with excessive interest rates.</w:t>
      </w:r>
      <w:r w:rsidR="00292098">
        <w:rPr>
          <w:lang w:val="en-NZ"/>
        </w:rPr>
        <w:t xml:space="preserve"> </w:t>
      </w:r>
      <w:r w:rsidRPr="00FC0EC8">
        <w:rPr>
          <w:lang w:val="en-NZ"/>
        </w:rPr>
        <w:t xml:space="preserve">This was one of the reasons behind the OECD favouring the </w:t>
      </w:r>
      <w:r>
        <w:rPr>
          <w:lang w:val="en-NZ"/>
        </w:rPr>
        <w:t>earnings before interest, tax, depreciation and amortisation (</w:t>
      </w:r>
      <w:r w:rsidRPr="00FC0EC8">
        <w:rPr>
          <w:lang w:val="en-NZ"/>
        </w:rPr>
        <w:t>EBITDA</w:t>
      </w:r>
      <w:r>
        <w:rPr>
          <w:lang w:val="en-NZ"/>
        </w:rPr>
        <w:t>)</w:t>
      </w:r>
      <w:r w:rsidRPr="00FC0EC8">
        <w:rPr>
          <w:lang w:val="en-NZ"/>
        </w:rPr>
        <w:t xml:space="preserve"> approach to limit interest deductions.</w:t>
      </w:r>
    </w:p>
    <w:p w:rsidR="00192B65" w:rsidRDefault="00192B65" w:rsidP="00192B65">
      <w:pPr>
        <w:rPr>
          <w:lang w:val="en-NZ"/>
        </w:rPr>
      </w:pPr>
    </w:p>
    <w:p w:rsidR="007813B9" w:rsidRPr="007813B9" w:rsidRDefault="007813B9" w:rsidP="007813B9">
      <w:pPr>
        <w:pStyle w:val="Heading4"/>
        <w:rPr>
          <w:b/>
          <w:lang w:val="en-NZ"/>
        </w:rPr>
      </w:pPr>
      <w:r w:rsidRPr="007813B9">
        <w:rPr>
          <w:b/>
          <w:lang w:val="en-NZ"/>
        </w:rPr>
        <w:t xml:space="preserve">From </w:t>
      </w:r>
      <w:r w:rsidR="004C7A63">
        <w:rPr>
          <w:b/>
          <w:lang w:val="en-NZ"/>
        </w:rPr>
        <w:t>restricted transfer pricing</w:t>
      </w:r>
      <w:r w:rsidRPr="007813B9">
        <w:rPr>
          <w:b/>
          <w:lang w:val="en-NZ"/>
        </w:rPr>
        <w:t xml:space="preserve"> to interest rate</w:t>
      </w:r>
    </w:p>
    <w:p w:rsidR="007813B9" w:rsidRDefault="007813B9" w:rsidP="00192B65">
      <w:pPr>
        <w:rPr>
          <w:lang w:val="en-NZ"/>
        </w:rPr>
      </w:pPr>
    </w:p>
    <w:p w:rsidR="001F0044" w:rsidRDefault="007813B9" w:rsidP="00192B65">
      <w:pPr>
        <w:rPr>
          <w:lang w:val="en-NZ"/>
        </w:rPr>
      </w:pPr>
      <w:r>
        <w:rPr>
          <w:lang w:val="en-NZ"/>
        </w:rPr>
        <w:t xml:space="preserve">The </w:t>
      </w:r>
      <w:r w:rsidR="00603E99">
        <w:rPr>
          <w:lang w:val="en-NZ"/>
        </w:rPr>
        <w:t>guidance</w:t>
      </w:r>
      <w:r>
        <w:rPr>
          <w:lang w:val="en-NZ"/>
        </w:rPr>
        <w:t xml:space="preserve"> in this report as well as the legislative restrictions imposed by the restricted transfer pricing rule</w:t>
      </w:r>
      <w:r w:rsidR="001F0044">
        <w:rPr>
          <w:lang w:val="en-NZ"/>
        </w:rPr>
        <w:t xml:space="preserve"> focus </w:t>
      </w:r>
      <w:r w:rsidR="004C7A63">
        <w:rPr>
          <w:lang w:val="en-NZ"/>
        </w:rPr>
        <w:t xml:space="preserve">on </w:t>
      </w:r>
      <w:r w:rsidR="001F0044">
        <w:rPr>
          <w:lang w:val="en-NZ"/>
        </w:rPr>
        <w:t>credit rating</w:t>
      </w:r>
      <w:r w:rsidR="004C7A63">
        <w:rPr>
          <w:lang w:val="en-NZ"/>
        </w:rPr>
        <w:t>,</w:t>
      </w:r>
      <w:r w:rsidR="001F0044">
        <w:rPr>
          <w:lang w:val="en-NZ"/>
        </w:rPr>
        <w:t xml:space="preserve"> </w:t>
      </w:r>
      <w:r w:rsidR="004C7A63">
        <w:rPr>
          <w:lang w:val="en-NZ"/>
        </w:rPr>
        <w:t xml:space="preserve">and instrument terms and conditions </w:t>
      </w:r>
      <w:r w:rsidR="00E77E6B">
        <w:rPr>
          <w:lang w:val="en-NZ"/>
        </w:rPr>
        <w:t xml:space="preserve">restrictions, </w:t>
      </w:r>
      <w:r w:rsidR="001F0044">
        <w:rPr>
          <w:lang w:val="en-NZ"/>
        </w:rPr>
        <w:t xml:space="preserve">rather than </w:t>
      </w:r>
      <w:r w:rsidR="000C3823">
        <w:rPr>
          <w:lang w:val="en-NZ"/>
        </w:rPr>
        <w:t xml:space="preserve">directly </w:t>
      </w:r>
      <w:r w:rsidR="008B6FF1">
        <w:rPr>
          <w:lang w:val="en-NZ"/>
        </w:rPr>
        <w:t>determining an</w:t>
      </w:r>
      <w:r w:rsidR="001F0044">
        <w:rPr>
          <w:lang w:val="en-NZ"/>
        </w:rPr>
        <w:t xml:space="preserve"> </w:t>
      </w:r>
      <w:r w:rsidR="008B6FF1">
        <w:rPr>
          <w:lang w:val="en-NZ"/>
        </w:rPr>
        <w:t>appropriate interest rate</w:t>
      </w:r>
      <w:r w:rsidR="001F0044">
        <w:rPr>
          <w:lang w:val="en-NZ"/>
        </w:rPr>
        <w:t xml:space="preserve"> </w:t>
      </w:r>
      <w:r w:rsidR="008B6FF1">
        <w:rPr>
          <w:lang w:val="en-NZ"/>
        </w:rPr>
        <w:t>or margin</w:t>
      </w:r>
      <w:r w:rsidR="001F0044">
        <w:rPr>
          <w:lang w:val="en-NZ"/>
        </w:rPr>
        <w:t>.</w:t>
      </w:r>
    </w:p>
    <w:p w:rsidR="001F0044" w:rsidRDefault="001F0044" w:rsidP="00192B65">
      <w:pPr>
        <w:rPr>
          <w:lang w:val="en-NZ"/>
        </w:rPr>
      </w:pPr>
    </w:p>
    <w:p w:rsidR="007813B9" w:rsidRDefault="001F0044" w:rsidP="00192B65">
      <w:pPr>
        <w:rPr>
          <w:lang w:val="en-NZ"/>
        </w:rPr>
      </w:pPr>
      <w:r>
        <w:rPr>
          <w:lang w:val="en-NZ"/>
        </w:rPr>
        <w:t>For any particular credit rating</w:t>
      </w:r>
      <w:r w:rsidR="00E77E6B">
        <w:rPr>
          <w:lang w:val="en-NZ"/>
        </w:rPr>
        <w:t>,</w:t>
      </w:r>
      <w:r>
        <w:rPr>
          <w:lang w:val="en-NZ"/>
        </w:rPr>
        <w:t xml:space="preserve"> it is necessary to use this information, along with other relevant factors, to determine an appropriate interest rate.</w:t>
      </w:r>
      <w:r w:rsidR="00292098">
        <w:rPr>
          <w:lang w:val="en-NZ"/>
        </w:rPr>
        <w:t xml:space="preserve"> </w:t>
      </w:r>
      <w:r>
        <w:rPr>
          <w:lang w:val="en-NZ"/>
        </w:rPr>
        <w:t>This will frequently require access to specialist information such as that provided by Bloomberg or Reuters, on comparable instruments.</w:t>
      </w:r>
      <w:r w:rsidR="00292098">
        <w:rPr>
          <w:lang w:val="en-NZ"/>
        </w:rPr>
        <w:t xml:space="preserve"> </w:t>
      </w:r>
      <w:r>
        <w:rPr>
          <w:lang w:val="en-NZ"/>
        </w:rPr>
        <w:t xml:space="preserve">This </w:t>
      </w:r>
      <w:r w:rsidR="008B6FF1">
        <w:rPr>
          <w:lang w:val="en-NZ"/>
        </w:rPr>
        <w:t xml:space="preserve">approach </w:t>
      </w:r>
      <w:r>
        <w:rPr>
          <w:lang w:val="en-NZ"/>
        </w:rPr>
        <w:t>is unchanged between the previous transfer pricing rules and the additional requirements required under the restricted transfer pricing rule.</w:t>
      </w:r>
    </w:p>
    <w:p w:rsidR="004C41AE" w:rsidRDefault="004C41AE" w:rsidP="00192B65">
      <w:pPr>
        <w:rPr>
          <w:lang w:val="en-NZ"/>
        </w:rPr>
      </w:pPr>
    </w:p>
    <w:p w:rsidR="004C41AE" w:rsidRDefault="004C41AE" w:rsidP="00192B65">
      <w:pPr>
        <w:rPr>
          <w:lang w:val="en-NZ"/>
        </w:rPr>
      </w:pPr>
      <w:r>
        <w:rPr>
          <w:lang w:val="en-NZ"/>
        </w:rPr>
        <w:t>Selection of suitable comparables and any adjustments that need to be made to them, such as converting into New Zealand Dollars</w:t>
      </w:r>
      <w:r w:rsidR="008B6FF1">
        <w:rPr>
          <w:lang w:val="en-NZ"/>
        </w:rPr>
        <w:t>, remains critical to arriving at an appropriate rate for a given transaction.</w:t>
      </w:r>
    </w:p>
    <w:p w:rsidR="00192B65" w:rsidRPr="00F049F7" w:rsidRDefault="00192B65" w:rsidP="00192B65">
      <w:pPr>
        <w:rPr>
          <w:lang w:val="en-NZ"/>
        </w:rPr>
      </w:pPr>
    </w:p>
    <w:p w:rsidR="00192B65" w:rsidRPr="004F5D4C" w:rsidRDefault="00192B65" w:rsidP="00192B65">
      <w:pPr>
        <w:pStyle w:val="Heading2"/>
        <w:rPr>
          <w:lang w:val="en-NZ"/>
        </w:rPr>
      </w:pPr>
      <w:r w:rsidRPr="004F5D4C">
        <w:rPr>
          <w:lang w:val="en-NZ"/>
        </w:rPr>
        <w:t>Detailed analysis</w:t>
      </w:r>
    </w:p>
    <w:p w:rsidR="00192B65" w:rsidRDefault="00192B65" w:rsidP="00192B65"/>
    <w:p w:rsidR="003C0E6F" w:rsidRDefault="003C0E6F" w:rsidP="00192B65">
      <w:r>
        <w:t>The following flow chart sets out</w:t>
      </w:r>
      <w:r w:rsidR="00293CE6">
        <w:t>, at a high level,</w:t>
      </w:r>
      <w:r>
        <w:t xml:space="preserve"> the steps a New Zealand borrower must go through</w:t>
      </w:r>
      <w:r w:rsidR="00532BAB">
        <w:t>,</w:t>
      </w:r>
      <w:r>
        <w:t xml:space="preserve"> before determining a credit rating adjustment is required under the new rules</w:t>
      </w:r>
      <w:r w:rsidR="00293CE6">
        <w:t>.</w:t>
      </w:r>
      <w:r w:rsidR="00292098">
        <w:t xml:space="preserve"> </w:t>
      </w:r>
      <w:r w:rsidR="00293CE6">
        <w:t>Further detail on each of these steps is provided below</w:t>
      </w:r>
    </w:p>
    <w:p w:rsidR="00532BAB" w:rsidRDefault="00532BAB">
      <w:pPr>
        <w:jc w:val="left"/>
      </w:pPr>
    </w:p>
    <w:p w:rsidR="00A06DB2" w:rsidRDefault="00A06DB2">
      <w:pPr>
        <w:jc w:val="left"/>
        <w:rPr>
          <w:b/>
        </w:rPr>
      </w:pPr>
      <w:r>
        <w:rPr>
          <w:b/>
        </w:rPr>
        <w:br w:type="page"/>
      </w:r>
    </w:p>
    <w:p w:rsidR="00532BAB" w:rsidRDefault="00532BAB" w:rsidP="00532BAB">
      <w:pPr>
        <w:rPr>
          <w:b/>
        </w:rPr>
      </w:pPr>
      <w:r w:rsidRPr="00F049F7">
        <w:rPr>
          <w:b/>
        </w:rPr>
        <w:t xml:space="preserve">Flowchart </w:t>
      </w:r>
      <w:r>
        <w:rPr>
          <w:b/>
        </w:rPr>
        <w:t>1</w:t>
      </w:r>
      <w:r w:rsidRPr="00F049F7">
        <w:rPr>
          <w:b/>
        </w:rPr>
        <w:t>:</w:t>
      </w:r>
      <w:r w:rsidR="00292098">
        <w:rPr>
          <w:b/>
        </w:rPr>
        <w:t xml:space="preserve"> </w:t>
      </w:r>
      <w:r w:rsidR="00204FE3">
        <w:rPr>
          <w:b/>
        </w:rPr>
        <w:t>Process for determining NZ borrower’s credit rating</w:t>
      </w:r>
    </w:p>
    <w:p w:rsidR="00A06DB2" w:rsidRPr="00A06DB2" w:rsidRDefault="00A06DB2" w:rsidP="00532BAB"/>
    <w:p w:rsidR="003C0E6F" w:rsidRDefault="00507AB5">
      <w:pPr>
        <w:jc w:val="left"/>
      </w:pPr>
      <w:r>
        <w:object w:dxaOrig="9676" w:dyaOrig="14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631.95pt" o:ole="">
            <v:imagedata r:id="rId7" o:title=""/>
          </v:shape>
          <o:OLEObject Type="Embed" ProgID="Visio.Drawing.15" ShapeID="_x0000_i1025" DrawAspect="Content" ObjectID="_1618044751" r:id="rId8"/>
        </w:object>
      </w:r>
      <w:r w:rsidR="003C0E6F">
        <w:br w:type="page"/>
      </w:r>
    </w:p>
    <w:p w:rsidR="003C0E6F" w:rsidRDefault="003C0E6F" w:rsidP="00192B65"/>
    <w:p w:rsidR="003C0E6F" w:rsidRPr="002F1623" w:rsidRDefault="002F1623" w:rsidP="00192B65">
      <w:pPr>
        <w:rPr>
          <w:b/>
          <w:i/>
        </w:rPr>
      </w:pPr>
      <w:r w:rsidRPr="002F1623">
        <w:rPr>
          <w:b/>
          <w:i/>
        </w:rPr>
        <w:t>Cross-border related borrowing</w:t>
      </w:r>
    </w:p>
    <w:p w:rsidR="002F1623" w:rsidRDefault="002F1623" w:rsidP="00192B65"/>
    <w:p w:rsidR="002F1623" w:rsidRDefault="002F1623" w:rsidP="00192B65">
      <w:r>
        <w:t xml:space="preserve">Both the credit rating and disregarded features part of the restricted transfer pricing rule apply </w:t>
      </w:r>
      <w:r w:rsidR="0081440F">
        <w:t xml:space="preserve">only </w:t>
      </w:r>
      <w:r>
        <w:t>where there is a cross-border related borrowing</w:t>
      </w:r>
      <w:r w:rsidR="00F84886">
        <w:t xml:space="preserve"> which is defined in section GC 6(3B)</w:t>
      </w:r>
      <w:r w:rsidR="00A71438">
        <w:t>.</w:t>
      </w:r>
      <w:r w:rsidR="00292098">
        <w:t xml:space="preserve"> </w:t>
      </w:r>
      <w:r w:rsidR="00A71438">
        <w:t xml:space="preserve">To be a cross-border related borrowing funds must have been provided to the borrower </w:t>
      </w:r>
      <w:r w:rsidR="00603E99">
        <w:t>under</w:t>
      </w:r>
      <w:r w:rsidR="00A71438">
        <w:t xml:space="preserve"> which deductible expenditure arises and one or more of</w:t>
      </w:r>
      <w:r w:rsidR="00FC13F6">
        <w:t xml:space="preserve"> the following factors</w:t>
      </w:r>
      <w:r w:rsidR="00A71438">
        <w:t>:</w:t>
      </w:r>
    </w:p>
    <w:p w:rsidR="00A06DB2" w:rsidRDefault="00A06DB2" w:rsidP="00192B65"/>
    <w:p w:rsidR="00A71438" w:rsidRDefault="00A71438" w:rsidP="00A06DB2">
      <w:pPr>
        <w:pStyle w:val="Bullets"/>
      </w:pPr>
      <w:r>
        <w:t>the lender and borrower are associated</w:t>
      </w:r>
      <w:r w:rsidR="00E77E6B">
        <w:t>;</w:t>
      </w:r>
    </w:p>
    <w:p w:rsidR="00A71438" w:rsidRDefault="00A71438" w:rsidP="00A06DB2">
      <w:pPr>
        <w:pStyle w:val="Bullets"/>
      </w:pPr>
      <w:r>
        <w:t>the</w:t>
      </w:r>
      <w:r w:rsidR="00603E99">
        <w:t>re is a person or group of persons that</w:t>
      </w:r>
      <w:r>
        <w:t xml:space="preserve"> has an ownership right of at least 50% in the </w:t>
      </w:r>
      <w:r w:rsidR="00603E99">
        <w:t xml:space="preserve">lender and the </w:t>
      </w:r>
      <w:r>
        <w:t>borrower</w:t>
      </w:r>
      <w:r w:rsidR="00E77E6B">
        <w:t>;</w:t>
      </w:r>
    </w:p>
    <w:p w:rsidR="00A71438" w:rsidRDefault="00A71438" w:rsidP="00A06DB2">
      <w:pPr>
        <w:pStyle w:val="Bullets"/>
      </w:pPr>
      <w:r>
        <w:t>the funding is provided through an indirect associated funding arrangement</w:t>
      </w:r>
      <w:r w:rsidR="00C203DF">
        <w:t xml:space="preserve"> (detailed further on)</w:t>
      </w:r>
      <w:r w:rsidR="00E77E6B">
        <w:t>; or</w:t>
      </w:r>
    </w:p>
    <w:p w:rsidR="00A71438" w:rsidRDefault="00015FA4" w:rsidP="00A06DB2">
      <w:pPr>
        <w:pStyle w:val="Bullets"/>
      </w:pPr>
      <w:r>
        <w:t>the lender is part of a non-resident owning body or other group of non-residents acting in concert and that body or group has an ownership right of at least 50% in the borrower.</w:t>
      </w:r>
    </w:p>
    <w:p w:rsidR="002F1623" w:rsidRDefault="002F1623" w:rsidP="00A06DB2"/>
    <w:p w:rsidR="009051FC" w:rsidRDefault="009051FC" w:rsidP="00192B65">
      <w:pPr>
        <w:rPr>
          <w:i/>
        </w:rPr>
      </w:pPr>
      <w:r>
        <w:rPr>
          <w:i/>
        </w:rPr>
        <w:t>Provides funds</w:t>
      </w:r>
    </w:p>
    <w:p w:rsidR="009051FC" w:rsidRDefault="009051FC" w:rsidP="00192B65">
      <w:pPr>
        <w:rPr>
          <w:i/>
        </w:rPr>
      </w:pPr>
    </w:p>
    <w:p w:rsidR="009051FC" w:rsidRDefault="00993D95" w:rsidP="00192B65">
      <w:r>
        <w:t>Section GC 6(3B)(a</w:t>
      </w:r>
      <w:r w:rsidR="009051FC">
        <w:t>) requires that for an arrangement to be a cross-border related borrowing</w:t>
      </w:r>
      <w:r w:rsidR="00E77E6B">
        <w:t>,</w:t>
      </w:r>
      <w:r w:rsidR="009051FC">
        <w:t xml:space="preserve"> a non-resident lender </w:t>
      </w:r>
      <w:r w:rsidR="00243BAE">
        <w:t xml:space="preserve">must </w:t>
      </w:r>
      <w:r w:rsidR="009051FC">
        <w:t>provide funds to the borrower.</w:t>
      </w:r>
      <w:r w:rsidR="00292098">
        <w:t xml:space="preserve"> </w:t>
      </w:r>
      <w:r w:rsidR="009051FC">
        <w:t>This term has been used in the thin capitalisation rules since their inception and is also used in the non-resident financial arrangement income rules.</w:t>
      </w:r>
      <w:r w:rsidR="00292098">
        <w:t xml:space="preserve"> </w:t>
      </w:r>
      <w:r w:rsidR="00FC13F6">
        <w:t xml:space="preserve">It is </w:t>
      </w:r>
      <w:r>
        <w:t>explained on page</w:t>
      </w:r>
      <w:r w:rsidR="00FC13F6">
        <w:t>s</w:t>
      </w:r>
      <w:r>
        <w:t xml:space="preserve"> 54 and 55 of </w:t>
      </w:r>
      <w:r>
        <w:rPr>
          <w:i/>
        </w:rPr>
        <w:t>Tax Information Bulletin</w:t>
      </w:r>
      <w:r>
        <w:t xml:space="preserve"> Volume 29, No 5, June 2017</w:t>
      </w:r>
      <w:r w:rsidR="007306EA">
        <w:t xml:space="preserve">. </w:t>
      </w:r>
      <w:r w:rsidR="00FC13F6">
        <w:t xml:space="preserve">It </w:t>
      </w:r>
      <w:r>
        <w:t xml:space="preserve">includes a finance lease, which in substance is a </w:t>
      </w:r>
      <w:r w:rsidR="00FC13F6">
        <w:t>vendor-financed sale</w:t>
      </w:r>
      <w:r w:rsidR="007306EA">
        <w:t xml:space="preserve">. </w:t>
      </w:r>
      <w:r w:rsidR="00FC13F6">
        <w:t>It does not include</w:t>
      </w:r>
      <w:r>
        <w:t xml:space="preserve"> an operating lease.</w:t>
      </w:r>
    </w:p>
    <w:p w:rsidR="00993D95" w:rsidRDefault="00993D95" w:rsidP="00192B65"/>
    <w:p w:rsidR="00993D95" w:rsidRDefault="00993D95" w:rsidP="00192B65">
      <w:r>
        <w:rPr>
          <w:i/>
        </w:rPr>
        <w:t>Expenditure arises for the borrower</w:t>
      </w:r>
    </w:p>
    <w:p w:rsidR="00993D95" w:rsidRDefault="00993D95" w:rsidP="00192B65"/>
    <w:p w:rsidR="00993D95" w:rsidRPr="00993D95" w:rsidRDefault="00993D95" w:rsidP="00192B65">
      <w:r>
        <w:t>Section GC 6(3B)(b) requires that for an arrangement to be a cross-border related borrowing</w:t>
      </w:r>
      <w:r w:rsidR="00E77E6B">
        <w:t>,</w:t>
      </w:r>
      <w:r>
        <w:t xml:space="preserve"> expenditure must arise for the borrower for which the borrower is allowed a deduction.</w:t>
      </w:r>
      <w:r w:rsidR="00292098">
        <w:t xml:space="preserve"> </w:t>
      </w:r>
      <w:r w:rsidR="00FC13F6">
        <w:t>T</w:t>
      </w:r>
      <w:r w:rsidR="00F01D66">
        <w:t xml:space="preserve">here </w:t>
      </w:r>
      <w:r w:rsidR="00FC13F6">
        <w:t xml:space="preserve">is </w:t>
      </w:r>
      <w:r w:rsidR="00F01D66">
        <w:t xml:space="preserve">no advantage in adjusting the interest </w:t>
      </w:r>
      <w:r w:rsidR="00FC13F6">
        <w:t xml:space="preserve">on </w:t>
      </w:r>
      <w:r w:rsidR="00F01D66">
        <w:t xml:space="preserve">a related party loan if that interest </w:t>
      </w:r>
      <w:r w:rsidR="00FC13F6">
        <w:t>is</w:t>
      </w:r>
      <w:r w:rsidR="00A06DB2">
        <w:t xml:space="preserve"> not deductible</w:t>
      </w:r>
      <w:r w:rsidR="00292098">
        <w:t xml:space="preserve"> </w:t>
      </w:r>
      <w:r w:rsidR="00F01D66">
        <w:t xml:space="preserve">including under </w:t>
      </w:r>
      <w:r w:rsidR="00EA03D2">
        <w:t xml:space="preserve">sections FH 3, FH 7 and FH 11 of the </w:t>
      </w:r>
      <w:r w:rsidR="00F01D66">
        <w:t xml:space="preserve">hybrid </w:t>
      </w:r>
      <w:r w:rsidR="00EA03D2">
        <w:t xml:space="preserve">and branch mismatch </w:t>
      </w:r>
      <w:r w:rsidR="00F01D66">
        <w:t>rules</w:t>
      </w:r>
      <w:r w:rsidR="00EA03D2">
        <w:t xml:space="preserve"> (that is, one that is not subject to reversal under section FH 12)</w:t>
      </w:r>
      <w:r w:rsidR="00F01D66">
        <w:t>.</w:t>
      </w:r>
      <w:r w:rsidR="00EB179A" w:rsidRPr="00EB179A">
        <w:t xml:space="preserve"> </w:t>
      </w:r>
      <w:r w:rsidR="00EB179A">
        <w:t>There is no timing restriction on this provision so the rules continue to apply if the deduction is temporarily disallowed, for example because it is a hybrid deduction denied subject to reversal under section FH 12.</w:t>
      </w:r>
    </w:p>
    <w:p w:rsidR="009051FC" w:rsidRDefault="009051FC" w:rsidP="00192B65">
      <w:pPr>
        <w:rPr>
          <w:i/>
        </w:rPr>
      </w:pPr>
    </w:p>
    <w:p w:rsidR="00015FA4" w:rsidRDefault="00015FA4" w:rsidP="00192B65">
      <w:pPr>
        <w:rPr>
          <w:i/>
        </w:rPr>
      </w:pPr>
      <w:r>
        <w:rPr>
          <w:i/>
        </w:rPr>
        <w:t>Association</w:t>
      </w:r>
    </w:p>
    <w:p w:rsidR="00015FA4" w:rsidRDefault="00015FA4" w:rsidP="00192B65">
      <w:pPr>
        <w:rPr>
          <w:i/>
        </w:rPr>
      </w:pPr>
    </w:p>
    <w:p w:rsidR="00015FA4" w:rsidRDefault="00015FA4" w:rsidP="00192B65">
      <w:r>
        <w:t>The lender and borrower will be associated if they meet one or more of the existing association tests in subpart YB.</w:t>
      </w:r>
    </w:p>
    <w:p w:rsidR="00015FA4" w:rsidRDefault="00015FA4" w:rsidP="00192B65"/>
    <w:p w:rsidR="00015FA4" w:rsidRDefault="00015FA4" w:rsidP="00192B65">
      <w:pPr>
        <w:rPr>
          <w:i/>
        </w:rPr>
      </w:pPr>
      <w:r>
        <w:rPr>
          <w:i/>
        </w:rPr>
        <w:t>An ownership right of at least 50% in the borrower</w:t>
      </w:r>
    </w:p>
    <w:p w:rsidR="00015FA4" w:rsidRDefault="00015FA4" w:rsidP="00192B65">
      <w:pPr>
        <w:rPr>
          <w:i/>
        </w:rPr>
      </w:pPr>
    </w:p>
    <w:p w:rsidR="00015FA4" w:rsidRDefault="00015FA4" w:rsidP="00192B65">
      <w:r>
        <w:t>This test is determined under sections FE 38 to FE 41.</w:t>
      </w:r>
      <w:r w:rsidR="00292098">
        <w:t xml:space="preserve"> </w:t>
      </w:r>
      <w:r>
        <w:t xml:space="preserve">These sections provide how ownership interests in companies are determined and ensure that the restricted transfer pricing rule </w:t>
      </w:r>
      <w:r w:rsidR="00EB179A">
        <w:t>applies</w:t>
      </w:r>
      <w:r>
        <w:t xml:space="preserve"> to the same groups that are covered by the thin capitalisation rules.</w:t>
      </w:r>
      <w:r w:rsidR="00292098">
        <w:t xml:space="preserve"> </w:t>
      </w:r>
      <w:r>
        <w:t>The calculat</w:t>
      </w:r>
      <w:r w:rsidR="00EB179A">
        <w:t>ions</w:t>
      </w:r>
      <w:r>
        <w:t xml:space="preserve"> </w:t>
      </w:r>
      <w:r w:rsidR="00EB179A">
        <w:t xml:space="preserve">are </w:t>
      </w:r>
      <w:r>
        <w:t>similar to the control interest calculations in the controlled foreign company rules.</w:t>
      </w:r>
    </w:p>
    <w:p w:rsidR="00015FA4" w:rsidRDefault="00015FA4" w:rsidP="00192B65"/>
    <w:p w:rsidR="00015FA4" w:rsidRDefault="00015FA4" w:rsidP="00192B65">
      <w:r>
        <w:t xml:space="preserve">In </w:t>
      </w:r>
      <w:r w:rsidR="00EE4DD5">
        <w:t xml:space="preserve">the </w:t>
      </w:r>
      <w:r>
        <w:t>m</w:t>
      </w:r>
      <w:r w:rsidR="00EB1AC4">
        <w:t>ajority</w:t>
      </w:r>
      <w:r>
        <w:t xml:space="preserve"> </w:t>
      </w:r>
      <w:r w:rsidR="00082808">
        <w:t>of cases</w:t>
      </w:r>
      <w:r w:rsidR="00EE4DD5">
        <w:t xml:space="preserve">, where rights are held in equal proportion across </w:t>
      </w:r>
      <w:r w:rsidR="004434D4">
        <w:t>all (</w:t>
      </w:r>
      <w:r w:rsidR="00EE4DD5">
        <w:t>classes of</w:t>
      </w:r>
      <w:r w:rsidR="004434D4">
        <w:t>)</w:t>
      </w:r>
      <w:r w:rsidR="00EE4DD5">
        <w:t xml:space="preserve"> shares,</w:t>
      </w:r>
      <w:r>
        <w:t xml:space="preserve"> having an ownership right of at least 50% will occur where two companies are associated</w:t>
      </w:r>
      <w:r w:rsidR="004434D4">
        <w:t xml:space="preserve"> anyway</w:t>
      </w:r>
      <w:r>
        <w:t>.</w:t>
      </w:r>
      <w:r w:rsidR="00292098">
        <w:t xml:space="preserve"> </w:t>
      </w:r>
      <w:r>
        <w:t xml:space="preserve">However, this test will also </w:t>
      </w:r>
      <w:r w:rsidR="004434D4">
        <w:t>include</w:t>
      </w:r>
      <w:r>
        <w:t xml:space="preserve"> some lenders and borrower who are not associated </w:t>
      </w:r>
      <w:r w:rsidR="004434D4">
        <w:t>if</w:t>
      </w:r>
      <w:r>
        <w:t xml:space="preserve"> rights are not held in the same proportion across all (classes of) shareholders.</w:t>
      </w:r>
    </w:p>
    <w:p w:rsidR="00015FA4" w:rsidRDefault="00015FA4" w:rsidP="00192B65"/>
    <w:p w:rsidR="00015FA4" w:rsidRDefault="00015FA4" w:rsidP="00192B65">
      <w:r>
        <w:t>The test</w:t>
      </w:r>
      <w:r w:rsidR="00EE4DD5">
        <w:t xml:space="preserve"> references the direct control interests in section EX 5(1) as if the borrower was a foreign company and</w:t>
      </w:r>
      <w:r>
        <w:t xml:space="preserve"> looks at the highest </w:t>
      </w:r>
      <w:r w:rsidR="00EE4DD5">
        <w:t xml:space="preserve">interest across the following </w:t>
      </w:r>
      <w:r w:rsidR="00EB179A">
        <w:t>categories</w:t>
      </w:r>
      <w:r w:rsidR="00EE4DD5">
        <w:t>:</w:t>
      </w:r>
    </w:p>
    <w:p w:rsidR="00A06DB2" w:rsidRDefault="00A06DB2" w:rsidP="00192B65"/>
    <w:p w:rsidR="00EE4DD5" w:rsidRDefault="00EE4DD5" w:rsidP="00A06DB2">
      <w:pPr>
        <w:pStyle w:val="Bullets"/>
      </w:pPr>
      <w:r>
        <w:t>shares in the borrower</w:t>
      </w:r>
    </w:p>
    <w:p w:rsidR="00EE4DD5" w:rsidRDefault="00EE4DD5" w:rsidP="00A06DB2">
      <w:pPr>
        <w:pStyle w:val="Bullets"/>
      </w:pPr>
      <w:r>
        <w:t xml:space="preserve">shareholder decision-making rights </w:t>
      </w:r>
      <w:r w:rsidR="00A932D9">
        <w:t>in the borrower;</w:t>
      </w:r>
      <w:r>
        <w:t xml:space="preserve"> which are decision making concerning:</w:t>
      </w:r>
    </w:p>
    <w:p w:rsidR="00EE4DD5" w:rsidRDefault="00EE4DD5" w:rsidP="00A06DB2">
      <w:pPr>
        <w:pStyle w:val="Bullets2"/>
        <w:spacing w:after="120"/>
        <w:contextualSpacing w:val="0"/>
      </w:pPr>
      <w:r>
        <w:t>dividends or other distributions</w:t>
      </w:r>
    </w:p>
    <w:p w:rsidR="00EE4DD5" w:rsidRDefault="00EE4DD5" w:rsidP="00A06DB2">
      <w:pPr>
        <w:pStyle w:val="Bullets2"/>
        <w:spacing w:after="120"/>
        <w:contextualSpacing w:val="0"/>
      </w:pPr>
      <w:r>
        <w:t>constitution of the company</w:t>
      </w:r>
    </w:p>
    <w:p w:rsidR="00EE4DD5" w:rsidRDefault="00EE4DD5" w:rsidP="00A06DB2">
      <w:pPr>
        <w:pStyle w:val="Bullets2"/>
        <w:spacing w:after="120"/>
        <w:contextualSpacing w:val="0"/>
      </w:pPr>
      <w:r>
        <w:t>vari</w:t>
      </w:r>
      <w:r w:rsidR="00EB1AC4">
        <w:t>ation in capital</w:t>
      </w:r>
    </w:p>
    <w:p w:rsidR="00EB1AC4" w:rsidRDefault="00EB1AC4" w:rsidP="00A06DB2">
      <w:pPr>
        <w:pStyle w:val="Bullets2"/>
        <w:spacing w:after="120"/>
        <w:contextualSpacing w:val="0"/>
      </w:pPr>
      <w:r>
        <w:t>appointment of a director</w:t>
      </w:r>
    </w:p>
    <w:p w:rsidR="00EE4DD5" w:rsidRDefault="00EE4DD5" w:rsidP="00A06DB2">
      <w:pPr>
        <w:pStyle w:val="Bullets"/>
      </w:pPr>
      <w:r>
        <w:t xml:space="preserve">a right to receive income of the </w:t>
      </w:r>
      <w:r w:rsidR="00A932D9">
        <w:t>borrower</w:t>
      </w:r>
    </w:p>
    <w:p w:rsidR="00EE4DD5" w:rsidRDefault="00EE4DD5" w:rsidP="00A06DB2">
      <w:pPr>
        <w:pStyle w:val="Bullets"/>
        <w:spacing w:after="0"/>
      </w:pPr>
      <w:r>
        <w:t xml:space="preserve">a right to receive any of the value of the net assets of the </w:t>
      </w:r>
      <w:r w:rsidR="00A932D9">
        <w:t>borrower</w:t>
      </w:r>
    </w:p>
    <w:p w:rsidR="00EB1AC4" w:rsidRDefault="00EB1AC4" w:rsidP="00EB1AC4"/>
    <w:p w:rsidR="00910B34" w:rsidRDefault="00910B34" w:rsidP="00EB1AC4">
      <w:r>
        <w:t>As this test is based on the highest interest</w:t>
      </w:r>
      <w:r w:rsidR="00E77E6B">
        <w:t>,</w:t>
      </w:r>
      <w:r>
        <w:t xml:space="preserve"> it is possible for more than one person or group to have an over 50% interest.</w:t>
      </w:r>
      <w:r w:rsidR="00292098">
        <w:t xml:space="preserve"> </w:t>
      </w:r>
      <w:r>
        <w:t>As this is not an income attribution provision</w:t>
      </w:r>
      <w:r w:rsidR="00B7192E">
        <w:t>,</w:t>
      </w:r>
      <w:r>
        <w:t xml:space="preserve"> and only requires potential restrictions on the pricing of interest when a group has control or influence over the pricing of interest paid to them</w:t>
      </w:r>
      <w:r w:rsidR="00B7192E">
        <w:t>,</w:t>
      </w:r>
      <w:r>
        <w:t xml:space="preserve"> this does not raise concerns.</w:t>
      </w:r>
    </w:p>
    <w:p w:rsidR="00D9689C" w:rsidRPr="0013049D" w:rsidRDefault="00A06DB2" w:rsidP="00EB1AC4">
      <w:pPr>
        <w:rPr>
          <w:sz w:val="20"/>
        </w:rPr>
      </w:pPr>
      <w:r>
        <w:rPr>
          <w:noProof/>
        </w:rPr>
        <mc:AlternateContent>
          <mc:Choice Requires="wps">
            <w:drawing>
              <wp:anchor distT="0" distB="0" distL="114300" distR="114300" simplePos="0" relativeHeight="251666432" behindDoc="0" locked="0" layoutInCell="1" allowOverlap="1" wp14:anchorId="50E46D70" wp14:editId="66475560">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06DB2" w:rsidRPr="0013049D" w:rsidRDefault="00A06DB2" w:rsidP="00EB1AC4">
                            <w:pPr>
                              <w:rPr>
                                <w:b/>
                                <w:sz w:val="20"/>
                              </w:rPr>
                            </w:pPr>
                            <w:r w:rsidRPr="0013049D">
                              <w:rPr>
                                <w:b/>
                                <w:sz w:val="20"/>
                              </w:rPr>
                              <w:t xml:space="preserve">Example </w:t>
                            </w:r>
                            <w:r>
                              <w:rPr>
                                <w:b/>
                                <w:sz w:val="20"/>
                              </w:rPr>
                              <w:t>1</w:t>
                            </w:r>
                          </w:p>
                          <w:p w:rsidR="00A06DB2" w:rsidRPr="0013049D" w:rsidRDefault="00A06DB2" w:rsidP="00EB1AC4">
                            <w:pPr>
                              <w:rPr>
                                <w:sz w:val="20"/>
                              </w:rPr>
                            </w:pPr>
                          </w:p>
                          <w:p w:rsidR="00A06DB2" w:rsidRPr="0013049D" w:rsidRDefault="00A06DB2" w:rsidP="00EB1AC4">
                            <w:pPr>
                              <w:rPr>
                                <w:sz w:val="20"/>
                              </w:rPr>
                            </w:pPr>
                            <w:r w:rsidRPr="0013049D">
                              <w:rPr>
                                <w:sz w:val="20"/>
                              </w:rPr>
                              <w:t>NZ Co has two classes</w:t>
                            </w:r>
                            <w:r>
                              <w:rPr>
                                <w:sz w:val="20"/>
                              </w:rPr>
                              <w:t xml:space="preserve"> of shares and two shareholders;</w:t>
                            </w:r>
                            <w:r w:rsidRPr="0013049D">
                              <w:rPr>
                                <w:sz w:val="20"/>
                              </w:rPr>
                              <w:t xml:space="preserve"> as follows:</w:t>
                            </w:r>
                          </w:p>
                          <w:p w:rsidR="00A06DB2" w:rsidRPr="0013049D" w:rsidRDefault="00A06DB2" w:rsidP="00EB1AC4">
                            <w:pPr>
                              <w:rPr>
                                <w:sz w:val="20"/>
                              </w:rPr>
                            </w:pPr>
                          </w:p>
                          <w:tbl>
                            <w:tblPr>
                              <w:tblStyle w:val="TableGrid"/>
                              <w:tblW w:w="0" w:type="auto"/>
                              <w:jc w:val="center"/>
                              <w:tblLook w:val="04A0" w:firstRow="1" w:lastRow="0" w:firstColumn="1" w:lastColumn="0" w:noHBand="0" w:noVBand="1"/>
                            </w:tblPr>
                            <w:tblGrid>
                              <w:gridCol w:w="1101"/>
                              <w:gridCol w:w="1842"/>
                              <w:gridCol w:w="1898"/>
                              <w:gridCol w:w="763"/>
                            </w:tblGrid>
                            <w:tr w:rsidR="00A06DB2" w:rsidRPr="0013049D" w:rsidTr="0058136E">
                              <w:trPr>
                                <w:jc w:val="center"/>
                              </w:trPr>
                              <w:tc>
                                <w:tcPr>
                                  <w:tcW w:w="1101" w:type="dxa"/>
                                  <w:shd w:val="pct10" w:color="auto" w:fill="auto"/>
                                  <w:vAlign w:val="center"/>
                                </w:tcPr>
                                <w:p w:rsidR="00A06DB2" w:rsidRPr="0013049D" w:rsidRDefault="00A06DB2" w:rsidP="0058136E">
                                  <w:pPr>
                                    <w:jc w:val="center"/>
                                    <w:rPr>
                                      <w:b/>
                                      <w:sz w:val="20"/>
                                    </w:rPr>
                                  </w:pPr>
                                  <w:r w:rsidRPr="0013049D">
                                    <w:rPr>
                                      <w:b/>
                                      <w:sz w:val="20"/>
                                    </w:rPr>
                                    <w:t>Share class</w:t>
                                  </w:r>
                                </w:p>
                              </w:tc>
                              <w:tc>
                                <w:tcPr>
                                  <w:tcW w:w="1842" w:type="dxa"/>
                                  <w:shd w:val="pct10" w:color="auto" w:fill="auto"/>
                                  <w:vAlign w:val="center"/>
                                </w:tcPr>
                                <w:p w:rsidR="00A06DB2" w:rsidRPr="0013049D" w:rsidRDefault="00A06DB2" w:rsidP="0058136E">
                                  <w:pPr>
                                    <w:jc w:val="center"/>
                                    <w:rPr>
                                      <w:b/>
                                      <w:sz w:val="20"/>
                                    </w:rPr>
                                  </w:pPr>
                                  <w:r w:rsidRPr="0013049D">
                                    <w:rPr>
                                      <w:b/>
                                      <w:sz w:val="20"/>
                                    </w:rPr>
                                    <w:t>NZ Shareholder Co</w:t>
                                  </w:r>
                                </w:p>
                              </w:tc>
                              <w:tc>
                                <w:tcPr>
                                  <w:tcW w:w="1898" w:type="dxa"/>
                                  <w:shd w:val="pct10" w:color="auto" w:fill="auto"/>
                                  <w:vAlign w:val="center"/>
                                </w:tcPr>
                                <w:p w:rsidR="00A06DB2" w:rsidRPr="0013049D" w:rsidRDefault="00A06DB2" w:rsidP="0058136E">
                                  <w:pPr>
                                    <w:jc w:val="center"/>
                                    <w:rPr>
                                      <w:b/>
                                      <w:sz w:val="20"/>
                                    </w:rPr>
                                  </w:pPr>
                                  <w:r w:rsidRPr="0013049D">
                                    <w:rPr>
                                      <w:b/>
                                      <w:sz w:val="20"/>
                                    </w:rPr>
                                    <w:t>Non-resident Shareholder Co</w:t>
                                  </w:r>
                                </w:p>
                              </w:tc>
                              <w:tc>
                                <w:tcPr>
                                  <w:tcW w:w="763" w:type="dxa"/>
                                  <w:shd w:val="pct10" w:color="auto" w:fill="auto"/>
                                  <w:vAlign w:val="center"/>
                                </w:tcPr>
                                <w:p w:rsidR="00A06DB2" w:rsidRPr="0013049D" w:rsidRDefault="00A06DB2" w:rsidP="0058136E">
                                  <w:pPr>
                                    <w:jc w:val="center"/>
                                    <w:rPr>
                                      <w:b/>
                                      <w:sz w:val="20"/>
                                    </w:rPr>
                                  </w:pPr>
                                  <w:r w:rsidRPr="0013049D">
                                    <w:rPr>
                                      <w:b/>
                                      <w:sz w:val="20"/>
                                    </w:rPr>
                                    <w:t>Total</w:t>
                                  </w:r>
                                </w:p>
                              </w:tc>
                            </w:tr>
                            <w:tr w:rsidR="00A06DB2" w:rsidRPr="0013049D" w:rsidTr="0058136E">
                              <w:trPr>
                                <w:jc w:val="center"/>
                              </w:trPr>
                              <w:tc>
                                <w:tcPr>
                                  <w:tcW w:w="1101" w:type="dxa"/>
                                </w:tcPr>
                                <w:p w:rsidR="00A06DB2" w:rsidRPr="0013049D" w:rsidRDefault="00A06DB2" w:rsidP="00EB1AC4">
                                  <w:pPr>
                                    <w:rPr>
                                      <w:sz w:val="20"/>
                                    </w:rPr>
                                  </w:pPr>
                                  <w:r w:rsidRPr="0013049D">
                                    <w:rPr>
                                      <w:sz w:val="20"/>
                                    </w:rPr>
                                    <w:t>Class A</w:t>
                                  </w:r>
                                </w:p>
                              </w:tc>
                              <w:tc>
                                <w:tcPr>
                                  <w:tcW w:w="1842" w:type="dxa"/>
                                </w:tcPr>
                                <w:p w:rsidR="00A06DB2" w:rsidRPr="0013049D" w:rsidRDefault="00A06DB2" w:rsidP="0058136E">
                                  <w:pPr>
                                    <w:jc w:val="center"/>
                                    <w:rPr>
                                      <w:sz w:val="20"/>
                                    </w:rPr>
                                  </w:pPr>
                                  <w:r w:rsidRPr="0013049D">
                                    <w:rPr>
                                      <w:sz w:val="20"/>
                                    </w:rPr>
                                    <w:t>55</w:t>
                                  </w:r>
                                </w:p>
                              </w:tc>
                              <w:tc>
                                <w:tcPr>
                                  <w:tcW w:w="1898" w:type="dxa"/>
                                </w:tcPr>
                                <w:p w:rsidR="00A06DB2" w:rsidRPr="0013049D" w:rsidRDefault="00A06DB2" w:rsidP="0058136E">
                                  <w:pPr>
                                    <w:jc w:val="center"/>
                                    <w:rPr>
                                      <w:sz w:val="20"/>
                                    </w:rPr>
                                  </w:pPr>
                                  <w:r w:rsidRPr="0013049D">
                                    <w:rPr>
                                      <w:sz w:val="20"/>
                                    </w:rPr>
                                    <w:t>45</w:t>
                                  </w:r>
                                </w:p>
                              </w:tc>
                              <w:tc>
                                <w:tcPr>
                                  <w:tcW w:w="763" w:type="dxa"/>
                                </w:tcPr>
                                <w:p w:rsidR="00A06DB2" w:rsidRPr="0013049D" w:rsidRDefault="00A06DB2" w:rsidP="0058136E">
                                  <w:pPr>
                                    <w:jc w:val="center"/>
                                    <w:rPr>
                                      <w:sz w:val="20"/>
                                    </w:rPr>
                                  </w:pPr>
                                  <w:r w:rsidRPr="0013049D">
                                    <w:rPr>
                                      <w:sz w:val="20"/>
                                    </w:rPr>
                                    <w:t>100</w:t>
                                  </w:r>
                                </w:p>
                              </w:tc>
                            </w:tr>
                            <w:tr w:rsidR="00A06DB2" w:rsidRPr="0013049D" w:rsidTr="0058136E">
                              <w:trPr>
                                <w:jc w:val="center"/>
                              </w:trPr>
                              <w:tc>
                                <w:tcPr>
                                  <w:tcW w:w="1101" w:type="dxa"/>
                                </w:tcPr>
                                <w:p w:rsidR="00A06DB2" w:rsidRPr="0013049D" w:rsidRDefault="00A06DB2" w:rsidP="00EB1AC4">
                                  <w:pPr>
                                    <w:rPr>
                                      <w:sz w:val="20"/>
                                    </w:rPr>
                                  </w:pPr>
                                  <w:r w:rsidRPr="0013049D">
                                    <w:rPr>
                                      <w:sz w:val="20"/>
                                    </w:rPr>
                                    <w:t>Class B</w:t>
                                  </w:r>
                                </w:p>
                              </w:tc>
                              <w:tc>
                                <w:tcPr>
                                  <w:tcW w:w="1842" w:type="dxa"/>
                                </w:tcPr>
                                <w:p w:rsidR="00A06DB2" w:rsidRPr="0013049D" w:rsidRDefault="00A06DB2" w:rsidP="0058136E">
                                  <w:pPr>
                                    <w:jc w:val="center"/>
                                    <w:rPr>
                                      <w:sz w:val="20"/>
                                    </w:rPr>
                                  </w:pPr>
                                  <w:r w:rsidRPr="0013049D">
                                    <w:rPr>
                                      <w:sz w:val="20"/>
                                    </w:rPr>
                                    <w:t>4</w:t>
                                  </w:r>
                                </w:p>
                              </w:tc>
                              <w:tc>
                                <w:tcPr>
                                  <w:tcW w:w="1898" w:type="dxa"/>
                                </w:tcPr>
                                <w:p w:rsidR="00A06DB2" w:rsidRPr="0013049D" w:rsidRDefault="00A06DB2" w:rsidP="0058136E">
                                  <w:pPr>
                                    <w:jc w:val="center"/>
                                    <w:rPr>
                                      <w:sz w:val="20"/>
                                    </w:rPr>
                                  </w:pPr>
                                  <w:r w:rsidRPr="0013049D">
                                    <w:rPr>
                                      <w:sz w:val="20"/>
                                    </w:rPr>
                                    <w:t>6</w:t>
                                  </w:r>
                                </w:p>
                              </w:tc>
                              <w:tc>
                                <w:tcPr>
                                  <w:tcW w:w="763" w:type="dxa"/>
                                </w:tcPr>
                                <w:p w:rsidR="00A06DB2" w:rsidRPr="0013049D" w:rsidRDefault="00A06DB2" w:rsidP="0058136E">
                                  <w:pPr>
                                    <w:jc w:val="center"/>
                                    <w:rPr>
                                      <w:sz w:val="20"/>
                                    </w:rPr>
                                  </w:pPr>
                                  <w:r w:rsidRPr="0013049D">
                                    <w:rPr>
                                      <w:sz w:val="20"/>
                                    </w:rPr>
                                    <w:t>10</w:t>
                                  </w:r>
                                </w:p>
                              </w:tc>
                            </w:tr>
                          </w:tbl>
                          <w:p w:rsidR="00A06DB2" w:rsidRPr="0013049D" w:rsidRDefault="00A06DB2" w:rsidP="00EB1AC4">
                            <w:pPr>
                              <w:rPr>
                                <w:sz w:val="20"/>
                              </w:rPr>
                            </w:pPr>
                          </w:p>
                          <w:p w:rsidR="00A06DB2" w:rsidRPr="0013049D" w:rsidRDefault="00A06DB2" w:rsidP="00EB1AC4">
                            <w:pPr>
                              <w:rPr>
                                <w:sz w:val="20"/>
                              </w:rPr>
                            </w:pPr>
                            <w:r w:rsidRPr="0013049D">
                              <w:rPr>
                                <w:sz w:val="20"/>
                              </w:rPr>
                              <w:t>Class A shares hold all income distribution interests as well as decision making concerning distributions, the constitution of the company and variation in the capital of the company.</w:t>
                            </w:r>
                            <w:r>
                              <w:rPr>
                                <w:sz w:val="20"/>
                              </w:rPr>
                              <w:t xml:space="preserve"> </w:t>
                            </w:r>
                            <w:r w:rsidRPr="0013049D">
                              <w:rPr>
                                <w:sz w:val="20"/>
                              </w:rPr>
                              <w:t>Each class B share holds the right to appoint one director.</w:t>
                            </w:r>
                          </w:p>
                          <w:p w:rsidR="00A06DB2" w:rsidRPr="0013049D" w:rsidRDefault="00A06DB2" w:rsidP="00EB1AC4">
                            <w:pPr>
                              <w:rPr>
                                <w:sz w:val="20"/>
                              </w:rPr>
                            </w:pPr>
                          </w:p>
                          <w:p w:rsidR="00A06DB2" w:rsidRDefault="00A06DB2" w:rsidP="00EB1AC4">
                            <w:pPr>
                              <w:rPr>
                                <w:sz w:val="20"/>
                              </w:rPr>
                            </w:pPr>
                            <w:r w:rsidRPr="0013049D">
                              <w:rPr>
                                <w:sz w:val="20"/>
                              </w:rPr>
                              <w:t>Voting interests are determined by the shareholder decision making rights as follows:</w:t>
                            </w:r>
                          </w:p>
                          <w:p w:rsidR="00A06DB2" w:rsidRPr="0013049D" w:rsidRDefault="00A06DB2" w:rsidP="00EB1AC4">
                            <w:pPr>
                              <w:rPr>
                                <w:sz w:val="20"/>
                              </w:rPr>
                            </w:pPr>
                          </w:p>
                          <w:tbl>
                            <w:tblPr>
                              <w:tblStyle w:val="TableGrid"/>
                              <w:tblW w:w="0" w:type="auto"/>
                              <w:jc w:val="center"/>
                              <w:tblLook w:val="04A0" w:firstRow="1" w:lastRow="0" w:firstColumn="1" w:lastColumn="0" w:noHBand="0" w:noVBand="1"/>
                            </w:tblPr>
                            <w:tblGrid>
                              <w:gridCol w:w="1668"/>
                              <w:gridCol w:w="2132"/>
                              <w:gridCol w:w="2132"/>
                              <w:gridCol w:w="942"/>
                            </w:tblGrid>
                            <w:tr w:rsidR="00A06DB2" w:rsidRPr="0013049D" w:rsidTr="00714B53">
                              <w:trPr>
                                <w:jc w:val="center"/>
                              </w:trPr>
                              <w:tc>
                                <w:tcPr>
                                  <w:tcW w:w="1668"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Decision making right</w:t>
                                  </w:r>
                                </w:p>
                              </w:tc>
                              <w:tc>
                                <w:tcPr>
                                  <w:tcW w:w="213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NZ Shareholder Co</w:t>
                                  </w:r>
                                </w:p>
                              </w:tc>
                              <w:tc>
                                <w:tcPr>
                                  <w:tcW w:w="213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Non-resident Shareholder Co</w:t>
                                  </w:r>
                                </w:p>
                              </w:tc>
                              <w:tc>
                                <w:tcPr>
                                  <w:tcW w:w="94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Total</w:t>
                                  </w:r>
                                </w:p>
                              </w:tc>
                            </w:tr>
                            <w:tr w:rsidR="00A06DB2" w:rsidRPr="0013049D" w:rsidTr="0013049D">
                              <w:trPr>
                                <w:jc w:val="center"/>
                              </w:trPr>
                              <w:tc>
                                <w:tcPr>
                                  <w:tcW w:w="1668" w:type="dxa"/>
                                </w:tcPr>
                                <w:p w:rsidR="00A06DB2" w:rsidRPr="0013049D" w:rsidRDefault="00A06DB2" w:rsidP="00D9689C">
                                  <w:pPr>
                                    <w:rPr>
                                      <w:sz w:val="20"/>
                                    </w:rPr>
                                  </w:pPr>
                                  <w:r w:rsidRPr="0013049D">
                                    <w:rPr>
                                      <w:sz w:val="20"/>
                                    </w:rPr>
                                    <w:t>Distributions</w:t>
                                  </w:r>
                                </w:p>
                              </w:tc>
                              <w:tc>
                                <w:tcPr>
                                  <w:tcW w:w="2132" w:type="dxa"/>
                                </w:tcPr>
                                <w:p w:rsidR="00A06DB2" w:rsidRPr="0013049D" w:rsidRDefault="00A06DB2" w:rsidP="00D9689C">
                                  <w:pPr>
                                    <w:jc w:val="center"/>
                                    <w:rPr>
                                      <w:sz w:val="20"/>
                                    </w:rPr>
                                  </w:pPr>
                                  <w:r w:rsidRPr="0013049D">
                                    <w:rPr>
                                      <w:sz w:val="20"/>
                                    </w:rPr>
                                    <w:t>55%</w:t>
                                  </w:r>
                                </w:p>
                              </w:tc>
                              <w:tc>
                                <w:tcPr>
                                  <w:tcW w:w="2132" w:type="dxa"/>
                                </w:tcPr>
                                <w:p w:rsidR="00A06DB2" w:rsidRPr="0013049D" w:rsidRDefault="00A06DB2" w:rsidP="00D9689C">
                                  <w:pPr>
                                    <w:jc w:val="center"/>
                                    <w:rPr>
                                      <w:sz w:val="20"/>
                                    </w:rPr>
                                  </w:pPr>
                                  <w:r w:rsidRPr="0013049D">
                                    <w:rPr>
                                      <w:sz w:val="20"/>
                                    </w:rPr>
                                    <w:t>45%</w:t>
                                  </w:r>
                                </w:p>
                              </w:tc>
                              <w:tc>
                                <w:tcPr>
                                  <w:tcW w:w="942" w:type="dxa"/>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Pr>
                                <w:p w:rsidR="00A06DB2" w:rsidRPr="0013049D" w:rsidRDefault="00A06DB2" w:rsidP="00EB1AC4">
                                  <w:pPr>
                                    <w:rPr>
                                      <w:sz w:val="20"/>
                                    </w:rPr>
                                  </w:pPr>
                                  <w:r w:rsidRPr="0013049D">
                                    <w:rPr>
                                      <w:sz w:val="20"/>
                                    </w:rPr>
                                    <w:t>Constitution</w:t>
                                  </w:r>
                                </w:p>
                              </w:tc>
                              <w:tc>
                                <w:tcPr>
                                  <w:tcW w:w="2132" w:type="dxa"/>
                                </w:tcPr>
                                <w:p w:rsidR="00A06DB2" w:rsidRPr="0013049D" w:rsidRDefault="00A06DB2" w:rsidP="00D9689C">
                                  <w:pPr>
                                    <w:jc w:val="center"/>
                                    <w:rPr>
                                      <w:sz w:val="20"/>
                                    </w:rPr>
                                  </w:pPr>
                                  <w:r w:rsidRPr="0013049D">
                                    <w:rPr>
                                      <w:sz w:val="20"/>
                                    </w:rPr>
                                    <w:t>55%</w:t>
                                  </w:r>
                                </w:p>
                              </w:tc>
                              <w:tc>
                                <w:tcPr>
                                  <w:tcW w:w="2132" w:type="dxa"/>
                                </w:tcPr>
                                <w:p w:rsidR="00A06DB2" w:rsidRPr="0013049D" w:rsidRDefault="00A06DB2" w:rsidP="00D9689C">
                                  <w:pPr>
                                    <w:jc w:val="center"/>
                                    <w:rPr>
                                      <w:sz w:val="20"/>
                                    </w:rPr>
                                  </w:pPr>
                                  <w:r w:rsidRPr="0013049D">
                                    <w:rPr>
                                      <w:sz w:val="20"/>
                                    </w:rPr>
                                    <w:t>45%</w:t>
                                  </w:r>
                                </w:p>
                              </w:tc>
                              <w:tc>
                                <w:tcPr>
                                  <w:tcW w:w="942" w:type="dxa"/>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bottom w:val="single" w:sz="4" w:space="0" w:color="auto"/>
                                  </w:tcBorders>
                                </w:tcPr>
                                <w:p w:rsidR="00A06DB2" w:rsidRPr="0013049D" w:rsidRDefault="00A06DB2" w:rsidP="00EB1AC4">
                                  <w:pPr>
                                    <w:rPr>
                                      <w:sz w:val="20"/>
                                    </w:rPr>
                                  </w:pPr>
                                  <w:r w:rsidRPr="0013049D">
                                    <w:rPr>
                                      <w:sz w:val="20"/>
                                    </w:rPr>
                                    <w:t>Capital</w:t>
                                  </w:r>
                                </w:p>
                              </w:tc>
                              <w:tc>
                                <w:tcPr>
                                  <w:tcW w:w="2132" w:type="dxa"/>
                                  <w:tcBorders>
                                    <w:bottom w:val="single" w:sz="4" w:space="0" w:color="auto"/>
                                  </w:tcBorders>
                                </w:tcPr>
                                <w:p w:rsidR="00A06DB2" w:rsidRPr="0013049D" w:rsidRDefault="00A06DB2" w:rsidP="00D9689C">
                                  <w:pPr>
                                    <w:jc w:val="center"/>
                                    <w:rPr>
                                      <w:sz w:val="20"/>
                                    </w:rPr>
                                  </w:pPr>
                                  <w:r w:rsidRPr="0013049D">
                                    <w:rPr>
                                      <w:sz w:val="20"/>
                                    </w:rPr>
                                    <w:t>55%</w:t>
                                  </w:r>
                                </w:p>
                              </w:tc>
                              <w:tc>
                                <w:tcPr>
                                  <w:tcW w:w="2132" w:type="dxa"/>
                                  <w:tcBorders>
                                    <w:bottom w:val="single" w:sz="4" w:space="0" w:color="auto"/>
                                  </w:tcBorders>
                                </w:tcPr>
                                <w:p w:rsidR="00A06DB2" w:rsidRPr="0013049D" w:rsidRDefault="00A06DB2" w:rsidP="00D9689C">
                                  <w:pPr>
                                    <w:jc w:val="center"/>
                                    <w:rPr>
                                      <w:sz w:val="20"/>
                                    </w:rPr>
                                  </w:pPr>
                                  <w:r w:rsidRPr="0013049D">
                                    <w:rPr>
                                      <w:sz w:val="20"/>
                                    </w:rPr>
                                    <w:t>45%</w:t>
                                  </w:r>
                                </w:p>
                              </w:tc>
                              <w:tc>
                                <w:tcPr>
                                  <w:tcW w:w="942" w:type="dxa"/>
                                  <w:tcBorders>
                                    <w:bottom w:val="single" w:sz="4" w:space="0" w:color="auto"/>
                                  </w:tcBorders>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bottom w:val="double" w:sz="4" w:space="0" w:color="auto"/>
                                  </w:tcBorders>
                                </w:tcPr>
                                <w:p w:rsidR="00A06DB2" w:rsidRPr="0013049D" w:rsidRDefault="00A06DB2" w:rsidP="00EB1AC4">
                                  <w:pPr>
                                    <w:rPr>
                                      <w:sz w:val="20"/>
                                    </w:rPr>
                                  </w:pPr>
                                  <w:r w:rsidRPr="0013049D">
                                    <w:rPr>
                                      <w:sz w:val="20"/>
                                    </w:rPr>
                                    <w:t>Directors</w:t>
                                  </w:r>
                                </w:p>
                              </w:tc>
                              <w:tc>
                                <w:tcPr>
                                  <w:tcW w:w="2132" w:type="dxa"/>
                                  <w:tcBorders>
                                    <w:bottom w:val="double" w:sz="4" w:space="0" w:color="auto"/>
                                  </w:tcBorders>
                                </w:tcPr>
                                <w:p w:rsidR="00A06DB2" w:rsidRPr="0013049D" w:rsidRDefault="00A06DB2" w:rsidP="00D9689C">
                                  <w:pPr>
                                    <w:jc w:val="center"/>
                                    <w:rPr>
                                      <w:sz w:val="20"/>
                                    </w:rPr>
                                  </w:pPr>
                                  <w:r w:rsidRPr="0013049D">
                                    <w:rPr>
                                      <w:sz w:val="20"/>
                                    </w:rPr>
                                    <w:t>40%</w:t>
                                  </w:r>
                                </w:p>
                              </w:tc>
                              <w:tc>
                                <w:tcPr>
                                  <w:tcW w:w="2132" w:type="dxa"/>
                                  <w:tcBorders>
                                    <w:bottom w:val="double" w:sz="4" w:space="0" w:color="auto"/>
                                  </w:tcBorders>
                                </w:tcPr>
                                <w:p w:rsidR="00A06DB2" w:rsidRPr="0013049D" w:rsidRDefault="00A06DB2" w:rsidP="00D9689C">
                                  <w:pPr>
                                    <w:jc w:val="center"/>
                                    <w:rPr>
                                      <w:sz w:val="20"/>
                                    </w:rPr>
                                  </w:pPr>
                                  <w:r w:rsidRPr="0013049D">
                                    <w:rPr>
                                      <w:sz w:val="20"/>
                                    </w:rPr>
                                    <w:t>60%</w:t>
                                  </w:r>
                                </w:p>
                              </w:tc>
                              <w:tc>
                                <w:tcPr>
                                  <w:tcW w:w="942" w:type="dxa"/>
                                  <w:tcBorders>
                                    <w:bottom w:val="double" w:sz="4" w:space="0" w:color="auto"/>
                                  </w:tcBorders>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top w:val="double" w:sz="4" w:space="0" w:color="auto"/>
                                  </w:tcBorders>
                                </w:tcPr>
                                <w:p w:rsidR="00A06DB2" w:rsidRPr="0013049D" w:rsidRDefault="00A06DB2" w:rsidP="00EB1AC4">
                                  <w:pPr>
                                    <w:rPr>
                                      <w:b/>
                                      <w:sz w:val="20"/>
                                    </w:rPr>
                                  </w:pPr>
                                  <w:r w:rsidRPr="0013049D">
                                    <w:rPr>
                                      <w:b/>
                                      <w:sz w:val="20"/>
                                    </w:rPr>
                                    <w:t xml:space="preserve">Average </w:t>
                                  </w:r>
                                </w:p>
                              </w:tc>
                              <w:tc>
                                <w:tcPr>
                                  <w:tcW w:w="2132" w:type="dxa"/>
                                  <w:tcBorders>
                                    <w:top w:val="double" w:sz="4" w:space="0" w:color="auto"/>
                                  </w:tcBorders>
                                </w:tcPr>
                                <w:p w:rsidR="00A06DB2" w:rsidRPr="0013049D" w:rsidRDefault="00A06DB2" w:rsidP="00D9689C">
                                  <w:pPr>
                                    <w:jc w:val="center"/>
                                    <w:rPr>
                                      <w:b/>
                                      <w:sz w:val="20"/>
                                    </w:rPr>
                                  </w:pPr>
                                  <w:r w:rsidRPr="0013049D">
                                    <w:rPr>
                                      <w:b/>
                                      <w:sz w:val="20"/>
                                    </w:rPr>
                                    <w:t>51.25%</w:t>
                                  </w:r>
                                </w:p>
                              </w:tc>
                              <w:tc>
                                <w:tcPr>
                                  <w:tcW w:w="2132" w:type="dxa"/>
                                  <w:tcBorders>
                                    <w:top w:val="double" w:sz="4" w:space="0" w:color="auto"/>
                                  </w:tcBorders>
                                </w:tcPr>
                                <w:p w:rsidR="00A06DB2" w:rsidRPr="0013049D" w:rsidRDefault="00A06DB2" w:rsidP="00D9689C">
                                  <w:pPr>
                                    <w:jc w:val="center"/>
                                    <w:rPr>
                                      <w:b/>
                                      <w:sz w:val="20"/>
                                    </w:rPr>
                                  </w:pPr>
                                  <w:r w:rsidRPr="0013049D">
                                    <w:rPr>
                                      <w:b/>
                                      <w:sz w:val="20"/>
                                    </w:rPr>
                                    <w:t>48.75%</w:t>
                                  </w:r>
                                </w:p>
                              </w:tc>
                              <w:tc>
                                <w:tcPr>
                                  <w:tcW w:w="942" w:type="dxa"/>
                                  <w:tcBorders>
                                    <w:top w:val="double" w:sz="4" w:space="0" w:color="auto"/>
                                  </w:tcBorders>
                                </w:tcPr>
                                <w:p w:rsidR="00A06DB2" w:rsidRPr="0013049D" w:rsidRDefault="00A06DB2" w:rsidP="00D9689C">
                                  <w:pPr>
                                    <w:jc w:val="center"/>
                                    <w:rPr>
                                      <w:b/>
                                      <w:sz w:val="20"/>
                                    </w:rPr>
                                  </w:pPr>
                                  <w:r w:rsidRPr="0013049D">
                                    <w:rPr>
                                      <w:b/>
                                      <w:sz w:val="20"/>
                                    </w:rPr>
                                    <w:t>100%</w:t>
                                  </w:r>
                                </w:p>
                              </w:tc>
                            </w:tr>
                          </w:tbl>
                          <w:p w:rsidR="00A06DB2" w:rsidRPr="005C5CFE" w:rsidRDefault="00A06DB2" w:rsidP="005C5C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E46D70"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rsidR="00A06DB2" w:rsidRPr="0013049D" w:rsidRDefault="00A06DB2" w:rsidP="00EB1AC4">
                      <w:pPr>
                        <w:rPr>
                          <w:b/>
                          <w:sz w:val="20"/>
                        </w:rPr>
                      </w:pPr>
                      <w:r w:rsidRPr="0013049D">
                        <w:rPr>
                          <w:b/>
                          <w:sz w:val="20"/>
                        </w:rPr>
                        <w:t xml:space="preserve">Example </w:t>
                      </w:r>
                      <w:r>
                        <w:rPr>
                          <w:b/>
                          <w:sz w:val="20"/>
                        </w:rPr>
                        <w:t>1</w:t>
                      </w:r>
                    </w:p>
                    <w:p w:rsidR="00A06DB2" w:rsidRPr="0013049D" w:rsidRDefault="00A06DB2" w:rsidP="00EB1AC4">
                      <w:pPr>
                        <w:rPr>
                          <w:sz w:val="20"/>
                        </w:rPr>
                      </w:pPr>
                    </w:p>
                    <w:p w:rsidR="00A06DB2" w:rsidRPr="0013049D" w:rsidRDefault="00A06DB2" w:rsidP="00EB1AC4">
                      <w:pPr>
                        <w:rPr>
                          <w:sz w:val="20"/>
                        </w:rPr>
                      </w:pPr>
                      <w:r w:rsidRPr="0013049D">
                        <w:rPr>
                          <w:sz w:val="20"/>
                        </w:rPr>
                        <w:t>NZ Co has two classes</w:t>
                      </w:r>
                      <w:r>
                        <w:rPr>
                          <w:sz w:val="20"/>
                        </w:rPr>
                        <w:t xml:space="preserve"> of shares and two shareholders;</w:t>
                      </w:r>
                      <w:r w:rsidRPr="0013049D">
                        <w:rPr>
                          <w:sz w:val="20"/>
                        </w:rPr>
                        <w:t xml:space="preserve"> as follows:</w:t>
                      </w:r>
                    </w:p>
                    <w:p w:rsidR="00A06DB2" w:rsidRPr="0013049D" w:rsidRDefault="00A06DB2" w:rsidP="00EB1AC4">
                      <w:pPr>
                        <w:rPr>
                          <w:sz w:val="20"/>
                        </w:rPr>
                      </w:pPr>
                    </w:p>
                    <w:tbl>
                      <w:tblPr>
                        <w:tblStyle w:val="TableGrid"/>
                        <w:tblW w:w="0" w:type="auto"/>
                        <w:jc w:val="center"/>
                        <w:tblLook w:val="04A0" w:firstRow="1" w:lastRow="0" w:firstColumn="1" w:lastColumn="0" w:noHBand="0" w:noVBand="1"/>
                      </w:tblPr>
                      <w:tblGrid>
                        <w:gridCol w:w="1101"/>
                        <w:gridCol w:w="1842"/>
                        <w:gridCol w:w="1898"/>
                        <w:gridCol w:w="763"/>
                      </w:tblGrid>
                      <w:tr w:rsidR="00A06DB2" w:rsidRPr="0013049D" w:rsidTr="0058136E">
                        <w:trPr>
                          <w:jc w:val="center"/>
                        </w:trPr>
                        <w:tc>
                          <w:tcPr>
                            <w:tcW w:w="1101" w:type="dxa"/>
                            <w:shd w:val="pct10" w:color="auto" w:fill="auto"/>
                            <w:vAlign w:val="center"/>
                          </w:tcPr>
                          <w:p w:rsidR="00A06DB2" w:rsidRPr="0013049D" w:rsidRDefault="00A06DB2" w:rsidP="0058136E">
                            <w:pPr>
                              <w:jc w:val="center"/>
                              <w:rPr>
                                <w:b/>
                                <w:sz w:val="20"/>
                              </w:rPr>
                            </w:pPr>
                            <w:r w:rsidRPr="0013049D">
                              <w:rPr>
                                <w:b/>
                                <w:sz w:val="20"/>
                              </w:rPr>
                              <w:t>Share class</w:t>
                            </w:r>
                          </w:p>
                        </w:tc>
                        <w:tc>
                          <w:tcPr>
                            <w:tcW w:w="1842" w:type="dxa"/>
                            <w:shd w:val="pct10" w:color="auto" w:fill="auto"/>
                            <w:vAlign w:val="center"/>
                          </w:tcPr>
                          <w:p w:rsidR="00A06DB2" w:rsidRPr="0013049D" w:rsidRDefault="00A06DB2" w:rsidP="0058136E">
                            <w:pPr>
                              <w:jc w:val="center"/>
                              <w:rPr>
                                <w:b/>
                                <w:sz w:val="20"/>
                              </w:rPr>
                            </w:pPr>
                            <w:r w:rsidRPr="0013049D">
                              <w:rPr>
                                <w:b/>
                                <w:sz w:val="20"/>
                              </w:rPr>
                              <w:t>NZ Shareholder Co</w:t>
                            </w:r>
                          </w:p>
                        </w:tc>
                        <w:tc>
                          <w:tcPr>
                            <w:tcW w:w="1898" w:type="dxa"/>
                            <w:shd w:val="pct10" w:color="auto" w:fill="auto"/>
                            <w:vAlign w:val="center"/>
                          </w:tcPr>
                          <w:p w:rsidR="00A06DB2" w:rsidRPr="0013049D" w:rsidRDefault="00A06DB2" w:rsidP="0058136E">
                            <w:pPr>
                              <w:jc w:val="center"/>
                              <w:rPr>
                                <w:b/>
                                <w:sz w:val="20"/>
                              </w:rPr>
                            </w:pPr>
                            <w:r w:rsidRPr="0013049D">
                              <w:rPr>
                                <w:b/>
                                <w:sz w:val="20"/>
                              </w:rPr>
                              <w:t>Non-resident Shareholder Co</w:t>
                            </w:r>
                          </w:p>
                        </w:tc>
                        <w:tc>
                          <w:tcPr>
                            <w:tcW w:w="763" w:type="dxa"/>
                            <w:shd w:val="pct10" w:color="auto" w:fill="auto"/>
                            <w:vAlign w:val="center"/>
                          </w:tcPr>
                          <w:p w:rsidR="00A06DB2" w:rsidRPr="0013049D" w:rsidRDefault="00A06DB2" w:rsidP="0058136E">
                            <w:pPr>
                              <w:jc w:val="center"/>
                              <w:rPr>
                                <w:b/>
                                <w:sz w:val="20"/>
                              </w:rPr>
                            </w:pPr>
                            <w:r w:rsidRPr="0013049D">
                              <w:rPr>
                                <w:b/>
                                <w:sz w:val="20"/>
                              </w:rPr>
                              <w:t>Total</w:t>
                            </w:r>
                          </w:p>
                        </w:tc>
                      </w:tr>
                      <w:tr w:rsidR="00A06DB2" w:rsidRPr="0013049D" w:rsidTr="0058136E">
                        <w:trPr>
                          <w:jc w:val="center"/>
                        </w:trPr>
                        <w:tc>
                          <w:tcPr>
                            <w:tcW w:w="1101" w:type="dxa"/>
                          </w:tcPr>
                          <w:p w:rsidR="00A06DB2" w:rsidRPr="0013049D" w:rsidRDefault="00A06DB2" w:rsidP="00EB1AC4">
                            <w:pPr>
                              <w:rPr>
                                <w:sz w:val="20"/>
                              </w:rPr>
                            </w:pPr>
                            <w:r w:rsidRPr="0013049D">
                              <w:rPr>
                                <w:sz w:val="20"/>
                              </w:rPr>
                              <w:t>Class A</w:t>
                            </w:r>
                          </w:p>
                        </w:tc>
                        <w:tc>
                          <w:tcPr>
                            <w:tcW w:w="1842" w:type="dxa"/>
                          </w:tcPr>
                          <w:p w:rsidR="00A06DB2" w:rsidRPr="0013049D" w:rsidRDefault="00A06DB2" w:rsidP="0058136E">
                            <w:pPr>
                              <w:jc w:val="center"/>
                              <w:rPr>
                                <w:sz w:val="20"/>
                              </w:rPr>
                            </w:pPr>
                            <w:r w:rsidRPr="0013049D">
                              <w:rPr>
                                <w:sz w:val="20"/>
                              </w:rPr>
                              <w:t>55</w:t>
                            </w:r>
                          </w:p>
                        </w:tc>
                        <w:tc>
                          <w:tcPr>
                            <w:tcW w:w="1898" w:type="dxa"/>
                          </w:tcPr>
                          <w:p w:rsidR="00A06DB2" w:rsidRPr="0013049D" w:rsidRDefault="00A06DB2" w:rsidP="0058136E">
                            <w:pPr>
                              <w:jc w:val="center"/>
                              <w:rPr>
                                <w:sz w:val="20"/>
                              </w:rPr>
                            </w:pPr>
                            <w:r w:rsidRPr="0013049D">
                              <w:rPr>
                                <w:sz w:val="20"/>
                              </w:rPr>
                              <w:t>45</w:t>
                            </w:r>
                          </w:p>
                        </w:tc>
                        <w:tc>
                          <w:tcPr>
                            <w:tcW w:w="763" w:type="dxa"/>
                          </w:tcPr>
                          <w:p w:rsidR="00A06DB2" w:rsidRPr="0013049D" w:rsidRDefault="00A06DB2" w:rsidP="0058136E">
                            <w:pPr>
                              <w:jc w:val="center"/>
                              <w:rPr>
                                <w:sz w:val="20"/>
                              </w:rPr>
                            </w:pPr>
                            <w:r w:rsidRPr="0013049D">
                              <w:rPr>
                                <w:sz w:val="20"/>
                              </w:rPr>
                              <w:t>100</w:t>
                            </w:r>
                          </w:p>
                        </w:tc>
                      </w:tr>
                      <w:tr w:rsidR="00A06DB2" w:rsidRPr="0013049D" w:rsidTr="0058136E">
                        <w:trPr>
                          <w:jc w:val="center"/>
                        </w:trPr>
                        <w:tc>
                          <w:tcPr>
                            <w:tcW w:w="1101" w:type="dxa"/>
                          </w:tcPr>
                          <w:p w:rsidR="00A06DB2" w:rsidRPr="0013049D" w:rsidRDefault="00A06DB2" w:rsidP="00EB1AC4">
                            <w:pPr>
                              <w:rPr>
                                <w:sz w:val="20"/>
                              </w:rPr>
                            </w:pPr>
                            <w:r w:rsidRPr="0013049D">
                              <w:rPr>
                                <w:sz w:val="20"/>
                              </w:rPr>
                              <w:t>Class B</w:t>
                            </w:r>
                          </w:p>
                        </w:tc>
                        <w:tc>
                          <w:tcPr>
                            <w:tcW w:w="1842" w:type="dxa"/>
                          </w:tcPr>
                          <w:p w:rsidR="00A06DB2" w:rsidRPr="0013049D" w:rsidRDefault="00A06DB2" w:rsidP="0058136E">
                            <w:pPr>
                              <w:jc w:val="center"/>
                              <w:rPr>
                                <w:sz w:val="20"/>
                              </w:rPr>
                            </w:pPr>
                            <w:r w:rsidRPr="0013049D">
                              <w:rPr>
                                <w:sz w:val="20"/>
                              </w:rPr>
                              <w:t>4</w:t>
                            </w:r>
                          </w:p>
                        </w:tc>
                        <w:tc>
                          <w:tcPr>
                            <w:tcW w:w="1898" w:type="dxa"/>
                          </w:tcPr>
                          <w:p w:rsidR="00A06DB2" w:rsidRPr="0013049D" w:rsidRDefault="00A06DB2" w:rsidP="0058136E">
                            <w:pPr>
                              <w:jc w:val="center"/>
                              <w:rPr>
                                <w:sz w:val="20"/>
                              </w:rPr>
                            </w:pPr>
                            <w:r w:rsidRPr="0013049D">
                              <w:rPr>
                                <w:sz w:val="20"/>
                              </w:rPr>
                              <w:t>6</w:t>
                            </w:r>
                          </w:p>
                        </w:tc>
                        <w:tc>
                          <w:tcPr>
                            <w:tcW w:w="763" w:type="dxa"/>
                          </w:tcPr>
                          <w:p w:rsidR="00A06DB2" w:rsidRPr="0013049D" w:rsidRDefault="00A06DB2" w:rsidP="0058136E">
                            <w:pPr>
                              <w:jc w:val="center"/>
                              <w:rPr>
                                <w:sz w:val="20"/>
                              </w:rPr>
                            </w:pPr>
                            <w:r w:rsidRPr="0013049D">
                              <w:rPr>
                                <w:sz w:val="20"/>
                              </w:rPr>
                              <w:t>10</w:t>
                            </w:r>
                          </w:p>
                        </w:tc>
                      </w:tr>
                    </w:tbl>
                    <w:p w:rsidR="00A06DB2" w:rsidRPr="0013049D" w:rsidRDefault="00A06DB2" w:rsidP="00EB1AC4">
                      <w:pPr>
                        <w:rPr>
                          <w:sz w:val="20"/>
                        </w:rPr>
                      </w:pPr>
                    </w:p>
                    <w:p w:rsidR="00A06DB2" w:rsidRPr="0013049D" w:rsidRDefault="00A06DB2" w:rsidP="00EB1AC4">
                      <w:pPr>
                        <w:rPr>
                          <w:sz w:val="20"/>
                        </w:rPr>
                      </w:pPr>
                      <w:r w:rsidRPr="0013049D">
                        <w:rPr>
                          <w:sz w:val="20"/>
                        </w:rPr>
                        <w:t>Class A shares hold all income distribution interests as well as decision making concerning distributions, the constitution of the company and variation in the capital of the company.</w:t>
                      </w:r>
                      <w:r>
                        <w:rPr>
                          <w:sz w:val="20"/>
                        </w:rPr>
                        <w:t xml:space="preserve"> </w:t>
                      </w:r>
                      <w:r w:rsidRPr="0013049D">
                        <w:rPr>
                          <w:sz w:val="20"/>
                        </w:rPr>
                        <w:t>Each class B share holds the right to appoint one director.</w:t>
                      </w:r>
                    </w:p>
                    <w:p w:rsidR="00A06DB2" w:rsidRPr="0013049D" w:rsidRDefault="00A06DB2" w:rsidP="00EB1AC4">
                      <w:pPr>
                        <w:rPr>
                          <w:sz w:val="20"/>
                        </w:rPr>
                      </w:pPr>
                    </w:p>
                    <w:p w:rsidR="00A06DB2" w:rsidRDefault="00A06DB2" w:rsidP="00EB1AC4">
                      <w:pPr>
                        <w:rPr>
                          <w:sz w:val="20"/>
                        </w:rPr>
                      </w:pPr>
                      <w:r w:rsidRPr="0013049D">
                        <w:rPr>
                          <w:sz w:val="20"/>
                        </w:rPr>
                        <w:t>Voting interests are determined by the shareholder decision making rights as follows:</w:t>
                      </w:r>
                    </w:p>
                    <w:p w:rsidR="00A06DB2" w:rsidRPr="0013049D" w:rsidRDefault="00A06DB2" w:rsidP="00EB1AC4">
                      <w:pPr>
                        <w:rPr>
                          <w:sz w:val="20"/>
                        </w:rPr>
                      </w:pPr>
                    </w:p>
                    <w:tbl>
                      <w:tblPr>
                        <w:tblStyle w:val="TableGrid"/>
                        <w:tblW w:w="0" w:type="auto"/>
                        <w:jc w:val="center"/>
                        <w:tblLook w:val="04A0" w:firstRow="1" w:lastRow="0" w:firstColumn="1" w:lastColumn="0" w:noHBand="0" w:noVBand="1"/>
                      </w:tblPr>
                      <w:tblGrid>
                        <w:gridCol w:w="1668"/>
                        <w:gridCol w:w="2132"/>
                        <w:gridCol w:w="2132"/>
                        <w:gridCol w:w="942"/>
                      </w:tblGrid>
                      <w:tr w:rsidR="00A06DB2" w:rsidRPr="0013049D" w:rsidTr="00714B53">
                        <w:trPr>
                          <w:jc w:val="center"/>
                        </w:trPr>
                        <w:tc>
                          <w:tcPr>
                            <w:tcW w:w="1668"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Decision making right</w:t>
                            </w:r>
                          </w:p>
                        </w:tc>
                        <w:tc>
                          <w:tcPr>
                            <w:tcW w:w="213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NZ Shareholder Co</w:t>
                            </w:r>
                          </w:p>
                        </w:tc>
                        <w:tc>
                          <w:tcPr>
                            <w:tcW w:w="213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Non-resident Shareholder Co</w:t>
                            </w:r>
                          </w:p>
                        </w:tc>
                        <w:tc>
                          <w:tcPr>
                            <w:tcW w:w="942" w:type="dxa"/>
                            <w:shd w:val="clear" w:color="auto" w:fill="D9D9D9" w:themeFill="background1" w:themeFillShade="D9"/>
                            <w:vAlign w:val="center"/>
                          </w:tcPr>
                          <w:p w:rsidR="00A06DB2" w:rsidRPr="00714B53" w:rsidRDefault="00A06DB2" w:rsidP="00D9689C">
                            <w:pPr>
                              <w:jc w:val="center"/>
                              <w:rPr>
                                <w:b/>
                                <w:sz w:val="20"/>
                              </w:rPr>
                            </w:pPr>
                            <w:r w:rsidRPr="0013049D">
                              <w:rPr>
                                <w:b/>
                                <w:sz w:val="20"/>
                              </w:rPr>
                              <w:t>Total</w:t>
                            </w:r>
                          </w:p>
                        </w:tc>
                      </w:tr>
                      <w:tr w:rsidR="00A06DB2" w:rsidRPr="0013049D" w:rsidTr="0013049D">
                        <w:trPr>
                          <w:jc w:val="center"/>
                        </w:trPr>
                        <w:tc>
                          <w:tcPr>
                            <w:tcW w:w="1668" w:type="dxa"/>
                          </w:tcPr>
                          <w:p w:rsidR="00A06DB2" w:rsidRPr="0013049D" w:rsidRDefault="00A06DB2" w:rsidP="00D9689C">
                            <w:pPr>
                              <w:rPr>
                                <w:sz w:val="20"/>
                              </w:rPr>
                            </w:pPr>
                            <w:r w:rsidRPr="0013049D">
                              <w:rPr>
                                <w:sz w:val="20"/>
                              </w:rPr>
                              <w:t>Distributions</w:t>
                            </w:r>
                          </w:p>
                        </w:tc>
                        <w:tc>
                          <w:tcPr>
                            <w:tcW w:w="2132" w:type="dxa"/>
                          </w:tcPr>
                          <w:p w:rsidR="00A06DB2" w:rsidRPr="0013049D" w:rsidRDefault="00A06DB2" w:rsidP="00D9689C">
                            <w:pPr>
                              <w:jc w:val="center"/>
                              <w:rPr>
                                <w:sz w:val="20"/>
                              </w:rPr>
                            </w:pPr>
                            <w:r w:rsidRPr="0013049D">
                              <w:rPr>
                                <w:sz w:val="20"/>
                              </w:rPr>
                              <w:t>55%</w:t>
                            </w:r>
                          </w:p>
                        </w:tc>
                        <w:tc>
                          <w:tcPr>
                            <w:tcW w:w="2132" w:type="dxa"/>
                          </w:tcPr>
                          <w:p w:rsidR="00A06DB2" w:rsidRPr="0013049D" w:rsidRDefault="00A06DB2" w:rsidP="00D9689C">
                            <w:pPr>
                              <w:jc w:val="center"/>
                              <w:rPr>
                                <w:sz w:val="20"/>
                              </w:rPr>
                            </w:pPr>
                            <w:r w:rsidRPr="0013049D">
                              <w:rPr>
                                <w:sz w:val="20"/>
                              </w:rPr>
                              <w:t>45%</w:t>
                            </w:r>
                          </w:p>
                        </w:tc>
                        <w:tc>
                          <w:tcPr>
                            <w:tcW w:w="942" w:type="dxa"/>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Pr>
                          <w:p w:rsidR="00A06DB2" w:rsidRPr="0013049D" w:rsidRDefault="00A06DB2" w:rsidP="00EB1AC4">
                            <w:pPr>
                              <w:rPr>
                                <w:sz w:val="20"/>
                              </w:rPr>
                            </w:pPr>
                            <w:r w:rsidRPr="0013049D">
                              <w:rPr>
                                <w:sz w:val="20"/>
                              </w:rPr>
                              <w:t>Constitution</w:t>
                            </w:r>
                          </w:p>
                        </w:tc>
                        <w:tc>
                          <w:tcPr>
                            <w:tcW w:w="2132" w:type="dxa"/>
                          </w:tcPr>
                          <w:p w:rsidR="00A06DB2" w:rsidRPr="0013049D" w:rsidRDefault="00A06DB2" w:rsidP="00D9689C">
                            <w:pPr>
                              <w:jc w:val="center"/>
                              <w:rPr>
                                <w:sz w:val="20"/>
                              </w:rPr>
                            </w:pPr>
                            <w:r w:rsidRPr="0013049D">
                              <w:rPr>
                                <w:sz w:val="20"/>
                              </w:rPr>
                              <w:t>55%</w:t>
                            </w:r>
                          </w:p>
                        </w:tc>
                        <w:tc>
                          <w:tcPr>
                            <w:tcW w:w="2132" w:type="dxa"/>
                          </w:tcPr>
                          <w:p w:rsidR="00A06DB2" w:rsidRPr="0013049D" w:rsidRDefault="00A06DB2" w:rsidP="00D9689C">
                            <w:pPr>
                              <w:jc w:val="center"/>
                              <w:rPr>
                                <w:sz w:val="20"/>
                              </w:rPr>
                            </w:pPr>
                            <w:r w:rsidRPr="0013049D">
                              <w:rPr>
                                <w:sz w:val="20"/>
                              </w:rPr>
                              <w:t>45%</w:t>
                            </w:r>
                          </w:p>
                        </w:tc>
                        <w:tc>
                          <w:tcPr>
                            <w:tcW w:w="942" w:type="dxa"/>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bottom w:val="single" w:sz="4" w:space="0" w:color="auto"/>
                            </w:tcBorders>
                          </w:tcPr>
                          <w:p w:rsidR="00A06DB2" w:rsidRPr="0013049D" w:rsidRDefault="00A06DB2" w:rsidP="00EB1AC4">
                            <w:pPr>
                              <w:rPr>
                                <w:sz w:val="20"/>
                              </w:rPr>
                            </w:pPr>
                            <w:r w:rsidRPr="0013049D">
                              <w:rPr>
                                <w:sz w:val="20"/>
                              </w:rPr>
                              <w:t>Capital</w:t>
                            </w:r>
                          </w:p>
                        </w:tc>
                        <w:tc>
                          <w:tcPr>
                            <w:tcW w:w="2132" w:type="dxa"/>
                            <w:tcBorders>
                              <w:bottom w:val="single" w:sz="4" w:space="0" w:color="auto"/>
                            </w:tcBorders>
                          </w:tcPr>
                          <w:p w:rsidR="00A06DB2" w:rsidRPr="0013049D" w:rsidRDefault="00A06DB2" w:rsidP="00D9689C">
                            <w:pPr>
                              <w:jc w:val="center"/>
                              <w:rPr>
                                <w:sz w:val="20"/>
                              </w:rPr>
                            </w:pPr>
                            <w:r w:rsidRPr="0013049D">
                              <w:rPr>
                                <w:sz w:val="20"/>
                              </w:rPr>
                              <w:t>55%</w:t>
                            </w:r>
                          </w:p>
                        </w:tc>
                        <w:tc>
                          <w:tcPr>
                            <w:tcW w:w="2132" w:type="dxa"/>
                            <w:tcBorders>
                              <w:bottom w:val="single" w:sz="4" w:space="0" w:color="auto"/>
                            </w:tcBorders>
                          </w:tcPr>
                          <w:p w:rsidR="00A06DB2" w:rsidRPr="0013049D" w:rsidRDefault="00A06DB2" w:rsidP="00D9689C">
                            <w:pPr>
                              <w:jc w:val="center"/>
                              <w:rPr>
                                <w:sz w:val="20"/>
                              </w:rPr>
                            </w:pPr>
                            <w:r w:rsidRPr="0013049D">
                              <w:rPr>
                                <w:sz w:val="20"/>
                              </w:rPr>
                              <w:t>45%</w:t>
                            </w:r>
                          </w:p>
                        </w:tc>
                        <w:tc>
                          <w:tcPr>
                            <w:tcW w:w="942" w:type="dxa"/>
                            <w:tcBorders>
                              <w:bottom w:val="single" w:sz="4" w:space="0" w:color="auto"/>
                            </w:tcBorders>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bottom w:val="double" w:sz="4" w:space="0" w:color="auto"/>
                            </w:tcBorders>
                          </w:tcPr>
                          <w:p w:rsidR="00A06DB2" w:rsidRPr="0013049D" w:rsidRDefault="00A06DB2" w:rsidP="00EB1AC4">
                            <w:pPr>
                              <w:rPr>
                                <w:sz w:val="20"/>
                              </w:rPr>
                            </w:pPr>
                            <w:r w:rsidRPr="0013049D">
                              <w:rPr>
                                <w:sz w:val="20"/>
                              </w:rPr>
                              <w:t>Directors</w:t>
                            </w:r>
                          </w:p>
                        </w:tc>
                        <w:tc>
                          <w:tcPr>
                            <w:tcW w:w="2132" w:type="dxa"/>
                            <w:tcBorders>
                              <w:bottom w:val="double" w:sz="4" w:space="0" w:color="auto"/>
                            </w:tcBorders>
                          </w:tcPr>
                          <w:p w:rsidR="00A06DB2" w:rsidRPr="0013049D" w:rsidRDefault="00A06DB2" w:rsidP="00D9689C">
                            <w:pPr>
                              <w:jc w:val="center"/>
                              <w:rPr>
                                <w:sz w:val="20"/>
                              </w:rPr>
                            </w:pPr>
                            <w:r w:rsidRPr="0013049D">
                              <w:rPr>
                                <w:sz w:val="20"/>
                              </w:rPr>
                              <w:t>40%</w:t>
                            </w:r>
                          </w:p>
                        </w:tc>
                        <w:tc>
                          <w:tcPr>
                            <w:tcW w:w="2132" w:type="dxa"/>
                            <w:tcBorders>
                              <w:bottom w:val="double" w:sz="4" w:space="0" w:color="auto"/>
                            </w:tcBorders>
                          </w:tcPr>
                          <w:p w:rsidR="00A06DB2" w:rsidRPr="0013049D" w:rsidRDefault="00A06DB2" w:rsidP="00D9689C">
                            <w:pPr>
                              <w:jc w:val="center"/>
                              <w:rPr>
                                <w:sz w:val="20"/>
                              </w:rPr>
                            </w:pPr>
                            <w:r w:rsidRPr="0013049D">
                              <w:rPr>
                                <w:sz w:val="20"/>
                              </w:rPr>
                              <w:t>60%</w:t>
                            </w:r>
                          </w:p>
                        </w:tc>
                        <w:tc>
                          <w:tcPr>
                            <w:tcW w:w="942" w:type="dxa"/>
                            <w:tcBorders>
                              <w:bottom w:val="double" w:sz="4" w:space="0" w:color="auto"/>
                            </w:tcBorders>
                          </w:tcPr>
                          <w:p w:rsidR="00A06DB2" w:rsidRPr="0013049D" w:rsidRDefault="00A06DB2" w:rsidP="00D9689C">
                            <w:pPr>
                              <w:jc w:val="center"/>
                              <w:rPr>
                                <w:sz w:val="20"/>
                              </w:rPr>
                            </w:pPr>
                            <w:r w:rsidRPr="0013049D">
                              <w:rPr>
                                <w:sz w:val="20"/>
                              </w:rPr>
                              <w:t>100%</w:t>
                            </w:r>
                          </w:p>
                        </w:tc>
                      </w:tr>
                      <w:tr w:rsidR="00A06DB2" w:rsidRPr="0013049D" w:rsidTr="0013049D">
                        <w:trPr>
                          <w:jc w:val="center"/>
                        </w:trPr>
                        <w:tc>
                          <w:tcPr>
                            <w:tcW w:w="1668" w:type="dxa"/>
                            <w:tcBorders>
                              <w:top w:val="double" w:sz="4" w:space="0" w:color="auto"/>
                            </w:tcBorders>
                          </w:tcPr>
                          <w:p w:rsidR="00A06DB2" w:rsidRPr="0013049D" w:rsidRDefault="00A06DB2" w:rsidP="00EB1AC4">
                            <w:pPr>
                              <w:rPr>
                                <w:b/>
                                <w:sz w:val="20"/>
                              </w:rPr>
                            </w:pPr>
                            <w:r w:rsidRPr="0013049D">
                              <w:rPr>
                                <w:b/>
                                <w:sz w:val="20"/>
                              </w:rPr>
                              <w:t xml:space="preserve">Average </w:t>
                            </w:r>
                          </w:p>
                        </w:tc>
                        <w:tc>
                          <w:tcPr>
                            <w:tcW w:w="2132" w:type="dxa"/>
                            <w:tcBorders>
                              <w:top w:val="double" w:sz="4" w:space="0" w:color="auto"/>
                            </w:tcBorders>
                          </w:tcPr>
                          <w:p w:rsidR="00A06DB2" w:rsidRPr="0013049D" w:rsidRDefault="00A06DB2" w:rsidP="00D9689C">
                            <w:pPr>
                              <w:jc w:val="center"/>
                              <w:rPr>
                                <w:b/>
                                <w:sz w:val="20"/>
                              </w:rPr>
                            </w:pPr>
                            <w:r w:rsidRPr="0013049D">
                              <w:rPr>
                                <w:b/>
                                <w:sz w:val="20"/>
                              </w:rPr>
                              <w:t>51.25%</w:t>
                            </w:r>
                          </w:p>
                        </w:tc>
                        <w:tc>
                          <w:tcPr>
                            <w:tcW w:w="2132" w:type="dxa"/>
                            <w:tcBorders>
                              <w:top w:val="double" w:sz="4" w:space="0" w:color="auto"/>
                            </w:tcBorders>
                          </w:tcPr>
                          <w:p w:rsidR="00A06DB2" w:rsidRPr="0013049D" w:rsidRDefault="00A06DB2" w:rsidP="00D9689C">
                            <w:pPr>
                              <w:jc w:val="center"/>
                              <w:rPr>
                                <w:b/>
                                <w:sz w:val="20"/>
                              </w:rPr>
                            </w:pPr>
                            <w:r w:rsidRPr="0013049D">
                              <w:rPr>
                                <w:b/>
                                <w:sz w:val="20"/>
                              </w:rPr>
                              <w:t>48.75%</w:t>
                            </w:r>
                          </w:p>
                        </w:tc>
                        <w:tc>
                          <w:tcPr>
                            <w:tcW w:w="942" w:type="dxa"/>
                            <w:tcBorders>
                              <w:top w:val="double" w:sz="4" w:space="0" w:color="auto"/>
                            </w:tcBorders>
                          </w:tcPr>
                          <w:p w:rsidR="00A06DB2" w:rsidRPr="0013049D" w:rsidRDefault="00A06DB2" w:rsidP="00D9689C">
                            <w:pPr>
                              <w:jc w:val="center"/>
                              <w:rPr>
                                <w:b/>
                                <w:sz w:val="20"/>
                              </w:rPr>
                            </w:pPr>
                            <w:r w:rsidRPr="0013049D">
                              <w:rPr>
                                <w:b/>
                                <w:sz w:val="20"/>
                              </w:rPr>
                              <w:t>100%</w:t>
                            </w:r>
                          </w:p>
                        </w:tc>
                      </w:tr>
                    </w:tbl>
                    <w:p w:rsidR="00A06DB2" w:rsidRPr="005C5CFE" w:rsidRDefault="00A06DB2" w:rsidP="005C5CFE"/>
                  </w:txbxContent>
                </v:textbox>
                <w10:wrap type="square"/>
              </v:shape>
            </w:pict>
          </mc:Fallback>
        </mc:AlternateContent>
      </w:r>
    </w:p>
    <w:p w:rsidR="0058136E" w:rsidRPr="0013049D" w:rsidRDefault="0013049D" w:rsidP="00EB1AC4">
      <w:pPr>
        <w:rPr>
          <w:sz w:val="20"/>
        </w:rPr>
      </w:pPr>
      <w:r w:rsidRPr="0013049D">
        <w:rPr>
          <w:sz w:val="20"/>
        </w:rPr>
        <w:t>NZ Shareholder Co has a voting interest of 51.25% so is associated with NZ Co.</w:t>
      </w:r>
      <w:r w:rsidR="00292098">
        <w:rPr>
          <w:sz w:val="20"/>
        </w:rPr>
        <w:t xml:space="preserve"> </w:t>
      </w:r>
      <w:r w:rsidRPr="0013049D">
        <w:rPr>
          <w:sz w:val="20"/>
        </w:rPr>
        <w:t>However, the restricted transfer pricing rule will not apply to NZ Shareholder Co as it is not a non-resident.</w:t>
      </w:r>
      <w:r w:rsidR="00292098">
        <w:rPr>
          <w:sz w:val="20"/>
        </w:rPr>
        <w:t xml:space="preserve"> </w:t>
      </w:r>
      <w:r w:rsidRPr="0013049D">
        <w:rPr>
          <w:sz w:val="20"/>
        </w:rPr>
        <w:t>Non-resident Shareholder Co has a voting interest of 48.75% so it is not associated with NZ Co.</w:t>
      </w:r>
      <w:r w:rsidR="00292098">
        <w:rPr>
          <w:sz w:val="20"/>
        </w:rPr>
        <w:t xml:space="preserve"> </w:t>
      </w:r>
      <w:r w:rsidRPr="0013049D">
        <w:rPr>
          <w:sz w:val="20"/>
        </w:rPr>
        <w:t>However,  Non-resident Shareholder Co has 60%</w:t>
      </w:r>
      <w:r w:rsidR="00EB179A">
        <w:rPr>
          <w:sz w:val="20"/>
        </w:rPr>
        <w:t xml:space="preserve"> of the right to appoint directors</w:t>
      </w:r>
      <w:r w:rsidR="00E77E6B">
        <w:rPr>
          <w:sz w:val="20"/>
        </w:rPr>
        <w:t>. A</w:t>
      </w:r>
      <w:r w:rsidRPr="0013049D">
        <w:rPr>
          <w:sz w:val="20"/>
        </w:rPr>
        <w:t xml:space="preserve">ny loans to NZ Co </w:t>
      </w:r>
      <w:r w:rsidR="00EB179A">
        <w:rPr>
          <w:sz w:val="20"/>
        </w:rPr>
        <w:t>by Non-resident Shareholder Co</w:t>
      </w:r>
      <w:r w:rsidR="00A932D9">
        <w:rPr>
          <w:sz w:val="20"/>
        </w:rPr>
        <w:t xml:space="preserve"> </w:t>
      </w:r>
      <w:r w:rsidRPr="0013049D">
        <w:rPr>
          <w:sz w:val="20"/>
        </w:rPr>
        <w:t>will be subject to the restricted transfer pricing rule.</w:t>
      </w:r>
    </w:p>
    <w:p w:rsidR="0013049D" w:rsidRPr="0013049D" w:rsidRDefault="0013049D" w:rsidP="00EB1AC4">
      <w:pPr>
        <w:rPr>
          <w:sz w:val="20"/>
        </w:rPr>
      </w:pPr>
    </w:p>
    <w:p w:rsidR="0013049D" w:rsidRPr="0013049D" w:rsidRDefault="0013049D" w:rsidP="00EB1AC4">
      <w:pPr>
        <w:rPr>
          <w:sz w:val="20"/>
        </w:rPr>
      </w:pPr>
      <w:r w:rsidRPr="0013049D">
        <w:rPr>
          <w:sz w:val="20"/>
        </w:rPr>
        <w:t xml:space="preserve">If NZ Shareholder Co sold all of </w:t>
      </w:r>
      <w:r w:rsidR="00C57B03">
        <w:rPr>
          <w:sz w:val="20"/>
        </w:rPr>
        <w:t>its</w:t>
      </w:r>
      <w:r w:rsidRPr="0013049D">
        <w:rPr>
          <w:sz w:val="20"/>
        </w:rPr>
        <w:t xml:space="preserve"> shares in NZ Co to another non-resident both the new shareholder and Non-resident Shareholder Co would be subject to the restricted transfer pricing rule</w:t>
      </w:r>
      <w:r w:rsidR="00A932D9">
        <w:rPr>
          <w:sz w:val="20"/>
        </w:rPr>
        <w:t xml:space="preserve"> as both shareholders would be non-residents with an interest of greater than 50%</w:t>
      </w:r>
      <w:r w:rsidRPr="0013049D">
        <w:rPr>
          <w:sz w:val="20"/>
        </w:rPr>
        <w:t>.</w:t>
      </w:r>
    </w:p>
    <w:p w:rsidR="0058136E" w:rsidRDefault="0058136E" w:rsidP="00EB1AC4"/>
    <w:p w:rsidR="00EB1AC4" w:rsidRDefault="00EB1AC4" w:rsidP="00EB1AC4">
      <w:pPr>
        <w:rPr>
          <w:i/>
        </w:rPr>
      </w:pPr>
      <w:r>
        <w:rPr>
          <w:i/>
        </w:rPr>
        <w:t>Indirect associated funding</w:t>
      </w:r>
    </w:p>
    <w:p w:rsidR="00EB1AC4" w:rsidRDefault="00EB1AC4" w:rsidP="00EB1AC4">
      <w:pPr>
        <w:rPr>
          <w:i/>
        </w:rPr>
      </w:pPr>
    </w:p>
    <w:p w:rsidR="00EB1AC4" w:rsidRDefault="00EB1AC4" w:rsidP="00EB1AC4">
      <w:r>
        <w:t>An indirect associated funding arrangement is defined in section GC 6(3C).</w:t>
      </w:r>
      <w:r w:rsidR="00292098">
        <w:t xml:space="preserve"> </w:t>
      </w:r>
      <w:r>
        <w:t xml:space="preserve">It is based on the similar indirect associated funding </w:t>
      </w:r>
      <w:r w:rsidR="00D457F2">
        <w:t>arrangement definition in section RF 12I for the purpose of the NRWT rules.</w:t>
      </w:r>
      <w:r w:rsidR="00292098">
        <w:t xml:space="preserve"> </w:t>
      </w:r>
      <w:r w:rsidR="00D457F2">
        <w:t xml:space="preserve">The purpose of this test is to prevent a lender from circumventing the restricted transfer pricing rule by channelling funding through an unassociated person to a New Zealand borrower </w:t>
      </w:r>
      <w:r w:rsidR="00C57B03">
        <w:t xml:space="preserve">where direct funding would </w:t>
      </w:r>
      <w:r w:rsidR="00D457F2">
        <w:t xml:space="preserve"> be covered by one of the other limbs of the cross-border related borrowing definition.</w:t>
      </w:r>
    </w:p>
    <w:p w:rsidR="00714B53" w:rsidRDefault="00714B53" w:rsidP="00EB1AC4"/>
    <w:p w:rsidR="00A06DB2" w:rsidRDefault="00A06DB2" w:rsidP="00EB1AC4"/>
    <w:p w:rsidR="007A0324" w:rsidRPr="00536B30" w:rsidRDefault="007A0324" w:rsidP="00334705">
      <w:pPr>
        <w:pBdr>
          <w:top w:val="single" w:sz="4" w:space="10" w:color="auto"/>
          <w:left w:val="single" w:sz="4" w:space="10" w:color="auto"/>
          <w:bottom w:val="single" w:sz="4" w:space="10" w:color="auto"/>
          <w:right w:val="single" w:sz="4" w:space="10" w:color="auto"/>
        </w:pBdr>
        <w:rPr>
          <w:b/>
          <w:sz w:val="20"/>
        </w:rPr>
      </w:pPr>
      <w:r w:rsidRPr="00536B30">
        <w:rPr>
          <w:b/>
          <w:sz w:val="20"/>
        </w:rPr>
        <w:t>Example</w:t>
      </w:r>
      <w:r w:rsidR="00507AB5">
        <w:rPr>
          <w:b/>
          <w:sz w:val="20"/>
        </w:rPr>
        <w:t xml:space="preserve"> 2</w:t>
      </w:r>
    </w:p>
    <w:p w:rsidR="007A0324" w:rsidRPr="00334705" w:rsidRDefault="007A0324" w:rsidP="00334705">
      <w:pPr>
        <w:pBdr>
          <w:top w:val="single" w:sz="4" w:space="10" w:color="auto"/>
          <w:left w:val="single" w:sz="4" w:space="10" w:color="auto"/>
          <w:bottom w:val="single" w:sz="4" w:space="10" w:color="auto"/>
          <w:right w:val="single" w:sz="4" w:space="10" w:color="auto"/>
        </w:pBdr>
        <w:rPr>
          <w:sz w:val="20"/>
        </w:rPr>
      </w:pPr>
    </w:p>
    <w:p w:rsidR="004035A2" w:rsidRPr="00536B30" w:rsidRDefault="007A0324" w:rsidP="00334705">
      <w:pPr>
        <w:pBdr>
          <w:top w:val="single" w:sz="4" w:space="10" w:color="auto"/>
          <w:left w:val="single" w:sz="4" w:space="10" w:color="auto"/>
          <w:bottom w:val="single" w:sz="4" w:space="10" w:color="auto"/>
          <w:right w:val="single" w:sz="4" w:space="10" w:color="auto"/>
        </w:pBdr>
        <w:rPr>
          <w:sz w:val="20"/>
        </w:rPr>
      </w:pPr>
      <w:r w:rsidRPr="00536B30">
        <w:rPr>
          <w:sz w:val="20"/>
        </w:rPr>
        <w:t>Foreign Co has a wholly owned subsidiary, NZ Co.</w:t>
      </w:r>
      <w:r w:rsidR="00292098">
        <w:rPr>
          <w:sz w:val="20"/>
        </w:rPr>
        <w:t xml:space="preserve"> </w:t>
      </w:r>
      <w:r w:rsidRPr="00536B30">
        <w:rPr>
          <w:sz w:val="20"/>
        </w:rPr>
        <w:t>Foreign Co has deposited NZ$20 million with Foreign Third Party Bank.</w:t>
      </w:r>
      <w:r w:rsidR="00292098">
        <w:rPr>
          <w:sz w:val="20"/>
        </w:rPr>
        <w:t xml:space="preserve"> </w:t>
      </w:r>
      <w:r w:rsidRPr="00536B30">
        <w:rPr>
          <w:sz w:val="20"/>
        </w:rPr>
        <w:t>Foreign Co and Foreign Third Party Bank have agreed that Foreign Third Party Bank will pay 10% interest to Foreign Co on the deposit and will also lend NZ$20 million to NZ Co at a rate of 9.</w:t>
      </w:r>
      <w:r w:rsidR="00536B30">
        <w:rPr>
          <w:sz w:val="20"/>
        </w:rPr>
        <w:t>7</w:t>
      </w:r>
      <w:r w:rsidRPr="00536B30">
        <w:rPr>
          <w:sz w:val="20"/>
        </w:rPr>
        <w:t>%</w:t>
      </w:r>
      <w:r w:rsidR="007306EA">
        <w:rPr>
          <w:sz w:val="20"/>
        </w:rPr>
        <w:t xml:space="preserve">. </w:t>
      </w:r>
      <w:r w:rsidR="00C57B03">
        <w:rPr>
          <w:sz w:val="20"/>
        </w:rPr>
        <w:t>I</w:t>
      </w:r>
      <w:r w:rsidR="004035A2">
        <w:rPr>
          <w:sz w:val="20"/>
        </w:rPr>
        <w:t xml:space="preserve">f Foreign </w:t>
      </w:r>
      <w:r w:rsidR="00A932D9">
        <w:rPr>
          <w:sz w:val="20"/>
        </w:rPr>
        <w:t>Third Party Bank</w:t>
      </w:r>
      <w:r w:rsidR="004035A2">
        <w:rPr>
          <w:sz w:val="20"/>
        </w:rPr>
        <w:t xml:space="preserve"> had lent NZ$20 million directly to NZ Co </w:t>
      </w:r>
      <w:r w:rsidR="00A932D9">
        <w:rPr>
          <w:sz w:val="20"/>
        </w:rPr>
        <w:t>without this arrangement the interest</w:t>
      </w:r>
      <w:r w:rsidR="004035A2">
        <w:rPr>
          <w:sz w:val="20"/>
        </w:rPr>
        <w:t xml:space="preserve"> rate would </w:t>
      </w:r>
      <w:r w:rsidR="00A932D9">
        <w:rPr>
          <w:sz w:val="20"/>
        </w:rPr>
        <w:t xml:space="preserve">have </w:t>
      </w:r>
      <w:r w:rsidR="004035A2">
        <w:rPr>
          <w:sz w:val="20"/>
        </w:rPr>
        <w:t>be</w:t>
      </w:r>
      <w:r w:rsidR="00A932D9">
        <w:rPr>
          <w:sz w:val="20"/>
        </w:rPr>
        <w:t>en</w:t>
      </w:r>
      <w:r w:rsidR="004035A2">
        <w:rPr>
          <w:sz w:val="20"/>
        </w:rPr>
        <w:t xml:space="preserve"> 7%.</w:t>
      </w:r>
    </w:p>
    <w:p w:rsidR="007A0324" w:rsidRPr="00536B30" w:rsidRDefault="007A0324" w:rsidP="00334705">
      <w:pPr>
        <w:pBdr>
          <w:top w:val="single" w:sz="4" w:space="10" w:color="auto"/>
          <w:left w:val="single" w:sz="4" w:space="10" w:color="auto"/>
          <w:bottom w:val="single" w:sz="4" w:space="10" w:color="auto"/>
          <w:right w:val="single" w:sz="4" w:space="10" w:color="auto"/>
        </w:pBdr>
        <w:rPr>
          <w:sz w:val="20"/>
        </w:rPr>
      </w:pPr>
    </w:p>
    <w:p w:rsidR="00536B30" w:rsidRPr="00536B30" w:rsidRDefault="007A0324" w:rsidP="00334705">
      <w:pPr>
        <w:pBdr>
          <w:top w:val="single" w:sz="4" w:space="10" w:color="auto"/>
          <w:left w:val="single" w:sz="4" w:space="10" w:color="auto"/>
          <w:bottom w:val="single" w:sz="4" w:space="10" w:color="auto"/>
          <w:right w:val="single" w:sz="4" w:space="10" w:color="auto"/>
        </w:pBdr>
        <w:rPr>
          <w:sz w:val="20"/>
        </w:rPr>
      </w:pPr>
      <w:r w:rsidRPr="00536B30">
        <w:rPr>
          <w:sz w:val="20"/>
        </w:rPr>
        <w:t xml:space="preserve">If </w:t>
      </w:r>
      <w:r w:rsidR="00C57B03">
        <w:rPr>
          <w:sz w:val="20"/>
        </w:rPr>
        <w:t xml:space="preserve">Foreign Third Party Bank had simply lent money to NZ Co, </w:t>
      </w:r>
      <w:r w:rsidRPr="00536B30">
        <w:rPr>
          <w:sz w:val="20"/>
        </w:rPr>
        <w:t xml:space="preserve"> the restricted transfer pricing rule would not apply as Foreign Third Party Bank does not have any interest in NZ Co.</w:t>
      </w:r>
      <w:r w:rsidR="00292098">
        <w:rPr>
          <w:sz w:val="20"/>
        </w:rPr>
        <w:t xml:space="preserve"> </w:t>
      </w:r>
      <w:r w:rsidRPr="00536B30">
        <w:rPr>
          <w:sz w:val="20"/>
        </w:rPr>
        <w:t xml:space="preserve">However, </w:t>
      </w:r>
      <w:r w:rsidR="00E77E6B">
        <w:rPr>
          <w:sz w:val="20"/>
        </w:rPr>
        <w:t xml:space="preserve">as </w:t>
      </w:r>
      <w:r w:rsidR="00C57B03">
        <w:rPr>
          <w:sz w:val="20"/>
        </w:rPr>
        <w:t>the loan</w:t>
      </w:r>
      <w:r w:rsidRPr="00536B30">
        <w:rPr>
          <w:sz w:val="20"/>
        </w:rPr>
        <w:t xml:space="preserve"> is indirect associated funding</w:t>
      </w:r>
      <w:r w:rsidR="00E77E6B">
        <w:rPr>
          <w:sz w:val="20"/>
        </w:rPr>
        <w:t>, it</w:t>
      </w:r>
      <w:r w:rsidR="004035A2">
        <w:rPr>
          <w:sz w:val="20"/>
        </w:rPr>
        <w:t xml:space="preserve"> </w:t>
      </w:r>
      <w:r w:rsidR="00536B30" w:rsidRPr="00536B30">
        <w:rPr>
          <w:sz w:val="20"/>
        </w:rPr>
        <w:t>is covered by the restricted transfer pricing rule.</w:t>
      </w:r>
    </w:p>
    <w:p w:rsidR="007A0324" w:rsidRDefault="007A0324" w:rsidP="00EB1AC4"/>
    <w:p w:rsidR="00D457F2" w:rsidRPr="007A0324" w:rsidRDefault="007A0324" w:rsidP="00EB1AC4">
      <w:r>
        <w:t xml:space="preserve">Whether a cash pooling arrangement is classified as indirect associated funding was covered on page 68 of </w:t>
      </w:r>
      <w:r>
        <w:rPr>
          <w:i/>
        </w:rPr>
        <w:t>Tax Information Bulletin</w:t>
      </w:r>
      <w:r>
        <w:t xml:space="preserve"> Volume 29, No 5, June 2017 when this term was introduced for the non-resident financial arrangement income rules.</w:t>
      </w:r>
      <w:r w:rsidR="00292098">
        <w:t xml:space="preserve"> </w:t>
      </w:r>
      <w:r>
        <w:t>In short, a cash pooling arrangement may be indirect associated funding if the arrangement was entered into with the purpose or effect of avoiding the restricted transfer pricing rule but will not apply to commercial cash pooling arrangements such as those set up with a fluctuating debit and credit balance to cover working capital requirements.</w:t>
      </w:r>
    </w:p>
    <w:p w:rsidR="0013049D" w:rsidRDefault="0013049D" w:rsidP="00EB1AC4">
      <w:pPr>
        <w:rPr>
          <w:i/>
        </w:rPr>
      </w:pPr>
    </w:p>
    <w:p w:rsidR="00D457F2" w:rsidRDefault="00D457F2" w:rsidP="00EB1AC4">
      <w:r>
        <w:rPr>
          <w:i/>
        </w:rPr>
        <w:t>Acting in concert</w:t>
      </w:r>
    </w:p>
    <w:p w:rsidR="00D457F2" w:rsidRDefault="00D457F2" w:rsidP="00EB1AC4"/>
    <w:p w:rsidR="00D457F2" w:rsidRDefault="003240FC" w:rsidP="00EB1AC4">
      <w:r>
        <w:t xml:space="preserve">This test covers </w:t>
      </w:r>
      <w:r w:rsidR="00373CA7">
        <w:t xml:space="preserve">borrowers that have at least 50% of </w:t>
      </w:r>
      <w:r w:rsidR="00603E99">
        <w:t xml:space="preserve">their </w:t>
      </w:r>
      <w:r w:rsidR="00373CA7">
        <w:t>rights held by a group of non-residents that act in concert to control the borrower.</w:t>
      </w:r>
      <w:r w:rsidR="00292098">
        <w:t xml:space="preserve"> </w:t>
      </w:r>
      <w:r w:rsidR="00373CA7">
        <w:t>This overlays the 50% ownership right test described above with the existing non-resident owning body and acting in concert tests that already apply for thin capitalisation and NRWT.</w:t>
      </w:r>
    </w:p>
    <w:p w:rsidR="00535C41" w:rsidRDefault="00535C41" w:rsidP="00EB1AC4"/>
    <w:p w:rsidR="00535C41" w:rsidRDefault="00535C41" w:rsidP="00EB1AC4">
      <w:r>
        <w:t>In section GC 16(3)</w:t>
      </w:r>
      <w:r w:rsidR="00E77E6B">
        <w:t>,</w:t>
      </w:r>
      <w:r>
        <w:t xml:space="preserve"> such a group is referred to as a co-ordinated group and </w:t>
      </w:r>
      <w:r w:rsidR="00A81CE9">
        <w:t xml:space="preserve">a borrower from a co-ordinated group </w:t>
      </w:r>
      <w:r>
        <w:t>is</w:t>
      </w:r>
      <w:r w:rsidR="00292098">
        <w:t xml:space="preserve"> </w:t>
      </w:r>
      <w:r>
        <w:t>referred to in this report as not having an identifiable parent.</w:t>
      </w:r>
      <w:r w:rsidR="00292098">
        <w:t xml:space="preserve"> </w:t>
      </w:r>
      <w:r>
        <w:t>Each of these terms can be used interchangeably.</w:t>
      </w:r>
      <w:r w:rsidR="00292098">
        <w:t xml:space="preserve"> </w:t>
      </w:r>
      <w:r w:rsidR="007E266B">
        <w:t>There are two exceptions to this general treatment:</w:t>
      </w:r>
    </w:p>
    <w:p w:rsidR="00A06DB2" w:rsidRDefault="00A06DB2" w:rsidP="00EB1AC4"/>
    <w:p w:rsidR="007E266B" w:rsidRDefault="007E266B" w:rsidP="00A06DB2">
      <w:pPr>
        <w:pStyle w:val="Bullets"/>
      </w:pPr>
      <w:r>
        <w:t>If the borrower is owned by a single non-resident with no other business activity</w:t>
      </w:r>
      <w:r w:rsidR="00E77E6B">
        <w:t>,</w:t>
      </w:r>
      <w:r>
        <w:t xml:space="preserve"> and that non-resident is itself controlled by a co-ordinated group</w:t>
      </w:r>
      <w:r w:rsidR="00E77E6B">
        <w:t>,</w:t>
      </w:r>
      <w:r>
        <w:t xml:space="preserve"> the New Zealand borrower will be treated as controlled by a co-ordinated group.</w:t>
      </w:r>
      <w:r w:rsidR="00292098">
        <w:t xml:space="preserve"> </w:t>
      </w:r>
      <w:r>
        <w:t>This is because the New Zealand borrower will be in the same situation as if the direct non-resident did not exist and the New Zealand borrower was owned directly by each of the members of the co-ordinated group.</w:t>
      </w:r>
    </w:p>
    <w:p w:rsidR="007E266B" w:rsidRDefault="007E266B" w:rsidP="00A06DB2">
      <w:pPr>
        <w:pStyle w:val="Bullets"/>
        <w:spacing w:after="0"/>
      </w:pPr>
      <w:r>
        <w:t>If the borrower is controlled by a co-ordinated group but one of the members of that co-ordinated group meets the 50% test by themselves the New Zealand borrower is treated as not</w:t>
      </w:r>
      <w:r w:rsidR="00A81CE9">
        <w:t xml:space="preserve"> </w:t>
      </w:r>
      <w:r>
        <w:t>controlled by a co-ordinated group.</w:t>
      </w:r>
      <w:r w:rsidR="00292098">
        <w:t xml:space="preserve"> </w:t>
      </w:r>
      <w:r>
        <w:t xml:space="preserve">This is because the </w:t>
      </w:r>
      <w:r w:rsidR="00A81CE9">
        <w:t xml:space="preserve">restricted transfer pricing rules apply without the need to consider the existence or otherwise of </w:t>
      </w:r>
      <w:r w:rsidR="00F22706">
        <w:t>a co</w:t>
      </w:r>
      <w:r w:rsidR="00A06DB2">
        <w:t>-ordinated group.</w:t>
      </w:r>
    </w:p>
    <w:p w:rsidR="00373CA7" w:rsidRDefault="00373CA7" w:rsidP="00EB1AC4"/>
    <w:p w:rsidR="00373CA7" w:rsidRDefault="00373CA7" w:rsidP="00EB1AC4">
      <w:pPr>
        <w:rPr>
          <w:i/>
        </w:rPr>
      </w:pPr>
      <w:r>
        <w:rPr>
          <w:i/>
        </w:rPr>
        <w:t>Exclusion of certain preference shares</w:t>
      </w:r>
    </w:p>
    <w:p w:rsidR="00373CA7" w:rsidRDefault="00373CA7" w:rsidP="00EB1AC4">
      <w:pPr>
        <w:rPr>
          <w:i/>
        </w:rPr>
      </w:pPr>
    </w:p>
    <w:p w:rsidR="00373CA7" w:rsidRDefault="00373CA7" w:rsidP="00EB1AC4">
      <w:r>
        <w:t xml:space="preserve">Section GC 6(3E) excludes </w:t>
      </w:r>
      <w:r w:rsidR="00292098">
        <w:t xml:space="preserve">ownership interests arising from certain preference shares </w:t>
      </w:r>
      <w:r>
        <w:t>from the cross-border related borrowing test.</w:t>
      </w:r>
      <w:r w:rsidR="00292098">
        <w:t xml:space="preserve"> </w:t>
      </w:r>
      <w:r>
        <w:t>To meet this exclusion the preference shares must be:</w:t>
      </w:r>
    </w:p>
    <w:p w:rsidR="00A06DB2" w:rsidRDefault="00A06DB2" w:rsidP="00EB1AC4"/>
    <w:p w:rsidR="00373CA7" w:rsidRDefault="00373CA7" w:rsidP="00A06DB2">
      <w:pPr>
        <w:pStyle w:val="Bullets"/>
      </w:pPr>
      <w:r>
        <w:t xml:space="preserve">held by a person not associated with the </w:t>
      </w:r>
      <w:r w:rsidR="00502E2B">
        <w:t>issuer</w:t>
      </w:r>
      <w:r>
        <w:t>; and</w:t>
      </w:r>
    </w:p>
    <w:p w:rsidR="00373CA7" w:rsidRDefault="00373CA7" w:rsidP="00A06DB2">
      <w:pPr>
        <w:pStyle w:val="Bullets"/>
        <w:spacing w:after="0"/>
      </w:pPr>
      <w:r>
        <w:t xml:space="preserve">issued with the intention of satisfying or replacing debt </w:t>
      </w:r>
      <w:r w:rsidR="0076763B">
        <w:t xml:space="preserve">previously </w:t>
      </w:r>
      <w:r>
        <w:t>provided by the</w:t>
      </w:r>
      <w:r w:rsidR="00502E2B">
        <w:t xml:space="preserve"> preference shareholder</w:t>
      </w:r>
      <w:r>
        <w:t xml:space="preserve"> to </w:t>
      </w:r>
      <w:r w:rsidR="00F22706">
        <w:t>the issuer</w:t>
      </w:r>
      <w:r w:rsidR="00C74021">
        <w:t xml:space="preserve"> </w:t>
      </w:r>
      <w:r>
        <w:t>in the ordinary course of business.</w:t>
      </w:r>
    </w:p>
    <w:p w:rsidR="00373CA7" w:rsidRDefault="00373CA7" w:rsidP="00373CA7"/>
    <w:p w:rsidR="00373CA7" w:rsidRDefault="00373CA7" w:rsidP="00373CA7">
      <w:r>
        <w:t xml:space="preserve">The purpose of this exclusion is to cater for </w:t>
      </w:r>
      <w:r w:rsidR="0076763B">
        <w:t xml:space="preserve">certain </w:t>
      </w:r>
      <w:r>
        <w:t>situations where a non-resident</w:t>
      </w:r>
      <w:r w:rsidR="00C74021">
        <w:t>,</w:t>
      </w:r>
      <w:r>
        <w:t xml:space="preserve"> in the business of lending to third parties</w:t>
      </w:r>
      <w:r w:rsidR="00C74021">
        <w:t>,</w:t>
      </w:r>
      <w:r>
        <w:t xml:space="preserve"> loans money to a New Zealand borrower </w:t>
      </w:r>
      <w:r w:rsidR="0076763B">
        <w:t xml:space="preserve">who </w:t>
      </w:r>
      <w:r>
        <w:t>gets into financial difficult</w:t>
      </w:r>
      <w:r w:rsidR="0081440F">
        <w:t>y</w:t>
      </w:r>
      <w:r w:rsidR="007306EA">
        <w:t xml:space="preserve">. </w:t>
      </w:r>
      <w:r w:rsidR="0076763B">
        <w:t>In such cases,</w:t>
      </w:r>
      <w:r>
        <w:t xml:space="preserve"> </w:t>
      </w:r>
      <w:r w:rsidR="0076763B">
        <w:t xml:space="preserve">rather than a portion of the debt being cancelled, the borrower may issue </w:t>
      </w:r>
      <w:r>
        <w:t>the lender preference shares</w:t>
      </w:r>
      <w:r w:rsidR="0076763B">
        <w:t>.</w:t>
      </w:r>
      <w:r w:rsidR="00292098">
        <w:t xml:space="preserve"> </w:t>
      </w:r>
      <w:r>
        <w:t>In this circumstance the lender</w:t>
      </w:r>
      <w:r w:rsidR="005F5E3B">
        <w:t>,</w:t>
      </w:r>
      <w:r>
        <w:t xml:space="preserve"> has an ownership right in the borrower</w:t>
      </w:r>
      <w:r w:rsidR="00541FB9">
        <w:t>, subject to the terms and conditions of the preference share</w:t>
      </w:r>
      <w:r w:rsidR="007306EA">
        <w:t xml:space="preserve">. </w:t>
      </w:r>
      <w:r w:rsidR="0076763B">
        <w:t>However, it clearly would not be appropriate to require the interest rate on the remaining debt to be determined having regard to the group credit rating of t</w:t>
      </w:r>
      <w:r w:rsidR="00A06DB2">
        <w:t>he preference shareholder.</w:t>
      </w:r>
    </w:p>
    <w:p w:rsidR="00767295" w:rsidRDefault="00767295" w:rsidP="00373CA7"/>
    <w:p w:rsidR="00EE4DD5" w:rsidRPr="00015FA4" w:rsidRDefault="00767295" w:rsidP="00192B65">
      <w:r>
        <w:t>This exclusion will not apply if the preference shares are issued to a person who is already associated with the borrower</w:t>
      </w:r>
      <w:r w:rsidR="00292098">
        <w:t>,</w:t>
      </w:r>
      <w:r>
        <w:t xml:space="preserve"> or if the preference shares are sold or transferred to a third party.</w:t>
      </w:r>
      <w:r w:rsidR="00292098">
        <w:t xml:space="preserve"> </w:t>
      </w:r>
      <w:r w:rsidR="00193AED">
        <w:t xml:space="preserve">These restrictions are designed to prevent investors using this exclusion to take or extend an equity-like interest without this being </w:t>
      </w:r>
      <w:r w:rsidR="00605E4E">
        <w:t>included</w:t>
      </w:r>
      <w:r w:rsidR="00193AED">
        <w:t xml:space="preserve"> in </w:t>
      </w:r>
      <w:r w:rsidR="0076763B">
        <w:t>determining ownership for purposes of the restricted transfer pricing rules</w:t>
      </w:r>
      <w:r w:rsidR="00193AED">
        <w:t>.</w:t>
      </w:r>
    </w:p>
    <w:p w:rsidR="002F1623" w:rsidRDefault="002F1623" w:rsidP="00A06DB2"/>
    <w:p w:rsidR="00192B65" w:rsidRPr="00F049F7" w:rsidRDefault="00532BAB" w:rsidP="00192B65">
      <w:pPr>
        <w:rPr>
          <w:b/>
          <w:i/>
        </w:rPr>
      </w:pPr>
      <w:r>
        <w:rPr>
          <w:b/>
          <w:i/>
        </w:rPr>
        <w:t>C</w:t>
      </w:r>
      <w:r w:rsidR="00192B65" w:rsidRPr="00F049F7">
        <w:rPr>
          <w:b/>
          <w:i/>
        </w:rPr>
        <w:t>redit rating</w:t>
      </w:r>
      <w:r>
        <w:rPr>
          <w:b/>
          <w:i/>
        </w:rPr>
        <w:t xml:space="preserve"> adjustments</w:t>
      </w:r>
    </w:p>
    <w:p w:rsidR="00192B65" w:rsidRPr="00F049F7" w:rsidRDefault="00192B65" w:rsidP="00192B65"/>
    <w:p w:rsidR="00192B65" w:rsidRDefault="00192B65" w:rsidP="00192B65">
      <w:r w:rsidRPr="00F049F7">
        <w:t xml:space="preserve">A borrower that is subject to the </w:t>
      </w:r>
      <w:r w:rsidR="00FC526B">
        <w:t xml:space="preserve">new </w:t>
      </w:r>
      <w:r w:rsidRPr="00F049F7">
        <w:t>rules will follow the process</w:t>
      </w:r>
      <w:r w:rsidR="00292098">
        <w:t xml:space="preserve"> set out</w:t>
      </w:r>
      <w:r w:rsidRPr="00F049F7">
        <w:t xml:space="preserve"> </w:t>
      </w:r>
      <w:r w:rsidR="0073742A">
        <w:t xml:space="preserve">in </w:t>
      </w:r>
      <w:r w:rsidR="00292098">
        <w:t>F</w:t>
      </w:r>
      <w:r w:rsidR="0073742A">
        <w:t>lowchart 2</w:t>
      </w:r>
      <w:r w:rsidR="0059396C">
        <w:t xml:space="preserve">, </w:t>
      </w:r>
      <w:r w:rsidRPr="00F049F7">
        <w:t>to arrive at one of the following issuer credit ratings:</w:t>
      </w:r>
    </w:p>
    <w:p w:rsidR="00192B65" w:rsidRPr="00F049F7" w:rsidRDefault="00192B65" w:rsidP="00192B65"/>
    <w:p w:rsidR="0031390F" w:rsidRDefault="0031390F" w:rsidP="0031390F">
      <w:pPr>
        <w:pStyle w:val="Indentbullet"/>
        <w:numPr>
          <w:ilvl w:val="0"/>
          <w:numId w:val="2"/>
        </w:numPr>
      </w:pPr>
      <w:r w:rsidRPr="00BA6F29">
        <w:t>Default credit rating</w:t>
      </w:r>
      <w:r>
        <w:t xml:space="preserve"> </w:t>
      </w:r>
      <w:r w:rsidRPr="00BA6F29">
        <w:t>– the borrower’s own rating</w:t>
      </w:r>
    </w:p>
    <w:p w:rsidR="0031390F" w:rsidRPr="00BA6F29" w:rsidRDefault="0031390F" w:rsidP="008C7D10">
      <w:pPr>
        <w:pStyle w:val="Indentbullet"/>
        <w:numPr>
          <w:ilvl w:val="0"/>
          <w:numId w:val="2"/>
        </w:numPr>
      </w:pPr>
      <w:r w:rsidRPr="00BA6F29">
        <w:t xml:space="preserve">Restricted credit rating – the </w:t>
      </w:r>
      <w:r w:rsidR="0076763B">
        <w:t xml:space="preserve">higher of </w:t>
      </w:r>
      <w:r w:rsidR="008E5D35">
        <w:t xml:space="preserve">(i) </w:t>
      </w:r>
      <w:r w:rsidR="0076763B">
        <w:t xml:space="preserve">the </w:t>
      </w:r>
      <w:r w:rsidRPr="00BA6F29">
        <w:t xml:space="preserve">borrower’s own rating if </w:t>
      </w:r>
      <w:r w:rsidR="008E5D35">
        <w:t xml:space="preserve">their debt/assets percentage is </w:t>
      </w:r>
      <w:r w:rsidRPr="00BA6F29">
        <w:t xml:space="preserve">no higher than 40% debt and </w:t>
      </w:r>
      <w:r w:rsidR="008E5D35">
        <w:t xml:space="preserve">(ii) </w:t>
      </w:r>
      <w:r w:rsidRPr="00BA6F29">
        <w:t>BBB-</w:t>
      </w:r>
    </w:p>
    <w:p w:rsidR="00192B65" w:rsidRPr="00BA6F29" w:rsidRDefault="00192B65" w:rsidP="002C0293">
      <w:pPr>
        <w:pStyle w:val="Indentbullet"/>
        <w:numPr>
          <w:ilvl w:val="0"/>
          <w:numId w:val="2"/>
        </w:numPr>
      </w:pPr>
      <w:r w:rsidRPr="00BA6F29">
        <w:t xml:space="preserve">Group </w:t>
      </w:r>
      <w:r w:rsidR="00BA6F29" w:rsidRPr="00BA6F29">
        <w:t xml:space="preserve">credit </w:t>
      </w:r>
      <w:r w:rsidRPr="00BA6F29">
        <w:t>rating – the higher of the</w:t>
      </w:r>
      <w:r w:rsidR="008E5D35">
        <w:t xml:space="preserve"> group borrower’s</w:t>
      </w:r>
      <w:r w:rsidRPr="00BA6F29">
        <w:t xml:space="preserve">  credit rating minus one </w:t>
      </w:r>
      <w:r w:rsidR="00BA6F29">
        <w:t xml:space="preserve">or two </w:t>
      </w:r>
      <w:r w:rsidRPr="00BA6F29">
        <w:t>notch</w:t>
      </w:r>
      <w:r w:rsidR="00BA6F29">
        <w:t>es</w:t>
      </w:r>
      <w:r w:rsidRPr="00BA6F29">
        <w:t xml:space="preserve"> </w:t>
      </w:r>
      <w:r w:rsidR="0076763B">
        <w:t>and</w:t>
      </w:r>
      <w:r w:rsidRPr="00BA6F29">
        <w:t xml:space="preserve"> the borrower’s own rating</w:t>
      </w:r>
      <w:r w:rsidR="008E5D35">
        <w:t xml:space="preserve"> (the group borrower is the group company with the highest amount of unsecured long term borrowing)</w:t>
      </w:r>
    </w:p>
    <w:p w:rsidR="00BA6F29" w:rsidRDefault="00BA6F29" w:rsidP="00A06DB2">
      <w:pPr>
        <w:pStyle w:val="Indentbullet"/>
        <w:numPr>
          <w:ilvl w:val="0"/>
          <w:numId w:val="2"/>
        </w:numPr>
        <w:spacing w:after="0"/>
      </w:pPr>
      <w:r>
        <w:t xml:space="preserve">Optional credit rating – </w:t>
      </w:r>
      <w:r w:rsidR="0031390F">
        <w:t>the credit rating implied from significant third party debt</w:t>
      </w:r>
    </w:p>
    <w:p w:rsidR="00A06DB2" w:rsidRDefault="00A06DB2" w:rsidP="00A06DB2"/>
    <w:p w:rsidR="00C94CF6" w:rsidRDefault="00C94CF6" w:rsidP="00A06DB2">
      <w:r>
        <w:t xml:space="preserve">None of the credit rating methods </w:t>
      </w:r>
      <w:r w:rsidR="008E5D35">
        <w:t>is</w:t>
      </w:r>
      <w:r>
        <w:t xml:space="preserve"> intended to require a borrower or another entity in the worldwide group to obtain a credit rating if </w:t>
      </w:r>
      <w:r w:rsidR="008E5D35">
        <w:t>it does</w:t>
      </w:r>
      <w:r>
        <w:t xml:space="preserve"> not already have one.</w:t>
      </w:r>
      <w:r w:rsidR="00292098">
        <w:t xml:space="preserve"> </w:t>
      </w:r>
      <w:r>
        <w:t xml:space="preserve">Instead a credit rating, subject to any restrictions imposed by the methods, can continue to be implied based on </w:t>
      </w:r>
      <w:r w:rsidR="00B647AE">
        <w:t xml:space="preserve">an analysis of current and historical information </w:t>
      </w:r>
      <w:r w:rsidR="0073742A">
        <w:t>t</w:t>
      </w:r>
      <w:r w:rsidR="00B647AE">
        <w:t xml:space="preserve">o form a business risk profile </w:t>
      </w:r>
      <w:r w:rsidR="0073742A">
        <w:t xml:space="preserve">that takes into account </w:t>
      </w:r>
      <w:r w:rsidR="00B647AE">
        <w:t>competitive position,</w:t>
      </w:r>
      <w:r w:rsidR="00385517">
        <w:t xml:space="preserve"> managerial conduct and intent,</w:t>
      </w:r>
      <w:r w:rsidR="00B647AE">
        <w:t xml:space="preserve"> industry and country risk and a financial risk profile based on cash flow and leverage.</w:t>
      </w:r>
      <w:r w:rsidR="00292098">
        <w:t xml:space="preserve"> </w:t>
      </w:r>
      <w:r w:rsidR="00B647AE">
        <w:t xml:space="preserve">This forms the basis of the </w:t>
      </w:r>
      <w:r w:rsidR="0073742A">
        <w:t xml:space="preserve">borrower’s </w:t>
      </w:r>
      <w:r w:rsidR="00B647AE">
        <w:t>stand-alone position which may be influenced by other factors including group or governmental support to form the issuer credit rating.</w:t>
      </w:r>
    </w:p>
    <w:p w:rsidR="008D4E41" w:rsidRDefault="008D4E41" w:rsidP="00A06DB2"/>
    <w:p w:rsidR="00214E42" w:rsidRPr="00BA6F29" w:rsidRDefault="00214E42" w:rsidP="00A06DB2"/>
    <w:p w:rsidR="00192B65" w:rsidRPr="00941A09" w:rsidRDefault="00941A09" w:rsidP="00192B65">
      <w:pPr>
        <w:rPr>
          <w:i/>
        </w:rPr>
      </w:pPr>
      <w:r w:rsidRPr="00941A09">
        <w:rPr>
          <w:i/>
        </w:rPr>
        <w:t>Default credit rating</w:t>
      </w:r>
    </w:p>
    <w:p w:rsidR="00941A09" w:rsidRPr="00F049F7" w:rsidRDefault="00941A09" w:rsidP="00192B65"/>
    <w:p w:rsidR="0031390F" w:rsidRDefault="00192B65" w:rsidP="00192B65">
      <w:r w:rsidRPr="00F049F7">
        <w:t xml:space="preserve">The </w:t>
      </w:r>
      <w:r w:rsidR="0031390F" w:rsidRPr="0031390F">
        <w:t>default</w:t>
      </w:r>
      <w:r w:rsidRPr="0031390F">
        <w:t xml:space="preserve"> credit rating in section GC 16(</w:t>
      </w:r>
      <w:r w:rsidR="0031390F" w:rsidRPr="0031390F">
        <w:t>2</w:t>
      </w:r>
      <w:r w:rsidRPr="0031390F">
        <w:t>)</w:t>
      </w:r>
      <w:r w:rsidR="0031390F">
        <w:t xml:space="preserve"> and (8)</w:t>
      </w:r>
      <w:r w:rsidRPr="00F049F7">
        <w:t xml:space="preserve"> is the </w:t>
      </w:r>
      <w:r w:rsidR="0059396C">
        <w:t xml:space="preserve">borrower’s </w:t>
      </w:r>
      <w:r w:rsidRPr="00F049F7">
        <w:t>rating including any implicit parental support.</w:t>
      </w:r>
      <w:r w:rsidR="00292098">
        <w:t xml:space="preserve"> </w:t>
      </w:r>
      <w:r w:rsidRPr="00F049F7">
        <w:t xml:space="preserve">This is the rate </w:t>
      </w:r>
      <w:r w:rsidR="00921E49">
        <w:t xml:space="preserve">that applies under the rules outside of the </w:t>
      </w:r>
      <w:r w:rsidR="00B647AE">
        <w:t>restricted transfer pricing rule</w:t>
      </w:r>
      <w:r w:rsidRPr="00F049F7">
        <w:t>.</w:t>
      </w:r>
      <w:r w:rsidR="00292098">
        <w:t xml:space="preserve"> </w:t>
      </w:r>
      <w:r w:rsidRPr="00F049F7">
        <w:t xml:space="preserve">It will continue to </w:t>
      </w:r>
      <w:r w:rsidR="0059396C">
        <w:t>apply</w:t>
      </w:r>
      <w:r w:rsidRPr="00F049F7">
        <w:t xml:space="preserve"> where the borrower </w:t>
      </w:r>
      <w:r w:rsidR="00921E49">
        <w:t xml:space="preserve">is </w:t>
      </w:r>
      <w:r w:rsidRPr="00F049F7">
        <w:t>a low BEPS risk.</w:t>
      </w:r>
      <w:r w:rsidR="00292098">
        <w:t xml:space="preserve"> </w:t>
      </w:r>
      <w:r w:rsidR="0031390F">
        <w:t xml:space="preserve">This is also the </w:t>
      </w:r>
      <w:r w:rsidR="00921E49">
        <w:t xml:space="preserve">rating </w:t>
      </w:r>
      <w:r w:rsidR="0031390F">
        <w:t>that applies when a borrower has less than $10 million of cross-border related borrowings.</w:t>
      </w:r>
    </w:p>
    <w:p w:rsidR="0031390F" w:rsidRDefault="0031390F" w:rsidP="00192B65"/>
    <w:p w:rsidR="0073742A" w:rsidRDefault="0031390F" w:rsidP="00192B65">
      <w:r>
        <w:t xml:space="preserve">The Commissioner has previously issued administrative guidance for </w:t>
      </w:r>
      <w:r w:rsidR="00941A09">
        <w:t xml:space="preserve">transfer pricing of </w:t>
      </w:r>
      <w:r>
        <w:t>loans with a total principal up to $10 million in order to minimise compliance costs.</w:t>
      </w:r>
      <w:r w:rsidR="00292098">
        <w:t xml:space="preserve"> </w:t>
      </w:r>
      <w:r w:rsidR="00941A09">
        <w:t>The availability of the administrative approach is not intended to be affected by the new restricted transfer pricing rule and a loan priced under this approach is intended to be compatible with the default credit rating.</w:t>
      </w:r>
      <w:r w:rsidR="00292098">
        <w:t xml:space="preserve"> </w:t>
      </w:r>
      <w:r w:rsidR="0073742A">
        <w:t>To make this clear, loans where the borrower has less than $10 million of cross-border related borrowings have been carved out of the restricted credit ratings and group credit rating methods discussed below.</w:t>
      </w:r>
    </w:p>
    <w:p w:rsidR="00A06DB2" w:rsidRDefault="00A06DB2">
      <w:pPr>
        <w:jc w:val="left"/>
      </w:pPr>
    </w:p>
    <w:p w:rsidR="00192B65" w:rsidRDefault="00941A09" w:rsidP="00192B65">
      <w:r>
        <w:t>Further detail on the administrative approach is available at:</w:t>
      </w:r>
    </w:p>
    <w:p w:rsidR="0031390F" w:rsidRDefault="0031390F" w:rsidP="00192B65"/>
    <w:p w:rsidR="0031390F" w:rsidRDefault="00CF22B5" w:rsidP="00214E42">
      <w:pPr>
        <w:ind w:left="567"/>
      </w:pPr>
      <w:hyperlink r:id="rId9" w:history="1">
        <w:r w:rsidR="00214E42" w:rsidRPr="00682115">
          <w:rPr>
            <w:rStyle w:val="Hyperlink"/>
          </w:rPr>
          <w:t>http://www.ird.govt.nz/international/business/transfer-pricing/transfer-pricing/practice/transfer-pricing-practice-financing-costs.html</w:t>
        </w:r>
      </w:hyperlink>
    </w:p>
    <w:p w:rsidR="0073742A" w:rsidRDefault="0073742A" w:rsidP="00192B65"/>
    <w:p w:rsidR="00192B65" w:rsidRPr="00941A09" w:rsidRDefault="00941A09" w:rsidP="00192B65">
      <w:pPr>
        <w:rPr>
          <w:i/>
        </w:rPr>
      </w:pPr>
      <w:r w:rsidRPr="00941A09">
        <w:rPr>
          <w:i/>
        </w:rPr>
        <w:t>Restricted credit rating</w:t>
      </w:r>
    </w:p>
    <w:p w:rsidR="00941A09" w:rsidRPr="00F049F7" w:rsidRDefault="00941A09" w:rsidP="00192B65"/>
    <w:p w:rsidR="00192B65" w:rsidRDefault="00192B65" w:rsidP="00192B65">
      <w:r w:rsidRPr="00F049F7">
        <w:t xml:space="preserve">The </w:t>
      </w:r>
      <w:r w:rsidRPr="00941A09">
        <w:t>restricted credit rating in section GC 16(</w:t>
      </w:r>
      <w:r w:rsidR="00941A09" w:rsidRPr="00941A09">
        <w:t>3</w:t>
      </w:r>
      <w:r w:rsidRPr="00941A09">
        <w:t>)</w:t>
      </w:r>
      <w:r w:rsidR="00941A09">
        <w:t xml:space="preserve"> and (9)</w:t>
      </w:r>
      <w:r w:rsidRPr="00F049F7">
        <w:t xml:space="preserve"> will apply where the borrower does not have an identifiable parent and </w:t>
      </w:r>
      <w:r w:rsidR="00CE4964">
        <w:t xml:space="preserve">either </w:t>
      </w:r>
      <w:r w:rsidR="003F6392">
        <w:t>is</w:t>
      </w:r>
      <w:r w:rsidRPr="00F049F7">
        <w:t xml:space="preserve"> a high BEPS risk</w:t>
      </w:r>
      <w:r w:rsidR="00CE4964">
        <w:t xml:space="preserve"> or chooses to use it to reduce compliance costs</w:t>
      </w:r>
      <w:r w:rsidRPr="00F049F7">
        <w:t>.</w:t>
      </w:r>
      <w:r w:rsidR="00292098">
        <w:t xml:space="preserve"> </w:t>
      </w:r>
      <w:r w:rsidR="00921E49">
        <w:t>It</w:t>
      </w:r>
      <w:r w:rsidRPr="00F049F7">
        <w:t xml:space="preserve"> is based on the borrower’s standalone rating but adjusted to reduce </w:t>
      </w:r>
      <w:r w:rsidR="003F6392">
        <w:t>its</w:t>
      </w:r>
      <w:r w:rsidRPr="00F049F7">
        <w:t xml:space="preserve"> debt level to 40% if it is above this and </w:t>
      </w:r>
      <w:r w:rsidR="00921E49">
        <w:t xml:space="preserve">is </w:t>
      </w:r>
      <w:r w:rsidRPr="00F049F7">
        <w:t xml:space="preserve">subject to a </w:t>
      </w:r>
      <w:r w:rsidR="00385517">
        <w:t xml:space="preserve">to a </w:t>
      </w:r>
      <w:r w:rsidRPr="00F049F7">
        <w:t>minimum</w:t>
      </w:r>
      <w:r w:rsidR="00385517" w:rsidRPr="00385517">
        <w:t xml:space="preserve"> </w:t>
      </w:r>
      <w:r w:rsidR="00385517">
        <w:t xml:space="preserve">rating of </w:t>
      </w:r>
      <w:r w:rsidR="00385517" w:rsidRPr="00F049F7">
        <w:t>BBB-</w:t>
      </w:r>
      <w:r w:rsidRPr="00F049F7">
        <w:t>, or equivalent given by a rating agency approved by the Reserve Bank</w:t>
      </w:r>
      <w:r>
        <w:t>.</w:t>
      </w:r>
    </w:p>
    <w:p w:rsidR="00192B65" w:rsidRPr="00F049F7" w:rsidRDefault="00192B65" w:rsidP="00192B65"/>
    <w:p w:rsidR="00192B65" w:rsidRDefault="00192B65" w:rsidP="00192B65">
      <w:r w:rsidRPr="00F049F7">
        <w:t>The Reserve Bank approves rating agencies for their non-bank deposit taker rules which are published at:</w:t>
      </w:r>
    </w:p>
    <w:p w:rsidR="00192B65" w:rsidRPr="00F049F7" w:rsidRDefault="00192B65" w:rsidP="00192B65"/>
    <w:p w:rsidR="00192B65" w:rsidRDefault="00CF22B5" w:rsidP="00214E42">
      <w:pPr>
        <w:ind w:left="567"/>
        <w:jc w:val="left"/>
      </w:pPr>
      <w:hyperlink r:id="rId10" w:history="1">
        <w:r w:rsidR="00214E42" w:rsidRPr="00682115">
          <w:rPr>
            <w:rStyle w:val="Hyperlink"/>
          </w:rPr>
          <w:t>https://www.rbnz.govt.nz/regulation-and-supervision/non-bank-deposit-takers/requirements/credit-ratings</w:t>
        </w:r>
      </w:hyperlink>
    </w:p>
    <w:p w:rsidR="00192B65" w:rsidRPr="00F049F7" w:rsidRDefault="00192B65" w:rsidP="00192B65"/>
    <w:p w:rsidR="00192B65" w:rsidRPr="00387925" w:rsidRDefault="00192B65" w:rsidP="00192B65">
      <w:pPr>
        <w:rPr>
          <w:i/>
        </w:rPr>
      </w:pPr>
      <w:r w:rsidRPr="00387925">
        <w:t>There are four rating agencies currently approved by the Reserve Bank.</w:t>
      </w:r>
      <w:r w:rsidR="00292098">
        <w:t xml:space="preserve"> </w:t>
      </w:r>
      <w:r w:rsidRPr="00387925">
        <w:t xml:space="preserve">BBB- is the lowest investment grade credit rating </w:t>
      </w:r>
      <w:r w:rsidR="00385517">
        <w:t xml:space="preserve">assigned to a party </w:t>
      </w:r>
      <w:r w:rsidRPr="00387925">
        <w:t>by Standard &amp; Poor’s, Fitch and Equifax Australasia and is equivalent to a Baa3 Moody’s rating.</w:t>
      </w:r>
    </w:p>
    <w:p w:rsidR="0031390F" w:rsidRDefault="0031390F" w:rsidP="0031390F"/>
    <w:p w:rsidR="00941A09" w:rsidRDefault="00941A09" w:rsidP="0031390F">
      <w:r>
        <w:t>If a New Zealand borrower is controlled by a non-resident and that non-resident has no other business activity and itself has no identifiable parent the New Zealand borrower will be treated for the purpose of determining its credit rating as having no identifiable parent rather than the direct non-resident being its parent.</w:t>
      </w:r>
      <w:r w:rsidR="00292098">
        <w:t xml:space="preserve"> </w:t>
      </w:r>
      <w:r>
        <w:t>The consequence of this is the New Zealand borrower will need to consider whether the restricted credit rating applies rather than the group credit rating.</w:t>
      </w:r>
    </w:p>
    <w:p w:rsidR="00941A09" w:rsidRDefault="00941A09" w:rsidP="0031390F"/>
    <w:p w:rsidR="00941A09" w:rsidRPr="00941A09" w:rsidRDefault="00941A09" w:rsidP="0031390F">
      <w:pPr>
        <w:rPr>
          <w:i/>
        </w:rPr>
      </w:pPr>
      <w:r w:rsidRPr="00941A09">
        <w:rPr>
          <w:i/>
        </w:rPr>
        <w:t>Group credit rating</w:t>
      </w:r>
    </w:p>
    <w:p w:rsidR="00941A09" w:rsidRDefault="00941A09" w:rsidP="0031390F"/>
    <w:p w:rsidR="0031390F" w:rsidRDefault="0031390F" w:rsidP="0031390F">
      <w:r w:rsidRPr="00F049F7">
        <w:t xml:space="preserve">The </w:t>
      </w:r>
      <w:r w:rsidRPr="00532BAB">
        <w:t xml:space="preserve">group </w:t>
      </w:r>
      <w:r w:rsidR="00532BAB" w:rsidRPr="00532BAB">
        <w:t xml:space="preserve">credit </w:t>
      </w:r>
      <w:r w:rsidRPr="00532BAB">
        <w:t>rating in section GC 16(</w:t>
      </w:r>
      <w:r w:rsidR="00532BAB" w:rsidRPr="00532BAB">
        <w:t>4</w:t>
      </w:r>
      <w:r w:rsidRPr="00532BAB">
        <w:t>)</w:t>
      </w:r>
      <w:r w:rsidR="00532BAB">
        <w:t xml:space="preserve"> and (10)</w:t>
      </w:r>
      <w:r w:rsidRPr="00F049F7">
        <w:t xml:space="preserve"> will apply where the borrower has an identifiable parent and </w:t>
      </w:r>
      <w:r w:rsidR="00CE4964">
        <w:t xml:space="preserve">either </w:t>
      </w:r>
      <w:r w:rsidRPr="00F049F7">
        <w:t>represents a high BEPS risk</w:t>
      </w:r>
      <w:r w:rsidR="00CE4964">
        <w:t xml:space="preserve"> </w:t>
      </w:r>
      <w:r w:rsidR="00536B30">
        <w:t xml:space="preserve">(discussed below) </w:t>
      </w:r>
      <w:r w:rsidR="00CE4964">
        <w:t>or chooses to use it to reduce compliance costs</w:t>
      </w:r>
      <w:r w:rsidRPr="00F049F7">
        <w:t>.</w:t>
      </w:r>
      <w:r w:rsidR="00292098">
        <w:t xml:space="preserve"> </w:t>
      </w:r>
      <w:r w:rsidRPr="00F049F7">
        <w:t>A New Zealand borrower’s rating, in comparison with the</w:t>
      </w:r>
      <w:r w:rsidR="008E5D35">
        <w:t xml:space="preserve"> group borrower’s </w:t>
      </w:r>
      <w:r w:rsidRPr="00F049F7">
        <w:t xml:space="preserve"> rating, is reduced by </w:t>
      </w:r>
      <w:r>
        <w:t xml:space="preserve">two notches if the </w:t>
      </w:r>
      <w:r w:rsidR="00AE7628">
        <w:t xml:space="preserve">parent’s rating </w:t>
      </w:r>
      <w:r>
        <w:t>is BBB</w:t>
      </w:r>
      <w:r w:rsidR="00AE7628">
        <w:t>+</w:t>
      </w:r>
      <w:r>
        <w:t xml:space="preserve"> or above and one notch if </w:t>
      </w:r>
      <w:r w:rsidR="003F6392">
        <w:t xml:space="preserve">it is </w:t>
      </w:r>
      <w:r>
        <w:t>below this.</w:t>
      </w:r>
      <w:r w:rsidR="00292098">
        <w:t xml:space="preserve"> </w:t>
      </w:r>
      <w:r>
        <w:t xml:space="preserve">A notch is referred to in the legislation as </w:t>
      </w:r>
      <w:r w:rsidRPr="00F049F7">
        <w:t>the smallest division withi</w:t>
      </w:r>
      <w:r>
        <w:t xml:space="preserve">n the credit rating categories </w:t>
      </w:r>
      <w:r w:rsidRPr="00F049F7">
        <w:t>(for example from AA to AA- or AA- to A+).</w:t>
      </w:r>
      <w:r w:rsidR="00292098">
        <w:t xml:space="preserve"> </w:t>
      </w:r>
      <w:r w:rsidR="00AE7628">
        <w:t xml:space="preserve">This distinction is made as a two notch difference is only available where the New Zealand borrower would not end up below BBB-. </w:t>
      </w:r>
      <w:r w:rsidR="00536B30">
        <w:t xml:space="preserve">BBB- </w:t>
      </w:r>
      <w:r w:rsidR="00AE7628">
        <w:t xml:space="preserve">is </w:t>
      </w:r>
      <w:r w:rsidR="00536B30">
        <w:t>the lowest credit rating that is still investment grade</w:t>
      </w:r>
      <w:r w:rsidR="0059396C">
        <w:t xml:space="preserve">. </w:t>
      </w:r>
      <w:r w:rsidR="003F6392">
        <w:t>A</w:t>
      </w:r>
      <w:r w:rsidR="00AE7628">
        <w:t xml:space="preserve"> one notch movement at a rating below investment grade would be expected to have a larger impact on the interest rate than a one notch movement at a rating above investment grade</w:t>
      </w:r>
      <w:r w:rsidR="005B02D2">
        <w:t>.</w:t>
      </w:r>
    </w:p>
    <w:p w:rsidR="00AE7628" w:rsidRDefault="00AE7628" w:rsidP="0031390F"/>
    <w:p w:rsidR="00AE7628" w:rsidRDefault="00AE7628" w:rsidP="0031390F">
      <w:r>
        <w:t>As with the equivalent terminology in the restricted credit rating, the reference to BBB+ uses the rating scale used by Standard &amp; Poor’s and other agencies</w:t>
      </w:r>
      <w:r w:rsidR="007306EA">
        <w:t xml:space="preserve">. </w:t>
      </w:r>
      <w:r w:rsidR="002F550A">
        <w:t>An equivalent rating by a different rating agency (such as a Baa1 Moody’s rating) would also be acceptable.</w:t>
      </w:r>
    </w:p>
    <w:p w:rsidR="00532BAB" w:rsidRDefault="00532BAB" w:rsidP="0031390F"/>
    <w:p w:rsidR="00532BAB" w:rsidRPr="00532BAB" w:rsidRDefault="00532BAB" w:rsidP="00532BAB">
      <w:pPr>
        <w:rPr>
          <w:szCs w:val="24"/>
          <w:lang w:val="en-NZ" w:eastAsia="en-NZ"/>
        </w:rPr>
      </w:pPr>
      <w:r w:rsidRPr="00532BAB">
        <w:rPr>
          <w:szCs w:val="24"/>
          <w:lang w:val="en-NZ" w:eastAsia="en-NZ"/>
        </w:rPr>
        <w:t>The following table sets out the lowest available credit rating for a high BEPS risk borrower with an identifiable parent for certain credit ratings:</w:t>
      </w:r>
    </w:p>
    <w:p w:rsidR="00532BAB" w:rsidRPr="00532BAB" w:rsidRDefault="00532BAB" w:rsidP="00532BAB">
      <w:pPr>
        <w:rPr>
          <w:szCs w:val="24"/>
          <w:lang w:val="en-NZ" w:eastAsia="en-NZ"/>
        </w:rPr>
      </w:pPr>
    </w:p>
    <w:tbl>
      <w:tblPr>
        <w:tblStyle w:val="TableGrid1"/>
        <w:tblW w:w="6581" w:type="dxa"/>
        <w:jc w:val="center"/>
        <w:tblLook w:val="04A0" w:firstRow="1" w:lastRow="0" w:firstColumn="1" w:lastColumn="0" w:noHBand="0" w:noVBand="1"/>
      </w:tblPr>
      <w:tblGrid>
        <w:gridCol w:w="2086"/>
        <w:gridCol w:w="2144"/>
        <w:gridCol w:w="2351"/>
      </w:tblGrid>
      <w:tr w:rsidR="002F550A" w:rsidRPr="00532BAB" w:rsidTr="00214E42">
        <w:trPr>
          <w:trHeight w:val="102"/>
          <w:jc w:val="center"/>
        </w:trPr>
        <w:tc>
          <w:tcPr>
            <w:tcW w:w="2086" w:type="dxa"/>
            <w:vAlign w:val="center"/>
          </w:tcPr>
          <w:p w:rsidR="002F550A" w:rsidRPr="00532BAB" w:rsidRDefault="008E5D35" w:rsidP="00214E42">
            <w:pPr>
              <w:spacing w:before="60" w:after="60"/>
              <w:jc w:val="center"/>
              <w:rPr>
                <w:b/>
                <w:lang w:val="en-NZ" w:eastAsia="en-NZ"/>
              </w:rPr>
            </w:pPr>
            <w:r>
              <w:rPr>
                <w:b/>
                <w:lang w:val="en-NZ" w:eastAsia="en-NZ"/>
              </w:rPr>
              <w:t>Group borrower</w:t>
            </w:r>
            <w:r w:rsidR="002F550A" w:rsidRPr="00532BAB">
              <w:rPr>
                <w:b/>
                <w:lang w:val="en-NZ" w:eastAsia="en-NZ"/>
              </w:rPr>
              <w:t xml:space="preserve"> credit rating</w:t>
            </w:r>
          </w:p>
        </w:tc>
        <w:tc>
          <w:tcPr>
            <w:tcW w:w="2144" w:type="dxa"/>
            <w:vAlign w:val="center"/>
          </w:tcPr>
          <w:p w:rsidR="002F550A" w:rsidRDefault="002F550A" w:rsidP="005B02D2">
            <w:pPr>
              <w:spacing w:before="60" w:after="60"/>
              <w:jc w:val="center"/>
              <w:rPr>
                <w:b/>
                <w:lang w:val="en-NZ" w:eastAsia="en-NZ"/>
              </w:rPr>
            </w:pPr>
            <w:r w:rsidRPr="00532BAB">
              <w:rPr>
                <w:b/>
                <w:lang w:val="en-NZ" w:eastAsia="en-NZ"/>
              </w:rPr>
              <w:t>Maximum spread</w:t>
            </w:r>
          </w:p>
        </w:tc>
        <w:tc>
          <w:tcPr>
            <w:tcW w:w="2351" w:type="dxa"/>
          </w:tcPr>
          <w:p w:rsidR="002F550A" w:rsidRPr="00532BAB" w:rsidRDefault="002F550A" w:rsidP="005B02D2">
            <w:pPr>
              <w:spacing w:before="60" w:after="60"/>
              <w:jc w:val="center"/>
              <w:rPr>
                <w:b/>
                <w:lang w:val="en-NZ" w:eastAsia="en-NZ"/>
              </w:rPr>
            </w:pPr>
            <w:r>
              <w:rPr>
                <w:b/>
                <w:lang w:val="en-NZ" w:eastAsia="en-NZ"/>
              </w:rPr>
              <w:t>New Zealand b</w:t>
            </w:r>
            <w:r w:rsidRPr="00532BAB">
              <w:rPr>
                <w:b/>
                <w:lang w:val="en-NZ" w:eastAsia="en-NZ"/>
              </w:rPr>
              <w:t>orrower credit rating</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A</w:t>
            </w:r>
          </w:p>
        </w:tc>
        <w:tc>
          <w:tcPr>
            <w:tcW w:w="2144" w:type="dxa"/>
          </w:tcPr>
          <w:p w:rsidR="002F550A" w:rsidRPr="00532BAB" w:rsidRDefault="002F550A" w:rsidP="00532BAB">
            <w:pPr>
              <w:spacing w:before="60" w:after="60"/>
              <w:jc w:val="center"/>
              <w:rPr>
                <w:lang w:val="en-NZ" w:eastAsia="en-NZ"/>
              </w:rPr>
            </w:pPr>
            <w:r w:rsidRPr="00532BAB">
              <w:rPr>
                <w:lang w:val="en-NZ" w:eastAsia="en-NZ"/>
              </w:rPr>
              <w:t>2 notches</w:t>
            </w:r>
          </w:p>
        </w:tc>
        <w:tc>
          <w:tcPr>
            <w:tcW w:w="2351" w:type="dxa"/>
          </w:tcPr>
          <w:p w:rsidR="002F550A" w:rsidRPr="00532BAB" w:rsidRDefault="002F550A" w:rsidP="00532BAB">
            <w:pPr>
              <w:spacing w:before="60" w:after="60"/>
              <w:jc w:val="center"/>
              <w:rPr>
                <w:lang w:val="en-NZ" w:eastAsia="en-NZ"/>
              </w:rPr>
            </w:pPr>
            <w:r w:rsidRPr="00532BAB">
              <w:rPr>
                <w:lang w:val="en-NZ" w:eastAsia="en-NZ"/>
              </w:rPr>
              <w:t>BBB+</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A-</w:t>
            </w:r>
          </w:p>
        </w:tc>
        <w:tc>
          <w:tcPr>
            <w:tcW w:w="2144" w:type="dxa"/>
          </w:tcPr>
          <w:p w:rsidR="002F550A" w:rsidRPr="00532BAB" w:rsidRDefault="002F550A" w:rsidP="00532BAB">
            <w:pPr>
              <w:spacing w:before="60" w:after="60"/>
              <w:jc w:val="center"/>
              <w:rPr>
                <w:lang w:val="en-NZ" w:eastAsia="en-NZ"/>
              </w:rPr>
            </w:pPr>
            <w:r w:rsidRPr="00532BAB">
              <w:rPr>
                <w:lang w:val="en-NZ" w:eastAsia="en-NZ"/>
              </w:rPr>
              <w:t>2 notches</w:t>
            </w:r>
          </w:p>
        </w:tc>
        <w:tc>
          <w:tcPr>
            <w:tcW w:w="2351" w:type="dxa"/>
          </w:tcPr>
          <w:p w:rsidR="002F550A" w:rsidRPr="00532BAB" w:rsidRDefault="002F550A" w:rsidP="00532BAB">
            <w:pPr>
              <w:spacing w:before="60" w:after="60"/>
              <w:jc w:val="center"/>
              <w:rPr>
                <w:lang w:val="en-NZ" w:eastAsia="en-NZ"/>
              </w:rPr>
            </w:pPr>
            <w:r w:rsidRPr="00532BAB">
              <w:rPr>
                <w:lang w:val="en-NZ" w:eastAsia="en-NZ"/>
              </w:rPr>
              <w:t>BBB</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BBB+</w:t>
            </w:r>
          </w:p>
        </w:tc>
        <w:tc>
          <w:tcPr>
            <w:tcW w:w="2144" w:type="dxa"/>
          </w:tcPr>
          <w:p w:rsidR="002F550A" w:rsidRPr="00532BAB" w:rsidRDefault="002F550A" w:rsidP="00532BAB">
            <w:pPr>
              <w:spacing w:before="60" w:after="60"/>
              <w:jc w:val="center"/>
              <w:rPr>
                <w:lang w:val="en-NZ" w:eastAsia="en-NZ"/>
              </w:rPr>
            </w:pPr>
            <w:r w:rsidRPr="00532BAB">
              <w:rPr>
                <w:lang w:val="en-NZ" w:eastAsia="en-NZ"/>
              </w:rPr>
              <w:t>2 notches</w:t>
            </w:r>
          </w:p>
        </w:tc>
        <w:tc>
          <w:tcPr>
            <w:tcW w:w="2351" w:type="dxa"/>
          </w:tcPr>
          <w:p w:rsidR="002F550A" w:rsidRPr="00532BAB" w:rsidRDefault="002F550A" w:rsidP="00532BAB">
            <w:pPr>
              <w:spacing w:before="60" w:after="60"/>
              <w:jc w:val="center"/>
              <w:rPr>
                <w:lang w:val="en-NZ" w:eastAsia="en-NZ"/>
              </w:rPr>
            </w:pPr>
            <w:r w:rsidRPr="00532BAB">
              <w:rPr>
                <w:lang w:val="en-NZ" w:eastAsia="en-NZ"/>
              </w:rPr>
              <w:t>BBB-</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BBB</w:t>
            </w:r>
          </w:p>
        </w:tc>
        <w:tc>
          <w:tcPr>
            <w:tcW w:w="2144" w:type="dxa"/>
          </w:tcPr>
          <w:p w:rsidR="002F550A" w:rsidRPr="00532BAB" w:rsidRDefault="002F550A" w:rsidP="00532BAB">
            <w:pPr>
              <w:spacing w:before="60" w:after="60"/>
              <w:jc w:val="center"/>
              <w:rPr>
                <w:lang w:val="en-NZ" w:eastAsia="en-NZ"/>
              </w:rPr>
            </w:pPr>
            <w:r w:rsidRPr="00532BAB">
              <w:rPr>
                <w:lang w:val="en-NZ" w:eastAsia="en-NZ"/>
              </w:rPr>
              <w:t>1 notch</w:t>
            </w:r>
          </w:p>
        </w:tc>
        <w:tc>
          <w:tcPr>
            <w:tcW w:w="2351" w:type="dxa"/>
          </w:tcPr>
          <w:p w:rsidR="002F550A" w:rsidRPr="00532BAB" w:rsidRDefault="002F550A" w:rsidP="00532BAB">
            <w:pPr>
              <w:spacing w:before="60" w:after="60"/>
              <w:jc w:val="center"/>
              <w:rPr>
                <w:lang w:val="en-NZ" w:eastAsia="en-NZ"/>
              </w:rPr>
            </w:pPr>
            <w:r w:rsidRPr="00532BAB">
              <w:rPr>
                <w:lang w:val="en-NZ" w:eastAsia="en-NZ"/>
              </w:rPr>
              <w:t>BBB-</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BBB-</w:t>
            </w:r>
          </w:p>
        </w:tc>
        <w:tc>
          <w:tcPr>
            <w:tcW w:w="2144" w:type="dxa"/>
          </w:tcPr>
          <w:p w:rsidR="002F550A" w:rsidRPr="00532BAB" w:rsidRDefault="002F550A" w:rsidP="00532BAB">
            <w:pPr>
              <w:spacing w:before="60" w:after="60"/>
              <w:jc w:val="center"/>
              <w:rPr>
                <w:lang w:val="en-NZ" w:eastAsia="en-NZ"/>
              </w:rPr>
            </w:pPr>
            <w:r w:rsidRPr="00532BAB">
              <w:rPr>
                <w:lang w:val="en-NZ" w:eastAsia="en-NZ"/>
              </w:rPr>
              <w:t>1 notch</w:t>
            </w:r>
          </w:p>
        </w:tc>
        <w:tc>
          <w:tcPr>
            <w:tcW w:w="2351" w:type="dxa"/>
          </w:tcPr>
          <w:p w:rsidR="002F550A" w:rsidRPr="00532BAB" w:rsidRDefault="002F550A" w:rsidP="00532BAB">
            <w:pPr>
              <w:spacing w:before="60" w:after="60"/>
              <w:jc w:val="center"/>
              <w:rPr>
                <w:lang w:val="en-NZ" w:eastAsia="en-NZ"/>
              </w:rPr>
            </w:pPr>
            <w:r w:rsidRPr="00532BAB">
              <w:rPr>
                <w:lang w:val="en-NZ" w:eastAsia="en-NZ"/>
              </w:rPr>
              <w:t>BB+</w:t>
            </w:r>
          </w:p>
        </w:tc>
      </w:tr>
      <w:tr w:rsidR="002F550A" w:rsidRPr="00532BAB" w:rsidTr="002F550A">
        <w:trPr>
          <w:jc w:val="center"/>
        </w:trPr>
        <w:tc>
          <w:tcPr>
            <w:tcW w:w="2086" w:type="dxa"/>
          </w:tcPr>
          <w:p w:rsidR="002F550A" w:rsidRPr="00532BAB" w:rsidRDefault="002F550A" w:rsidP="00532BAB">
            <w:pPr>
              <w:spacing w:before="60" w:after="60"/>
              <w:jc w:val="center"/>
              <w:rPr>
                <w:lang w:val="en-NZ" w:eastAsia="en-NZ"/>
              </w:rPr>
            </w:pPr>
            <w:r w:rsidRPr="00532BAB">
              <w:rPr>
                <w:lang w:val="en-NZ" w:eastAsia="en-NZ"/>
              </w:rPr>
              <w:t>BB+</w:t>
            </w:r>
          </w:p>
        </w:tc>
        <w:tc>
          <w:tcPr>
            <w:tcW w:w="2144" w:type="dxa"/>
          </w:tcPr>
          <w:p w:rsidR="002F550A" w:rsidRPr="00532BAB" w:rsidRDefault="002F550A" w:rsidP="00532BAB">
            <w:pPr>
              <w:spacing w:before="60" w:after="60"/>
              <w:jc w:val="center"/>
              <w:rPr>
                <w:lang w:val="en-NZ" w:eastAsia="en-NZ"/>
              </w:rPr>
            </w:pPr>
            <w:r w:rsidRPr="00532BAB">
              <w:rPr>
                <w:lang w:val="en-NZ" w:eastAsia="en-NZ"/>
              </w:rPr>
              <w:t>1 notch</w:t>
            </w:r>
          </w:p>
        </w:tc>
        <w:tc>
          <w:tcPr>
            <w:tcW w:w="2351" w:type="dxa"/>
          </w:tcPr>
          <w:p w:rsidR="002F550A" w:rsidRPr="00532BAB" w:rsidRDefault="002F550A" w:rsidP="00532BAB">
            <w:pPr>
              <w:spacing w:before="60" w:after="60"/>
              <w:jc w:val="center"/>
              <w:rPr>
                <w:lang w:val="en-NZ" w:eastAsia="en-NZ"/>
              </w:rPr>
            </w:pPr>
            <w:r w:rsidRPr="00532BAB">
              <w:rPr>
                <w:lang w:val="en-NZ" w:eastAsia="en-NZ"/>
              </w:rPr>
              <w:t>BB</w:t>
            </w:r>
          </w:p>
        </w:tc>
      </w:tr>
    </w:tbl>
    <w:p w:rsidR="00532BAB" w:rsidRDefault="00532BAB" w:rsidP="0031390F"/>
    <w:p w:rsidR="00941A09" w:rsidRDefault="00941A09" w:rsidP="00192B65">
      <w:pPr>
        <w:rPr>
          <w:i/>
        </w:rPr>
      </w:pPr>
      <w:r>
        <w:rPr>
          <w:i/>
        </w:rPr>
        <w:t>Optional credit rating</w:t>
      </w:r>
    </w:p>
    <w:p w:rsidR="00941A09" w:rsidRDefault="00941A09" w:rsidP="00192B65"/>
    <w:p w:rsidR="005B02D2" w:rsidRDefault="005B02D2" w:rsidP="00192B65">
      <w:r>
        <w:t>The optional credit rating in section GC 16(5) and (11)</w:t>
      </w:r>
      <w:r w:rsidR="00CE4964">
        <w:t xml:space="preserve"> allows a New Zealand borrower to apply a credit rating to </w:t>
      </w:r>
      <w:r w:rsidR="002D59BF">
        <w:t xml:space="preserve">an amount of </w:t>
      </w:r>
      <w:r w:rsidR="00CE4964">
        <w:t>their related party borrowing that is the same as that implied from significant</w:t>
      </w:r>
      <w:r w:rsidR="00536B30">
        <w:rPr>
          <w:rStyle w:val="FootnoteReference"/>
        </w:rPr>
        <w:footnoteReference w:id="1"/>
      </w:r>
      <w:r w:rsidR="00CE4964">
        <w:t xml:space="preserve"> third party borrowing by a member of their New Zealand group.</w:t>
      </w:r>
      <w:r w:rsidR="00292098">
        <w:t xml:space="preserve"> </w:t>
      </w:r>
      <w:r w:rsidR="00CE4964">
        <w:t>For a borrower that could use the default credit rating the optional credit rating would be consistent with this; however, this option is available for all borrowers</w:t>
      </w:r>
      <w:r w:rsidR="00E83DFE">
        <w:t>, including insuring or lending persons,</w:t>
      </w:r>
      <w:r w:rsidR="00CE4964">
        <w:t xml:space="preserve"> with </w:t>
      </w:r>
      <w:r w:rsidR="00E83DFE">
        <w:t xml:space="preserve">cross-border related borrowing and </w:t>
      </w:r>
      <w:r w:rsidR="00CE4964">
        <w:t>third party debt.</w:t>
      </w:r>
    </w:p>
    <w:p w:rsidR="00E83DFE" w:rsidRDefault="00E83DFE" w:rsidP="00192B65"/>
    <w:p w:rsidR="00E83DFE" w:rsidRDefault="00E83DFE" w:rsidP="00192B65">
      <w:r>
        <w:t xml:space="preserve">The optional credit rating allows the credit rating of a cross-border related borrowing to be set under the same credit rating that can be implied from third party </w:t>
      </w:r>
      <w:r w:rsidR="004E69EA">
        <w:t xml:space="preserve">long-term </w:t>
      </w:r>
      <w:r>
        <w:t>senior unsecured debt.</w:t>
      </w:r>
      <w:r w:rsidR="00292098">
        <w:t xml:space="preserve"> </w:t>
      </w:r>
      <w:r>
        <w:t>This is based on the same principle as the third party exceptions used for disregarded features and described below.</w:t>
      </w:r>
      <w:r w:rsidR="00292098">
        <w:t xml:space="preserve"> </w:t>
      </w:r>
      <w:r>
        <w:t>As with the disregarded features exception the optional credit rating can be used for cross-border related borro</w:t>
      </w:r>
      <w:r w:rsidR="00AA120A">
        <w:t>wing with a principal of up to four</w:t>
      </w:r>
      <w:r>
        <w:t xml:space="preserve"> times the third party debt – this restriction is to prevent a borrower using a small amount of expensive third party debt to justify a </w:t>
      </w:r>
      <w:r w:rsidR="002D59BF">
        <w:t xml:space="preserve">full deduction for the interest on a </w:t>
      </w:r>
      <w:r>
        <w:t>large amount of expensive related party debt.</w:t>
      </w:r>
    </w:p>
    <w:p w:rsidR="00A06DB2" w:rsidRDefault="00A06DB2" w:rsidP="00192B65"/>
    <w:p w:rsidR="00AA120A" w:rsidRDefault="00F976FB" w:rsidP="00192B65">
      <w:r>
        <w:t xml:space="preserve">The </w:t>
      </w:r>
      <w:r w:rsidR="004E69EA">
        <w:t xml:space="preserve">focus on </w:t>
      </w:r>
      <w:r>
        <w:t xml:space="preserve">unsecured debt </w:t>
      </w:r>
      <w:r w:rsidR="004E69EA">
        <w:t xml:space="preserve">only is intended to be favourable to taxpayers </w:t>
      </w:r>
      <w:r>
        <w:t xml:space="preserve">as this debt represents the credit risk of the borrower as a whole compared with secured debt which represents </w:t>
      </w:r>
      <w:r w:rsidR="00D73F59">
        <w:t xml:space="preserve">some reduction in </w:t>
      </w:r>
      <w:r>
        <w:t>credit risk</w:t>
      </w:r>
      <w:r w:rsidR="00D73F59">
        <w:t xml:space="preserve"> by virtue of the secured lenders preferential ranking relative to the unsecured lenders in the event of a default</w:t>
      </w:r>
      <w:r>
        <w:t>.</w:t>
      </w:r>
      <w:r w:rsidR="00292098">
        <w:t xml:space="preserve"> </w:t>
      </w:r>
      <w:r w:rsidR="00A94AD8">
        <w:t>Usually</w:t>
      </w:r>
      <w:r w:rsidR="004E69EA">
        <w:t xml:space="preserve"> a </w:t>
      </w:r>
      <w:r w:rsidR="00A94AD8">
        <w:t xml:space="preserve">well secured </w:t>
      </w:r>
      <w:r w:rsidR="004E69EA">
        <w:t xml:space="preserve">loan </w:t>
      </w:r>
      <w:r w:rsidR="00A94AD8">
        <w:t xml:space="preserve">will </w:t>
      </w:r>
      <w:r w:rsidR="004E69EA">
        <w:t xml:space="preserve">have an interest rate that implies a higher credit rating than </w:t>
      </w:r>
      <w:r w:rsidR="00A94AD8">
        <w:t xml:space="preserve">that of the lower ranking debt of </w:t>
      </w:r>
      <w:r w:rsidR="004E69EA">
        <w:t>the entity</w:t>
      </w:r>
      <w:r w:rsidR="00A94AD8">
        <w:t>, such as unsecured or subordinated debt</w:t>
      </w:r>
      <w:r w:rsidR="004E69EA">
        <w:t>.</w:t>
      </w:r>
      <w:r w:rsidR="00292098">
        <w:t xml:space="preserve"> </w:t>
      </w:r>
      <w:r w:rsidR="004E69EA">
        <w:t xml:space="preserve">Where a borrower has both secured and unsecured third party borrowing it would be appropriate for the optional credit rating to be based on the lower credit rating implied </w:t>
      </w:r>
      <w:r w:rsidR="002D59BF">
        <w:t>by</w:t>
      </w:r>
      <w:r w:rsidR="004E69EA">
        <w:t xml:space="preserve"> the unsecured debt.</w:t>
      </w:r>
    </w:p>
    <w:p w:rsidR="005B02D2" w:rsidRPr="005B02D2" w:rsidRDefault="005B02D2" w:rsidP="00192B65"/>
    <w:p w:rsidR="009B3F77" w:rsidRDefault="009B3F77" w:rsidP="00192B65">
      <w:pPr>
        <w:rPr>
          <w:i/>
        </w:rPr>
      </w:pPr>
      <w:r>
        <w:rPr>
          <w:i/>
        </w:rPr>
        <w:t>Choosing to use the restricted, group or optional credit rating</w:t>
      </w:r>
    </w:p>
    <w:p w:rsidR="009B3F77" w:rsidRDefault="009B3F77" w:rsidP="00192B65">
      <w:pPr>
        <w:rPr>
          <w:i/>
        </w:rPr>
      </w:pPr>
    </w:p>
    <w:p w:rsidR="009B3F77" w:rsidRPr="009B3F77" w:rsidRDefault="009B3F77" w:rsidP="00192B65">
      <w:r>
        <w:t>As referred to above, a borrower can choose to apply the restricted credit rating, group credit rating or optional credit rating in certain circumstances.</w:t>
      </w:r>
      <w:r w:rsidR="00292098">
        <w:t xml:space="preserve"> </w:t>
      </w:r>
      <w:r>
        <w:t xml:space="preserve">Where this is available, no election </w:t>
      </w:r>
      <w:r w:rsidR="003C471A">
        <w:t xml:space="preserve">notice </w:t>
      </w:r>
      <w:r>
        <w:t>is required.</w:t>
      </w:r>
      <w:r w:rsidR="00292098">
        <w:t xml:space="preserve"> </w:t>
      </w:r>
      <w:r w:rsidR="003C471A">
        <w:t>T</w:t>
      </w:r>
      <w:r>
        <w:t xml:space="preserve">he </w:t>
      </w:r>
      <w:r w:rsidR="00B3706E">
        <w:t>method is chosen</w:t>
      </w:r>
      <w:r>
        <w:t xml:space="preserve"> by calculating a deduction under th</w:t>
      </w:r>
      <w:r w:rsidR="00B3706E">
        <w:t>e</w:t>
      </w:r>
      <w:r>
        <w:t xml:space="preserve"> method and including this in the income tax return</w:t>
      </w:r>
      <w:r w:rsidR="002F1623">
        <w:t xml:space="preserve"> that first includes this arrangement.</w:t>
      </w:r>
      <w:r w:rsidR="00292098">
        <w:t xml:space="preserve"> </w:t>
      </w:r>
      <w:r w:rsidR="002F1623">
        <w:t>Once a borrower chooses a method for a particular arrangement in their first income tax return they cannot change to a different method in a subsequent return.</w:t>
      </w:r>
    </w:p>
    <w:p w:rsidR="009B3F77" w:rsidRDefault="009B3F77" w:rsidP="00192B65">
      <w:pPr>
        <w:rPr>
          <w:i/>
        </w:rPr>
      </w:pPr>
    </w:p>
    <w:p w:rsidR="00192B65" w:rsidRPr="00F049F7" w:rsidRDefault="00192B65" w:rsidP="00192B65">
      <w:pPr>
        <w:rPr>
          <w:b/>
          <w:i/>
        </w:rPr>
      </w:pPr>
      <w:r w:rsidRPr="00F049F7">
        <w:rPr>
          <w:i/>
        </w:rPr>
        <w:t>What is a high BEPS risk?</w:t>
      </w:r>
    </w:p>
    <w:p w:rsidR="00192B65" w:rsidRPr="00E00BB4" w:rsidRDefault="00192B65" w:rsidP="00192B65"/>
    <w:p w:rsidR="00192B65" w:rsidRDefault="00192B65" w:rsidP="00192B65">
      <w:r w:rsidRPr="00F049F7">
        <w:t xml:space="preserve">A borrower will </w:t>
      </w:r>
      <w:r w:rsidR="00536B30">
        <w:t xml:space="preserve">generally </w:t>
      </w:r>
      <w:r w:rsidRPr="00F049F7">
        <w:t xml:space="preserve">be </w:t>
      </w:r>
      <w:r w:rsidR="002D59BF">
        <w:t xml:space="preserve">unable to use </w:t>
      </w:r>
      <w:r w:rsidR="007D108F">
        <w:t>its s</w:t>
      </w:r>
      <w:r w:rsidRPr="00F049F7">
        <w:t xml:space="preserve">tandalone credit rating </w:t>
      </w:r>
      <w:r w:rsidR="0086161E">
        <w:t xml:space="preserve">(default credit rating) </w:t>
      </w:r>
      <w:r w:rsidR="002D59BF">
        <w:t xml:space="preserve">and required to use </w:t>
      </w:r>
      <w:r w:rsidR="00536B30">
        <w:t xml:space="preserve">the group or restricted credit rating options </w:t>
      </w:r>
      <w:r w:rsidRPr="00F049F7">
        <w:t xml:space="preserve">when </w:t>
      </w:r>
      <w:r w:rsidR="007D108F">
        <w:t xml:space="preserve">it </w:t>
      </w:r>
      <w:r w:rsidR="00482F9E">
        <w:t>i</w:t>
      </w:r>
      <w:r w:rsidR="007D108F">
        <w:t xml:space="preserve">s </w:t>
      </w:r>
      <w:r w:rsidRPr="00F049F7">
        <w:t>a high BEPS risk</w:t>
      </w:r>
      <w:r w:rsidR="00536B30">
        <w:t>, and the optional credit rating does not apply</w:t>
      </w:r>
      <w:r w:rsidRPr="00F049F7">
        <w:t>.</w:t>
      </w:r>
      <w:r w:rsidR="00292098">
        <w:t xml:space="preserve"> </w:t>
      </w:r>
      <w:r w:rsidRPr="00F049F7">
        <w:t xml:space="preserve">This will occur when at least one of </w:t>
      </w:r>
      <w:r w:rsidR="00922766">
        <w:t>two</w:t>
      </w:r>
      <w:r w:rsidRPr="00F049F7">
        <w:t xml:space="preserve"> factors is present:</w:t>
      </w:r>
    </w:p>
    <w:p w:rsidR="002F1623" w:rsidRDefault="002F1623" w:rsidP="00192B65">
      <w:pPr>
        <w:rPr>
          <w:u w:val="single"/>
        </w:rPr>
      </w:pPr>
    </w:p>
    <w:p w:rsidR="00192B65" w:rsidRPr="005B4B17" w:rsidRDefault="005B4B17" w:rsidP="00192B65">
      <w:pPr>
        <w:rPr>
          <w:u w:val="single"/>
        </w:rPr>
      </w:pPr>
      <w:r>
        <w:rPr>
          <w:u w:val="single"/>
        </w:rPr>
        <w:t xml:space="preserve">High </w:t>
      </w:r>
      <w:r w:rsidRPr="005B4B17">
        <w:rPr>
          <w:u w:val="single"/>
        </w:rPr>
        <w:t>New Zealand group debt percentage</w:t>
      </w:r>
    </w:p>
    <w:p w:rsidR="00A06DB2" w:rsidRDefault="00A06DB2" w:rsidP="00192B65"/>
    <w:p w:rsidR="00192B65" w:rsidRPr="00F049F7" w:rsidRDefault="00192B65" w:rsidP="00192B65">
      <w:r w:rsidRPr="00F049F7">
        <w:t xml:space="preserve">A borrower </w:t>
      </w:r>
      <w:r w:rsidR="00ED42E8">
        <w:t xml:space="preserve">with an identifiable parent </w:t>
      </w:r>
      <w:r w:rsidR="00DA42C6">
        <w:t>has</w:t>
      </w:r>
      <w:r w:rsidR="00B3706E">
        <w:t xml:space="preserve"> a </w:t>
      </w:r>
      <w:r w:rsidR="007D108F">
        <w:t xml:space="preserve">high New Zealand group debt percentage if its </w:t>
      </w:r>
      <w:r w:rsidR="00B3706E">
        <w:t xml:space="preserve">debt percentage </w:t>
      </w:r>
      <w:r w:rsidR="007D108F">
        <w:t xml:space="preserve">is </w:t>
      </w:r>
      <w:r w:rsidR="00A94AD8">
        <w:t xml:space="preserve">greater </w:t>
      </w:r>
      <w:r w:rsidRPr="00F049F7">
        <w:t>than 40%</w:t>
      </w:r>
      <w:r w:rsidR="00292098">
        <w:t>,</w:t>
      </w:r>
      <w:r w:rsidRPr="00F049F7">
        <w:t xml:space="preserve"> unless </w:t>
      </w:r>
      <w:r w:rsidR="007D108F">
        <w:t>its</w:t>
      </w:r>
      <w:r w:rsidRPr="00F049F7">
        <w:t xml:space="preserve"> </w:t>
      </w:r>
      <w:r w:rsidR="00A94AD8">
        <w:t>ratio</w:t>
      </w:r>
      <w:r w:rsidRPr="00F049F7">
        <w:t xml:space="preserve"> is within 110% of </w:t>
      </w:r>
      <w:r w:rsidR="007D108F">
        <w:t xml:space="preserve">its </w:t>
      </w:r>
      <w:r w:rsidRPr="00F049F7">
        <w:t xml:space="preserve">worldwide group </w:t>
      </w:r>
      <w:r w:rsidR="007D108F">
        <w:t>(</w:t>
      </w:r>
      <w:r w:rsidRPr="00972025">
        <w:t>section GC 16(</w:t>
      </w:r>
      <w:r w:rsidR="00972025" w:rsidRPr="00972025">
        <w:t>4</w:t>
      </w:r>
      <w:r w:rsidRPr="00972025">
        <w:t>)(</w:t>
      </w:r>
      <w:r w:rsidR="00972025" w:rsidRPr="00972025">
        <w:t>b</w:t>
      </w:r>
      <w:r w:rsidRPr="00972025">
        <w:t>)</w:t>
      </w:r>
      <w:r w:rsidR="007D108F">
        <w:t>)</w:t>
      </w:r>
      <w:r w:rsidRPr="00972025">
        <w:t>.</w:t>
      </w:r>
      <w:r w:rsidR="00292098">
        <w:t xml:space="preserve"> </w:t>
      </w:r>
      <w:r w:rsidRPr="00F049F7">
        <w:t>Where there is no identifiable parent</w:t>
      </w:r>
      <w:r w:rsidR="00292098">
        <w:t>,</w:t>
      </w:r>
      <w:r w:rsidRPr="00F049F7">
        <w:t xml:space="preserve"> the 110% safe harbour cannot apply </w:t>
      </w:r>
      <w:r w:rsidR="00ED42E8">
        <w:t>and</w:t>
      </w:r>
      <w:r w:rsidRPr="00F049F7">
        <w:t xml:space="preserve"> the </w:t>
      </w:r>
      <w:r w:rsidR="00ED42E8">
        <w:t xml:space="preserve">equivalent </w:t>
      </w:r>
      <w:r w:rsidRPr="00F049F7">
        <w:t xml:space="preserve">relevant test is in </w:t>
      </w:r>
      <w:r w:rsidRPr="00972025">
        <w:t>section GC 16(</w:t>
      </w:r>
      <w:r w:rsidR="00972025" w:rsidRPr="00972025">
        <w:t>3)(c</w:t>
      </w:r>
      <w:r w:rsidRPr="00972025">
        <w:t>).</w:t>
      </w:r>
    </w:p>
    <w:p w:rsidR="00192B65" w:rsidRPr="00F049F7" w:rsidRDefault="00192B65" w:rsidP="00192B65"/>
    <w:p w:rsidR="00192B65" w:rsidRPr="00387925" w:rsidRDefault="00192B65" w:rsidP="00192B65">
      <w:pPr>
        <w:spacing w:after="60"/>
        <w:rPr>
          <w:u w:val="single"/>
        </w:rPr>
      </w:pPr>
      <w:r w:rsidRPr="00387925">
        <w:rPr>
          <w:u w:val="single"/>
        </w:rPr>
        <w:t>Borrowing from a low tax rate jurisdiction different from the ultimate parent</w:t>
      </w:r>
    </w:p>
    <w:p w:rsidR="00A06DB2" w:rsidRDefault="00A06DB2" w:rsidP="00192B65"/>
    <w:p w:rsidR="00192B65" w:rsidRPr="00F049F7" w:rsidRDefault="00192B65" w:rsidP="00192B65">
      <w:r w:rsidRPr="00F049F7">
        <w:t>Borrowing from a low tax jurisdiction i</w:t>
      </w:r>
      <w:r w:rsidR="007D178A">
        <w:t>s</w:t>
      </w:r>
      <w:r w:rsidRPr="00F049F7">
        <w:t xml:space="preserve"> </w:t>
      </w:r>
      <w:r w:rsidR="007D108F">
        <w:t>borrowing from a lender resident in a</w:t>
      </w:r>
      <w:r w:rsidRPr="00F049F7">
        <w:t xml:space="preserve"> country where the </w:t>
      </w:r>
      <w:r w:rsidR="007D108F">
        <w:t xml:space="preserve">interest </w:t>
      </w:r>
      <w:r w:rsidRPr="00F049F7">
        <w:t>is subject to a lower than 1</w:t>
      </w:r>
      <w:r w:rsidRPr="005B4B17">
        <w:t>5% tax rate.</w:t>
      </w:r>
      <w:r w:rsidR="00292098">
        <w:t xml:space="preserve"> </w:t>
      </w:r>
      <w:r w:rsidR="007D108F">
        <w:t>This factor is</w:t>
      </w:r>
      <w:r w:rsidRPr="005B4B17">
        <w:t xml:space="preserve"> in section GC 16</w:t>
      </w:r>
      <w:r w:rsidR="005B4B17" w:rsidRPr="005B4B17">
        <w:t>(3)</w:t>
      </w:r>
      <w:r w:rsidRPr="005B4B17">
        <w:t>(</w:t>
      </w:r>
      <w:r w:rsidR="005B4B17" w:rsidRPr="005B4B17">
        <w:t>c)(i) and (</w:t>
      </w:r>
      <w:r w:rsidRPr="005B4B17">
        <w:t>ii)</w:t>
      </w:r>
      <w:r w:rsidR="005B4B17" w:rsidRPr="005B4B17">
        <w:t>,</w:t>
      </w:r>
      <w:r w:rsidRPr="005B4B17">
        <w:t xml:space="preserve"> and </w:t>
      </w:r>
      <w:r w:rsidR="005B4B17" w:rsidRPr="005B4B17">
        <w:t>GC 16</w:t>
      </w:r>
      <w:r w:rsidRPr="005B4B17">
        <w:t>(</w:t>
      </w:r>
      <w:r w:rsidR="005B4B17" w:rsidRPr="005B4B17">
        <w:t>4</w:t>
      </w:r>
      <w:r w:rsidRPr="005B4B17">
        <w:t>)</w:t>
      </w:r>
      <w:r w:rsidR="005B4B17" w:rsidRPr="005B4B17">
        <w:t>(b</w:t>
      </w:r>
      <w:r w:rsidR="005B4B17">
        <w:t>)(i) and (ii)</w:t>
      </w:r>
      <w:r w:rsidRPr="00F049F7">
        <w:t xml:space="preserve"> for borrowers without and with an identifiable parent respectively.</w:t>
      </w:r>
      <w:r w:rsidR="00292098">
        <w:t xml:space="preserve"> T</w:t>
      </w:r>
      <w:r w:rsidR="00292098" w:rsidRPr="00F049F7">
        <w:t xml:space="preserve">his </w:t>
      </w:r>
      <w:r w:rsidR="007D108F">
        <w:t>factor does not apply</w:t>
      </w:r>
      <w:r w:rsidR="006C5208">
        <w:t xml:space="preserve"> </w:t>
      </w:r>
      <w:r w:rsidR="007D108F">
        <w:t>if</w:t>
      </w:r>
      <w:r w:rsidR="00292098" w:rsidRPr="00F049F7">
        <w:t xml:space="preserve"> the ultimate </w:t>
      </w:r>
      <w:r w:rsidR="00292098">
        <w:t xml:space="preserve">owner </w:t>
      </w:r>
      <w:r w:rsidR="00292098" w:rsidRPr="00F049F7">
        <w:t xml:space="preserve">of that lender is also </w:t>
      </w:r>
      <w:r w:rsidR="007D108F">
        <w:t xml:space="preserve">resident </w:t>
      </w:r>
      <w:r w:rsidR="00292098" w:rsidRPr="00F049F7">
        <w:t>in that jurisdiction</w:t>
      </w:r>
      <w:r w:rsidRPr="00F049F7">
        <w:t>.</w:t>
      </w:r>
      <w:r w:rsidR="00292098">
        <w:t xml:space="preserve"> </w:t>
      </w:r>
      <w:r w:rsidRPr="00F049F7">
        <w:t xml:space="preserve">This </w:t>
      </w:r>
      <w:r w:rsidR="007D108F">
        <w:t xml:space="preserve">factor is intended to apply to </w:t>
      </w:r>
      <w:r w:rsidRPr="00F049F7">
        <w:t xml:space="preserve">lending </w:t>
      </w:r>
      <w:r w:rsidR="003C471A">
        <w:t xml:space="preserve">routed </w:t>
      </w:r>
      <w:r w:rsidRPr="00F049F7">
        <w:t xml:space="preserve">through a </w:t>
      </w:r>
      <w:r w:rsidR="003C206F">
        <w:t xml:space="preserve">low </w:t>
      </w:r>
      <w:r w:rsidRPr="00F049F7">
        <w:t xml:space="preserve">tax </w:t>
      </w:r>
      <w:r w:rsidR="003C206F">
        <w:t>country</w:t>
      </w:r>
      <w:r w:rsidR="00AB7302">
        <w:t xml:space="preserve">, </w:t>
      </w:r>
      <w:r w:rsidR="003C471A">
        <w:t>which may be</w:t>
      </w:r>
      <w:r w:rsidR="00AB7302">
        <w:t xml:space="preserve"> structur</w:t>
      </w:r>
      <w:r w:rsidR="003C471A">
        <w:t>ed</w:t>
      </w:r>
      <w:r w:rsidR="00AB7302">
        <w:t xml:space="preserve"> to achieve a tax advantage</w:t>
      </w:r>
      <w:r w:rsidR="007306EA">
        <w:t xml:space="preserve">. </w:t>
      </w:r>
      <w:r w:rsidR="007D108F">
        <w:t xml:space="preserve">It should not apply </w:t>
      </w:r>
      <w:r w:rsidRPr="00F049F7">
        <w:t>simply because a lender group is based in a low tax country.</w:t>
      </w:r>
      <w:r w:rsidR="00292098">
        <w:t xml:space="preserve"> </w:t>
      </w:r>
      <w:r w:rsidRPr="00F049F7">
        <w:t xml:space="preserve">This </w:t>
      </w:r>
      <w:r w:rsidR="003C471A">
        <w:t>factor does not apply to</w:t>
      </w:r>
      <w:r w:rsidRPr="00F049F7">
        <w:t xml:space="preserve"> entities that are subject to lower, or no, tax due to a policy decision such as exempt sovereign wealth funds</w:t>
      </w:r>
      <w:r w:rsidR="007306EA">
        <w:t xml:space="preserve">. </w:t>
      </w:r>
      <w:r w:rsidR="003C471A">
        <w:t>This is achieved</w:t>
      </w:r>
      <w:r w:rsidR="007D108F">
        <w:t>,</w:t>
      </w:r>
      <w:r w:rsidRPr="00F049F7">
        <w:t xml:space="preserve"> by looking at </w:t>
      </w:r>
      <w:r w:rsidR="003A702C">
        <w:t xml:space="preserve">both the lender’s own tax rate and </w:t>
      </w:r>
      <w:r w:rsidRPr="00F049F7">
        <w:t>the tax rate that would apply to a company with the usual tax status of a company.</w:t>
      </w:r>
      <w:r w:rsidR="00292098">
        <w:t xml:space="preserve"> </w:t>
      </w:r>
      <w:r w:rsidR="005B4B17">
        <w:t>This test considers the jurisdiction of each lender when a loan is provided by more than one person</w:t>
      </w:r>
      <w:r w:rsidR="003C471A">
        <w:t>.</w:t>
      </w:r>
      <w:r w:rsidR="005B4B17">
        <w:t xml:space="preserve"> </w:t>
      </w:r>
      <w:r w:rsidR="003C471A">
        <w:t>I</w:t>
      </w:r>
      <w:r w:rsidR="005B4B17">
        <w:t xml:space="preserve">f any of the lenders of a specific loan fail this test </w:t>
      </w:r>
      <w:r w:rsidR="00FE0058">
        <w:t>the borrower will be a high BEPS risk for that entire loan rather than just the portion provided by the lender in the low tax jurisdiction.</w:t>
      </w:r>
    </w:p>
    <w:p w:rsidR="00192B65" w:rsidRDefault="00192B65" w:rsidP="00192B65"/>
    <w:p w:rsidR="00507AB5" w:rsidRDefault="00507AB5" w:rsidP="00192B65"/>
    <w:p w:rsidR="0086161E" w:rsidRPr="00641110" w:rsidRDefault="0086161E" w:rsidP="00192B65">
      <w:pPr>
        <w:rPr>
          <w:i/>
        </w:rPr>
      </w:pPr>
      <w:r w:rsidRPr="00641110">
        <w:rPr>
          <w:i/>
        </w:rPr>
        <w:t>Calculation dates</w:t>
      </w:r>
    </w:p>
    <w:p w:rsidR="0086161E" w:rsidRDefault="0086161E" w:rsidP="00192B65">
      <w:pPr>
        <w:rPr>
          <w:u w:val="single"/>
        </w:rPr>
      </w:pPr>
    </w:p>
    <w:p w:rsidR="00816B6C" w:rsidRDefault="0086161E" w:rsidP="00192B65">
      <w:r>
        <w:t xml:space="preserve">The high BEPS risk tests are calculated on </w:t>
      </w:r>
      <w:r w:rsidR="00075E8A">
        <w:t>the latest</w:t>
      </w:r>
      <w:r>
        <w:t xml:space="preserve"> calculation date provided by section GC 16(6)</w:t>
      </w:r>
      <w:r w:rsidR="0077753B">
        <w:t>.</w:t>
      </w:r>
    </w:p>
    <w:p w:rsidR="00816B6C" w:rsidRDefault="00816B6C" w:rsidP="00192B65"/>
    <w:p w:rsidR="0086161E" w:rsidRDefault="0086161E" w:rsidP="00192B65">
      <w:r>
        <w:t>For a loan that is entered into, renewed or renegotiated after the new rules apply th</w:t>
      </w:r>
      <w:r w:rsidR="00075E8A">
        <w:t>e</w:t>
      </w:r>
      <w:r>
        <w:t xml:space="preserve"> calculation date will </w:t>
      </w:r>
      <w:r w:rsidR="0077753B">
        <w:t xml:space="preserve">be </w:t>
      </w:r>
      <w:r w:rsidR="00816B6C">
        <w:t xml:space="preserve">the day the loan is entered into (under paragraph (6)(b)) or </w:t>
      </w:r>
      <w:r w:rsidR="00641110">
        <w:t xml:space="preserve">the day it is </w:t>
      </w:r>
      <w:r w:rsidR="0077753B">
        <w:t>renewed or renegotiated</w:t>
      </w:r>
      <w:r w:rsidR="00816B6C">
        <w:t xml:space="preserve"> (under paragraph (6)(c)).</w:t>
      </w:r>
      <w:r w:rsidR="00292098">
        <w:t xml:space="preserve"> </w:t>
      </w:r>
      <w:r w:rsidR="003A702C">
        <w:t>T</w:t>
      </w:r>
      <w:r w:rsidR="00FA2EBB">
        <w:t xml:space="preserve">he calculation dates for </w:t>
      </w:r>
      <w:r w:rsidR="00075E8A">
        <w:t xml:space="preserve">other </w:t>
      </w:r>
      <w:r w:rsidR="00FA2EBB">
        <w:t>loans is covered separately below.</w:t>
      </w:r>
    </w:p>
    <w:p w:rsidR="00816B6C" w:rsidRPr="00F049F7" w:rsidRDefault="00816B6C" w:rsidP="00816B6C"/>
    <w:p w:rsidR="00816B6C" w:rsidRPr="00F049F7" w:rsidRDefault="003A702C" w:rsidP="00816B6C">
      <w:r>
        <w:t xml:space="preserve">The calculation date </w:t>
      </w:r>
      <w:r w:rsidR="00816B6C" w:rsidRPr="00F049F7">
        <w:t>may not be on a thin capitalisation measurement date</w:t>
      </w:r>
      <w:r w:rsidR="00C71BCE">
        <w:rPr>
          <w:rStyle w:val="FootnoteReference"/>
        </w:rPr>
        <w:footnoteReference w:id="2"/>
      </w:r>
      <w:r w:rsidR="00816B6C" w:rsidRPr="00F049F7">
        <w:t>.</w:t>
      </w:r>
      <w:r w:rsidR="00292098">
        <w:t xml:space="preserve"> </w:t>
      </w:r>
      <w:r w:rsidR="00816B6C" w:rsidRPr="00F049F7">
        <w:t xml:space="preserve">To reduce compliance costs of </w:t>
      </w:r>
      <w:r>
        <w:t xml:space="preserve">a borrower determining whether it exceeds the 40% threshold on that date </w:t>
      </w:r>
      <w:r w:rsidR="00816B6C" w:rsidRPr="00F049F7">
        <w:t xml:space="preserve">, </w:t>
      </w:r>
      <w:r w:rsidR="00816B6C" w:rsidRPr="005B4B17">
        <w:t>section GC 16(7)</w:t>
      </w:r>
      <w:r w:rsidR="00816B6C" w:rsidRPr="00F049F7">
        <w:t xml:space="preserve"> allows the borrower to estimate their </w:t>
      </w:r>
      <w:r w:rsidR="0077753B">
        <w:t xml:space="preserve">debt percentage </w:t>
      </w:r>
      <w:r w:rsidR="00816B6C" w:rsidRPr="00F049F7">
        <w:t xml:space="preserve">by making appropriate adjustments to the </w:t>
      </w:r>
      <w:r>
        <w:t xml:space="preserve">thin capitalisation </w:t>
      </w:r>
      <w:r w:rsidR="00816B6C" w:rsidRPr="00F049F7">
        <w:t>calculations done on the most recent measurement date rather than having to re-do the entire calculation.</w:t>
      </w:r>
      <w:r w:rsidR="00292098">
        <w:t xml:space="preserve"> </w:t>
      </w:r>
      <w:r w:rsidR="00816B6C">
        <w:t>While ”a</w:t>
      </w:r>
      <w:r w:rsidR="00816B6C" w:rsidRPr="00F049F7">
        <w:t>ppropriate adjustments</w:t>
      </w:r>
      <w:r w:rsidR="00816B6C">
        <w:t>” is not defined this is</w:t>
      </w:r>
      <w:r w:rsidR="00816B6C" w:rsidRPr="00F049F7">
        <w:t xml:space="preserve"> intended to includ</w:t>
      </w:r>
      <w:r w:rsidR="00816B6C">
        <w:t>e</w:t>
      </w:r>
      <w:r w:rsidR="00816B6C" w:rsidRPr="00F049F7">
        <w:t xml:space="preserve"> the effect of the new loan as well as any actions related to that wider arrangement such as using the loan to repay an existing loan or purchase a new asset.</w:t>
      </w:r>
    </w:p>
    <w:p w:rsidR="0086161E" w:rsidRPr="00F049F7" w:rsidRDefault="0086161E" w:rsidP="00192B65"/>
    <w:p w:rsidR="00192B65" w:rsidRPr="00F049F7" w:rsidRDefault="00192B65" w:rsidP="00192B65">
      <w:pPr>
        <w:rPr>
          <w:b/>
          <w:i/>
        </w:rPr>
      </w:pPr>
      <w:r w:rsidRPr="00F049F7">
        <w:rPr>
          <w:i/>
        </w:rPr>
        <w:t>De minimis</w:t>
      </w:r>
    </w:p>
    <w:p w:rsidR="00192B65" w:rsidRDefault="00192B65" w:rsidP="00192B65"/>
    <w:p w:rsidR="00192B65" w:rsidRDefault="00292098" w:rsidP="00192B65">
      <w:r>
        <w:t xml:space="preserve">A de minimis has been included in </w:t>
      </w:r>
      <w:r w:rsidRPr="00FE0058">
        <w:t>section GC 16(3)(b) and GC 16(4)(a)</w:t>
      </w:r>
      <w:r>
        <w:t xml:space="preserve"> t</w:t>
      </w:r>
      <w:r w:rsidR="00192B65">
        <w:t>o minimise compliance costs of borrowers with smaller amounts of related party cross-border loans</w:t>
      </w:r>
      <w:r w:rsidR="00192B65" w:rsidRPr="00FE0058">
        <w:t>.</w:t>
      </w:r>
      <w:r>
        <w:t xml:space="preserve"> </w:t>
      </w:r>
      <w:r w:rsidR="00192B65">
        <w:t xml:space="preserve">A borrower with less than $10 million of cross-border </w:t>
      </w:r>
      <w:r w:rsidR="00277A4B">
        <w:t xml:space="preserve">related borrowing </w:t>
      </w:r>
      <w:r w:rsidR="00192B65">
        <w:t xml:space="preserve">will not have to consider the credit rating adjustment part of the rules and will apply the </w:t>
      </w:r>
      <w:r w:rsidR="00FE0058">
        <w:t>default credit rating</w:t>
      </w:r>
      <w:r w:rsidR="00192B65">
        <w:t xml:space="preserve"> as they do now.</w:t>
      </w:r>
      <w:r>
        <w:t xml:space="preserve"> </w:t>
      </w:r>
      <w:r w:rsidR="00FE0058">
        <w:t>The optional credit rating will continue to be available for a borrower with less than $10 million of cross-border related borrow</w:t>
      </w:r>
      <w:r w:rsidR="00277A4B">
        <w:t>ing</w:t>
      </w:r>
      <w:r w:rsidR="00FE0058">
        <w:t xml:space="preserve"> who chooses to use it.</w:t>
      </w:r>
    </w:p>
    <w:p w:rsidR="00192B65" w:rsidRDefault="00192B65" w:rsidP="00192B65"/>
    <w:p w:rsidR="00192B65" w:rsidRDefault="00292098" w:rsidP="00192B65">
      <w:r>
        <w:t>T</w:t>
      </w:r>
      <w:r w:rsidR="00192B65">
        <w:t>he de minimis continue</w:t>
      </w:r>
      <w:r>
        <w:t>s</w:t>
      </w:r>
      <w:r w:rsidR="00192B65">
        <w:t xml:space="preserve"> to apply to </w:t>
      </w:r>
      <w:r>
        <w:t>a</w:t>
      </w:r>
      <w:r w:rsidR="00DA42C6">
        <w:t xml:space="preserve"> </w:t>
      </w:r>
      <w:r w:rsidR="00192B65">
        <w:t>loan in future years even if the de minimis is not satisfied in those future years</w:t>
      </w:r>
      <w:r>
        <w:t>,</w:t>
      </w:r>
      <w:r w:rsidR="00192B65">
        <w:t xml:space="preserve"> unless the loan is renewed, extended </w:t>
      </w:r>
      <w:r w:rsidR="00FE1FA1">
        <w:t>or</w:t>
      </w:r>
      <w:r w:rsidR="00192B65">
        <w:t xml:space="preserve"> renegotiated.</w:t>
      </w:r>
      <w:r>
        <w:t xml:space="preserve"> </w:t>
      </w:r>
      <w:r w:rsidR="00192B65">
        <w:t>The borrower will have to consider whether the de minimis applies each time they enter into a new cross-border</w:t>
      </w:r>
      <w:r w:rsidR="00277A4B">
        <w:t xml:space="preserve"> related borrowing</w:t>
      </w:r>
      <w:r w:rsidR="00192B65">
        <w:t>.</w:t>
      </w:r>
    </w:p>
    <w:p w:rsidR="00192B65" w:rsidRDefault="00192B65" w:rsidP="00192B65"/>
    <w:p w:rsidR="00192B65" w:rsidRDefault="00192B65" w:rsidP="00192B65">
      <w:r>
        <w:t xml:space="preserve">An equivalent de minimis also </w:t>
      </w:r>
      <w:r w:rsidRPr="00FE0058">
        <w:t xml:space="preserve">applies </w:t>
      </w:r>
      <w:r w:rsidR="00FE0058" w:rsidRPr="00FE0058">
        <w:t>in</w:t>
      </w:r>
      <w:r w:rsidRPr="00FE0058">
        <w:t xml:space="preserve"> section</w:t>
      </w:r>
      <w:r w:rsidR="0053762B" w:rsidRPr="00FE0058">
        <w:t>s</w:t>
      </w:r>
      <w:r w:rsidRPr="00FE0058">
        <w:t xml:space="preserve"> </w:t>
      </w:r>
      <w:r w:rsidR="00FE0058" w:rsidRPr="00FE0058">
        <w:t xml:space="preserve">GC 17(b) and </w:t>
      </w:r>
      <w:r w:rsidRPr="00FE0058">
        <w:t>GC 18</w:t>
      </w:r>
      <w:r w:rsidR="00FE0058" w:rsidRPr="00FE0058">
        <w:t>(1</w:t>
      </w:r>
      <w:r w:rsidR="00FE0058">
        <w:t>)(a)</w:t>
      </w:r>
      <w:r>
        <w:t xml:space="preserve"> which </w:t>
      </w:r>
      <w:r w:rsidR="00FE0058">
        <w:t>are</w:t>
      </w:r>
      <w:r>
        <w:t xml:space="preserve"> discussed </w:t>
      </w:r>
      <w:r w:rsidR="00EC5260">
        <w:t>elsewhere in this report</w:t>
      </w:r>
      <w:r>
        <w:t>.</w:t>
      </w:r>
    </w:p>
    <w:p w:rsidR="00FE1FA1" w:rsidRDefault="00FE1FA1" w:rsidP="00192B65">
      <w:pPr>
        <w:rPr>
          <w:i/>
        </w:rPr>
      </w:pPr>
    </w:p>
    <w:p w:rsidR="00192B65" w:rsidRPr="00F049F7" w:rsidRDefault="00192B65" w:rsidP="00192B65">
      <w:pPr>
        <w:rPr>
          <w:b/>
          <w:i/>
        </w:rPr>
      </w:pPr>
      <w:r w:rsidRPr="00F049F7">
        <w:rPr>
          <w:i/>
        </w:rPr>
        <w:t>Implicit parental support</w:t>
      </w:r>
    </w:p>
    <w:p w:rsidR="00192B65" w:rsidRDefault="00192B65" w:rsidP="00192B65"/>
    <w:p w:rsidR="00192B65" w:rsidRDefault="00772686" w:rsidP="00192B65">
      <w:r>
        <w:t xml:space="preserve">A </w:t>
      </w:r>
      <w:r w:rsidR="00292098">
        <w:t xml:space="preserve">borrower </w:t>
      </w:r>
      <w:r>
        <w:t xml:space="preserve">must </w:t>
      </w:r>
      <w:r w:rsidR="00292098">
        <w:t xml:space="preserve">include any implicit support </w:t>
      </w:r>
      <w:r>
        <w:t xml:space="preserve">arising because it is </w:t>
      </w:r>
      <w:r w:rsidR="00292098">
        <w:t>a member of the foreign parent’s worldwide group w</w:t>
      </w:r>
      <w:r w:rsidR="00192B65">
        <w:t xml:space="preserve">hen </w:t>
      </w:r>
      <w:r w:rsidR="00192B65" w:rsidRPr="00FE0058">
        <w:t xml:space="preserve">determining </w:t>
      </w:r>
      <w:r>
        <w:t>its</w:t>
      </w:r>
      <w:r w:rsidR="00192B65" w:rsidRPr="00FE0058">
        <w:t xml:space="preserve"> </w:t>
      </w:r>
      <w:r w:rsidR="006C5208">
        <w:t>default credit rating in section GC 16(8) or group credit rating in section GC 16(10)(b)</w:t>
      </w:r>
      <w:r w:rsidR="00192B65">
        <w:t>.</w:t>
      </w:r>
      <w:r w:rsidR="00292098">
        <w:t xml:space="preserve"> </w:t>
      </w:r>
      <w:r w:rsidR="00192B65">
        <w:t>This is consistent with the OECD transfer pricing guidelines</w:t>
      </w:r>
      <w:r w:rsidR="00192B65">
        <w:rPr>
          <w:rStyle w:val="FootnoteReference"/>
        </w:rPr>
        <w:footnoteReference w:id="3"/>
      </w:r>
      <w:r>
        <w:t>, in particular</w:t>
      </w:r>
      <w:r w:rsidR="00E7317A">
        <w:t xml:space="preserve"> </w:t>
      </w:r>
      <w:r w:rsidR="00192B65">
        <w:t>paragraphs 1.157 and 1.164 to 1.167 of those guidelines, reproduced below:</w:t>
      </w:r>
    </w:p>
    <w:p w:rsidR="00192B65" w:rsidRDefault="00192B65" w:rsidP="00192B65"/>
    <w:p w:rsidR="00192B65" w:rsidRPr="009F38B9" w:rsidRDefault="00192B65" w:rsidP="00192B65">
      <w:pPr>
        <w:ind w:left="567"/>
        <w:rPr>
          <w:bCs/>
          <w:sz w:val="20"/>
          <w:lang w:val="en-NZ"/>
        </w:rPr>
      </w:pPr>
      <w:r>
        <w:rPr>
          <w:bCs/>
          <w:sz w:val="20"/>
          <w:lang w:val="en-NZ"/>
        </w:rPr>
        <w:t>1.157</w:t>
      </w:r>
      <w:r>
        <w:rPr>
          <w:bCs/>
          <w:sz w:val="20"/>
          <w:lang w:val="en-NZ"/>
        </w:rPr>
        <w:tab/>
      </w:r>
      <w:r w:rsidRPr="009F38B9">
        <w:rPr>
          <w:bCs/>
          <w:sz w:val="20"/>
          <w:lang w:val="en-NZ"/>
        </w:rPr>
        <w:t>Comparability issues, and the need for comparability adjustments,</w:t>
      </w:r>
      <w:r>
        <w:rPr>
          <w:bCs/>
          <w:sz w:val="20"/>
          <w:lang w:val="en-NZ"/>
        </w:rPr>
        <w:t xml:space="preserve"> </w:t>
      </w:r>
      <w:r w:rsidRPr="009F38B9">
        <w:rPr>
          <w:bCs/>
          <w:sz w:val="20"/>
          <w:lang w:val="en-NZ"/>
        </w:rPr>
        <w:t>can also arise because of the existence of MNE group synergies</w:t>
      </w:r>
      <w:r>
        <w:rPr>
          <w:bCs/>
          <w:sz w:val="20"/>
          <w:lang w:val="en-NZ"/>
        </w:rPr>
        <w:t>.</w:t>
      </w:r>
      <w:r w:rsidR="00292098">
        <w:rPr>
          <w:bCs/>
          <w:sz w:val="20"/>
          <w:lang w:val="en-NZ"/>
        </w:rPr>
        <w:t xml:space="preserve"> </w:t>
      </w:r>
      <w:r w:rsidRPr="009F38B9">
        <w:rPr>
          <w:bCs/>
          <w:sz w:val="20"/>
          <w:lang w:val="en-NZ"/>
        </w:rPr>
        <w:t>In some</w:t>
      </w:r>
      <w:r>
        <w:rPr>
          <w:bCs/>
          <w:sz w:val="20"/>
          <w:lang w:val="en-NZ"/>
        </w:rPr>
        <w:t xml:space="preserve"> </w:t>
      </w:r>
      <w:r w:rsidRPr="009F38B9">
        <w:rPr>
          <w:bCs/>
          <w:sz w:val="20"/>
          <w:lang w:val="en-NZ"/>
        </w:rPr>
        <w:t>circumstances, MNE groups and the associated enterprises that comprise</w:t>
      </w:r>
      <w:r>
        <w:rPr>
          <w:bCs/>
          <w:sz w:val="20"/>
          <w:lang w:val="en-NZ"/>
        </w:rPr>
        <w:t xml:space="preserve"> </w:t>
      </w:r>
      <w:r w:rsidRPr="009F38B9">
        <w:rPr>
          <w:bCs/>
          <w:sz w:val="20"/>
          <w:lang w:val="en-NZ"/>
        </w:rPr>
        <w:t>such groups may benefit from interactions or synergies amongst group</w:t>
      </w:r>
      <w:r>
        <w:rPr>
          <w:bCs/>
          <w:sz w:val="20"/>
          <w:lang w:val="en-NZ"/>
        </w:rPr>
        <w:t xml:space="preserve"> </w:t>
      </w:r>
      <w:r w:rsidRPr="009F38B9">
        <w:rPr>
          <w:bCs/>
          <w:sz w:val="20"/>
          <w:lang w:val="en-NZ"/>
        </w:rPr>
        <w:t>members that would not generally be available to similarly situated</w:t>
      </w:r>
      <w:r>
        <w:rPr>
          <w:bCs/>
          <w:sz w:val="20"/>
          <w:lang w:val="en-NZ"/>
        </w:rPr>
        <w:t xml:space="preserve"> </w:t>
      </w:r>
      <w:r w:rsidRPr="009F38B9">
        <w:rPr>
          <w:bCs/>
          <w:sz w:val="20"/>
          <w:lang w:val="en-NZ"/>
        </w:rPr>
        <w:t>independent enterprises</w:t>
      </w:r>
      <w:r>
        <w:rPr>
          <w:bCs/>
          <w:sz w:val="20"/>
          <w:lang w:val="en-NZ"/>
        </w:rPr>
        <w:t>.</w:t>
      </w:r>
      <w:r w:rsidR="00292098">
        <w:rPr>
          <w:bCs/>
          <w:sz w:val="20"/>
          <w:lang w:val="en-NZ"/>
        </w:rPr>
        <w:t xml:space="preserve"> </w:t>
      </w:r>
      <w:r w:rsidRPr="009F38B9">
        <w:rPr>
          <w:bCs/>
          <w:sz w:val="20"/>
          <w:lang w:val="en-NZ"/>
        </w:rPr>
        <w:t>Such group synergies can arise, for example, as a</w:t>
      </w:r>
      <w:r>
        <w:rPr>
          <w:bCs/>
          <w:sz w:val="20"/>
          <w:lang w:val="en-NZ"/>
        </w:rPr>
        <w:t xml:space="preserve"> </w:t>
      </w:r>
      <w:r w:rsidRPr="009F38B9">
        <w:rPr>
          <w:bCs/>
          <w:sz w:val="20"/>
          <w:lang w:val="en-NZ"/>
        </w:rPr>
        <w:t>result of combined purchasing power or economies of scale, combined and</w:t>
      </w:r>
      <w:r>
        <w:rPr>
          <w:bCs/>
          <w:sz w:val="20"/>
          <w:lang w:val="en-NZ"/>
        </w:rPr>
        <w:t xml:space="preserve"> </w:t>
      </w:r>
      <w:r w:rsidRPr="009F38B9">
        <w:rPr>
          <w:bCs/>
          <w:sz w:val="20"/>
          <w:lang w:val="en-NZ"/>
        </w:rPr>
        <w:t>integrated computer and communication systems, integrated management,</w:t>
      </w:r>
      <w:r>
        <w:rPr>
          <w:bCs/>
          <w:sz w:val="20"/>
          <w:lang w:val="en-NZ"/>
        </w:rPr>
        <w:t xml:space="preserve"> </w:t>
      </w:r>
      <w:r w:rsidRPr="009F38B9">
        <w:rPr>
          <w:bCs/>
          <w:sz w:val="20"/>
          <w:lang w:val="en-NZ"/>
        </w:rPr>
        <w:t>elimination of duplication, increased borrowing capacity, and numerous</w:t>
      </w:r>
      <w:r>
        <w:rPr>
          <w:bCs/>
          <w:sz w:val="20"/>
          <w:lang w:val="en-NZ"/>
        </w:rPr>
        <w:t xml:space="preserve"> </w:t>
      </w:r>
      <w:r w:rsidRPr="009F38B9">
        <w:rPr>
          <w:bCs/>
          <w:sz w:val="20"/>
          <w:lang w:val="en-NZ"/>
        </w:rPr>
        <w:t>similar factors</w:t>
      </w:r>
      <w:r>
        <w:rPr>
          <w:bCs/>
          <w:sz w:val="20"/>
          <w:lang w:val="en-NZ"/>
        </w:rPr>
        <w:t>…</w:t>
      </w:r>
    </w:p>
    <w:p w:rsidR="00192B65" w:rsidRDefault="00192B65" w:rsidP="00192B65">
      <w:pPr>
        <w:spacing w:after="240"/>
        <w:ind w:left="567"/>
        <w:rPr>
          <w:b/>
          <w:bCs/>
          <w:sz w:val="20"/>
          <w:lang w:val="en-NZ"/>
        </w:rPr>
      </w:pPr>
    </w:p>
    <w:p w:rsidR="00192B65" w:rsidRPr="000429F8" w:rsidRDefault="00192B65" w:rsidP="00192B65">
      <w:pPr>
        <w:spacing w:after="240"/>
        <w:ind w:left="567"/>
        <w:rPr>
          <w:b/>
          <w:bCs/>
          <w:sz w:val="20"/>
          <w:lang w:val="en-NZ"/>
        </w:rPr>
      </w:pPr>
      <w:r w:rsidRPr="000429F8">
        <w:rPr>
          <w:b/>
          <w:bCs/>
          <w:sz w:val="20"/>
          <w:lang w:val="en-NZ"/>
        </w:rPr>
        <w:t>Example 1</w:t>
      </w:r>
    </w:p>
    <w:p w:rsidR="00192B65" w:rsidRPr="000429F8" w:rsidRDefault="00192B65" w:rsidP="00192B65">
      <w:pPr>
        <w:ind w:left="567"/>
        <w:rPr>
          <w:sz w:val="20"/>
          <w:lang w:val="en-NZ"/>
        </w:rPr>
      </w:pPr>
      <w:r w:rsidRPr="000429F8">
        <w:rPr>
          <w:sz w:val="20"/>
          <w:lang w:val="en-NZ"/>
        </w:rPr>
        <w:t>1.164</w:t>
      </w:r>
      <w:r>
        <w:rPr>
          <w:sz w:val="20"/>
          <w:lang w:val="en-NZ"/>
        </w:rPr>
        <w:tab/>
      </w:r>
      <w:r w:rsidRPr="000429F8">
        <w:rPr>
          <w:sz w:val="20"/>
          <w:lang w:val="en-NZ"/>
        </w:rPr>
        <w:t>P is the parent company of an MNE group engaging in a financial services business</w:t>
      </w:r>
      <w:r>
        <w:rPr>
          <w:sz w:val="20"/>
          <w:lang w:val="en-NZ"/>
        </w:rPr>
        <w:t>.</w:t>
      </w:r>
      <w:r w:rsidR="00292098">
        <w:rPr>
          <w:sz w:val="20"/>
          <w:lang w:val="en-NZ"/>
        </w:rPr>
        <w:t xml:space="preserve"> </w:t>
      </w:r>
      <w:r w:rsidRPr="000429F8">
        <w:rPr>
          <w:sz w:val="20"/>
          <w:lang w:val="en-NZ"/>
        </w:rPr>
        <w:t>The strength of the group’s consolidated balance sheet makes it possible for P to maintain an AAA credit rating on a consistent basis</w:t>
      </w:r>
      <w:r>
        <w:rPr>
          <w:sz w:val="20"/>
          <w:lang w:val="en-NZ"/>
        </w:rPr>
        <w:t>.</w:t>
      </w:r>
      <w:r w:rsidR="00292098">
        <w:rPr>
          <w:sz w:val="20"/>
          <w:lang w:val="en-NZ"/>
        </w:rPr>
        <w:t xml:space="preserve"> </w:t>
      </w:r>
      <w:r w:rsidRPr="000429F8">
        <w:rPr>
          <w:sz w:val="20"/>
          <w:lang w:val="en-NZ"/>
        </w:rPr>
        <w:t>S is a member of the MNE group engaged in providing the same type of financial services as other group members and does so on a large scale in an important market</w:t>
      </w:r>
      <w:r>
        <w:rPr>
          <w:sz w:val="20"/>
          <w:lang w:val="en-NZ"/>
        </w:rPr>
        <w:t>.</w:t>
      </w:r>
      <w:r w:rsidR="00292098">
        <w:rPr>
          <w:sz w:val="20"/>
          <w:lang w:val="en-NZ"/>
        </w:rPr>
        <w:t xml:space="preserve"> </w:t>
      </w:r>
      <w:r w:rsidRPr="000429F8">
        <w:rPr>
          <w:sz w:val="20"/>
          <w:lang w:val="en-NZ"/>
        </w:rPr>
        <w:t>On a stand-alone basis, however, the strength of S’s balance sheet would support a credit rating of only Baa</w:t>
      </w:r>
      <w:r>
        <w:rPr>
          <w:sz w:val="20"/>
          <w:lang w:val="en-NZ"/>
        </w:rPr>
        <w:t>.</w:t>
      </w:r>
      <w:r w:rsidR="00292098">
        <w:rPr>
          <w:sz w:val="20"/>
          <w:lang w:val="en-NZ"/>
        </w:rPr>
        <w:t xml:space="preserve"> </w:t>
      </w:r>
      <w:r w:rsidRPr="000429F8">
        <w:rPr>
          <w:sz w:val="20"/>
          <w:lang w:val="en-NZ"/>
        </w:rPr>
        <w:t xml:space="preserve">Nevertheless, </w:t>
      </w:r>
      <w:r w:rsidRPr="000429F8">
        <w:rPr>
          <w:bCs/>
          <w:sz w:val="20"/>
          <w:lang w:val="en-NZ"/>
        </w:rPr>
        <w:t>because of S’s membership in the P group, large independent lenders are willing to lend to it at interest rates that would be charged to independent borrowers with an A rating, i.e. a lower interest rate than would be charged if S were an independent entity with its same balance sheet, but a higher interest rate than would be available to the parent company of the MNE group.</w:t>
      </w:r>
    </w:p>
    <w:p w:rsidR="00192B65" w:rsidRPr="000429F8" w:rsidRDefault="00192B65" w:rsidP="00192B65">
      <w:pPr>
        <w:ind w:left="567"/>
        <w:rPr>
          <w:sz w:val="20"/>
          <w:lang w:val="en-NZ"/>
        </w:rPr>
      </w:pPr>
    </w:p>
    <w:p w:rsidR="00192B65" w:rsidRPr="000429F8" w:rsidRDefault="00192B65" w:rsidP="00192B65">
      <w:pPr>
        <w:ind w:left="567"/>
        <w:rPr>
          <w:sz w:val="20"/>
          <w:lang w:val="en-NZ"/>
        </w:rPr>
      </w:pPr>
      <w:r w:rsidRPr="000429F8">
        <w:rPr>
          <w:sz w:val="20"/>
          <w:lang w:val="en-NZ"/>
        </w:rPr>
        <w:t>1.165</w:t>
      </w:r>
      <w:r>
        <w:rPr>
          <w:sz w:val="20"/>
          <w:lang w:val="en-NZ"/>
        </w:rPr>
        <w:tab/>
      </w:r>
      <w:r w:rsidRPr="000429F8">
        <w:rPr>
          <w:sz w:val="20"/>
          <w:lang w:val="en-NZ"/>
        </w:rPr>
        <w:t>Assume that S borrows EUR 50 million from an independent lender at the market rate of interest for borrowers with an A credit rating</w:t>
      </w:r>
      <w:r>
        <w:rPr>
          <w:sz w:val="20"/>
          <w:lang w:val="en-NZ"/>
        </w:rPr>
        <w:t>.</w:t>
      </w:r>
      <w:r w:rsidR="00292098">
        <w:rPr>
          <w:sz w:val="20"/>
          <w:lang w:val="en-NZ"/>
        </w:rPr>
        <w:t xml:space="preserve"> </w:t>
      </w:r>
      <w:r w:rsidRPr="000429F8">
        <w:rPr>
          <w:sz w:val="20"/>
          <w:lang w:val="en-NZ"/>
        </w:rPr>
        <w:t>Assume further that S simultaneously borrows EUR 50 million from T, another subsidiary of P, with similar characteristics as the independent lender, on the same terms and conditions and at the same interest rate charged by the independent lender (i.e. an interest rate premised on the existence of an A credit rating)</w:t>
      </w:r>
      <w:r>
        <w:rPr>
          <w:sz w:val="20"/>
          <w:lang w:val="en-NZ"/>
        </w:rPr>
        <w:t>.</w:t>
      </w:r>
      <w:r w:rsidR="00292098">
        <w:rPr>
          <w:sz w:val="20"/>
          <w:lang w:val="en-NZ"/>
        </w:rPr>
        <w:t xml:space="preserve"> </w:t>
      </w:r>
      <w:r w:rsidRPr="000429F8">
        <w:rPr>
          <w:sz w:val="20"/>
          <w:lang w:val="en-NZ"/>
        </w:rPr>
        <w:t>Assume further that the independent lender, in setting its terms and conditions, was aware of S’s other borrowings including the simultaneous loan to S from T.</w:t>
      </w:r>
    </w:p>
    <w:p w:rsidR="00192B65" w:rsidRPr="000429F8" w:rsidRDefault="00192B65" w:rsidP="00192B65">
      <w:pPr>
        <w:ind w:left="567"/>
        <w:rPr>
          <w:sz w:val="20"/>
          <w:lang w:val="en-NZ"/>
        </w:rPr>
      </w:pPr>
    </w:p>
    <w:p w:rsidR="00192B65" w:rsidRPr="000429F8" w:rsidRDefault="00192B65" w:rsidP="00192B65">
      <w:pPr>
        <w:ind w:left="567"/>
        <w:rPr>
          <w:bCs/>
          <w:sz w:val="20"/>
          <w:lang w:val="en-NZ"/>
        </w:rPr>
      </w:pPr>
      <w:r>
        <w:rPr>
          <w:sz w:val="20"/>
          <w:lang w:val="en-NZ"/>
        </w:rPr>
        <w:t>1.166</w:t>
      </w:r>
      <w:r>
        <w:rPr>
          <w:sz w:val="20"/>
          <w:lang w:val="en-NZ"/>
        </w:rPr>
        <w:tab/>
      </w:r>
      <w:r w:rsidRPr="000429F8">
        <w:rPr>
          <w:sz w:val="20"/>
          <w:lang w:val="en-NZ"/>
        </w:rPr>
        <w:t xml:space="preserve">Under these circumstances the interest rate charged on the loan by T to S is an arm’s length interest rate because (i) it is the same rate charged to S by an independent lender in a comparable transaction; and (ii) </w:t>
      </w:r>
      <w:r w:rsidRPr="000429F8">
        <w:rPr>
          <w:bCs/>
          <w:sz w:val="20"/>
          <w:lang w:val="en-NZ"/>
        </w:rPr>
        <w:t>no payment or comparability adjustment is required for the group synergy benefit that gives rise to the ability of S to borrow from independent enterprises at an interest rate lower than it could were it not a member of the group because the synergistic benefit of being able to borrow arises from S’s group membership alone and not from any deliberate concerted action of members of the MNE group.</w:t>
      </w:r>
    </w:p>
    <w:p w:rsidR="00192B65" w:rsidRPr="002932A8" w:rsidRDefault="00192B65" w:rsidP="00192B65"/>
    <w:p w:rsidR="00192B65" w:rsidRPr="000429F8" w:rsidRDefault="00192B65" w:rsidP="00192B65">
      <w:pPr>
        <w:spacing w:after="240"/>
        <w:ind w:left="567"/>
        <w:rPr>
          <w:sz w:val="20"/>
          <w:lang w:val="en-NZ"/>
        </w:rPr>
      </w:pPr>
      <w:r w:rsidRPr="000429F8">
        <w:rPr>
          <w:b/>
          <w:bCs/>
          <w:sz w:val="20"/>
          <w:lang w:val="en-NZ"/>
        </w:rPr>
        <w:t>Example 2</w:t>
      </w:r>
    </w:p>
    <w:p w:rsidR="00192B65" w:rsidRPr="000429F8" w:rsidRDefault="00192B65" w:rsidP="00192B65">
      <w:pPr>
        <w:ind w:left="567"/>
        <w:rPr>
          <w:sz w:val="20"/>
          <w:lang w:val="en-NZ"/>
        </w:rPr>
      </w:pPr>
      <w:r>
        <w:rPr>
          <w:sz w:val="20"/>
          <w:lang w:val="en-NZ"/>
        </w:rPr>
        <w:t>1.167</w:t>
      </w:r>
      <w:r>
        <w:rPr>
          <w:sz w:val="20"/>
          <w:lang w:val="en-NZ"/>
        </w:rPr>
        <w:tab/>
      </w:r>
      <w:r w:rsidRPr="000429F8">
        <w:rPr>
          <w:sz w:val="20"/>
          <w:lang w:val="en-NZ"/>
        </w:rPr>
        <w:t>The facts relating to S’s credit standing and borrowing power are identical to those in the preceding example</w:t>
      </w:r>
      <w:r>
        <w:rPr>
          <w:sz w:val="20"/>
          <w:lang w:val="en-NZ"/>
        </w:rPr>
        <w:t>.</w:t>
      </w:r>
      <w:r w:rsidR="00292098">
        <w:rPr>
          <w:sz w:val="20"/>
          <w:lang w:val="en-NZ"/>
        </w:rPr>
        <w:t xml:space="preserve"> </w:t>
      </w:r>
      <w:r w:rsidRPr="000429F8">
        <w:rPr>
          <w:sz w:val="20"/>
          <w:lang w:val="en-NZ"/>
        </w:rPr>
        <w:t>S borrows EUR 50 million from Bank A</w:t>
      </w:r>
      <w:r>
        <w:rPr>
          <w:sz w:val="20"/>
          <w:lang w:val="en-NZ"/>
        </w:rPr>
        <w:t>.</w:t>
      </w:r>
      <w:r w:rsidR="00292098">
        <w:rPr>
          <w:sz w:val="20"/>
          <w:lang w:val="en-NZ"/>
        </w:rPr>
        <w:t xml:space="preserve"> </w:t>
      </w:r>
      <w:r w:rsidRPr="000429F8">
        <w:rPr>
          <w:sz w:val="20"/>
          <w:lang w:val="en-NZ"/>
        </w:rPr>
        <w:t>The functional analysis suggests that Bank A would lend to S at an interest rate applicable to A rated borrowers without any formal guarantee</w:t>
      </w:r>
      <w:r>
        <w:rPr>
          <w:sz w:val="20"/>
          <w:lang w:val="en-NZ"/>
        </w:rPr>
        <w:t>.</w:t>
      </w:r>
      <w:r w:rsidR="00292098">
        <w:rPr>
          <w:sz w:val="20"/>
          <w:lang w:val="en-NZ"/>
        </w:rPr>
        <w:t xml:space="preserve"> </w:t>
      </w:r>
      <w:r w:rsidRPr="000429F8">
        <w:rPr>
          <w:sz w:val="20"/>
          <w:lang w:val="en-NZ"/>
        </w:rPr>
        <w:t>However, P agrees to guarantee the loan from Bank A in order to induce Bank A to lend at the interest rate that would be available to AAA rated borrowers</w:t>
      </w:r>
      <w:r>
        <w:rPr>
          <w:sz w:val="20"/>
          <w:lang w:val="en-NZ"/>
        </w:rPr>
        <w:t>.</w:t>
      </w:r>
      <w:r w:rsidR="00292098">
        <w:rPr>
          <w:sz w:val="20"/>
          <w:lang w:val="en-NZ"/>
        </w:rPr>
        <w:t xml:space="preserve"> </w:t>
      </w:r>
      <w:r w:rsidRPr="000429F8">
        <w:rPr>
          <w:sz w:val="20"/>
          <w:lang w:val="en-NZ"/>
        </w:rPr>
        <w:t>Under these circumstances, S should be required to pay a guarantee fee to P for providing the express guarantee</w:t>
      </w:r>
      <w:r>
        <w:rPr>
          <w:sz w:val="20"/>
          <w:lang w:val="en-NZ"/>
        </w:rPr>
        <w:t>.</w:t>
      </w:r>
      <w:r w:rsidR="00292098">
        <w:rPr>
          <w:sz w:val="20"/>
          <w:lang w:val="en-NZ"/>
        </w:rPr>
        <w:t xml:space="preserve"> </w:t>
      </w:r>
      <w:r w:rsidRPr="000429F8">
        <w:rPr>
          <w:sz w:val="20"/>
          <w:lang w:val="en-NZ"/>
        </w:rPr>
        <w:t>In calculating an arm’s length guarantee fee, the fee should reflect the benefit of raising S’s credit standing from A to AAA, not the benefit of raising S’s credit standing from Baa to AAA</w:t>
      </w:r>
      <w:r>
        <w:rPr>
          <w:sz w:val="20"/>
          <w:lang w:val="en-NZ"/>
        </w:rPr>
        <w:t>.</w:t>
      </w:r>
      <w:r w:rsidR="00292098">
        <w:rPr>
          <w:sz w:val="20"/>
          <w:lang w:val="en-NZ"/>
        </w:rPr>
        <w:t xml:space="preserve"> </w:t>
      </w:r>
      <w:r w:rsidRPr="000429F8">
        <w:rPr>
          <w:bCs/>
          <w:sz w:val="20"/>
          <w:lang w:val="en-NZ"/>
        </w:rPr>
        <w:t>The enhancement of S’s credit standing from Baa to A is attributable to the group synergy derived purely from passive association in the group which need not be compensated under the provisions of this section</w:t>
      </w:r>
      <w:r>
        <w:rPr>
          <w:sz w:val="20"/>
          <w:lang w:val="en-NZ"/>
        </w:rPr>
        <w:t>.</w:t>
      </w:r>
      <w:r w:rsidR="00292098">
        <w:rPr>
          <w:sz w:val="20"/>
          <w:lang w:val="en-NZ"/>
        </w:rPr>
        <w:t xml:space="preserve"> </w:t>
      </w:r>
      <w:r w:rsidRPr="000429F8">
        <w:rPr>
          <w:sz w:val="20"/>
          <w:lang w:val="en-NZ"/>
        </w:rPr>
        <w:t>The enhancement of S’s credit standing from A to AAA is attributable to a deliberate concerted action, namely the provision of the guarantee by P, and should therefore give rise to compensation.</w:t>
      </w:r>
    </w:p>
    <w:p w:rsidR="00192B65" w:rsidRDefault="00192B65" w:rsidP="00192B65"/>
    <w:p w:rsidR="009215CB" w:rsidRDefault="009215CB" w:rsidP="00192B65">
      <w:r>
        <w:t xml:space="preserve">We note that </w:t>
      </w:r>
      <w:r w:rsidR="001B32AC">
        <w:t xml:space="preserve">some of </w:t>
      </w:r>
      <w:r>
        <w:t>the OECD guidelines</w:t>
      </w:r>
      <w:r w:rsidR="00C47DB5">
        <w:t>, including those quoted above</w:t>
      </w:r>
      <w:r w:rsidR="001B32AC">
        <w:t>, use the Moody’s rating scale.</w:t>
      </w:r>
      <w:r w:rsidR="00292098">
        <w:t xml:space="preserve"> </w:t>
      </w:r>
      <w:r w:rsidR="001B32AC">
        <w:t>The rest of this document uses the Standard &amp; Poor’s rating scale which is more common in New Zealand.</w:t>
      </w:r>
      <w:r w:rsidR="00292098">
        <w:t xml:space="preserve"> </w:t>
      </w:r>
      <w:r w:rsidR="001B32AC">
        <w:t>A rating of Baa3 in the Moody’s scale is equivalent to BBB- in Standard &amp; Poor’s.</w:t>
      </w:r>
    </w:p>
    <w:p w:rsidR="009215CB" w:rsidRDefault="009215CB" w:rsidP="00192B65"/>
    <w:p w:rsidR="00214E42" w:rsidRDefault="00214E42" w:rsidP="00192B65"/>
    <w:p w:rsidR="00192B65" w:rsidRDefault="008C3CF7" w:rsidP="00192B65">
      <w:pPr>
        <w:rPr>
          <w:i/>
        </w:rPr>
      </w:pPr>
      <w:r>
        <w:rPr>
          <w:i/>
        </w:rPr>
        <w:t xml:space="preserve">Group Borrower’s </w:t>
      </w:r>
      <w:r w:rsidR="00532BAB" w:rsidRPr="00D25602">
        <w:rPr>
          <w:i/>
        </w:rPr>
        <w:t>credit rating</w:t>
      </w:r>
    </w:p>
    <w:p w:rsidR="00D25602" w:rsidRDefault="00D25602" w:rsidP="00192B65">
      <w:pPr>
        <w:rPr>
          <w:i/>
        </w:rPr>
      </w:pPr>
    </w:p>
    <w:p w:rsidR="00F1328C" w:rsidRDefault="00F1328C" w:rsidP="00192B65">
      <w:r>
        <w:t>For simplicity</w:t>
      </w:r>
      <w:r w:rsidR="008F6762">
        <w:t>,</w:t>
      </w:r>
      <w:r>
        <w:t xml:space="preserve"> the term </w:t>
      </w:r>
      <w:r w:rsidR="008F6762">
        <w:t>‘</w:t>
      </w:r>
      <w:r w:rsidR="008C3CF7">
        <w:t xml:space="preserve"> group borrower’s </w:t>
      </w:r>
      <w:r w:rsidR="0033189A">
        <w:t>credit rating</w:t>
      </w:r>
      <w:r w:rsidR="008F6762">
        <w:t>’</w:t>
      </w:r>
      <w:r w:rsidR="0033189A">
        <w:t xml:space="preserve"> is used </w:t>
      </w:r>
      <w:r w:rsidR="00FE0058">
        <w:t>in a number of places</w:t>
      </w:r>
      <w:r w:rsidR="0033189A">
        <w:t xml:space="preserve"> </w:t>
      </w:r>
      <w:r w:rsidR="00772686">
        <w:t xml:space="preserve">in </w:t>
      </w:r>
      <w:r w:rsidR="0033189A">
        <w:t>this report; however, this term is not used in the legislation</w:t>
      </w:r>
      <w:r>
        <w:t>.</w:t>
      </w:r>
      <w:r w:rsidR="00292098">
        <w:t xml:space="preserve"> </w:t>
      </w:r>
      <w:r w:rsidR="00DA79A1">
        <w:t>Instead section GC 16(10)(a) refers to “the credit rating for long-term senior unsecured debt of the member</w:t>
      </w:r>
      <w:r w:rsidR="00772686">
        <w:t xml:space="preserve"> </w:t>
      </w:r>
      <w:r w:rsidR="00DA79A1">
        <w:t xml:space="preserve"> of the borrower’s worldwide group under subpart FE, that has the most such debt”.</w:t>
      </w:r>
    </w:p>
    <w:p w:rsidR="00F1328C" w:rsidRDefault="00F1328C" w:rsidP="00192B65"/>
    <w:p w:rsidR="00DA42C6" w:rsidRDefault="00DA42C6" w:rsidP="00192B65">
      <w:r>
        <w:t xml:space="preserve">It </w:t>
      </w:r>
      <w:r w:rsidR="008C3CF7">
        <w:t>i</w:t>
      </w:r>
      <w:r>
        <w:t xml:space="preserve">s not </w:t>
      </w:r>
      <w:r w:rsidR="00772686">
        <w:t xml:space="preserve">appropriate </w:t>
      </w:r>
      <w:r>
        <w:t xml:space="preserve">to base the parent’s credit rating on the credit rating of the ultimate parent </w:t>
      </w:r>
      <w:r w:rsidR="008C3CF7">
        <w:t xml:space="preserve">of a group </w:t>
      </w:r>
      <w:r>
        <w:t xml:space="preserve">as in some instances this </w:t>
      </w:r>
      <w:r w:rsidR="008C3CF7">
        <w:t xml:space="preserve">company </w:t>
      </w:r>
      <w:r>
        <w:t>will not be the highest rated member of the group</w:t>
      </w:r>
      <w:r w:rsidR="00772686">
        <w:t>.</w:t>
      </w:r>
      <w:r>
        <w:t xml:space="preserve"> </w:t>
      </w:r>
      <w:r w:rsidR="00F22706">
        <w:t>For</w:t>
      </w:r>
      <w:r>
        <w:t xml:space="preserve"> </w:t>
      </w:r>
      <w:proofErr w:type="gramStart"/>
      <w:r>
        <w:t>example</w:t>
      </w:r>
      <w:proofErr w:type="gramEnd"/>
      <w:r>
        <w:t xml:space="preserve"> where the ultimate parent is a non-operating holding company</w:t>
      </w:r>
      <w:r w:rsidR="007306EA">
        <w:t xml:space="preserve">. </w:t>
      </w:r>
      <w:r>
        <w:t>This entity would not be the one providing implicit support to the New Zealand borrower</w:t>
      </w:r>
      <w:r w:rsidR="008901BA">
        <w:t xml:space="preserve"> and it would instead be more appropriate to base the implicit support on the credit rating of a higher rated member of the group.</w:t>
      </w:r>
    </w:p>
    <w:p w:rsidR="00DA42C6" w:rsidRDefault="00DA42C6" w:rsidP="00192B65"/>
    <w:p w:rsidR="00F1328C" w:rsidRDefault="008C3CF7" w:rsidP="00192B65">
      <w:r>
        <w:t xml:space="preserve">The group borrower’s credit rating is used because it should be </w:t>
      </w:r>
      <w:r w:rsidR="0033189A">
        <w:t>easier for the New Zealand borrower to identify this entity without having to obtain the credit rating of all group members including those that may not have a published credit rating.</w:t>
      </w:r>
    </w:p>
    <w:p w:rsidR="0033189A" w:rsidRDefault="0033189A" w:rsidP="00192B65"/>
    <w:p w:rsidR="0033189A" w:rsidRPr="00F1328C" w:rsidRDefault="0033189A" w:rsidP="00192B65">
      <w:r>
        <w:t>In most instances the</w:t>
      </w:r>
      <w:r w:rsidR="00E346C0">
        <w:t xml:space="preserve"> </w:t>
      </w:r>
      <w:r w:rsidR="008C3CF7">
        <w:t xml:space="preserve">group borrower </w:t>
      </w:r>
      <w:r>
        <w:t xml:space="preserve">will be either the main operating entity of the worldwide group or a separate treasury </w:t>
      </w:r>
      <w:r w:rsidR="00772686">
        <w:t xml:space="preserve">entity </w:t>
      </w:r>
      <w:r>
        <w:t>that funds the group.</w:t>
      </w:r>
      <w:r w:rsidR="00292098">
        <w:t xml:space="preserve"> </w:t>
      </w:r>
      <w:r w:rsidR="00E21BA6">
        <w:t xml:space="preserve">Multinationals have a commercial incentive </w:t>
      </w:r>
      <w:r w:rsidR="00E7317A">
        <w:t xml:space="preserve">to </w:t>
      </w:r>
      <w:r w:rsidR="00E21BA6">
        <w:t xml:space="preserve">ensure that the credit rating </w:t>
      </w:r>
      <w:r w:rsidR="008901BA">
        <w:t xml:space="preserve">of </w:t>
      </w:r>
      <w:r w:rsidR="004B1074">
        <w:t xml:space="preserve">the largest group </w:t>
      </w:r>
      <w:r w:rsidR="008901BA">
        <w:t xml:space="preserve">borrower </w:t>
      </w:r>
      <w:r w:rsidR="00E21BA6">
        <w:t>is as high, and therefore the interest rate is as low</w:t>
      </w:r>
      <w:r w:rsidR="00E346C0">
        <w:t>,</w:t>
      </w:r>
      <w:r w:rsidR="00E21BA6">
        <w:t xml:space="preserve"> as possible.</w:t>
      </w:r>
      <w:r w:rsidR="00292098">
        <w:t xml:space="preserve"> </w:t>
      </w:r>
      <w:r w:rsidR="00556249">
        <w:t xml:space="preserve">Accordingly the credit rating </w:t>
      </w:r>
      <w:r w:rsidR="00DA79A1">
        <w:t xml:space="preserve">of the member with most long-term senior unsecured debt) </w:t>
      </w:r>
      <w:r w:rsidR="005B7293">
        <w:t xml:space="preserve">is expected to </w:t>
      </w:r>
      <w:r w:rsidR="00DA79A1">
        <w:t xml:space="preserve">reasonably </w:t>
      </w:r>
      <w:r w:rsidR="00556249">
        <w:t xml:space="preserve">reflect the </w:t>
      </w:r>
      <w:r w:rsidR="005B7293">
        <w:t xml:space="preserve">credit </w:t>
      </w:r>
      <w:r w:rsidR="00556249">
        <w:t>of the worldwide group.</w:t>
      </w:r>
    </w:p>
    <w:p w:rsidR="00532BAB" w:rsidRDefault="00532BAB" w:rsidP="00192B65"/>
    <w:p w:rsidR="00734069" w:rsidRDefault="004B1074" w:rsidP="00192B65">
      <w:r>
        <w:t xml:space="preserve">The </w:t>
      </w:r>
      <w:r w:rsidR="00734069">
        <w:t xml:space="preserve">members of the worldwide group </w:t>
      </w:r>
      <w:r>
        <w:t>are identified using</w:t>
      </w:r>
      <w:r w:rsidR="00734069">
        <w:t xml:space="preserve"> the ex</w:t>
      </w:r>
      <w:r w:rsidR="00EC46E6">
        <w:t>isting rules in section FE 17 w</w:t>
      </w:r>
      <w:r w:rsidR="00734069">
        <w:t>hich is based on enti</w:t>
      </w:r>
      <w:r w:rsidR="00EC46E6">
        <w:t>ti</w:t>
      </w:r>
      <w:r w:rsidR="00734069">
        <w:t xml:space="preserve">es that are </w:t>
      </w:r>
      <w:r w:rsidR="00EC46E6">
        <w:t>consolidated</w:t>
      </w:r>
      <w:r w:rsidR="00734069">
        <w:t xml:space="preserve"> under generally accepted accounting practice.</w:t>
      </w:r>
      <w:r w:rsidR="00292098">
        <w:t xml:space="preserve"> </w:t>
      </w:r>
      <w:r w:rsidR="00734069" w:rsidRPr="00734069">
        <w:t xml:space="preserve">Where </w:t>
      </w:r>
      <w:r w:rsidR="00734069">
        <w:t>an entity is part of the group but not wholly-owned or does not have exactly the same shareholding as other members of the group this will not exclude th</w:t>
      </w:r>
      <w:r w:rsidR="00EC46E6">
        <w:t>at</w:t>
      </w:r>
      <w:r w:rsidR="00734069">
        <w:t xml:space="preserve"> entity from being considered </w:t>
      </w:r>
      <w:r w:rsidR="008C3CF7">
        <w:t xml:space="preserve">the group borrower </w:t>
      </w:r>
      <w:r w:rsidR="00734069">
        <w:t>for the purpose of these rules.</w:t>
      </w:r>
      <w:r w:rsidR="00292098">
        <w:t xml:space="preserve"> </w:t>
      </w:r>
      <w:r w:rsidR="00F11515">
        <w:t>T</w:t>
      </w:r>
      <w:r w:rsidR="00734069">
        <w:t>he amount of long-term senior unsubordinated debt is not apportioned to reflect different shareholdings.</w:t>
      </w:r>
      <w:r w:rsidR="00292098">
        <w:t xml:space="preserve"> </w:t>
      </w:r>
      <w:r w:rsidR="00734069">
        <w:t>For example</w:t>
      </w:r>
      <w:r w:rsidR="008F6762">
        <w:t>,</w:t>
      </w:r>
      <w:r w:rsidR="00734069">
        <w:t xml:space="preserve"> if a group only has two entities with long-term senior unsecured debt – a 100% owned entity with $400m of debt and a 60% owned entity </w:t>
      </w:r>
      <w:r w:rsidR="00EC46E6">
        <w:t xml:space="preserve">with $500m of debt – the 60% owned entity would be treated as having debt of $500m rather than $300m and therefore would be the </w:t>
      </w:r>
      <w:r w:rsidR="008C3CF7">
        <w:t>group borrower</w:t>
      </w:r>
      <w:r w:rsidR="00EC46E6">
        <w:t xml:space="preserve"> for the purpose of determining the group credit rating.</w:t>
      </w:r>
    </w:p>
    <w:p w:rsidR="0063231B" w:rsidRDefault="0063231B" w:rsidP="00192B65"/>
    <w:p w:rsidR="00B66026" w:rsidRDefault="00B66026" w:rsidP="00192B65">
      <w:pPr>
        <w:rPr>
          <w:i/>
        </w:rPr>
      </w:pPr>
      <w:r>
        <w:rPr>
          <w:i/>
        </w:rPr>
        <w:t>Long term senior unsecured debt</w:t>
      </w:r>
    </w:p>
    <w:p w:rsidR="00B66026" w:rsidRDefault="00B66026" w:rsidP="00192B65">
      <w:pPr>
        <w:rPr>
          <w:i/>
        </w:rPr>
      </w:pPr>
    </w:p>
    <w:p w:rsidR="00B66026" w:rsidRDefault="00B66026" w:rsidP="00192B65">
      <w:r>
        <w:t>The legislation does not defin</w:t>
      </w:r>
      <w:r w:rsidR="008F6762">
        <w:t>e</w:t>
      </w:r>
      <w:r>
        <w:t xml:space="preserve"> </w:t>
      </w:r>
      <w:r w:rsidR="008F6762">
        <w:t>‘</w:t>
      </w:r>
      <w:r>
        <w:t>long term</w:t>
      </w:r>
      <w:r w:rsidR="008F6762">
        <w:t>’,</w:t>
      </w:r>
      <w:r>
        <w:t xml:space="preserve"> as this is a commonly used and understood term.</w:t>
      </w:r>
      <w:r w:rsidR="00292098">
        <w:t xml:space="preserve"> </w:t>
      </w:r>
      <w:r w:rsidR="009C1A9B">
        <w:t>This includes the use of different credit rating scales for short and long term instruments.</w:t>
      </w:r>
      <w:r w:rsidR="00292098">
        <w:t xml:space="preserve"> </w:t>
      </w:r>
      <w:r>
        <w:t>Typically long term refer</w:t>
      </w:r>
      <w:r w:rsidR="000767D7">
        <w:t>s</w:t>
      </w:r>
      <w:r>
        <w:t xml:space="preserve"> to debt with a term </w:t>
      </w:r>
      <w:r w:rsidR="00F11515">
        <w:t xml:space="preserve">when issued </w:t>
      </w:r>
      <w:r>
        <w:t>of at least one year.</w:t>
      </w:r>
      <w:r w:rsidR="00292098">
        <w:t xml:space="preserve"> </w:t>
      </w:r>
      <w:r>
        <w:t xml:space="preserve">In many circumstances a borrower determining </w:t>
      </w:r>
      <w:r w:rsidR="009C1A9B">
        <w:t>which entity in their group has the highest level of long term senior unsecured debt will be able to consider non-current liabilities on each member’s balance sheet.</w:t>
      </w:r>
      <w:r w:rsidR="00292098">
        <w:t xml:space="preserve"> </w:t>
      </w:r>
      <w:r w:rsidR="009C1A9B">
        <w:t xml:space="preserve">However, this distinction may not be sufficient to differentiate between </w:t>
      </w:r>
      <w:r w:rsidR="007925E6">
        <w:t xml:space="preserve">long-term </w:t>
      </w:r>
      <w:r w:rsidR="009C1A9B">
        <w:t>se</w:t>
      </w:r>
      <w:r w:rsidR="002F409C">
        <w:t>nior unsecured debt and other instruments such as subordinated or secured debt</w:t>
      </w:r>
      <w:r w:rsidR="00F11515">
        <w:t xml:space="preserve"> or where debt that has been issued with a term of more than one year is nearing maturity</w:t>
      </w:r>
      <w:r w:rsidR="002F409C">
        <w:t>.</w:t>
      </w:r>
    </w:p>
    <w:p w:rsidR="002C3738" w:rsidRDefault="002C3738" w:rsidP="00192B65"/>
    <w:p w:rsidR="002C3738" w:rsidRDefault="002C3738" w:rsidP="00192B65">
      <w:r>
        <w:t>The purpose of this part of the rules is to provide a cost-effective measure for determining what an appropriate credit rating for the group is.</w:t>
      </w:r>
      <w:r w:rsidR="00292098">
        <w:t xml:space="preserve"> </w:t>
      </w:r>
      <w:r>
        <w:t xml:space="preserve">It will typically not be necessary to identify and classify all debt within an entity or group as it is only important to determine which is the entity with the most </w:t>
      </w:r>
      <w:r w:rsidR="005B7293">
        <w:t>senior unsecured</w:t>
      </w:r>
      <w:r>
        <w:t xml:space="preserve"> debt rather than the absolute amount of </w:t>
      </w:r>
      <w:r w:rsidR="005B7293">
        <w:t>such</w:t>
      </w:r>
      <w:r>
        <w:t xml:space="preserve"> debt.</w:t>
      </w:r>
      <w:r w:rsidR="00292098">
        <w:t xml:space="preserve"> </w:t>
      </w:r>
      <w:r w:rsidR="008F6762">
        <w:t>This would be expected to be sufficient w</w:t>
      </w:r>
      <w:r>
        <w:t xml:space="preserve">here a group has made reasonably efforts to identify the </w:t>
      </w:r>
      <w:r w:rsidR="004C1812">
        <w:t>group borrower</w:t>
      </w:r>
      <w:r>
        <w:t xml:space="preserve"> and the outcome appears </w:t>
      </w:r>
      <w:r w:rsidR="005B7293">
        <w:t>fair</w:t>
      </w:r>
      <w:r>
        <w:t xml:space="preserve"> without the obvious omission of a clearly higher-rated entity.</w:t>
      </w:r>
    </w:p>
    <w:p w:rsidR="002C3738" w:rsidRDefault="002C3738" w:rsidP="00192B65"/>
    <w:p w:rsidR="00B66026" w:rsidRDefault="004E69EA" w:rsidP="00192B65">
      <w:r>
        <w:t xml:space="preserve">The reason for choosing unsecured debt only is </w:t>
      </w:r>
      <w:r w:rsidR="004C1812">
        <w:t xml:space="preserve">that it </w:t>
      </w:r>
      <w:r w:rsidR="00294283">
        <w:t>more accurately reflects the credit risk of the entity or group rather than the specific security provided.</w:t>
      </w:r>
      <w:r w:rsidR="00292098">
        <w:t xml:space="preserve"> </w:t>
      </w:r>
      <w:r w:rsidR="00294283">
        <w:t xml:space="preserve">The exclusion of secured debt may also exclude </w:t>
      </w:r>
      <w:r w:rsidR="00A23930">
        <w:t>special purpose vehicles (</w:t>
      </w:r>
      <w:r w:rsidR="00294283">
        <w:t>SPVs</w:t>
      </w:r>
      <w:r w:rsidR="00A23930">
        <w:t>)</w:t>
      </w:r>
      <w:r w:rsidR="00294283">
        <w:t xml:space="preserve"> set up for a specific project, such as an infrastructure investment</w:t>
      </w:r>
      <w:r w:rsidR="00BB7BE6">
        <w:t>.</w:t>
      </w:r>
    </w:p>
    <w:p w:rsidR="00B30C33" w:rsidRDefault="00B30C33" w:rsidP="00192B65"/>
    <w:p w:rsidR="00B30C33" w:rsidRDefault="00B30C33" w:rsidP="00192B65">
      <w:pPr>
        <w:rPr>
          <w:i/>
        </w:rPr>
      </w:pPr>
    </w:p>
    <w:p w:rsidR="00532BAB" w:rsidRDefault="00110BF8" w:rsidP="00192B65">
      <w:pPr>
        <w:rPr>
          <w:i/>
        </w:rPr>
      </w:pPr>
      <w:r>
        <w:rPr>
          <w:i/>
        </w:rPr>
        <w:t>Application to existing arrangements</w:t>
      </w:r>
    </w:p>
    <w:p w:rsidR="00110BF8" w:rsidRDefault="00110BF8" w:rsidP="00192B65">
      <w:pPr>
        <w:rPr>
          <w:i/>
        </w:rPr>
      </w:pPr>
    </w:p>
    <w:p w:rsidR="00110BF8" w:rsidRDefault="00110BF8" w:rsidP="00192B65">
      <w:r>
        <w:t xml:space="preserve">The </w:t>
      </w:r>
      <w:r w:rsidR="00DA79A1">
        <w:t>r</w:t>
      </w:r>
      <w:r>
        <w:t xml:space="preserve">estricted </w:t>
      </w:r>
      <w:r w:rsidR="00DA79A1">
        <w:t>t</w:t>
      </w:r>
      <w:r>
        <w:t xml:space="preserve">ransfer </w:t>
      </w:r>
      <w:r w:rsidR="00DA79A1">
        <w:t>p</w:t>
      </w:r>
      <w:r>
        <w:t>ricing rule</w:t>
      </w:r>
      <w:r w:rsidR="00AE7D29">
        <w:t xml:space="preserve"> applies</w:t>
      </w:r>
      <w:r>
        <w:t xml:space="preserve"> to cross-border related borrowing for income years beginning on and after 1 July 2018.</w:t>
      </w:r>
      <w:r w:rsidR="00292098">
        <w:t xml:space="preserve"> </w:t>
      </w:r>
      <w:r>
        <w:t>This includes existing arrangements entered into before this date in which case, under section GC 19, the interest rate will be calculated at the date the loan was entered into (or renewed, extended or renegotiated if this resulted in the interest rate being reset).</w:t>
      </w:r>
    </w:p>
    <w:p w:rsidR="00110BF8" w:rsidRDefault="00110BF8" w:rsidP="00192B65"/>
    <w:p w:rsidR="00110BF8" w:rsidRDefault="00355B33" w:rsidP="00192B65">
      <w:r>
        <w:t>The high BEPS risk tests for an existing arrangement can be calculated at either of the following dates:</w:t>
      </w:r>
    </w:p>
    <w:p w:rsidR="00B30C33" w:rsidRDefault="00B30C33" w:rsidP="00192B65"/>
    <w:p w:rsidR="00110BF8" w:rsidRDefault="00AE7D29" w:rsidP="00B30C33">
      <w:pPr>
        <w:pStyle w:val="Bullets"/>
      </w:pPr>
      <w:r>
        <w:t>The last day before the new rules apply – GC 16(6)(a)</w:t>
      </w:r>
    </w:p>
    <w:p w:rsidR="00AE7D29" w:rsidRPr="00110BF8" w:rsidRDefault="00AE7D29" w:rsidP="00B30C33">
      <w:pPr>
        <w:pStyle w:val="Bullets"/>
        <w:spacing w:after="0"/>
      </w:pPr>
      <w:r>
        <w:t>When the loan was last repriced before the new rules apply – GC 16(6)(d)</w:t>
      </w:r>
    </w:p>
    <w:p w:rsidR="00B30C33" w:rsidRDefault="00B30C33" w:rsidP="00192B65"/>
    <w:p w:rsidR="00AE7D29" w:rsidRDefault="00641110" w:rsidP="00192B65">
      <w:r>
        <w:t>No separate election is required for this choice; however, the borrower should document this choice in the records used to support their tax return calculations.</w:t>
      </w:r>
      <w:r w:rsidR="00292098">
        <w:t xml:space="preserve"> </w:t>
      </w:r>
      <w:r w:rsidR="00AE7D29">
        <w:t>In this way a borrower who is a low BEPS risk at either of these two dates will not have to calculate the credit rating adjustment for existing arrangements.</w:t>
      </w:r>
      <w:r w:rsidR="00292098">
        <w:t xml:space="preserve"> </w:t>
      </w:r>
      <w:r w:rsidR="00DA79A1">
        <w:t>They may still have to calculate the impact of the disregarded features (discussed below).</w:t>
      </w:r>
    </w:p>
    <w:p w:rsidR="00AE7D29" w:rsidRDefault="00AE7D29" w:rsidP="00192B65"/>
    <w:p w:rsidR="00AE7D29" w:rsidRDefault="00AE7D29" w:rsidP="00192B65">
      <w:r>
        <w:t xml:space="preserve">The </w:t>
      </w:r>
      <w:r w:rsidR="00DA79A1">
        <w:t>r</w:t>
      </w:r>
      <w:r>
        <w:t xml:space="preserve">estricted </w:t>
      </w:r>
      <w:r w:rsidR="00DA79A1">
        <w:t>t</w:t>
      </w:r>
      <w:r>
        <w:t xml:space="preserve">ransfer </w:t>
      </w:r>
      <w:r w:rsidR="00DA79A1">
        <w:t>p</w:t>
      </w:r>
      <w:r>
        <w:t>ricing rule</w:t>
      </w:r>
      <w:r w:rsidR="00E62EC7">
        <w:t xml:space="preserve"> will not apply to arrangements that comply with an advance pricing agreement issued by the Commissioner before 1 July 2018.</w:t>
      </w:r>
    </w:p>
    <w:p w:rsidR="00AE7D29" w:rsidRPr="00847EA8" w:rsidRDefault="00AE7D29" w:rsidP="00192B65"/>
    <w:p w:rsidR="00214E42" w:rsidRDefault="00214E42">
      <w:pPr>
        <w:jc w:val="left"/>
        <w:rPr>
          <w:b/>
        </w:rPr>
      </w:pPr>
      <w:r>
        <w:rPr>
          <w:b/>
        </w:rPr>
        <w:br w:type="page"/>
      </w:r>
    </w:p>
    <w:p w:rsidR="00192B65" w:rsidRDefault="00192B65" w:rsidP="00192B65">
      <w:pPr>
        <w:rPr>
          <w:b/>
        </w:rPr>
      </w:pPr>
      <w:r w:rsidRPr="00F049F7">
        <w:rPr>
          <w:b/>
        </w:rPr>
        <w:t xml:space="preserve">Flowchart </w:t>
      </w:r>
      <w:r w:rsidR="00532BAB">
        <w:rPr>
          <w:b/>
        </w:rPr>
        <w:t>2</w:t>
      </w:r>
      <w:r w:rsidRPr="00F049F7">
        <w:rPr>
          <w:b/>
        </w:rPr>
        <w:t>:</w:t>
      </w:r>
      <w:r w:rsidR="00292098">
        <w:rPr>
          <w:b/>
        </w:rPr>
        <w:t xml:space="preserve"> </w:t>
      </w:r>
      <w:r w:rsidRPr="00F049F7">
        <w:rPr>
          <w:b/>
        </w:rPr>
        <w:t>Determining the credit rating to use for restricted transfer pricing</w:t>
      </w:r>
    </w:p>
    <w:p w:rsidR="00890033" w:rsidRDefault="00890033" w:rsidP="00B9496F">
      <w:pPr>
        <w:rPr>
          <w:b/>
          <w:i/>
        </w:rPr>
      </w:pPr>
    </w:p>
    <w:p w:rsidR="00890033" w:rsidRDefault="00192B65" w:rsidP="00B30C33">
      <w:r w:rsidRPr="00B9496F">
        <w:rPr>
          <w:noProof/>
          <w:lang w:val="en-NZ" w:eastAsia="en-NZ"/>
        </w:rPr>
        <mc:AlternateContent>
          <mc:Choice Requires="wps">
            <w:drawing>
              <wp:anchor distT="0" distB="0" distL="114300" distR="114300" simplePos="0" relativeHeight="251663360" behindDoc="0" locked="0" layoutInCell="1" allowOverlap="1" wp14:anchorId="59A32F19" wp14:editId="6452A926">
                <wp:simplePos x="0" y="0"/>
                <wp:positionH relativeFrom="column">
                  <wp:posOffset>1905</wp:posOffset>
                </wp:positionH>
                <wp:positionV relativeFrom="paragraph">
                  <wp:posOffset>635</wp:posOffset>
                </wp:positionV>
                <wp:extent cx="1828800" cy="7553325"/>
                <wp:effectExtent l="0" t="0" r="114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7553325"/>
                        </a:xfrm>
                        <a:prstGeom prst="rect">
                          <a:avLst/>
                        </a:prstGeom>
                        <a:noFill/>
                        <a:ln w="6350">
                          <a:solidFill>
                            <a:prstClr val="black"/>
                          </a:solidFill>
                        </a:ln>
                        <a:effectLst/>
                      </wps:spPr>
                      <wps:txbx>
                        <w:txbxContent>
                          <w:p w:rsidR="00076A05" w:rsidRPr="00AC0580" w:rsidRDefault="00076A05" w:rsidP="00192B65">
                            <w:pPr>
                              <w:pStyle w:val="TRNormal"/>
                              <w:ind w:left="0" w:firstLine="0"/>
                            </w:pPr>
                            <w:r>
                              <w:object w:dxaOrig="10921" w:dyaOrig="15255">
                                <v:shape id="_x0000_i1027" type="#_x0000_t75" style="width:415.55pt;height:580.45pt" o:ole="">
                                  <v:imagedata r:id="rId11" o:title=""/>
                                </v:shape>
                                <o:OLEObject Type="Embed" ProgID="Visio.Drawing.15" ShapeID="_x0000_i1027" DrawAspect="Content" ObjectID="_1618044754"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32F19" id="Text Box 10" o:spid="_x0000_s1027" type="#_x0000_t202" style="position:absolute;left:0;text-align:left;margin-left:.15pt;margin-top:.05pt;width:2in;height:594.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" filled="f" strokeweight=".5pt">
                <v:textbox>
                  <w:txbxContent>
                    <w:p w:rsidR="00076A05" w:rsidRPr="00AC0580" w:rsidRDefault="00076A05" w:rsidP="00192B65">
                      <w:pPr>
                        <w:pStyle w:val="TRNormal"/>
                        <w:ind w:left="0" w:firstLine="0"/>
                      </w:pPr>
                      <w:r>
                        <w:object w:dxaOrig="10921" w:dyaOrig="15255">
                          <v:shape id="_x0000_i1027" type="#_x0000_t75" style="width:415.55pt;height:580.45pt" o:ole="">
                            <v:imagedata r:id="rId11" o:title=""/>
                          </v:shape>
                          <o:OLEObject Type="Embed" ProgID="Visio.Drawing.15" ShapeID="_x0000_i1027" DrawAspect="Content" ObjectID="_1618044754" r:id="rId13"/>
                        </w:object>
                      </w:r>
                    </w:p>
                  </w:txbxContent>
                </v:textbox>
                <w10:wrap type="square"/>
              </v:shape>
            </w:pict>
          </mc:Fallback>
        </mc:AlternateContent>
      </w:r>
    </w:p>
    <w:p w:rsidR="00192B65" w:rsidRPr="00B9496F" w:rsidRDefault="00890033" w:rsidP="00B9496F">
      <w:pPr>
        <w:rPr>
          <w:b/>
          <w:i/>
        </w:rPr>
      </w:pPr>
      <w:r>
        <w:rPr>
          <w:b/>
          <w:i/>
        </w:rPr>
        <w:t>M</w:t>
      </w:r>
      <w:r w:rsidR="00B9496F" w:rsidRPr="00B9496F">
        <w:rPr>
          <w:b/>
          <w:i/>
        </w:rPr>
        <w:t>utual Agreement Procedure</w:t>
      </w:r>
    </w:p>
    <w:p w:rsidR="00B9496F" w:rsidRDefault="00B9496F" w:rsidP="00B9496F">
      <w:pPr>
        <w:pStyle w:val="TRNormal"/>
        <w:spacing w:after="0"/>
        <w:ind w:left="0" w:firstLine="0"/>
      </w:pPr>
    </w:p>
    <w:p w:rsidR="00B9496F" w:rsidRDefault="004C1812" w:rsidP="00B9496F">
      <w:pPr>
        <w:pStyle w:val="TRNormal"/>
        <w:spacing w:after="0"/>
        <w:ind w:left="0" w:firstLine="0"/>
      </w:pPr>
      <w:r>
        <w:t>T</w:t>
      </w:r>
      <w:r w:rsidR="00B9496F">
        <w:t xml:space="preserve">he mutual agreement procedure (MAP) </w:t>
      </w:r>
      <w:r>
        <w:t xml:space="preserve">under an applicable double tax agreement </w:t>
      </w:r>
      <w:r w:rsidR="00B9496F">
        <w:t xml:space="preserve">will continue to be available where </w:t>
      </w:r>
      <w:r w:rsidR="00890033">
        <w:t xml:space="preserve">a </w:t>
      </w:r>
      <w:r w:rsidR="00B9496F">
        <w:t xml:space="preserve">group considers the actions of one of the contracting states will result in taxation not in accordance with </w:t>
      </w:r>
      <w:r>
        <w:t xml:space="preserve">the </w:t>
      </w:r>
      <w:r w:rsidR="00B9496F">
        <w:t>agreement.</w:t>
      </w:r>
    </w:p>
    <w:p w:rsidR="00B9496F" w:rsidRDefault="00B9496F" w:rsidP="00B9496F">
      <w:pPr>
        <w:pStyle w:val="TRNormal"/>
        <w:spacing w:after="0"/>
        <w:ind w:left="0" w:firstLine="0"/>
      </w:pPr>
    </w:p>
    <w:p w:rsidR="00B9496F" w:rsidRDefault="008F6762" w:rsidP="00B9496F">
      <w:pPr>
        <w:pStyle w:val="TRNormal"/>
        <w:spacing w:after="0"/>
        <w:ind w:left="0" w:firstLine="0"/>
      </w:pPr>
      <w:r>
        <w:t>The lender can invoke MAP i</w:t>
      </w:r>
      <w:r w:rsidR="00B9496F">
        <w:t xml:space="preserve">f </w:t>
      </w:r>
      <w:r w:rsidR="00355B33">
        <w:t>they</w:t>
      </w:r>
      <w:r w:rsidR="00B9496F">
        <w:t xml:space="preserve"> consider that </w:t>
      </w:r>
      <w:r w:rsidR="00890033">
        <w:t>the deductible amount in New Zealand is less than the lender’s jurisdiction will require to be returned as income</w:t>
      </w:r>
      <w:r w:rsidR="004C1812">
        <w:t>, applying an arm’s length standard</w:t>
      </w:r>
      <w:r w:rsidR="00890033">
        <w:t>.</w:t>
      </w:r>
      <w:r w:rsidR="00292098">
        <w:t xml:space="preserve"> </w:t>
      </w:r>
      <w:r w:rsidR="00890033">
        <w:t xml:space="preserve">As with any MAP this would require them to put forward their reasoning as to </w:t>
      </w:r>
      <w:r w:rsidR="00280277">
        <w:t xml:space="preserve">why the amount allowed as a deduction in New Zealand is insufficient </w:t>
      </w:r>
      <w:r w:rsidR="00890033">
        <w:t>to the lender’s competent authority.</w:t>
      </w:r>
      <w:r w:rsidR="00292098">
        <w:t xml:space="preserve"> </w:t>
      </w:r>
      <w:r>
        <w:t xml:space="preserve">Inland Revenue </w:t>
      </w:r>
      <w:r w:rsidR="00355B33">
        <w:t>will be able to</w:t>
      </w:r>
      <w:r>
        <w:t xml:space="preserve"> process the matter as efficiently as possible </w:t>
      </w:r>
      <w:r w:rsidR="00355B33">
        <w:t xml:space="preserve">if </w:t>
      </w:r>
      <w:r w:rsidR="00890033">
        <w:t xml:space="preserve">a copy of this information </w:t>
      </w:r>
      <w:r w:rsidR="00355B33">
        <w:t xml:space="preserve">is provided </w:t>
      </w:r>
      <w:r w:rsidR="00890033">
        <w:t>to the New Zealand competent authority at the same time.</w:t>
      </w:r>
    </w:p>
    <w:p w:rsidR="00B9496F" w:rsidRDefault="00B9496F" w:rsidP="00B9496F">
      <w:pPr>
        <w:pStyle w:val="TRNormal"/>
        <w:spacing w:after="0"/>
        <w:ind w:left="0" w:firstLine="0"/>
      </w:pPr>
    </w:p>
    <w:p w:rsidR="00890033" w:rsidRPr="00890033" w:rsidRDefault="00890033" w:rsidP="00890033">
      <w:pPr>
        <w:rPr>
          <w:b/>
          <w:i/>
        </w:rPr>
      </w:pPr>
      <w:r w:rsidRPr="00890033">
        <w:rPr>
          <w:b/>
          <w:i/>
        </w:rPr>
        <w:t>Guarantee fees</w:t>
      </w:r>
    </w:p>
    <w:p w:rsidR="00890033" w:rsidRDefault="00890033" w:rsidP="00B9496F">
      <w:pPr>
        <w:pStyle w:val="TRNormal"/>
        <w:spacing w:after="0"/>
        <w:ind w:left="0" w:firstLine="0"/>
      </w:pPr>
    </w:p>
    <w:p w:rsidR="00890033" w:rsidRDefault="00890033" w:rsidP="00B9496F">
      <w:pPr>
        <w:pStyle w:val="TRNormal"/>
        <w:spacing w:after="0"/>
        <w:ind w:left="0" w:firstLine="0"/>
      </w:pPr>
      <w:r>
        <w:t>The restricted transfer pricing rule does not explicitly cover guarantee fees.</w:t>
      </w:r>
      <w:r w:rsidR="00292098">
        <w:t xml:space="preserve"> </w:t>
      </w:r>
      <w:r>
        <w:t xml:space="preserve">The OECD is currently developing guidance </w:t>
      </w:r>
      <w:r w:rsidR="005B7293">
        <w:t xml:space="preserve">on </w:t>
      </w:r>
      <w:r>
        <w:t>how guarantee fees should be treated.</w:t>
      </w:r>
      <w:r w:rsidR="00292098">
        <w:t xml:space="preserve"> </w:t>
      </w:r>
      <w:r w:rsidR="005B7293">
        <w:t>IR o</w:t>
      </w:r>
      <w:r>
        <w:t xml:space="preserve">fficials will continue to monitor this situation including whether future legislative change </w:t>
      </w:r>
      <w:r w:rsidR="00A7595F">
        <w:t>may be required.</w:t>
      </w:r>
    </w:p>
    <w:p w:rsidR="00A7595F" w:rsidRDefault="00A7595F" w:rsidP="00B9496F">
      <w:pPr>
        <w:pStyle w:val="TRNormal"/>
        <w:spacing w:after="0"/>
        <w:ind w:left="0" w:firstLine="0"/>
      </w:pPr>
    </w:p>
    <w:p w:rsidR="00A7595F" w:rsidRDefault="007E0F5C" w:rsidP="00B9496F">
      <w:pPr>
        <w:pStyle w:val="TRNormal"/>
        <w:spacing w:after="0"/>
        <w:ind w:left="0" w:firstLine="0"/>
      </w:pPr>
      <w:r>
        <w:t xml:space="preserve">No </w:t>
      </w:r>
      <w:r w:rsidR="00A7595F">
        <w:t xml:space="preserve">fee </w:t>
      </w:r>
      <w:r>
        <w:t xml:space="preserve">is </w:t>
      </w:r>
      <w:r w:rsidR="00A7595F">
        <w:t xml:space="preserve">appropriate </w:t>
      </w:r>
      <w:r w:rsidR="00C65768">
        <w:t xml:space="preserve">for </w:t>
      </w:r>
      <w:r>
        <w:t>a guarantee</w:t>
      </w:r>
      <w:r w:rsidR="00C65768">
        <w:t xml:space="preserve"> of related party debt</w:t>
      </w:r>
      <w:r w:rsidR="00A7595F">
        <w:t>.</w:t>
      </w:r>
    </w:p>
    <w:p w:rsidR="00A7595F" w:rsidRDefault="00A7595F" w:rsidP="00B9496F">
      <w:pPr>
        <w:pStyle w:val="TRNormal"/>
        <w:spacing w:after="0"/>
        <w:ind w:left="0" w:firstLine="0"/>
      </w:pPr>
    </w:p>
    <w:p w:rsidR="00A7595F" w:rsidRDefault="00280277" w:rsidP="00B9496F">
      <w:pPr>
        <w:pStyle w:val="TRNormal"/>
        <w:spacing w:after="0"/>
        <w:ind w:left="0" w:firstLine="0"/>
      </w:pPr>
      <w:r>
        <w:t>Payment of a</w:t>
      </w:r>
      <w:r w:rsidR="00A7595F">
        <w:t xml:space="preserve"> guarantee fee to a</w:t>
      </w:r>
      <w:r>
        <w:t xml:space="preserve"> non-resident</w:t>
      </w:r>
      <w:r w:rsidR="00A7595F">
        <w:t xml:space="preserve"> related party may be appropriate </w:t>
      </w:r>
      <w:r w:rsidR="004966E3">
        <w:t xml:space="preserve">if </w:t>
      </w:r>
      <w:r w:rsidR="008F6762">
        <w:t xml:space="preserve">it </w:t>
      </w:r>
      <w:r w:rsidR="00A7595F">
        <w:t>guarantee</w:t>
      </w:r>
      <w:r w:rsidR="008F6762">
        <w:t>s</w:t>
      </w:r>
      <w:r w:rsidR="00A7595F">
        <w:t xml:space="preserve"> third party debt.</w:t>
      </w:r>
      <w:r w:rsidR="00292098">
        <w:t xml:space="preserve"> </w:t>
      </w:r>
      <w:r w:rsidR="00A7595F">
        <w:t>However, this would have to be considered on a case by case basis and would not be expected to materially exceed the cost of a</w:t>
      </w:r>
      <w:r>
        <w:t xml:space="preserve"> non-resident</w:t>
      </w:r>
      <w:r w:rsidR="00A7595F">
        <w:t xml:space="preserve"> group member borrowing from a third party and on-lending to the New Zealand borrower with the </w:t>
      </w:r>
      <w:r>
        <w:t xml:space="preserve">New Zealand borrower’s interest </w:t>
      </w:r>
      <w:r w:rsidR="00A7595F">
        <w:t>deduction calculated under the restricted transfer pricing rule.</w:t>
      </w:r>
    </w:p>
    <w:p w:rsidR="00890033" w:rsidRDefault="00890033" w:rsidP="00B9496F">
      <w:pPr>
        <w:pStyle w:val="TRNormal"/>
        <w:spacing w:after="0"/>
        <w:ind w:left="0" w:firstLine="0"/>
      </w:pPr>
    </w:p>
    <w:p w:rsidR="00192B65" w:rsidRPr="00F049F7" w:rsidRDefault="00192B65" w:rsidP="00192B65">
      <w:pPr>
        <w:rPr>
          <w:b/>
          <w:i/>
        </w:rPr>
      </w:pPr>
      <w:r w:rsidRPr="00F049F7">
        <w:rPr>
          <w:b/>
          <w:i/>
        </w:rPr>
        <w:t>Ignoring surrounding circumstances, terms, and conditions</w:t>
      </w:r>
    </w:p>
    <w:p w:rsidR="00556249" w:rsidRPr="00F049F7" w:rsidRDefault="00556249" w:rsidP="00192B65"/>
    <w:p w:rsidR="00192B65" w:rsidRDefault="00280277" w:rsidP="00192B65">
      <w:r>
        <w:t>An</w:t>
      </w:r>
      <w:r w:rsidR="00192B65" w:rsidRPr="00F049F7">
        <w:t xml:space="preserve">other way </w:t>
      </w:r>
      <w:r>
        <w:t xml:space="preserve">arm’s length </w:t>
      </w:r>
      <w:r w:rsidR="00192B65" w:rsidRPr="00F049F7">
        <w:t>interest rates can be inflated is by imposing conditions on the lending that would not normally be found in standard third party debt.</w:t>
      </w:r>
      <w:r w:rsidR="00292098">
        <w:t xml:space="preserve"> </w:t>
      </w:r>
      <w:r w:rsidR="003762FA">
        <w:t>That is</w:t>
      </w:r>
      <w:r w:rsidR="004966E3">
        <w:t>,</w:t>
      </w:r>
      <w:r w:rsidR="003762FA">
        <w:t xml:space="preserve"> conventionally</w:t>
      </w:r>
      <w:r w:rsidR="004966E3">
        <w:t>,</w:t>
      </w:r>
      <w:r w:rsidR="003762FA">
        <w:t xml:space="preserve"> such terms and conditions would be expected to be resisted or rejected by the borrower or the lender as the case may be. </w:t>
      </w:r>
      <w:r w:rsidR="00192B65" w:rsidRPr="00F049F7">
        <w:t xml:space="preserve">To mitigate this risk the following features, subject to the exemptions below, will be disregarded </w:t>
      </w:r>
      <w:r w:rsidR="00DA79A1">
        <w:t xml:space="preserve">or adjusted for </w:t>
      </w:r>
      <w:r w:rsidR="00192B65" w:rsidRPr="00F049F7">
        <w:t>when considering the pricing of a particular instrument:</w:t>
      </w:r>
    </w:p>
    <w:p w:rsidR="00192B65" w:rsidRPr="00F049F7" w:rsidRDefault="00192B65" w:rsidP="00192B65"/>
    <w:p w:rsidR="00192B65" w:rsidRPr="0083553D" w:rsidRDefault="00192B65" w:rsidP="00192B65">
      <w:pPr>
        <w:spacing w:after="60"/>
        <w:rPr>
          <w:u w:val="single"/>
        </w:rPr>
      </w:pPr>
      <w:r w:rsidRPr="0083553D">
        <w:rPr>
          <w:u w:val="single"/>
        </w:rPr>
        <w:t>The term of the loan being greater than 5 years</w:t>
      </w:r>
    </w:p>
    <w:p w:rsidR="00B30C33" w:rsidRDefault="00B30C33" w:rsidP="00192B65"/>
    <w:p w:rsidR="00192B65" w:rsidRPr="008C3485" w:rsidRDefault="00192B65" w:rsidP="00192B65">
      <w:r w:rsidRPr="008C3485">
        <w:t>Almost all</w:t>
      </w:r>
      <w:r w:rsidR="00280277">
        <w:t xml:space="preserve"> NZ$</w:t>
      </w:r>
      <w:r w:rsidRPr="008C3485">
        <w:t xml:space="preserve"> bank debt and the majority of third-party bond issues are for a term of 5 years or less.</w:t>
      </w:r>
      <w:r w:rsidR="00292098">
        <w:t xml:space="preserve"> </w:t>
      </w:r>
      <w:r w:rsidRPr="008C3485">
        <w:t>Due to a (generally) positive sloping yield curve and the lack of comparables with terms of over 5 years, debt with very long duration can be priced higher than equivalent shorter terms.</w:t>
      </w:r>
      <w:r w:rsidR="00292098">
        <w:t xml:space="preserve"> </w:t>
      </w:r>
      <w:r w:rsidRPr="008C3485">
        <w:t xml:space="preserve">If the term of </w:t>
      </w:r>
      <w:r w:rsidR="00280277">
        <w:t>cross-border related borrowing</w:t>
      </w:r>
      <w:r w:rsidRPr="008C3485">
        <w:t xml:space="preserve"> is more than 5 years section GC 18(</w:t>
      </w:r>
      <w:r w:rsidR="00D20E81">
        <w:t>4</w:t>
      </w:r>
      <w:r w:rsidRPr="008C3485">
        <w:t>) and (</w:t>
      </w:r>
      <w:r w:rsidR="00D20E81">
        <w:t>8</w:t>
      </w:r>
      <w:r w:rsidRPr="008C3485">
        <w:t>)(b) will price it as if its term is 5 years unless an exception applies.</w:t>
      </w:r>
      <w:r w:rsidR="00292098">
        <w:t xml:space="preserve"> </w:t>
      </w:r>
      <w:r w:rsidRPr="008C3485">
        <w:t>This pricing should apply for the term of the loan.</w:t>
      </w:r>
      <w:r w:rsidR="00292098">
        <w:t xml:space="preserve"> </w:t>
      </w:r>
      <w:r w:rsidRPr="008C3485">
        <w:t>Further detail is provided on this provision below.</w:t>
      </w:r>
    </w:p>
    <w:p w:rsidR="00192B65" w:rsidRDefault="00192B65" w:rsidP="00192B65"/>
    <w:p w:rsidR="00192B65" w:rsidRPr="0083553D" w:rsidRDefault="00192B65" w:rsidP="00192B65">
      <w:pPr>
        <w:spacing w:after="60"/>
        <w:rPr>
          <w:u w:val="single"/>
        </w:rPr>
      </w:pPr>
      <w:r w:rsidRPr="0083553D">
        <w:rPr>
          <w:u w:val="single"/>
        </w:rPr>
        <w:t>Subordination</w:t>
      </w:r>
    </w:p>
    <w:p w:rsidR="00B30C33" w:rsidRDefault="00B30C33" w:rsidP="00192B65"/>
    <w:p w:rsidR="00192B65" w:rsidRDefault="00192B65" w:rsidP="00192B65">
      <w:r w:rsidRPr="008C3485">
        <w:t>Subordination is where an instrument ranks behind other instruments in the event of default.</w:t>
      </w:r>
      <w:r w:rsidR="00292098">
        <w:t xml:space="preserve"> </w:t>
      </w:r>
      <w:r w:rsidRPr="008C3485">
        <w:t>This reduces the chance of the creditor receiving all their money back in the event the borrower runs into financial difficulty and can be used to justify a higher interest rate.</w:t>
      </w:r>
      <w:r w:rsidR="00292098">
        <w:t xml:space="preserve"> </w:t>
      </w:r>
      <w:r w:rsidRPr="008C3485">
        <w:t xml:space="preserve">Often in a related party context any subordination will not affect the amount the parent </w:t>
      </w:r>
      <w:r w:rsidR="00DA79A1">
        <w:t xml:space="preserve">(or other lender within the group) </w:t>
      </w:r>
      <w:r w:rsidRPr="008C3485">
        <w:t>would receive in the event the subsidiary failed.</w:t>
      </w:r>
      <w:r w:rsidR="00292098">
        <w:t xml:space="preserve"> </w:t>
      </w:r>
      <w:r w:rsidRPr="008C3485">
        <w:t>Arrangements with subordination will have that subordination disregarded by section GC 18(</w:t>
      </w:r>
      <w:r w:rsidR="00D20E81">
        <w:t>3</w:t>
      </w:r>
      <w:r w:rsidRPr="008C3485">
        <w:t>)(g) for the purpose of calculating the price.</w:t>
      </w:r>
    </w:p>
    <w:p w:rsidR="00192B65" w:rsidRDefault="00192B65" w:rsidP="00192B65"/>
    <w:p w:rsidR="00192B65" w:rsidRPr="008C3485" w:rsidRDefault="00192B65" w:rsidP="00192B65">
      <w:pPr>
        <w:spacing w:after="60"/>
      </w:pPr>
      <w:r w:rsidRPr="0083553D">
        <w:rPr>
          <w:u w:val="single"/>
        </w:rPr>
        <w:t>Exotic features</w:t>
      </w:r>
    </w:p>
    <w:p w:rsidR="00B30C33" w:rsidRDefault="00B30C33" w:rsidP="00192B65"/>
    <w:p w:rsidR="00192B65" w:rsidRDefault="00192B65" w:rsidP="00192B65">
      <w:r w:rsidRPr="008C3485">
        <w:t>Exotic features are those generally not seen with third-party lending.</w:t>
      </w:r>
      <w:r w:rsidR="00292098">
        <w:t xml:space="preserve"> </w:t>
      </w:r>
      <w:r w:rsidR="00556249">
        <w:t>S</w:t>
      </w:r>
      <w:r w:rsidRPr="008C3485">
        <w:t>ection GC 18(</w:t>
      </w:r>
      <w:r w:rsidR="00D20E81">
        <w:t>3</w:t>
      </w:r>
      <w:r w:rsidRPr="008C3485">
        <w:t>) provides a list of features that will be disregarded</w:t>
      </w:r>
      <w:r w:rsidR="00280277">
        <w:t xml:space="preserve"> in determining the transfer price for cross border related bor</w:t>
      </w:r>
      <w:r w:rsidR="00C65768">
        <w:t>r</w:t>
      </w:r>
      <w:r w:rsidR="00280277">
        <w:t>owing</w:t>
      </w:r>
      <w:r w:rsidR="00CE3732">
        <w:t xml:space="preserve">, which </w:t>
      </w:r>
      <w:r w:rsidRPr="008C3485">
        <w:t>include:</w:t>
      </w:r>
    </w:p>
    <w:p w:rsidR="00192B65" w:rsidRPr="008C3485" w:rsidRDefault="00192B65" w:rsidP="00192B65"/>
    <w:p w:rsidR="00A91FE8" w:rsidRDefault="00A91FE8" w:rsidP="00B30C33">
      <w:pPr>
        <w:pStyle w:val="Bullets"/>
      </w:pPr>
      <w:r>
        <w:t>p</w:t>
      </w:r>
      <w:r w:rsidR="00192B65">
        <w:t>ayment</w:t>
      </w:r>
      <w:r>
        <w:t xml:space="preserve"> other than in money (for example</w:t>
      </w:r>
      <w:r w:rsidR="00556249">
        <w:t>,</w:t>
      </w:r>
      <w:r>
        <w:t xml:space="preserve"> </w:t>
      </w:r>
      <w:r w:rsidR="00556249">
        <w:t>re</w:t>
      </w:r>
      <w:r>
        <w:t>paying a loan by issuing shares)</w:t>
      </w:r>
    </w:p>
    <w:p w:rsidR="00192B65" w:rsidRDefault="00192B65" w:rsidP="00B30C33">
      <w:pPr>
        <w:pStyle w:val="Bullets"/>
      </w:pPr>
      <w:r>
        <w:t>interest payment deferral</w:t>
      </w:r>
      <w:r w:rsidR="00A91FE8">
        <w:t xml:space="preserve"> beyond 12 months</w:t>
      </w:r>
      <w:r>
        <w:t>;</w:t>
      </w:r>
    </w:p>
    <w:p w:rsidR="00192B65" w:rsidRDefault="00192B65" w:rsidP="00B30C33">
      <w:pPr>
        <w:pStyle w:val="Bullets"/>
      </w:pPr>
      <w:r>
        <w:t>options which give rise to premiums on interest rates (for example, on early repayment by the borrower);</w:t>
      </w:r>
    </w:p>
    <w:p w:rsidR="00192B65" w:rsidRDefault="00192B65" w:rsidP="00B30C33">
      <w:pPr>
        <w:pStyle w:val="Bullets"/>
      </w:pPr>
      <w:r>
        <w:t>promissory notes or other instruments which do not provide rights to foreclose/accelerate repayment;</w:t>
      </w:r>
    </w:p>
    <w:p w:rsidR="00192B65" w:rsidRDefault="00192B65" w:rsidP="00B30C33">
      <w:pPr>
        <w:pStyle w:val="Bullets"/>
      </w:pPr>
      <w:r>
        <w:t>convertibility to equity or other exchange at the option of the borrower; and</w:t>
      </w:r>
    </w:p>
    <w:p w:rsidR="00192B65" w:rsidRDefault="00192B65" w:rsidP="00B30C33">
      <w:pPr>
        <w:pStyle w:val="Bullets"/>
        <w:spacing w:after="0"/>
      </w:pPr>
      <w:r>
        <w:t>contingencies (for example, where interest is repaid only under certain conditions).</w:t>
      </w:r>
    </w:p>
    <w:p w:rsidR="00192B65" w:rsidRDefault="00192B65" w:rsidP="00192B65">
      <w:pPr>
        <w:spacing w:line="300" w:lineRule="atLeast"/>
      </w:pPr>
    </w:p>
    <w:p w:rsidR="00236B06" w:rsidRDefault="00236B06" w:rsidP="00192B65">
      <w:pPr>
        <w:rPr>
          <w:i/>
        </w:rPr>
      </w:pPr>
      <w:r>
        <w:rPr>
          <w:i/>
        </w:rPr>
        <w:t>Deferral beyond 12 months</w:t>
      </w:r>
    </w:p>
    <w:p w:rsidR="00236B06" w:rsidRDefault="00236B06" w:rsidP="00192B65"/>
    <w:p w:rsidR="002A5C2E" w:rsidRDefault="002A5C2E" w:rsidP="00192B65">
      <w:r>
        <w:t>Disregard any increased interest rate that arises where payment of interest is made less than annually to the extent that increase is due to the increased risk of default due to interest being deferred beyond 12 months</w:t>
      </w:r>
      <w:r w:rsidR="007306EA">
        <w:t xml:space="preserve">. </w:t>
      </w:r>
      <w:r>
        <w:t xml:space="preserve">This provision will not apply where the increase in interest reflects the loss of the ability to reinvest the deferred interest so that the effective rate of return is the same as if the interest was not </w:t>
      </w:r>
      <w:r w:rsidR="00F22706">
        <w:t>deferred</w:t>
      </w:r>
      <w:r>
        <w:t>.</w:t>
      </w:r>
    </w:p>
    <w:p w:rsidR="003273AB" w:rsidRDefault="003273AB" w:rsidP="00192B65"/>
    <w:p w:rsidR="00B30C33" w:rsidRDefault="00B30C33" w:rsidP="00192B65"/>
    <w:p w:rsidR="003273AB" w:rsidRPr="000C22FC" w:rsidRDefault="003273AB" w:rsidP="00B30C33">
      <w:pPr>
        <w:pBdr>
          <w:top w:val="single" w:sz="4" w:space="10" w:color="auto"/>
          <w:left w:val="single" w:sz="4" w:space="10" w:color="auto"/>
          <w:bottom w:val="single" w:sz="4" w:space="10" w:color="auto"/>
          <w:right w:val="single" w:sz="4" w:space="10" w:color="auto"/>
        </w:pBdr>
        <w:rPr>
          <w:b/>
          <w:sz w:val="20"/>
        </w:rPr>
      </w:pPr>
      <w:r w:rsidRPr="000C22FC">
        <w:rPr>
          <w:b/>
          <w:sz w:val="20"/>
        </w:rPr>
        <w:t>Example</w:t>
      </w:r>
      <w:r w:rsidR="00214E42">
        <w:rPr>
          <w:b/>
          <w:sz w:val="20"/>
        </w:rPr>
        <w:t xml:space="preserve"> </w:t>
      </w:r>
      <w:r w:rsidR="00507AB5">
        <w:rPr>
          <w:b/>
          <w:sz w:val="20"/>
        </w:rPr>
        <w:t>3</w:t>
      </w:r>
    </w:p>
    <w:p w:rsidR="003273AB" w:rsidRPr="000C22FC" w:rsidRDefault="003273AB" w:rsidP="00B30C33">
      <w:pPr>
        <w:pBdr>
          <w:top w:val="single" w:sz="4" w:space="10" w:color="auto"/>
          <w:left w:val="single" w:sz="4" w:space="10" w:color="auto"/>
          <w:bottom w:val="single" w:sz="4" w:space="10" w:color="auto"/>
          <w:right w:val="single" w:sz="4" w:space="10" w:color="auto"/>
        </w:pBdr>
        <w:rPr>
          <w:sz w:val="20"/>
        </w:rPr>
      </w:pPr>
    </w:p>
    <w:p w:rsidR="000C22FC" w:rsidRPr="000C22FC" w:rsidRDefault="007E0F5C" w:rsidP="00B30C33">
      <w:pPr>
        <w:pBdr>
          <w:top w:val="single" w:sz="4" w:space="10" w:color="auto"/>
          <w:left w:val="single" w:sz="4" w:space="10" w:color="auto"/>
          <w:bottom w:val="single" w:sz="4" w:space="10" w:color="auto"/>
          <w:right w:val="single" w:sz="4" w:space="10" w:color="auto"/>
        </w:pBdr>
        <w:rPr>
          <w:sz w:val="20"/>
        </w:rPr>
      </w:pPr>
      <w:r>
        <w:rPr>
          <w:sz w:val="20"/>
        </w:rPr>
        <w:t>The arm’s length rate if a borrower borrows $100 with annual interest is 5%</w:t>
      </w:r>
      <w:r w:rsidR="007306EA">
        <w:rPr>
          <w:sz w:val="20"/>
        </w:rPr>
        <w:t xml:space="preserve">. </w:t>
      </w:r>
      <w:r>
        <w:rPr>
          <w:sz w:val="20"/>
        </w:rPr>
        <w:t xml:space="preserve">If instead, the borrower issues a </w:t>
      </w:r>
      <w:proofErr w:type="gramStart"/>
      <w:r>
        <w:rPr>
          <w:sz w:val="20"/>
        </w:rPr>
        <w:t>zero coupon</w:t>
      </w:r>
      <w:proofErr w:type="gramEnd"/>
      <w:r>
        <w:rPr>
          <w:sz w:val="20"/>
        </w:rPr>
        <w:t xml:space="preserve"> bond for $100 with a $127.63 redemption payment in 5 years’ time section GC 18(3)(b) will not apply as this bond has the same 5% interest rate</w:t>
      </w:r>
      <w:r w:rsidR="007306EA">
        <w:rPr>
          <w:sz w:val="20"/>
        </w:rPr>
        <w:t xml:space="preserve">. </w:t>
      </w:r>
      <w:r>
        <w:rPr>
          <w:sz w:val="20"/>
        </w:rPr>
        <w:t>Any higher interest rate, for example to compensate for the higher credit risk from longer exposure to the borrower, will be disregarded.</w:t>
      </w:r>
    </w:p>
    <w:p w:rsidR="00236B06" w:rsidRPr="00236B06" w:rsidRDefault="00236B06" w:rsidP="00192B65"/>
    <w:p w:rsidR="00192B65" w:rsidRPr="008C3485" w:rsidRDefault="00192B65" w:rsidP="00192B65">
      <w:pPr>
        <w:rPr>
          <w:i/>
        </w:rPr>
      </w:pPr>
      <w:r w:rsidRPr="008C3485">
        <w:rPr>
          <w:i/>
        </w:rPr>
        <w:t>Third party features</w:t>
      </w:r>
    </w:p>
    <w:p w:rsidR="00192B65" w:rsidRDefault="00192B65" w:rsidP="00192B65">
      <w:pPr>
        <w:spacing w:line="300" w:lineRule="atLeast"/>
      </w:pPr>
    </w:p>
    <w:p w:rsidR="00192B65" w:rsidRDefault="00192B65" w:rsidP="00192B65">
      <w:pPr>
        <w:spacing w:line="300" w:lineRule="atLeast"/>
      </w:pPr>
      <w:r>
        <w:t xml:space="preserve">While generally the above features will be disregarded under the </w:t>
      </w:r>
      <w:r w:rsidR="00237439">
        <w:t xml:space="preserve">new </w:t>
      </w:r>
      <w:r>
        <w:t>rules</w:t>
      </w:r>
      <w:r w:rsidR="00DA79A1">
        <w:t xml:space="preserve"> for cross-border related borrowing</w:t>
      </w:r>
      <w:r>
        <w:t>, they will be taken into account under section GC 18(</w:t>
      </w:r>
      <w:r w:rsidR="00D20E81">
        <w:t>9</w:t>
      </w:r>
      <w:r>
        <w:t xml:space="preserve">) if the borrower (or its </w:t>
      </w:r>
      <w:r w:rsidR="00237439">
        <w:t>worldwide group</w:t>
      </w:r>
      <w:r>
        <w:t xml:space="preserve">, if </w:t>
      </w:r>
      <w:r w:rsidR="00237439">
        <w:t xml:space="preserve">it is part of </w:t>
      </w:r>
      <w:r>
        <w:t>one) has a significant amount of third-party debt with that feature.</w:t>
      </w:r>
    </w:p>
    <w:p w:rsidR="00192B65" w:rsidRDefault="00192B65" w:rsidP="00192B65">
      <w:pPr>
        <w:spacing w:line="300" w:lineRule="atLeast"/>
      </w:pPr>
    </w:p>
    <w:p w:rsidR="00192B65" w:rsidRDefault="00192B65" w:rsidP="00192B65">
      <w:pPr>
        <w:spacing w:line="300" w:lineRule="atLeast"/>
      </w:pPr>
      <w:r>
        <w:t xml:space="preserve">The extent to which disregarded features </w:t>
      </w:r>
      <w:r w:rsidR="009867CA">
        <w:t xml:space="preserve">can </w:t>
      </w:r>
      <w:r>
        <w:t>be taken into account depends on the structure of either the borrower’s, or its worldwide group’s, third-party debt.</w:t>
      </w:r>
      <w:r w:rsidR="00292098">
        <w:t xml:space="preserve"> </w:t>
      </w:r>
      <w:r>
        <w:t>That is:</w:t>
      </w:r>
    </w:p>
    <w:p w:rsidR="00192B65" w:rsidRDefault="00192B65" w:rsidP="00192B65">
      <w:pPr>
        <w:spacing w:line="300" w:lineRule="atLeast"/>
      </w:pPr>
    </w:p>
    <w:p w:rsidR="00192B65" w:rsidRDefault="00192B65" w:rsidP="00B30C33">
      <w:pPr>
        <w:pStyle w:val="Bullets"/>
      </w:pPr>
      <w:r>
        <w:t>the borrower’s related-party debt can have a disregarded feature in proportion to its third-party debt.</w:t>
      </w:r>
      <w:r w:rsidR="00292098">
        <w:t xml:space="preserve"> </w:t>
      </w:r>
      <w:r>
        <w:t>For example, if the borrower had $100m of senior third-party debt and $50m of subordinated third-party debt, related-party debt that is 2:1 senior:subordinated would be allowable; or</w:t>
      </w:r>
    </w:p>
    <w:p w:rsidR="00192B65" w:rsidRDefault="00192B65" w:rsidP="00B30C33">
      <w:pPr>
        <w:pStyle w:val="Bullets"/>
        <w:spacing w:after="0"/>
      </w:pPr>
      <w:r>
        <w:t xml:space="preserve">the character of debt owed by the borrower matches the character of the borrower’s </w:t>
      </w:r>
      <w:r w:rsidR="00461802">
        <w:t xml:space="preserve">group’s </w:t>
      </w:r>
      <w:r>
        <w:t>third-party debt provided that type of debt is commercially appropriate in the New Zealand context.</w:t>
      </w:r>
      <w:r w:rsidR="00292098">
        <w:t xml:space="preserve"> </w:t>
      </w:r>
      <w:r>
        <w:t xml:space="preserve">For example, say on a worldwide consolidated basis the borrower’s </w:t>
      </w:r>
      <w:r w:rsidR="000A5885">
        <w:t>group</w:t>
      </w:r>
      <w:r>
        <w:t xml:space="preserve"> has $200m of ordinary debt and $50m of convertible notes.</w:t>
      </w:r>
      <w:r w:rsidR="00292098">
        <w:t xml:space="preserve"> </w:t>
      </w:r>
      <w:r>
        <w:t>If the borrower has $40m of ordinary related-party debt, this means that up to $10m of convertible related-party debt would be allowable (as this means the borrower’s debt character – a 4:1 mix of ordinary and convertible debt – would match that of its</w:t>
      </w:r>
      <w:r w:rsidR="00461802">
        <w:t xml:space="preserve"> </w:t>
      </w:r>
      <w:r w:rsidR="001D27FA">
        <w:t>group</w:t>
      </w:r>
      <w:r>
        <w:t>).</w:t>
      </w:r>
    </w:p>
    <w:p w:rsidR="00192B65" w:rsidRDefault="00192B65" w:rsidP="00192B65">
      <w:pPr>
        <w:spacing w:line="300" w:lineRule="atLeast"/>
      </w:pPr>
    </w:p>
    <w:p w:rsidR="00192B65" w:rsidRDefault="00192B65" w:rsidP="00192B65">
      <w:pPr>
        <w:spacing w:line="300" w:lineRule="atLeast"/>
      </w:pPr>
      <w:r>
        <w:t>In order for the borrower to use its own third-party debt to justify an otherwise disregarded feature, that third-party debt must be significant.</w:t>
      </w:r>
      <w:r w:rsidR="00292098">
        <w:t xml:space="preserve"> </w:t>
      </w:r>
      <w:r>
        <w:t>That is the related-party debt with a feature cannot be more than 4 times the third-party debt with that feature.</w:t>
      </w:r>
      <w:r w:rsidR="00292098">
        <w:t xml:space="preserve"> </w:t>
      </w:r>
      <w:r>
        <w:t xml:space="preserve">This is to prevent taxpayers agreeing to small amounts of </w:t>
      </w:r>
      <w:r w:rsidR="00237439">
        <w:t xml:space="preserve">expensive </w:t>
      </w:r>
      <w:r>
        <w:t>third-party debt in order to justify expensive related-party debt.</w:t>
      </w:r>
    </w:p>
    <w:p w:rsidR="00192B65" w:rsidRPr="008C3485" w:rsidRDefault="00192B65" w:rsidP="00192B65"/>
    <w:p w:rsidR="00192B65" w:rsidRPr="008C3485" w:rsidRDefault="00192B65" w:rsidP="00192B65">
      <w:pPr>
        <w:rPr>
          <w:i/>
        </w:rPr>
      </w:pPr>
      <w:r w:rsidRPr="008C3485">
        <w:rPr>
          <w:i/>
        </w:rPr>
        <w:t>Terms greater than 5 years</w:t>
      </w:r>
    </w:p>
    <w:p w:rsidR="00192B65" w:rsidRDefault="00192B65" w:rsidP="00192B65"/>
    <w:p w:rsidR="00192B65" w:rsidRDefault="0057259B" w:rsidP="00192B65">
      <w:r>
        <w:t>S</w:t>
      </w:r>
      <w:r w:rsidR="00192B65">
        <w:t>ection GC 18(</w:t>
      </w:r>
      <w:r w:rsidR="00D20E81">
        <w:t>4</w:t>
      </w:r>
      <w:r w:rsidR="00192B65">
        <w:t>) to (</w:t>
      </w:r>
      <w:r w:rsidR="00D20E81">
        <w:t>8</w:t>
      </w:r>
      <w:r w:rsidR="00192B65">
        <w:t>) determines whether a term greater than 5 years is disregarded for the purposes of calculating the interest rate</w:t>
      </w:r>
      <w:r w:rsidR="009F03E7">
        <w:t>.</w:t>
      </w:r>
    </w:p>
    <w:p w:rsidR="00192B65" w:rsidRDefault="00192B65" w:rsidP="00192B65"/>
    <w:p w:rsidR="00192B65" w:rsidRDefault="0057259B" w:rsidP="00192B65">
      <w:r>
        <w:t>S</w:t>
      </w:r>
      <w:r w:rsidR="00192B65">
        <w:t>ection GC 18(</w:t>
      </w:r>
      <w:r w:rsidR="00D20E81">
        <w:t>4</w:t>
      </w:r>
      <w:r w:rsidR="00192B65">
        <w:t>) includes that the 5 year term restriction does not apply to instruments that qualify as regulatory capital under section GC 18(</w:t>
      </w:r>
      <w:r w:rsidR="00D20E81">
        <w:t>10</w:t>
      </w:r>
      <w:r w:rsidR="00192B65">
        <w:t>).</w:t>
      </w:r>
      <w:r w:rsidR="00292098">
        <w:t xml:space="preserve"> </w:t>
      </w:r>
      <w:r w:rsidR="00192B65">
        <w:t xml:space="preserve">This is explained further </w:t>
      </w:r>
      <w:r w:rsidR="00691713">
        <w:t xml:space="preserve">in the insuring or lending persons section </w:t>
      </w:r>
      <w:r w:rsidR="00192B65">
        <w:t>below.</w:t>
      </w:r>
    </w:p>
    <w:p w:rsidR="00192B65" w:rsidRDefault="00192B65" w:rsidP="00192B65"/>
    <w:p w:rsidR="00192B65" w:rsidRDefault="00192B65" w:rsidP="00192B65">
      <w:r>
        <w:t xml:space="preserve">For New Zealand borrowers </w:t>
      </w:r>
      <w:r w:rsidR="00EF57EA">
        <w:t xml:space="preserve">that are not an “insuring or lending person” </w:t>
      </w:r>
      <w:r>
        <w:t xml:space="preserve">whether a term of </w:t>
      </w:r>
      <w:r w:rsidR="006D7748">
        <w:t>over</w:t>
      </w:r>
      <w:r>
        <w:t xml:space="preserve"> 5 years can be included in calculating an interest rate is determined under a similar process to the general third party features test above.</w:t>
      </w:r>
      <w:r w:rsidR="00292098">
        <w:t xml:space="preserve"> </w:t>
      </w:r>
      <w:r w:rsidR="00140591">
        <w:t xml:space="preserve">The rules are necessarily more complicated for the </w:t>
      </w:r>
      <w:r w:rsidR="006D7748">
        <w:t xml:space="preserve">over </w:t>
      </w:r>
      <w:r w:rsidR="00140591">
        <w:t>5 years terms exclusion as not all loan terms can be treated equally; for example, a 6 year term third party loan could not be used to justify a 30 year term related party loan.</w:t>
      </w:r>
    </w:p>
    <w:p w:rsidR="00192B65" w:rsidRDefault="00192B65" w:rsidP="00192B65"/>
    <w:p w:rsidR="009F03E7" w:rsidRDefault="00BA6547" w:rsidP="00192B65">
      <w:r>
        <w:t>The third party exc</w:t>
      </w:r>
      <w:r w:rsidR="001D27FA">
        <w:t>eption</w:t>
      </w:r>
      <w:r>
        <w:t xml:space="preserve"> can either</w:t>
      </w:r>
      <w:r w:rsidR="00A21AB0">
        <w:t xml:space="preserve"> </w:t>
      </w:r>
      <w:r>
        <w:t>be</w:t>
      </w:r>
      <w:r w:rsidR="00CE3732">
        <w:t xml:space="preserve"> (</w:t>
      </w:r>
      <w:r w:rsidR="00A21AB0">
        <w:t>at the option of the taxpayer</w:t>
      </w:r>
      <w:r w:rsidR="00CE3732">
        <w:t>)</w:t>
      </w:r>
      <w:r>
        <w:t xml:space="preserve"> based on third party debt of the worldwide group or third party debt of the New Zealand group.</w:t>
      </w:r>
      <w:r w:rsidR="00292098">
        <w:t xml:space="preserve"> </w:t>
      </w:r>
      <w:r>
        <w:t>Due to minor differences in terminology this decision affects which subparagraphs of sections GC 16(4) to (</w:t>
      </w:r>
      <w:r w:rsidR="00A21AB0">
        <w:t>8</w:t>
      </w:r>
      <w:r>
        <w:t>) apply.</w:t>
      </w:r>
      <w:r w:rsidR="00292098">
        <w:t xml:space="preserve"> </w:t>
      </w:r>
      <w:r>
        <w:t>This choice is also consistent with the choice available for other disregarded features in section GC 18(9)(a).</w:t>
      </w:r>
    </w:p>
    <w:p w:rsidR="006D7748" w:rsidRDefault="006D7748" w:rsidP="006D7748"/>
    <w:p w:rsidR="006D7748" w:rsidRDefault="006D7748" w:rsidP="006D7748">
      <w:r>
        <w:t>The threshold term is calculated at the date the loan was entered into renewed or extended rather than the remaining term.</w:t>
      </w:r>
    </w:p>
    <w:p w:rsidR="00BA6547" w:rsidRDefault="00BA6547" w:rsidP="00192B65"/>
    <w:p w:rsidR="00BA6547" w:rsidRDefault="00BA6547" w:rsidP="00192B65">
      <w:r>
        <w:t xml:space="preserve">The following table guides through the steps a taxpayer must go through to if they seek to apply the third party exception </w:t>
      </w:r>
      <w:r w:rsidR="00114329">
        <w:t xml:space="preserve">to </w:t>
      </w:r>
      <w:r w:rsidR="00D43E4A">
        <w:t>a loan with a term</w:t>
      </w:r>
      <w:r>
        <w:t xml:space="preserve"> </w:t>
      </w:r>
      <w:r w:rsidR="00114329">
        <w:t>over</w:t>
      </w:r>
      <w:r>
        <w:t xml:space="preserve"> 5 years:</w:t>
      </w:r>
    </w:p>
    <w:p w:rsidR="00BA6547" w:rsidRDefault="00BA6547" w:rsidP="00192B65"/>
    <w:p w:rsidR="00214E42" w:rsidRDefault="00214E42">
      <w:r>
        <w:br w:type="page"/>
      </w:r>
    </w:p>
    <w:tbl>
      <w:tblPr>
        <w:tblStyle w:val="TableGrid"/>
        <w:tblW w:w="8472" w:type="dxa"/>
        <w:tblLook w:val="04A0" w:firstRow="1" w:lastRow="0" w:firstColumn="1" w:lastColumn="0" w:noHBand="0" w:noVBand="1"/>
      </w:tblPr>
      <w:tblGrid>
        <w:gridCol w:w="4418"/>
        <w:gridCol w:w="2027"/>
        <w:gridCol w:w="2027"/>
      </w:tblGrid>
      <w:tr w:rsidR="00BA6547" w:rsidRPr="00114329" w:rsidTr="00214E42">
        <w:tc>
          <w:tcPr>
            <w:tcW w:w="4418" w:type="dxa"/>
            <w:shd w:val="pct10" w:color="auto" w:fill="auto"/>
            <w:vAlign w:val="center"/>
          </w:tcPr>
          <w:p w:rsidR="00BA6547" w:rsidRPr="00114329" w:rsidRDefault="00BA6547" w:rsidP="00114329">
            <w:pPr>
              <w:jc w:val="left"/>
              <w:rPr>
                <w:b/>
              </w:rPr>
            </w:pPr>
            <w:r w:rsidRPr="00114329">
              <w:rPr>
                <w:b/>
              </w:rPr>
              <w:t>Step</w:t>
            </w:r>
          </w:p>
        </w:tc>
        <w:tc>
          <w:tcPr>
            <w:tcW w:w="2027" w:type="dxa"/>
            <w:shd w:val="pct10" w:color="auto" w:fill="auto"/>
          </w:tcPr>
          <w:p w:rsidR="00BA6547" w:rsidRPr="00114329" w:rsidRDefault="00BA6547" w:rsidP="00114329">
            <w:pPr>
              <w:jc w:val="center"/>
              <w:rPr>
                <w:b/>
              </w:rPr>
            </w:pPr>
            <w:r w:rsidRPr="00114329">
              <w:rPr>
                <w:b/>
              </w:rPr>
              <w:t>Reference if using worldwide group third party debt</w:t>
            </w:r>
          </w:p>
        </w:tc>
        <w:tc>
          <w:tcPr>
            <w:tcW w:w="2027" w:type="dxa"/>
            <w:shd w:val="pct10" w:color="auto" w:fill="auto"/>
          </w:tcPr>
          <w:p w:rsidR="00BA6547" w:rsidRPr="00114329" w:rsidRDefault="00BA6547" w:rsidP="00114329">
            <w:pPr>
              <w:jc w:val="center"/>
              <w:rPr>
                <w:b/>
              </w:rPr>
            </w:pPr>
            <w:r w:rsidRPr="00114329">
              <w:rPr>
                <w:b/>
              </w:rPr>
              <w:t>Reference if using New Zealand third party debt</w:t>
            </w:r>
          </w:p>
        </w:tc>
      </w:tr>
      <w:tr w:rsidR="00BA6547" w:rsidTr="00214E42">
        <w:tc>
          <w:tcPr>
            <w:tcW w:w="4418" w:type="dxa"/>
          </w:tcPr>
          <w:p w:rsidR="00BA6547" w:rsidRDefault="00CE3732" w:rsidP="00CE3732">
            <w:pPr>
              <w:jc w:val="left"/>
            </w:pPr>
            <w:r>
              <w:t xml:space="preserve">1. </w:t>
            </w:r>
            <w:r w:rsidR="00BA6547">
              <w:t>Choose whether the calculation is based on worldwide or NZ third party debt</w:t>
            </w:r>
          </w:p>
        </w:tc>
        <w:tc>
          <w:tcPr>
            <w:tcW w:w="2027" w:type="dxa"/>
          </w:tcPr>
          <w:p w:rsidR="00BA6547" w:rsidRDefault="00A21AB0" w:rsidP="00D43E4A">
            <w:pPr>
              <w:jc w:val="left"/>
            </w:pPr>
            <w:r>
              <w:t>GC 18(5)</w:t>
            </w:r>
            <w:r w:rsidR="00FB09C1">
              <w:t>(a)</w:t>
            </w:r>
            <w:r>
              <w:t>(i)</w:t>
            </w:r>
          </w:p>
        </w:tc>
        <w:tc>
          <w:tcPr>
            <w:tcW w:w="2027" w:type="dxa"/>
          </w:tcPr>
          <w:p w:rsidR="00BA6547" w:rsidRDefault="00A21AB0" w:rsidP="00D43E4A">
            <w:pPr>
              <w:jc w:val="left"/>
            </w:pPr>
            <w:r>
              <w:t>GC 18(5)</w:t>
            </w:r>
            <w:r w:rsidR="00FB09C1">
              <w:t>(a)</w:t>
            </w:r>
            <w:r>
              <w:t>(ii)</w:t>
            </w:r>
          </w:p>
        </w:tc>
      </w:tr>
      <w:tr w:rsidR="00BA6547" w:rsidTr="00214E42">
        <w:tc>
          <w:tcPr>
            <w:tcW w:w="4418" w:type="dxa"/>
          </w:tcPr>
          <w:p w:rsidR="006D7748" w:rsidRDefault="00CE3732" w:rsidP="00114329">
            <w:pPr>
              <w:jc w:val="left"/>
            </w:pPr>
            <w:r>
              <w:t xml:space="preserve">2. </w:t>
            </w:r>
            <w:r w:rsidR="00A21AB0">
              <w:t xml:space="preserve">Calculate </w:t>
            </w:r>
            <w:r w:rsidR="006D7748">
              <w:t xml:space="preserve">the </w:t>
            </w:r>
            <w:r w:rsidR="00A21AB0">
              <w:t xml:space="preserve">threshold term – </w:t>
            </w:r>
          </w:p>
          <w:p w:rsidR="00BA6547" w:rsidRDefault="00A21AB0" w:rsidP="00114329">
            <w:pPr>
              <w:jc w:val="left"/>
            </w:pPr>
            <w:r>
              <w:t xml:space="preserve">weighted average </w:t>
            </w:r>
            <w:r w:rsidR="00FB09C1">
              <w:t xml:space="preserve">term </w:t>
            </w:r>
            <w:r>
              <w:t>of third party debt with a term over 5 years</w:t>
            </w:r>
          </w:p>
        </w:tc>
        <w:tc>
          <w:tcPr>
            <w:tcW w:w="2027" w:type="dxa"/>
          </w:tcPr>
          <w:p w:rsidR="00BA6547" w:rsidRDefault="00A21AB0" w:rsidP="00D43E4A">
            <w:pPr>
              <w:jc w:val="left"/>
            </w:pPr>
            <w:r>
              <w:t>GC 18(6) using GC 18(7)(a), (b) and (c)(i)</w:t>
            </w:r>
          </w:p>
        </w:tc>
        <w:tc>
          <w:tcPr>
            <w:tcW w:w="2027" w:type="dxa"/>
          </w:tcPr>
          <w:p w:rsidR="00BA6547" w:rsidRDefault="00A21AB0" w:rsidP="00D43E4A">
            <w:pPr>
              <w:jc w:val="left"/>
            </w:pPr>
            <w:r>
              <w:t>GC 18(6) using GC 18(7)(a), (b) and (c)(ii)</w:t>
            </w:r>
          </w:p>
        </w:tc>
      </w:tr>
      <w:tr w:rsidR="00BA6547" w:rsidTr="00214E42">
        <w:tc>
          <w:tcPr>
            <w:tcW w:w="4418" w:type="dxa"/>
          </w:tcPr>
          <w:p w:rsidR="00BA6547" w:rsidRDefault="00CE3732" w:rsidP="00114329">
            <w:pPr>
              <w:jc w:val="left"/>
            </w:pPr>
            <w:r>
              <w:t xml:space="preserve">3. </w:t>
            </w:r>
            <w:r w:rsidR="00A21AB0">
              <w:t xml:space="preserve">Calculate </w:t>
            </w:r>
            <w:r w:rsidR="006D7748">
              <w:t xml:space="preserve">the </w:t>
            </w:r>
            <w:r w:rsidR="00A21AB0">
              <w:t>threshold fraction – proportion of third party debt with a term over 5 years</w:t>
            </w:r>
          </w:p>
        </w:tc>
        <w:tc>
          <w:tcPr>
            <w:tcW w:w="2027" w:type="dxa"/>
          </w:tcPr>
          <w:p w:rsidR="00BA6547" w:rsidRDefault="00A21AB0" w:rsidP="00D43E4A">
            <w:pPr>
              <w:jc w:val="left"/>
            </w:pPr>
            <w:r>
              <w:t>GC 18(5)(b)(i)</w:t>
            </w:r>
          </w:p>
        </w:tc>
        <w:tc>
          <w:tcPr>
            <w:tcW w:w="2027" w:type="dxa"/>
          </w:tcPr>
          <w:p w:rsidR="00BA6547" w:rsidRDefault="00A21AB0" w:rsidP="00D43E4A">
            <w:pPr>
              <w:jc w:val="left"/>
            </w:pPr>
            <w:r>
              <w:t>GC 18(5)(b)(ii)</w:t>
            </w:r>
          </w:p>
        </w:tc>
      </w:tr>
      <w:tr w:rsidR="00BA6547" w:rsidTr="00214E42">
        <w:tc>
          <w:tcPr>
            <w:tcW w:w="4418" w:type="dxa"/>
          </w:tcPr>
          <w:p w:rsidR="00D43E4A" w:rsidRDefault="00CE3732" w:rsidP="00114329">
            <w:pPr>
              <w:jc w:val="left"/>
            </w:pPr>
            <w:r>
              <w:t xml:space="preserve">4. </w:t>
            </w:r>
            <w:r w:rsidR="00A21AB0">
              <w:t>No adjustment is required if</w:t>
            </w:r>
            <w:r w:rsidR="00D43E4A">
              <w:t>:</w:t>
            </w:r>
            <w:r w:rsidR="00A21AB0">
              <w:t xml:space="preserve"> </w:t>
            </w:r>
          </w:p>
          <w:p w:rsidR="00D43E4A" w:rsidRDefault="00A21AB0" w:rsidP="00114329">
            <w:pPr>
              <w:pStyle w:val="ListParagraph"/>
              <w:numPr>
                <w:ilvl w:val="0"/>
                <w:numId w:val="16"/>
              </w:numPr>
              <w:jc w:val="left"/>
            </w:pPr>
            <w:r>
              <w:t xml:space="preserve">the </w:t>
            </w:r>
            <w:r w:rsidR="00D43E4A">
              <w:t xml:space="preserve">related party term is less than (or equal to) the threshold term; and </w:t>
            </w:r>
          </w:p>
          <w:p w:rsidR="00BA6547" w:rsidRDefault="00D43E4A" w:rsidP="00114329">
            <w:pPr>
              <w:pStyle w:val="ListParagraph"/>
              <w:numPr>
                <w:ilvl w:val="0"/>
                <w:numId w:val="16"/>
              </w:numPr>
              <w:jc w:val="left"/>
            </w:pPr>
            <w:r>
              <w:t>the proportion of related party debt with a term over 5 years is less than (or equal to) the threshold fraction</w:t>
            </w:r>
          </w:p>
        </w:tc>
        <w:tc>
          <w:tcPr>
            <w:tcW w:w="2027" w:type="dxa"/>
          </w:tcPr>
          <w:p w:rsidR="00BA6547" w:rsidRDefault="00D43E4A" w:rsidP="00D43E4A">
            <w:pPr>
              <w:jc w:val="left"/>
            </w:pPr>
            <w:r>
              <w:t>GC 18(5)(a)(i) and (b)(i)</w:t>
            </w:r>
          </w:p>
        </w:tc>
        <w:tc>
          <w:tcPr>
            <w:tcW w:w="2027" w:type="dxa"/>
          </w:tcPr>
          <w:p w:rsidR="00BA6547" w:rsidRDefault="00D43E4A" w:rsidP="00D43E4A">
            <w:pPr>
              <w:jc w:val="left"/>
            </w:pPr>
            <w:r>
              <w:t>GC 18(5)(a)(ii) and (b)(ii)</w:t>
            </w:r>
          </w:p>
        </w:tc>
      </w:tr>
      <w:tr w:rsidR="00BA6547" w:rsidTr="00214E42">
        <w:tc>
          <w:tcPr>
            <w:tcW w:w="4418" w:type="dxa"/>
          </w:tcPr>
          <w:p w:rsidR="00BA6547" w:rsidRDefault="00CE3732" w:rsidP="00114329">
            <w:pPr>
              <w:jc w:val="left"/>
            </w:pPr>
            <w:r>
              <w:t xml:space="preserve">5. </w:t>
            </w:r>
            <w:r w:rsidR="00D43E4A">
              <w:t>Term is adjusted to the threshold term if:</w:t>
            </w:r>
          </w:p>
          <w:p w:rsidR="00D43E4A" w:rsidRDefault="006D7748" w:rsidP="00114329">
            <w:pPr>
              <w:pStyle w:val="ListParagraph"/>
              <w:numPr>
                <w:ilvl w:val="0"/>
                <w:numId w:val="17"/>
              </w:numPr>
              <w:jc w:val="left"/>
            </w:pPr>
            <w:r>
              <w:t>t</w:t>
            </w:r>
            <w:r w:rsidR="00D43E4A">
              <w:t>he related party term is greater than the threshold term; and</w:t>
            </w:r>
          </w:p>
          <w:p w:rsidR="00D43E4A" w:rsidRDefault="006D7748" w:rsidP="00114329">
            <w:pPr>
              <w:pStyle w:val="ListParagraph"/>
              <w:numPr>
                <w:ilvl w:val="0"/>
                <w:numId w:val="17"/>
              </w:numPr>
              <w:jc w:val="left"/>
            </w:pPr>
            <w:r>
              <w:t>t</w:t>
            </w:r>
            <w:r w:rsidR="00D43E4A">
              <w:t>he proportion of related party debt with a term over 5 years is less than (or equal to) the threshold fraction; and</w:t>
            </w:r>
          </w:p>
          <w:p w:rsidR="00D43E4A" w:rsidRDefault="006D7748" w:rsidP="00114329">
            <w:pPr>
              <w:pStyle w:val="ListParagraph"/>
              <w:numPr>
                <w:ilvl w:val="0"/>
                <w:numId w:val="17"/>
              </w:numPr>
              <w:jc w:val="left"/>
            </w:pPr>
            <w:r>
              <w:t>r</w:t>
            </w:r>
            <w:r w:rsidR="00D43E4A">
              <w:t xml:space="preserve">elated party debt with a term </w:t>
            </w:r>
            <w:r w:rsidR="00114329">
              <w:t xml:space="preserve">over </w:t>
            </w:r>
            <w:r w:rsidR="00D43E4A">
              <w:t xml:space="preserve">5 years is less than 4 times third party debt with a term </w:t>
            </w:r>
            <w:r w:rsidR="00114329">
              <w:t xml:space="preserve">over </w:t>
            </w:r>
            <w:r w:rsidR="00D43E4A">
              <w:t>5 years.</w:t>
            </w:r>
          </w:p>
        </w:tc>
        <w:tc>
          <w:tcPr>
            <w:tcW w:w="2027" w:type="dxa"/>
          </w:tcPr>
          <w:p w:rsidR="00BA6547" w:rsidRDefault="00D43E4A" w:rsidP="00D43E4A">
            <w:pPr>
              <w:jc w:val="left"/>
            </w:pPr>
            <w:r>
              <w:t>GC 18(8)(a)(i), (a)(ii)</w:t>
            </w:r>
            <w:r w:rsidR="00114329">
              <w:t xml:space="preserve"> and (b)(ii)</w:t>
            </w:r>
          </w:p>
        </w:tc>
        <w:tc>
          <w:tcPr>
            <w:tcW w:w="2027" w:type="dxa"/>
          </w:tcPr>
          <w:p w:rsidR="00BA6547" w:rsidRDefault="00114329" w:rsidP="00D43E4A">
            <w:pPr>
              <w:jc w:val="left"/>
            </w:pPr>
            <w:r>
              <w:t>GC 18(8)(a)(i), (a)(ii) and (b)(iii)</w:t>
            </w:r>
          </w:p>
        </w:tc>
      </w:tr>
      <w:tr w:rsidR="00114329" w:rsidTr="00214E42">
        <w:tc>
          <w:tcPr>
            <w:tcW w:w="4418" w:type="dxa"/>
          </w:tcPr>
          <w:p w:rsidR="00114329" w:rsidRDefault="00CE3732" w:rsidP="00114329">
            <w:pPr>
              <w:jc w:val="left"/>
            </w:pPr>
            <w:r>
              <w:t xml:space="preserve">6. </w:t>
            </w:r>
            <w:r w:rsidR="00114329">
              <w:t>Term is adjusted to 5 years if:</w:t>
            </w:r>
          </w:p>
          <w:p w:rsidR="00114329" w:rsidRDefault="006D7748" w:rsidP="00114329">
            <w:pPr>
              <w:pStyle w:val="ListParagraph"/>
              <w:numPr>
                <w:ilvl w:val="0"/>
                <w:numId w:val="18"/>
              </w:numPr>
              <w:jc w:val="left"/>
            </w:pPr>
            <w:r>
              <w:t>t</w:t>
            </w:r>
            <w:r w:rsidR="00114329">
              <w:t>he proportion of related party debt with a term over 5 years is greater than the threshold term; or</w:t>
            </w:r>
          </w:p>
          <w:p w:rsidR="00114329" w:rsidRDefault="006D7748" w:rsidP="00114329">
            <w:pPr>
              <w:pStyle w:val="ListParagraph"/>
              <w:numPr>
                <w:ilvl w:val="0"/>
                <w:numId w:val="18"/>
              </w:numPr>
              <w:jc w:val="left"/>
            </w:pPr>
            <w:r>
              <w:t>r</w:t>
            </w:r>
            <w:r w:rsidR="00114329">
              <w:t>elated party debt with a term over 5 years is (equal to or) more than 4 times third party debt with a term over 5 years</w:t>
            </w:r>
          </w:p>
        </w:tc>
        <w:tc>
          <w:tcPr>
            <w:tcW w:w="2027" w:type="dxa"/>
          </w:tcPr>
          <w:p w:rsidR="00114329" w:rsidRDefault="00114329" w:rsidP="00D43E4A">
            <w:pPr>
              <w:jc w:val="left"/>
            </w:pPr>
            <w:r>
              <w:t>GC 18(8)(b)(i) or (b)(ii)</w:t>
            </w:r>
          </w:p>
        </w:tc>
        <w:tc>
          <w:tcPr>
            <w:tcW w:w="2027" w:type="dxa"/>
          </w:tcPr>
          <w:p w:rsidR="00114329" w:rsidRDefault="00114329" w:rsidP="00D43E4A">
            <w:pPr>
              <w:jc w:val="left"/>
            </w:pPr>
            <w:r>
              <w:t>GC 18(8)(b)(i) or (b)(iii)</w:t>
            </w:r>
          </w:p>
        </w:tc>
      </w:tr>
    </w:tbl>
    <w:p w:rsidR="00A11821" w:rsidRDefault="00A11821" w:rsidP="00192B65"/>
    <w:p w:rsidR="00B30C33" w:rsidRDefault="00B30C33">
      <w:r>
        <w:br w:type="page"/>
      </w:r>
    </w:p>
    <w:tbl>
      <w:tblPr>
        <w:tblStyle w:val="TableGrid"/>
        <w:tblW w:w="0" w:type="auto"/>
        <w:tblLook w:val="04A0" w:firstRow="1" w:lastRow="0" w:firstColumn="1" w:lastColumn="0" w:noHBand="0" w:noVBand="1"/>
      </w:tblPr>
      <w:tblGrid>
        <w:gridCol w:w="8528"/>
      </w:tblGrid>
      <w:tr w:rsidR="00D41102" w:rsidTr="00B30C33">
        <w:tc>
          <w:tcPr>
            <w:tcW w:w="8528" w:type="dxa"/>
            <w:tcBorders>
              <w:top w:val="nil"/>
              <w:left w:val="nil"/>
              <w:bottom w:val="nil"/>
              <w:right w:val="nil"/>
            </w:tcBorders>
          </w:tcPr>
          <w:p w:rsidR="00D41102" w:rsidRPr="00BC5FFF" w:rsidRDefault="00B30C33" w:rsidP="00D41102">
            <w:pPr>
              <w:rPr>
                <w:b/>
                <w:sz w:val="20"/>
              </w:rPr>
            </w:pPr>
            <w:r>
              <w:rPr>
                <w:b/>
                <w:noProof/>
                <w:sz w:val="20"/>
                <w:lang w:val="en-NZ" w:eastAsia="en-NZ"/>
              </w:rPr>
              <mc:AlternateContent>
                <mc:Choice Requires="wps">
                  <w:drawing>
                    <wp:anchor distT="0" distB="0" distL="114300" distR="114300" simplePos="0" relativeHeight="251664895" behindDoc="1" locked="0" layoutInCell="1" allowOverlap="1" wp14:anchorId="522FF331" wp14:editId="14917738">
                      <wp:simplePos x="0" y="0"/>
                      <wp:positionH relativeFrom="column">
                        <wp:posOffset>-124282</wp:posOffset>
                      </wp:positionH>
                      <wp:positionV relativeFrom="paragraph">
                        <wp:posOffset>-52629</wp:posOffset>
                      </wp:positionV>
                      <wp:extent cx="5537606" cy="8866023"/>
                      <wp:effectExtent l="0" t="0" r="25400" b="11430"/>
                      <wp:wrapNone/>
                      <wp:docPr id="5" name="Rectangle 5"/>
                      <wp:cNvGraphicFramePr/>
                      <a:graphic xmlns:a="http://schemas.openxmlformats.org/drawingml/2006/main">
                        <a:graphicData uri="http://schemas.microsoft.com/office/word/2010/wordprocessingShape">
                          <wps:wsp>
                            <wps:cNvSpPr/>
                            <wps:spPr>
                              <a:xfrm>
                                <a:off x="0" y="0"/>
                                <a:ext cx="5537606" cy="886602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F290D" id="Rectangle 5" o:spid="_x0000_s1026" style="position:absolute;margin-left:-9.8pt;margin-top:-4.15pt;width:436.05pt;height:698.1pt;z-index:-2516515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" fillcolor="white [3201]" strokecolor="black [3200]"/>
                  </w:pict>
                </mc:Fallback>
              </mc:AlternateContent>
            </w:r>
            <w:r w:rsidR="00D41102" w:rsidRPr="00BC5FFF">
              <w:rPr>
                <w:b/>
                <w:sz w:val="20"/>
              </w:rPr>
              <w:t>Example</w:t>
            </w:r>
            <w:r w:rsidR="00214E42">
              <w:rPr>
                <w:b/>
                <w:sz w:val="20"/>
              </w:rPr>
              <w:t xml:space="preserve"> </w:t>
            </w:r>
            <w:r w:rsidR="00507AB5">
              <w:rPr>
                <w:b/>
                <w:sz w:val="20"/>
              </w:rPr>
              <w:t>4</w:t>
            </w:r>
          </w:p>
          <w:p w:rsidR="00D41102" w:rsidRDefault="00D41102" w:rsidP="00D41102">
            <w:pPr>
              <w:rPr>
                <w:sz w:val="20"/>
              </w:rPr>
            </w:pPr>
          </w:p>
          <w:p w:rsidR="00D41102" w:rsidRDefault="00D41102" w:rsidP="00D41102">
            <w:pPr>
              <w:rPr>
                <w:sz w:val="20"/>
              </w:rPr>
            </w:pPr>
            <w:r>
              <w:rPr>
                <w:sz w:val="20"/>
              </w:rPr>
              <w:t>Foreign Parent Ltd has debt from third parties of the following amounts and terms:</w:t>
            </w:r>
          </w:p>
          <w:p w:rsidR="00D41102" w:rsidRDefault="00D41102" w:rsidP="00D41102">
            <w:pPr>
              <w:rPr>
                <w:sz w:val="20"/>
              </w:rPr>
            </w:pPr>
          </w:p>
          <w:tbl>
            <w:tblPr>
              <w:tblStyle w:val="TableGrid"/>
              <w:tblW w:w="0" w:type="auto"/>
              <w:jc w:val="center"/>
              <w:tblLook w:val="04A0" w:firstRow="1" w:lastRow="0" w:firstColumn="1" w:lastColumn="0" w:noHBand="0" w:noVBand="1"/>
            </w:tblPr>
            <w:tblGrid>
              <w:gridCol w:w="753"/>
              <w:gridCol w:w="1275"/>
              <w:gridCol w:w="2127"/>
            </w:tblGrid>
            <w:tr w:rsidR="00D41102" w:rsidTr="00DD5B3B">
              <w:trPr>
                <w:jc w:val="center"/>
              </w:trPr>
              <w:tc>
                <w:tcPr>
                  <w:tcW w:w="753" w:type="dxa"/>
                </w:tcPr>
                <w:p w:rsidR="00D41102" w:rsidRPr="003E48C4" w:rsidRDefault="00D41102" w:rsidP="00DD5B3B">
                  <w:pPr>
                    <w:rPr>
                      <w:b/>
                      <w:sz w:val="20"/>
                    </w:rPr>
                  </w:pPr>
                  <w:r>
                    <w:rPr>
                      <w:b/>
                      <w:sz w:val="20"/>
                    </w:rPr>
                    <w:t>Loan</w:t>
                  </w:r>
                </w:p>
              </w:tc>
              <w:tc>
                <w:tcPr>
                  <w:tcW w:w="1275" w:type="dxa"/>
                </w:tcPr>
                <w:p w:rsidR="00D41102" w:rsidRPr="003E48C4" w:rsidRDefault="00D41102" w:rsidP="00DD5B3B">
                  <w:pPr>
                    <w:rPr>
                      <w:b/>
                      <w:sz w:val="20"/>
                    </w:rPr>
                  </w:pPr>
                  <w:r w:rsidRPr="003E48C4">
                    <w:rPr>
                      <w:b/>
                      <w:sz w:val="20"/>
                    </w:rPr>
                    <w:t>Principal</w:t>
                  </w:r>
                </w:p>
              </w:tc>
              <w:tc>
                <w:tcPr>
                  <w:tcW w:w="2127" w:type="dxa"/>
                </w:tcPr>
                <w:p w:rsidR="00D41102" w:rsidRPr="003E48C4" w:rsidRDefault="00D41102" w:rsidP="00DD5B3B">
                  <w:pPr>
                    <w:rPr>
                      <w:b/>
                      <w:sz w:val="20"/>
                    </w:rPr>
                  </w:pPr>
                  <w:r w:rsidRPr="003E48C4">
                    <w:rPr>
                      <w:b/>
                      <w:sz w:val="20"/>
                    </w:rPr>
                    <w:t>Original term at issue</w:t>
                  </w:r>
                </w:p>
              </w:tc>
            </w:tr>
            <w:tr w:rsidR="00D41102" w:rsidTr="00DD5B3B">
              <w:trPr>
                <w:jc w:val="center"/>
              </w:trPr>
              <w:tc>
                <w:tcPr>
                  <w:tcW w:w="753" w:type="dxa"/>
                </w:tcPr>
                <w:p w:rsidR="00D41102" w:rsidRDefault="00D41102" w:rsidP="00DD5B3B">
                  <w:pPr>
                    <w:jc w:val="center"/>
                    <w:rPr>
                      <w:sz w:val="20"/>
                    </w:rPr>
                  </w:pPr>
                  <w:r>
                    <w:rPr>
                      <w:sz w:val="20"/>
                    </w:rPr>
                    <w:t>#1</w:t>
                  </w:r>
                </w:p>
              </w:tc>
              <w:tc>
                <w:tcPr>
                  <w:tcW w:w="1275" w:type="dxa"/>
                </w:tcPr>
                <w:p w:rsidR="00D41102" w:rsidRDefault="00D41102" w:rsidP="00DD5B3B">
                  <w:pPr>
                    <w:jc w:val="center"/>
                    <w:rPr>
                      <w:sz w:val="20"/>
                    </w:rPr>
                  </w:pPr>
                  <w:r>
                    <w:rPr>
                      <w:sz w:val="20"/>
                    </w:rPr>
                    <w:t>$70 million</w:t>
                  </w:r>
                </w:p>
              </w:tc>
              <w:tc>
                <w:tcPr>
                  <w:tcW w:w="2127" w:type="dxa"/>
                </w:tcPr>
                <w:p w:rsidR="00D41102" w:rsidRDefault="00D41102" w:rsidP="00DD5B3B">
                  <w:pPr>
                    <w:jc w:val="center"/>
                    <w:rPr>
                      <w:sz w:val="20"/>
                    </w:rPr>
                  </w:pPr>
                  <w:r>
                    <w:rPr>
                      <w:sz w:val="20"/>
                    </w:rPr>
                    <w:t>Less than 5 years</w:t>
                  </w:r>
                </w:p>
              </w:tc>
            </w:tr>
            <w:tr w:rsidR="00D41102" w:rsidTr="00DD5B3B">
              <w:trPr>
                <w:jc w:val="center"/>
              </w:trPr>
              <w:tc>
                <w:tcPr>
                  <w:tcW w:w="753" w:type="dxa"/>
                </w:tcPr>
                <w:p w:rsidR="00D41102" w:rsidRDefault="00D41102" w:rsidP="00DD5B3B">
                  <w:pPr>
                    <w:jc w:val="center"/>
                    <w:rPr>
                      <w:sz w:val="20"/>
                    </w:rPr>
                  </w:pPr>
                  <w:r>
                    <w:rPr>
                      <w:sz w:val="20"/>
                    </w:rPr>
                    <w:t>#2</w:t>
                  </w:r>
                </w:p>
              </w:tc>
              <w:tc>
                <w:tcPr>
                  <w:tcW w:w="1275" w:type="dxa"/>
                </w:tcPr>
                <w:p w:rsidR="00D41102" w:rsidRDefault="00D41102" w:rsidP="00DD5B3B">
                  <w:pPr>
                    <w:jc w:val="center"/>
                    <w:rPr>
                      <w:sz w:val="20"/>
                    </w:rPr>
                  </w:pPr>
                  <w:r>
                    <w:rPr>
                      <w:sz w:val="20"/>
                    </w:rPr>
                    <w:t>$10 million</w:t>
                  </w:r>
                </w:p>
              </w:tc>
              <w:tc>
                <w:tcPr>
                  <w:tcW w:w="2127" w:type="dxa"/>
                </w:tcPr>
                <w:p w:rsidR="00D41102" w:rsidRDefault="00D41102" w:rsidP="00DD5B3B">
                  <w:pPr>
                    <w:jc w:val="center"/>
                    <w:rPr>
                      <w:sz w:val="20"/>
                    </w:rPr>
                  </w:pPr>
                  <w:r>
                    <w:rPr>
                      <w:sz w:val="20"/>
                    </w:rPr>
                    <w:t>7 years</w:t>
                  </w:r>
                </w:p>
              </w:tc>
            </w:tr>
            <w:tr w:rsidR="00D41102" w:rsidTr="00DD5B3B">
              <w:trPr>
                <w:jc w:val="center"/>
              </w:trPr>
              <w:tc>
                <w:tcPr>
                  <w:tcW w:w="753" w:type="dxa"/>
                  <w:tcBorders>
                    <w:bottom w:val="single" w:sz="4" w:space="0" w:color="auto"/>
                  </w:tcBorders>
                </w:tcPr>
                <w:p w:rsidR="00D41102" w:rsidRDefault="00D41102" w:rsidP="00DD5B3B">
                  <w:pPr>
                    <w:jc w:val="center"/>
                    <w:rPr>
                      <w:sz w:val="20"/>
                    </w:rPr>
                  </w:pPr>
                  <w:r>
                    <w:rPr>
                      <w:sz w:val="20"/>
                    </w:rPr>
                    <w:t>#3</w:t>
                  </w:r>
                </w:p>
              </w:tc>
              <w:tc>
                <w:tcPr>
                  <w:tcW w:w="1275" w:type="dxa"/>
                  <w:tcBorders>
                    <w:bottom w:val="single" w:sz="4" w:space="0" w:color="auto"/>
                  </w:tcBorders>
                </w:tcPr>
                <w:p w:rsidR="00D41102" w:rsidRDefault="00D41102" w:rsidP="00DD5B3B">
                  <w:pPr>
                    <w:jc w:val="center"/>
                    <w:rPr>
                      <w:sz w:val="20"/>
                    </w:rPr>
                  </w:pPr>
                  <w:r>
                    <w:rPr>
                      <w:sz w:val="20"/>
                    </w:rPr>
                    <w:t>$10 million</w:t>
                  </w:r>
                </w:p>
              </w:tc>
              <w:tc>
                <w:tcPr>
                  <w:tcW w:w="2127" w:type="dxa"/>
                  <w:tcBorders>
                    <w:bottom w:val="single" w:sz="4" w:space="0" w:color="auto"/>
                  </w:tcBorders>
                </w:tcPr>
                <w:p w:rsidR="00D41102" w:rsidRDefault="00D41102" w:rsidP="00DD5B3B">
                  <w:pPr>
                    <w:jc w:val="center"/>
                    <w:rPr>
                      <w:sz w:val="20"/>
                    </w:rPr>
                  </w:pPr>
                  <w:r>
                    <w:rPr>
                      <w:sz w:val="20"/>
                    </w:rPr>
                    <w:t>9 years</w:t>
                  </w:r>
                </w:p>
              </w:tc>
            </w:tr>
            <w:tr w:rsidR="00D41102" w:rsidTr="00DD5B3B">
              <w:trPr>
                <w:jc w:val="center"/>
              </w:trPr>
              <w:tc>
                <w:tcPr>
                  <w:tcW w:w="753" w:type="dxa"/>
                  <w:tcBorders>
                    <w:bottom w:val="double" w:sz="4" w:space="0" w:color="auto"/>
                  </w:tcBorders>
                </w:tcPr>
                <w:p w:rsidR="00D41102" w:rsidRDefault="00D41102" w:rsidP="00DD5B3B">
                  <w:pPr>
                    <w:jc w:val="center"/>
                    <w:rPr>
                      <w:sz w:val="20"/>
                    </w:rPr>
                  </w:pPr>
                  <w:r>
                    <w:rPr>
                      <w:sz w:val="20"/>
                    </w:rPr>
                    <w:t>#4</w:t>
                  </w:r>
                </w:p>
              </w:tc>
              <w:tc>
                <w:tcPr>
                  <w:tcW w:w="1275" w:type="dxa"/>
                  <w:tcBorders>
                    <w:bottom w:val="double" w:sz="4" w:space="0" w:color="auto"/>
                  </w:tcBorders>
                </w:tcPr>
                <w:p w:rsidR="00D41102" w:rsidRDefault="00D41102" w:rsidP="00DD5B3B">
                  <w:pPr>
                    <w:jc w:val="center"/>
                    <w:rPr>
                      <w:sz w:val="20"/>
                    </w:rPr>
                  </w:pPr>
                  <w:r>
                    <w:rPr>
                      <w:sz w:val="20"/>
                    </w:rPr>
                    <w:t>$10 million</w:t>
                  </w:r>
                </w:p>
              </w:tc>
              <w:tc>
                <w:tcPr>
                  <w:tcW w:w="2127" w:type="dxa"/>
                  <w:tcBorders>
                    <w:bottom w:val="double" w:sz="4" w:space="0" w:color="auto"/>
                  </w:tcBorders>
                </w:tcPr>
                <w:p w:rsidR="00D41102" w:rsidRDefault="00D41102" w:rsidP="00DD5B3B">
                  <w:pPr>
                    <w:jc w:val="center"/>
                    <w:rPr>
                      <w:sz w:val="20"/>
                    </w:rPr>
                  </w:pPr>
                  <w:r>
                    <w:rPr>
                      <w:sz w:val="20"/>
                    </w:rPr>
                    <w:t>11 years</w:t>
                  </w:r>
                </w:p>
              </w:tc>
            </w:tr>
            <w:tr w:rsidR="00D41102" w:rsidTr="00DD5B3B">
              <w:trPr>
                <w:jc w:val="center"/>
              </w:trPr>
              <w:tc>
                <w:tcPr>
                  <w:tcW w:w="753" w:type="dxa"/>
                  <w:tcBorders>
                    <w:top w:val="double" w:sz="4" w:space="0" w:color="auto"/>
                  </w:tcBorders>
                </w:tcPr>
                <w:p w:rsidR="00D41102" w:rsidRDefault="00D41102" w:rsidP="00DD5B3B">
                  <w:pPr>
                    <w:jc w:val="center"/>
                    <w:rPr>
                      <w:sz w:val="20"/>
                    </w:rPr>
                  </w:pPr>
                  <w:r>
                    <w:rPr>
                      <w:sz w:val="20"/>
                    </w:rPr>
                    <w:t>Total</w:t>
                  </w:r>
                </w:p>
              </w:tc>
              <w:tc>
                <w:tcPr>
                  <w:tcW w:w="1275" w:type="dxa"/>
                  <w:tcBorders>
                    <w:top w:val="double" w:sz="4" w:space="0" w:color="auto"/>
                  </w:tcBorders>
                </w:tcPr>
                <w:p w:rsidR="00D41102" w:rsidRDefault="00D41102" w:rsidP="00DD5B3B">
                  <w:pPr>
                    <w:jc w:val="center"/>
                    <w:rPr>
                      <w:sz w:val="20"/>
                    </w:rPr>
                  </w:pPr>
                  <w:r>
                    <w:rPr>
                      <w:sz w:val="20"/>
                    </w:rPr>
                    <w:t>$100 million</w:t>
                  </w:r>
                </w:p>
              </w:tc>
              <w:tc>
                <w:tcPr>
                  <w:tcW w:w="2127" w:type="dxa"/>
                  <w:tcBorders>
                    <w:top w:val="double" w:sz="4" w:space="0" w:color="auto"/>
                  </w:tcBorders>
                </w:tcPr>
                <w:p w:rsidR="00D41102" w:rsidRDefault="00D41102" w:rsidP="00DD5B3B">
                  <w:pPr>
                    <w:jc w:val="center"/>
                    <w:rPr>
                      <w:sz w:val="20"/>
                    </w:rPr>
                  </w:pPr>
                </w:p>
              </w:tc>
            </w:tr>
          </w:tbl>
          <w:p w:rsidR="00D41102" w:rsidRDefault="00D41102" w:rsidP="00D41102">
            <w:pPr>
              <w:rPr>
                <w:sz w:val="20"/>
              </w:rPr>
            </w:pPr>
          </w:p>
          <w:p w:rsidR="00D41102" w:rsidRDefault="00D41102" w:rsidP="00D41102">
            <w:pPr>
              <w:rPr>
                <w:sz w:val="20"/>
              </w:rPr>
            </w:pPr>
            <w:r>
              <w:rPr>
                <w:sz w:val="20"/>
              </w:rPr>
              <w:t>The threshold term under section GC 18(</w:t>
            </w:r>
            <w:r w:rsidR="00D20E81">
              <w:rPr>
                <w:sz w:val="20"/>
              </w:rPr>
              <w:t>5</w:t>
            </w:r>
            <w:r>
              <w:rPr>
                <w:sz w:val="20"/>
              </w:rPr>
              <w:t>)(a)(i) is 9 years</w:t>
            </w:r>
            <w:r w:rsidR="00CE3732">
              <w:rPr>
                <w:sz w:val="20"/>
              </w:rPr>
              <w:t>,</w:t>
            </w:r>
            <w:r>
              <w:rPr>
                <w:sz w:val="20"/>
              </w:rPr>
              <w:t xml:space="preserve"> which is calculated under section GC 18(</w:t>
            </w:r>
            <w:r w:rsidR="00D20E81">
              <w:rPr>
                <w:sz w:val="20"/>
              </w:rPr>
              <w:t>6</w:t>
            </w:r>
            <w:r>
              <w:rPr>
                <w:sz w:val="20"/>
              </w:rPr>
              <w:t>) as:</w:t>
            </w:r>
          </w:p>
          <w:p w:rsidR="00214E42" w:rsidRDefault="00214E42" w:rsidP="00D41102">
            <w:pPr>
              <w:rPr>
                <w:sz w:val="20"/>
              </w:rPr>
            </w:pPr>
          </w:p>
          <w:p w:rsidR="00D41102" w:rsidRDefault="00D41102" w:rsidP="00D41102">
            <w:pPr>
              <w:rPr>
                <w:sz w:val="20"/>
              </w:rPr>
            </w:pPr>
          </w:p>
          <w:tbl>
            <w:tblPr>
              <w:tblStyle w:val="TableGrid"/>
              <w:tblW w:w="0" w:type="auto"/>
              <w:jc w:val="center"/>
              <w:tblLook w:val="04A0" w:firstRow="1" w:lastRow="0" w:firstColumn="1" w:lastColumn="0" w:noHBand="0" w:noVBand="1"/>
            </w:tblPr>
            <w:tblGrid>
              <w:gridCol w:w="675"/>
              <w:gridCol w:w="993"/>
              <w:gridCol w:w="1275"/>
              <w:gridCol w:w="1692"/>
              <w:gridCol w:w="1701"/>
            </w:tblGrid>
            <w:tr w:rsidR="00D41102" w:rsidTr="00DD5B3B">
              <w:trPr>
                <w:jc w:val="center"/>
              </w:trPr>
              <w:tc>
                <w:tcPr>
                  <w:tcW w:w="675" w:type="dxa"/>
                </w:tcPr>
                <w:p w:rsidR="00D41102" w:rsidRPr="008C6E94" w:rsidRDefault="00D41102" w:rsidP="00DD5B3B">
                  <w:pPr>
                    <w:rPr>
                      <w:b/>
                      <w:sz w:val="20"/>
                    </w:rPr>
                  </w:pPr>
                  <w:r w:rsidRPr="008C6E94">
                    <w:rPr>
                      <w:b/>
                      <w:sz w:val="20"/>
                    </w:rPr>
                    <w:t>Loan</w:t>
                  </w:r>
                </w:p>
              </w:tc>
              <w:tc>
                <w:tcPr>
                  <w:tcW w:w="993" w:type="dxa"/>
                </w:tcPr>
                <w:p w:rsidR="00D41102" w:rsidRPr="008C6E94" w:rsidRDefault="00D41102" w:rsidP="00DD5B3B">
                  <w:pPr>
                    <w:rPr>
                      <w:b/>
                      <w:sz w:val="20"/>
                    </w:rPr>
                  </w:pPr>
                  <w:r w:rsidRPr="008C6E94">
                    <w:rPr>
                      <w:b/>
                      <w:sz w:val="20"/>
                    </w:rPr>
                    <w:t>Term</w:t>
                  </w:r>
                </w:p>
              </w:tc>
              <w:tc>
                <w:tcPr>
                  <w:tcW w:w="1275" w:type="dxa"/>
                </w:tcPr>
                <w:p w:rsidR="00D41102" w:rsidRPr="008C6E94" w:rsidRDefault="00D41102" w:rsidP="00DD5B3B">
                  <w:pPr>
                    <w:rPr>
                      <w:b/>
                      <w:sz w:val="20"/>
                    </w:rPr>
                  </w:pPr>
                  <w:r w:rsidRPr="008C6E94">
                    <w:rPr>
                      <w:b/>
                      <w:sz w:val="20"/>
                    </w:rPr>
                    <w:t>Term Debt</w:t>
                  </w:r>
                </w:p>
              </w:tc>
              <w:tc>
                <w:tcPr>
                  <w:tcW w:w="1692" w:type="dxa"/>
                </w:tcPr>
                <w:p w:rsidR="00D41102" w:rsidRPr="008C6E94" w:rsidRDefault="00D41102" w:rsidP="00DD5B3B">
                  <w:pPr>
                    <w:rPr>
                      <w:b/>
                      <w:sz w:val="20"/>
                    </w:rPr>
                  </w:pPr>
                  <w:r>
                    <w:rPr>
                      <w:b/>
                      <w:sz w:val="20"/>
                    </w:rPr>
                    <w:t>Long-term</w:t>
                  </w:r>
                  <w:r w:rsidRPr="008C6E94">
                    <w:rPr>
                      <w:b/>
                      <w:sz w:val="20"/>
                    </w:rPr>
                    <w:t xml:space="preserve"> Debt</w:t>
                  </w:r>
                </w:p>
              </w:tc>
              <w:tc>
                <w:tcPr>
                  <w:tcW w:w="1701" w:type="dxa"/>
                </w:tcPr>
                <w:p w:rsidR="00D41102" w:rsidRPr="008C6E94" w:rsidRDefault="00D41102" w:rsidP="00DD5B3B">
                  <w:pPr>
                    <w:rPr>
                      <w:b/>
                      <w:sz w:val="20"/>
                    </w:rPr>
                  </w:pPr>
                  <w:r w:rsidRPr="008C6E94">
                    <w:rPr>
                      <w:b/>
                      <w:sz w:val="20"/>
                    </w:rPr>
                    <w:t>Threshold Term</w:t>
                  </w:r>
                </w:p>
              </w:tc>
            </w:tr>
            <w:tr w:rsidR="00D41102" w:rsidTr="00DD5B3B">
              <w:trPr>
                <w:jc w:val="center"/>
              </w:trPr>
              <w:tc>
                <w:tcPr>
                  <w:tcW w:w="675" w:type="dxa"/>
                </w:tcPr>
                <w:p w:rsidR="00D41102" w:rsidRDefault="00D41102" w:rsidP="00DD5B3B">
                  <w:pPr>
                    <w:jc w:val="center"/>
                    <w:rPr>
                      <w:sz w:val="20"/>
                    </w:rPr>
                  </w:pPr>
                  <w:r>
                    <w:rPr>
                      <w:sz w:val="20"/>
                    </w:rPr>
                    <w:t>#2</w:t>
                  </w:r>
                </w:p>
              </w:tc>
              <w:tc>
                <w:tcPr>
                  <w:tcW w:w="993" w:type="dxa"/>
                </w:tcPr>
                <w:p w:rsidR="00D41102" w:rsidRDefault="00D41102" w:rsidP="00DD5B3B">
                  <w:pPr>
                    <w:jc w:val="center"/>
                    <w:rPr>
                      <w:sz w:val="20"/>
                    </w:rPr>
                  </w:pPr>
                  <w:r>
                    <w:rPr>
                      <w:sz w:val="20"/>
                    </w:rPr>
                    <w:t>7 years</w:t>
                  </w:r>
                </w:p>
              </w:tc>
              <w:tc>
                <w:tcPr>
                  <w:tcW w:w="1275" w:type="dxa"/>
                </w:tcPr>
                <w:p w:rsidR="00D41102" w:rsidRDefault="00D41102" w:rsidP="00DD5B3B">
                  <w:pPr>
                    <w:jc w:val="center"/>
                    <w:rPr>
                      <w:sz w:val="20"/>
                    </w:rPr>
                  </w:pPr>
                  <w:r>
                    <w:rPr>
                      <w:sz w:val="20"/>
                    </w:rPr>
                    <w:t>$10 million</w:t>
                  </w:r>
                </w:p>
              </w:tc>
              <w:tc>
                <w:tcPr>
                  <w:tcW w:w="1692" w:type="dxa"/>
                </w:tcPr>
                <w:p w:rsidR="00D41102" w:rsidRDefault="00D41102" w:rsidP="00DD5B3B">
                  <w:pPr>
                    <w:jc w:val="center"/>
                    <w:rPr>
                      <w:sz w:val="20"/>
                    </w:rPr>
                  </w:pPr>
                  <w:r>
                    <w:rPr>
                      <w:sz w:val="20"/>
                    </w:rPr>
                    <w:t>$30 million</w:t>
                  </w:r>
                </w:p>
              </w:tc>
              <w:tc>
                <w:tcPr>
                  <w:tcW w:w="1701" w:type="dxa"/>
                </w:tcPr>
                <w:p w:rsidR="00D41102" w:rsidRDefault="00D41102" w:rsidP="00DD5B3B">
                  <w:pPr>
                    <w:jc w:val="center"/>
                    <w:rPr>
                      <w:sz w:val="20"/>
                    </w:rPr>
                  </w:pPr>
                  <w:r>
                    <w:rPr>
                      <w:sz w:val="20"/>
                    </w:rPr>
                    <w:t>2.3 years</w:t>
                  </w:r>
                </w:p>
              </w:tc>
            </w:tr>
            <w:tr w:rsidR="00D41102" w:rsidTr="00DD5B3B">
              <w:trPr>
                <w:jc w:val="center"/>
              </w:trPr>
              <w:tc>
                <w:tcPr>
                  <w:tcW w:w="675" w:type="dxa"/>
                  <w:tcBorders>
                    <w:bottom w:val="single" w:sz="4" w:space="0" w:color="auto"/>
                  </w:tcBorders>
                </w:tcPr>
                <w:p w:rsidR="00D41102" w:rsidRDefault="00D41102" w:rsidP="00DD5B3B">
                  <w:pPr>
                    <w:jc w:val="center"/>
                    <w:rPr>
                      <w:sz w:val="20"/>
                    </w:rPr>
                  </w:pPr>
                  <w:r>
                    <w:rPr>
                      <w:sz w:val="20"/>
                    </w:rPr>
                    <w:t>#3</w:t>
                  </w:r>
                </w:p>
              </w:tc>
              <w:tc>
                <w:tcPr>
                  <w:tcW w:w="993" w:type="dxa"/>
                  <w:tcBorders>
                    <w:bottom w:val="single" w:sz="4" w:space="0" w:color="auto"/>
                  </w:tcBorders>
                </w:tcPr>
                <w:p w:rsidR="00D41102" w:rsidRDefault="00D41102" w:rsidP="00DD5B3B">
                  <w:pPr>
                    <w:jc w:val="center"/>
                    <w:rPr>
                      <w:sz w:val="20"/>
                    </w:rPr>
                  </w:pPr>
                  <w:r>
                    <w:rPr>
                      <w:sz w:val="20"/>
                    </w:rPr>
                    <w:t>9 years</w:t>
                  </w:r>
                </w:p>
              </w:tc>
              <w:tc>
                <w:tcPr>
                  <w:tcW w:w="1275" w:type="dxa"/>
                  <w:tcBorders>
                    <w:bottom w:val="single" w:sz="4" w:space="0" w:color="auto"/>
                  </w:tcBorders>
                </w:tcPr>
                <w:p w:rsidR="00D41102" w:rsidRDefault="00D41102" w:rsidP="00DD5B3B">
                  <w:pPr>
                    <w:jc w:val="center"/>
                    <w:rPr>
                      <w:sz w:val="20"/>
                    </w:rPr>
                  </w:pPr>
                  <w:r>
                    <w:rPr>
                      <w:sz w:val="20"/>
                    </w:rPr>
                    <w:t>$10 million</w:t>
                  </w:r>
                </w:p>
              </w:tc>
              <w:tc>
                <w:tcPr>
                  <w:tcW w:w="1692" w:type="dxa"/>
                  <w:tcBorders>
                    <w:bottom w:val="single" w:sz="4" w:space="0" w:color="auto"/>
                  </w:tcBorders>
                </w:tcPr>
                <w:p w:rsidR="00D41102" w:rsidRDefault="00D41102" w:rsidP="00DD5B3B">
                  <w:pPr>
                    <w:jc w:val="center"/>
                    <w:rPr>
                      <w:sz w:val="20"/>
                    </w:rPr>
                  </w:pPr>
                  <w:r>
                    <w:rPr>
                      <w:sz w:val="20"/>
                    </w:rPr>
                    <w:t>$30 million</w:t>
                  </w:r>
                </w:p>
              </w:tc>
              <w:tc>
                <w:tcPr>
                  <w:tcW w:w="1701" w:type="dxa"/>
                  <w:tcBorders>
                    <w:bottom w:val="single" w:sz="4" w:space="0" w:color="auto"/>
                  </w:tcBorders>
                </w:tcPr>
                <w:p w:rsidR="00D41102" w:rsidRDefault="00D41102" w:rsidP="00DD5B3B">
                  <w:pPr>
                    <w:jc w:val="center"/>
                    <w:rPr>
                      <w:sz w:val="20"/>
                    </w:rPr>
                  </w:pPr>
                  <w:r>
                    <w:rPr>
                      <w:sz w:val="20"/>
                    </w:rPr>
                    <w:t>3.0 years</w:t>
                  </w:r>
                </w:p>
              </w:tc>
            </w:tr>
            <w:tr w:rsidR="00D41102" w:rsidTr="00DD5B3B">
              <w:trPr>
                <w:jc w:val="center"/>
              </w:trPr>
              <w:tc>
                <w:tcPr>
                  <w:tcW w:w="675" w:type="dxa"/>
                  <w:tcBorders>
                    <w:bottom w:val="double" w:sz="4" w:space="0" w:color="auto"/>
                  </w:tcBorders>
                </w:tcPr>
                <w:p w:rsidR="00D41102" w:rsidRDefault="00D41102" w:rsidP="00DD5B3B">
                  <w:pPr>
                    <w:jc w:val="center"/>
                    <w:rPr>
                      <w:sz w:val="20"/>
                    </w:rPr>
                  </w:pPr>
                  <w:r>
                    <w:rPr>
                      <w:sz w:val="20"/>
                    </w:rPr>
                    <w:t>#4</w:t>
                  </w:r>
                </w:p>
              </w:tc>
              <w:tc>
                <w:tcPr>
                  <w:tcW w:w="993" w:type="dxa"/>
                  <w:tcBorders>
                    <w:bottom w:val="double" w:sz="4" w:space="0" w:color="auto"/>
                  </w:tcBorders>
                </w:tcPr>
                <w:p w:rsidR="00D41102" w:rsidRDefault="00D41102" w:rsidP="00DD5B3B">
                  <w:pPr>
                    <w:jc w:val="center"/>
                    <w:rPr>
                      <w:sz w:val="20"/>
                    </w:rPr>
                  </w:pPr>
                  <w:r>
                    <w:rPr>
                      <w:sz w:val="20"/>
                    </w:rPr>
                    <w:t>11 years</w:t>
                  </w:r>
                </w:p>
              </w:tc>
              <w:tc>
                <w:tcPr>
                  <w:tcW w:w="1275" w:type="dxa"/>
                  <w:tcBorders>
                    <w:bottom w:val="double" w:sz="4" w:space="0" w:color="auto"/>
                  </w:tcBorders>
                </w:tcPr>
                <w:p w:rsidR="00D41102" w:rsidRDefault="00D41102" w:rsidP="00DD5B3B">
                  <w:pPr>
                    <w:jc w:val="center"/>
                    <w:rPr>
                      <w:sz w:val="20"/>
                    </w:rPr>
                  </w:pPr>
                  <w:r>
                    <w:rPr>
                      <w:sz w:val="20"/>
                    </w:rPr>
                    <w:t>$10 million</w:t>
                  </w:r>
                </w:p>
              </w:tc>
              <w:tc>
                <w:tcPr>
                  <w:tcW w:w="1692" w:type="dxa"/>
                  <w:tcBorders>
                    <w:bottom w:val="double" w:sz="4" w:space="0" w:color="auto"/>
                  </w:tcBorders>
                </w:tcPr>
                <w:p w:rsidR="00D41102" w:rsidRDefault="00D41102" w:rsidP="00DD5B3B">
                  <w:pPr>
                    <w:jc w:val="center"/>
                    <w:rPr>
                      <w:sz w:val="20"/>
                    </w:rPr>
                  </w:pPr>
                  <w:r>
                    <w:rPr>
                      <w:sz w:val="20"/>
                    </w:rPr>
                    <w:t>$30 million</w:t>
                  </w:r>
                </w:p>
              </w:tc>
              <w:tc>
                <w:tcPr>
                  <w:tcW w:w="1701" w:type="dxa"/>
                  <w:tcBorders>
                    <w:bottom w:val="double" w:sz="4" w:space="0" w:color="auto"/>
                  </w:tcBorders>
                </w:tcPr>
                <w:p w:rsidR="00D41102" w:rsidRDefault="00D41102" w:rsidP="00DD5B3B">
                  <w:pPr>
                    <w:jc w:val="center"/>
                    <w:rPr>
                      <w:sz w:val="20"/>
                    </w:rPr>
                  </w:pPr>
                  <w:r>
                    <w:rPr>
                      <w:sz w:val="20"/>
                    </w:rPr>
                    <w:t>3.7 years</w:t>
                  </w:r>
                </w:p>
              </w:tc>
            </w:tr>
            <w:tr w:rsidR="00D41102" w:rsidTr="00DD5B3B">
              <w:trPr>
                <w:jc w:val="center"/>
              </w:trPr>
              <w:tc>
                <w:tcPr>
                  <w:tcW w:w="675" w:type="dxa"/>
                  <w:tcBorders>
                    <w:top w:val="double" w:sz="4" w:space="0" w:color="auto"/>
                  </w:tcBorders>
                </w:tcPr>
                <w:p w:rsidR="00D41102" w:rsidRDefault="00D41102" w:rsidP="00DD5B3B">
                  <w:pPr>
                    <w:rPr>
                      <w:sz w:val="20"/>
                    </w:rPr>
                  </w:pPr>
                  <w:r>
                    <w:rPr>
                      <w:sz w:val="20"/>
                    </w:rPr>
                    <w:t>Total</w:t>
                  </w:r>
                </w:p>
              </w:tc>
              <w:tc>
                <w:tcPr>
                  <w:tcW w:w="993" w:type="dxa"/>
                  <w:tcBorders>
                    <w:top w:val="double" w:sz="4" w:space="0" w:color="auto"/>
                  </w:tcBorders>
                </w:tcPr>
                <w:p w:rsidR="00D41102" w:rsidRDefault="00D41102" w:rsidP="00DD5B3B">
                  <w:pPr>
                    <w:jc w:val="center"/>
                    <w:rPr>
                      <w:sz w:val="20"/>
                    </w:rPr>
                  </w:pPr>
                </w:p>
              </w:tc>
              <w:tc>
                <w:tcPr>
                  <w:tcW w:w="1275" w:type="dxa"/>
                  <w:tcBorders>
                    <w:top w:val="double" w:sz="4" w:space="0" w:color="auto"/>
                  </w:tcBorders>
                </w:tcPr>
                <w:p w:rsidR="00D41102" w:rsidRDefault="00D41102" w:rsidP="00DD5B3B">
                  <w:pPr>
                    <w:jc w:val="center"/>
                    <w:rPr>
                      <w:sz w:val="20"/>
                    </w:rPr>
                  </w:pPr>
                </w:p>
              </w:tc>
              <w:tc>
                <w:tcPr>
                  <w:tcW w:w="1692" w:type="dxa"/>
                  <w:tcBorders>
                    <w:top w:val="double" w:sz="4" w:space="0" w:color="auto"/>
                  </w:tcBorders>
                </w:tcPr>
                <w:p w:rsidR="00D41102" w:rsidRDefault="00D41102" w:rsidP="00DD5B3B">
                  <w:pPr>
                    <w:jc w:val="center"/>
                    <w:rPr>
                      <w:sz w:val="20"/>
                    </w:rPr>
                  </w:pPr>
                </w:p>
              </w:tc>
              <w:tc>
                <w:tcPr>
                  <w:tcW w:w="1701" w:type="dxa"/>
                  <w:tcBorders>
                    <w:top w:val="double" w:sz="4" w:space="0" w:color="auto"/>
                  </w:tcBorders>
                </w:tcPr>
                <w:p w:rsidR="00D41102" w:rsidRDefault="00D41102" w:rsidP="00DD5B3B">
                  <w:pPr>
                    <w:jc w:val="center"/>
                    <w:rPr>
                      <w:sz w:val="20"/>
                    </w:rPr>
                  </w:pPr>
                  <w:r>
                    <w:rPr>
                      <w:sz w:val="20"/>
                    </w:rPr>
                    <w:t>9 years</w:t>
                  </w:r>
                </w:p>
              </w:tc>
            </w:tr>
          </w:tbl>
          <w:p w:rsidR="00D41102" w:rsidRDefault="00D41102" w:rsidP="00D41102">
            <w:pPr>
              <w:rPr>
                <w:sz w:val="20"/>
              </w:rPr>
            </w:pPr>
          </w:p>
          <w:p w:rsidR="00D41102" w:rsidRDefault="00D41102" w:rsidP="00D41102">
            <w:pPr>
              <w:rPr>
                <w:sz w:val="20"/>
              </w:rPr>
            </w:pPr>
            <w:r>
              <w:rPr>
                <w:sz w:val="20"/>
              </w:rPr>
              <w:t>The threshold fraction under section GC 18(</w:t>
            </w:r>
            <w:r w:rsidR="00D20E81">
              <w:rPr>
                <w:sz w:val="20"/>
              </w:rPr>
              <w:t>5</w:t>
            </w:r>
            <w:r>
              <w:rPr>
                <w:sz w:val="20"/>
              </w:rPr>
              <w:t>)(b)(i) is $30 million/$100 million or 3/10.</w:t>
            </w:r>
          </w:p>
          <w:p w:rsidR="00D41102" w:rsidRDefault="00D41102" w:rsidP="00D41102">
            <w:pPr>
              <w:rPr>
                <w:sz w:val="20"/>
              </w:rPr>
            </w:pPr>
          </w:p>
          <w:p w:rsidR="00D41102" w:rsidRDefault="00D41102" w:rsidP="00D41102">
            <w:pPr>
              <w:rPr>
                <w:sz w:val="20"/>
              </w:rPr>
            </w:pPr>
            <w:r>
              <w:rPr>
                <w:sz w:val="20"/>
              </w:rPr>
              <w:t>NZ Subsidiary Ltd</w:t>
            </w:r>
            <w:r>
              <w:rPr>
                <w:rStyle w:val="FootnoteReference"/>
                <w:sz w:val="20"/>
              </w:rPr>
              <w:footnoteReference w:id="4"/>
            </w:r>
            <w:r>
              <w:rPr>
                <w:sz w:val="20"/>
              </w:rPr>
              <w:t xml:space="preserve"> has existing loans of $700,000 from Foreign Parent with a term of less than 5 years.</w:t>
            </w:r>
            <w:r w:rsidR="00292098">
              <w:rPr>
                <w:sz w:val="20"/>
              </w:rPr>
              <w:t xml:space="preserve"> </w:t>
            </w:r>
            <w:r>
              <w:rPr>
                <w:sz w:val="20"/>
              </w:rPr>
              <w:t xml:space="preserve">It enters into three further loans with </w:t>
            </w:r>
            <w:r w:rsidR="001D27FA">
              <w:rPr>
                <w:sz w:val="20"/>
              </w:rPr>
              <w:t xml:space="preserve">Foreign Parent with </w:t>
            </w:r>
            <w:r>
              <w:rPr>
                <w:sz w:val="20"/>
              </w:rPr>
              <w:t>terms over 5 years on successive days and needs to consider what term will be included for setting the interest rate.</w:t>
            </w:r>
          </w:p>
          <w:p w:rsidR="00D41102" w:rsidRDefault="00D41102" w:rsidP="00D41102">
            <w:pPr>
              <w:rPr>
                <w:sz w:val="20"/>
              </w:rPr>
            </w:pPr>
          </w:p>
          <w:p w:rsidR="00D41102" w:rsidRDefault="00D41102" w:rsidP="00D41102">
            <w:pPr>
              <w:rPr>
                <w:i/>
                <w:sz w:val="20"/>
              </w:rPr>
            </w:pPr>
            <w:r>
              <w:rPr>
                <w:i/>
                <w:sz w:val="20"/>
              </w:rPr>
              <w:t>Loan 1</w:t>
            </w:r>
          </w:p>
          <w:p w:rsidR="00D41102" w:rsidRDefault="00D41102" w:rsidP="00D41102">
            <w:pPr>
              <w:rPr>
                <w:i/>
                <w:sz w:val="20"/>
              </w:rPr>
            </w:pPr>
          </w:p>
          <w:p w:rsidR="00D41102" w:rsidRDefault="00D41102" w:rsidP="00D41102">
            <w:pPr>
              <w:rPr>
                <w:sz w:val="20"/>
              </w:rPr>
            </w:pPr>
            <w:r w:rsidRPr="00D7344E">
              <w:rPr>
                <w:sz w:val="20"/>
              </w:rPr>
              <w:t>A $5</w:t>
            </w:r>
            <w:r>
              <w:rPr>
                <w:sz w:val="20"/>
              </w:rPr>
              <w:t>0</w:t>
            </w:r>
            <w:r w:rsidRPr="00D7344E">
              <w:rPr>
                <w:sz w:val="20"/>
              </w:rPr>
              <w:t>,000 loan with a term of 7 years</w:t>
            </w:r>
            <w:r>
              <w:rPr>
                <w:sz w:val="20"/>
              </w:rPr>
              <w:t>.</w:t>
            </w:r>
          </w:p>
          <w:p w:rsidR="00D41102" w:rsidRDefault="00D41102" w:rsidP="00D41102">
            <w:pPr>
              <w:rPr>
                <w:sz w:val="20"/>
              </w:rPr>
            </w:pPr>
          </w:p>
          <w:p w:rsidR="00D41102" w:rsidRPr="008C3485" w:rsidRDefault="00D41102" w:rsidP="00D41102">
            <w:pPr>
              <w:pStyle w:val="Indentbullet"/>
              <w:numPr>
                <w:ilvl w:val="0"/>
                <w:numId w:val="2"/>
              </w:numPr>
              <w:rPr>
                <w:sz w:val="20"/>
              </w:rPr>
            </w:pPr>
            <w:r w:rsidRPr="008C3485">
              <w:rPr>
                <w:sz w:val="20"/>
              </w:rPr>
              <w:t>Section GC 18(</w:t>
            </w:r>
            <w:r w:rsidR="00D20E81">
              <w:rPr>
                <w:sz w:val="20"/>
              </w:rPr>
              <w:t>8</w:t>
            </w:r>
            <w:r w:rsidRPr="008C3485">
              <w:rPr>
                <w:sz w:val="20"/>
              </w:rPr>
              <w:t>)(a) does not apply as the term of the loan (7 years) does not exceed the threshold term (9 years).</w:t>
            </w:r>
          </w:p>
          <w:p w:rsidR="00D41102" w:rsidRPr="008C3485" w:rsidRDefault="00D41102" w:rsidP="00D41102">
            <w:pPr>
              <w:pStyle w:val="Indentbullet"/>
              <w:numPr>
                <w:ilvl w:val="0"/>
                <w:numId w:val="2"/>
              </w:numPr>
              <w:rPr>
                <w:sz w:val="20"/>
              </w:rPr>
            </w:pPr>
            <w:r w:rsidRPr="008C3485">
              <w:rPr>
                <w:sz w:val="20"/>
              </w:rPr>
              <w:t>Section GC 18(</w:t>
            </w:r>
            <w:r w:rsidR="00D20E81">
              <w:rPr>
                <w:sz w:val="20"/>
              </w:rPr>
              <w:t>8</w:t>
            </w:r>
            <w:r w:rsidRPr="008C3485">
              <w:rPr>
                <w:sz w:val="20"/>
              </w:rPr>
              <w:t>)(b)(i) does not apply as related party loans having a term of more than 5 years ($50,000) as a proportion of total related party loans ($700,000 + $50,000 = 750,000) is 6.7% which is less than the threshold fraction of 30%.</w:t>
            </w:r>
          </w:p>
          <w:p w:rsidR="00D41102" w:rsidRPr="008C3485" w:rsidRDefault="00D41102" w:rsidP="00D41102">
            <w:pPr>
              <w:pStyle w:val="Indentbullet"/>
              <w:numPr>
                <w:ilvl w:val="0"/>
                <w:numId w:val="2"/>
              </w:numPr>
              <w:rPr>
                <w:sz w:val="20"/>
              </w:rPr>
            </w:pPr>
            <w:r w:rsidRPr="008C3485">
              <w:rPr>
                <w:sz w:val="20"/>
              </w:rPr>
              <w:t>Section GC 18(</w:t>
            </w:r>
            <w:r w:rsidR="00D20E81">
              <w:rPr>
                <w:sz w:val="20"/>
              </w:rPr>
              <w:t>8</w:t>
            </w:r>
            <w:r w:rsidRPr="008C3485">
              <w:rPr>
                <w:sz w:val="20"/>
              </w:rPr>
              <w:t>)(b)(ii) does not apply as related party loans having a term of more than 5 years ($50,000) is less than 4 times the value of worldwide loans with this feature (4 x $30,000,000).</w:t>
            </w:r>
          </w:p>
          <w:p w:rsidR="00D41102" w:rsidRPr="008C3485" w:rsidRDefault="00D41102" w:rsidP="00D41102">
            <w:pPr>
              <w:pStyle w:val="Indentbullet"/>
              <w:numPr>
                <w:ilvl w:val="0"/>
                <w:numId w:val="2"/>
              </w:numPr>
              <w:spacing w:after="0"/>
              <w:rPr>
                <w:sz w:val="20"/>
              </w:rPr>
            </w:pPr>
            <w:r w:rsidRPr="008C3485">
              <w:rPr>
                <w:sz w:val="20"/>
              </w:rPr>
              <w:t>Section GC 18(</w:t>
            </w:r>
            <w:r w:rsidR="00D20E81">
              <w:rPr>
                <w:sz w:val="20"/>
              </w:rPr>
              <w:t>8</w:t>
            </w:r>
            <w:r w:rsidRPr="008C3485">
              <w:rPr>
                <w:sz w:val="20"/>
              </w:rPr>
              <w:t>)(b)(iii) does not apply as the threshold fraction was not determined under subsection (</w:t>
            </w:r>
            <w:r w:rsidR="00D20E81">
              <w:rPr>
                <w:sz w:val="20"/>
              </w:rPr>
              <w:t>5</w:t>
            </w:r>
            <w:r w:rsidRPr="008C3485">
              <w:rPr>
                <w:sz w:val="20"/>
              </w:rPr>
              <w:t>)(b)(ii).</w:t>
            </w:r>
          </w:p>
          <w:p w:rsidR="00D41102" w:rsidRDefault="00D41102" w:rsidP="00D41102">
            <w:pPr>
              <w:rPr>
                <w:sz w:val="20"/>
              </w:rPr>
            </w:pPr>
          </w:p>
          <w:p w:rsidR="00D41102" w:rsidRDefault="00D41102" w:rsidP="00D41102">
            <w:pPr>
              <w:rPr>
                <w:sz w:val="20"/>
              </w:rPr>
            </w:pPr>
            <w:r>
              <w:rPr>
                <w:sz w:val="20"/>
              </w:rPr>
              <w:t>Therefore the 7 year term is not adjusted and is included in calculating the interest rate.</w:t>
            </w:r>
          </w:p>
          <w:p w:rsidR="00214E42" w:rsidRDefault="00214E42" w:rsidP="00214E42">
            <w:pPr>
              <w:rPr>
                <w:i/>
                <w:sz w:val="20"/>
              </w:rPr>
            </w:pPr>
          </w:p>
          <w:p w:rsidR="00214E42" w:rsidRDefault="00214E42" w:rsidP="00214E42">
            <w:pPr>
              <w:rPr>
                <w:sz w:val="20"/>
              </w:rPr>
            </w:pPr>
            <w:r>
              <w:rPr>
                <w:i/>
                <w:sz w:val="20"/>
              </w:rPr>
              <w:t>Loan 2</w:t>
            </w:r>
          </w:p>
          <w:p w:rsidR="00214E42" w:rsidRDefault="00214E42" w:rsidP="00214E42">
            <w:pPr>
              <w:rPr>
                <w:sz w:val="20"/>
              </w:rPr>
            </w:pPr>
          </w:p>
          <w:p w:rsidR="00214E42" w:rsidRDefault="00214E42" w:rsidP="00214E42">
            <w:pPr>
              <w:rPr>
                <w:sz w:val="20"/>
              </w:rPr>
            </w:pPr>
            <w:r>
              <w:rPr>
                <w:sz w:val="20"/>
              </w:rPr>
              <w:t>A $100,000 loan with a term of 11 years.</w:t>
            </w:r>
          </w:p>
          <w:p w:rsidR="00214E42" w:rsidRDefault="00214E42" w:rsidP="00214E42">
            <w:pPr>
              <w:rPr>
                <w:sz w:val="20"/>
              </w:rPr>
            </w:pPr>
          </w:p>
          <w:p w:rsidR="00214E42" w:rsidRPr="008C3485" w:rsidRDefault="00214E42" w:rsidP="00214E42">
            <w:pPr>
              <w:pStyle w:val="Indentbullet"/>
              <w:numPr>
                <w:ilvl w:val="0"/>
                <w:numId w:val="2"/>
              </w:numPr>
              <w:rPr>
                <w:sz w:val="20"/>
              </w:rPr>
            </w:pPr>
            <w:r w:rsidRPr="008C3485">
              <w:rPr>
                <w:sz w:val="20"/>
              </w:rPr>
              <w:t>Section GC 18(</w:t>
            </w:r>
            <w:r>
              <w:rPr>
                <w:sz w:val="20"/>
              </w:rPr>
              <w:t>8</w:t>
            </w:r>
            <w:r w:rsidRPr="008C3485">
              <w:rPr>
                <w:sz w:val="20"/>
              </w:rPr>
              <w:t>)(a)(i) is met as the term of the loan (11 years) exceeds the threshold term (9 years).</w:t>
            </w:r>
          </w:p>
          <w:p w:rsidR="00214E42" w:rsidRPr="008C3485" w:rsidRDefault="00214E42" w:rsidP="00214E42">
            <w:pPr>
              <w:pStyle w:val="Indentbullet"/>
              <w:numPr>
                <w:ilvl w:val="0"/>
                <w:numId w:val="2"/>
              </w:numPr>
              <w:spacing w:after="0"/>
              <w:rPr>
                <w:sz w:val="20"/>
              </w:rPr>
            </w:pPr>
            <w:r w:rsidRPr="008C3485">
              <w:rPr>
                <w:sz w:val="20"/>
              </w:rPr>
              <w:t>Section GC 18(</w:t>
            </w:r>
            <w:r>
              <w:rPr>
                <w:sz w:val="20"/>
              </w:rPr>
              <w:t>8</w:t>
            </w:r>
            <w:r w:rsidRPr="008C3485">
              <w:rPr>
                <w:sz w:val="20"/>
              </w:rPr>
              <w:t>)(a)(ii) is met as related party loans having a term of more than 5 years ($50,000 + $100,000 = $150,000) as a proportion of total related party loans ($750,000 + $100,000 = $850,000) is 17.6% which is less than the threshold fraction of 30%.</w:t>
            </w:r>
          </w:p>
          <w:p w:rsidR="00214E42" w:rsidRDefault="00214E42" w:rsidP="00214E42">
            <w:pPr>
              <w:rPr>
                <w:sz w:val="20"/>
              </w:rPr>
            </w:pPr>
          </w:p>
          <w:p w:rsidR="00214E42" w:rsidRDefault="00214E42" w:rsidP="00214E42">
            <w:pPr>
              <w:rPr>
                <w:sz w:val="20"/>
              </w:rPr>
            </w:pPr>
            <w:r>
              <w:rPr>
                <w:sz w:val="20"/>
              </w:rPr>
              <w:t>Therefore the 11 year term is adjusted to the threshold term of 9 year for the purpose of calculating the interest rate.</w:t>
            </w:r>
          </w:p>
          <w:p w:rsidR="00214E42" w:rsidRDefault="00214E42" w:rsidP="00214E42">
            <w:pPr>
              <w:rPr>
                <w:sz w:val="20"/>
              </w:rPr>
            </w:pPr>
          </w:p>
          <w:p w:rsidR="00214E42" w:rsidRDefault="00B30C33" w:rsidP="00214E42">
            <w:pPr>
              <w:rPr>
                <w:sz w:val="20"/>
              </w:rPr>
            </w:pPr>
            <w:r>
              <w:rPr>
                <w:i/>
                <w:noProof/>
                <w:sz w:val="20"/>
                <w:lang w:val="en-NZ" w:eastAsia="en-NZ"/>
              </w:rPr>
              <mc:AlternateContent>
                <mc:Choice Requires="wps">
                  <w:drawing>
                    <wp:anchor distT="0" distB="0" distL="114300" distR="114300" simplePos="0" relativeHeight="251665663" behindDoc="1" locked="0" layoutInCell="1" allowOverlap="1" wp14:anchorId="2B975FB5" wp14:editId="693F7DB7">
                      <wp:simplePos x="0" y="0"/>
                      <wp:positionH relativeFrom="column">
                        <wp:posOffset>-124282</wp:posOffset>
                      </wp:positionH>
                      <wp:positionV relativeFrom="paragraph">
                        <wp:posOffset>-23368</wp:posOffset>
                      </wp:positionV>
                      <wp:extent cx="5552237" cy="1975104"/>
                      <wp:effectExtent l="0" t="0" r="10795" b="25400"/>
                      <wp:wrapNone/>
                      <wp:docPr id="6" name="Rectangle 6"/>
                      <wp:cNvGraphicFramePr/>
                      <a:graphic xmlns:a="http://schemas.openxmlformats.org/drawingml/2006/main">
                        <a:graphicData uri="http://schemas.microsoft.com/office/word/2010/wordprocessingShape">
                          <wps:wsp>
                            <wps:cNvSpPr/>
                            <wps:spPr>
                              <a:xfrm>
                                <a:off x="0" y="0"/>
                                <a:ext cx="5552237" cy="1975104"/>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BBB41" id="Rectangle 6" o:spid="_x0000_s1026" style="position:absolute;margin-left:-9.8pt;margin-top:-1.85pt;width:437.2pt;height:155.5pt;z-index:-25165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" fillcolor="white [3201]" strokecolor="black [3200]"/>
                  </w:pict>
                </mc:Fallback>
              </mc:AlternateContent>
            </w:r>
            <w:r w:rsidR="00214E42">
              <w:rPr>
                <w:i/>
                <w:sz w:val="20"/>
              </w:rPr>
              <w:t>Loan 3</w:t>
            </w:r>
          </w:p>
          <w:p w:rsidR="00214E42" w:rsidRDefault="00214E42" w:rsidP="00214E42">
            <w:pPr>
              <w:rPr>
                <w:sz w:val="20"/>
              </w:rPr>
            </w:pPr>
          </w:p>
          <w:p w:rsidR="00214E42" w:rsidRDefault="00214E42" w:rsidP="00214E42">
            <w:pPr>
              <w:rPr>
                <w:sz w:val="20"/>
              </w:rPr>
            </w:pPr>
            <w:r>
              <w:rPr>
                <w:sz w:val="20"/>
              </w:rPr>
              <w:t>A $200,000 loan with a term of 9 years.</w:t>
            </w:r>
          </w:p>
          <w:p w:rsidR="00214E42" w:rsidRDefault="00214E42" w:rsidP="00214E42">
            <w:pPr>
              <w:rPr>
                <w:sz w:val="20"/>
              </w:rPr>
            </w:pPr>
          </w:p>
          <w:p w:rsidR="00214E42" w:rsidRPr="008C3485" w:rsidRDefault="00214E42" w:rsidP="00214E42">
            <w:pPr>
              <w:pStyle w:val="Indentbullet"/>
              <w:numPr>
                <w:ilvl w:val="0"/>
                <w:numId w:val="2"/>
              </w:numPr>
              <w:rPr>
                <w:sz w:val="20"/>
              </w:rPr>
            </w:pPr>
            <w:r w:rsidRPr="008C3485">
              <w:rPr>
                <w:sz w:val="20"/>
              </w:rPr>
              <w:t>Section GC 18(</w:t>
            </w:r>
            <w:r>
              <w:rPr>
                <w:sz w:val="20"/>
              </w:rPr>
              <w:t>8</w:t>
            </w:r>
            <w:r w:rsidRPr="008C3485">
              <w:rPr>
                <w:sz w:val="20"/>
              </w:rPr>
              <w:t>)(a) does not apply as the term of the loan (9 years) does not exceed the threshold term (9 years).</w:t>
            </w:r>
          </w:p>
          <w:p w:rsidR="00214E42" w:rsidRPr="008C3485" w:rsidRDefault="00214E42" w:rsidP="00214E42">
            <w:pPr>
              <w:pStyle w:val="Indentbullet"/>
              <w:numPr>
                <w:ilvl w:val="0"/>
                <w:numId w:val="2"/>
              </w:numPr>
              <w:spacing w:after="0"/>
              <w:rPr>
                <w:sz w:val="20"/>
              </w:rPr>
            </w:pPr>
            <w:r w:rsidRPr="008C3485">
              <w:rPr>
                <w:sz w:val="20"/>
              </w:rPr>
              <w:t>Section GC 18(</w:t>
            </w:r>
            <w:r>
              <w:rPr>
                <w:sz w:val="20"/>
              </w:rPr>
              <w:t>8</w:t>
            </w:r>
            <w:r w:rsidRPr="008C3485">
              <w:rPr>
                <w:sz w:val="20"/>
              </w:rPr>
              <w:t>)(b)(i) is met as related party loans having a term of more than 5 years ($150,000 + $200,000 = $350,000) as a proportion of total related party loans ($850,000 + $200,000 = $1,050,000) is 33.3% which exceeds the threshold fraction of 30%.</w:t>
            </w:r>
          </w:p>
          <w:p w:rsidR="00214E42" w:rsidRDefault="00214E42" w:rsidP="00214E42">
            <w:pPr>
              <w:rPr>
                <w:sz w:val="20"/>
              </w:rPr>
            </w:pPr>
          </w:p>
          <w:p w:rsidR="00214E42" w:rsidRPr="00C3624D" w:rsidRDefault="00214E42" w:rsidP="00214E42">
            <w:pPr>
              <w:rPr>
                <w:sz w:val="20"/>
              </w:rPr>
            </w:pPr>
            <w:r>
              <w:rPr>
                <w:sz w:val="20"/>
              </w:rPr>
              <w:t>Therefore the 9 year term is adjusted to 5 years for the purpose of calculating the interest rate.</w:t>
            </w:r>
          </w:p>
          <w:p w:rsidR="00D41102" w:rsidRDefault="00D41102" w:rsidP="00D41102">
            <w:pPr>
              <w:rPr>
                <w:sz w:val="20"/>
              </w:rPr>
            </w:pPr>
          </w:p>
        </w:tc>
      </w:tr>
    </w:tbl>
    <w:p w:rsidR="00CE3732" w:rsidRDefault="00CE3732" w:rsidP="00192B65">
      <w:pPr>
        <w:rPr>
          <w:sz w:val="20"/>
        </w:rPr>
      </w:pPr>
    </w:p>
    <w:p w:rsidR="00E51139" w:rsidRDefault="00E51139" w:rsidP="00192B65">
      <w:pPr>
        <w:rPr>
          <w:sz w:val="20"/>
        </w:rPr>
      </w:pPr>
    </w:p>
    <w:p w:rsidR="00192B65" w:rsidRPr="00DA79A1" w:rsidRDefault="00DA79A1" w:rsidP="00B30C33">
      <w:pPr>
        <w:pBdr>
          <w:top w:val="single" w:sz="4" w:space="10" w:color="auto"/>
          <w:left w:val="single" w:sz="4" w:space="10" w:color="auto"/>
          <w:bottom w:val="single" w:sz="4" w:space="10" w:color="auto"/>
          <w:right w:val="single" w:sz="4" w:space="10" w:color="auto"/>
        </w:pBdr>
        <w:rPr>
          <w:b/>
          <w:sz w:val="20"/>
        </w:rPr>
      </w:pPr>
      <w:r w:rsidRPr="00DA79A1">
        <w:rPr>
          <w:b/>
          <w:sz w:val="20"/>
        </w:rPr>
        <w:t>Example</w:t>
      </w:r>
      <w:r w:rsidR="00214E42">
        <w:rPr>
          <w:b/>
          <w:sz w:val="20"/>
        </w:rPr>
        <w:t xml:space="preserve"> </w:t>
      </w:r>
      <w:r w:rsidR="00507AB5">
        <w:rPr>
          <w:b/>
          <w:sz w:val="20"/>
        </w:rPr>
        <w:t>5</w:t>
      </w:r>
    </w:p>
    <w:p w:rsidR="00192B65" w:rsidRDefault="00192B65" w:rsidP="00B30C33">
      <w:pPr>
        <w:pBdr>
          <w:top w:val="single" w:sz="4" w:space="10" w:color="auto"/>
          <w:left w:val="single" w:sz="4" w:space="10" w:color="auto"/>
          <w:bottom w:val="single" w:sz="4" w:space="10" w:color="auto"/>
          <w:right w:val="single" w:sz="4" w:space="10" w:color="auto"/>
        </w:pBdr>
        <w:rPr>
          <w:sz w:val="20"/>
        </w:rPr>
      </w:pPr>
    </w:p>
    <w:p w:rsidR="00DA79A1" w:rsidRDefault="006C18A0" w:rsidP="00B30C33">
      <w:pPr>
        <w:pBdr>
          <w:top w:val="single" w:sz="4" w:space="10" w:color="auto"/>
          <w:left w:val="single" w:sz="4" w:space="10" w:color="auto"/>
          <w:bottom w:val="single" w:sz="4" w:space="10" w:color="auto"/>
          <w:right w:val="single" w:sz="4" w:space="10" w:color="auto"/>
        </w:pBdr>
        <w:rPr>
          <w:sz w:val="20"/>
        </w:rPr>
      </w:pPr>
      <w:r>
        <w:rPr>
          <w:sz w:val="20"/>
        </w:rPr>
        <w:t>Foreign Co has three</w:t>
      </w:r>
      <w:r w:rsidR="00DA79A1">
        <w:rPr>
          <w:sz w:val="20"/>
        </w:rPr>
        <w:t xml:space="preserve"> senior unsecured loans from third parties.</w:t>
      </w:r>
      <w:r w:rsidR="00292098">
        <w:rPr>
          <w:sz w:val="20"/>
        </w:rPr>
        <w:t xml:space="preserve"> </w:t>
      </w:r>
      <w:r w:rsidR="00DA79A1">
        <w:rPr>
          <w:sz w:val="20"/>
        </w:rPr>
        <w:t xml:space="preserve">These are </w:t>
      </w:r>
      <w:r>
        <w:rPr>
          <w:sz w:val="20"/>
        </w:rPr>
        <w:t>each</w:t>
      </w:r>
      <w:r w:rsidR="00DA79A1">
        <w:rPr>
          <w:sz w:val="20"/>
        </w:rPr>
        <w:t xml:space="preserve"> for US$100 million and had terms at issue of 5 years</w:t>
      </w:r>
      <w:r>
        <w:rPr>
          <w:sz w:val="20"/>
        </w:rPr>
        <w:t>, 10 years</w:t>
      </w:r>
      <w:r w:rsidR="00DA79A1">
        <w:rPr>
          <w:sz w:val="20"/>
        </w:rPr>
        <w:t xml:space="preserve"> and 15 years respectively</w:t>
      </w:r>
      <w:r w:rsidR="00CE3732">
        <w:rPr>
          <w:sz w:val="20"/>
        </w:rPr>
        <w:t>,</w:t>
      </w:r>
      <w:r w:rsidR="00DA79A1">
        <w:rPr>
          <w:sz w:val="20"/>
        </w:rPr>
        <w:t xml:space="preserve"> so the average maturity of their long-term senior unsecured debt is 10 years.</w:t>
      </w:r>
    </w:p>
    <w:p w:rsidR="00DA79A1" w:rsidRDefault="00DA79A1" w:rsidP="00B30C33">
      <w:pPr>
        <w:pBdr>
          <w:top w:val="single" w:sz="4" w:space="10" w:color="auto"/>
          <w:left w:val="single" w:sz="4" w:space="10" w:color="auto"/>
          <w:bottom w:val="single" w:sz="4" w:space="10" w:color="auto"/>
          <w:right w:val="single" w:sz="4" w:space="10" w:color="auto"/>
        </w:pBdr>
        <w:rPr>
          <w:sz w:val="20"/>
        </w:rPr>
      </w:pPr>
    </w:p>
    <w:p w:rsidR="00DA79A1" w:rsidRDefault="00DA79A1" w:rsidP="00B30C33">
      <w:pPr>
        <w:pBdr>
          <w:top w:val="single" w:sz="4" w:space="10" w:color="auto"/>
          <w:left w:val="single" w:sz="4" w:space="10" w:color="auto"/>
          <w:bottom w:val="single" w:sz="4" w:space="10" w:color="auto"/>
          <w:right w:val="single" w:sz="4" w:space="10" w:color="auto"/>
        </w:pBdr>
        <w:rPr>
          <w:sz w:val="20"/>
        </w:rPr>
      </w:pPr>
      <w:r>
        <w:rPr>
          <w:sz w:val="20"/>
        </w:rPr>
        <w:t>NZ Co, a wholly owned subsidiary of Foreign Co, has a loan from Foreign Co for NZ$20 million with a term of 10 years.</w:t>
      </w:r>
    </w:p>
    <w:p w:rsidR="00DA79A1" w:rsidRDefault="00DA79A1" w:rsidP="00B30C33">
      <w:pPr>
        <w:pBdr>
          <w:top w:val="single" w:sz="4" w:space="10" w:color="auto"/>
          <w:left w:val="single" w:sz="4" w:space="10" w:color="auto"/>
          <w:bottom w:val="single" w:sz="4" w:space="10" w:color="auto"/>
          <w:right w:val="single" w:sz="4" w:space="10" w:color="auto"/>
        </w:pBdr>
        <w:rPr>
          <w:sz w:val="20"/>
        </w:rPr>
      </w:pPr>
    </w:p>
    <w:p w:rsidR="00DA79A1" w:rsidRDefault="00DA79A1" w:rsidP="00B30C33">
      <w:pPr>
        <w:pBdr>
          <w:top w:val="single" w:sz="4" w:space="10" w:color="auto"/>
          <w:left w:val="single" w:sz="4" w:space="10" w:color="auto"/>
          <w:bottom w:val="single" w:sz="4" w:space="10" w:color="auto"/>
          <w:right w:val="single" w:sz="4" w:space="10" w:color="auto"/>
        </w:pBdr>
        <w:rPr>
          <w:sz w:val="20"/>
        </w:rPr>
      </w:pPr>
      <w:r>
        <w:rPr>
          <w:sz w:val="20"/>
        </w:rPr>
        <w:t>Foreign Co’s threshold term is 1</w:t>
      </w:r>
      <w:r w:rsidR="006C18A0">
        <w:rPr>
          <w:sz w:val="20"/>
        </w:rPr>
        <w:t>2.5</w:t>
      </w:r>
      <w:r>
        <w:rPr>
          <w:sz w:val="20"/>
        </w:rPr>
        <w:t xml:space="preserve"> years as the 5 year loan is not included in the calculation.</w:t>
      </w:r>
      <w:r w:rsidR="00292098">
        <w:rPr>
          <w:sz w:val="20"/>
        </w:rPr>
        <w:t xml:space="preserve"> </w:t>
      </w:r>
      <w:r>
        <w:rPr>
          <w:sz w:val="20"/>
        </w:rPr>
        <w:t>However, the</w:t>
      </w:r>
      <w:r w:rsidR="00A0084F">
        <w:rPr>
          <w:sz w:val="20"/>
        </w:rPr>
        <w:t>ir threshold fraction is US$</w:t>
      </w:r>
      <w:r w:rsidR="006C18A0">
        <w:rPr>
          <w:sz w:val="20"/>
        </w:rPr>
        <w:t>2</w:t>
      </w:r>
      <w:r w:rsidR="00A0084F">
        <w:rPr>
          <w:sz w:val="20"/>
        </w:rPr>
        <w:t>00 million/</w:t>
      </w:r>
      <w:r w:rsidR="006C18A0">
        <w:rPr>
          <w:sz w:val="20"/>
        </w:rPr>
        <w:t>US$3</w:t>
      </w:r>
      <w:r w:rsidR="00A0084F">
        <w:rPr>
          <w:sz w:val="20"/>
        </w:rPr>
        <w:t xml:space="preserve">00 million or </w:t>
      </w:r>
      <w:r w:rsidR="006C18A0">
        <w:rPr>
          <w:sz w:val="20"/>
        </w:rPr>
        <w:t>2</w:t>
      </w:r>
      <w:r w:rsidR="00A0084F">
        <w:rPr>
          <w:sz w:val="20"/>
        </w:rPr>
        <w:t>/</w:t>
      </w:r>
      <w:r w:rsidR="006C18A0">
        <w:rPr>
          <w:sz w:val="20"/>
        </w:rPr>
        <w:t>3</w:t>
      </w:r>
      <w:r w:rsidR="00A0084F">
        <w:rPr>
          <w:sz w:val="20"/>
        </w:rPr>
        <w:t>.</w:t>
      </w:r>
      <w:r w:rsidR="00292098">
        <w:rPr>
          <w:sz w:val="20"/>
        </w:rPr>
        <w:t xml:space="preserve"> </w:t>
      </w:r>
      <w:r w:rsidR="00A0084F">
        <w:rPr>
          <w:sz w:val="20"/>
        </w:rPr>
        <w:t>As NZ Co’s threshold fraction of NZ$20 million/NZ$20 million or 1/1 would exceed Foreign Co’s threshold fraction the term would be adjusted to 5 years.</w:t>
      </w:r>
    </w:p>
    <w:p w:rsidR="00A0084F" w:rsidRDefault="00A0084F" w:rsidP="00B30C33">
      <w:pPr>
        <w:pBdr>
          <w:top w:val="single" w:sz="4" w:space="10" w:color="auto"/>
          <w:left w:val="single" w:sz="4" w:space="10" w:color="auto"/>
          <w:bottom w:val="single" w:sz="4" w:space="10" w:color="auto"/>
          <w:right w:val="single" w:sz="4" w:space="10" w:color="auto"/>
        </w:pBdr>
        <w:rPr>
          <w:sz w:val="20"/>
        </w:rPr>
      </w:pPr>
    </w:p>
    <w:p w:rsidR="006C18A0" w:rsidRDefault="00A0084F" w:rsidP="00B30C33">
      <w:pPr>
        <w:pBdr>
          <w:top w:val="single" w:sz="4" w:space="10" w:color="auto"/>
          <w:left w:val="single" w:sz="4" w:space="10" w:color="auto"/>
          <w:bottom w:val="single" w:sz="4" w:space="10" w:color="auto"/>
          <w:right w:val="single" w:sz="4" w:space="10" w:color="auto"/>
        </w:pBdr>
        <w:rPr>
          <w:sz w:val="20"/>
        </w:rPr>
      </w:pPr>
      <w:r>
        <w:rPr>
          <w:sz w:val="20"/>
        </w:rPr>
        <w:t>Foreign Co chooses to restructure their loan to NZ Co by lending NZ$10 million for 5 years and NZ$10 million for 1</w:t>
      </w:r>
      <w:r w:rsidR="006C18A0">
        <w:rPr>
          <w:sz w:val="20"/>
        </w:rPr>
        <w:t>2.5</w:t>
      </w:r>
      <w:r>
        <w:rPr>
          <w:sz w:val="20"/>
        </w:rPr>
        <w:t xml:space="preserve"> years and using this to repay the original NZ$20 million loan.</w:t>
      </w:r>
      <w:r w:rsidR="00292098">
        <w:rPr>
          <w:sz w:val="20"/>
        </w:rPr>
        <w:t xml:space="preserve"> </w:t>
      </w:r>
      <w:r>
        <w:rPr>
          <w:sz w:val="20"/>
        </w:rPr>
        <w:t>As NZ Co’s threshold term of 1</w:t>
      </w:r>
      <w:r w:rsidR="006C18A0">
        <w:rPr>
          <w:sz w:val="20"/>
        </w:rPr>
        <w:t>2.5</w:t>
      </w:r>
      <w:r>
        <w:rPr>
          <w:sz w:val="20"/>
        </w:rPr>
        <w:t xml:space="preserve"> years and threshold fraction of NZ$10 million/NZ$20 million or 1/2 is now </w:t>
      </w:r>
      <w:r w:rsidR="006C18A0">
        <w:rPr>
          <w:sz w:val="20"/>
        </w:rPr>
        <w:t xml:space="preserve">less than </w:t>
      </w:r>
      <w:r>
        <w:rPr>
          <w:sz w:val="20"/>
        </w:rPr>
        <w:t>Foreign Co</w:t>
      </w:r>
      <w:r w:rsidR="006C18A0">
        <w:rPr>
          <w:sz w:val="20"/>
        </w:rPr>
        <w:t xml:space="preserve"> no adjustment is made under the restricted transfer pricing rule.</w:t>
      </w:r>
    </w:p>
    <w:p w:rsidR="00D73C1C" w:rsidRPr="002B3E12" w:rsidRDefault="00D73C1C" w:rsidP="00192B65">
      <w:pPr>
        <w:rPr>
          <w:sz w:val="20"/>
        </w:rPr>
      </w:pPr>
    </w:p>
    <w:p w:rsidR="00A11821" w:rsidRPr="007F0F32" w:rsidRDefault="00A11821" w:rsidP="00B30C33">
      <w:pPr>
        <w:pBdr>
          <w:top w:val="single" w:sz="4" w:space="10" w:color="auto"/>
          <w:left w:val="single" w:sz="4" w:space="10" w:color="auto"/>
          <w:bottom w:val="single" w:sz="4" w:space="10" w:color="auto"/>
          <w:right w:val="single" w:sz="4" w:space="10" w:color="auto"/>
        </w:pBdr>
        <w:jc w:val="left"/>
        <w:rPr>
          <w:b/>
          <w:sz w:val="20"/>
        </w:rPr>
      </w:pPr>
      <w:r w:rsidRPr="007F0F32">
        <w:rPr>
          <w:b/>
          <w:sz w:val="20"/>
        </w:rPr>
        <w:t>Example</w:t>
      </w:r>
      <w:r w:rsidR="00214E42">
        <w:rPr>
          <w:b/>
          <w:sz w:val="20"/>
        </w:rPr>
        <w:t xml:space="preserve"> </w:t>
      </w:r>
      <w:r w:rsidR="00507AB5">
        <w:rPr>
          <w:b/>
          <w:sz w:val="20"/>
        </w:rPr>
        <w:t>6</w:t>
      </w:r>
    </w:p>
    <w:p w:rsidR="00B30C33" w:rsidRDefault="00B30C33" w:rsidP="00B30C33">
      <w:pPr>
        <w:pBdr>
          <w:top w:val="single" w:sz="4" w:space="10" w:color="auto"/>
          <w:left w:val="single" w:sz="4" w:space="10" w:color="auto"/>
          <w:bottom w:val="single" w:sz="4" w:space="10" w:color="auto"/>
          <w:right w:val="single" w:sz="4" w:space="10" w:color="auto"/>
        </w:pBdr>
        <w:jc w:val="left"/>
        <w:rPr>
          <w:sz w:val="20"/>
        </w:rPr>
      </w:pPr>
    </w:p>
    <w:p w:rsidR="007F0F32" w:rsidRPr="007F0F32" w:rsidRDefault="00A11821" w:rsidP="00B30C33">
      <w:pPr>
        <w:pBdr>
          <w:top w:val="single" w:sz="4" w:space="10" w:color="auto"/>
          <w:left w:val="single" w:sz="4" w:space="10" w:color="auto"/>
          <w:bottom w:val="single" w:sz="4" w:space="10" w:color="auto"/>
          <w:right w:val="single" w:sz="4" w:space="10" w:color="auto"/>
        </w:pBdr>
        <w:jc w:val="left"/>
        <w:rPr>
          <w:sz w:val="20"/>
        </w:rPr>
      </w:pPr>
      <w:r w:rsidRPr="007F0F32">
        <w:rPr>
          <w:sz w:val="20"/>
        </w:rPr>
        <w:t>NZ Co has a $100 million 30 year loan from its parent, Foreign Co</w:t>
      </w:r>
      <w:r w:rsidR="007F0F32" w:rsidRPr="007F0F32">
        <w:rPr>
          <w:sz w:val="20"/>
        </w:rPr>
        <w:t xml:space="preserve"> and no third party debt</w:t>
      </w:r>
      <w:r w:rsidRPr="007F0F32">
        <w:rPr>
          <w:sz w:val="20"/>
        </w:rPr>
        <w:t>.</w:t>
      </w:r>
      <w:r w:rsidR="00292098">
        <w:rPr>
          <w:sz w:val="20"/>
        </w:rPr>
        <w:t xml:space="preserve"> </w:t>
      </w:r>
      <w:r w:rsidRPr="007F0F32">
        <w:rPr>
          <w:sz w:val="20"/>
        </w:rPr>
        <w:t xml:space="preserve">The interest rate on this loan is </w:t>
      </w:r>
      <w:r w:rsidR="007F0F32" w:rsidRPr="007F0F32">
        <w:rPr>
          <w:sz w:val="20"/>
        </w:rPr>
        <w:t>re</w:t>
      </w:r>
      <w:r w:rsidRPr="007F0F32">
        <w:rPr>
          <w:sz w:val="20"/>
        </w:rPr>
        <w:t>set on 1 January each year</w:t>
      </w:r>
      <w:r w:rsidR="007F0F32" w:rsidRPr="007F0F32">
        <w:rPr>
          <w:sz w:val="20"/>
        </w:rPr>
        <w:t>.</w:t>
      </w:r>
      <w:r w:rsidR="00292098">
        <w:rPr>
          <w:sz w:val="20"/>
        </w:rPr>
        <w:t xml:space="preserve"> </w:t>
      </w:r>
      <w:r w:rsidR="007F0F32" w:rsidRPr="007F0F32">
        <w:rPr>
          <w:sz w:val="20"/>
        </w:rPr>
        <w:t xml:space="preserve">Foreign Co has an embedded call option </w:t>
      </w:r>
      <w:r w:rsidR="00F43E7D">
        <w:rPr>
          <w:sz w:val="20"/>
        </w:rPr>
        <w:t xml:space="preserve">whereby </w:t>
      </w:r>
      <w:r w:rsidR="007F0F32" w:rsidRPr="007F0F32">
        <w:rPr>
          <w:sz w:val="20"/>
        </w:rPr>
        <w:t xml:space="preserve">it can demand repayment on the reset date provided </w:t>
      </w:r>
      <w:r w:rsidR="00F43E7D">
        <w:rPr>
          <w:sz w:val="20"/>
        </w:rPr>
        <w:t xml:space="preserve">it </w:t>
      </w:r>
      <w:r w:rsidR="007F0F32" w:rsidRPr="007F0F32">
        <w:rPr>
          <w:sz w:val="20"/>
        </w:rPr>
        <w:t>give</w:t>
      </w:r>
      <w:r w:rsidR="00F43E7D">
        <w:rPr>
          <w:sz w:val="20"/>
        </w:rPr>
        <w:t>s</w:t>
      </w:r>
      <w:r w:rsidR="007F0F32" w:rsidRPr="007F0F32">
        <w:rPr>
          <w:sz w:val="20"/>
        </w:rPr>
        <w:t xml:space="preserve"> 30 days prior </w:t>
      </w:r>
      <w:r w:rsidR="00F43E7D">
        <w:rPr>
          <w:sz w:val="20"/>
        </w:rPr>
        <w:t>notice</w:t>
      </w:r>
      <w:r w:rsidR="007F0F32" w:rsidRPr="007F0F32">
        <w:rPr>
          <w:sz w:val="20"/>
        </w:rPr>
        <w:t>.</w:t>
      </w:r>
      <w:r w:rsidR="00292098">
        <w:rPr>
          <w:sz w:val="20"/>
        </w:rPr>
        <w:t xml:space="preserve"> </w:t>
      </w:r>
      <w:r w:rsidR="007F0F32" w:rsidRPr="007F0F32">
        <w:rPr>
          <w:sz w:val="20"/>
        </w:rPr>
        <w:t xml:space="preserve">Foreign Co does not face </w:t>
      </w:r>
      <w:r w:rsidR="00F43E7D">
        <w:rPr>
          <w:sz w:val="20"/>
        </w:rPr>
        <w:t xml:space="preserve">any </w:t>
      </w:r>
      <w:r w:rsidR="007F0F32" w:rsidRPr="007F0F32">
        <w:rPr>
          <w:sz w:val="20"/>
        </w:rPr>
        <w:t>more risk than if they provided a one year loan that was rolled over each year.</w:t>
      </w:r>
    </w:p>
    <w:p w:rsidR="007F0F32" w:rsidRPr="007F0F32" w:rsidRDefault="007F0F32" w:rsidP="00B30C33">
      <w:pPr>
        <w:pBdr>
          <w:top w:val="single" w:sz="4" w:space="10" w:color="auto"/>
          <w:left w:val="single" w:sz="4" w:space="10" w:color="auto"/>
          <w:bottom w:val="single" w:sz="4" w:space="10" w:color="auto"/>
          <w:right w:val="single" w:sz="4" w:space="10" w:color="auto"/>
        </w:pBdr>
        <w:jc w:val="left"/>
        <w:rPr>
          <w:sz w:val="20"/>
        </w:rPr>
      </w:pPr>
    </w:p>
    <w:p w:rsidR="007F0F32" w:rsidRDefault="007F0F32" w:rsidP="00B30C33">
      <w:pPr>
        <w:pBdr>
          <w:top w:val="single" w:sz="4" w:space="10" w:color="auto"/>
          <w:left w:val="single" w:sz="4" w:space="10" w:color="auto"/>
          <w:bottom w:val="single" w:sz="4" w:space="10" w:color="auto"/>
          <w:right w:val="single" w:sz="4" w:space="10" w:color="auto"/>
        </w:pBdr>
        <w:jc w:val="left"/>
        <w:rPr>
          <w:sz w:val="20"/>
        </w:rPr>
      </w:pPr>
      <w:r w:rsidRPr="007F0F32">
        <w:rPr>
          <w:sz w:val="20"/>
        </w:rPr>
        <w:t>The term of this loan would be required to be adjusted to 5 years but the annual interest rate reset and embedded call option would continue to be included in the pricing so it is unlikely any adjustment would be required to the amount of deductible interest.</w:t>
      </w:r>
    </w:p>
    <w:p w:rsidR="00192B65" w:rsidRDefault="00192B65" w:rsidP="007F0F32">
      <w:pPr>
        <w:pBdr>
          <w:top w:val="single" w:sz="4" w:space="1" w:color="auto"/>
          <w:left w:val="single" w:sz="4" w:space="4" w:color="auto"/>
          <w:bottom w:val="single" w:sz="4" w:space="1" w:color="auto"/>
          <w:right w:val="single" w:sz="4" w:space="4" w:color="auto"/>
        </w:pBdr>
        <w:jc w:val="left"/>
        <w:rPr>
          <w:b/>
        </w:rPr>
      </w:pPr>
      <w:r>
        <w:rPr>
          <w:b/>
        </w:rPr>
        <w:br w:type="page"/>
      </w:r>
    </w:p>
    <w:p w:rsidR="00192B65" w:rsidRDefault="00192B65" w:rsidP="00192B65">
      <w:pPr>
        <w:rPr>
          <w:b/>
        </w:rPr>
      </w:pPr>
      <w:r w:rsidRPr="008C3485">
        <w:rPr>
          <w:b/>
        </w:rPr>
        <w:t xml:space="preserve">Flowchart </w:t>
      </w:r>
      <w:r w:rsidR="00204FE3">
        <w:rPr>
          <w:b/>
        </w:rPr>
        <w:t>3</w:t>
      </w:r>
      <w:r w:rsidRPr="008C3485">
        <w:rPr>
          <w:b/>
        </w:rPr>
        <w:t>: Determining the interest rate on a particular instrument – not for insuring or lending persons</w:t>
      </w:r>
    </w:p>
    <w:p w:rsidR="00192B65" w:rsidRPr="002A75C5" w:rsidRDefault="00192B65" w:rsidP="00192B65"/>
    <w:p w:rsidR="00192B65" w:rsidRDefault="00192B65" w:rsidP="00192B65">
      <w:r>
        <w:rPr>
          <w:noProof/>
          <w:lang w:val="en-NZ" w:eastAsia="en-NZ"/>
        </w:rPr>
        <mc:AlternateContent>
          <mc:Choice Requires="wps">
            <w:drawing>
              <wp:anchor distT="0" distB="0" distL="114300" distR="114300" simplePos="0" relativeHeight="251661312" behindDoc="0" locked="0" layoutInCell="1" allowOverlap="1" wp14:anchorId="43C6C2F3" wp14:editId="3B31CC94">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76A05" w:rsidRPr="008C3485" w:rsidRDefault="00076A05" w:rsidP="00192B65">
                            <w:pPr>
                              <w:rPr>
                                <w:b/>
                              </w:rPr>
                            </w:pPr>
                          </w:p>
                          <w:p w:rsidR="00076A05" w:rsidRPr="00080170" w:rsidRDefault="00076A05" w:rsidP="00192B65">
                            <w:pPr>
                              <w:spacing w:line="300" w:lineRule="atLeast"/>
                            </w:pPr>
                            <w:r>
                              <w:object w:dxaOrig="10921" w:dyaOrig="10861">
                                <v:shape id="_x0000_i1029" type="#_x0000_t75" style="width:415.55pt;height:413.25pt" o:ole="">
                                  <v:imagedata r:id="rId14" o:title=""/>
                                </v:shape>
                                <o:OLEObject Type="Embed" ProgID="Visio.Drawing.15" ShapeID="_x0000_i1029" DrawAspect="Content" ObjectID="_1618044755" r:id="rId1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C6C2F3" id="Text Box 3"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o8YGwRAIAAI0EAAAOAAAA&#10;AAAAAAAAAAAAAC4CAABkcnMvZTJvRG9jLnhtbFBLAQItABQABgAIAAAAIQC3DAMI1wAAAAUBAAAP&#10;AAAAAAAAAAAAAAAAAJ4EAABkcnMvZG93bnJldi54bWxQSwUGAAAAAAQABADzAAAAogUAAAAA&#10;" filled="f" strokeweight=".5pt">
                <v:textbox style="mso-fit-shape-to-text:t">
                  <w:txbxContent>
                    <w:p w:rsidR="00076A05" w:rsidRPr="008C3485" w:rsidRDefault="00076A05" w:rsidP="00192B65">
                      <w:pPr>
                        <w:rPr>
                          <w:b/>
                        </w:rPr>
                      </w:pPr>
                    </w:p>
                    <w:p w:rsidR="00076A05" w:rsidRPr="00080170" w:rsidRDefault="00076A05" w:rsidP="00192B65">
                      <w:pPr>
                        <w:spacing w:line="300" w:lineRule="atLeast"/>
                      </w:pPr>
                      <w:r>
                        <w:object w:dxaOrig="10921" w:dyaOrig="10861">
                          <v:shape id="_x0000_i1029" type="#_x0000_t75" style="width:415.55pt;height:413.25pt" o:ole="">
                            <v:imagedata r:id="rId14" o:title=""/>
                          </v:shape>
                          <o:OLEObject Type="Embed" ProgID="Visio.Drawing.15" ShapeID="_x0000_i1029" DrawAspect="Content" ObjectID="_1618044755" r:id="rId16"/>
                        </w:object>
                      </w:r>
                    </w:p>
                  </w:txbxContent>
                </v:textbox>
                <w10:wrap type="square"/>
              </v:shape>
            </w:pict>
          </mc:Fallback>
        </mc:AlternateContent>
      </w:r>
    </w:p>
    <w:p w:rsidR="00192B65" w:rsidRDefault="00192B65" w:rsidP="00192B65"/>
    <w:p w:rsidR="00192B65" w:rsidRPr="008C3485" w:rsidRDefault="00192B65" w:rsidP="00192B65">
      <w:pPr>
        <w:rPr>
          <w:b/>
          <w:i/>
        </w:rPr>
      </w:pPr>
      <w:r w:rsidRPr="008C3485">
        <w:rPr>
          <w:b/>
          <w:i/>
        </w:rPr>
        <w:t>Credit ratings of insuring or lending persons</w:t>
      </w:r>
    </w:p>
    <w:p w:rsidR="00192B65" w:rsidRPr="008C3485" w:rsidRDefault="00192B65" w:rsidP="00192B65"/>
    <w:p w:rsidR="00192B65" w:rsidRDefault="00192B65" w:rsidP="00192B65">
      <w:r w:rsidRPr="008C3485">
        <w:t xml:space="preserve">Financial institutions (referred to in the legislation as an “insuring or lending person”) are </w:t>
      </w:r>
      <w:r w:rsidR="00E51139">
        <w:t xml:space="preserve">generally </w:t>
      </w:r>
      <w:r w:rsidRPr="008C3485">
        <w:t xml:space="preserve">required to use their parent’s credit rating rather than the </w:t>
      </w:r>
      <w:r w:rsidR="00E51139">
        <w:t>default credit rating, restricted credit rating or group credit rating discussed</w:t>
      </w:r>
      <w:r w:rsidRPr="008C3485">
        <w:t xml:space="preserve"> above.</w:t>
      </w:r>
      <w:r w:rsidR="00292098">
        <w:t xml:space="preserve"> </w:t>
      </w:r>
      <w:r w:rsidRPr="008C3485">
        <w:t>There are two reasons for this:</w:t>
      </w:r>
    </w:p>
    <w:p w:rsidR="00192B65" w:rsidRPr="008C3485" w:rsidRDefault="00192B65" w:rsidP="00192B65"/>
    <w:p w:rsidR="00192B65" w:rsidRDefault="00192B65" w:rsidP="002C0293">
      <w:pPr>
        <w:pStyle w:val="Indentbullet"/>
        <w:numPr>
          <w:ilvl w:val="0"/>
          <w:numId w:val="2"/>
        </w:numPr>
      </w:pPr>
      <w:r>
        <w:t>Financial institutions are more integral to their worldwide group in that a default is more likely to affect the risk perception of the worldwide group.</w:t>
      </w:r>
      <w:r w:rsidR="00292098">
        <w:t xml:space="preserve"> </w:t>
      </w:r>
      <w:r>
        <w:t>This results in a higher level of implicit support.</w:t>
      </w:r>
    </w:p>
    <w:p w:rsidR="00192B65" w:rsidRDefault="00192B65" w:rsidP="002C0293">
      <w:pPr>
        <w:pStyle w:val="Indentbullet"/>
        <w:numPr>
          <w:ilvl w:val="0"/>
          <w:numId w:val="2"/>
        </w:numPr>
        <w:spacing w:after="0"/>
      </w:pPr>
      <w:r>
        <w:t xml:space="preserve">Financial institutions apply a different business model with much higher levels of leverage and, as interest </w:t>
      </w:r>
      <w:r w:rsidR="00920638">
        <w:t>is</w:t>
      </w:r>
      <w:r>
        <w:t xml:space="preserve"> their main income source, calculating </w:t>
      </w:r>
      <w:r w:rsidR="003B4C7F">
        <w:t>their debt percentage under the standard thin capitalisation rules is not appropriate</w:t>
      </w:r>
      <w:r>
        <w:t>.</w:t>
      </w:r>
    </w:p>
    <w:p w:rsidR="00192B65" w:rsidRDefault="00192B65" w:rsidP="00192B65">
      <w:pPr>
        <w:spacing w:line="300" w:lineRule="atLeast"/>
      </w:pPr>
      <w:r>
        <w:t xml:space="preserve">An “insuring or lending person” is defined in section GC 15(2) to </w:t>
      </w:r>
      <w:r w:rsidR="0027557B">
        <w:t>include</w:t>
      </w:r>
      <w:r>
        <w:t xml:space="preserve"> the following groups:</w:t>
      </w:r>
    </w:p>
    <w:p w:rsidR="00192B65" w:rsidRDefault="00192B65" w:rsidP="00192B65">
      <w:pPr>
        <w:spacing w:line="300" w:lineRule="atLeast"/>
      </w:pPr>
    </w:p>
    <w:p w:rsidR="00192B65" w:rsidRDefault="00192B65" w:rsidP="00B30C33">
      <w:pPr>
        <w:pStyle w:val="Bullets"/>
      </w:pPr>
      <w:r>
        <w:t>Banks, insurance companies and non-bank deposit takers regulated by the Reserve Bank of New Zealand.</w:t>
      </w:r>
    </w:p>
    <w:p w:rsidR="00192B65" w:rsidRDefault="00192B65" w:rsidP="00B30C33">
      <w:pPr>
        <w:pStyle w:val="Bullets"/>
      </w:pPr>
      <w:r>
        <w:t>A member of a group not regulated by the Reserve Bank of New Zealand whose main business is lending to third parties.</w:t>
      </w:r>
    </w:p>
    <w:p w:rsidR="00192B65" w:rsidRDefault="00192B65" w:rsidP="00B30C33">
      <w:pPr>
        <w:pStyle w:val="Bullets"/>
        <w:spacing w:after="0"/>
      </w:pPr>
      <w:r>
        <w:t>An individual entity or sub-group in the business of lending to third parties where the wider group is in a business other than as a financial institution.</w:t>
      </w:r>
    </w:p>
    <w:p w:rsidR="00192B65" w:rsidRDefault="00192B65" w:rsidP="00192B65">
      <w:pPr>
        <w:spacing w:line="300" w:lineRule="atLeast"/>
      </w:pPr>
    </w:p>
    <w:p w:rsidR="00192B65" w:rsidRDefault="00192B65" w:rsidP="00192B65">
      <w:pPr>
        <w:spacing w:line="300" w:lineRule="atLeast"/>
      </w:pPr>
      <w:r>
        <w:t>These last two bullet points are dealt with by section GC 15(2)(d) and (e) respectively.</w:t>
      </w:r>
      <w:r w:rsidR="00292098">
        <w:t xml:space="preserve"> </w:t>
      </w:r>
    </w:p>
    <w:p w:rsidR="00192B65" w:rsidRDefault="00192B65" w:rsidP="00192B65">
      <w:pPr>
        <w:spacing w:line="300" w:lineRule="atLeast"/>
      </w:pPr>
    </w:p>
    <w:p w:rsidR="00192B65" w:rsidRDefault="00AA150E" w:rsidP="00192B65">
      <w:pPr>
        <w:spacing w:line="300" w:lineRule="atLeast"/>
      </w:pPr>
      <w:r>
        <w:t xml:space="preserve">An example of the last category is </w:t>
      </w:r>
      <w:r w:rsidR="00192B65">
        <w:t xml:space="preserve">a motor vehicle importer which also operates a finance company to allow their customers to lease their </w:t>
      </w:r>
      <w:r>
        <w:t>vehicles</w:t>
      </w:r>
      <w:r w:rsidR="00192B65">
        <w:t>.</w:t>
      </w:r>
      <w:r w:rsidR="00292098">
        <w:t xml:space="preserve"> </w:t>
      </w:r>
      <w:r w:rsidR="00192B65">
        <w:t>This will essentially require the group to be split into two for the purpose of applying the rules with the finance company subsidiary having a credit rating under section GC 17 and the remainder of the group applying section GC 16.</w:t>
      </w:r>
      <w:r w:rsidR="00292098">
        <w:t xml:space="preserve"> </w:t>
      </w:r>
      <w:r w:rsidR="003B4C7F">
        <w:t>If importing motor vehicles and operating a finance company was undertaken in a single</w:t>
      </w:r>
      <w:r w:rsidR="00B30C33">
        <w:t xml:space="preserve"> </w:t>
      </w:r>
      <w:r w:rsidR="003A256F">
        <w:t>company</w:t>
      </w:r>
      <w:r w:rsidR="00AB7302">
        <w:t>,</w:t>
      </w:r>
      <w:r w:rsidR="003B4C7F">
        <w:t xml:space="preserve"> </w:t>
      </w:r>
      <w:r w:rsidR="003A256F">
        <w:t>the company</w:t>
      </w:r>
      <w:r>
        <w:t xml:space="preserve"> </w:t>
      </w:r>
      <w:r w:rsidR="00AB7302">
        <w:t xml:space="preserve">would need </w:t>
      </w:r>
      <w:r w:rsidR="003B4C7F">
        <w:t xml:space="preserve">to determine </w:t>
      </w:r>
      <w:r>
        <w:t>its</w:t>
      </w:r>
      <w:r w:rsidR="003B4C7F">
        <w:t xml:space="preserve"> main business activity so that</w:t>
      </w:r>
      <w:r w:rsidR="00172C46">
        <w:t xml:space="preserve"> </w:t>
      </w:r>
      <w:r>
        <w:t xml:space="preserve">it is </w:t>
      </w:r>
      <w:r w:rsidR="003B4C7F">
        <w:t xml:space="preserve">either an insuring or lending person or </w:t>
      </w:r>
      <w:r w:rsidR="002A5C2E">
        <w:t xml:space="preserve">not an </w:t>
      </w:r>
      <w:r w:rsidR="003B4C7F">
        <w:t>insuring or lending person.</w:t>
      </w:r>
    </w:p>
    <w:p w:rsidR="00192B65" w:rsidRDefault="00192B65" w:rsidP="00192B65">
      <w:pPr>
        <w:spacing w:line="300" w:lineRule="atLeast"/>
      </w:pPr>
    </w:p>
    <w:p w:rsidR="002C543C" w:rsidRPr="002C543C" w:rsidRDefault="002C543C" w:rsidP="00192B65">
      <w:pPr>
        <w:spacing w:line="300" w:lineRule="atLeast"/>
        <w:rPr>
          <w:i/>
        </w:rPr>
      </w:pPr>
      <w:r w:rsidRPr="002C543C">
        <w:rPr>
          <w:i/>
        </w:rPr>
        <w:t>Credit ratings</w:t>
      </w:r>
    </w:p>
    <w:p w:rsidR="002C543C" w:rsidRDefault="002C543C" w:rsidP="00192B65">
      <w:pPr>
        <w:spacing w:line="300" w:lineRule="atLeast"/>
      </w:pPr>
    </w:p>
    <w:p w:rsidR="002C543C" w:rsidRDefault="002C543C" w:rsidP="00192B65">
      <w:pPr>
        <w:spacing w:line="300" w:lineRule="atLeast"/>
      </w:pPr>
      <w:r>
        <w:t xml:space="preserve">The default credit rating for insuring or lending persons is the </w:t>
      </w:r>
      <w:r w:rsidR="00AA150E">
        <w:t>group borrower</w:t>
      </w:r>
      <w:r>
        <w:t>’s credit rating</w:t>
      </w:r>
      <w:r w:rsidR="0096598C">
        <w:t xml:space="preserve"> in section GC 17(</w:t>
      </w:r>
      <w:r w:rsidR="004002A1">
        <w:t>a</w:t>
      </w:r>
      <w:r w:rsidR="0096598C">
        <w:t>).</w:t>
      </w:r>
      <w:r w:rsidR="00292098">
        <w:t xml:space="preserve"> </w:t>
      </w:r>
      <w:r w:rsidR="0096598C">
        <w:t xml:space="preserve">Unlike the approach for non-insuring or lending persons there is no high-BEPS risk test and there is no </w:t>
      </w:r>
      <w:r w:rsidR="00980DC8">
        <w:t>difference</w:t>
      </w:r>
      <w:r w:rsidR="0096598C">
        <w:t xml:space="preserve"> between the </w:t>
      </w:r>
      <w:r w:rsidR="00AA150E">
        <w:t>group borrower</w:t>
      </w:r>
      <w:r w:rsidR="0096598C">
        <w:t>’s rating and the New Zealand borrower’s rating.</w:t>
      </w:r>
      <w:r w:rsidR="00292098">
        <w:t xml:space="preserve"> </w:t>
      </w:r>
      <w:r w:rsidR="0096598C">
        <w:t>In many instances, including the majority of the banking industry</w:t>
      </w:r>
      <w:r w:rsidR="00C71BCE">
        <w:t xml:space="preserve"> on their current ratings</w:t>
      </w:r>
      <w:r w:rsidR="0096598C">
        <w:t xml:space="preserve">, this should not provide a practical restriction as the New Zealand rating is already the same as the </w:t>
      </w:r>
      <w:r w:rsidR="00AA150E">
        <w:t>group borrower</w:t>
      </w:r>
      <w:r w:rsidR="0096598C">
        <w:t>’s.</w:t>
      </w:r>
      <w:r w:rsidR="00292098">
        <w:t xml:space="preserve"> </w:t>
      </w:r>
      <w:r w:rsidR="00C71BCE">
        <w:t xml:space="preserve">Even if the </w:t>
      </w:r>
      <w:r w:rsidR="00AA150E">
        <w:t>group borrower</w:t>
      </w:r>
      <w:r w:rsidR="00C71BCE">
        <w:t xml:space="preserve"> and New Zealand subsidiary ratings diverge in the future this may not impose a restriction in practice due to the availability of the option</w:t>
      </w:r>
      <w:r w:rsidR="00D02C04">
        <w:t>al</w:t>
      </w:r>
      <w:r w:rsidR="00C71BCE">
        <w:t xml:space="preserve"> credit rating – which is explained further below.</w:t>
      </w:r>
    </w:p>
    <w:p w:rsidR="0096598C" w:rsidRDefault="0096598C" w:rsidP="00192B65">
      <w:pPr>
        <w:spacing w:line="300" w:lineRule="atLeast"/>
      </w:pPr>
    </w:p>
    <w:p w:rsidR="0096598C" w:rsidRDefault="0096598C" w:rsidP="00192B65">
      <w:pPr>
        <w:spacing w:line="300" w:lineRule="atLeast"/>
      </w:pPr>
      <w:r>
        <w:t xml:space="preserve">Although the credit rating must be the same as the </w:t>
      </w:r>
      <w:r w:rsidR="00AA150E">
        <w:t>group borrower</w:t>
      </w:r>
      <w:r>
        <w:t xml:space="preserve">’s this does not require the </w:t>
      </w:r>
      <w:r w:rsidR="00AA150E">
        <w:t xml:space="preserve">interest rates on identical debt </w:t>
      </w:r>
      <w:r>
        <w:t>to be identical.</w:t>
      </w:r>
      <w:r w:rsidR="00292098">
        <w:t xml:space="preserve"> </w:t>
      </w:r>
      <w:r w:rsidR="001B32AC">
        <w:t>If t</w:t>
      </w:r>
      <w:r>
        <w:t xml:space="preserve">here is market observable data that </w:t>
      </w:r>
      <w:r w:rsidR="00F96283">
        <w:t xml:space="preserve">a </w:t>
      </w:r>
      <w:r>
        <w:t xml:space="preserve">New Zealand financial institution with the same credit rating as </w:t>
      </w:r>
      <w:r w:rsidR="00AA150E">
        <w:t>its</w:t>
      </w:r>
      <w:r>
        <w:t xml:space="preserve"> </w:t>
      </w:r>
      <w:r w:rsidR="00AA150E">
        <w:t>group borrower</w:t>
      </w:r>
      <w:r>
        <w:t xml:space="preserve"> pay</w:t>
      </w:r>
      <w:r w:rsidR="00F96283">
        <w:t>s</w:t>
      </w:r>
      <w:r>
        <w:t xml:space="preserve"> a higher </w:t>
      </w:r>
      <w:r w:rsidR="00980DC8">
        <w:t xml:space="preserve">or lower </w:t>
      </w:r>
      <w:r>
        <w:t>interest rate for an equivalent instrument</w:t>
      </w:r>
      <w:r w:rsidR="00F96283">
        <w:t xml:space="preserve">, then </w:t>
      </w:r>
      <w:r>
        <w:t xml:space="preserve">the new rules will not prevent </w:t>
      </w:r>
      <w:r w:rsidR="00AA150E">
        <w:t>that differential also applying in the determination of interest rates on cross-border related borrowing</w:t>
      </w:r>
      <w:r>
        <w:t>.</w:t>
      </w:r>
    </w:p>
    <w:p w:rsidR="002C543C" w:rsidRDefault="002C543C" w:rsidP="00192B65">
      <w:pPr>
        <w:spacing w:line="300" w:lineRule="atLeast"/>
      </w:pPr>
    </w:p>
    <w:p w:rsidR="004002A1" w:rsidRDefault="004002A1" w:rsidP="00192B65">
      <w:pPr>
        <w:spacing w:line="300" w:lineRule="atLeast"/>
      </w:pPr>
      <w:r>
        <w:t>One notable example that has been identified is the credit rating of certain insurance companies.</w:t>
      </w:r>
      <w:r w:rsidR="00292098">
        <w:t xml:space="preserve"> </w:t>
      </w:r>
      <w:r w:rsidR="00240162">
        <w:t>Many</w:t>
      </w:r>
      <w:r>
        <w:t xml:space="preserve"> insurance compan</w:t>
      </w:r>
      <w:r w:rsidR="00240162">
        <w:t>ies</w:t>
      </w:r>
      <w:r>
        <w:t xml:space="preserve">, either internationally or in New Zealand, will have a high </w:t>
      </w:r>
      <w:r w:rsidR="00AB7302">
        <w:t xml:space="preserve">credit </w:t>
      </w:r>
      <w:r>
        <w:t>rating but little or no debt compared with another entity in the group that will have a slightly lower credit rating but the majority of borrowing for the group.</w:t>
      </w:r>
      <w:r w:rsidR="00292098">
        <w:t xml:space="preserve"> </w:t>
      </w:r>
      <w:r w:rsidR="00AA120A">
        <w:t xml:space="preserve">As noted above, the </w:t>
      </w:r>
      <w:r w:rsidR="00254A6A">
        <w:t>group borrower</w:t>
      </w:r>
      <w:r w:rsidR="00AA120A">
        <w:t xml:space="preserve">’s credit rating is based on the entity in the group with the highest amount of </w:t>
      </w:r>
      <w:r w:rsidR="00254A6A">
        <w:t xml:space="preserve">long-term senior unsecured </w:t>
      </w:r>
      <w:r w:rsidR="00AA120A">
        <w:t>debt.</w:t>
      </w:r>
      <w:r w:rsidR="00292098">
        <w:t xml:space="preserve"> </w:t>
      </w:r>
      <w:r w:rsidR="00AA120A">
        <w:t xml:space="preserve">Therefore the credit rating of the insurance group will be based on the credit rating of the entity that borrows externally which will be lower than the credit rating of the </w:t>
      </w:r>
      <w:r w:rsidR="00254A6A">
        <w:t>insurance company</w:t>
      </w:r>
      <w:r w:rsidR="00AA120A">
        <w:t>.</w:t>
      </w:r>
      <w:r w:rsidR="00292098">
        <w:t xml:space="preserve"> </w:t>
      </w:r>
      <w:r w:rsidR="00AA120A">
        <w:t xml:space="preserve">This </w:t>
      </w:r>
      <w:r w:rsidR="00254A6A">
        <w:t xml:space="preserve">lower rating </w:t>
      </w:r>
      <w:r w:rsidR="00AA120A">
        <w:t>should more accurately reflect the actual borrowing costs of the group.</w:t>
      </w:r>
    </w:p>
    <w:p w:rsidR="004002A1" w:rsidRDefault="004002A1" w:rsidP="00192B65">
      <w:pPr>
        <w:spacing w:line="300" w:lineRule="atLeast"/>
      </w:pPr>
    </w:p>
    <w:p w:rsidR="0096598C" w:rsidRDefault="0096598C" w:rsidP="00192B65">
      <w:pPr>
        <w:spacing w:line="300" w:lineRule="atLeast"/>
      </w:pPr>
      <w:r>
        <w:t>There are two alternative methods of determining the credit rating.</w:t>
      </w:r>
      <w:r w:rsidR="00292098">
        <w:t xml:space="preserve"> </w:t>
      </w:r>
      <w:r>
        <w:t>The first is a $10 million de minimis in section GC 17(</w:t>
      </w:r>
      <w:r w:rsidR="004002A1">
        <w:t>b</w:t>
      </w:r>
      <w:r>
        <w:t>).</w:t>
      </w:r>
      <w:r w:rsidR="00292098">
        <w:t xml:space="preserve"> </w:t>
      </w:r>
      <w:r>
        <w:t>This is consistent with the $10 million de minimis for non-insuring or lending persons</w:t>
      </w:r>
      <w:r w:rsidR="00CE3732">
        <w:t>,</w:t>
      </w:r>
      <w:r>
        <w:t xml:space="preserve"> and allows </w:t>
      </w:r>
      <w:r w:rsidR="004002A1">
        <w:t>an insuring or lending person with less than $10 million of cross-border related borrowing to apply the credit rating that would apply under the standard transfer pricing rules in the absence of the restricted transfer pricing rule.</w:t>
      </w:r>
    </w:p>
    <w:p w:rsidR="004002A1" w:rsidRDefault="004002A1" w:rsidP="00192B65">
      <w:pPr>
        <w:spacing w:line="300" w:lineRule="atLeast"/>
      </w:pPr>
    </w:p>
    <w:p w:rsidR="004002A1" w:rsidRDefault="004002A1" w:rsidP="00192B65">
      <w:pPr>
        <w:spacing w:line="300" w:lineRule="atLeast"/>
      </w:pPr>
      <w:r>
        <w:t>The second alternative method is the optional credit rating in GC 17(c).</w:t>
      </w:r>
      <w:r w:rsidR="00292098">
        <w:t xml:space="preserve"> </w:t>
      </w:r>
      <w:r>
        <w:t>This follows the same methodology as the optional credit rating for non-insuring or lending persons</w:t>
      </w:r>
      <w:r w:rsidR="00AA120A">
        <w:t>.</w:t>
      </w:r>
      <w:r w:rsidR="00292098">
        <w:t xml:space="preserve"> </w:t>
      </w:r>
      <w:r w:rsidR="00CE3732">
        <w:t>The borrower can use the credit rating implied from this debt of up to four times the value of the third party debt</w:t>
      </w:r>
      <w:r w:rsidR="00AA120A">
        <w:t>.</w:t>
      </w:r>
      <w:r w:rsidR="00292098">
        <w:t xml:space="preserve"> </w:t>
      </w:r>
      <w:r w:rsidR="00AA120A">
        <w:t xml:space="preserve">Further detail on this method is </w:t>
      </w:r>
      <w:r w:rsidR="00AA150E">
        <w:t>provided in</w:t>
      </w:r>
      <w:r w:rsidR="00AA120A">
        <w:t xml:space="preserve"> the non-insuring or lending person section above.</w:t>
      </w:r>
    </w:p>
    <w:p w:rsidR="0096598C" w:rsidRDefault="0096598C" w:rsidP="00192B65">
      <w:pPr>
        <w:spacing w:line="300" w:lineRule="atLeast"/>
      </w:pPr>
    </w:p>
    <w:p w:rsidR="00192B65" w:rsidRPr="008C3485" w:rsidRDefault="00192B65" w:rsidP="00192B65">
      <w:pPr>
        <w:rPr>
          <w:b/>
          <w:i/>
        </w:rPr>
      </w:pPr>
      <w:r w:rsidRPr="008C3485">
        <w:rPr>
          <w:b/>
          <w:i/>
        </w:rPr>
        <w:t>Regulatory capital of banks, insurers and non-bank deposit takers</w:t>
      </w:r>
    </w:p>
    <w:p w:rsidR="00192B65" w:rsidRDefault="00192B65" w:rsidP="00192B65">
      <w:pPr>
        <w:spacing w:line="300" w:lineRule="atLeast"/>
      </w:pPr>
    </w:p>
    <w:p w:rsidR="00192B65" w:rsidRDefault="00192B65" w:rsidP="00192B65">
      <w:pPr>
        <w:spacing w:line="300" w:lineRule="atLeast"/>
      </w:pPr>
      <w:r>
        <w:t>The Reserve Bank requires banks, insurance companies and non-bank deposit takers to hold certain levels of capital to support their</w:t>
      </w:r>
      <w:r w:rsidR="00172C46">
        <w:t xml:space="preserve"> </w:t>
      </w:r>
      <w:r w:rsidR="002719C6">
        <w:t>operations</w:t>
      </w:r>
      <w:r>
        <w:t>.</w:t>
      </w:r>
      <w:r w:rsidR="00292098">
        <w:t xml:space="preserve"> </w:t>
      </w:r>
      <w:r w:rsidR="002719C6">
        <w:t>S</w:t>
      </w:r>
      <w:r>
        <w:t xml:space="preserve">ome of this regulatory capital </w:t>
      </w:r>
      <w:r w:rsidR="002719C6">
        <w:t>can take the form of</w:t>
      </w:r>
      <w:r>
        <w:t xml:space="preserve"> debt with deductible interest for tax purposes.</w:t>
      </w:r>
    </w:p>
    <w:p w:rsidR="00192B65" w:rsidRDefault="00192B65" w:rsidP="00192B65">
      <w:pPr>
        <w:spacing w:line="300" w:lineRule="atLeast"/>
      </w:pPr>
    </w:p>
    <w:p w:rsidR="00192B65" w:rsidRDefault="00192B65" w:rsidP="00192B65">
      <w:pPr>
        <w:spacing w:line="300" w:lineRule="atLeast"/>
      </w:pPr>
      <w:r>
        <w:t xml:space="preserve">There are legitimate commercial reasons why </w:t>
      </w:r>
      <w:r w:rsidR="002719C6">
        <w:t>multinational banking and insurance groups often issue regulatory capital in their home country, and then invest some of that regulatory capital down into other countries where they operate</w:t>
      </w:r>
      <w:r w:rsidR="007306EA">
        <w:t xml:space="preserve">. </w:t>
      </w:r>
      <w:r w:rsidR="002719C6">
        <w:t xml:space="preserve">Where this capital is passed down to New Zealand, it </w:t>
      </w:r>
      <w:r>
        <w:t xml:space="preserve"> would not necessarily satisfy the general third party exception as:</w:t>
      </w:r>
    </w:p>
    <w:p w:rsidR="00192B65" w:rsidRDefault="00192B65" w:rsidP="00192B65">
      <w:pPr>
        <w:spacing w:line="300" w:lineRule="atLeast"/>
      </w:pPr>
    </w:p>
    <w:p w:rsidR="00192B65" w:rsidRDefault="00CE3732" w:rsidP="00B30C33">
      <w:pPr>
        <w:pStyle w:val="Bullets"/>
      </w:pPr>
      <w:r>
        <w:t>t</w:t>
      </w:r>
      <w:r w:rsidR="00192B65">
        <w:t xml:space="preserve">he foreign parent will often be subject to different regulatory requirements in </w:t>
      </w:r>
      <w:r w:rsidR="002719C6">
        <w:t>its</w:t>
      </w:r>
      <w:r w:rsidR="00192B65">
        <w:t xml:space="preserve"> home jurisdiction so will have issued instruments with different features; or</w:t>
      </w:r>
    </w:p>
    <w:p w:rsidR="00192B65" w:rsidRDefault="00CE3732" w:rsidP="00B30C33">
      <w:pPr>
        <w:pStyle w:val="Bullets"/>
        <w:spacing w:after="0"/>
      </w:pPr>
      <w:r>
        <w:t>t</w:t>
      </w:r>
      <w:r w:rsidR="00192B65">
        <w:t xml:space="preserve">he worldwide group may have a more comprehensive range of activities in </w:t>
      </w:r>
      <w:r w:rsidR="002719C6">
        <w:t>its</w:t>
      </w:r>
      <w:r w:rsidR="00192B65">
        <w:t xml:space="preserve"> home jurisdiction.</w:t>
      </w:r>
      <w:r w:rsidR="00292098">
        <w:t xml:space="preserve"> </w:t>
      </w:r>
      <w:r w:rsidR="002719C6">
        <w:t>An</w:t>
      </w:r>
      <w:r w:rsidR="00192B65">
        <w:t xml:space="preserve"> example</w:t>
      </w:r>
      <w:r w:rsidR="002719C6">
        <w:t xml:space="preserve"> is</w:t>
      </w:r>
      <w:r w:rsidR="00192B65">
        <w:t xml:space="preserve"> a group that operates a bank and an insurance company internationally but only operates as an insurance company in New Zealand.</w:t>
      </w:r>
    </w:p>
    <w:p w:rsidR="00192B65" w:rsidRPr="008C3485" w:rsidRDefault="00192B65" w:rsidP="00192B65"/>
    <w:p w:rsidR="00192B65" w:rsidRPr="008C3485" w:rsidRDefault="00192B65" w:rsidP="00192B65">
      <w:r w:rsidRPr="008C3485">
        <w:t xml:space="preserve">It is important that the tax rules do not discourage the existence of regulatory capital as </w:t>
      </w:r>
      <w:r w:rsidR="002719C6">
        <w:t xml:space="preserve">that </w:t>
      </w:r>
      <w:r w:rsidRPr="008C3485">
        <w:t>increase</w:t>
      </w:r>
      <w:r w:rsidR="002719C6">
        <w:t>s</w:t>
      </w:r>
      <w:r w:rsidRPr="008C3485">
        <w:t xml:space="preserve"> the risk of that business being unable to meet its obligations to depositors, policy holders </w:t>
      </w:r>
      <w:r w:rsidR="00AB1772">
        <w:t>or</w:t>
      </w:r>
      <w:r w:rsidRPr="008C3485">
        <w:t xml:space="preserve"> other creditors.</w:t>
      </w:r>
    </w:p>
    <w:p w:rsidR="00192B65" w:rsidRPr="008C3485" w:rsidRDefault="00192B65" w:rsidP="00192B65"/>
    <w:p w:rsidR="00192B65" w:rsidRPr="008C3485" w:rsidRDefault="00192B65" w:rsidP="00192B65">
      <w:r w:rsidRPr="008C3485">
        <w:t xml:space="preserve">For banks, insurance companies and non-bank deposit takers the third party test </w:t>
      </w:r>
      <w:r w:rsidR="00E04283">
        <w:t xml:space="preserve">is replaced </w:t>
      </w:r>
      <w:r w:rsidRPr="008C3485">
        <w:t>with a regulatory capital test</w:t>
      </w:r>
      <w:r w:rsidR="00AB7302">
        <w:t xml:space="preserve"> in section GC 18(10)</w:t>
      </w:r>
      <w:r w:rsidRPr="008C3485">
        <w:t>.</w:t>
      </w:r>
      <w:r w:rsidR="00292098">
        <w:t xml:space="preserve"> </w:t>
      </w:r>
      <w:r w:rsidRPr="008C3485">
        <w:t>This test allow</w:t>
      </w:r>
      <w:r w:rsidR="00E04283">
        <w:t>s</w:t>
      </w:r>
      <w:r w:rsidRPr="008C3485">
        <w:t xml:space="preserve"> a bank, insurance company or non-bank deposit taker to include features in pricing related party debt if that feature was </w:t>
      </w:r>
      <w:r w:rsidR="00714A84">
        <w:t xml:space="preserve">required for the </w:t>
      </w:r>
      <w:r w:rsidRPr="008C3485">
        <w:t xml:space="preserve">instrument </w:t>
      </w:r>
      <w:r w:rsidR="00714A84">
        <w:t>to be recognised by the Reserve Bank as</w:t>
      </w:r>
      <w:r w:rsidRPr="008C3485">
        <w:t xml:space="preserve"> regulatory capital </w:t>
      </w:r>
      <w:r w:rsidR="00714A84">
        <w:t>or solvency capital</w:t>
      </w:r>
      <w:r w:rsidR="002719C6">
        <w:t>, even where those features would otherwise have to be disregarded under the restricted transfer pricing rules</w:t>
      </w:r>
      <w:r w:rsidRPr="008C3485">
        <w:t>.</w:t>
      </w:r>
      <w:r w:rsidR="00292098">
        <w:t xml:space="preserve"> </w:t>
      </w:r>
    </w:p>
    <w:p w:rsidR="00192B65" w:rsidRDefault="00192B65" w:rsidP="00192B65"/>
    <w:p w:rsidR="00192B65" w:rsidRPr="008C3485" w:rsidRDefault="00192B65" w:rsidP="00192B65">
      <w:r w:rsidRPr="008C3485">
        <w:t xml:space="preserve">There are four further areas of detail on this </w:t>
      </w:r>
      <w:r w:rsidR="002719C6">
        <w:t xml:space="preserve">regulatory capital </w:t>
      </w:r>
      <w:r w:rsidRPr="008C3485">
        <w:t>test which are:</w:t>
      </w:r>
    </w:p>
    <w:p w:rsidR="00192B65" w:rsidRPr="008C3485" w:rsidRDefault="00192B65" w:rsidP="00192B65"/>
    <w:p w:rsidR="00192B65" w:rsidRDefault="00192B65" w:rsidP="002C0293">
      <w:pPr>
        <w:pStyle w:val="Indentbullet"/>
        <w:numPr>
          <w:ilvl w:val="0"/>
          <w:numId w:val="2"/>
        </w:numPr>
      </w:pPr>
      <w:r>
        <w:t>minimum standards;</w:t>
      </w:r>
    </w:p>
    <w:p w:rsidR="00192B65" w:rsidRDefault="00192B65" w:rsidP="002C0293">
      <w:pPr>
        <w:pStyle w:val="Indentbullet"/>
        <w:numPr>
          <w:ilvl w:val="0"/>
          <w:numId w:val="2"/>
        </w:numPr>
      </w:pPr>
      <w:r>
        <w:t>terms;</w:t>
      </w:r>
    </w:p>
    <w:p w:rsidR="00192B65" w:rsidRDefault="00192B65" w:rsidP="002C0293">
      <w:pPr>
        <w:pStyle w:val="Indentbullet"/>
        <w:numPr>
          <w:ilvl w:val="0"/>
          <w:numId w:val="2"/>
        </w:numPr>
      </w:pPr>
      <w:r>
        <w:t>disqualification; and</w:t>
      </w:r>
    </w:p>
    <w:p w:rsidR="00192B65" w:rsidRDefault="00192B65" w:rsidP="002C0293">
      <w:pPr>
        <w:pStyle w:val="Indentbullet"/>
        <w:numPr>
          <w:ilvl w:val="0"/>
          <w:numId w:val="2"/>
        </w:numPr>
        <w:spacing w:after="0"/>
      </w:pPr>
      <w:r>
        <w:t>back-to-back loans.</w:t>
      </w:r>
    </w:p>
    <w:p w:rsidR="00192B65" w:rsidRDefault="00192B65" w:rsidP="00192B65">
      <w:pPr>
        <w:spacing w:line="300" w:lineRule="atLeast"/>
      </w:pPr>
    </w:p>
    <w:p w:rsidR="00192B65" w:rsidRPr="008C3485" w:rsidRDefault="00192B65" w:rsidP="00192B65">
      <w:pPr>
        <w:rPr>
          <w:i/>
        </w:rPr>
      </w:pPr>
      <w:r w:rsidRPr="008C3485">
        <w:rPr>
          <w:i/>
        </w:rPr>
        <w:t>Minimum standards</w:t>
      </w:r>
    </w:p>
    <w:p w:rsidR="00192B65" w:rsidRDefault="00192B65" w:rsidP="00192B65">
      <w:pPr>
        <w:spacing w:line="300" w:lineRule="atLeast"/>
      </w:pPr>
    </w:p>
    <w:p w:rsidR="00192B65" w:rsidRDefault="00192B65" w:rsidP="00192B65">
      <w:pPr>
        <w:spacing w:line="300" w:lineRule="atLeast"/>
      </w:pPr>
      <w:r>
        <w:t>Banks, insurance companies and non-bank deposit takers</w:t>
      </w:r>
      <w:r w:rsidR="002719C6">
        <w:t xml:space="preserve"> usually</w:t>
      </w:r>
      <w:r>
        <w:t xml:space="preserve"> maintain regulatory capital above the minimum standards, primarily so they can remain above the standard</w:t>
      </w:r>
      <w:r w:rsidR="002719C6">
        <w:t>s</w:t>
      </w:r>
      <w:r>
        <w:t xml:space="preserve"> if a future event, including losses and payments of dividends, causes their level to drop.</w:t>
      </w:r>
      <w:r w:rsidR="00292098">
        <w:t xml:space="preserve"> </w:t>
      </w:r>
      <w:r>
        <w:t>Banks can also issue different levels of capital depending on what features it has.</w:t>
      </w:r>
      <w:r w:rsidR="00292098">
        <w:t xml:space="preserve"> </w:t>
      </w:r>
      <w:r w:rsidR="002719C6">
        <w:t xml:space="preserve">Potential loss of interest deductions should </w:t>
      </w:r>
      <w:r>
        <w:t xml:space="preserve">not </w:t>
      </w:r>
      <w:r w:rsidR="002719C6">
        <w:t xml:space="preserve">discourage this </w:t>
      </w:r>
      <w:r>
        <w:t>behaviour.</w:t>
      </w:r>
      <w:r w:rsidR="00292098">
        <w:t xml:space="preserve"> </w:t>
      </w:r>
      <w:r>
        <w:t xml:space="preserve">Any features that are required to meet the Reserve Bank requirements should be included in pricing even where the entity is over the minimum standard or where it issues a </w:t>
      </w:r>
      <w:r w:rsidR="002719C6">
        <w:t>type</w:t>
      </w:r>
      <w:r>
        <w:t xml:space="preserve"> of capital that has a greater risk than another </w:t>
      </w:r>
      <w:r w:rsidR="002719C6">
        <w:t>type</w:t>
      </w:r>
      <w:r>
        <w:t xml:space="preserve"> of capital.</w:t>
      </w:r>
    </w:p>
    <w:p w:rsidR="005D48FD" w:rsidRDefault="005D48FD" w:rsidP="00192B65">
      <w:pPr>
        <w:spacing w:line="300" w:lineRule="atLeast"/>
      </w:pPr>
    </w:p>
    <w:p w:rsidR="00192B65" w:rsidRPr="008C3485" w:rsidRDefault="00192B65" w:rsidP="00192B65">
      <w:pPr>
        <w:rPr>
          <w:i/>
        </w:rPr>
      </w:pPr>
      <w:r w:rsidRPr="008C3485">
        <w:rPr>
          <w:i/>
        </w:rPr>
        <w:t>Terms</w:t>
      </w:r>
    </w:p>
    <w:p w:rsidR="00192B65" w:rsidRDefault="00192B65" w:rsidP="00192B65">
      <w:pPr>
        <w:spacing w:line="300" w:lineRule="atLeast"/>
      </w:pPr>
    </w:p>
    <w:p w:rsidR="00192B65" w:rsidRDefault="00192B65" w:rsidP="00192B65">
      <w:pPr>
        <w:spacing w:line="300" w:lineRule="atLeast"/>
      </w:pPr>
      <w:r>
        <w:t>Under the current regulatory framework</w:t>
      </w:r>
      <w:r w:rsidR="00CE3732">
        <w:t>,</w:t>
      </w:r>
      <w:r>
        <w:t xml:space="preserve"> banks can issue Tier 2 capital which, amongst other requirements, must have a minimum original maturity of at least five years.</w:t>
      </w:r>
      <w:r w:rsidR="00292098">
        <w:t xml:space="preserve"> </w:t>
      </w:r>
      <w:r>
        <w:t>However, when such an instrument has less than five years to maturity</w:t>
      </w:r>
      <w:r w:rsidR="00CE3732">
        <w:t>,</w:t>
      </w:r>
      <w:r>
        <w:t xml:space="preserve"> the amount that is recognised as regulatory capital is amortised on a straight-line basis at a rate of 20% per annum as follows:</w:t>
      </w:r>
    </w:p>
    <w:p w:rsidR="00192B65" w:rsidRDefault="00192B65" w:rsidP="00192B65">
      <w:pPr>
        <w:spacing w:line="300" w:lineRule="atLeast"/>
      </w:pPr>
    </w:p>
    <w:tbl>
      <w:tblPr>
        <w:tblStyle w:val="TableGrid"/>
        <w:tblW w:w="0" w:type="auto"/>
        <w:jc w:val="center"/>
        <w:tblLook w:val="04A0" w:firstRow="1" w:lastRow="0" w:firstColumn="1" w:lastColumn="0" w:noHBand="0" w:noVBand="1"/>
      </w:tblPr>
      <w:tblGrid>
        <w:gridCol w:w="4264"/>
        <w:gridCol w:w="2223"/>
      </w:tblGrid>
      <w:tr w:rsidR="00192B65" w:rsidTr="00EF338F">
        <w:trPr>
          <w:jc w:val="center"/>
        </w:trPr>
        <w:tc>
          <w:tcPr>
            <w:tcW w:w="4264" w:type="dxa"/>
          </w:tcPr>
          <w:p w:rsidR="00192B65" w:rsidRPr="0056739B" w:rsidRDefault="00192B65" w:rsidP="00EF338F">
            <w:pPr>
              <w:spacing w:line="300" w:lineRule="atLeast"/>
              <w:rPr>
                <w:b/>
              </w:rPr>
            </w:pPr>
            <w:r>
              <w:rPr>
                <w:b/>
              </w:rPr>
              <w:t>Years to maturity</w:t>
            </w:r>
          </w:p>
        </w:tc>
        <w:tc>
          <w:tcPr>
            <w:tcW w:w="2223" w:type="dxa"/>
          </w:tcPr>
          <w:p w:rsidR="00192B65" w:rsidRPr="0056739B" w:rsidRDefault="00192B65" w:rsidP="00EF338F">
            <w:pPr>
              <w:spacing w:line="300" w:lineRule="atLeast"/>
              <w:rPr>
                <w:b/>
              </w:rPr>
            </w:pPr>
            <w:r w:rsidRPr="0056739B">
              <w:rPr>
                <w:b/>
              </w:rPr>
              <w:t>Amount recognised</w:t>
            </w:r>
          </w:p>
        </w:tc>
      </w:tr>
      <w:tr w:rsidR="00192B65" w:rsidTr="00EF338F">
        <w:trPr>
          <w:jc w:val="center"/>
        </w:trPr>
        <w:tc>
          <w:tcPr>
            <w:tcW w:w="4264" w:type="dxa"/>
          </w:tcPr>
          <w:p w:rsidR="00192B65" w:rsidRDefault="00192B65" w:rsidP="00EF338F">
            <w:pPr>
              <w:spacing w:line="300" w:lineRule="atLeast"/>
            </w:pPr>
            <w:r>
              <w:t>More than 4</w:t>
            </w:r>
          </w:p>
        </w:tc>
        <w:tc>
          <w:tcPr>
            <w:tcW w:w="2223" w:type="dxa"/>
          </w:tcPr>
          <w:p w:rsidR="00192B65" w:rsidRDefault="00192B65" w:rsidP="00EF338F">
            <w:pPr>
              <w:spacing w:line="300" w:lineRule="atLeast"/>
              <w:jc w:val="center"/>
            </w:pPr>
            <w:r>
              <w:t>100%</w:t>
            </w:r>
          </w:p>
        </w:tc>
      </w:tr>
      <w:tr w:rsidR="00192B65" w:rsidTr="00EF338F">
        <w:trPr>
          <w:jc w:val="center"/>
        </w:trPr>
        <w:tc>
          <w:tcPr>
            <w:tcW w:w="4264" w:type="dxa"/>
          </w:tcPr>
          <w:p w:rsidR="00192B65" w:rsidRDefault="00192B65" w:rsidP="00EF338F">
            <w:pPr>
              <w:spacing w:line="300" w:lineRule="atLeast"/>
            </w:pPr>
            <w:r>
              <w:t>Less than and including 4 but more than 3</w:t>
            </w:r>
          </w:p>
        </w:tc>
        <w:tc>
          <w:tcPr>
            <w:tcW w:w="2223" w:type="dxa"/>
          </w:tcPr>
          <w:p w:rsidR="00192B65" w:rsidRDefault="00192B65" w:rsidP="00EF338F">
            <w:pPr>
              <w:spacing w:line="300" w:lineRule="atLeast"/>
              <w:jc w:val="center"/>
            </w:pPr>
            <w:r>
              <w:t>80%</w:t>
            </w:r>
          </w:p>
        </w:tc>
      </w:tr>
      <w:tr w:rsidR="00192B65" w:rsidTr="00EF338F">
        <w:trPr>
          <w:jc w:val="center"/>
        </w:trPr>
        <w:tc>
          <w:tcPr>
            <w:tcW w:w="4264" w:type="dxa"/>
          </w:tcPr>
          <w:p w:rsidR="00192B65" w:rsidRDefault="00192B65" w:rsidP="00EF338F">
            <w:pPr>
              <w:spacing w:line="300" w:lineRule="atLeast"/>
            </w:pPr>
            <w:r>
              <w:t>Less than and including 3 but more than 2</w:t>
            </w:r>
          </w:p>
        </w:tc>
        <w:tc>
          <w:tcPr>
            <w:tcW w:w="2223" w:type="dxa"/>
          </w:tcPr>
          <w:p w:rsidR="00192B65" w:rsidRDefault="00192B65" w:rsidP="00EF338F">
            <w:pPr>
              <w:spacing w:line="300" w:lineRule="atLeast"/>
              <w:jc w:val="center"/>
            </w:pPr>
            <w:r>
              <w:t>60%</w:t>
            </w:r>
          </w:p>
        </w:tc>
      </w:tr>
      <w:tr w:rsidR="00192B65" w:rsidTr="00EF338F">
        <w:trPr>
          <w:jc w:val="center"/>
        </w:trPr>
        <w:tc>
          <w:tcPr>
            <w:tcW w:w="4264" w:type="dxa"/>
          </w:tcPr>
          <w:p w:rsidR="00192B65" w:rsidRDefault="00192B65" w:rsidP="00EF338F">
            <w:pPr>
              <w:spacing w:line="300" w:lineRule="atLeast"/>
            </w:pPr>
            <w:r>
              <w:t>Less than and including 2 but more than 1</w:t>
            </w:r>
          </w:p>
        </w:tc>
        <w:tc>
          <w:tcPr>
            <w:tcW w:w="2223" w:type="dxa"/>
          </w:tcPr>
          <w:p w:rsidR="00192B65" w:rsidRDefault="00192B65" w:rsidP="00EF338F">
            <w:pPr>
              <w:spacing w:line="300" w:lineRule="atLeast"/>
              <w:jc w:val="center"/>
            </w:pPr>
            <w:r>
              <w:t>40%</w:t>
            </w:r>
          </w:p>
        </w:tc>
      </w:tr>
      <w:tr w:rsidR="00192B65" w:rsidTr="00EF338F">
        <w:trPr>
          <w:jc w:val="center"/>
        </w:trPr>
        <w:tc>
          <w:tcPr>
            <w:tcW w:w="4264" w:type="dxa"/>
          </w:tcPr>
          <w:p w:rsidR="00192B65" w:rsidRDefault="00192B65" w:rsidP="00EF338F">
            <w:pPr>
              <w:spacing w:line="300" w:lineRule="atLeast"/>
            </w:pPr>
            <w:r>
              <w:t>Less than and including 1</w:t>
            </w:r>
          </w:p>
        </w:tc>
        <w:tc>
          <w:tcPr>
            <w:tcW w:w="2223" w:type="dxa"/>
          </w:tcPr>
          <w:p w:rsidR="00192B65" w:rsidRDefault="00192B65" w:rsidP="00EF338F">
            <w:pPr>
              <w:spacing w:line="300" w:lineRule="atLeast"/>
              <w:jc w:val="center"/>
            </w:pPr>
            <w:r>
              <w:t>20%</w:t>
            </w:r>
          </w:p>
        </w:tc>
      </w:tr>
    </w:tbl>
    <w:p w:rsidR="00192B65" w:rsidRDefault="00192B65" w:rsidP="00192B65">
      <w:pPr>
        <w:spacing w:line="300" w:lineRule="atLeast"/>
      </w:pPr>
    </w:p>
    <w:p w:rsidR="00873A34" w:rsidRDefault="00192B65" w:rsidP="00192B65">
      <w:pPr>
        <w:spacing w:line="300" w:lineRule="atLeast"/>
      </w:pPr>
      <w:r>
        <w:t>Due to this amortisation, banks are incentivised to issue Tier 2 capital for terms exceeding the minimum 5 years.</w:t>
      </w:r>
      <w:r w:rsidR="00292098">
        <w:t xml:space="preserve"> </w:t>
      </w:r>
      <w:r w:rsidR="00343D77">
        <w:t>S</w:t>
      </w:r>
      <w:r>
        <w:t>ection GC 18(</w:t>
      </w:r>
      <w:r w:rsidR="00786D81">
        <w:t>4</w:t>
      </w:r>
      <w:r>
        <w:t>) recognises this by allowing any term of greater than 5 years to be included in pricing on any instrument that is recognised as regulatory capital, even though that longer term is not required in order for the instrument to qualify as regulatory capital.</w:t>
      </w:r>
    </w:p>
    <w:p w:rsidR="00873A34" w:rsidRDefault="00873A34" w:rsidP="00192B65">
      <w:pPr>
        <w:spacing w:line="300" w:lineRule="atLeast"/>
      </w:pPr>
    </w:p>
    <w:p w:rsidR="00192B65" w:rsidRDefault="00701868" w:rsidP="00192B65">
      <w:pPr>
        <w:spacing w:line="300" w:lineRule="atLeast"/>
      </w:pPr>
      <w:r>
        <w:t>S</w:t>
      </w:r>
      <w:r w:rsidR="00873A34">
        <w:t>ection GC 13(1)(</w:t>
      </w:r>
      <w:r w:rsidR="00590314">
        <w:t>b) still requires identifying conditions that independent parties after real and independent bargaining might be expected to agree upon for the comparable transactions.</w:t>
      </w:r>
      <w:r w:rsidR="00292098">
        <w:t xml:space="preserve"> </w:t>
      </w:r>
      <w:r w:rsidR="00590314">
        <w:t>This means terms would not be expected to be significantly longer than the term of equivalent Tier 2 capital issued to third parties, or where there is no such capital what would be expected to be agreed by a New Zealand borrower who was issuing Tier 2 capital to third parties.</w:t>
      </w:r>
    </w:p>
    <w:p w:rsidR="00192B65" w:rsidRDefault="00192B65" w:rsidP="00192B65">
      <w:pPr>
        <w:spacing w:line="300" w:lineRule="atLeast"/>
      </w:pPr>
    </w:p>
    <w:p w:rsidR="00B30C33" w:rsidRDefault="00B30C33">
      <w:pPr>
        <w:jc w:val="left"/>
        <w:rPr>
          <w:i/>
        </w:rPr>
      </w:pPr>
      <w:r>
        <w:rPr>
          <w:i/>
        </w:rPr>
        <w:br w:type="page"/>
      </w:r>
    </w:p>
    <w:p w:rsidR="00192B65" w:rsidRPr="008C3485" w:rsidRDefault="00192B65" w:rsidP="00192B65">
      <w:pPr>
        <w:rPr>
          <w:i/>
        </w:rPr>
      </w:pPr>
      <w:r w:rsidRPr="008C3485">
        <w:rPr>
          <w:i/>
        </w:rPr>
        <w:t>Disqualification</w:t>
      </w:r>
    </w:p>
    <w:p w:rsidR="00192B65" w:rsidRDefault="00192B65" w:rsidP="00192B65">
      <w:pPr>
        <w:spacing w:line="300" w:lineRule="atLeast"/>
      </w:pPr>
    </w:p>
    <w:p w:rsidR="00192B65" w:rsidRDefault="00192B65" w:rsidP="00192B65">
      <w:pPr>
        <w:spacing w:line="300" w:lineRule="atLeast"/>
      </w:pPr>
      <w:r>
        <w:t>From time to time</w:t>
      </w:r>
      <w:r w:rsidR="00CE3732">
        <w:t>,</w:t>
      </w:r>
      <w:r>
        <w:t xml:space="preserve"> the Reserve Bank change</w:t>
      </w:r>
      <w:r w:rsidR="00701868">
        <w:t>s</w:t>
      </w:r>
      <w:r>
        <w:t xml:space="preserve"> the regulatory capital requirements.</w:t>
      </w:r>
      <w:r w:rsidR="00292098">
        <w:t xml:space="preserve"> </w:t>
      </w:r>
      <w:r>
        <w:t>For example</w:t>
      </w:r>
      <w:r w:rsidR="00CE3732">
        <w:t>,</w:t>
      </w:r>
      <w:r>
        <w:t xml:space="preserve"> it is currently consulting on removing the requirement for regulatory capital to convert to common equity in certain circumstances.</w:t>
      </w:r>
      <w:r w:rsidR="00292098">
        <w:t xml:space="preserve"> </w:t>
      </w:r>
      <w:r>
        <w:t xml:space="preserve">Where there is a regulatory change there will often be a transitional period where a former regulatory capital instrument will only be partially recognised and </w:t>
      </w:r>
      <w:r w:rsidR="005373C0">
        <w:t xml:space="preserve">will </w:t>
      </w:r>
      <w:r>
        <w:t>eventually cease to qualify as regulatory capital.</w:t>
      </w:r>
      <w:r w:rsidR="00292098">
        <w:t xml:space="preserve"> </w:t>
      </w:r>
      <w:r>
        <w:t>Where this occurs, the bank or insurance company will not necessarily repay the instrument as there may be other commercial reasons to retain it (such as meeting the expectations of external investors).</w:t>
      </w:r>
      <w:r w:rsidR="00292098">
        <w:t xml:space="preserve"> </w:t>
      </w:r>
      <w:r w:rsidR="00834337">
        <w:t>The features that formerly qualified it as regulatory capital</w:t>
      </w:r>
      <w:r w:rsidR="005373C0">
        <w:t xml:space="preserve"> will still be present, e</w:t>
      </w:r>
      <w:r>
        <w:t xml:space="preserve">ven where </w:t>
      </w:r>
      <w:r w:rsidR="00834337">
        <w:t>it</w:t>
      </w:r>
      <w:r>
        <w:t xml:space="preserve"> ceases to qualify as regulatory capital.</w:t>
      </w:r>
      <w:r w:rsidR="00292098">
        <w:t xml:space="preserve"> </w:t>
      </w:r>
      <w:r>
        <w:t>In these circumstances</w:t>
      </w:r>
      <w:r w:rsidR="005373C0">
        <w:t>,</w:t>
      </w:r>
      <w:r>
        <w:t xml:space="preserve"> these features will still be included in the pricing</w:t>
      </w:r>
      <w:r w:rsidR="005373C0">
        <w:t>,</w:t>
      </w:r>
      <w:r>
        <w:t xml:space="preserve"> so the test is based on the instrument qualifying as regulatory capital when it was entered into rather than any subsequent changes.</w:t>
      </w:r>
    </w:p>
    <w:p w:rsidR="00343D77" w:rsidRDefault="00343D77" w:rsidP="00192B65">
      <w:pPr>
        <w:spacing w:line="300" w:lineRule="atLeast"/>
      </w:pPr>
    </w:p>
    <w:p w:rsidR="00343D77" w:rsidRDefault="006635F4" w:rsidP="00192B65">
      <w:pPr>
        <w:spacing w:line="300" w:lineRule="atLeast"/>
      </w:pPr>
      <w:r>
        <w:t>O</w:t>
      </w:r>
      <w:r w:rsidR="00343D77">
        <w:t xml:space="preserve">fficials will monitor the use of this provision and would not expect an insuring or lending person to maintain high priced </w:t>
      </w:r>
      <w:r w:rsidR="00786D81">
        <w:t xml:space="preserve">related </w:t>
      </w:r>
      <w:r w:rsidR="00343D77">
        <w:t xml:space="preserve">party debt that no longer qualifies as regulatory capital when there is no commercial reason to do so other than to obtain a higher tax deduction </w:t>
      </w:r>
      <w:r w:rsidR="00786D81">
        <w:t xml:space="preserve">than </w:t>
      </w:r>
      <w:r w:rsidR="00343D77">
        <w:t>on a new instrument</w:t>
      </w:r>
      <w:r w:rsidR="002C543C">
        <w:t>, especially when equivalent third party instruments have been repaid</w:t>
      </w:r>
      <w:r w:rsidR="00343D77">
        <w:t>.</w:t>
      </w:r>
    </w:p>
    <w:p w:rsidR="00192B65" w:rsidRDefault="00192B65" w:rsidP="00192B65">
      <w:pPr>
        <w:spacing w:line="300" w:lineRule="atLeast"/>
      </w:pPr>
    </w:p>
    <w:p w:rsidR="00192B65" w:rsidRPr="008C3485" w:rsidRDefault="00192B65" w:rsidP="00192B65">
      <w:pPr>
        <w:rPr>
          <w:i/>
        </w:rPr>
      </w:pPr>
      <w:r w:rsidRPr="008C3485">
        <w:rPr>
          <w:i/>
        </w:rPr>
        <w:t>Back-to-back loans</w:t>
      </w:r>
    </w:p>
    <w:p w:rsidR="00192B65" w:rsidRDefault="00192B65" w:rsidP="00192B65">
      <w:pPr>
        <w:spacing w:line="300" w:lineRule="atLeast"/>
      </w:pPr>
    </w:p>
    <w:p w:rsidR="00192B65" w:rsidRDefault="00C45CBA" w:rsidP="00192B65">
      <w:pPr>
        <w:spacing w:line="300" w:lineRule="atLeast"/>
      </w:pPr>
      <w:r>
        <w:t xml:space="preserve">Some </w:t>
      </w:r>
      <w:r w:rsidR="00192B65">
        <w:t>banks, insurance companies and non-bank deposit takers have an entity, such as a New Zealand holding company or a New Zealand branch of the foreign parent, which is not itself regulated by the Reserve Bank but that raises funds from the worldwide group to on-lend to the regulated entity.</w:t>
      </w:r>
      <w:r w:rsidR="00292098">
        <w:t xml:space="preserve"> </w:t>
      </w:r>
      <w:r w:rsidR="00192B65">
        <w:t>A consequence of this is a New Zealand taxpayer may receive high priced debt with features that provide no direct benefit to it as a stand-alone entity but will match the instrument/funding on-lent to a group member which is regulated and therefore the group is provided with a regulatory benefit.</w:t>
      </w:r>
    </w:p>
    <w:p w:rsidR="00192B65" w:rsidRDefault="00192B65" w:rsidP="00192B65">
      <w:pPr>
        <w:spacing w:line="300" w:lineRule="atLeast"/>
      </w:pPr>
    </w:p>
    <w:p w:rsidR="00192B65" w:rsidRDefault="00192B65" w:rsidP="00192B65">
      <w:pPr>
        <w:spacing w:line="300" w:lineRule="atLeast"/>
      </w:pPr>
      <w:r>
        <w:t xml:space="preserve">Any features included in an instrument issued by a non-regulated entity that would be necessary for it to qualify as regulatory capital (refer to the tests </w:t>
      </w:r>
      <w:r w:rsidR="00AB7302">
        <w:t xml:space="preserve">discussed </w:t>
      </w:r>
      <w:r>
        <w:t>above) if the entity was a regulated entity will be included in pricing provided that instrument is part of a back-to-back loan to the regulated entity/group.</w:t>
      </w:r>
      <w:r w:rsidR="00292098">
        <w:t xml:space="preserve"> </w:t>
      </w:r>
      <w:r w:rsidR="00E47BC3">
        <w:t>These two instruments are referred to in the legislation as the funding arrangement and the funded arrangement.</w:t>
      </w:r>
    </w:p>
    <w:p w:rsidR="00343D77" w:rsidRDefault="00343D77" w:rsidP="00192B65">
      <w:pPr>
        <w:spacing w:line="300" w:lineRule="atLeast"/>
      </w:pPr>
    </w:p>
    <w:p w:rsidR="00E47BC3" w:rsidRDefault="00343D77" w:rsidP="006C7E1A">
      <w:pPr>
        <w:spacing w:line="300" w:lineRule="atLeast"/>
      </w:pPr>
      <w:r>
        <w:t>This is achieved in section GC 18(</w:t>
      </w:r>
      <w:r w:rsidR="00786D81">
        <w:t>10</w:t>
      </w:r>
      <w:r>
        <w:t>)(b)</w:t>
      </w:r>
      <w:r w:rsidR="00E35D51">
        <w:t xml:space="preserve">, (d) and (f) </w:t>
      </w:r>
      <w:r w:rsidR="00AB7302">
        <w:t xml:space="preserve">by requiring </w:t>
      </w:r>
      <w:r w:rsidR="00E35D51">
        <w:t>that the feature “reflects” a feature of regulatory or solvency capital.</w:t>
      </w:r>
      <w:r w:rsidR="00292098">
        <w:t xml:space="preserve"> </w:t>
      </w:r>
      <w:r w:rsidR="00E35D51">
        <w:t>This term is not intended to require</w:t>
      </w:r>
      <w:r w:rsidR="00E35D51" w:rsidRPr="00E35D51">
        <w:t xml:space="preserve"> perfect mirroring between features of the funding and funded arrangements but this should not provide the opportunity for inclusion of any features in the funding arrangement under the pretext of imperfect mirroring.</w:t>
      </w:r>
      <w:r w:rsidR="00292098">
        <w:t xml:space="preserve"> </w:t>
      </w:r>
      <w:r w:rsidR="006C7E1A">
        <w:t>The inclusion or no</w:t>
      </w:r>
      <w:r w:rsidR="002C543C">
        <w:t>n-</w:t>
      </w:r>
      <w:r w:rsidR="006C7E1A">
        <w:t>inclusion of a feature in the funding or funded arrangement should not prevent that instrument qualifying in respect of other features.</w:t>
      </w:r>
      <w:r w:rsidR="00292098">
        <w:t xml:space="preserve"> </w:t>
      </w:r>
      <w:r w:rsidR="006C7E1A">
        <w:t>Where more judgement is required is where a different feature is included in the funding arrangement than in the funded arrangement.</w:t>
      </w:r>
      <w:r w:rsidR="00292098">
        <w:t xml:space="preserve"> </w:t>
      </w:r>
      <w:r w:rsidR="00E35D51">
        <w:t>A</w:t>
      </w:r>
      <w:r w:rsidR="00E35D51" w:rsidRPr="00E35D51">
        <w:t xml:space="preserve">n appropriate approach would be to include a feature in a funding arrangement, </w:t>
      </w:r>
      <w:r w:rsidR="00AB7302">
        <w:t>which</w:t>
      </w:r>
      <w:r w:rsidR="00E35D51" w:rsidRPr="00E35D51">
        <w:t xml:space="preserve"> does not exactly match a feature in a funded arrangement, only if the feature provides protection to the banking/insuring/deposit taker associate in a similar circumstance to that faced under the funding arrangement.</w:t>
      </w:r>
      <w:r w:rsidR="00292098">
        <w:t xml:space="preserve"> </w:t>
      </w:r>
      <w:r w:rsidR="00E35D51" w:rsidRPr="00E35D51">
        <w:t>Furthermore the increase in price due to the feature in the funding arrangement should not exceed the increase in price due to the feature in the funded arrangement.</w:t>
      </w:r>
    </w:p>
    <w:p w:rsidR="00E47BC3" w:rsidRDefault="00E47BC3" w:rsidP="006C7E1A">
      <w:pPr>
        <w:spacing w:line="300" w:lineRule="atLeast"/>
      </w:pPr>
    </w:p>
    <w:p w:rsidR="00192B65" w:rsidRDefault="00E47BC3" w:rsidP="006C7E1A">
      <w:pPr>
        <w:spacing w:line="300" w:lineRule="atLeast"/>
        <w:rPr>
          <w:b/>
        </w:rPr>
      </w:pPr>
      <w:r>
        <w:t>Not all regulatory capital will be a financial arrangement as a bank may also issue preference shares which are an excepted financial arrangement.</w:t>
      </w:r>
      <w:r w:rsidR="00292098">
        <w:t xml:space="preserve"> </w:t>
      </w:r>
      <w:r>
        <w:t>The rules also allow the funded arrangement to be an excepted financial arrangement while the funding arrangement is a financial arrangement.</w:t>
      </w:r>
      <w:r w:rsidR="00292098">
        <w:t xml:space="preserve"> </w:t>
      </w:r>
      <w:r>
        <w:t>In this instance it is expected that the terms of both arrangements will less perfectly mirror each other than where the funded arrangement is a financial arrangement; however, the paragraph above that discusses the limits on features of the funding arrangement will continue to</w:t>
      </w:r>
      <w:r w:rsidR="00AB1772">
        <w:t xml:space="preserve"> </w:t>
      </w:r>
      <w:r w:rsidR="00701868">
        <w:t>be relevant</w:t>
      </w:r>
      <w:r>
        <w:t>.</w:t>
      </w:r>
      <w:r w:rsidR="00192B65">
        <w:br w:type="page"/>
      </w:r>
    </w:p>
    <w:p w:rsidR="00192B65" w:rsidRDefault="00192B65" w:rsidP="00192B65">
      <w:pPr>
        <w:rPr>
          <w:b/>
        </w:rPr>
      </w:pPr>
      <w:r w:rsidRPr="008C3485">
        <w:rPr>
          <w:b/>
        </w:rPr>
        <w:t xml:space="preserve">Flowchart </w:t>
      </w:r>
      <w:r w:rsidR="00204FE3">
        <w:rPr>
          <w:b/>
        </w:rPr>
        <w:t>4</w:t>
      </w:r>
      <w:r w:rsidRPr="008C3485">
        <w:rPr>
          <w:b/>
        </w:rPr>
        <w:t>:</w:t>
      </w:r>
      <w:r w:rsidR="00292098">
        <w:rPr>
          <w:b/>
        </w:rPr>
        <w:t xml:space="preserve"> </w:t>
      </w:r>
      <w:r w:rsidRPr="008C3485">
        <w:rPr>
          <w:b/>
        </w:rPr>
        <w:t>Determining whether a feature can be included in pricing for banks, insurance companies</w:t>
      </w:r>
      <w:r>
        <w:rPr>
          <w:b/>
        </w:rPr>
        <w:t xml:space="preserve"> and non-bank deposit taker</w:t>
      </w:r>
      <w:r w:rsidR="00FE1FA1">
        <w:rPr>
          <w:b/>
        </w:rPr>
        <w:t>s</w:t>
      </w:r>
    </w:p>
    <w:p w:rsidR="00192B65" w:rsidRPr="00457E89" w:rsidRDefault="00192B65" w:rsidP="00192B65"/>
    <w:p w:rsidR="00192B65" w:rsidRDefault="00192B65" w:rsidP="00192B65">
      <w:pPr>
        <w:jc w:val="left"/>
      </w:pPr>
      <w:r>
        <w:rPr>
          <w:noProof/>
          <w:lang w:val="en-NZ" w:eastAsia="en-NZ"/>
        </w:rPr>
        <mc:AlternateContent>
          <mc:Choice Requires="wps">
            <w:drawing>
              <wp:anchor distT="0" distB="0" distL="114300" distR="114300" simplePos="0" relativeHeight="251662336" behindDoc="0" locked="0" layoutInCell="1" allowOverlap="1" wp14:anchorId="00821D9D" wp14:editId="1AB6CD54">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76A05" w:rsidRPr="00CA4352" w:rsidRDefault="00076A05" w:rsidP="00192B65"/>
                          <w:p w:rsidR="00076A05" w:rsidRPr="00100588" w:rsidRDefault="00076A05" w:rsidP="00192B65">
                            <w:r>
                              <w:object w:dxaOrig="8116" w:dyaOrig="10185">
                                <v:shape id="_x0000_i1031" type="#_x0000_t75" style="width:405.8pt;height:509.25pt" o:ole="">
                                  <v:imagedata r:id="rId17" o:title=""/>
                                </v:shape>
                                <o:OLEObject Type="Embed" ProgID="Visio.Drawing.15" ShapeID="_x0000_i1031" DrawAspect="Content" ObjectID="_1618044756" r:id="rId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821D9D" id="Text Box 4" o:spid="_x0000_s1029"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rsidR="00076A05" w:rsidRPr="00CA4352" w:rsidRDefault="00076A05" w:rsidP="00192B65"/>
                    <w:p w:rsidR="00076A05" w:rsidRPr="00100588" w:rsidRDefault="00076A05" w:rsidP="00192B65">
                      <w:r>
                        <w:object w:dxaOrig="8116" w:dyaOrig="10185">
                          <v:shape id="_x0000_i1031" type="#_x0000_t75" style="width:405.8pt;height:509.25pt" o:ole="">
                            <v:imagedata r:id="rId17" o:title=""/>
                          </v:shape>
                          <o:OLEObject Type="Embed" ProgID="Visio.Drawing.15" ShapeID="_x0000_i1031" DrawAspect="Content" ObjectID="_1618044756" r:id="rId19"/>
                        </w:object>
                      </w:r>
                    </w:p>
                  </w:txbxContent>
                </v:textbox>
                <w10:wrap type="square"/>
              </v:shape>
            </w:pict>
          </mc:Fallback>
        </mc:AlternateContent>
      </w:r>
    </w:p>
    <w:p w:rsidR="00192B65" w:rsidRDefault="00192B65" w:rsidP="00192B65">
      <w:pPr>
        <w:jc w:val="left"/>
      </w:pPr>
    </w:p>
    <w:p w:rsidR="00192B65" w:rsidRDefault="00192B65" w:rsidP="00192B65">
      <w:pPr>
        <w:jc w:val="left"/>
        <w:rPr>
          <w:lang w:val="en-NZ"/>
        </w:rPr>
      </w:pPr>
      <w:r>
        <w:rPr>
          <w:lang w:val="en-NZ"/>
        </w:rPr>
        <w:br w:type="page"/>
      </w:r>
    </w:p>
    <w:p w:rsidR="00192B65" w:rsidRPr="004F5D4C" w:rsidRDefault="00192B65" w:rsidP="00192B65">
      <w:pPr>
        <w:pStyle w:val="Heading1"/>
      </w:pPr>
      <w:bookmarkStart w:id="3" w:name="_Toc500159936"/>
      <w:r>
        <w:t>Thin capitalisation</w:t>
      </w:r>
      <w:bookmarkEnd w:id="3"/>
    </w:p>
    <w:p w:rsidR="00192B65" w:rsidRPr="008C3485" w:rsidRDefault="00192B65" w:rsidP="00192B65"/>
    <w:p w:rsidR="00192B65" w:rsidRPr="00705A2D" w:rsidRDefault="00883552" w:rsidP="00192B65">
      <w:pPr>
        <w:rPr>
          <w:b/>
          <w:i/>
        </w:rPr>
      </w:pPr>
      <w:r w:rsidRPr="00705A2D">
        <w:rPr>
          <w:b/>
          <w:i/>
        </w:rPr>
        <w:t xml:space="preserve">Sections EX 20D, EX 20E, FE 5, FE 6, FE 8, FE 10 - FE 12, FE 14 - FE 16B, FE 18, FZ 8, GB 51B, </w:t>
      </w:r>
      <w:r w:rsidR="008B6F3F" w:rsidRPr="00705A2D">
        <w:rPr>
          <w:b/>
          <w:i/>
        </w:rPr>
        <w:t>and YA 1 (total group non-debt liabilities) of the Income Tax Act 2007</w:t>
      </w:r>
    </w:p>
    <w:p w:rsidR="00883552" w:rsidRPr="008C3485" w:rsidRDefault="00883552" w:rsidP="00192B65"/>
    <w:p w:rsidR="00192B65" w:rsidRPr="008C3485" w:rsidRDefault="00192B65" w:rsidP="00192B65"/>
    <w:p w:rsidR="00705A2D" w:rsidRPr="00705A2D" w:rsidRDefault="00705A2D" w:rsidP="00705A2D">
      <w:pPr>
        <w:rPr>
          <w:lang w:val="en-NZ"/>
        </w:rPr>
      </w:pPr>
      <w:r w:rsidRPr="00705A2D">
        <w:rPr>
          <w:lang w:val="en-NZ"/>
        </w:rPr>
        <w:t>Debt percentages determined under the thin capitalisation rules have historically been based on an entity’s debt relative to its gross assets.</w:t>
      </w:r>
      <w:r w:rsidR="00292098">
        <w:rPr>
          <w:lang w:val="en-NZ"/>
        </w:rPr>
        <w:t xml:space="preserve"> </w:t>
      </w:r>
      <w:r w:rsidRPr="00705A2D">
        <w:rPr>
          <w:lang w:val="en-NZ"/>
        </w:rPr>
        <w:t>The thin capitalisation rules in subpart FE have been amended so that debt percentages will now be based on an entity’s assets net of its “non-debt liabilities”.</w:t>
      </w:r>
    </w:p>
    <w:p w:rsidR="00192B65" w:rsidRDefault="00192B65" w:rsidP="00192B65">
      <w:pPr>
        <w:rPr>
          <w:lang w:val="en-NZ"/>
        </w:rPr>
      </w:pPr>
    </w:p>
    <w:p w:rsidR="00192B65" w:rsidRDefault="008B6F3F" w:rsidP="00192B65">
      <w:pPr>
        <w:rPr>
          <w:lang w:val="en-NZ"/>
        </w:rPr>
      </w:pPr>
      <w:r>
        <w:rPr>
          <w:lang w:val="en-NZ"/>
        </w:rPr>
        <w:t>A</w:t>
      </w:r>
      <w:r w:rsidR="00192B65" w:rsidRPr="005C63F2">
        <w:rPr>
          <w:lang w:val="en-NZ"/>
        </w:rPr>
        <w:t xml:space="preserve"> number of other changes </w:t>
      </w:r>
      <w:r>
        <w:rPr>
          <w:lang w:val="en-NZ"/>
        </w:rPr>
        <w:t xml:space="preserve">have been made </w:t>
      </w:r>
      <w:r w:rsidR="00192B65" w:rsidRPr="005C63F2">
        <w:rPr>
          <w:lang w:val="en-NZ"/>
        </w:rPr>
        <w:t xml:space="preserve">to </w:t>
      </w:r>
      <w:r w:rsidR="00192B65">
        <w:rPr>
          <w:lang w:val="en-NZ"/>
        </w:rPr>
        <w:t xml:space="preserve">strengthen </w:t>
      </w:r>
      <w:r w:rsidR="00192B65" w:rsidRPr="005C63F2">
        <w:rPr>
          <w:lang w:val="en-NZ"/>
        </w:rPr>
        <w:t>the thin capitalisation rules</w:t>
      </w:r>
      <w:r w:rsidR="00192B65">
        <w:rPr>
          <w:lang w:val="en-NZ"/>
        </w:rPr>
        <w:t>.</w:t>
      </w:r>
      <w:r w:rsidR="00292098">
        <w:rPr>
          <w:lang w:val="en-NZ"/>
        </w:rPr>
        <w:t xml:space="preserve"> </w:t>
      </w:r>
      <w:r w:rsidR="00192B65" w:rsidRPr="005C63F2">
        <w:rPr>
          <w:lang w:val="en-NZ"/>
        </w:rPr>
        <w:t>These are:</w:t>
      </w:r>
    </w:p>
    <w:p w:rsidR="00192B65" w:rsidRPr="005C63F2" w:rsidRDefault="00192B65" w:rsidP="00192B65">
      <w:pPr>
        <w:rPr>
          <w:lang w:val="en-NZ"/>
        </w:rPr>
      </w:pPr>
    </w:p>
    <w:p w:rsidR="00192B65" w:rsidRPr="005C63F2" w:rsidRDefault="00192B65" w:rsidP="00B30C33">
      <w:pPr>
        <w:pStyle w:val="Bullets"/>
      </w:pPr>
      <w:r>
        <w:t>a</w:t>
      </w:r>
      <w:r w:rsidRPr="005C63F2">
        <w:t xml:space="preserve"> de minimis in the inb</w:t>
      </w:r>
      <w:r>
        <w:t>ound thin capitalisation rules;</w:t>
      </w:r>
    </w:p>
    <w:p w:rsidR="00192B65" w:rsidRDefault="00192B65" w:rsidP="00B30C33">
      <w:pPr>
        <w:pStyle w:val="Bullets"/>
      </w:pPr>
      <w:r w:rsidRPr="00910513">
        <w:t>reducing the ability for companies owned by a group of non-residents to use related-party debt</w:t>
      </w:r>
      <w:r>
        <w:t>;</w:t>
      </w:r>
    </w:p>
    <w:p w:rsidR="00192B65" w:rsidRPr="005C63F2" w:rsidRDefault="00192B65" w:rsidP="00B30C33">
      <w:pPr>
        <w:pStyle w:val="Bullets"/>
      </w:pPr>
      <w:r w:rsidRPr="005C63F2">
        <w:t>new rules for when a company can use an asset valuation for thin capitalisation purposes that is different from what is used for financial reporting purposes;</w:t>
      </w:r>
    </w:p>
    <w:p w:rsidR="00192B65" w:rsidRPr="005C63F2" w:rsidRDefault="00192B65" w:rsidP="00B30C33">
      <w:pPr>
        <w:pStyle w:val="Bullets"/>
      </w:pPr>
      <w:r w:rsidRPr="005C63F2">
        <w:t xml:space="preserve">an anti-avoidance rule that applies when a taxpayer substantially repays a loan just before the end of a year to circumvent the </w:t>
      </w:r>
      <w:r>
        <w:t>thin capitalisation</w:t>
      </w:r>
      <w:r w:rsidRPr="005C63F2">
        <w:t xml:space="preserve"> rules; and</w:t>
      </w:r>
    </w:p>
    <w:p w:rsidR="00192B65" w:rsidRPr="006D409B" w:rsidRDefault="00192B65" w:rsidP="00B30C33">
      <w:pPr>
        <w:pStyle w:val="Bullets"/>
        <w:spacing w:after="0"/>
      </w:pPr>
      <w:r w:rsidRPr="005C63F2">
        <w:t>a minor remedial to clarify how the owner-linked debt rules apply when the borrower is a trust.</w:t>
      </w:r>
    </w:p>
    <w:p w:rsidR="00192B65" w:rsidRDefault="00192B65" w:rsidP="00192B65">
      <w:pPr>
        <w:rPr>
          <w:lang w:val="en-NZ"/>
        </w:rPr>
      </w:pPr>
    </w:p>
    <w:p w:rsidR="00192B65" w:rsidRPr="004F5D4C" w:rsidRDefault="00192B65" w:rsidP="00192B65">
      <w:pPr>
        <w:rPr>
          <w:lang w:val="en-NZ"/>
        </w:rPr>
      </w:pPr>
    </w:p>
    <w:p w:rsidR="00192B65" w:rsidRPr="004F5D4C" w:rsidRDefault="00192B65" w:rsidP="00192B65">
      <w:pPr>
        <w:pStyle w:val="Heading2"/>
        <w:rPr>
          <w:lang w:val="en-NZ"/>
        </w:rPr>
      </w:pPr>
      <w:r w:rsidRPr="004F5D4C">
        <w:rPr>
          <w:lang w:val="en-NZ"/>
        </w:rPr>
        <w:t>Application date</w:t>
      </w:r>
    </w:p>
    <w:p w:rsidR="00192B65" w:rsidRPr="008C3485" w:rsidRDefault="00192B65" w:rsidP="00192B65"/>
    <w:p w:rsidR="00192B65" w:rsidRPr="004F5D4C" w:rsidRDefault="00192B65" w:rsidP="00192B65">
      <w:pPr>
        <w:rPr>
          <w:lang w:val="en-NZ"/>
        </w:rPr>
      </w:pPr>
      <w:r w:rsidRPr="00D45891">
        <w:rPr>
          <w:lang w:val="en-NZ"/>
        </w:rPr>
        <w:t>Th</w:t>
      </w:r>
      <w:r>
        <w:rPr>
          <w:lang w:val="en-NZ"/>
        </w:rPr>
        <w:t xml:space="preserve">ese amendments </w:t>
      </w:r>
      <w:r w:rsidRPr="00D45891">
        <w:rPr>
          <w:lang w:val="en-NZ"/>
        </w:rPr>
        <w:t>apply to income years starting on or after 1 July 2018</w:t>
      </w:r>
      <w:r>
        <w:rPr>
          <w:lang w:val="en-NZ"/>
        </w:rPr>
        <w:t>.</w:t>
      </w:r>
      <w:r w:rsidR="00292098">
        <w:rPr>
          <w:lang w:val="en-NZ"/>
        </w:rPr>
        <w:t xml:space="preserve"> </w:t>
      </w:r>
      <w:r w:rsidR="00A31234">
        <w:rPr>
          <w:lang w:val="en-NZ"/>
        </w:rPr>
        <w:t>G</w:t>
      </w:r>
      <w:r w:rsidRPr="005C63F2">
        <w:rPr>
          <w:lang w:val="en-NZ"/>
        </w:rPr>
        <w:t xml:space="preserve">randparenting </w:t>
      </w:r>
      <w:r w:rsidR="00944ED9">
        <w:rPr>
          <w:lang w:val="en-NZ"/>
        </w:rPr>
        <w:t xml:space="preserve">for five years </w:t>
      </w:r>
      <w:r w:rsidR="008B6F3F">
        <w:rPr>
          <w:lang w:val="en-NZ"/>
        </w:rPr>
        <w:t xml:space="preserve">has been included </w:t>
      </w:r>
      <w:r w:rsidRPr="005C63F2">
        <w:rPr>
          <w:lang w:val="en-NZ"/>
        </w:rPr>
        <w:t xml:space="preserve">for the </w:t>
      </w:r>
      <w:r>
        <w:rPr>
          <w:lang w:val="en-NZ"/>
        </w:rPr>
        <w:t>110 percent debt threshold</w:t>
      </w:r>
      <w:r w:rsidRPr="005C63F2">
        <w:rPr>
          <w:lang w:val="en-NZ"/>
        </w:rPr>
        <w:t xml:space="preserve"> for non-residents acting together, which is set out in more detail below.</w:t>
      </w:r>
    </w:p>
    <w:p w:rsidR="00192B65" w:rsidRDefault="00192B65" w:rsidP="00192B65">
      <w:pPr>
        <w:rPr>
          <w:lang w:val="en-NZ"/>
        </w:rPr>
      </w:pPr>
    </w:p>
    <w:p w:rsidR="00192B65" w:rsidRPr="004F5D4C" w:rsidRDefault="00192B65" w:rsidP="00192B65">
      <w:pPr>
        <w:rPr>
          <w:lang w:val="en-NZ"/>
        </w:rPr>
      </w:pPr>
    </w:p>
    <w:p w:rsidR="00192B65" w:rsidRPr="004F5D4C" w:rsidRDefault="00192B65" w:rsidP="00192B65">
      <w:pPr>
        <w:pStyle w:val="Heading2"/>
        <w:rPr>
          <w:lang w:val="en-NZ"/>
        </w:rPr>
      </w:pPr>
      <w:r w:rsidRPr="004F5D4C">
        <w:rPr>
          <w:lang w:val="en-NZ"/>
        </w:rPr>
        <w:t>Key features</w:t>
      </w:r>
    </w:p>
    <w:p w:rsidR="00192B65" w:rsidRPr="004F5D4C" w:rsidRDefault="00192B65" w:rsidP="00192B65">
      <w:pPr>
        <w:rPr>
          <w:lang w:val="en-NZ"/>
        </w:rPr>
      </w:pPr>
    </w:p>
    <w:p w:rsidR="00705A2D" w:rsidRPr="00F034F8" w:rsidRDefault="00705A2D" w:rsidP="00705A2D">
      <w:r w:rsidRPr="00F034F8">
        <w:t>The thin capitalisation rules in subpart FE have been amended so that the debt percentages are based on an entity’s assets net of its non-debt liabilities.</w:t>
      </w:r>
      <w:r w:rsidR="00292098">
        <w:t xml:space="preserve"> </w:t>
      </w:r>
      <w:r w:rsidRPr="00F034F8">
        <w:t>This applies to both inbound and outbound thin capitalisation.</w:t>
      </w:r>
    </w:p>
    <w:p w:rsidR="00705A2D" w:rsidRPr="007B5A51" w:rsidRDefault="00705A2D" w:rsidP="00705A2D"/>
    <w:p w:rsidR="00705A2D" w:rsidRDefault="00705A2D" w:rsidP="00705A2D">
      <w:pPr>
        <w:rPr>
          <w:lang w:val="en-NZ"/>
        </w:rPr>
      </w:pPr>
      <w:r w:rsidRPr="007B5A51">
        <w:t xml:space="preserve">There are consequential amendments to the </w:t>
      </w:r>
      <w:r w:rsidR="00675832">
        <w:t>Controlled Foreign Company (</w:t>
      </w:r>
      <w:r w:rsidRPr="007B5A51">
        <w:t>CFC</w:t>
      </w:r>
      <w:r w:rsidR="00675832">
        <w:t>)</w:t>
      </w:r>
      <w:r w:rsidRPr="007B5A51">
        <w:t xml:space="preserve"> rules in subpart EX of the Act</w:t>
      </w:r>
      <w:r>
        <w:t xml:space="preserve"> </w:t>
      </w:r>
      <w:r w:rsidRPr="007B5A51">
        <w:t>to ensure the non-debt liabilities adjustment applies in relation to the CFC rules where relevant</w:t>
      </w:r>
      <w:r w:rsidR="00D513AA">
        <w:t>.</w:t>
      </w:r>
    </w:p>
    <w:p w:rsidR="00705A2D" w:rsidRDefault="00705A2D" w:rsidP="00192B65">
      <w:pPr>
        <w:rPr>
          <w:lang w:val="en-NZ"/>
        </w:rPr>
      </w:pPr>
    </w:p>
    <w:p w:rsidR="00192B65" w:rsidRPr="0073116D" w:rsidRDefault="00705A2D" w:rsidP="00192B65">
      <w:pPr>
        <w:rPr>
          <w:lang w:val="en-NZ"/>
        </w:rPr>
      </w:pPr>
      <w:r>
        <w:rPr>
          <w:lang w:val="en-NZ"/>
        </w:rPr>
        <w:t>A number of other changes have also been made to the thin capitalisation rules</w:t>
      </w:r>
      <w:r w:rsidR="00192B65">
        <w:rPr>
          <w:lang w:val="en-NZ"/>
        </w:rPr>
        <w:t>.</w:t>
      </w:r>
      <w:r w:rsidR="00292098">
        <w:rPr>
          <w:lang w:val="en-NZ"/>
        </w:rPr>
        <w:t xml:space="preserve"> </w:t>
      </w:r>
      <w:r w:rsidR="00192B65" w:rsidRPr="0073116D">
        <w:rPr>
          <w:lang w:val="en-NZ"/>
        </w:rPr>
        <w:t>The</w:t>
      </w:r>
      <w:r w:rsidR="00192B65">
        <w:rPr>
          <w:lang w:val="en-NZ"/>
        </w:rPr>
        <w:t>se changes</w:t>
      </w:r>
      <w:r w:rsidR="00944ED9">
        <w:rPr>
          <w:lang w:val="en-NZ"/>
        </w:rPr>
        <w:t xml:space="preserve"> have</w:t>
      </w:r>
      <w:r w:rsidR="00192B65" w:rsidRPr="0073116D">
        <w:rPr>
          <w:lang w:val="en-NZ"/>
        </w:rPr>
        <w:t>:</w:t>
      </w:r>
    </w:p>
    <w:p w:rsidR="00192B65" w:rsidRPr="0073116D" w:rsidRDefault="00192B65" w:rsidP="00192B65">
      <w:pPr>
        <w:rPr>
          <w:lang w:val="en-NZ"/>
        </w:rPr>
      </w:pPr>
    </w:p>
    <w:p w:rsidR="00192B65" w:rsidRDefault="00192B65" w:rsidP="00B30C33">
      <w:pPr>
        <w:pStyle w:val="Bullets"/>
      </w:pPr>
      <w:r w:rsidRPr="0073116D">
        <w:t>Extend</w:t>
      </w:r>
      <w:r w:rsidR="00944ED9">
        <w:t>ed</w:t>
      </w:r>
      <w:r w:rsidRPr="0073116D">
        <w:t xml:space="preserve"> the </w:t>
      </w:r>
      <w:r w:rsidRPr="0073116D">
        <w:rPr>
          <w:b/>
        </w:rPr>
        <w:t>de minimis</w:t>
      </w:r>
      <w:r w:rsidRPr="0073116D">
        <w:t xml:space="preserve"> in</w:t>
      </w:r>
      <w:r>
        <w:t xml:space="preserve"> section FE 6</w:t>
      </w:r>
      <w:r w:rsidRPr="0073116D">
        <w:t xml:space="preserve"> </w:t>
      </w:r>
      <w:r>
        <w:t xml:space="preserve">of </w:t>
      </w:r>
      <w:r w:rsidRPr="0073116D">
        <w:t>the outbound thin capitalisation rules (New Zealand companies with foreign subsidiaries) to the inbound thin capitalisation rules (foreign controlled New Zealand companies).</w:t>
      </w:r>
    </w:p>
    <w:p w:rsidR="00192B65" w:rsidRPr="0073116D" w:rsidRDefault="00192B65" w:rsidP="00B30C33">
      <w:pPr>
        <w:pStyle w:val="Bullets"/>
      </w:pPr>
      <w:r w:rsidRPr="0073116D">
        <w:t>Re</w:t>
      </w:r>
      <w:r>
        <w:t>duce</w:t>
      </w:r>
      <w:r w:rsidR="00944ED9">
        <w:t>d</w:t>
      </w:r>
      <w:r w:rsidRPr="0073116D">
        <w:t xml:space="preserve"> </w:t>
      </w:r>
      <w:r>
        <w:t xml:space="preserve">the 110 percent worldwide debt threshold to 100 percent </w:t>
      </w:r>
      <w:r w:rsidRPr="0073116D">
        <w:t xml:space="preserve">for a NZ group controlled by a group of </w:t>
      </w:r>
      <w:r w:rsidRPr="0073116D">
        <w:rPr>
          <w:b/>
        </w:rPr>
        <w:t>non-residents acting together</w:t>
      </w:r>
      <w:r w:rsidRPr="0073116D">
        <w:t xml:space="preserve"> </w:t>
      </w:r>
      <w:r>
        <w:t>for the purposes of the interest apportionment rule in section FE 6.</w:t>
      </w:r>
    </w:p>
    <w:p w:rsidR="00192B65" w:rsidRPr="0073116D" w:rsidRDefault="00192B65" w:rsidP="00B30C33">
      <w:pPr>
        <w:pStyle w:val="Bullets"/>
      </w:pPr>
      <w:r w:rsidRPr="0073116D">
        <w:t>Strengthen</w:t>
      </w:r>
      <w:r w:rsidR="00944ED9">
        <w:t>ed</w:t>
      </w:r>
      <w:r w:rsidRPr="0073116D">
        <w:t xml:space="preserve"> the integrity of the rules </w:t>
      </w:r>
      <w:r>
        <w:t>that</w:t>
      </w:r>
      <w:r w:rsidRPr="0073116D">
        <w:t xml:space="preserve"> allow taxpayers to </w:t>
      </w:r>
      <w:r w:rsidRPr="0073116D">
        <w:rPr>
          <w:b/>
        </w:rPr>
        <w:t>value assets</w:t>
      </w:r>
      <w:r w:rsidRPr="0073116D">
        <w:t xml:space="preserve"> using values not reported in their financial accounts for </w:t>
      </w:r>
      <w:r>
        <w:t>the</w:t>
      </w:r>
      <w:r w:rsidRPr="0073116D">
        <w:t xml:space="preserve"> purposes</w:t>
      </w:r>
      <w:r>
        <w:t xml:space="preserve"> of determining total group assets</w:t>
      </w:r>
      <w:r w:rsidRPr="0073116D">
        <w:t xml:space="preserve"> </w:t>
      </w:r>
      <w:r>
        <w:t>under section FE 16</w:t>
      </w:r>
      <w:r w:rsidRPr="0073116D">
        <w:t>.</w:t>
      </w:r>
    </w:p>
    <w:p w:rsidR="00192B65" w:rsidRDefault="00944ED9" w:rsidP="00B30C33">
      <w:pPr>
        <w:pStyle w:val="Bullets"/>
      </w:pPr>
      <w:r>
        <w:t>Introduced an</w:t>
      </w:r>
      <w:r w:rsidR="00192B65" w:rsidRPr="0073116D">
        <w:t xml:space="preserve"> </w:t>
      </w:r>
      <w:r w:rsidR="00192B65" w:rsidRPr="0073116D">
        <w:rPr>
          <w:b/>
        </w:rPr>
        <w:t>anti-avoidance rule</w:t>
      </w:r>
      <w:r w:rsidR="00192B65" w:rsidRPr="0073116D">
        <w:t xml:space="preserve"> </w:t>
      </w:r>
      <w:r w:rsidR="00192B65">
        <w:t xml:space="preserve">in new section GB 51B </w:t>
      </w:r>
      <w:r w:rsidR="00192B65" w:rsidRPr="0073116D">
        <w:t>to prevent taxpayers circumventing the thin capitalisation rules by repaying a loan just before a measurement date.</w:t>
      </w:r>
    </w:p>
    <w:p w:rsidR="00192B65" w:rsidRPr="000F1458" w:rsidRDefault="00192B65" w:rsidP="00B30C33">
      <w:pPr>
        <w:pStyle w:val="Bullets"/>
        <w:spacing w:after="0"/>
      </w:pPr>
      <w:r>
        <w:t>Amend</w:t>
      </w:r>
      <w:r w:rsidR="00944ED9">
        <w:t>ed</w:t>
      </w:r>
      <w:r>
        <w:t xml:space="preserve"> the </w:t>
      </w:r>
      <w:r w:rsidRPr="000F1458">
        <w:t>owner-linked debt provision</w:t>
      </w:r>
      <w:r>
        <w:t>s</w:t>
      </w:r>
      <w:r w:rsidRPr="000F1458">
        <w:t xml:space="preserve"> in section FE 18(3B)</w:t>
      </w:r>
      <w:r>
        <w:t xml:space="preserve"> to ensure they operate correctly for trusts.</w:t>
      </w:r>
    </w:p>
    <w:p w:rsidR="00192B65" w:rsidRDefault="00192B65" w:rsidP="00192B65">
      <w:pPr>
        <w:rPr>
          <w:lang w:val="en-NZ"/>
        </w:rPr>
      </w:pPr>
    </w:p>
    <w:p w:rsidR="00B30C33" w:rsidRDefault="00B30C33" w:rsidP="00192B65">
      <w:pPr>
        <w:rPr>
          <w:lang w:val="en-NZ"/>
        </w:rPr>
      </w:pPr>
    </w:p>
    <w:p w:rsidR="00705A2D" w:rsidRPr="00BE5158" w:rsidRDefault="00705A2D" w:rsidP="00705A2D">
      <w:pPr>
        <w:rPr>
          <w:b/>
        </w:rPr>
      </w:pPr>
      <w:r>
        <w:rPr>
          <w:b/>
        </w:rPr>
        <w:t xml:space="preserve">Background </w:t>
      </w:r>
      <w:r w:rsidR="00D513AA">
        <w:rPr>
          <w:b/>
        </w:rPr>
        <w:t>to non-debt liabilities</w:t>
      </w:r>
    </w:p>
    <w:p w:rsidR="00705A2D" w:rsidRDefault="00705A2D" w:rsidP="00705A2D"/>
    <w:p w:rsidR="00705A2D" w:rsidRDefault="00705A2D" w:rsidP="00705A2D">
      <w:r>
        <w:t>The thin capitalisation rules form part of New Zealand’s international tax rules and are designed to protect our tax base.</w:t>
      </w:r>
      <w:r w:rsidR="00292098">
        <w:t xml:space="preserve"> </w:t>
      </w:r>
      <w:r>
        <w:t xml:space="preserve">Like many countries, New Zealand has been reviewing its thin capitalisation/interest limitation rules in light of the OECD’s 2015 Final Report, </w:t>
      </w:r>
      <w:r>
        <w:rPr>
          <w:i/>
        </w:rPr>
        <w:t>Limiting Base Erosion Involving Interest Deductions and Other Financial Payments</w:t>
      </w:r>
      <w:r>
        <w:t>, on Action 4 of the BEPS Action Plan.</w:t>
      </w:r>
      <w:r w:rsidR="00292098">
        <w:t xml:space="preserve"> </w:t>
      </w:r>
      <w:r>
        <w:t>This review identified aspects of New Zealand’s thin capitalisation rules that could be strengthened, and these aspects were subject to public consultation</w:t>
      </w:r>
      <w:r w:rsidR="00675832">
        <w:t xml:space="preserve"> that</w:t>
      </w:r>
      <w:r>
        <w:t xml:space="preserve"> followed the release of the Government discussion document, </w:t>
      </w:r>
      <w:r>
        <w:rPr>
          <w:i/>
        </w:rPr>
        <w:t>BEPS – Strengthening our interest limitation rules</w:t>
      </w:r>
      <w:r>
        <w:t>, in March 2017.</w:t>
      </w:r>
    </w:p>
    <w:p w:rsidR="00705A2D" w:rsidRDefault="00705A2D" w:rsidP="00705A2D"/>
    <w:p w:rsidR="00705A2D" w:rsidRDefault="00705A2D" w:rsidP="00705A2D">
      <w:r>
        <w:t xml:space="preserve">New Zealand’s thin capitalisation rules </w:t>
      </w:r>
      <w:r w:rsidR="00747DF5">
        <w:t>are based on the principle that a multinational group should not have significantly less capital in New Zealand, relative to the size of its New Zealand business, than it h</w:t>
      </w:r>
      <w:r w:rsidR="00F22706">
        <w:t>as on a worldwide basis,</w:t>
      </w:r>
      <w:r w:rsidR="00747DF5">
        <w:t xml:space="preserve"> unless it has no more th</w:t>
      </w:r>
      <w:r w:rsidR="003A256F">
        <w:t>an a 6</w:t>
      </w:r>
      <w:r w:rsidR="00747DF5">
        <w:t>0% debt/assets ratio</w:t>
      </w:r>
      <w:r w:rsidR="007306EA">
        <w:t xml:space="preserve">. </w:t>
      </w:r>
      <w:r w:rsidR="00747DF5">
        <w:t>Historically this comparison has been made by comparing the ratio of debt to assets for the New Zealand group with the same ratio for the worldwide group</w:t>
      </w:r>
      <w:r w:rsidR="007306EA">
        <w:t xml:space="preserve">. </w:t>
      </w:r>
      <w:r w:rsidR="003A256F">
        <w:t>This measure did not deal well with companies with non</w:t>
      </w:r>
      <w:r w:rsidR="00747DF5">
        <w:t>-debt liabilities</w:t>
      </w:r>
      <w:r w:rsidR="007306EA">
        <w:t xml:space="preserve">. </w:t>
      </w:r>
      <w:r w:rsidR="00747DF5">
        <w:t>When a New Zealand group has significant non-debt liabilities, its debt/assets ratio can appear relatively low, even though it has very little equity contributed by its owners.</w:t>
      </w:r>
      <w:r w:rsidR="00292098">
        <w:t xml:space="preserve"> </w:t>
      </w:r>
      <w:r>
        <w:t>The thin capitalisation rules in subpart FE have been amended to</w:t>
      </w:r>
      <w:r w:rsidR="00AB1772">
        <w:t xml:space="preserve"> </w:t>
      </w:r>
      <w:r w:rsidR="00747DF5">
        <w:t>prevent this, by excluding non-debt liabilities from the definition of assets</w:t>
      </w:r>
      <w:r>
        <w:t>.</w:t>
      </w:r>
    </w:p>
    <w:p w:rsidR="00705A2D" w:rsidRDefault="00705A2D" w:rsidP="00705A2D"/>
    <w:p w:rsidR="00705A2D" w:rsidRDefault="00705A2D" w:rsidP="00705A2D">
      <w:r>
        <w:t xml:space="preserve">The non-debt liabilities change </w:t>
      </w:r>
      <w:r w:rsidRPr="004A428A">
        <w:t>better align</w:t>
      </w:r>
      <w:r>
        <w:t>s</w:t>
      </w:r>
      <w:r w:rsidRPr="004A428A">
        <w:t xml:space="preserve"> New Zealand’s thin capitalisation </w:t>
      </w:r>
      <w:r>
        <w:t xml:space="preserve">regime with its core objectives </w:t>
      </w:r>
      <w:r w:rsidRPr="004A428A">
        <w:t>and with other countries’ thin capitalisation rules.</w:t>
      </w:r>
    </w:p>
    <w:p w:rsidR="00192B65" w:rsidRDefault="00192B65" w:rsidP="00192B65">
      <w:pPr>
        <w:rPr>
          <w:lang w:val="en-NZ"/>
        </w:rPr>
      </w:pPr>
    </w:p>
    <w:p w:rsidR="00B30C33" w:rsidRPr="004F5D4C" w:rsidRDefault="00B30C33" w:rsidP="00192B65">
      <w:pPr>
        <w:rPr>
          <w:lang w:val="en-NZ"/>
        </w:rPr>
      </w:pPr>
    </w:p>
    <w:p w:rsidR="00192B65" w:rsidRPr="004F5D4C" w:rsidRDefault="00192B65" w:rsidP="00192B65">
      <w:pPr>
        <w:pStyle w:val="Heading2"/>
        <w:rPr>
          <w:lang w:val="en-NZ"/>
        </w:rPr>
      </w:pPr>
      <w:r w:rsidRPr="004F5D4C">
        <w:rPr>
          <w:lang w:val="en-NZ"/>
        </w:rPr>
        <w:t>Detailed analysis</w:t>
      </w:r>
    </w:p>
    <w:p w:rsidR="00192B65" w:rsidRPr="002932A8" w:rsidRDefault="00192B65" w:rsidP="00192B65"/>
    <w:p w:rsidR="00705A2D" w:rsidRPr="00705A2D" w:rsidRDefault="00705A2D" w:rsidP="00705A2D">
      <w:pPr>
        <w:keepNext/>
        <w:outlineLvl w:val="2"/>
        <w:rPr>
          <w:b/>
          <w:i/>
          <w:lang w:val="en-NZ"/>
        </w:rPr>
      </w:pPr>
      <w:r w:rsidRPr="00705A2D">
        <w:rPr>
          <w:b/>
          <w:i/>
          <w:lang w:val="en-NZ"/>
        </w:rPr>
        <w:t>Non-debt liabilities adjustment</w:t>
      </w:r>
    </w:p>
    <w:p w:rsidR="00705A2D" w:rsidRPr="00705A2D" w:rsidRDefault="00705A2D" w:rsidP="00705A2D">
      <w:pPr>
        <w:rPr>
          <w:lang w:val="en-NZ"/>
        </w:rPr>
      </w:pPr>
    </w:p>
    <w:p w:rsidR="00705A2D" w:rsidRPr="00705A2D" w:rsidRDefault="00705A2D" w:rsidP="00705A2D">
      <w:pPr>
        <w:rPr>
          <w:lang w:val="en-NZ"/>
        </w:rPr>
      </w:pPr>
      <w:r w:rsidRPr="00705A2D">
        <w:rPr>
          <w:lang w:val="en-NZ"/>
        </w:rPr>
        <w:t>Section FE 12 has been amended so that in calculating its New Zealand group debt percentage, an entity will be required to measure its assets net of its non-debt liabilities, as defined in section FE 16B.</w:t>
      </w:r>
    </w:p>
    <w:p w:rsidR="00705A2D" w:rsidRPr="00705A2D" w:rsidRDefault="00705A2D" w:rsidP="00705A2D">
      <w:pPr>
        <w:rPr>
          <w:lang w:val="en-NZ"/>
        </w:rPr>
      </w:pPr>
    </w:p>
    <w:p w:rsidR="00705A2D" w:rsidRPr="00705A2D" w:rsidRDefault="00705A2D" w:rsidP="00705A2D">
      <w:pPr>
        <w:rPr>
          <w:lang w:val="en-NZ"/>
        </w:rPr>
      </w:pPr>
      <w:r w:rsidRPr="00705A2D">
        <w:rPr>
          <w:lang w:val="en-NZ"/>
        </w:rPr>
        <w:t>In addition, there are consequential amendments to sections EX 20D and EX 20E to ensure the non-debt liabilities adjustment also applies in relation to the CFC rules where relevant.</w:t>
      </w:r>
    </w:p>
    <w:p w:rsidR="00705A2D" w:rsidRPr="00705A2D" w:rsidRDefault="00705A2D" w:rsidP="00705A2D">
      <w:pPr>
        <w:rPr>
          <w:lang w:val="en-NZ"/>
        </w:rPr>
      </w:pPr>
    </w:p>
    <w:p w:rsidR="00705A2D" w:rsidRPr="00705A2D" w:rsidRDefault="00705A2D" w:rsidP="00705A2D">
      <w:pPr>
        <w:rPr>
          <w:lang w:val="en-NZ"/>
        </w:rPr>
      </w:pPr>
      <w:r w:rsidRPr="00705A2D">
        <w:rPr>
          <w:lang w:val="en-NZ"/>
        </w:rPr>
        <w:t>Section FE 16B has separate, albeit similar, definitions for non-debt liabilities depending on whether they are being calculated for the New Zealand group (section FE 16B(1)) or the worldwide group (section FE 16B(2)).</w:t>
      </w:r>
    </w:p>
    <w:p w:rsidR="00705A2D" w:rsidRPr="00705A2D" w:rsidRDefault="00705A2D" w:rsidP="00705A2D">
      <w:pPr>
        <w:rPr>
          <w:lang w:val="en-NZ"/>
        </w:rPr>
      </w:pPr>
    </w:p>
    <w:p w:rsidR="00705A2D" w:rsidRPr="00705A2D" w:rsidRDefault="00705A2D" w:rsidP="00705A2D">
      <w:pPr>
        <w:keepNext/>
        <w:outlineLvl w:val="2"/>
        <w:rPr>
          <w:b/>
          <w:i/>
          <w:szCs w:val="24"/>
          <w:lang w:val="en-NZ"/>
        </w:rPr>
      </w:pPr>
      <w:r w:rsidRPr="00705A2D">
        <w:rPr>
          <w:b/>
          <w:i/>
          <w:szCs w:val="24"/>
          <w:lang w:val="en-NZ"/>
        </w:rPr>
        <w:t xml:space="preserve">Non-debt liabilities for New Zealand group – section FE 16B(1) </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For a New Zealand group, non-debt liabilities </w:t>
      </w:r>
      <w:r w:rsidR="00747DF5">
        <w:rPr>
          <w:lang w:val="en-NZ"/>
        </w:rPr>
        <w:t>are</w:t>
      </w:r>
      <w:r w:rsidRPr="00705A2D">
        <w:rPr>
          <w:lang w:val="en-NZ"/>
        </w:rPr>
        <w:t xml:space="preserve"> all</w:t>
      </w:r>
      <w:r w:rsidRPr="00705A2D">
        <w:rPr>
          <w:b/>
          <w:lang w:val="en-NZ"/>
        </w:rPr>
        <w:t xml:space="preserve"> </w:t>
      </w:r>
      <w:r w:rsidRPr="00705A2D">
        <w:rPr>
          <w:lang w:val="en-NZ"/>
        </w:rPr>
        <w:t>liabilities shown in the entity or group’s financial statements, except for:</w:t>
      </w:r>
    </w:p>
    <w:p w:rsidR="00705A2D" w:rsidRPr="00705A2D" w:rsidRDefault="00705A2D" w:rsidP="00705A2D">
      <w:pPr>
        <w:rPr>
          <w:lang w:val="en-NZ"/>
        </w:rPr>
      </w:pPr>
    </w:p>
    <w:p w:rsidR="00705A2D" w:rsidRPr="00705A2D" w:rsidRDefault="00705A2D" w:rsidP="0046479F">
      <w:pPr>
        <w:pStyle w:val="Bullets"/>
      </w:pPr>
      <w:r w:rsidRPr="00705A2D">
        <w:t>liabilities that are debt under section FE 15;</w:t>
      </w:r>
    </w:p>
    <w:p w:rsidR="00705A2D" w:rsidRPr="00705A2D" w:rsidRDefault="00705A2D" w:rsidP="0046479F">
      <w:pPr>
        <w:pStyle w:val="Bullets"/>
      </w:pPr>
      <w:r w:rsidRPr="00705A2D">
        <w:t>certain interes</w:t>
      </w:r>
      <w:r w:rsidR="0046479F">
        <w:t>t-free loans from shareholders;</w:t>
      </w:r>
    </w:p>
    <w:p w:rsidR="00705A2D" w:rsidRPr="00705A2D" w:rsidRDefault="00705A2D" w:rsidP="0046479F">
      <w:pPr>
        <w:pStyle w:val="Bullets"/>
      </w:pPr>
      <w:r w:rsidRPr="00705A2D">
        <w:t>certa</w:t>
      </w:r>
      <w:r w:rsidR="0046479F">
        <w:t>in shares held by shareholders;</w:t>
      </w:r>
    </w:p>
    <w:p w:rsidR="00705A2D" w:rsidRPr="00705A2D" w:rsidRDefault="0046479F" w:rsidP="0046479F">
      <w:pPr>
        <w:pStyle w:val="Bullets"/>
      </w:pPr>
      <w:r>
        <w:t>provisions for dividends; and</w:t>
      </w:r>
    </w:p>
    <w:p w:rsidR="00705A2D" w:rsidRPr="00705A2D" w:rsidRDefault="00705A2D" w:rsidP="0046479F">
      <w:pPr>
        <w:pStyle w:val="Bullets"/>
        <w:spacing w:after="0"/>
      </w:pPr>
      <w:r w:rsidRPr="00705A2D">
        <w:t>certain deferred tax liabilities.</w:t>
      </w:r>
    </w:p>
    <w:p w:rsidR="00705A2D" w:rsidRPr="00705A2D" w:rsidRDefault="00705A2D" w:rsidP="00705A2D">
      <w:pPr>
        <w:rPr>
          <w:lang w:val="en-NZ"/>
        </w:rPr>
      </w:pPr>
    </w:p>
    <w:p w:rsidR="00705A2D" w:rsidRPr="00705A2D" w:rsidRDefault="00705A2D" w:rsidP="00705A2D">
      <w:pPr>
        <w:rPr>
          <w:szCs w:val="24"/>
          <w:lang w:val="en-NZ" w:eastAsia="en-NZ"/>
        </w:rPr>
      </w:pPr>
      <w:r w:rsidRPr="00705A2D">
        <w:rPr>
          <w:szCs w:val="24"/>
          <w:lang w:val="en-NZ" w:eastAsia="en-NZ"/>
        </w:rPr>
        <w:t>This effectively means that non-debt liabilities comprise the liabilities that are not debt, nor shareholder funding that is akin to group equity, and certain deferred tax liabilities.</w:t>
      </w:r>
      <w:r w:rsidR="00292098">
        <w:rPr>
          <w:szCs w:val="24"/>
          <w:lang w:val="en-NZ" w:eastAsia="en-NZ"/>
        </w:rPr>
        <w:t xml:space="preserve"> </w:t>
      </w:r>
      <w:r w:rsidRPr="00705A2D">
        <w:rPr>
          <w:szCs w:val="24"/>
          <w:lang w:val="en-NZ" w:eastAsia="en-NZ"/>
        </w:rPr>
        <w:t xml:space="preserve">This represents a broad range of liabilities </w:t>
      </w:r>
      <w:r w:rsidR="00D513AA">
        <w:rPr>
          <w:szCs w:val="24"/>
          <w:lang w:val="en-NZ" w:eastAsia="en-NZ"/>
        </w:rPr>
        <w:t>that include, but are not limited to</w:t>
      </w:r>
      <w:r w:rsidRPr="00705A2D">
        <w:rPr>
          <w:szCs w:val="24"/>
          <w:lang w:val="en-NZ" w:eastAsia="en-NZ"/>
        </w:rPr>
        <w:t>:</w:t>
      </w:r>
    </w:p>
    <w:p w:rsidR="00705A2D" w:rsidRPr="00705A2D" w:rsidRDefault="00705A2D" w:rsidP="00705A2D">
      <w:pPr>
        <w:rPr>
          <w:lang w:val="en-NZ"/>
        </w:rPr>
      </w:pPr>
    </w:p>
    <w:p w:rsidR="00705A2D" w:rsidRPr="00705A2D" w:rsidRDefault="00705A2D" w:rsidP="0046479F">
      <w:pPr>
        <w:pStyle w:val="Bullets"/>
      </w:pPr>
      <w:r w:rsidRPr="00705A2D">
        <w:t>trade credits;</w:t>
      </w:r>
    </w:p>
    <w:p w:rsidR="00705A2D" w:rsidRPr="00705A2D" w:rsidRDefault="0046479F" w:rsidP="0046479F">
      <w:pPr>
        <w:pStyle w:val="Bullets"/>
      </w:pPr>
      <w:r>
        <w:t>GST payable;</w:t>
      </w:r>
    </w:p>
    <w:p w:rsidR="00705A2D" w:rsidRPr="00705A2D" w:rsidRDefault="00705A2D" w:rsidP="0046479F">
      <w:pPr>
        <w:pStyle w:val="Bullets"/>
      </w:pPr>
      <w:r w:rsidRPr="00705A2D">
        <w:t>provisions and accruals for employee benefits such as wages, bonuses, redundancy and holi</w:t>
      </w:r>
      <w:r w:rsidR="0046479F">
        <w:t>day pay and long service leave;</w:t>
      </w:r>
    </w:p>
    <w:p w:rsidR="00705A2D" w:rsidRPr="00705A2D" w:rsidRDefault="00705A2D" w:rsidP="0046479F">
      <w:pPr>
        <w:pStyle w:val="Bullets"/>
      </w:pPr>
      <w:r w:rsidRPr="00705A2D">
        <w:t xml:space="preserve">financial liabilities from derivatives such as interest rate swaps and </w:t>
      </w:r>
      <w:r w:rsidR="0046479F">
        <w:t>foreign exchange contracts; and</w:t>
      </w:r>
    </w:p>
    <w:p w:rsidR="00705A2D" w:rsidRPr="00705A2D" w:rsidRDefault="00705A2D" w:rsidP="0046479F">
      <w:pPr>
        <w:pStyle w:val="Bullets"/>
        <w:spacing w:after="0"/>
      </w:pPr>
      <w:r w:rsidRPr="00705A2D">
        <w:t xml:space="preserve">current </w:t>
      </w:r>
      <w:r w:rsidR="00747DF5">
        <w:t xml:space="preserve">and deferred </w:t>
      </w:r>
      <w:r w:rsidRPr="00705A2D">
        <w:t>tax liabilities.</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The exclusions in </w:t>
      </w:r>
      <w:r w:rsidR="00D513AA">
        <w:rPr>
          <w:lang w:val="en-NZ"/>
        </w:rPr>
        <w:t>paragraphs</w:t>
      </w:r>
      <w:r w:rsidR="00D513AA" w:rsidRPr="00705A2D">
        <w:rPr>
          <w:lang w:val="en-NZ"/>
        </w:rPr>
        <w:t xml:space="preserve"> </w:t>
      </w:r>
      <w:r w:rsidRPr="00705A2D">
        <w:rPr>
          <w:lang w:val="en-NZ"/>
        </w:rPr>
        <w:t>FE 16B(1)</w:t>
      </w:r>
      <w:r w:rsidR="00D513AA">
        <w:rPr>
          <w:lang w:val="en-NZ"/>
        </w:rPr>
        <w:t xml:space="preserve">(a) to </w:t>
      </w:r>
      <w:r w:rsidRPr="00705A2D">
        <w:rPr>
          <w:lang w:val="en-NZ"/>
        </w:rPr>
        <w:t>(e) are covered in more detail below.</w:t>
      </w:r>
    </w:p>
    <w:p w:rsidR="00705A2D" w:rsidRPr="00705A2D" w:rsidRDefault="00705A2D" w:rsidP="00705A2D">
      <w:pPr>
        <w:rPr>
          <w:lang w:val="en-NZ"/>
        </w:rPr>
      </w:pPr>
    </w:p>
    <w:p w:rsidR="00705A2D" w:rsidRPr="00705A2D" w:rsidRDefault="00705A2D" w:rsidP="00705A2D">
      <w:pPr>
        <w:keepNext/>
        <w:jc w:val="left"/>
        <w:outlineLvl w:val="3"/>
        <w:rPr>
          <w:i/>
          <w:lang w:val="en-NZ"/>
        </w:rPr>
      </w:pPr>
      <w:r w:rsidRPr="00705A2D">
        <w:rPr>
          <w:i/>
          <w:lang w:val="en-NZ"/>
        </w:rPr>
        <w:t>Debt liabilities</w:t>
      </w:r>
    </w:p>
    <w:p w:rsidR="00705A2D" w:rsidRPr="00705A2D" w:rsidRDefault="00705A2D" w:rsidP="0046479F">
      <w:pPr>
        <w:rPr>
          <w:lang w:val="en-NZ"/>
        </w:rPr>
      </w:pPr>
    </w:p>
    <w:p w:rsidR="00705A2D" w:rsidRPr="00705A2D" w:rsidRDefault="00D513AA" w:rsidP="00705A2D">
      <w:pPr>
        <w:keepNext/>
        <w:outlineLvl w:val="3"/>
        <w:rPr>
          <w:lang w:val="en-NZ"/>
        </w:rPr>
      </w:pPr>
      <w:r>
        <w:rPr>
          <w:lang w:val="en-NZ"/>
        </w:rPr>
        <w:t>Paragraph</w:t>
      </w:r>
      <w:r w:rsidR="00F2493D">
        <w:rPr>
          <w:lang w:val="en-NZ"/>
        </w:rPr>
        <w:t xml:space="preserve"> </w:t>
      </w:r>
      <w:r w:rsidR="00705A2D" w:rsidRPr="00705A2D">
        <w:rPr>
          <w:lang w:val="en-NZ"/>
        </w:rPr>
        <w:t>(a) excludes from non-debt liabilities any liabilities that are counted as debt under section FE 15.</w:t>
      </w:r>
      <w:r w:rsidR="00292098">
        <w:rPr>
          <w:lang w:val="en-NZ"/>
        </w:rPr>
        <w:t xml:space="preserve"> </w:t>
      </w:r>
      <w:r w:rsidR="00705A2D" w:rsidRPr="00705A2D">
        <w:rPr>
          <w:lang w:val="en-NZ"/>
        </w:rPr>
        <w:t>This includes, but is not limited to, financial arrangements that provide funds to the entity and give rise to deductions for the entity</w:t>
      </w:r>
      <w:r w:rsidR="007306EA">
        <w:rPr>
          <w:lang w:val="en-NZ"/>
        </w:rPr>
        <w:t xml:space="preserve">. </w:t>
      </w:r>
      <w:r w:rsidR="00747DF5">
        <w:rPr>
          <w:lang w:val="en-NZ"/>
        </w:rPr>
        <w:t>Financial arrangements that provide funds include finance leases and some credit sales</w:t>
      </w:r>
      <w:r w:rsidR="007306EA">
        <w:rPr>
          <w:lang w:val="en-NZ"/>
        </w:rPr>
        <w:t xml:space="preserve">. </w:t>
      </w:r>
      <w:r w:rsidR="00254A6A">
        <w:rPr>
          <w:lang w:val="en-NZ"/>
        </w:rPr>
        <w:t>This is discussed in the definition of “cross-bo</w:t>
      </w:r>
      <w:r w:rsidR="0046479F">
        <w:rPr>
          <w:lang w:val="en-NZ"/>
        </w:rPr>
        <w:t>r</w:t>
      </w:r>
      <w:r w:rsidR="00254A6A">
        <w:rPr>
          <w:lang w:val="en-NZ"/>
        </w:rPr>
        <w:t>der related borrowing” above.</w:t>
      </w:r>
    </w:p>
    <w:p w:rsidR="00705A2D" w:rsidRPr="00705A2D" w:rsidRDefault="00705A2D" w:rsidP="0046479F">
      <w:pPr>
        <w:rPr>
          <w:lang w:val="en-NZ"/>
        </w:rPr>
      </w:pPr>
    </w:p>
    <w:p w:rsidR="00705A2D" w:rsidRPr="00705A2D" w:rsidRDefault="00705A2D" w:rsidP="00705A2D">
      <w:pPr>
        <w:keepNext/>
        <w:outlineLvl w:val="3"/>
        <w:rPr>
          <w:lang w:val="en-NZ"/>
        </w:rPr>
      </w:pPr>
      <w:r w:rsidRPr="00705A2D">
        <w:rPr>
          <w:lang w:val="en-NZ"/>
        </w:rPr>
        <w:t>The primary example of debt liabilities is interest-bearing debt.</w:t>
      </w:r>
    </w:p>
    <w:p w:rsidR="00705A2D" w:rsidRPr="00705A2D" w:rsidRDefault="00705A2D" w:rsidP="0046479F">
      <w:pPr>
        <w:rPr>
          <w:lang w:val="en-NZ"/>
        </w:rPr>
      </w:pPr>
    </w:p>
    <w:p w:rsidR="0046479F" w:rsidRDefault="0046479F">
      <w:pPr>
        <w:jc w:val="left"/>
        <w:rPr>
          <w:i/>
          <w:lang w:val="en-NZ"/>
        </w:rPr>
      </w:pPr>
      <w:r>
        <w:rPr>
          <w:i/>
          <w:lang w:val="en-NZ"/>
        </w:rPr>
        <w:br w:type="page"/>
      </w:r>
    </w:p>
    <w:p w:rsidR="00705A2D" w:rsidRPr="00705A2D" w:rsidRDefault="00705A2D" w:rsidP="00705A2D">
      <w:pPr>
        <w:keepNext/>
        <w:jc w:val="left"/>
        <w:outlineLvl w:val="3"/>
        <w:rPr>
          <w:i/>
          <w:lang w:val="en-NZ"/>
        </w:rPr>
      </w:pPr>
      <w:r w:rsidRPr="00705A2D">
        <w:rPr>
          <w:i/>
          <w:lang w:val="en-NZ"/>
        </w:rPr>
        <w:t>Interest-free loans from shareholders</w:t>
      </w:r>
    </w:p>
    <w:p w:rsidR="00705A2D" w:rsidRPr="00705A2D" w:rsidRDefault="00705A2D" w:rsidP="00705A2D">
      <w:pPr>
        <w:rPr>
          <w:lang w:val="en-NZ"/>
        </w:rPr>
      </w:pPr>
    </w:p>
    <w:p w:rsidR="00705A2D" w:rsidRPr="00705A2D" w:rsidRDefault="00D513AA" w:rsidP="00705A2D">
      <w:pPr>
        <w:rPr>
          <w:lang w:val="en-NZ"/>
        </w:rPr>
      </w:pPr>
      <w:r>
        <w:rPr>
          <w:lang w:val="en-NZ"/>
        </w:rPr>
        <w:t>Paragraph</w:t>
      </w:r>
      <w:r w:rsidR="00F2493D">
        <w:rPr>
          <w:lang w:val="en-NZ"/>
        </w:rPr>
        <w:t xml:space="preserve"> </w:t>
      </w:r>
      <w:r w:rsidR="00705A2D" w:rsidRPr="00705A2D">
        <w:rPr>
          <w:lang w:val="en-NZ"/>
        </w:rPr>
        <w:t>(b) excludes from non-debt liabilities any financial arrangements providing funding to the entity if either:</w:t>
      </w:r>
    </w:p>
    <w:p w:rsidR="00705A2D" w:rsidRDefault="00705A2D" w:rsidP="00705A2D">
      <w:pPr>
        <w:rPr>
          <w:lang w:val="en-NZ"/>
        </w:rPr>
      </w:pPr>
    </w:p>
    <w:p w:rsidR="00705A2D" w:rsidRPr="00705A2D" w:rsidRDefault="00705A2D" w:rsidP="0046479F">
      <w:pPr>
        <w:pStyle w:val="Bullets"/>
      </w:pPr>
      <w:r w:rsidRPr="00705A2D">
        <w:t>the funding is advanced pro rata with shareholding; and/or</w:t>
      </w:r>
    </w:p>
    <w:p w:rsidR="00705A2D" w:rsidRPr="00705A2D" w:rsidRDefault="00705A2D" w:rsidP="0046479F">
      <w:pPr>
        <w:pStyle w:val="Bullets"/>
        <w:spacing w:after="0"/>
      </w:pPr>
      <w:r w:rsidRPr="00705A2D">
        <w:t>the shareholder (along with any associated persons) holds 10 percent or more of the voting interests in the company.</w:t>
      </w:r>
    </w:p>
    <w:p w:rsidR="00705A2D" w:rsidRPr="00705A2D" w:rsidRDefault="00705A2D" w:rsidP="00705A2D">
      <w:pPr>
        <w:rPr>
          <w:lang w:val="en-NZ"/>
        </w:rPr>
      </w:pPr>
    </w:p>
    <w:p w:rsidR="00705A2D" w:rsidRPr="00705A2D" w:rsidRDefault="00705A2D" w:rsidP="00705A2D">
      <w:pPr>
        <w:rPr>
          <w:lang w:val="en-NZ"/>
        </w:rPr>
      </w:pPr>
      <w:r w:rsidRPr="00705A2D">
        <w:rPr>
          <w:lang w:val="en-NZ"/>
        </w:rPr>
        <w:t>This is because such loans are akin to group equity if they are held pro rata with shareholding, o</w:t>
      </w:r>
      <w:r w:rsidR="0046479F">
        <w:rPr>
          <w:lang w:val="en-NZ"/>
        </w:rPr>
        <w:t>r by a substantial shareholder.</w:t>
      </w:r>
    </w:p>
    <w:p w:rsidR="00705A2D" w:rsidRPr="00705A2D" w:rsidRDefault="00705A2D" w:rsidP="00705A2D">
      <w:pPr>
        <w:rPr>
          <w:lang w:val="en-NZ"/>
        </w:rPr>
      </w:pPr>
    </w:p>
    <w:p w:rsidR="00705A2D" w:rsidRPr="00705A2D" w:rsidRDefault="00705A2D" w:rsidP="00705A2D">
      <w:pPr>
        <w:rPr>
          <w:lang w:val="en-NZ"/>
        </w:rPr>
      </w:pPr>
      <w:r w:rsidRPr="00705A2D">
        <w:rPr>
          <w:lang w:val="en-NZ"/>
        </w:rPr>
        <w:t>This exclusion is targeted at interest-free loan</w:t>
      </w:r>
      <w:r w:rsidR="00D513AA">
        <w:rPr>
          <w:lang w:val="en-NZ"/>
        </w:rPr>
        <w:t>s</w:t>
      </w:r>
      <w:r w:rsidRPr="00705A2D">
        <w:rPr>
          <w:lang w:val="en-NZ"/>
        </w:rPr>
        <w:t xml:space="preserve"> from shareholders.</w:t>
      </w:r>
    </w:p>
    <w:p w:rsidR="00705A2D" w:rsidRPr="00705A2D" w:rsidRDefault="00705A2D" w:rsidP="00705A2D">
      <w:pPr>
        <w:rPr>
          <w:lang w:val="en-NZ"/>
        </w:rPr>
      </w:pPr>
    </w:p>
    <w:p w:rsidR="00705A2D" w:rsidRPr="00705A2D" w:rsidRDefault="00705A2D" w:rsidP="00705A2D">
      <w:pPr>
        <w:rPr>
          <w:lang w:val="en-NZ"/>
        </w:rPr>
      </w:pPr>
      <w:r w:rsidRPr="00705A2D">
        <w:rPr>
          <w:lang w:val="en-NZ"/>
        </w:rPr>
        <w:t>The exclusion does not include related-party agreements for the sale and purchase of property or services (defined in section YA 1 and colloquially known as trade credits), which will therefore be treated in the same way as other non-debt liabilities</w:t>
      </w:r>
      <w:r w:rsidR="007306EA">
        <w:rPr>
          <w:lang w:val="en-NZ"/>
        </w:rPr>
        <w:t xml:space="preserve">. </w:t>
      </w:r>
      <w:r w:rsidR="00DE6F76">
        <w:rPr>
          <w:lang w:val="en-NZ"/>
        </w:rPr>
        <w:t>Trade credits are treated this way because the price payable for the corresponding goods or services is generally increased by an implicit interest charge for the deferral of payment, and therefore it is not appropriate to treat them as non-interest bearing.</w:t>
      </w:r>
    </w:p>
    <w:p w:rsidR="00705A2D" w:rsidRDefault="00705A2D" w:rsidP="00705A2D">
      <w:pPr>
        <w:rPr>
          <w:lang w:val="en-NZ"/>
        </w:rPr>
      </w:pPr>
    </w:p>
    <w:p w:rsidR="0046479F" w:rsidRPr="00705A2D" w:rsidRDefault="0046479F" w:rsidP="00705A2D">
      <w:pPr>
        <w:rPr>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lang w:val="en-NZ"/>
        </w:rPr>
      </w:pPr>
      <w:r w:rsidRPr="00705A2D">
        <w:rPr>
          <w:b/>
          <w:sz w:val="20"/>
          <w:lang w:val="en-NZ"/>
        </w:rPr>
        <w:t xml:space="preserve">Example </w:t>
      </w:r>
      <w:r w:rsidR="00507AB5">
        <w:rPr>
          <w:b/>
          <w:sz w:val="20"/>
          <w:lang w:val="en-NZ"/>
        </w:rPr>
        <w:t>7</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 Co is owned by two non-resident shareholders in the following proportions: B Co (80%) and C Co (20%).</w:t>
      </w:r>
      <w:r w:rsidR="00292098">
        <w:rPr>
          <w:sz w:val="20"/>
          <w:lang w:val="en-NZ"/>
        </w:rPr>
        <w:t xml:space="preserve"> </w:t>
      </w:r>
      <w:r w:rsidRPr="00705A2D">
        <w:rPr>
          <w:sz w:val="20"/>
          <w:lang w:val="en-NZ"/>
        </w:rPr>
        <w:t>B Co and C Co provide a combination of interest-bearing and interest-free loans in proportion to their shareholdings.</w:t>
      </w:r>
    </w:p>
    <w:p w:rsidR="00D513AA" w:rsidRPr="00705A2D" w:rsidRDefault="00D513AA"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The interest-bearing loans are debt under section FE 12 and therefore are not non-debt liabilities under section FE 16B(1)(a).</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 xml:space="preserve">The interest-free loans are </w:t>
      </w:r>
      <w:r w:rsidR="00DE6F76">
        <w:rPr>
          <w:sz w:val="20"/>
          <w:lang w:val="en-NZ"/>
        </w:rPr>
        <w:t xml:space="preserve">not debt under section FE 12 but also are </w:t>
      </w:r>
      <w:r w:rsidRPr="00705A2D">
        <w:rPr>
          <w:sz w:val="20"/>
          <w:lang w:val="en-NZ"/>
        </w:rPr>
        <w:t>not non-debt liabilities under section FE 16B(1)(b)</w:t>
      </w:r>
      <w:r w:rsidR="005D2886">
        <w:rPr>
          <w:sz w:val="20"/>
          <w:lang w:val="en-NZ"/>
        </w:rPr>
        <w:t xml:space="preserve"> as the loans are advanced in proportion to shareholding</w:t>
      </w:r>
      <w:r w:rsidRPr="00705A2D">
        <w:rPr>
          <w:sz w:val="20"/>
          <w:lang w:val="en-NZ"/>
        </w:rPr>
        <w:t>.</w:t>
      </w:r>
    </w:p>
    <w:p w:rsidR="005D2886" w:rsidRDefault="005D2886" w:rsidP="00705A2D">
      <w:pPr>
        <w:pBdr>
          <w:top w:val="single" w:sz="4" w:space="10" w:color="auto"/>
          <w:left w:val="single" w:sz="4" w:space="10" w:color="auto"/>
          <w:bottom w:val="single" w:sz="4" w:space="10" w:color="auto"/>
          <w:right w:val="single" w:sz="4" w:space="10" w:color="auto"/>
        </w:pBdr>
        <w:rPr>
          <w:sz w:val="20"/>
          <w:lang w:val="en-NZ"/>
        </w:rPr>
      </w:pPr>
    </w:p>
    <w:p w:rsidR="005D2886" w:rsidRDefault="005D2886" w:rsidP="00705A2D">
      <w:pPr>
        <w:pBdr>
          <w:top w:val="single" w:sz="4" w:space="10" w:color="auto"/>
          <w:left w:val="single" w:sz="4" w:space="10" w:color="auto"/>
          <w:bottom w:val="single" w:sz="4" w:space="10" w:color="auto"/>
          <w:right w:val="single" w:sz="4" w:space="10" w:color="auto"/>
        </w:pBdr>
        <w:rPr>
          <w:sz w:val="20"/>
          <w:lang w:val="en-NZ"/>
        </w:rPr>
      </w:pPr>
      <w:r>
        <w:rPr>
          <w:sz w:val="20"/>
          <w:lang w:val="en-NZ"/>
        </w:rPr>
        <w:t>Therefore, neither the interest-bearing nor interest free loans should be treated as non-debt liabilities for thin capitalisation purposes.</w:t>
      </w:r>
    </w:p>
    <w:p w:rsidR="00DE6F76" w:rsidRDefault="00DE6F76" w:rsidP="00705A2D">
      <w:pPr>
        <w:pBdr>
          <w:top w:val="single" w:sz="4" w:space="10" w:color="auto"/>
          <w:left w:val="single" w:sz="4" w:space="10" w:color="auto"/>
          <w:bottom w:val="single" w:sz="4" w:space="10" w:color="auto"/>
          <w:right w:val="single" w:sz="4" w:space="10" w:color="auto"/>
        </w:pBdr>
        <w:rPr>
          <w:sz w:val="20"/>
          <w:lang w:val="en-NZ"/>
        </w:rPr>
      </w:pPr>
    </w:p>
    <w:p w:rsidR="00DE6F76" w:rsidRPr="00705A2D" w:rsidRDefault="00DE6F76" w:rsidP="00705A2D">
      <w:pPr>
        <w:pBdr>
          <w:top w:val="single" w:sz="4" w:space="10" w:color="auto"/>
          <w:left w:val="single" w:sz="4" w:space="10" w:color="auto"/>
          <w:bottom w:val="single" w:sz="4" w:space="10" w:color="auto"/>
          <w:right w:val="single" w:sz="4" w:space="10" w:color="auto"/>
        </w:pBdr>
        <w:rPr>
          <w:sz w:val="20"/>
          <w:lang w:val="en-NZ"/>
        </w:rPr>
      </w:pPr>
      <w:r>
        <w:rPr>
          <w:sz w:val="20"/>
          <w:lang w:val="en-NZ"/>
        </w:rPr>
        <w:t>This means the interest-bearing loans will have the same effect on A Co’s thin capitalisation calculation as any other third party loan, while the interest free loans will have the same effect as shareholder equity.</w:t>
      </w:r>
    </w:p>
    <w:p w:rsidR="00705A2D" w:rsidRPr="00705A2D" w:rsidRDefault="00705A2D" w:rsidP="00705A2D">
      <w:pPr>
        <w:rPr>
          <w:lang w:val="en-NZ"/>
        </w:rPr>
      </w:pPr>
    </w:p>
    <w:p w:rsidR="00705A2D" w:rsidRPr="00705A2D" w:rsidRDefault="00705A2D" w:rsidP="00705A2D">
      <w:pPr>
        <w:keepNext/>
        <w:jc w:val="left"/>
        <w:outlineLvl w:val="3"/>
        <w:rPr>
          <w:i/>
          <w:lang w:val="en-NZ"/>
        </w:rPr>
      </w:pPr>
      <w:r w:rsidRPr="00705A2D">
        <w:rPr>
          <w:i/>
          <w:lang w:val="en-NZ"/>
        </w:rPr>
        <w:t>Preference shares</w:t>
      </w:r>
    </w:p>
    <w:p w:rsidR="00705A2D" w:rsidRPr="00705A2D" w:rsidRDefault="00705A2D" w:rsidP="00705A2D">
      <w:pPr>
        <w:rPr>
          <w:lang w:val="en-NZ"/>
        </w:rPr>
      </w:pPr>
    </w:p>
    <w:p w:rsidR="00705A2D" w:rsidRPr="00705A2D" w:rsidRDefault="00705A2D" w:rsidP="00705A2D">
      <w:pPr>
        <w:rPr>
          <w:lang w:val="en-NZ"/>
        </w:rPr>
      </w:pPr>
      <w:r w:rsidRPr="00705A2D">
        <w:rPr>
          <w:lang w:val="en-NZ"/>
        </w:rPr>
        <w:t>Shares can be treated as liabilities for accounting purposes in some circumstances (for example, if the shares are redeemable at the holder’s option or on a specific date).</w:t>
      </w:r>
    </w:p>
    <w:p w:rsidR="00705A2D" w:rsidRPr="00705A2D" w:rsidRDefault="00705A2D" w:rsidP="00705A2D">
      <w:pPr>
        <w:rPr>
          <w:lang w:val="en-NZ"/>
        </w:rPr>
      </w:pPr>
    </w:p>
    <w:p w:rsidR="00705A2D" w:rsidRPr="00705A2D" w:rsidRDefault="005D2886" w:rsidP="00705A2D">
      <w:pPr>
        <w:rPr>
          <w:lang w:val="en-NZ"/>
        </w:rPr>
      </w:pPr>
      <w:r>
        <w:rPr>
          <w:lang w:val="en-NZ"/>
        </w:rPr>
        <w:t>Paragraph</w:t>
      </w:r>
      <w:r w:rsidR="00705A2D" w:rsidRPr="00705A2D">
        <w:rPr>
          <w:lang w:val="en-NZ"/>
        </w:rPr>
        <w:t>(c) excludes shares held by a shareholder from the definition of a non-debt liability if either:</w:t>
      </w:r>
    </w:p>
    <w:p w:rsidR="00705A2D" w:rsidRPr="00705A2D" w:rsidRDefault="00705A2D" w:rsidP="00705A2D">
      <w:pPr>
        <w:rPr>
          <w:lang w:val="en-NZ"/>
        </w:rPr>
      </w:pPr>
    </w:p>
    <w:p w:rsidR="00705A2D" w:rsidRPr="00705A2D" w:rsidRDefault="00705A2D" w:rsidP="0046479F">
      <w:pPr>
        <w:pStyle w:val="Bullets"/>
      </w:pPr>
      <w:r w:rsidRPr="00705A2D">
        <w:t>the funding is advanced pro rata with shareholding; and/or</w:t>
      </w:r>
    </w:p>
    <w:p w:rsidR="00705A2D" w:rsidRPr="00705A2D" w:rsidRDefault="00705A2D" w:rsidP="0046479F">
      <w:pPr>
        <w:pStyle w:val="Bullets"/>
        <w:spacing w:after="0"/>
      </w:pPr>
      <w:r w:rsidRPr="00705A2D">
        <w:t>the shareholder (along with any associated persons) holds 10 percent or more of the voting interests in the company.</w:t>
      </w:r>
    </w:p>
    <w:p w:rsidR="00705A2D" w:rsidRPr="00705A2D" w:rsidRDefault="00705A2D" w:rsidP="00705A2D">
      <w:pPr>
        <w:rPr>
          <w:lang w:val="en-NZ"/>
        </w:rPr>
      </w:pPr>
    </w:p>
    <w:p w:rsidR="00705A2D" w:rsidRPr="00705A2D" w:rsidRDefault="00705A2D" w:rsidP="00705A2D">
      <w:pPr>
        <w:rPr>
          <w:lang w:val="en-NZ"/>
        </w:rPr>
      </w:pPr>
      <w:r w:rsidRPr="00705A2D">
        <w:rPr>
          <w:lang w:val="en-NZ"/>
        </w:rPr>
        <w:t>S</w:t>
      </w:r>
      <w:r w:rsidR="005D2886">
        <w:rPr>
          <w:lang w:val="en-NZ"/>
        </w:rPr>
        <w:t>imilar to the exclusion targeted at interest-free loans in paragraph (b) s</w:t>
      </w:r>
      <w:r w:rsidRPr="00705A2D">
        <w:rPr>
          <w:lang w:val="en-NZ"/>
        </w:rPr>
        <w:t>uch shares are akin to group equity if they are held pro rata with shareholding, or by a substantial shareholder</w:t>
      </w:r>
      <w:r w:rsidR="007306EA">
        <w:rPr>
          <w:lang w:val="en-NZ"/>
        </w:rPr>
        <w:t xml:space="preserve">. </w:t>
      </w:r>
      <w:r w:rsidR="00DE6F76">
        <w:rPr>
          <w:lang w:val="en-NZ"/>
        </w:rPr>
        <w:t>Otherwise it is appropriate for them to be excluded in determining the extent of equity funding in a New Zealand group.</w:t>
      </w:r>
    </w:p>
    <w:p w:rsidR="00705A2D" w:rsidRPr="00705A2D" w:rsidRDefault="00705A2D" w:rsidP="00705A2D">
      <w:pPr>
        <w:rPr>
          <w:lang w:val="en-NZ"/>
        </w:rPr>
      </w:pPr>
    </w:p>
    <w:p w:rsidR="00705A2D" w:rsidRPr="00705A2D" w:rsidRDefault="00705A2D" w:rsidP="00705A2D">
      <w:pPr>
        <w:keepNext/>
        <w:jc w:val="left"/>
        <w:outlineLvl w:val="3"/>
        <w:rPr>
          <w:i/>
          <w:lang w:val="en-NZ"/>
        </w:rPr>
      </w:pPr>
      <w:r w:rsidRPr="00705A2D">
        <w:rPr>
          <w:i/>
          <w:lang w:val="en-NZ"/>
        </w:rPr>
        <w:t>Provisions for dividends</w:t>
      </w:r>
    </w:p>
    <w:p w:rsidR="00705A2D" w:rsidRPr="00705A2D" w:rsidRDefault="00705A2D" w:rsidP="00705A2D">
      <w:pPr>
        <w:rPr>
          <w:i/>
          <w:lang w:val="en-NZ"/>
        </w:rPr>
      </w:pPr>
    </w:p>
    <w:p w:rsidR="00705A2D" w:rsidRPr="00705A2D" w:rsidRDefault="005D2886" w:rsidP="00705A2D">
      <w:pPr>
        <w:rPr>
          <w:lang w:val="en-NZ"/>
        </w:rPr>
      </w:pPr>
      <w:r>
        <w:rPr>
          <w:lang w:val="en-NZ"/>
        </w:rPr>
        <w:t>Paragraph</w:t>
      </w:r>
      <w:r w:rsidR="00675832">
        <w:rPr>
          <w:lang w:val="en-NZ"/>
        </w:rPr>
        <w:t xml:space="preserve"> </w:t>
      </w:r>
      <w:r w:rsidR="00705A2D" w:rsidRPr="00705A2D">
        <w:rPr>
          <w:lang w:val="en-NZ"/>
        </w:rPr>
        <w:t>(d) excludes a provision for dividends from the definition of a non-debt liability.</w:t>
      </w:r>
      <w:r w:rsidR="00292098">
        <w:rPr>
          <w:lang w:val="en-NZ"/>
        </w:rPr>
        <w:t xml:space="preserve"> </w:t>
      </w:r>
      <w:r w:rsidR="00705A2D" w:rsidRPr="00705A2D">
        <w:rPr>
          <w:lang w:val="en-NZ"/>
        </w:rPr>
        <w:t>This is because it is similar in substance to an interest-free loan from shareholders.</w:t>
      </w:r>
    </w:p>
    <w:p w:rsidR="00705A2D" w:rsidRPr="00705A2D" w:rsidRDefault="00705A2D" w:rsidP="00705A2D">
      <w:pPr>
        <w:rPr>
          <w:lang w:val="en-NZ"/>
        </w:rPr>
      </w:pPr>
    </w:p>
    <w:p w:rsidR="00705A2D" w:rsidRPr="00705A2D" w:rsidRDefault="00705A2D" w:rsidP="00705A2D">
      <w:pPr>
        <w:keepNext/>
        <w:jc w:val="left"/>
        <w:outlineLvl w:val="3"/>
        <w:rPr>
          <w:i/>
          <w:lang w:val="en-NZ"/>
        </w:rPr>
      </w:pPr>
      <w:r w:rsidRPr="00705A2D">
        <w:rPr>
          <w:i/>
          <w:lang w:val="en-NZ"/>
        </w:rPr>
        <w:t>Deferred tax liabilities</w:t>
      </w:r>
    </w:p>
    <w:p w:rsidR="00705A2D" w:rsidRPr="00705A2D" w:rsidRDefault="00705A2D" w:rsidP="00705A2D">
      <w:pPr>
        <w:rPr>
          <w:lang w:val="en-NZ"/>
        </w:rPr>
      </w:pPr>
    </w:p>
    <w:p w:rsidR="00705A2D" w:rsidRPr="00705A2D" w:rsidRDefault="005D2886" w:rsidP="00705A2D">
      <w:pPr>
        <w:rPr>
          <w:lang w:val="en-NZ"/>
        </w:rPr>
      </w:pPr>
      <w:r>
        <w:rPr>
          <w:lang w:val="en-NZ"/>
        </w:rPr>
        <w:t>Paragraph</w:t>
      </w:r>
      <w:r w:rsidR="00705A2D" w:rsidRPr="00705A2D">
        <w:rPr>
          <w:lang w:val="en-NZ"/>
        </w:rPr>
        <w:t xml:space="preserve"> (e) excludes a deferred tax liability from the definition of a non-debt liability if it satisfies</w:t>
      </w:r>
      <w:r w:rsidR="00253142">
        <w:rPr>
          <w:lang w:val="en-NZ"/>
        </w:rPr>
        <w:t xml:space="preserve"> </w:t>
      </w:r>
      <w:r w:rsidR="00FB3C71">
        <w:rPr>
          <w:lang w:val="en-NZ"/>
        </w:rPr>
        <w:t>three requirements</w:t>
      </w:r>
      <w:r w:rsidR="007306EA">
        <w:rPr>
          <w:lang w:val="en-NZ"/>
        </w:rPr>
        <w:t xml:space="preserve">. </w:t>
      </w:r>
      <w:r w:rsidR="00FB3C71">
        <w:rPr>
          <w:lang w:val="en-NZ"/>
        </w:rPr>
        <w:t>The general purpose of these requirements is to exclude a deferred tax liability only if it has in effect already been taken into account in the valuation of the relevant asset</w:t>
      </w:r>
      <w:r w:rsidR="007306EA">
        <w:rPr>
          <w:lang w:val="en-NZ"/>
        </w:rPr>
        <w:t xml:space="preserve">. </w:t>
      </w:r>
      <w:r w:rsidR="00FB3C71">
        <w:rPr>
          <w:lang w:val="en-NZ"/>
        </w:rPr>
        <w:t>The three requirements are</w:t>
      </w:r>
      <w:r w:rsidR="00705A2D" w:rsidRPr="00705A2D">
        <w:rPr>
          <w:lang w:val="en-NZ"/>
        </w:rPr>
        <w:t>:</w:t>
      </w:r>
    </w:p>
    <w:p w:rsidR="00705A2D" w:rsidRPr="00705A2D" w:rsidRDefault="00705A2D" w:rsidP="00705A2D">
      <w:pPr>
        <w:rPr>
          <w:lang w:val="en-NZ"/>
        </w:rPr>
      </w:pPr>
    </w:p>
    <w:p w:rsidR="00705A2D" w:rsidRPr="00705A2D" w:rsidRDefault="00705A2D" w:rsidP="0046479F">
      <w:pPr>
        <w:pStyle w:val="Bullets"/>
      </w:pPr>
      <w:r w:rsidRPr="00705A2D">
        <w:t>it arises as a result of the difference between the value of an asset in the financial statements and the amount which remains depreciable or deductible for tax purposes;</w:t>
      </w:r>
    </w:p>
    <w:p w:rsidR="00705A2D" w:rsidRPr="00705A2D" w:rsidRDefault="00705A2D" w:rsidP="0046479F">
      <w:pPr>
        <w:pStyle w:val="Bullets"/>
      </w:pPr>
      <w:r w:rsidRPr="00705A2D">
        <w:t>it reflects an amount of tax that would not arise if the relevant asset were sold for the value in the financial statements; and</w:t>
      </w:r>
    </w:p>
    <w:p w:rsidR="00705A2D" w:rsidRPr="00705A2D" w:rsidRDefault="00705A2D" w:rsidP="0046479F">
      <w:pPr>
        <w:pStyle w:val="Bullets"/>
        <w:spacing w:after="0"/>
      </w:pPr>
      <w:r w:rsidRPr="00705A2D">
        <w:t xml:space="preserve">the value of the relevant asset in the financial statements takes into account the deduction or depreciation </w:t>
      </w:r>
      <w:r w:rsidR="007B2D46">
        <w:t xml:space="preserve">actually available </w:t>
      </w:r>
      <w:r w:rsidRPr="00705A2D">
        <w:t>for tax purposes in relation to the asset (rather than the deduction or depreciation recorded in the financial statements), or on the basis that the asset is non-depreciable or depreciable at a rate of zero.</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The first limb </w:t>
      </w:r>
      <w:r w:rsidR="00D14EA7">
        <w:rPr>
          <w:lang w:val="en-NZ"/>
        </w:rPr>
        <w:t>will be met relatively often, due to either a difference between accounting and tax depreciation</w:t>
      </w:r>
      <w:r w:rsidR="0046479F">
        <w:rPr>
          <w:lang w:val="en-NZ"/>
        </w:rPr>
        <w:t xml:space="preserve"> rates, or asset revaluations.</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The second limb means that a deferred tax liability </w:t>
      </w:r>
      <w:r w:rsidR="00D14EA7">
        <w:rPr>
          <w:lang w:val="en-NZ"/>
        </w:rPr>
        <w:t xml:space="preserve">relating to a depreciable </w:t>
      </w:r>
      <w:r w:rsidRPr="00705A2D">
        <w:rPr>
          <w:lang w:val="en-NZ"/>
        </w:rPr>
        <w:t xml:space="preserve">asset can only be excluded </w:t>
      </w:r>
      <w:r w:rsidR="00D14EA7">
        <w:rPr>
          <w:lang w:val="en-NZ"/>
        </w:rPr>
        <w:t xml:space="preserve">from being a non-debt liability </w:t>
      </w:r>
      <w:r w:rsidRPr="00705A2D">
        <w:rPr>
          <w:lang w:val="en-NZ"/>
        </w:rPr>
        <w:t>to the extent that it is higher than the tax that would be payable if the asset was sold for its accounting value.</w:t>
      </w:r>
      <w:r w:rsidR="00292098">
        <w:rPr>
          <w:lang w:val="en-NZ"/>
        </w:rPr>
        <w:t xml:space="preserve"> </w:t>
      </w:r>
      <w:r w:rsidRPr="00705A2D">
        <w:rPr>
          <w:lang w:val="en-NZ"/>
        </w:rPr>
        <w:t>This means that</w:t>
      </w:r>
      <w:r w:rsidR="00FB3C71">
        <w:rPr>
          <w:lang w:val="en-NZ"/>
        </w:rPr>
        <w:t xml:space="preserve"> </w:t>
      </w:r>
      <w:r w:rsidRPr="00705A2D">
        <w:rPr>
          <w:lang w:val="en-NZ"/>
        </w:rPr>
        <w:t>the deferred tax liability should still be taken into account to the extent it would be tax paid on depreciation recovery income if the asset was disposed</w:t>
      </w:r>
      <w:r w:rsidR="00FB3C71">
        <w:rPr>
          <w:lang w:val="en-NZ"/>
        </w:rPr>
        <w:t xml:space="preserve"> of</w:t>
      </w:r>
      <w:r w:rsidR="0046479F">
        <w:rPr>
          <w:lang w:val="en-NZ"/>
        </w:rPr>
        <w:t>.</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The third limb reflects </w:t>
      </w:r>
      <w:r w:rsidR="00FB3C71">
        <w:rPr>
          <w:lang w:val="en-NZ"/>
        </w:rPr>
        <w:t>the “no double-counting” purpose of the exclusion</w:t>
      </w:r>
      <w:r w:rsidR="007306EA">
        <w:rPr>
          <w:lang w:val="en-NZ"/>
        </w:rPr>
        <w:t xml:space="preserve">. </w:t>
      </w:r>
      <w:r w:rsidR="00FB3C71">
        <w:rPr>
          <w:lang w:val="en-NZ"/>
        </w:rPr>
        <w:t>If the valuation of an asset already reflects the limited amount of depreciation available for tax purposes, it is not appropriate for the difference between accounting and tax depreciation to be taken into account again by way of the reduction in the thin capitalisation denominator for non-debt liabilities</w:t>
      </w:r>
      <w:r w:rsidR="007306EA">
        <w:rPr>
          <w:lang w:val="en-NZ"/>
        </w:rPr>
        <w:t xml:space="preserve">. </w:t>
      </w:r>
      <w:r w:rsidRPr="00705A2D">
        <w:rPr>
          <w:lang w:val="en-NZ"/>
        </w:rPr>
        <w:t>For instance, in the case of a building which is revalued after buildings became deprecia</w:t>
      </w:r>
      <w:r w:rsidR="00FB3C71">
        <w:rPr>
          <w:lang w:val="en-NZ"/>
        </w:rPr>
        <w:t xml:space="preserve">ble </w:t>
      </w:r>
      <w:r w:rsidRPr="00705A2D">
        <w:rPr>
          <w:lang w:val="en-NZ"/>
        </w:rPr>
        <w:t xml:space="preserve">at a rate of 0% (i.e. the 2011-12 income year), the accounting value of the building would </w:t>
      </w:r>
      <w:r w:rsidR="00F2493D">
        <w:rPr>
          <w:lang w:val="en-NZ"/>
        </w:rPr>
        <w:t>be expected to</w:t>
      </w:r>
      <w:r w:rsidRPr="00705A2D">
        <w:rPr>
          <w:lang w:val="en-NZ"/>
        </w:rPr>
        <w:t xml:space="preserve"> recognise there are no depreciation deductions.</w:t>
      </w:r>
    </w:p>
    <w:p w:rsidR="00705A2D" w:rsidRPr="00705A2D" w:rsidRDefault="00705A2D" w:rsidP="00705A2D">
      <w:pPr>
        <w:rPr>
          <w:lang w:val="en-NZ"/>
        </w:rPr>
      </w:pPr>
    </w:p>
    <w:p w:rsidR="00705A2D" w:rsidRPr="00705A2D" w:rsidRDefault="00705A2D" w:rsidP="00705A2D">
      <w:pPr>
        <w:rPr>
          <w:lang w:val="en-NZ"/>
        </w:rPr>
      </w:pPr>
      <w:r w:rsidRPr="00705A2D">
        <w:rPr>
          <w:lang w:val="en-NZ"/>
        </w:rPr>
        <w:t xml:space="preserve">For the avoidance of doubt, the third limb </w:t>
      </w:r>
      <w:r w:rsidR="00F2493D">
        <w:rPr>
          <w:lang w:val="en-NZ"/>
        </w:rPr>
        <w:t>should</w:t>
      </w:r>
      <w:r w:rsidRPr="00705A2D">
        <w:rPr>
          <w:lang w:val="en-NZ"/>
        </w:rPr>
        <w:t xml:space="preserve"> not exclude a deferred tax liability relating to a building which was acquired before buildings became depreciable at a rate of 0% (i.e. the 2011-12 income year), if the building has not been revalued in the financial statements since that time.</w:t>
      </w:r>
      <w:r w:rsidR="00292098">
        <w:rPr>
          <w:lang w:val="en-NZ"/>
        </w:rPr>
        <w:t xml:space="preserve"> </w:t>
      </w:r>
      <w:r w:rsidRPr="00705A2D">
        <w:rPr>
          <w:lang w:val="en-NZ"/>
        </w:rPr>
        <w:t xml:space="preserve">In that case the value </w:t>
      </w:r>
      <w:r w:rsidR="00F2493D">
        <w:rPr>
          <w:lang w:val="en-NZ"/>
        </w:rPr>
        <w:t xml:space="preserve">(say original cost) </w:t>
      </w:r>
      <w:r w:rsidRPr="00705A2D">
        <w:rPr>
          <w:lang w:val="en-NZ"/>
        </w:rPr>
        <w:t xml:space="preserve">of the building in the financial statements reflects an assumption of depreciability, so it is reasonable that the deferred tax liability </w:t>
      </w:r>
      <w:r w:rsidR="00FB3C71">
        <w:rPr>
          <w:lang w:val="en-NZ"/>
        </w:rPr>
        <w:t>does reduce the thin capitalisation denominator.</w:t>
      </w:r>
    </w:p>
    <w:p w:rsidR="00705A2D" w:rsidRDefault="00705A2D" w:rsidP="00705A2D">
      <w:pPr>
        <w:rPr>
          <w:lang w:val="en-NZ"/>
        </w:rPr>
      </w:pPr>
    </w:p>
    <w:p w:rsidR="0046479F" w:rsidRPr="00705A2D" w:rsidRDefault="0046479F" w:rsidP="00705A2D">
      <w:pPr>
        <w:rPr>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lang w:val="en-NZ"/>
        </w:rPr>
      </w:pPr>
      <w:r w:rsidRPr="00705A2D">
        <w:rPr>
          <w:b/>
          <w:sz w:val="20"/>
          <w:lang w:val="en-NZ"/>
        </w:rPr>
        <w:t xml:space="preserve">Example </w:t>
      </w:r>
      <w:r w:rsidR="00507AB5">
        <w:rPr>
          <w:b/>
          <w:sz w:val="20"/>
          <w:lang w:val="en-NZ"/>
        </w:rPr>
        <w:t>8</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 xml:space="preserve">D Co is currently recognising a deferred tax liability on its buildings </w:t>
      </w:r>
      <w:r w:rsidR="00334705">
        <w:rPr>
          <w:sz w:val="20"/>
          <w:lang w:val="en-NZ"/>
        </w:rPr>
        <w:t>of $4.2m calculated as follows:</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bookmarkStart w:id="4" w:name="_MON_1587549852"/>
    <w:bookmarkEnd w:id="4"/>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object w:dxaOrig="9296" w:dyaOrig="1071">
          <v:shape id="_x0000_i1032" type="#_x0000_t75" style="width:464.8pt;height:53.25pt" o:ole="">
            <v:imagedata r:id="rId20" o:title=""/>
          </v:shape>
          <o:OLEObject Type="Embed" ProgID="Word.Document.12" ShapeID="_x0000_i1032" DrawAspect="Content" ObjectID="_1618044752" r:id="rId21">
            <o:FieldCodes>\s</o:FieldCodes>
          </o:OLEObject>
        </w:object>
      </w:r>
      <w:r w:rsidRPr="00705A2D">
        <w:rPr>
          <w:sz w:val="20"/>
          <w:lang w:val="en-NZ"/>
        </w:rPr>
        <w:t>D Co purchased the building in 1995 for $20m.</w:t>
      </w:r>
      <w:r w:rsidR="00292098">
        <w:rPr>
          <w:sz w:val="20"/>
          <w:lang w:val="en-NZ"/>
        </w:rPr>
        <w:t xml:space="preserve"> </w:t>
      </w:r>
      <w:r w:rsidRPr="00705A2D">
        <w:rPr>
          <w:sz w:val="20"/>
          <w:lang w:val="en-NZ"/>
        </w:rPr>
        <w:t>It claimed tax depreciation of $8m on the building until the depreciation rate was reduced to 0% from the 2011-12 income year.</w:t>
      </w:r>
      <w:r w:rsidR="00292098">
        <w:rPr>
          <w:sz w:val="20"/>
          <w:lang w:val="en-NZ"/>
        </w:rPr>
        <w:t xml:space="preserve"> </w:t>
      </w:r>
      <w:r w:rsidRPr="00705A2D">
        <w:rPr>
          <w:sz w:val="20"/>
          <w:lang w:val="en-NZ"/>
        </w:rPr>
        <w:t>The building has not been revalued for accounting purposes since that time although accounting depreciation continues to reduce its carrying value which is currently $15m.</w:t>
      </w:r>
      <w:r w:rsidR="00292098">
        <w:rPr>
          <w:sz w:val="20"/>
          <w:lang w:val="en-NZ"/>
        </w:rPr>
        <w:t xml:space="preserve"> </w:t>
      </w:r>
      <w:r w:rsidRPr="00705A2D">
        <w:rPr>
          <w:sz w:val="20"/>
          <w:lang w:val="en-NZ"/>
        </w:rPr>
        <w:t>This results in a deferred tax liability of $4.2m which is recognised in the financial statements.</w:t>
      </w:r>
    </w:p>
    <w:p w:rsid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F2493D" w:rsidRPr="00F2493D" w:rsidRDefault="00F2493D" w:rsidP="00705A2D">
      <w:pPr>
        <w:pBdr>
          <w:top w:val="single" w:sz="4" w:space="10" w:color="auto"/>
          <w:left w:val="single" w:sz="4" w:space="10" w:color="auto"/>
          <w:bottom w:val="single" w:sz="4" w:space="10" w:color="auto"/>
          <w:right w:val="single" w:sz="4" w:space="10" w:color="auto"/>
        </w:pBdr>
        <w:rPr>
          <w:sz w:val="20"/>
          <w:lang w:val="en-NZ"/>
        </w:rPr>
      </w:pPr>
      <w:r>
        <w:rPr>
          <w:i/>
          <w:sz w:val="20"/>
          <w:lang w:val="en-NZ"/>
        </w:rPr>
        <w:t>Question</w:t>
      </w:r>
    </w:p>
    <w:p w:rsidR="00F2493D" w:rsidRPr="00705A2D" w:rsidRDefault="00F2493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Can any of the deferred tax liability be excluded from being a non-debt liability under section FE 16B(1)(e)?</w:t>
      </w:r>
    </w:p>
    <w:p w:rsid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F2493D" w:rsidRPr="00F2493D" w:rsidRDefault="00F2493D" w:rsidP="00705A2D">
      <w:pPr>
        <w:pBdr>
          <w:top w:val="single" w:sz="4" w:space="10" w:color="auto"/>
          <w:left w:val="single" w:sz="4" w:space="10" w:color="auto"/>
          <w:bottom w:val="single" w:sz="4" w:space="10" w:color="auto"/>
          <w:right w:val="single" w:sz="4" w:space="10" w:color="auto"/>
        </w:pBdr>
        <w:rPr>
          <w:sz w:val="20"/>
          <w:lang w:val="en-NZ"/>
        </w:rPr>
      </w:pPr>
      <w:r>
        <w:rPr>
          <w:i/>
          <w:sz w:val="20"/>
          <w:lang w:val="en-NZ"/>
        </w:rPr>
        <w:t>Answer</w:t>
      </w:r>
    </w:p>
    <w:p w:rsidR="00F2493D" w:rsidRPr="00705A2D" w:rsidRDefault="00F2493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No.</w:t>
      </w:r>
      <w:r w:rsidR="00292098">
        <w:rPr>
          <w:sz w:val="20"/>
          <w:lang w:val="en-NZ"/>
        </w:rPr>
        <w:t xml:space="preserve"> </w:t>
      </w:r>
      <w:r w:rsidRPr="00705A2D">
        <w:rPr>
          <w:sz w:val="20"/>
          <w:lang w:val="en-NZ"/>
        </w:rPr>
        <w:t xml:space="preserve">The accounting value of $15m </w:t>
      </w:r>
      <w:r w:rsidR="00350E43">
        <w:rPr>
          <w:sz w:val="20"/>
          <w:lang w:val="en-NZ"/>
        </w:rPr>
        <w:t>has not been revalued to</w:t>
      </w:r>
      <w:r w:rsidRPr="00705A2D">
        <w:rPr>
          <w:sz w:val="20"/>
          <w:lang w:val="en-NZ"/>
        </w:rPr>
        <w:t xml:space="preserve"> take into account the 0% depreciation on the building for tax purposes.</w:t>
      </w:r>
      <w:r w:rsidR="00292098">
        <w:rPr>
          <w:sz w:val="20"/>
          <w:lang w:val="en-NZ"/>
        </w:rPr>
        <w:t xml:space="preserve"> </w:t>
      </w:r>
      <w:r w:rsidRPr="00705A2D">
        <w:rPr>
          <w:sz w:val="20"/>
          <w:lang w:val="en-NZ"/>
        </w:rPr>
        <w:t>Therefore, the third limb of section FE 16B(1)(e) is not met.</w:t>
      </w:r>
    </w:p>
    <w:p w:rsidR="00705A2D" w:rsidRPr="00705A2D" w:rsidRDefault="00705A2D" w:rsidP="00705A2D">
      <w:pPr>
        <w:rPr>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lang w:val="en-NZ"/>
        </w:rPr>
      </w:pPr>
      <w:r w:rsidRPr="00705A2D">
        <w:rPr>
          <w:b/>
          <w:sz w:val="20"/>
          <w:lang w:val="en-NZ"/>
        </w:rPr>
        <w:t xml:space="preserve">Example </w:t>
      </w:r>
      <w:r w:rsidR="00507AB5">
        <w:rPr>
          <w:b/>
          <w:sz w:val="20"/>
          <w:lang w:val="en-NZ"/>
        </w:rPr>
        <w:t>9</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The facts are the same as above, except that the building has been revalued for accounting purposes post-the 2011-12 income year to $30m</w:t>
      </w:r>
      <w:r w:rsidR="007306EA">
        <w:rPr>
          <w:sz w:val="20"/>
          <w:lang w:val="en-NZ"/>
        </w:rPr>
        <w:t xml:space="preserve">. </w:t>
      </w:r>
      <w:r w:rsidRPr="00705A2D">
        <w:rPr>
          <w:sz w:val="20"/>
          <w:lang w:val="en-NZ"/>
        </w:rPr>
        <w:t>The revaluation was undertaken on a discounted cash flow basis that reflects that there is no tax depreciation shield from the building.</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bookmarkStart w:id="5" w:name="_MON_1588493648"/>
    <w:bookmarkEnd w:id="5"/>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object w:dxaOrig="9296" w:dyaOrig="1071">
          <v:shape id="_x0000_i1033" type="#_x0000_t75" style="width:464.8pt;height:53.25pt" o:ole="">
            <v:imagedata r:id="rId22" o:title=""/>
          </v:shape>
          <o:OLEObject Type="Embed" ProgID="Word.Document.12" ShapeID="_x0000_i1033" DrawAspect="Content" ObjectID="_1618044753" r:id="rId23">
            <o:FieldCodes>\s</o:FieldCodes>
          </o:OLEObject>
        </w:object>
      </w:r>
      <w:r w:rsidRPr="00705A2D">
        <w:rPr>
          <w:sz w:val="20"/>
          <w:lang w:val="en-NZ"/>
        </w:rPr>
        <w:t>Can any of the deferred tax liability be excluded from being a non-debt liability under section FE 16B(1)(e)?</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Yes.</w:t>
      </w:r>
      <w:r w:rsidR="00292098">
        <w:rPr>
          <w:sz w:val="20"/>
          <w:lang w:val="en-NZ"/>
        </w:rPr>
        <w:t xml:space="preserve"> </w:t>
      </w:r>
      <w:r w:rsidRPr="00705A2D">
        <w:rPr>
          <w:sz w:val="20"/>
          <w:lang w:val="en-NZ"/>
        </w:rPr>
        <w:t>The first limb is met as any deferred tax liability will fall within its ambit.</w:t>
      </w:r>
      <w:r w:rsidR="00292098">
        <w:rPr>
          <w:sz w:val="20"/>
          <w:lang w:val="en-NZ"/>
        </w:rPr>
        <w:t xml:space="preserve"> </w:t>
      </w:r>
      <w:r w:rsidRPr="00705A2D">
        <w:rPr>
          <w:sz w:val="20"/>
          <w:lang w:val="en-NZ"/>
        </w:rPr>
        <w:t>The second limb is met to the extent that it reflects an untaxed capital gain if the building was sold for $30m (i.e. $</w:t>
      </w:r>
      <w:r w:rsidR="0042436B">
        <w:rPr>
          <w:sz w:val="20"/>
          <w:lang w:val="en-NZ"/>
        </w:rPr>
        <w:t>2.8</w:t>
      </w:r>
      <w:r w:rsidRPr="00705A2D">
        <w:rPr>
          <w:sz w:val="20"/>
          <w:lang w:val="en-NZ"/>
        </w:rPr>
        <w:t>m, being $30m-$2</w:t>
      </w:r>
      <w:r w:rsidR="0042436B">
        <w:rPr>
          <w:sz w:val="20"/>
          <w:lang w:val="en-NZ"/>
        </w:rPr>
        <w:t>0</w:t>
      </w:r>
      <w:r w:rsidRPr="00705A2D">
        <w:rPr>
          <w:sz w:val="20"/>
          <w:lang w:val="en-NZ"/>
        </w:rPr>
        <w:t>m x 0.28).</w:t>
      </w:r>
      <w:r w:rsidR="00292098">
        <w:rPr>
          <w:sz w:val="20"/>
          <w:lang w:val="en-NZ"/>
        </w:rPr>
        <w:t xml:space="preserve"> </w:t>
      </w:r>
      <w:r w:rsidRPr="00705A2D">
        <w:rPr>
          <w:sz w:val="20"/>
          <w:lang w:val="en-NZ"/>
        </w:rPr>
        <w:t>The third limb is met as the $30m valuation takes into account that tax depreciation on buildings is 0%.</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This means that $</w:t>
      </w:r>
      <w:r w:rsidR="0042436B">
        <w:rPr>
          <w:sz w:val="20"/>
          <w:lang w:val="en-NZ"/>
        </w:rPr>
        <w:t>2.8</w:t>
      </w:r>
      <w:r w:rsidRPr="00705A2D">
        <w:rPr>
          <w:sz w:val="20"/>
          <w:lang w:val="en-NZ"/>
        </w:rPr>
        <w:t>m of the DTL of $8.4m will be excluded from being a non-debt liability under section FE 16B(1)(e).</w:t>
      </w:r>
    </w:p>
    <w:p w:rsidR="00705A2D" w:rsidRPr="00705A2D" w:rsidRDefault="00705A2D" w:rsidP="00705A2D">
      <w:pPr>
        <w:rPr>
          <w:lang w:val="en-NZ"/>
        </w:rPr>
      </w:pPr>
    </w:p>
    <w:p w:rsidR="0046479F" w:rsidRDefault="0046479F">
      <w:pPr>
        <w:jc w:val="left"/>
        <w:rPr>
          <w:b/>
          <w:sz w:val="20"/>
          <w:lang w:val="en-NZ"/>
        </w:rPr>
      </w:pPr>
      <w:r>
        <w:rPr>
          <w:b/>
          <w:sz w:val="20"/>
          <w:lang w:val="en-NZ"/>
        </w:rPr>
        <w:br w:type="page"/>
      </w: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lang w:val="en-NZ"/>
        </w:rPr>
      </w:pPr>
      <w:r w:rsidRPr="00705A2D">
        <w:rPr>
          <w:b/>
          <w:sz w:val="20"/>
          <w:lang w:val="en-NZ"/>
        </w:rPr>
        <w:t>Example</w:t>
      </w:r>
      <w:r w:rsidR="00507AB5">
        <w:rPr>
          <w:b/>
          <w:sz w:val="20"/>
          <w:lang w:val="en-NZ"/>
        </w:rPr>
        <w:t xml:space="preserve"> 10</w:t>
      </w:r>
    </w:p>
    <w:p w:rsidR="0046479F" w:rsidRDefault="0046479F"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Y Co’s balance sheet is as follows:</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b/>
        <w:t>Assets</w:t>
      </w:r>
      <w:r w:rsidRPr="00705A2D">
        <w:rPr>
          <w:sz w:val="20"/>
          <w:lang w:val="en-NZ"/>
        </w:rPr>
        <w:tab/>
      </w:r>
      <w:r w:rsidRPr="00705A2D">
        <w:rPr>
          <w:sz w:val="20"/>
          <w:lang w:val="en-NZ"/>
        </w:rPr>
        <w:tab/>
      </w:r>
      <w:r w:rsidRPr="00705A2D">
        <w:rPr>
          <w:sz w:val="20"/>
          <w:lang w:val="en-NZ"/>
        </w:rPr>
        <w:tab/>
      </w:r>
      <w:r w:rsidRPr="00705A2D">
        <w:rPr>
          <w:sz w:val="20"/>
          <w:lang w:val="en-NZ"/>
        </w:rPr>
        <w:tab/>
      </w:r>
      <w:r w:rsidRPr="00705A2D">
        <w:rPr>
          <w:sz w:val="20"/>
          <w:lang w:val="en-NZ"/>
        </w:rPr>
        <w:tab/>
        <w:t>200</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b/>
        <w:t>Interest-bearing debt</w:t>
      </w:r>
      <w:r w:rsidRPr="00705A2D">
        <w:rPr>
          <w:sz w:val="20"/>
          <w:lang w:val="en-NZ"/>
        </w:rPr>
        <w:tab/>
      </w:r>
      <w:r w:rsidRPr="00705A2D">
        <w:rPr>
          <w:sz w:val="20"/>
          <w:lang w:val="en-NZ"/>
        </w:rPr>
        <w:tab/>
      </w:r>
      <w:r w:rsidRPr="00705A2D">
        <w:rPr>
          <w:sz w:val="20"/>
          <w:lang w:val="en-NZ"/>
        </w:rPr>
        <w:tab/>
        <w:t>50</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b/>
        <w:t>Deferred tax liability*</w:t>
      </w:r>
      <w:r w:rsidRPr="00705A2D">
        <w:rPr>
          <w:sz w:val="20"/>
          <w:lang w:val="en-NZ"/>
        </w:rPr>
        <w:tab/>
      </w:r>
      <w:r w:rsidRPr="00705A2D">
        <w:rPr>
          <w:sz w:val="20"/>
          <w:lang w:val="en-NZ"/>
        </w:rPr>
        <w:tab/>
      </w:r>
      <w:r w:rsidRPr="00705A2D">
        <w:rPr>
          <w:sz w:val="20"/>
          <w:lang w:val="en-NZ"/>
        </w:rPr>
        <w:tab/>
        <w:t>30</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b/>
        <w:t>Provision for dividends</w:t>
      </w:r>
      <w:r w:rsidRPr="00705A2D">
        <w:rPr>
          <w:sz w:val="20"/>
          <w:lang w:val="en-NZ"/>
        </w:rPr>
        <w:tab/>
      </w:r>
      <w:r w:rsidRPr="00705A2D">
        <w:rPr>
          <w:sz w:val="20"/>
          <w:lang w:val="en-NZ"/>
        </w:rPr>
        <w:tab/>
      </w:r>
      <w:r w:rsidRPr="00705A2D">
        <w:rPr>
          <w:sz w:val="20"/>
          <w:lang w:val="en-NZ"/>
        </w:rPr>
        <w:tab/>
        <w:t>15</w:t>
      </w:r>
    </w:p>
    <w:p w:rsidR="00705A2D" w:rsidRPr="00705A2D" w:rsidRDefault="0046479F" w:rsidP="00705A2D">
      <w:pPr>
        <w:pBdr>
          <w:top w:val="single" w:sz="4" w:space="10" w:color="auto"/>
          <w:left w:val="single" w:sz="4" w:space="10" w:color="auto"/>
          <w:bottom w:val="single" w:sz="4" w:space="10" w:color="auto"/>
          <w:right w:val="single" w:sz="4" w:space="10" w:color="auto"/>
        </w:pBdr>
        <w:ind w:firstLine="720"/>
        <w:rPr>
          <w:sz w:val="20"/>
          <w:lang w:val="en-NZ"/>
        </w:rPr>
      </w:pPr>
      <w:r>
        <w:rPr>
          <w:sz w:val="20"/>
          <w:lang w:val="en-NZ"/>
        </w:rPr>
        <w:t>Equity</w:t>
      </w:r>
      <w:r>
        <w:rPr>
          <w:sz w:val="20"/>
          <w:lang w:val="en-NZ"/>
        </w:rPr>
        <w:tab/>
      </w:r>
      <w:r>
        <w:rPr>
          <w:sz w:val="20"/>
          <w:lang w:val="en-NZ"/>
        </w:rPr>
        <w:tab/>
      </w:r>
      <w:r>
        <w:rPr>
          <w:sz w:val="20"/>
          <w:lang w:val="en-NZ"/>
        </w:rPr>
        <w:tab/>
      </w:r>
      <w:r>
        <w:rPr>
          <w:sz w:val="20"/>
          <w:lang w:val="en-NZ"/>
        </w:rPr>
        <w:tab/>
      </w:r>
      <w:r>
        <w:rPr>
          <w:sz w:val="20"/>
          <w:lang w:val="en-NZ"/>
        </w:rPr>
        <w:tab/>
        <w:t>105</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ab/>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*The deferred tax liability may be split into $10 that meets criteria of section FE 16B(1)(e) and $20 that does not.</w:t>
      </w:r>
      <w:r w:rsidR="00292098">
        <w:rPr>
          <w:sz w:val="20"/>
          <w:lang w:val="en-NZ"/>
        </w:rPr>
        <w:t xml:space="preserve"> </w:t>
      </w:r>
      <w:r w:rsidRPr="00705A2D">
        <w:rPr>
          <w:sz w:val="20"/>
          <w:lang w:val="en-NZ"/>
        </w:rPr>
        <w:t>The $10 deferred tax liability may reflect that the accounting value recognised in the financial statements for a particular class of assets already takes into account the level of tax depreciation shield available for those assets.</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Z Co’s debt for the purposes of the thin capitalisation rules is $50.</w:t>
      </w:r>
      <w:r w:rsidR="00292098">
        <w:rPr>
          <w:sz w:val="20"/>
          <w:lang w:val="en-NZ"/>
        </w:rPr>
        <w:t xml:space="preserve"> </w:t>
      </w:r>
      <w:r w:rsidRPr="00705A2D">
        <w:rPr>
          <w:sz w:val="20"/>
          <w:lang w:val="en-NZ"/>
        </w:rPr>
        <w:t>Its total liabilities are $95, but $15 of this is a provision for dividend and $10 of the deferred tax liability meets the criteria of section FE 16B(1)(e).</w:t>
      </w:r>
      <w:r w:rsidR="00292098">
        <w:rPr>
          <w:sz w:val="20"/>
          <w:lang w:val="en-NZ"/>
        </w:rPr>
        <w:t xml:space="preserve"> </w:t>
      </w:r>
      <w:r w:rsidR="0042436B">
        <w:rPr>
          <w:sz w:val="20"/>
          <w:lang w:val="en-NZ"/>
        </w:rPr>
        <w:t>Both of these are excluded from being non-debt liabilities.</w:t>
      </w:r>
      <w:r w:rsidR="00292098">
        <w:rPr>
          <w:sz w:val="20"/>
          <w:lang w:val="en-NZ"/>
        </w:rPr>
        <w:t xml:space="preserve"> </w:t>
      </w:r>
      <w:r w:rsidRPr="00705A2D">
        <w:rPr>
          <w:sz w:val="20"/>
          <w:lang w:val="en-NZ"/>
        </w:rPr>
        <w:t>Its non-debt liabilities are $20 and its thin capitalisation percentage under section FE 12 is 50 ÷ (200 - 20) = 27.8%.</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Note that Z Co may not wish to consider whether any component of its deferred tax liability meets the criteria of section FE 16B(1)(e).</w:t>
      </w:r>
      <w:r w:rsidR="00292098">
        <w:rPr>
          <w:sz w:val="20"/>
          <w:lang w:val="en-NZ"/>
        </w:rPr>
        <w:t xml:space="preserve"> </w:t>
      </w:r>
      <w:r w:rsidRPr="00705A2D">
        <w:rPr>
          <w:sz w:val="20"/>
          <w:lang w:val="en-NZ"/>
        </w:rPr>
        <w:t>In such a case, it treats the full quantum of the deferred tax liability as a non-debt liability and it would calculate its thin capitalisation percentage under section FE 12 to be 50 ÷ (200 – 30) = 29.4%.</w:t>
      </w:r>
    </w:p>
    <w:p w:rsidR="00705A2D" w:rsidRPr="00705A2D" w:rsidRDefault="00705A2D" w:rsidP="00705A2D">
      <w:pPr>
        <w:rPr>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lang w:val="en-NZ"/>
        </w:rPr>
      </w:pPr>
      <w:r w:rsidRPr="00705A2D">
        <w:rPr>
          <w:b/>
          <w:sz w:val="20"/>
          <w:lang w:val="en-NZ"/>
        </w:rPr>
        <w:t xml:space="preserve">Example </w:t>
      </w:r>
      <w:r w:rsidR="00507AB5">
        <w:rPr>
          <w:b/>
          <w:sz w:val="20"/>
          <w:lang w:val="en-NZ"/>
        </w:rPr>
        <w:t>11</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Z Co’s balance sheet is as follows:</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tabs>
          <w:tab w:val="left" w:pos="851"/>
          <w:tab w:val="right" w:pos="4820"/>
        </w:tabs>
        <w:rPr>
          <w:sz w:val="20"/>
          <w:lang w:val="en-NZ"/>
        </w:rPr>
      </w:pPr>
      <w:r w:rsidRPr="00705A2D">
        <w:rPr>
          <w:sz w:val="20"/>
          <w:lang w:val="en-NZ"/>
        </w:rPr>
        <w:tab/>
        <w:t>Assets</w:t>
      </w:r>
      <w:r w:rsidRPr="00705A2D">
        <w:rPr>
          <w:sz w:val="20"/>
          <w:lang w:val="en-NZ"/>
        </w:rPr>
        <w:tab/>
        <w:t>100</w:t>
      </w:r>
    </w:p>
    <w:p w:rsidR="00705A2D" w:rsidRPr="00705A2D" w:rsidRDefault="00705A2D" w:rsidP="00705A2D">
      <w:pPr>
        <w:pBdr>
          <w:top w:val="single" w:sz="4" w:space="10" w:color="auto"/>
          <w:left w:val="single" w:sz="4" w:space="10" w:color="auto"/>
          <w:bottom w:val="single" w:sz="4" w:space="10" w:color="auto"/>
          <w:right w:val="single" w:sz="4" w:space="10" w:color="auto"/>
        </w:pBdr>
        <w:tabs>
          <w:tab w:val="left" w:pos="851"/>
          <w:tab w:val="right" w:pos="4820"/>
        </w:tabs>
        <w:rPr>
          <w:sz w:val="20"/>
          <w:lang w:val="en-NZ"/>
        </w:rPr>
      </w:pPr>
      <w:r w:rsidRPr="00705A2D">
        <w:rPr>
          <w:sz w:val="20"/>
          <w:lang w:val="en-NZ"/>
        </w:rPr>
        <w:tab/>
        <w:t>Interest-bearing debt</w:t>
      </w:r>
      <w:r w:rsidRPr="00705A2D">
        <w:rPr>
          <w:sz w:val="20"/>
          <w:lang w:val="en-NZ"/>
        </w:rPr>
        <w:tab/>
        <w:t>20</w:t>
      </w:r>
    </w:p>
    <w:p w:rsidR="00705A2D" w:rsidRPr="00705A2D" w:rsidRDefault="00705A2D" w:rsidP="00705A2D">
      <w:pPr>
        <w:pBdr>
          <w:top w:val="single" w:sz="4" w:space="10" w:color="auto"/>
          <w:left w:val="single" w:sz="4" w:space="10" w:color="auto"/>
          <w:bottom w:val="single" w:sz="4" w:space="10" w:color="auto"/>
          <w:right w:val="single" w:sz="4" w:space="10" w:color="auto"/>
        </w:pBdr>
        <w:tabs>
          <w:tab w:val="left" w:pos="851"/>
          <w:tab w:val="right" w:pos="4820"/>
        </w:tabs>
        <w:rPr>
          <w:sz w:val="20"/>
          <w:lang w:val="en-NZ"/>
        </w:rPr>
      </w:pPr>
      <w:r w:rsidRPr="00705A2D">
        <w:rPr>
          <w:sz w:val="20"/>
          <w:lang w:val="en-NZ"/>
        </w:rPr>
        <w:tab/>
        <w:t>Non-debt liability – trade credits</w:t>
      </w:r>
      <w:r w:rsidRPr="00705A2D">
        <w:rPr>
          <w:sz w:val="20"/>
          <w:lang w:val="en-NZ"/>
        </w:rPr>
        <w:tab/>
        <w:t>10</w:t>
      </w:r>
    </w:p>
    <w:p w:rsidR="00705A2D" w:rsidRPr="00705A2D" w:rsidRDefault="00705A2D" w:rsidP="00705A2D">
      <w:pPr>
        <w:pBdr>
          <w:top w:val="single" w:sz="4" w:space="10" w:color="auto"/>
          <w:left w:val="single" w:sz="4" w:space="10" w:color="auto"/>
          <w:bottom w:val="single" w:sz="4" w:space="10" w:color="auto"/>
          <w:right w:val="single" w:sz="4" w:space="10" w:color="auto"/>
        </w:pBdr>
        <w:tabs>
          <w:tab w:val="left" w:pos="851"/>
          <w:tab w:val="right" w:pos="4820"/>
        </w:tabs>
        <w:rPr>
          <w:sz w:val="20"/>
          <w:lang w:val="en-NZ"/>
        </w:rPr>
      </w:pPr>
      <w:r w:rsidRPr="00705A2D">
        <w:rPr>
          <w:sz w:val="20"/>
          <w:lang w:val="en-NZ"/>
        </w:rPr>
        <w:tab/>
        <w:t>Interest free loan from parent</w:t>
      </w:r>
      <w:r w:rsidRPr="00705A2D">
        <w:rPr>
          <w:sz w:val="20"/>
          <w:lang w:val="en-NZ"/>
        </w:rPr>
        <w:tab/>
        <w:t>20</w:t>
      </w:r>
    </w:p>
    <w:p w:rsidR="00705A2D" w:rsidRPr="00705A2D" w:rsidRDefault="00705A2D" w:rsidP="00705A2D">
      <w:pPr>
        <w:pBdr>
          <w:top w:val="single" w:sz="4" w:space="10" w:color="auto"/>
          <w:left w:val="single" w:sz="4" w:space="10" w:color="auto"/>
          <w:bottom w:val="single" w:sz="4" w:space="10" w:color="auto"/>
          <w:right w:val="single" w:sz="4" w:space="10" w:color="auto"/>
        </w:pBdr>
        <w:tabs>
          <w:tab w:val="left" w:pos="851"/>
          <w:tab w:val="right" w:pos="4820"/>
        </w:tabs>
        <w:rPr>
          <w:sz w:val="20"/>
          <w:lang w:val="en-NZ"/>
        </w:rPr>
      </w:pPr>
      <w:r w:rsidRPr="00705A2D">
        <w:rPr>
          <w:sz w:val="20"/>
          <w:lang w:val="en-NZ"/>
        </w:rPr>
        <w:tab/>
        <w:t>Equity</w:t>
      </w:r>
      <w:r w:rsidRPr="00705A2D">
        <w:rPr>
          <w:sz w:val="20"/>
          <w:lang w:val="en-NZ"/>
        </w:rPr>
        <w:tab/>
        <w:t>50</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lang w:val="en-NZ"/>
        </w:rPr>
      </w:pPr>
      <w:r w:rsidRPr="00705A2D">
        <w:rPr>
          <w:sz w:val="20"/>
          <w:lang w:val="en-NZ"/>
        </w:rPr>
        <w:t>Z Co’s debt for the purposes of the thin capitalisation rules is $20.</w:t>
      </w:r>
      <w:r w:rsidR="00292098">
        <w:rPr>
          <w:sz w:val="20"/>
          <w:lang w:val="en-NZ"/>
        </w:rPr>
        <w:t xml:space="preserve"> </w:t>
      </w:r>
      <w:r w:rsidRPr="00705A2D">
        <w:rPr>
          <w:sz w:val="20"/>
          <w:lang w:val="en-NZ"/>
        </w:rPr>
        <w:t>Its total liabilities are $50, but $20 of this is an interest-free loan from Z Co’s parent company</w:t>
      </w:r>
      <w:r w:rsidR="0042436B">
        <w:rPr>
          <w:sz w:val="20"/>
          <w:lang w:val="en-NZ"/>
        </w:rPr>
        <w:t xml:space="preserve"> and $20 is debt, which are both excluded from being non-debt liabilities</w:t>
      </w:r>
      <w:r w:rsidRPr="00705A2D">
        <w:rPr>
          <w:sz w:val="20"/>
          <w:lang w:val="en-NZ"/>
        </w:rPr>
        <w:t>.</w:t>
      </w:r>
      <w:r w:rsidR="00292098">
        <w:rPr>
          <w:sz w:val="20"/>
          <w:lang w:val="en-NZ"/>
        </w:rPr>
        <w:t xml:space="preserve"> </w:t>
      </w:r>
      <w:r w:rsidRPr="00705A2D">
        <w:rPr>
          <w:sz w:val="20"/>
          <w:lang w:val="en-NZ"/>
        </w:rPr>
        <w:t xml:space="preserve">Its non-debt liabilities are </w:t>
      </w:r>
      <w:r w:rsidR="0042436B">
        <w:rPr>
          <w:sz w:val="20"/>
          <w:lang w:val="en-NZ"/>
        </w:rPr>
        <w:t xml:space="preserve">therefore </w:t>
      </w:r>
      <w:r w:rsidRPr="00705A2D">
        <w:rPr>
          <w:sz w:val="20"/>
          <w:lang w:val="en-NZ"/>
        </w:rPr>
        <w:t xml:space="preserve">$10 </w:t>
      </w:r>
      <w:r w:rsidR="0042436B">
        <w:rPr>
          <w:sz w:val="20"/>
          <w:lang w:val="en-NZ"/>
        </w:rPr>
        <w:t xml:space="preserve">(trade credits) </w:t>
      </w:r>
      <w:r w:rsidRPr="00705A2D">
        <w:rPr>
          <w:sz w:val="20"/>
          <w:lang w:val="en-NZ"/>
        </w:rPr>
        <w:t>and its thin capitalisation debt percentage under section FE 12 is 20 ÷ (100 – 10) = 22.2 percent.</w:t>
      </w:r>
    </w:p>
    <w:p w:rsidR="00705A2D" w:rsidRDefault="00705A2D" w:rsidP="0046479F">
      <w:pPr>
        <w:rPr>
          <w:lang w:val="en-NZ"/>
        </w:rPr>
      </w:pPr>
    </w:p>
    <w:p w:rsidR="0046479F" w:rsidRPr="00705A2D" w:rsidRDefault="0046479F" w:rsidP="0046479F">
      <w:pPr>
        <w:rPr>
          <w:lang w:val="en-NZ"/>
        </w:rPr>
      </w:pPr>
    </w:p>
    <w:p w:rsidR="00705A2D" w:rsidRPr="00705A2D" w:rsidRDefault="00705A2D" w:rsidP="00705A2D">
      <w:pPr>
        <w:rPr>
          <w:b/>
          <w:i/>
          <w:lang w:val="en-NZ"/>
        </w:rPr>
      </w:pPr>
      <w:r w:rsidRPr="00705A2D">
        <w:rPr>
          <w:b/>
          <w:i/>
          <w:lang w:val="en-NZ"/>
        </w:rPr>
        <w:t>Non-debt liabilities for worldwide group – sections FE 16B(2) and FE 18</w:t>
      </w:r>
      <w:r w:rsidR="00292098">
        <w:rPr>
          <w:b/>
          <w:i/>
          <w:lang w:val="en-NZ"/>
        </w:rPr>
        <w:t xml:space="preserve"> </w:t>
      </w:r>
    </w:p>
    <w:p w:rsidR="00705A2D" w:rsidRPr="00705A2D" w:rsidRDefault="00705A2D" w:rsidP="00705A2D">
      <w:pPr>
        <w:rPr>
          <w:lang w:val="en-NZ"/>
        </w:rPr>
      </w:pPr>
    </w:p>
    <w:p w:rsidR="00705A2D" w:rsidRPr="00705A2D" w:rsidRDefault="00705A2D" w:rsidP="00705A2D">
      <w:pPr>
        <w:rPr>
          <w:lang w:val="en-NZ"/>
        </w:rPr>
      </w:pPr>
      <w:r w:rsidRPr="00705A2D">
        <w:rPr>
          <w:lang w:val="en-NZ"/>
        </w:rPr>
        <w:t>For a worldwide gro</w:t>
      </w:r>
      <w:r w:rsidR="00334705">
        <w:rPr>
          <w:lang w:val="en-NZ"/>
        </w:rPr>
        <w:t xml:space="preserve">up, non-debt liabilities </w:t>
      </w:r>
      <w:proofErr w:type="gramStart"/>
      <w:r w:rsidR="00334705">
        <w:rPr>
          <w:lang w:val="en-NZ"/>
        </w:rPr>
        <w:t>means</w:t>
      </w:r>
      <w:proofErr w:type="gramEnd"/>
      <w:r w:rsidR="00334705">
        <w:rPr>
          <w:lang w:val="en-NZ"/>
        </w:rPr>
        <w:t>:</w:t>
      </w:r>
    </w:p>
    <w:p w:rsidR="00705A2D" w:rsidRPr="00705A2D" w:rsidRDefault="00705A2D" w:rsidP="00705A2D">
      <w:pPr>
        <w:jc w:val="left"/>
        <w:rPr>
          <w:lang w:val="en-NZ"/>
        </w:rPr>
      </w:pPr>
    </w:p>
    <w:p w:rsidR="00705A2D" w:rsidRPr="00705A2D" w:rsidRDefault="00705A2D" w:rsidP="0046479F">
      <w:pPr>
        <w:pStyle w:val="Bullets"/>
      </w:pPr>
      <w:r w:rsidRPr="00705A2D">
        <w:t>all liabilities (as shown in the entity’s financial statements) that are not counted as debt under section FE 18; less</w:t>
      </w:r>
    </w:p>
    <w:p w:rsidR="00705A2D" w:rsidRPr="00705A2D" w:rsidRDefault="00705A2D" w:rsidP="0046479F">
      <w:pPr>
        <w:pStyle w:val="Bullets"/>
        <w:spacing w:after="0"/>
      </w:pPr>
      <w:r w:rsidRPr="00705A2D">
        <w:t>any owner-linked debt that is excluded under section FE 18(3B), as such debt is treated as equity for the purposes of the worldwide group debt test.</w:t>
      </w:r>
    </w:p>
    <w:p w:rsidR="00705A2D" w:rsidRPr="00705A2D" w:rsidRDefault="00705A2D" w:rsidP="00705A2D">
      <w:pPr>
        <w:jc w:val="left"/>
        <w:rPr>
          <w:szCs w:val="24"/>
          <w:lang w:val="en-NZ" w:eastAsia="en-NZ"/>
        </w:rPr>
      </w:pPr>
    </w:p>
    <w:p w:rsidR="00705A2D" w:rsidRPr="00705A2D" w:rsidRDefault="00705A2D" w:rsidP="00705A2D">
      <w:pPr>
        <w:jc w:val="left"/>
        <w:rPr>
          <w:szCs w:val="24"/>
          <w:lang w:val="en-NZ" w:eastAsia="en-NZ"/>
        </w:rPr>
      </w:pPr>
      <w:r w:rsidRPr="00705A2D">
        <w:rPr>
          <w:szCs w:val="24"/>
          <w:lang w:val="en-NZ" w:eastAsia="en-NZ"/>
        </w:rPr>
        <w:t>This is similar to the definition of non-debt liabilities for a New Zealand group, although there are fewer exclusions.</w:t>
      </w:r>
    </w:p>
    <w:p w:rsidR="00705A2D" w:rsidRPr="00705A2D" w:rsidRDefault="00705A2D" w:rsidP="00705A2D">
      <w:pPr>
        <w:jc w:val="left"/>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 xml:space="preserve">Consequential amendments to the CFC </w:t>
      </w:r>
      <w:r w:rsidR="0046479F">
        <w:rPr>
          <w:b/>
          <w:i/>
          <w:szCs w:val="24"/>
          <w:lang w:val="en-NZ" w:eastAsia="en-NZ"/>
        </w:rPr>
        <w:t>rules – sections EX 20D and 20E</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In calculating the net attributing CFC income or loss for a CFC, sections EX 20D and EX 20E outline rules to help determine the deductibility of interest expenditure for excessively-debt funded CFCs.</w:t>
      </w:r>
      <w:r w:rsidR="00292098">
        <w:rPr>
          <w:szCs w:val="24"/>
          <w:lang w:val="en-NZ" w:eastAsia="en-NZ"/>
        </w:rPr>
        <w:t xml:space="preserve"> </w:t>
      </w:r>
      <w:r w:rsidRPr="00705A2D">
        <w:rPr>
          <w:szCs w:val="24"/>
          <w:lang w:val="en-NZ" w:eastAsia="en-NZ"/>
        </w:rPr>
        <w:t>The test for whether a CFC is considered to be excessively debt-funded is whether it has a debt-asset ratio, determined under section EX 20D(4), of more than 0.75 and also has a relative debt-asset ratio, determined under section EX 20E, of more than 1.10.</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Similar to the changes to the thin capitalisation rules in subpart FE, sections EX 20D and EX 20E have been amended to reflect that non-debt liabilities should be deducted from the denominator of the formula in calculating the CFC’s debt-asset ratio and the CFC’s relative debt-asset ratio.</w:t>
      </w:r>
      <w:r w:rsidR="00292098">
        <w:rPr>
          <w:szCs w:val="24"/>
          <w:lang w:val="en-NZ" w:eastAsia="en-NZ"/>
        </w:rPr>
        <w:t xml:space="preserve"> </w:t>
      </w:r>
      <w:r w:rsidRPr="00705A2D">
        <w:rPr>
          <w:szCs w:val="24"/>
          <w:lang w:val="en-NZ" w:eastAsia="en-NZ"/>
        </w:rPr>
        <w:t>The meaning of non-debt liabilities for the purposes of these calculations is the total value of the non-debt liabilities determined under generally accepted accounting practice for the CFC and group respectively, as provided in sections EX 20D(8B) and (6B) respectively.</w:t>
      </w:r>
    </w:p>
    <w:p w:rsidR="00192B65" w:rsidRPr="002932A8" w:rsidRDefault="00192B65" w:rsidP="00192B65"/>
    <w:p w:rsidR="00192B65" w:rsidRPr="005C63F2" w:rsidRDefault="00192B65" w:rsidP="00192B65">
      <w:pPr>
        <w:rPr>
          <w:b/>
          <w:i/>
          <w:lang w:val="en-NZ"/>
        </w:rPr>
      </w:pPr>
      <w:r w:rsidRPr="005C63F2">
        <w:rPr>
          <w:b/>
          <w:i/>
          <w:lang w:val="en-NZ"/>
        </w:rPr>
        <w:t>De minimis for inbound thin cap</w:t>
      </w:r>
    </w:p>
    <w:p w:rsidR="00192B65" w:rsidRPr="002932A8" w:rsidRDefault="00192B65" w:rsidP="00192B65"/>
    <w:p w:rsidR="00192B65" w:rsidRDefault="00D472AB" w:rsidP="00192B65">
      <w:pPr>
        <w:rPr>
          <w:lang w:val="en-NZ"/>
        </w:rPr>
      </w:pPr>
      <w:r>
        <w:rPr>
          <w:lang w:val="en-NZ"/>
        </w:rPr>
        <w:t>S</w:t>
      </w:r>
      <w:r w:rsidR="008B6F3F">
        <w:rPr>
          <w:lang w:val="en-NZ"/>
        </w:rPr>
        <w:t xml:space="preserve">ection </w:t>
      </w:r>
      <w:r>
        <w:rPr>
          <w:lang w:val="en-NZ"/>
        </w:rPr>
        <w:t>FE 6(3)(ac)</w:t>
      </w:r>
      <w:r w:rsidR="004E782E">
        <w:rPr>
          <w:lang w:val="en-NZ"/>
        </w:rPr>
        <w:t>(i)</w:t>
      </w:r>
      <w:r>
        <w:rPr>
          <w:lang w:val="en-NZ"/>
        </w:rPr>
        <w:t xml:space="preserve"> provide</w:t>
      </w:r>
      <w:r w:rsidR="00E224E0">
        <w:rPr>
          <w:lang w:val="en-NZ"/>
        </w:rPr>
        <w:t>s</w:t>
      </w:r>
      <w:r w:rsidR="00192B65" w:rsidRPr="005C63F2">
        <w:rPr>
          <w:lang w:val="en-NZ"/>
        </w:rPr>
        <w:t xml:space="preserve"> a de minimis </w:t>
      </w:r>
      <w:r w:rsidR="00254A6A">
        <w:rPr>
          <w:lang w:val="en-NZ"/>
        </w:rPr>
        <w:t>which means that</w:t>
      </w:r>
      <w:r w:rsidR="00192B65" w:rsidRPr="005C63F2">
        <w:rPr>
          <w:lang w:val="en-NZ"/>
        </w:rPr>
        <w:t xml:space="preserve"> a person subject to the outbound</w:t>
      </w:r>
      <w:r>
        <w:rPr>
          <w:lang w:val="en-NZ"/>
        </w:rPr>
        <w:t xml:space="preserve"> thin capitalisation rules </w:t>
      </w:r>
      <w:r w:rsidR="0042436B">
        <w:rPr>
          <w:lang w:val="en-NZ"/>
        </w:rPr>
        <w:t>d</w:t>
      </w:r>
      <w:r w:rsidR="00E224E0">
        <w:rPr>
          <w:lang w:val="en-NZ"/>
        </w:rPr>
        <w:t>oes</w:t>
      </w:r>
      <w:r w:rsidR="00192B65">
        <w:rPr>
          <w:lang w:val="en-NZ"/>
        </w:rPr>
        <w:t xml:space="preserve"> not</w:t>
      </w:r>
      <w:r w:rsidR="00192B65" w:rsidRPr="005C63F2">
        <w:rPr>
          <w:lang w:val="en-NZ"/>
        </w:rPr>
        <w:t xml:space="preserve"> derive an amount of income (equivalent to </w:t>
      </w:r>
      <w:r w:rsidR="00192B65">
        <w:rPr>
          <w:lang w:val="en-NZ"/>
        </w:rPr>
        <w:t>any</w:t>
      </w:r>
      <w:r w:rsidR="00192B65" w:rsidRPr="005C63F2">
        <w:rPr>
          <w:lang w:val="en-NZ"/>
        </w:rPr>
        <w:t xml:space="preserve"> disallowed</w:t>
      </w:r>
      <w:r w:rsidR="00192B65">
        <w:rPr>
          <w:lang w:val="en-NZ"/>
        </w:rPr>
        <w:t xml:space="preserve"> interest</w:t>
      </w:r>
      <w:r w:rsidR="00192B65" w:rsidRPr="005C63F2">
        <w:rPr>
          <w:lang w:val="en-NZ"/>
        </w:rPr>
        <w:t>) if they ha</w:t>
      </w:r>
      <w:r w:rsidR="00254A6A">
        <w:rPr>
          <w:lang w:val="en-NZ"/>
        </w:rPr>
        <w:t>ve</w:t>
      </w:r>
      <w:r w:rsidR="00192B65" w:rsidRPr="005C63F2">
        <w:rPr>
          <w:lang w:val="en-NZ"/>
        </w:rPr>
        <w:t xml:space="preserve"> a group finance cost for a year</w:t>
      </w:r>
      <w:r w:rsidR="00192B65">
        <w:rPr>
          <w:lang w:val="en-NZ"/>
        </w:rPr>
        <w:t xml:space="preserve"> of less than $1 million.</w:t>
      </w:r>
      <w:r w:rsidR="00292098">
        <w:rPr>
          <w:lang w:val="en-NZ"/>
        </w:rPr>
        <w:t xml:space="preserve"> </w:t>
      </w:r>
      <w:r w:rsidR="00192B65">
        <w:rPr>
          <w:lang w:val="en-NZ"/>
        </w:rPr>
        <w:t xml:space="preserve">The de minimis </w:t>
      </w:r>
      <w:r w:rsidR="00E224E0">
        <w:rPr>
          <w:lang w:val="en-NZ"/>
        </w:rPr>
        <w:t xml:space="preserve">reduces between </w:t>
      </w:r>
      <w:r w:rsidR="00192B65" w:rsidRPr="005C63F2">
        <w:rPr>
          <w:lang w:val="en-NZ"/>
        </w:rPr>
        <w:t xml:space="preserve">$1 million </w:t>
      </w:r>
      <w:r w:rsidR="00192B65">
        <w:rPr>
          <w:lang w:val="en-NZ"/>
        </w:rPr>
        <w:t xml:space="preserve">to $2 million of </w:t>
      </w:r>
      <w:r w:rsidR="00192B65" w:rsidRPr="005C63F2">
        <w:rPr>
          <w:lang w:val="en-NZ"/>
        </w:rPr>
        <w:t>group finance cost.</w:t>
      </w:r>
    </w:p>
    <w:p w:rsidR="004E782E" w:rsidRDefault="004E782E" w:rsidP="00192B65">
      <w:pPr>
        <w:rPr>
          <w:lang w:val="en-NZ"/>
        </w:rPr>
      </w:pPr>
    </w:p>
    <w:p w:rsidR="004E782E" w:rsidRPr="005C63F2" w:rsidRDefault="004E782E" w:rsidP="00192B65">
      <w:pPr>
        <w:rPr>
          <w:lang w:val="en-NZ"/>
        </w:rPr>
      </w:pPr>
      <w:r>
        <w:rPr>
          <w:lang w:val="en-NZ"/>
        </w:rPr>
        <w:t xml:space="preserve">This is </w:t>
      </w:r>
      <w:r w:rsidR="00F22706">
        <w:rPr>
          <w:lang w:val="en-NZ"/>
        </w:rPr>
        <w:t>achieved by</w:t>
      </w:r>
      <w:r>
        <w:rPr>
          <w:lang w:val="en-NZ"/>
        </w:rPr>
        <w:t xml:space="preserve"> section FE 6(ac)(ii) or (iii)</w:t>
      </w:r>
      <w:r w:rsidR="00E224E0">
        <w:rPr>
          <w:lang w:val="en-NZ"/>
        </w:rPr>
        <w:t>, which</w:t>
      </w:r>
      <w:r>
        <w:rPr>
          <w:lang w:val="en-NZ"/>
        </w:rPr>
        <w:t xml:space="preserve"> reduce the amount of income derived by an excess debt entity but only where paragraph (i) does not apply.</w:t>
      </w:r>
    </w:p>
    <w:p w:rsidR="00192B65" w:rsidRPr="005C63F2" w:rsidRDefault="00192B65" w:rsidP="00192B65">
      <w:pPr>
        <w:rPr>
          <w:lang w:val="en-NZ"/>
        </w:rPr>
      </w:pPr>
    </w:p>
    <w:p w:rsidR="00192B65" w:rsidRDefault="00D472AB" w:rsidP="00192B65">
      <w:pPr>
        <w:rPr>
          <w:lang w:val="en-NZ"/>
        </w:rPr>
      </w:pPr>
      <w:r>
        <w:rPr>
          <w:lang w:val="en-NZ"/>
        </w:rPr>
        <w:t>A</w:t>
      </w:r>
      <w:r w:rsidR="00192B65">
        <w:rPr>
          <w:lang w:val="en-NZ"/>
        </w:rPr>
        <w:t>mendments to section FE 6(3)(ac)</w:t>
      </w:r>
      <w:r w:rsidR="00192B65" w:rsidRPr="005C63F2">
        <w:rPr>
          <w:lang w:val="en-NZ"/>
        </w:rPr>
        <w:t xml:space="preserve"> </w:t>
      </w:r>
      <w:r>
        <w:rPr>
          <w:lang w:val="en-NZ"/>
        </w:rPr>
        <w:t xml:space="preserve">have </w:t>
      </w:r>
      <w:r w:rsidR="00192B65" w:rsidRPr="005C63F2">
        <w:rPr>
          <w:lang w:val="en-NZ"/>
        </w:rPr>
        <w:t>extend</w:t>
      </w:r>
      <w:r>
        <w:rPr>
          <w:lang w:val="en-NZ"/>
        </w:rPr>
        <w:t>ed</w:t>
      </w:r>
      <w:r w:rsidR="00192B65" w:rsidRPr="005C63F2">
        <w:rPr>
          <w:lang w:val="en-NZ"/>
        </w:rPr>
        <w:t xml:space="preserve"> this de minimis to a person subject to the inbound thin capitalisation rules unless they have owner-linked debt – that is debt from a person with an ownership interest in the entity</w:t>
      </w:r>
      <w:r w:rsidR="00192B65">
        <w:rPr>
          <w:lang w:val="en-NZ"/>
        </w:rPr>
        <w:t xml:space="preserve"> </w:t>
      </w:r>
      <w:r w:rsidR="00192B65" w:rsidRPr="005C63F2">
        <w:rPr>
          <w:lang w:val="en-NZ"/>
        </w:rPr>
        <w:t>–</w:t>
      </w:r>
      <w:r w:rsidR="00192B65">
        <w:rPr>
          <w:lang w:val="en-NZ"/>
        </w:rPr>
        <w:t xml:space="preserve"> under</w:t>
      </w:r>
      <w:r w:rsidR="00192B65" w:rsidRPr="005C63F2">
        <w:rPr>
          <w:lang w:val="en-NZ"/>
        </w:rPr>
        <w:t xml:space="preserve"> section FE 18(3B).</w:t>
      </w:r>
    </w:p>
    <w:p w:rsidR="00192B65" w:rsidRDefault="00192B65" w:rsidP="00192B65">
      <w:pPr>
        <w:rPr>
          <w:lang w:val="en-NZ"/>
        </w:rPr>
      </w:pPr>
    </w:p>
    <w:p w:rsidR="00192B65" w:rsidRPr="005C63F2" w:rsidRDefault="00D472AB" w:rsidP="00192B65">
      <w:pPr>
        <w:rPr>
          <w:lang w:val="en-NZ"/>
        </w:rPr>
      </w:pPr>
      <w:r>
        <w:rPr>
          <w:lang w:val="en-NZ"/>
        </w:rPr>
        <w:t xml:space="preserve">This change </w:t>
      </w:r>
      <w:r w:rsidR="00192B65" w:rsidRPr="0042466B">
        <w:rPr>
          <w:lang w:val="en-NZ"/>
        </w:rPr>
        <w:t>is intended to reduce compliance costs for smaller firms.</w:t>
      </w:r>
    </w:p>
    <w:p w:rsidR="00192B65" w:rsidRPr="005C63F2" w:rsidRDefault="00192B65" w:rsidP="00192B65">
      <w:pPr>
        <w:rPr>
          <w:lang w:val="en-NZ"/>
        </w:rPr>
      </w:pPr>
    </w:p>
    <w:p w:rsidR="00192B65" w:rsidRPr="005C63F2" w:rsidRDefault="00192B65" w:rsidP="00192B65">
      <w:pPr>
        <w:rPr>
          <w:b/>
          <w:i/>
          <w:lang w:val="en-NZ"/>
        </w:rPr>
      </w:pPr>
      <w:r w:rsidRPr="005C63F2">
        <w:rPr>
          <w:b/>
          <w:i/>
          <w:lang w:val="en-NZ"/>
        </w:rPr>
        <w:t>Worldwide debt test for non-residents acting together</w:t>
      </w:r>
    </w:p>
    <w:p w:rsidR="00192B65" w:rsidRPr="005C63F2" w:rsidRDefault="00192B65" w:rsidP="00192B65">
      <w:pPr>
        <w:rPr>
          <w:lang w:val="en-NZ"/>
        </w:rPr>
      </w:pPr>
    </w:p>
    <w:p w:rsidR="00192B65" w:rsidRDefault="00192B65" w:rsidP="00192B65">
      <w:pPr>
        <w:rPr>
          <w:lang w:val="en-NZ"/>
        </w:rPr>
      </w:pPr>
      <w:r w:rsidRPr="005C63F2">
        <w:rPr>
          <w:lang w:val="en-NZ"/>
        </w:rPr>
        <w:t xml:space="preserve">The inbound thin capitalisation rules were extended with application from the 2015-16 </w:t>
      </w:r>
      <w:r w:rsidR="004E782E">
        <w:rPr>
          <w:lang w:val="en-NZ"/>
        </w:rPr>
        <w:t xml:space="preserve">tax </w:t>
      </w:r>
      <w:r w:rsidRPr="005C63F2">
        <w:rPr>
          <w:lang w:val="en-NZ"/>
        </w:rPr>
        <w:t xml:space="preserve">year to include </w:t>
      </w:r>
      <w:r w:rsidR="00FE1AB1">
        <w:rPr>
          <w:lang w:val="en-NZ"/>
        </w:rPr>
        <w:t>New Zealand entities</w:t>
      </w:r>
      <w:r w:rsidR="00F761E3">
        <w:rPr>
          <w:lang w:val="en-NZ"/>
        </w:rPr>
        <w:t xml:space="preserve"> owned by </w:t>
      </w:r>
      <w:r w:rsidRPr="005C63F2">
        <w:rPr>
          <w:lang w:val="en-NZ"/>
        </w:rPr>
        <w:t xml:space="preserve">non-residents that act together as a group in relation to the way they fund a New Zealand investment and own 50 percent or more of that </w:t>
      </w:r>
      <w:r w:rsidR="00254A6A">
        <w:rPr>
          <w:lang w:val="en-NZ"/>
        </w:rPr>
        <w:t>entity</w:t>
      </w:r>
      <w:r w:rsidR="00FE1AB1">
        <w:rPr>
          <w:lang w:val="en-NZ"/>
        </w:rPr>
        <w:t xml:space="preserve"> (we refer to these New Zealand entities as “group controlled”).</w:t>
      </w:r>
    </w:p>
    <w:p w:rsidR="00192B65" w:rsidRDefault="00192B65" w:rsidP="00192B65">
      <w:pPr>
        <w:rPr>
          <w:lang w:val="en-NZ"/>
        </w:rPr>
      </w:pPr>
    </w:p>
    <w:p w:rsidR="00192B65" w:rsidRPr="005C63F2" w:rsidRDefault="00192B65" w:rsidP="00192B65">
      <w:pPr>
        <w:rPr>
          <w:lang w:val="en-NZ"/>
        </w:rPr>
      </w:pPr>
      <w:r w:rsidRPr="005C63F2">
        <w:rPr>
          <w:lang w:val="en-NZ"/>
        </w:rPr>
        <w:t xml:space="preserve">The </w:t>
      </w:r>
      <w:r w:rsidR="00254A6A">
        <w:rPr>
          <w:lang w:val="en-NZ"/>
        </w:rPr>
        <w:t>2015-16 changes</w:t>
      </w:r>
      <w:r w:rsidRPr="005C63F2">
        <w:rPr>
          <w:lang w:val="en-NZ"/>
        </w:rPr>
        <w:t xml:space="preserve"> also tightened what is known as the “</w:t>
      </w:r>
      <w:r w:rsidRPr="005E11C6">
        <w:rPr>
          <w:lang w:val="en-NZ"/>
        </w:rPr>
        <w:t>110 percent worldwide debt test” in the inbou</w:t>
      </w:r>
      <w:r w:rsidRPr="005C63F2">
        <w:rPr>
          <w:lang w:val="en-NZ"/>
        </w:rPr>
        <w:t>nd rules, which compares the amount of debt in a group’s worldwide operations to the debt in the</w:t>
      </w:r>
      <w:r>
        <w:rPr>
          <w:lang w:val="en-NZ"/>
        </w:rPr>
        <w:t>ir</w:t>
      </w:r>
      <w:r w:rsidRPr="005C63F2">
        <w:rPr>
          <w:lang w:val="en-NZ"/>
        </w:rPr>
        <w:t xml:space="preserve"> New Zealand operations.</w:t>
      </w:r>
      <w:r w:rsidR="00292098">
        <w:rPr>
          <w:lang w:val="en-NZ"/>
        </w:rPr>
        <w:t xml:space="preserve"> </w:t>
      </w:r>
      <w:r w:rsidRPr="005C63F2">
        <w:rPr>
          <w:lang w:val="en-NZ"/>
        </w:rPr>
        <w:t xml:space="preserve">The effect of section FE 18(3B) is that owner-linked debt (as discussed above) is excluded when calculating the </w:t>
      </w:r>
      <w:r w:rsidR="00254A6A">
        <w:rPr>
          <w:lang w:val="en-NZ"/>
        </w:rPr>
        <w:t>worldwide debt percentage</w:t>
      </w:r>
      <w:r w:rsidRPr="005C63F2">
        <w:rPr>
          <w:lang w:val="en-NZ"/>
        </w:rPr>
        <w:t>.</w:t>
      </w:r>
    </w:p>
    <w:p w:rsidR="00192B65" w:rsidRPr="005C63F2" w:rsidRDefault="00192B65" w:rsidP="00192B65">
      <w:pPr>
        <w:rPr>
          <w:lang w:val="en-NZ"/>
        </w:rPr>
      </w:pPr>
    </w:p>
    <w:p w:rsidR="00192B65" w:rsidRPr="005C63F2" w:rsidRDefault="00FE1AB1" w:rsidP="00192B65">
      <w:pPr>
        <w:rPr>
          <w:lang w:val="en-NZ"/>
        </w:rPr>
      </w:pPr>
      <w:r>
        <w:rPr>
          <w:lang w:val="en-NZ"/>
        </w:rPr>
        <w:t xml:space="preserve">A New Zealand group’s </w:t>
      </w:r>
      <w:r w:rsidR="00192B65" w:rsidRPr="005C63F2">
        <w:rPr>
          <w:lang w:val="en-NZ"/>
        </w:rPr>
        <w:t xml:space="preserve">allowable debt </w:t>
      </w:r>
      <w:r w:rsidR="00254A6A">
        <w:rPr>
          <w:lang w:val="en-NZ"/>
        </w:rPr>
        <w:t>percentage</w:t>
      </w:r>
      <w:r w:rsidR="00192B65" w:rsidRPr="005C63F2">
        <w:rPr>
          <w:lang w:val="en-NZ"/>
        </w:rPr>
        <w:t xml:space="preserve"> under section FE 5(1)(a) </w:t>
      </w:r>
      <w:r w:rsidR="001A790E">
        <w:rPr>
          <w:lang w:val="en-NZ"/>
        </w:rPr>
        <w:t>is</w:t>
      </w:r>
      <w:r w:rsidR="00192B65" w:rsidRPr="005C63F2">
        <w:rPr>
          <w:lang w:val="en-NZ"/>
        </w:rPr>
        <w:t xml:space="preserve"> the greater of 60 percent</w:t>
      </w:r>
      <w:r w:rsidR="00192B65">
        <w:rPr>
          <w:lang w:val="en-NZ"/>
        </w:rPr>
        <w:t xml:space="preserve"> of its assets</w:t>
      </w:r>
      <w:r w:rsidR="00192B65" w:rsidRPr="005C63F2">
        <w:rPr>
          <w:lang w:val="en-NZ"/>
        </w:rPr>
        <w:t xml:space="preserve"> and 110 percent of its worldwide debt</w:t>
      </w:r>
      <w:r w:rsidR="00254A6A">
        <w:rPr>
          <w:lang w:val="en-NZ"/>
        </w:rPr>
        <w:t xml:space="preserve"> percentage</w:t>
      </w:r>
      <w:r w:rsidR="00192B65">
        <w:rPr>
          <w:lang w:val="en-NZ"/>
        </w:rPr>
        <w:t>.</w:t>
      </w:r>
      <w:r w:rsidR="00292098">
        <w:rPr>
          <w:lang w:val="en-NZ"/>
        </w:rPr>
        <w:t xml:space="preserve"> </w:t>
      </w:r>
      <w:r>
        <w:rPr>
          <w:lang w:val="en-NZ"/>
        </w:rPr>
        <w:t>For a group controlled New Zealand entity, t</w:t>
      </w:r>
      <w:r w:rsidR="00675832" w:rsidRPr="005C63F2">
        <w:rPr>
          <w:lang w:val="en-NZ"/>
        </w:rPr>
        <w:t>he worldwide group is the New Zealand group itself under section FE 31D</w:t>
      </w:r>
      <w:r w:rsidR="00675832">
        <w:rPr>
          <w:lang w:val="en-NZ"/>
        </w:rPr>
        <w:t>, as</w:t>
      </w:r>
      <w:r w:rsidR="00192B65" w:rsidRPr="005C63F2">
        <w:rPr>
          <w:lang w:val="en-NZ"/>
        </w:rPr>
        <w:t xml:space="preserve"> a company owned or controlled by a group of non-residents acting together has no identifiable parent</w:t>
      </w:r>
      <w:r w:rsidR="00192B65">
        <w:rPr>
          <w:lang w:val="en-NZ"/>
        </w:rPr>
        <w:t>.</w:t>
      </w:r>
      <w:r w:rsidR="00292098">
        <w:rPr>
          <w:lang w:val="en-NZ"/>
        </w:rPr>
        <w:t xml:space="preserve"> </w:t>
      </w:r>
      <w:r w:rsidR="00192B65" w:rsidRPr="005C63F2">
        <w:rPr>
          <w:lang w:val="en-NZ"/>
        </w:rPr>
        <w:t xml:space="preserve">As such, the 110 percent worldwide debt test is effectively a measure of the New Zealand group’s </w:t>
      </w:r>
      <w:r w:rsidR="00192B65">
        <w:rPr>
          <w:lang w:val="en-NZ"/>
        </w:rPr>
        <w:t>total</w:t>
      </w:r>
      <w:r w:rsidR="00192B65" w:rsidRPr="005C63F2">
        <w:rPr>
          <w:lang w:val="en-NZ"/>
        </w:rPr>
        <w:t xml:space="preserve"> debt re</w:t>
      </w:r>
      <w:r w:rsidR="00192B65">
        <w:rPr>
          <w:lang w:val="en-NZ"/>
        </w:rPr>
        <w:t>lative to its third-party debt.</w:t>
      </w:r>
    </w:p>
    <w:p w:rsidR="00192B65" w:rsidRPr="005C63F2" w:rsidRDefault="00192B65" w:rsidP="00192B65">
      <w:pPr>
        <w:jc w:val="left"/>
        <w:rPr>
          <w:lang w:val="en-NZ"/>
        </w:rPr>
      </w:pPr>
    </w:p>
    <w:p w:rsidR="00192B65" w:rsidRPr="005C63F2" w:rsidRDefault="00192B65" w:rsidP="00192B65">
      <w:pPr>
        <w:rPr>
          <w:lang w:val="en-NZ"/>
        </w:rPr>
      </w:pPr>
      <w:r w:rsidRPr="005C63F2">
        <w:rPr>
          <w:lang w:val="en-NZ"/>
        </w:rPr>
        <w:t xml:space="preserve">This means that shareholders of </w:t>
      </w:r>
      <w:r w:rsidR="00FE1AB1">
        <w:rPr>
          <w:lang w:val="en-NZ"/>
        </w:rPr>
        <w:t>gr</w:t>
      </w:r>
      <w:r w:rsidR="00BC21CB">
        <w:rPr>
          <w:lang w:val="en-NZ"/>
        </w:rPr>
        <w:t>ou</w:t>
      </w:r>
      <w:r w:rsidR="00FE1AB1">
        <w:rPr>
          <w:lang w:val="en-NZ"/>
        </w:rPr>
        <w:t>p</w:t>
      </w:r>
      <w:r w:rsidR="00BC21CB">
        <w:rPr>
          <w:lang w:val="en-NZ"/>
        </w:rPr>
        <w:t xml:space="preserve"> controlled entities</w:t>
      </w:r>
      <w:r w:rsidRPr="005C63F2">
        <w:rPr>
          <w:lang w:val="en-NZ"/>
        </w:rPr>
        <w:t xml:space="preserve"> with high levels of third-party debt </w:t>
      </w:r>
      <w:r w:rsidR="00D472AB">
        <w:rPr>
          <w:lang w:val="en-NZ"/>
        </w:rPr>
        <w:t xml:space="preserve">were </w:t>
      </w:r>
      <w:r w:rsidRPr="005C63F2">
        <w:rPr>
          <w:lang w:val="en-NZ"/>
        </w:rPr>
        <w:t xml:space="preserve">able to invest in New Zealand predominantly through </w:t>
      </w:r>
      <w:r w:rsidR="00254A6A">
        <w:rPr>
          <w:lang w:val="en-NZ"/>
        </w:rPr>
        <w:t xml:space="preserve">owner-linked </w:t>
      </w:r>
      <w:r w:rsidRPr="005C63F2">
        <w:rPr>
          <w:lang w:val="en-NZ"/>
        </w:rPr>
        <w:t>debt.</w:t>
      </w:r>
      <w:r w:rsidR="00292098">
        <w:rPr>
          <w:lang w:val="en-NZ"/>
        </w:rPr>
        <w:t xml:space="preserve"> </w:t>
      </w:r>
      <w:r w:rsidRPr="005C63F2">
        <w:rPr>
          <w:lang w:val="en-NZ"/>
        </w:rPr>
        <w:t>For example, a project funded 90 percent with third-party debt could have 9 percent shareholder debt and only 1 percent equity without breaching the thin capitalisation limit.</w:t>
      </w:r>
    </w:p>
    <w:p w:rsidR="00192B65" w:rsidRPr="005C63F2" w:rsidRDefault="00192B65" w:rsidP="00192B65">
      <w:pPr>
        <w:rPr>
          <w:lang w:val="en-NZ"/>
        </w:rPr>
      </w:pPr>
    </w:p>
    <w:p w:rsidR="00192B65" w:rsidRPr="005C63F2" w:rsidRDefault="00F72A77" w:rsidP="00192B65">
      <w:pPr>
        <w:rPr>
          <w:lang w:val="en-NZ"/>
        </w:rPr>
      </w:pPr>
      <w:r>
        <w:rPr>
          <w:lang w:val="en-NZ"/>
        </w:rPr>
        <w:t>S</w:t>
      </w:r>
      <w:r w:rsidR="00192B65" w:rsidRPr="005C63F2">
        <w:rPr>
          <w:lang w:val="en-NZ"/>
        </w:rPr>
        <w:t>ection</w:t>
      </w:r>
      <w:r w:rsidR="00192B65">
        <w:rPr>
          <w:lang w:val="en-NZ"/>
        </w:rPr>
        <w:t>s</w:t>
      </w:r>
      <w:r w:rsidR="00192B65" w:rsidRPr="005C63F2">
        <w:rPr>
          <w:lang w:val="en-NZ"/>
        </w:rPr>
        <w:t xml:space="preserve"> FE 5(1)(ab) and FE 6(3)(e)(iii) require that when a</w:t>
      </w:r>
      <w:r>
        <w:rPr>
          <w:lang w:val="en-NZ"/>
        </w:rPr>
        <w:t xml:space="preserve"> taxpayer</w:t>
      </w:r>
      <w:r w:rsidR="00192B65" w:rsidRPr="005C63F2">
        <w:rPr>
          <w:lang w:val="en-NZ"/>
        </w:rPr>
        <w:t xml:space="preserve"> </w:t>
      </w:r>
      <w:r w:rsidR="00DD5B3B">
        <w:rPr>
          <w:lang w:val="en-NZ"/>
        </w:rPr>
        <w:t>has a worldwide group given by section FE 31D</w:t>
      </w:r>
      <w:r w:rsidR="00192B65" w:rsidRPr="005C63F2">
        <w:rPr>
          <w:lang w:val="en-NZ"/>
        </w:rPr>
        <w:t xml:space="preserve">, interest deductions will be denied </w:t>
      </w:r>
      <w:r w:rsidR="00192B65">
        <w:rPr>
          <w:lang w:val="en-NZ"/>
        </w:rPr>
        <w:t xml:space="preserve">if the </w:t>
      </w:r>
      <w:r w:rsidR="00192B65" w:rsidRPr="005C63F2">
        <w:rPr>
          <w:lang w:val="en-NZ"/>
        </w:rPr>
        <w:t>entity</w:t>
      </w:r>
      <w:r w:rsidR="00192B65">
        <w:rPr>
          <w:lang w:val="en-NZ"/>
        </w:rPr>
        <w:t xml:space="preserve"> has any owner-linked debt and it</w:t>
      </w:r>
      <w:r w:rsidR="00192B65" w:rsidRPr="005C63F2">
        <w:rPr>
          <w:lang w:val="en-NZ"/>
        </w:rPr>
        <w:t xml:space="preserve">s </w:t>
      </w:r>
      <w:r w:rsidR="00192B65">
        <w:rPr>
          <w:lang w:val="en-NZ"/>
        </w:rPr>
        <w:t xml:space="preserve">total </w:t>
      </w:r>
      <w:r w:rsidR="00192B65" w:rsidRPr="005C63F2">
        <w:rPr>
          <w:lang w:val="en-NZ"/>
        </w:rPr>
        <w:t>debt level exceeds 60 percent</w:t>
      </w:r>
      <w:r w:rsidR="00192B65">
        <w:rPr>
          <w:lang w:val="en-NZ"/>
        </w:rPr>
        <w:t>.</w:t>
      </w:r>
      <w:r w:rsidR="00292098">
        <w:rPr>
          <w:lang w:val="en-NZ"/>
        </w:rPr>
        <w:t xml:space="preserve"> </w:t>
      </w:r>
      <w:r w:rsidR="00192B65" w:rsidRPr="005C63F2">
        <w:rPr>
          <w:lang w:val="en-NZ"/>
        </w:rPr>
        <w:t xml:space="preserve">In effect, this means that its allowable debt level </w:t>
      </w:r>
      <w:r w:rsidR="00EA4882">
        <w:rPr>
          <w:lang w:val="en-NZ"/>
        </w:rPr>
        <w:t>is</w:t>
      </w:r>
      <w:r w:rsidR="00192B65" w:rsidRPr="005C63F2">
        <w:rPr>
          <w:lang w:val="en-NZ"/>
        </w:rPr>
        <w:t xml:space="preserve"> the greater of 60 percent and 100 percent of its third-party debt rather than </w:t>
      </w:r>
      <w:r w:rsidR="00BC21CB">
        <w:rPr>
          <w:lang w:val="en-NZ"/>
        </w:rPr>
        <w:t xml:space="preserve">the greater of 60 percent and </w:t>
      </w:r>
      <w:r w:rsidR="00192B65" w:rsidRPr="005C63F2">
        <w:rPr>
          <w:lang w:val="en-NZ"/>
        </w:rPr>
        <w:t>110 percent of its third</w:t>
      </w:r>
      <w:r w:rsidR="00192B65">
        <w:rPr>
          <w:lang w:val="en-NZ"/>
        </w:rPr>
        <w:t>-</w:t>
      </w:r>
      <w:r w:rsidR="00192B65" w:rsidRPr="005C63F2">
        <w:rPr>
          <w:lang w:val="en-NZ"/>
        </w:rPr>
        <w:t xml:space="preserve">party debt </w:t>
      </w:r>
      <w:r w:rsidR="004E782E">
        <w:rPr>
          <w:lang w:val="en-NZ"/>
        </w:rPr>
        <w:t>as was previously the case</w:t>
      </w:r>
      <w:r w:rsidR="00192B65" w:rsidRPr="005C63F2">
        <w:rPr>
          <w:lang w:val="en-NZ"/>
        </w:rPr>
        <w:t>.</w:t>
      </w:r>
    </w:p>
    <w:p w:rsidR="00192B65" w:rsidRPr="005C63F2" w:rsidRDefault="00192B65" w:rsidP="00192B65">
      <w:pPr>
        <w:rPr>
          <w:lang w:val="en-NZ"/>
        </w:rPr>
      </w:pPr>
    </w:p>
    <w:p w:rsidR="00192B65" w:rsidRPr="005C63F2" w:rsidRDefault="00192B65" w:rsidP="00192B65">
      <w:pPr>
        <w:rPr>
          <w:i/>
          <w:lang w:val="en-NZ"/>
        </w:rPr>
      </w:pPr>
      <w:r w:rsidRPr="005C63F2">
        <w:rPr>
          <w:i/>
          <w:lang w:val="en-NZ"/>
        </w:rPr>
        <w:t>Grandparenting</w:t>
      </w:r>
    </w:p>
    <w:p w:rsidR="00192B65" w:rsidRPr="005C63F2" w:rsidRDefault="00192B65" w:rsidP="00192B65">
      <w:pPr>
        <w:rPr>
          <w:i/>
          <w:lang w:val="en-NZ"/>
        </w:rPr>
      </w:pPr>
    </w:p>
    <w:p w:rsidR="00192B65" w:rsidRPr="005C63F2" w:rsidRDefault="00192B65" w:rsidP="00192B65">
      <w:pPr>
        <w:rPr>
          <w:lang w:val="en-NZ"/>
        </w:rPr>
      </w:pPr>
      <w:r w:rsidRPr="005C63F2">
        <w:rPr>
          <w:lang w:val="en-NZ"/>
        </w:rPr>
        <w:t xml:space="preserve">For </w:t>
      </w:r>
      <w:r w:rsidR="00254A6A">
        <w:rPr>
          <w:lang w:val="en-NZ"/>
        </w:rPr>
        <w:t xml:space="preserve">relevant </w:t>
      </w:r>
      <w:r w:rsidRPr="005C63F2">
        <w:rPr>
          <w:lang w:val="en-NZ"/>
        </w:rPr>
        <w:t xml:space="preserve">entities </w:t>
      </w:r>
      <w:r>
        <w:rPr>
          <w:lang w:val="en-NZ"/>
        </w:rPr>
        <w:t>that</w:t>
      </w:r>
      <w:r w:rsidRPr="005C63F2">
        <w:rPr>
          <w:lang w:val="en-NZ"/>
        </w:rPr>
        <w:t xml:space="preserve"> are above 60 percent total debt and 100 percent of their third party debt</w:t>
      </w:r>
      <w:r>
        <w:rPr>
          <w:lang w:val="en-NZ"/>
        </w:rPr>
        <w:t xml:space="preserve">, transitional provisions </w:t>
      </w:r>
      <w:r w:rsidR="00DD5B3B">
        <w:rPr>
          <w:lang w:val="en-NZ"/>
        </w:rPr>
        <w:t xml:space="preserve">have been included </w:t>
      </w:r>
      <w:r>
        <w:rPr>
          <w:lang w:val="en-NZ"/>
        </w:rPr>
        <w:t>in section FZ 8.</w:t>
      </w:r>
      <w:r w:rsidR="00292098">
        <w:rPr>
          <w:lang w:val="en-NZ"/>
        </w:rPr>
        <w:t xml:space="preserve"> </w:t>
      </w:r>
      <w:r w:rsidR="00BC21CB">
        <w:rPr>
          <w:lang w:val="en-NZ"/>
        </w:rPr>
        <w:t xml:space="preserve">In determining its allowable debt level, </w:t>
      </w:r>
      <w:r w:rsidR="00254A6A">
        <w:rPr>
          <w:lang w:val="en-NZ"/>
        </w:rPr>
        <w:t>A group controlled</w:t>
      </w:r>
      <w:r>
        <w:rPr>
          <w:lang w:val="en-NZ"/>
        </w:rPr>
        <w:t xml:space="preserve"> entity </w:t>
      </w:r>
      <w:r w:rsidR="00DD5B3B">
        <w:rPr>
          <w:lang w:val="en-NZ"/>
        </w:rPr>
        <w:t>can</w:t>
      </w:r>
      <w:r>
        <w:rPr>
          <w:lang w:val="en-NZ"/>
        </w:rPr>
        <w:t xml:space="preserve"> continue using </w:t>
      </w:r>
      <w:r w:rsidR="00BC21CB">
        <w:rPr>
          <w:lang w:val="en-NZ"/>
        </w:rPr>
        <w:t>its</w:t>
      </w:r>
      <w:r>
        <w:rPr>
          <w:lang w:val="en-NZ"/>
        </w:rPr>
        <w:t xml:space="preserve"> current percentage of </w:t>
      </w:r>
      <w:r w:rsidR="00BC21CB">
        <w:rPr>
          <w:lang w:val="en-NZ"/>
        </w:rPr>
        <w:t xml:space="preserve">its worldwide group debt percentage </w:t>
      </w:r>
      <w:r>
        <w:rPr>
          <w:lang w:val="en-NZ"/>
        </w:rPr>
        <w:t xml:space="preserve"> up to the 110 percent threshold </w:t>
      </w:r>
      <w:r w:rsidRPr="005C63F2">
        <w:rPr>
          <w:lang w:val="en-NZ"/>
        </w:rPr>
        <w:t xml:space="preserve">for up to five years from </w:t>
      </w:r>
      <w:r>
        <w:rPr>
          <w:lang w:val="en-NZ"/>
        </w:rPr>
        <w:t>the rules applying.</w:t>
      </w:r>
      <w:r w:rsidR="00292098">
        <w:rPr>
          <w:lang w:val="en-NZ"/>
        </w:rPr>
        <w:t xml:space="preserve"> </w:t>
      </w:r>
      <w:r>
        <w:rPr>
          <w:lang w:val="en-NZ"/>
        </w:rPr>
        <w:t xml:space="preserve">The borrower’s current percentage of third party debt can be calculated at either the date of introduction of the </w:t>
      </w:r>
      <w:r w:rsidR="004E782E">
        <w:rPr>
          <w:lang w:val="en-NZ"/>
        </w:rPr>
        <w:t xml:space="preserve">Taxation (Neutralising Base Erosion and Profit Shifting) </w:t>
      </w:r>
      <w:r>
        <w:rPr>
          <w:lang w:val="en-NZ"/>
        </w:rPr>
        <w:t xml:space="preserve">Bill </w:t>
      </w:r>
      <w:r w:rsidR="00DD5B3B">
        <w:rPr>
          <w:lang w:val="en-NZ"/>
        </w:rPr>
        <w:t xml:space="preserve">(6 December 2017) </w:t>
      </w:r>
      <w:r>
        <w:rPr>
          <w:lang w:val="en-NZ"/>
        </w:rPr>
        <w:t xml:space="preserve">or </w:t>
      </w:r>
      <w:r w:rsidRPr="005C63F2">
        <w:rPr>
          <w:lang w:val="en-NZ"/>
        </w:rPr>
        <w:t>the thin capitalisation measurement date immediately prior to this.</w:t>
      </w:r>
    </w:p>
    <w:p w:rsidR="00192B65" w:rsidRDefault="00192B65" w:rsidP="00192B65"/>
    <w:p w:rsidR="00F15077" w:rsidRPr="008C3485" w:rsidRDefault="00F15077" w:rsidP="00192B65"/>
    <w:p w:rsidR="00192B65" w:rsidRPr="00457E89" w:rsidRDefault="00192B65" w:rsidP="00192B65">
      <w:pPr>
        <w:pBdr>
          <w:top w:val="single" w:sz="4" w:space="10" w:color="auto"/>
          <w:left w:val="single" w:sz="4" w:space="10" w:color="auto"/>
          <w:bottom w:val="single" w:sz="4" w:space="10" w:color="auto"/>
          <w:right w:val="single" w:sz="4" w:space="10" w:color="auto"/>
        </w:pBdr>
        <w:rPr>
          <w:b/>
          <w:sz w:val="20"/>
        </w:rPr>
      </w:pPr>
      <w:r w:rsidRPr="00457E89">
        <w:rPr>
          <w:b/>
          <w:sz w:val="20"/>
        </w:rPr>
        <w:t>Example</w:t>
      </w:r>
      <w:r w:rsidR="00507AB5">
        <w:rPr>
          <w:b/>
          <w:sz w:val="20"/>
        </w:rPr>
        <w:t xml:space="preserve"> 12</w:t>
      </w:r>
    </w:p>
    <w:p w:rsidR="00192B65" w:rsidRPr="00457E89" w:rsidRDefault="00192B65" w:rsidP="00192B65">
      <w:pPr>
        <w:pBdr>
          <w:top w:val="single" w:sz="4" w:space="10" w:color="auto"/>
          <w:left w:val="single" w:sz="4" w:space="10" w:color="auto"/>
          <w:bottom w:val="single" w:sz="4" w:space="10" w:color="auto"/>
          <w:right w:val="single" w:sz="4" w:space="10" w:color="auto"/>
        </w:pBdr>
        <w:rPr>
          <w:sz w:val="20"/>
        </w:rPr>
      </w:pPr>
    </w:p>
    <w:p w:rsidR="00192B65" w:rsidRDefault="00254A6A" w:rsidP="00192B65">
      <w:pPr>
        <w:pBdr>
          <w:top w:val="single" w:sz="4" w:space="10" w:color="auto"/>
          <w:left w:val="single" w:sz="4" w:space="10" w:color="auto"/>
          <w:bottom w:val="single" w:sz="4" w:space="10" w:color="auto"/>
          <w:right w:val="single" w:sz="4" w:space="10" w:color="auto"/>
        </w:pBdr>
        <w:rPr>
          <w:sz w:val="20"/>
        </w:rPr>
      </w:pPr>
      <w:r>
        <w:rPr>
          <w:sz w:val="20"/>
        </w:rPr>
        <w:t xml:space="preserve">On 30 June 2018, </w:t>
      </w:r>
      <w:r w:rsidR="00192B65" w:rsidRPr="00457E89">
        <w:rPr>
          <w:sz w:val="20"/>
        </w:rPr>
        <w:t xml:space="preserve">NZ Co’s </w:t>
      </w:r>
      <w:r>
        <w:rPr>
          <w:sz w:val="20"/>
        </w:rPr>
        <w:t xml:space="preserve">worldwide </w:t>
      </w:r>
      <w:r w:rsidR="00C15AE4">
        <w:rPr>
          <w:sz w:val="20"/>
        </w:rPr>
        <w:t>group debt percentage is 70% and its debt percentage is 76.3% which is 109% of its worldwide debt percentage</w:t>
      </w:r>
      <w:r w:rsidR="00192B65" w:rsidRPr="00457E89">
        <w:rPr>
          <w:sz w:val="20"/>
        </w:rPr>
        <w:t>.</w:t>
      </w:r>
      <w:r w:rsidR="00292098">
        <w:rPr>
          <w:sz w:val="20"/>
        </w:rPr>
        <w:t xml:space="preserve"> </w:t>
      </w:r>
      <w:r w:rsidR="00192B65" w:rsidRPr="00457E89">
        <w:rPr>
          <w:sz w:val="20"/>
        </w:rPr>
        <w:t xml:space="preserve">NZ Co enters into a new loan with a third party in </w:t>
      </w:r>
      <w:r w:rsidR="00BC21CB">
        <w:rPr>
          <w:sz w:val="20"/>
        </w:rPr>
        <w:t>2019</w:t>
      </w:r>
      <w:r w:rsidR="00192B65" w:rsidRPr="00457E89">
        <w:rPr>
          <w:sz w:val="20"/>
        </w:rPr>
        <w:t>y</w:t>
      </w:r>
      <w:r w:rsidR="00192B65">
        <w:rPr>
          <w:sz w:val="20"/>
        </w:rPr>
        <w:t>.</w:t>
      </w:r>
      <w:r w:rsidR="00292098">
        <w:rPr>
          <w:sz w:val="20"/>
        </w:rPr>
        <w:t xml:space="preserve"> </w:t>
      </w:r>
      <w:r w:rsidR="00192B65" w:rsidRPr="00457E89">
        <w:rPr>
          <w:sz w:val="20"/>
        </w:rPr>
        <w:t xml:space="preserve">As a result, its debt </w:t>
      </w:r>
      <w:r w:rsidR="00C15AE4">
        <w:rPr>
          <w:sz w:val="20"/>
        </w:rPr>
        <w:t>percentage</w:t>
      </w:r>
      <w:r w:rsidR="00192B65" w:rsidRPr="00457E89">
        <w:rPr>
          <w:sz w:val="20"/>
        </w:rPr>
        <w:t xml:space="preserve"> as a percentage of its </w:t>
      </w:r>
      <w:r w:rsidR="00C15AE4">
        <w:rPr>
          <w:sz w:val="20"/>
        </w:rPr>
        <w:t>worldwide group debt percentage</w:t>
      </w:r>
      <w:r w:rsidR="00192B65" w:rsidRPr="00457E89">
        <w:rPr>
          <w:sz w:val="20"/>
        </w:rPr>
        <w:t xml:space="preserve"> drops to 105% (because NZ Co’s related-party debt level has not changed since year </w:t>
      </w:r>
      <w:r w:rsidR="00BC21CB">
        <w:rPr>
          <w:sz w:val="20"/>
        </w:rPr>
        <w:t>2018</w:t>
      </w:r>
      <w:r w:rsidR="00192B65" w:rsidRPr="00457E89">
        <w:rPr>
          <w:sz w:val="20"/>
        </w:rPr>
        <w:t>).</w:t>
      </w:r>
      <w:r w:rsidR="00292098">
        <w:rPr>
          <w:sz w:val="20"/>
        </w:rPr>
        <w:t xml:space="preserve"> </w:t>
      </w:r>
      <w:r w:rsidR="00192B65" w:rsidRPr="00457E89">
        <w:rPr>
          <w:sz w:val="20"/>
        </w:rPr>
        <w:t xml:space="preserve">NZ Co’s </w:t>
      </w:r>
      <w:r w:rsidR="00BC21CB">
        <w:rPr>
          <w:sz w:val="20"/>
        </w:rPr>
        <w:t xml:space="preserve">allowable </w:t>
      </w:r>
      <w:r w:rsidR="00192B65" w:rsidRPr="00457E89">
        <w:rPr>
          <w:sz w:val="20"/>
        </w:rPr>
        <w:t>debt level under the transitional provisions will stay at 109%</w:t>
      </w:r>
      <w:r w:rsidR="00C15AE4">
        <w:rPr>
          <w:sz w:val="20"/>
        </w:rPr>
        <w:t xml:space="preserve"> of its worldwide group debt percentage</w:t>
      </w:r>
      <w:r w:rsidR="00192B65" w:rsidRPr="00457E89">
        <w:rPr>
          <w:sz w:val="20"/>
        </w:rPr>
        <w:t>.</w:t>
      </w:r>
    </w:p>
    <w:p w:rsidR="00192B65" w:rsidRPr="00457E89" w:rsidRDefault="00192B65" w:rsidP="00192B65">
      <w:pPr>
        <w:pBdr>
          <w:top w:val="single" w:sz="4" w:space="10" w:color="auto"/>
          <w:left w:val="single" w:sz="4" w:space="10" w:color="auto"/>
          <w:bottom w:val="single" w:sz="4" w:space="10" w:color="auto"/>
          <w:right w:val="single" w:sz="4" w:space="10" w:color="auto"/>
        </w:pBdr>
        <w:rPr>
          <w:sz w:val="20"/>
        </w:rPr>
      </w:pPr>
    </w:p>
    <w:p w:rsidR="00192B65" w:rsidRPr="004A1688" w:rsidRDefault="00192B65" w:rsidP="00192B65">
      <w:pPr>
        <w:pBdr>
          <w:top w:val="single" w:sz="4" w:space="10" w:color="auto"/>
          <w:left w:val="single" w:sz="4" w:space="10" w:color="auto"/>
          <w:bottom w:val="single" w:sz="4" w:space="10" w:color="auto"/>
          <w:right w:val="single" w:sz="4" w:space="10" w:color="auto"/>
        </w:pBdr>
      </w:pPr>
      <w:r w:rsidRPr="00457E89">
        <w:rPr>
          <w:sz w:val="20"/>
        </w:rPr>
        <w:t xml:space="preserve">In </w:t>
      </w:r>
      <w:r w:rsidR="00BC21CB">
        <w:rPr>
          <w:sz w:val="20"/>
        </w:rPr>
        <w:t>2020</w:t>
      </w:r>
      <w:r w:rsidRPr="00457E89">
        <w:rPr>
          <w:sz w:val="20"/>
        </w:rPr>
        <w:t>, NZ Co repays a number of large loans and, as a result, the debt percentage of its New Zealand group drops to 55%</w:t>
      </w:r>
      <w:r>
        <w:rPr>
          <w:sz w:val="20"/>
        </w:rPr>
        <w:t>.</w:t>
      </w:r>
      <w:r w:rsidR="00292098">
        <w:rPr>
          <w:sz w:val="20"/>
        </w:rPr>
        <w:t xml:space="preserve"> </w:t>
      </w:r>
      <w:r w:rsidRPr="00457E89">
        <w:rPr>
          <w:sz w:val="20"/>
        </w:rPr>
        <w:t>NZ Co does not need to rely on its grandparented 109% of worldwide debt anymore, but is still covered by the grandparenting provisions for the remainder of the five-year period</w:t>
      </w:r>
      <w:r>
        <w:rPr>
          <w:sz w:val="20"/>
        </w:rPr>
        <w:t>.</w:t>
      </w:r>
      <w:r w:rsidR="00292098">
        <w:rPr>
          <w:sz w:val="20"/>
        </w:rPr>
        <w:t xml:space="preserve"> </w:t>
      </w:r>
      <w:r w:rsidRPr="00457E89">
        <w:rPr>
          <w:sz w:val="20"/>
        </w:rPr>
        <w:t xml:space="preserve">This means that NZ Co will not be denied interest deductions if its debt percentage exceeds 60% in </w:t>
      </w:r>
      <w:r w:rsidR="00BC21CB">
        <w:rPr>
          <w:sz w:val="20"/>
        </w:rPr>
        <w:t>2021</w:t>
      </w:r>
      <w:r w:rsidRPr="00457E89">
        <w:rPr>
          <w:sz w:val="20"/>
        </w:rPr>
        <w:t xml:space="preserve"> unless its debt </w:t>
      </w:r>
      <w:r w:rsidR="00AF5AF5">
        <w:rPr>
          <w:sz w:val="20"/>
        </w:rPr>
        <w:t>percentage</w:t>
      </w:r>
      <w:r w:rsidRPr="00457E89">
        <w:rPr>
          <w:sz w:val="20"/>
        </w:rPr>
        <w:t xml:space="preserve"> also exceeds 109% of its worldwide debt</w:t>
      </w:r>
      <w:r w:rsidR="00AF5AF5">
        <w:rPr>
          <w:sz w:val="20"/>
        </w:rPr>
        <w:t xml:space="preserve"> percentage</w:t>
      </w:r>
      <w:r w:rsidRPr="00457E89">
        <w:rPr>
          <w:sz w:val="20"/>
        </w:rPr>
        <w:t>.</w:t>
      </w:r>
    </w:p>
    <w:p w:rsidR="00192B65" w:rsidRDefault="00192B65" w:rsidP="00192B65">
      <w:pPr>
        <w:jc w:val="left"/>
        <w:rPr>
          <w:lang w:val="en-NZ"/>
        </w:rPr>
      </w:pPr>
    </w:p>
    <w:p w:rsidR="00334705" w:rsidRDefault="00334705" w:rsidP="00192B65">
      <w:pPr>
        <w:jc w:val="left"/>
        <w:rPr>
          <w:lang w:val="en-NZ"/>
        </w:rPr>
      </w:pPr>
    </w:p>
    <w:p w:rsidR="00192B65" w:rsidRPr="005C63F2" w:rsidRDefault="00192B65" w:rsidP="00192B65">
      <w:pPr>
        <w:rPr>
          <w:b/>
          <w:i/>
          <w:lang w:val="en-NZ"/>
        </w:rPr>
      </w:pPr>
      <w:r w:rsidRPr="005C63F2">
        <w:rPr>
          <w:b/>
          <w:i/>
          <w:lang w:val="en-NZ"/>
        </w:rPr>
        <w:t>Asset valuation</w:t>
      </w:r>
    </w:p>
    <w:p w:rsidR="00192B65" w:rsidRPr="008C3485" w:rsidRDefault="00192B65" w:rsidP="00192B65"/>
    <w:p w:rsidR="00192B65" w:rsidRPr="005C63F2" w:rsidRDefault="00192B65" w:rsidP="00192B65">
      <w:pPr>
        <w:rPr>
          <w:lang w:val="en-NZ"/>
        </w:rPr>
      </w:pPr>
      <w:r w:rsidRPr="005C63F2">
        <w:rPr>
          <w:lang w:val="en-NZ"/>
        </w:rPr>
        <w:t>In general, the thin capitalisation rules are based on the value of a company’s assets as reported in its financial statements</w:t>
      </w:r>
      <w:r>
        <w:rPr>
          <w:lang w:val="en-NZ"/>
        </w:rPr>
        <w:t>.</w:t>
      </w:r>
      <w:r w:rsidR="00292098">
        <w:rPr>
          <w:lang w:val="en-NZ"/>
        </w:rPr>
        <w:t xml:space="preserve"> </w:t>
      </w:r>
      <w:r w:rsidRPr="005C63F2">
        <w:rPr>
          <w:lang w:val="en-NZ"/>
        </w:rPr>
        <w:t>However, a company may use the net current value of an asset as an alternative provided that would be allowable under generally accepted accounting principles.</w:t>
      </w:r>
    </w:p>
    <w:p w:rsidR="00192B65" w:rsidRPr="005C63F2" w:rsidRDefault="00192B65" w:rsidP="00192B65">
      <w:pPr>
        <w:rPr>
          <w:lang w:val="en-NZ"/>
        </w:rPr>
      </w:pPr>
    </w:p>
    <w:p w:rsidR="00192B65" w:rsidRDefault="00192B65" w:rsidP="00192B65">
      <w:pPr>
        <w:rPr>
          <w:lang w:val="en-NZ"/>
        </w:rPr>
      </w:pPr>
      <w:r w:rsidRPr="005C63F2">
        <w:rPr>
          <w:lang w:val="en-NZ"/>
        </w:rPr>
        <w:t>Asset valuations reported in financial statements are subject to a higher level of scrutiny than asset valuations that are adopted solely for thin capitalisation purposes.</w:t>
      </w:r>
      <w:r w:rsidR="00292098">
        <w:rPr>
          <w:lang w:val="en-NZ"/>
        </w:rPr>
        <w:t xml:space="preserve"> </w:t>
      </w:r>
      <w:r w:rsidRPr="005C63F2">
        <w:rPr>
          <w:lang w:val="en-NZ"/>
        </w:rPr>
        <w:t xml:space="preserve">Moreover, there </w:t>
      </w:r>
      <w:r w:rsidR="00DD5B3B">
        <w:rPr>
          <w:lang w:val="en-NZ"/>
        </w:rPr>
        <w:t>wa</w:t>
      </w:r>
      <w:r w:rsidRPr="005C63F2">
        <w:rPr>
          <w:lang w:val="en-NZ"/>
        </w:rPr>
        <w:t xml:space="preserve">s a concern that taxpayers may be valuing assets for thin capitalisation purposes </w:t>
      </w:r>
      <w:r w:rsidRPr="00993E1F">
        <w:rPr>
          <w:lang w:val="en-NZ"/>
        </w:rPr>
        <w:t>without seeking an independent valuation</w:t>
      </w:r>
      <w:r w:rsidRPr="005C63F2">
        <w:rPr>
          <w:lang w:val="en-NZ"/>
        </w:rPr>
        <w:t>.</w:t>
      </w:r>
    </w:p>
    <w:p w:rsidR="00192B65" w:rsidRPr="005C63F2" w:rsidRDefault="00192B65" w:rsidP="00192B65">
      <w:pPr>
        <w:rPr>
          <w:lang w:val="en-NZ"/>
        </w:rPr>
      </w:pPr>
    </w:p>
    <w:p w:rsidR="00192B65" w:rsidRDefault="00DD5B3B" w:rsidP="00192B65">
      <w:pPr>
        <w:rPr>
          <w:lang w:val="en-NZ"/>
        </w:rPr>
      </w:pPr>
      <w:r>
        <w:rPr>
          <w:lang w:val="en-NZ"/>
        </w:rPr>
        <w:t>N</w:t>
      </w:r>
      <w:r w:rsidR="00192B65" w:rsidRPr="005C63F2">
        <w:rPr>
          <w:lang w:val="en-NZ"/>
        </w:rPr>
        <w:t>ew section FE 16(1BAA) provides that taxpayers can only use the net current value of an asset if they have received a valuation from an independent valuer or the valuation methodology, assumptions and data have been approved by an independent valuer.</w:t>
      </w:r>
    </w:p>
    <w:p w:rsidR="00A751DD" w:rsidRDefault="00A751DD" w:rsidP="00192B65">
      <w:pPr>
        <w:rPr>
          <w:lang w:val="en-NZ"/>
        </w:rPr>
      </w:pPr>
    </w:p>
    <w:p w:rsidR="00A751DD" w:rsidRPr="005C63F2" w:rsidRDefault="00A751DD" w:rsidP="00192B65">
      <w:pPr>
        <w:rPr>
          <w:lang w:val="en-NZ"/>
        </w:rPr>
      </w:pPr>
      <w:r>
        <w:rPr>
          <w:lang w:val="en-NZ"/>
        </w:rPr>
        <w:t>This provision does not provide guidance on how frequently such a valuation must be undertaken.</w:t>
      </w:r>
      <w:r w:rsidR="00292098">
        <w:rPr>
          <w:lang w:val="en-NZ"/>
        </w:rPr>
        <w:t xml:space="preserve"> </w:t>
      </w:r>
      <w:r>
        <w:rPr>
          <w:lang w:val="en-NZ"/>
        </w:rPr>
        <w:t>It would not be practical to expect a valuation to be undertaken for each period; however, times when a valuation may be necessary include where there is an impairment event for financial reporting purposes or if the taxpayer is seeking to increase the value.</w:t>
      </w:r>
    </w:p>
    <w:p w:rsidR="00192B65" w:rsidRPr="005C63F2" w:rsidRDefault="00192B65" w:rsidP="00192B65">
      <w:pPr>
        <w:rPr>
          <w:lang w:val="en-NZ"/>
        </w:rPr>
      </w:pPr>
    </w:p>
    <w:p w:rsidR="00192B65" w:rsidRPr="005C63F2" w:rsidRDefault="00192B65" w:rsidP="00192B65">
      <w:pPr>
        <w:rPr>
          <w:b/>
          <w:i/>
          <w:lang w:val="en-NZ"/>
        </w:rPr>
      </w:pPr>
      <w:r w:rsidRPr="005C63F2">
        <w:rPr>
          <w:b/>
          <w:i/>
          <w:lang w:val="en-NZ"/>
        </w:rPr>
        <w:t>Anti-avoidance rule around measurement dates</w:t>
      </w:r>
    </w:p>
    <w:p w:rsidR="00192B65" w:rsidRPr="008C3485" w:rsidRDefault="00192B65" w:rsidP="00192B65"/>
    <w:p w:rsidR="00192B65" w:rsidRPr="005C63F2" w:rsidRDefault="00192B65" w:rsidP="00192B65">
      <w:pPr>
        <w:rPr>
          <w:lang w:val="en-NZ"/>
        </w:rPr>
      </w:pPr>
      <w:r w:rsidRPr="005C63F2">
        <w:rPr>
          <w:lang w:val="en-NZ"/>
        </w:rPr>
        <w:t>Section FE 8 provides a taxpayer</w:t>
      </w:r>
      <w:r>
        <w:rPr>
          <w:lang w:val="en-NZ"/>
        </w:rPr>
        <w:t>’</w:t>
      </w:r>
      <w:r w:rsidRPr="005C63F2">
        <w:rPr>
          <w:lang w:val="en-NZ"/>
        </w:rPr>
        <w:t>s assets and liabilities can be valued for thin capitalisation purposes on a daily, 3 monthly or annual basis.</w:t>
      </w:r>
      <w:r w:rsidR="00292098">
        <w:rPr>
          <w:lang w:val="en-NZ"/>
        </w:rPr>
        <w:t xml:space="preserve"> </w:t>
      </w:r>
      <w:r w:rsidRPr="005C63F2">
        <w:rPr>
          <w:lang w:val="en-NZ"/>
        </w:rPr>
        <w:t>An annual measurement date is the simplest and most widely-used of these approaches.</w:t>
      </w:r>
    </w:p>
    <w:p w:rsidR="00192B65" w:rsidRPr="005C63F2" w:rsidRDefault="00192B65" w:rsidP="00192B65">
      <w:pPr>
        <w:rPr>
          <w:lang w:val="en-NZ"/>
        </w:rPr>
      </w:pPr>
    </w:p>
    <w:p w:rsidR="00192B65" w:rsidRPr="005C63F2" w:rsidRDefault="001B61D8" w:rsidP="00192B65">
      <w:pPr>
        <w:rPr>
          <w:lang w:val="en-NZ"/>
        </w:rPr>
      </w:pPr>
      <w:r>
        <w:rPr>
          <w:lang w:val="en-NZ"/>
        </w:rPr>
        <w:t xml:space="preserve">Annual valuation means </w:t>
      </w:r>
      <w:r w:rsidR="00192B65" w:rsidRPr="005C63F2">
        <w:rPr>
          <w:lang w:val="en-NZ"/>
        </w:rPr>
        <w:t>taxpayer</w:t>
      </w:r>
      <w:r>
        <w:rPr>
          <w:lang w:val="en-NZ"/>
        </w:rPr>
        <w:t>s can</w:t>
      </w:r>
      <w:r w:rsidR="00192B65" w:rsidRPr="005C63F2">
        <w:rPr>
          <w:lang w:val="en-NZ"/>
        </w:rPr>
        <w:t xml:space="preserve"> use the annual measurement date to effectively breach the thin capitalisation debt limits for up to one year without facing any interest denial, by partly repaying a loan or converting it to equity on or before their balance date.</w:t>
      </w:r>
    </w:p>
    <w:p w:rsidR="00192B65" w:rsidRPr="005C63F2" w:rsidRDefault="00192B65" w:rsidP="00192B65">
      <w:pPr>
        <w:rPr>
          <w:lang w:val="en-NZ"/>
        </w:rPr>
      </w:pPr>
    </w:p>
    <w:p w:rsidR="00192B65" w:rsidRPr="005C63F2" w:rsidRDefault="003C0E6F" w:rsidP="00192B65">
      <w:pPr>
        <w:rPr>
          <w:lang w:val="en-NZ"/>
        </w:rPr>
      </w:pPr>
      <w:r>
        <w:rPr>
          <w:lang w:val="en-NZ"/>
        </w:rPr>
        <w:t>Previously section FE 11 prevented</w:t>
      </w:r>
      <w:r w:rsidR="00192B65" w:rsidRPr="005C63F2">
        <w:rPr>
          <w:lang w:val="en-NZ"/>
        </w:rPr>
        <w:t xml:space="preserve"> taxpayers from </w:t>
      </w:r>
      <w:r w:rsidR="001B61D8">
        <w:rPr>
          <w:lang w:val="en-NZ"/>
        </w:rPr>
        <w:t xml:space="preserve">benefitting from </w:t>
      </w:r>
      <w:r w:rsidR="00192B65" w:rsidRPr="005C63F2">
        <w:rPr>
          <w:lang w:val="en-NZ"/>
        </w:rPr>
        <w:t xml:space="preserve"> temporary increases or decreases in values </w:t>
      </w:r>
      <w:r>
        <w:rPr>
          <w:lang w:val="en-NZ"/>
        </w:rPr>
        <w:t>if the change had</w:t>
      </w:r>
      <w:r w:rsidR="00192B65" w:rsidRPr="005C63F2">
        <w:rPr>
          <w:lang w:val="en-NZ"/>
        </w:rPr>
        <w:t xml:space="preserve"> a purpose or effect of defeating the intent and application of the thin capitalisation rules.</w:t>
      </w:r>
      <w:r w:rsidR="00292098">
        <w:rPr>
          <w:lang w:val="en-NZ"/>
        </w:rPr>
        <w:t xml:space="preserve"> </w:t>
      </w:r>
      <w:r w:rsidR="00192B65" w:rsidRPr="005C63F2">
        <w:rPr>
          <w:lang w:val="en-NZ"/>
        </w:rPr>
        <w:t>Ho</w:t>
      </w:r>
      <w:r>
        <w:rPr>
          <w:lang w:val="en-NZ"/>
        </w:rPr>
        <w:t>wever, this section only applied</w:t>
      </w:r>
      <w:r w:rsidR="00192B65" w:rsidRPr="005C63F2">
        <w:rPr>
          <w:lang w:val="en-NZ"/>
        </w:rPr>
        <w:t xml:space="preserve"> to changes between measurement dates and d</w:t>
      </w:r>
      <w:r>
        <w:rPr>
          <w:lang w:val="en-NZ"/>
        </w:rPr>
        <w:t>id</w:t>
      </w:r>
      <w:r w:rsidR="00192B65" w:rsidRPr="005C63F2">
        <w:rPr>
          <w:lang w:val="en-NZ"/>
        </w:rPr>
        <w:t xml:space="preserve"> not cover the initial year when an arrangement </w:t>
      </w:r>
      <w:r>
        <w:rPr>
          <w:lang w:val="en-NZ"/>
        </w:rPr>
        <w:t>wa</w:t>
      </w:r>
      <w:r w:rsidR="00192B65" w:rsidRPr="005C63F2">
        <w:rPr>
          <w:lang w:val="en-NZ"/>
        </w:rPr>
        <w:t>s entered into.</w:t>
      </w:r>
    </w:p>
    <w:p w:rsidR="00192B65" w:rsidRPr="005C63F2" w:rsidRDefault="00192B65" w:rsidP="00192B65">
      <w:pPr>
        <w:rPr>
          <w:lang w:val="en-NZ"/>
        </w:rPr>
      </w:pPr>
    </w:p>
    <w:p w:rsidR="00192B65" w:rsidRPr="005C63F2" w:rsidRDefault="003C0E6F" w:rsidP="00192B65">
      <w:pPr>
        <w:rPr>
          <w:lang w:val="en-NZ"/>
        </w:rPr>
      </w:pPr>
      <w:r>
        <w:rPr>
          <w:lang w:val="en-NZ"/>
        </w:rPr>
        <w:t>S</w:t>
      </w:r>
      <w:r w:rsidR="00192B65" w:rsidRPr="005C63F2">
        <w:rPr>
          <w:lang w:val="en-NZ"/>
        </w:rPr>
        <w:t xml:space="preserve">ection FE 11 </w:t>
      </w:r>
      <w:r>
        <w:rPr>
          <w:lang w:val="en-NZ"/>
        </w:rPr>
        <w:t xml:space="preserve">has been amended </w:t>
      </w:r>
      <w:r w:rsidR="00192B65" w:rsidRPr="005C63F2">
        <w:rPr>
          <w:lang w:val="en-NZ"/>
        </w:rPr>
        <w:t>and new section GB 51B reconstruct</w:t>
      </w:r>
      <w:r>
        <w:rPr>
          <w:lang w:val="en-NZ"/>
        </w:rPr>
        <w:t>s</w:t>
      </w:r>
      <w:r w:rsidR="00192B65" w:rsidRPr="005C63F2">
        <w:rPr>
          <w:lang w:val="en-NZ"/>
        </w:rPr>
        <w:t xml:space="preserve"> certain situations, transactions or arrangements where a taxpayer subject to the thin capitalisation rules substantially repays a loan or</w:t>
      </w:r>
      <w:r w:rsidR="00192B65">
        <w:rPr>
          <w:lang w:val="en-NZ"/>
        </w:rPr>
        <w:t>,</w:t>
      </w:r>
      <w:r w:rsidR="00192B65" w:rsidRPr="005C63F2">
        <w:rPr>
          <w:lang w:val="en-NZ"/>
        </w:rPr>
        <w:t xml:space="preserve"> more generally, enters into a transaction near a measurement date with the purpose or effect of manipulating the thin capitalisation rules.</w:t>
      </w:r>
    </w:p>
    <w:p w:rsidR="00192B65" w:rsidRPr="005C63F2" w:rsidRDefault="00192B65" w:rsidP="00192B65">
      <w:pPr>
        <w:rPr>
          <w:lang w:val="en-NZ"/>
        </w:rPr>
      </w:pPr>
    </w:p>
    <w:p w:rsidR="00192B65" w:rsidRPr="005C63F2" w:rsidRDefault="00192B65" w:rsidP="00192B65">
      <w:pPr>
        <w:rPr>
          <w:b/>
          <w:i/>
          <w:lang w:val="en-NZ"/>
        </w:rPr>
      </w:pPr>
      <w:r w:rsidRPr="005C63F2">
        <w:rPr>
          <w:b/>
          <w:i/>
          <w:lang w:val="en-NZ"/>
        </w:rPr>
        <w:t>Owner-linked debt when the borrower is a trust</w:t>
      </w:r>
    </w:p>
    <w:p w:rsidR="00192B65" w:rsidRPr="005C63F2" w:rsidRDefault="00192B65" w:rsidP="00192B65">
      <w:pPr>
        <w:rPr>
          <w:lang w:val="en-NZ"/>
        </w:rPr>
      </w:pPr>
    </w:p>
    <w:p w:rsidR="00192B65" w:rsidRPr="005C63F2" w:rsidRDefault="003C0E6F" w:rsidP="00192B65">
      <w:pPr>
        <w:rPr>
          <w:lang w:val="en-NZ"/>
        </w:rPr>
      </w:pPr>
      <w:r>
        <w:rPr>
          <w:lang w:val="en-NZ"/>
        </w:rPr>
        <w:t>To reduce compliance costs</w:t>
      </w:r>
      <w:r w:rsidR="00675832">
        <w:rPr>
          <w:lang w:val="en-NZ"/>
        </w:rPr>
        <w:t>,</w:t>
      </w:r>
      <w:r>
        <w:rPr>
          <w:lang w:val="en-NZ"/>
        </w:rPr>
        <w:t xml:space="preserve"> t</w:t>
      </w:r>
      <w:r w:rsidR="00192B65" w:rsidRPr="005C63F2">
        <w:rPr>
          <w:lang w:val="en-NZ"/>
        </w:rPr>
        <w:t>he owner-linked debt provisions in section FE 18(3B) only count debt as owner-linked if the owner has an ownership interest in a member of the group of companies of 5 percent or more.</w:t>
      </w:r>
      <w:r w:rsidR="00292098">
        <w:rPr>
          <w:lang w:val="en-NZ"/>
        </w:rPr>
        <w:t xml:space="preserve"> </w:t>
      </w:r>
      <w:r w:rsidR="00192B65" w:rsidRPr="005C63F2">
        <w:rPr>
          <w:lang w:val="en-NZ"/>
        </w:rPr>
        <w:t>This test work</w:t>
      </w:r>
      <w:r w:rsidR="00032FB8">
        <w:rPr>
          <w:lang w:val="en-NZ"/>
        </w:rPr>
        <w:t>ed correctly when the entity wa</w:t>
      </w:r>
      <w:r w:rsidR="00192B65" w:rsidRPr="005C63F2">
        <w:rPr>
          <w:lang w:val="en-NZ"/>
        </w:rPr>
        <w:t xml:space="preserve">s a company but not </w:t>
      </w:r>
      <w:r w:rsidR="00032FB8">
        <w:rPr>
          <w:lang w:val="en-NZ"/>
        </w:rPr>
        <w:t xml:space="preserve">if </w:t>
      </w:r>
      <w:r w:rsidR="00192B65" w:rsidRPr="005C63F2">
        <w:rPr>
          <w:lang w:val="en-NZ"/>
        </w:rPr>
        <w:t xml:space="preserve">it </w:t>
      </w:r>
      <w:r w:rsidR="00032FB8">
        <w:rPr>
          <w:lang w:val="en-NZ"/>
        </w:rPr>
        <w:t>wa</w:t>
      </w:r>
      <w:r w:rsidR="00192B65" w:rsidRPr="005C63F2">
        <w:rPr>
          <w:lang w:val="en-NZ"/>
        </w:rPr>
        <w:t>s a trust as settlements on a trust do not convey ownership interests.</w:t>
      </w:r>
    </w:p>
    <w:p w:rsidR="00192B65" w:rsidRPr="005C63F2" w:rsidRDefault="00192B65" w:rsidP="00192B65">
      <w:pPr>
        <w:rPr>
          <w:lang w:val="en-NZ"/>
        </w:rPr>
      </w:pPr>
    </w:p>
    <w:p w:rsidR="00192B65" w:rsidRDefault="003C0E6F" w:rsidP="00192B65">
      <w:pPr>
        <w:rPr>
          <w:lang w:val="en-NZ"/>
        </w:rPr>
      </w:pPr>
      <w:r>
        <w:rPr>
          <w:lang w:val="en-NZ"/>
        </w:rPr>
        <w:t>A</w:t>
      </w:r>
      <w:r w:rsidR="00192B65" w:rsidRPr="005C63F2">
        <w:rPr>
          <w:lang w:val="en-NZ"/>
        </w:rPr>
        <w:t>mend</w:t>
      </w:r>
      <w:r w:rsidR="00192B65">
        <w:rPr>
          <w:lang w:val="en-NZ"/>
        </w:rPr>
        <w:t>ments to</w:t>
      </w:r>
      <w:r w:rsidR="00192B65" w:rsidRPr="005C63F2">
        <w:rPr>
          <w:lang w:val="en-NZ"/>
        </w:rPr>
        <w:t xml:space="preserve"> </w:t>
      </w:r>
      <w:r w:rsidR="00192B65">
        <w:rPr>
          <w:lang w:val="en-NZ"/>
        </w:rPr>
        <w:t xml:space="preserve">section FE 18(3B) </w:t>
      </w:r>
      <w:r>
        <w:rPr>
          <w:lang w:val="en-NZ"/>
        </w:rPr>
        <w:t xml:space="preserve">now </w:t>
      </w:r>
      <w:r w:rsidR="00192B65" w:rsidRPr="005C63F2">
        <w:rPr>
          <w:lang w:val="en-NZ"/>
        </w:rPr>
        <w:t>count</w:t>
      </w:r>
      <w:r w:rsidR="00192B65">
        <w:rPr>
          <w:lang w:val="en-NZ"/>
        </w:rPr>
        <w:t xml:space="preserve"> debt</w:t>
      </w:r>
      <w:r w:rsidR="00192B65" w:rsidRPr="005C63F2">
        <w:rPr>
          <w:lang w:val="en-NZ"/>
        </w:rPr>
        <w:t xml:space="preserve"> as owner-linked </w:t>
      </w:r>
      <w:r w:rsidR="00192B65">
        <w:rPr>
          <w:lang w:val="en-NZ"/>
        </w:rPr>
        <w:t>if the owner</w:t>
      </w:r>
      <w:r w:rsidR="00192B65" w:rsidRPr="005C63F2">
        <w:rPr>
          <w:lang w:val="en-NZ"/>
        </w:rPr>
        <w:t>:</w:t>
      </w:r>
    </w:p>
    <w:p w:rsidR="00192B65" w:rsidRPr="005C63F2" w:rsidRDefault="00192B65" w:rsidP="00192B65">
      <w:pPr>
        <w:rPr>
          <w:lang w:val="en-NZ"/>
        </w:rPr>
      </w:pPr>
    </w:p>
    <w:p w:rsidR="00192B65" w:rsidRPr="005C63F2" w:rsidRDefault="00192B65" w:rsidP="00F15077">
      <w:pPr>
        <w:pStyle w:val="Bullets"/>
      </w:pPr>
      <w:r w:rsidRPr="005C63F2">
        <w:t>ha</w:t>
      </w:r>
      <w:r>
        <w:t>s</w:t>
      </w:r>
      <w:r w:rsidRPr="005C63F2">
        <w:t xml:space="preserve"> a direct ownership interests in a member of the group of 5 percent or more; or</w:t>
      </w:r>
    </w:p>
    <w:p w:rsidR="00192B65" w:rsidRPr="005C63F2" w:rsidRDefault="00192B65" w:rsidP="00F15077">
      <w:pPr>
        <w:pStyle w:val="Bullets"/>
        <w:spacing w:after="0"/>
      </w:pPr>
      <w:r w:rsidRPr="005C63F2">
        <w:t>ha</w:t>
      </w:r>
      <w:r>
        <w:t>s</w:t>
      </w:r>
      <w:r w:rsidRPr="005C63F2">
        <w:t xml:space="preserve"> made 5 percent or more (by value) of the settlements on the trust.</w:t>
      </w:r>
    </w:p>
    <w:p w:rsidR="00032FB8" w:rsidRDefault="00032FB8" w:rsidP="00192B65">
      <w:pPr>
        <w:jc w:val="left"/>
        <w:rPr>
          <w:lang w:val="en-NZ"/>
        </w:rPr>
      </w:pPr>
    </w:p>
    <w:p w:rsidR="00032FB8" w:rsidRPr="005C63F2" w:rsidRDefault="00032FB8" w:rsidP="00032FB8">
      <w:pPr>
        <w:rPr>
          <w:b/>
          <w:i/>
          <w:lang w:val="en-NZ"/>
        </w:rPr>
      </w:pPr>
      <w:r>
        <w:rPr>
          <w:b/>
          <w:i/>
          <w:lang w:val="en-NZ"/>
        </w:rPr>
        <w:t>Worldwide group debt percentage and the on-lending concession</w:t>
      </w:r>
    </w:p>
    <w:p w:rsidR="00032FB8" w:rsidRPr="005C63F2" w:rsidRDefault="00032FB8" w:rsidP="00F15077">
      <w:pPr>
        <w:rPr>
          <w:lang w:val="en-NZ"/>
        </w:rPr>
      </w:pPr>
    </w:p>
    <w:p w:rsidR="00AF3924" w:rsidRDefault="00032FB8" w:rsidP="00F15077">
      <w:pPr>
        <w:rPr>
          <w:lang w:val="en-NZ"/>
        </w:rPr>
      </w:pPr>
      <w:r>
        <w:rPr>
          <w:lang w:val="en-NZ"/>
        </w:rPr>
        <w:t>Existing section FE 13</w:t>
      </w:r>
      <w:r w:rsidR="003C00EA">
        <w:rPr>
          <w:lang w:val="en-NZ"/>
        </w:rPr>
        <w:t xml:space="preserve"> allows the debt percentage of a New Zealand group and a worldwide group to be reduced to the extent a person subject to thin capitalisation has </w:t>
      </w:r>
      <w:r w:rsidR="004405DA">
        <w:rPr>
          <w:lang w:val="en-NZ"/>
        </w:rPr>
        <w:t>provided funds to an unrelated party</w:t>
      </w:r>
      <w:r w:rsidR="0017449C">
        <w:rPr>
          <w:lang w:val="en-NZ"/>
        </w:rPr>
        <w:t xml:space="preserve"> or is a trust with no property other than financial arrangements and incidental property</w:t>
      </w:r>
      <w:r w:rsidR="004405DA">
        <w:rPr>
          <w:lang w:val="en-NZ"/>
        </w:rPr>
        <w:t>.</w:t>
      </w:r>
      <w:r w:rsidR="00292098">
        <w:rPr>
          <w:lang w:val="en-NZ"/>
        </w:rPr>
        <w:t xml:space="preserve"> </w:t>
      </w:r>
      <w:r w:rsidR="004405DA">
        <w:rPr>
          <w:lang w:val="en-NZ"/>
        </w:rPr>
        <w:t>This is known as the on-lending concession</w:t>
      </w:r>
      <w:r w:rsidR="00AF3924">
        <w:rPr>
          <w:lang w:val="en-NZ"/>
        </w:rPr>
        <w:t>.</w:t>
      </w:r>
    </w:p>
    <w:p w:rsidR="00AF3924" w:rsidRDefault="00AF3924" w:rsidP="00F15077">
      <w:pPr>
        <w:rPr>
          <w:lang w:val="en-NZ"/>
        </w:rPr>
      </w:pPr>
    </w:p>
    <w:p w:rsidR="00EB1963" w:rsidRDefault="00AF3924" w:rsidP="00F15077">
      <w:pPr>
        <w:rPr>
          <w:lang w:val="en-NZ"/>
        </w:rPr>
      </w:pPr>
      <w:r>
        <w:rPr>
          <w:lang w:val="en-NZ"/>
        </w:rPr>
        <w:t xml:space="preserve">If a person </w:t>
      </w:r>
      <w:r w:rsidR="00EB1963">
        <w:rPr>
          <w:lang w:val="en-NZ"/>
        </w:rPr>
        <w:t xml:space="preserve">(or group) </w:t>
      </w:r>
      <w:r>
        <w:rPr>
          <w:lang w:val="en-NZ"/>
        </w:rPr>
        <w:t>who can rely on the on-lending concession has a mixture of funding from related and unrelated parties there was previously no guidance on which debt was reduced or how the reduction was allocated between the two sources of debt.</w:t>
      </w:r>
      <w:r w:rsidR="00292098">
        <w:rPr>
          <w:lang w:val="en-NZ"/>
        </w:rPr>
        <w:t xml:space="preserve"> </w:t>
      </w:r>
      <w:r>
        <w:rPr>
          <w:lang w:val="en-NZ"/>
        </w:rPr>
        <w:t xml:space="preserve">This </w:t>
      </w:r>
      <w:r w:rsidR="00675832">
        <w:rPr>
          <w:lang w:val="en-NZ"/>
        </w:rPr>
        <w:t>becomes</w:t>
      </w:r>
      <w:r w:rsidR="00627F6C">
        <w:rPr>
          <w:lang w:val="en-NZ"/>
        </w:rPr>
        <w:t xml:space="preserve"> a problem when the person </w:t>
      </w:r>
      <w:r w:rsidR="00EB1963">
        <w:rPr>
          <w:lang w:val="en-NZ"/>
        </w:rPr>
        <w:t>is controlled by a non-resident owning body or trustee under section FE 31D so that the New Zealand group is the worldwide group.</w:t>
      </w:r>
    </w:p>
    <w:p w:rsidR="00EB1963" w:rsidRDefault="00EB1963" w:rsidP="00F15077">
      <w:pPr>
        <w:rPr>
          <w:lang w:val="en-NZ"/>
        </w:rPr>
      </w:pPr>
    </w:p>
    <w:p w:rsidR="00192B65" w:rsidRDefault="00EB1963" w:rsidP="00F15077">
      <w:pPr>
        <w:rPr>
          <w:lang w:val="en-NZ"/>
        </w:rPr>
      </w:pPr>
      <w:r>
        <w:rPr>
          <w:lang w:val="en-NZ"/>
        </w:rPr>
        <w:t xml:space="preserve">New section FE 18(3B) confirms that when a </w:t>
      </w:r>
      <w:r w:rsidR="0081251A">
        <w:rPr>
          <w:lang w:val="en-NZ"/>
        </w:rPr>
        <w:t>person applies the on-lending concession the proportion of related and unrelated party debt remains the same as prior to the on-lending concession being applied.</w:t>
      </w:r>
      <w:r w:rsidR="00192B65">
        <w:rPr>
          <w:lang w:val="en-NZ"/>
        </w:rPr>
        <w:br w:type="page"/>
      </w:r>
    </w:p>
    <w:bookmarkEnd w:id="1"/>
    <w:p w:rsidR="00705A2D" w:rsidRPr="00705A2D" w:rsidRDefault="00705A2D" w:rsidP="00705A2D">
      <w:pPr>
        <w:keepNext/>
        <w:pBdr>
          <w:bottom w:val="single" w:sz="4" w:space="6" w:color="auto"/>
        </w:pBdr>
        <w:outlineLvl w:val="0"/>
        <w:rPr>
          <w:b/>
          <w:caps/>
          <w:sz w:val="26"/>
          <w:szCs w:val="24"/>
          <w:lang w:val="en-NZ" w:eastAsia="en-NZ"/>
        </w:rPr>
      </w:pPr>
      <w:r w:rsidRPr="00705A2D">
        <w:rPr>
          <w:b/>
          <w:caps/>
          <w:sz w:val="26"/>
          <w:szCs w:val="24"/>
          <w:lang w:val="en-NZ" w:eastAsia="en-NZ"/>
        </w:rPr>
        <w:t xml:space="preserve">Infrastructure project finance </w:t>
      </w:r>
    </w:p>
    <w:p w:rsidR="00705A2D" w:rsidRPr="00705A2D" w:rsidRDefault="00705A2D" w:rsidP="00705A2D">
      <w:pPr>
        <w:rPr>
          <w:szCs w:val="24"/>
          <w:lang w:val="en-NZ" w:eastAsia="en-NZ"/>
        </w:rPr>
      </w:pPr>
    </w:p>
    <w:p w:rsidR="00705A2D" w:rsidRPr="00705A2D" w:rsidRDefault="00705A2D" w:rsidP="00705A2D">
      <w:pPr>
        <w:rPr>
          <w:b/>
          <w:i/>
          <w:szCs w:val="24"/>
          <w:lang w:val="en-NZ" w:eastAsia="en-NZ"/>
        </w:rPr>
      </w:pPr>
      <w:r w:rsidRPr="00705A2D">
        <w:rPr>
          <w:b/>
          <w:i/>
          <w:szCs w:val="24"/>
          <w:lang w:val="en-NZ" w:eastAsia="en-NZ"/>
        </w:rPr>
        <w:t>Sections CH 10B, FE 4B, FE 7B and YA 1 of the Income Tax Act 2007</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Amendments have been made that will provide entities carrying out eligible infrastructure projects a limited exemption from the thin capitalisation rules by allowing them to claim deductions on debt that exceeds the thresholds set out in section FE 5(1).</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The debt that is allowed to exceed the ordinary thin capitalisation thresholds under this rule is limited to third-party debt (or debt that is from an investor but is made in the capacity of a third-party lender) that only has recourse against the assets associated with the infrastructure project and the income arising from those assets.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keepNext/>
        <w:outlineLvl w:val="1"/>
        <w:rPr>
          <w:b/>
          <w:szCs w:val="24"/>
          <w:lang w:val="en-NZ" w:eastAsia="en-NZ"/>
        </w:rPr>
      </w:pPr>
      <w:r w:rsidRPr="00705A2D">
        <w:rPr>
          <w:b/>
          <w:szCs w:val="24"/>
          <w:lang w:val="en-NZ" w:eastAsia="en-NZ"/>
        </w:rPr>
        <w:t>Background</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This measure is intended to deepen the market and improve the competitiveness in the bidding process for eligible infrastructure projects by ensuring that investors are subject to similar levels of thin capitalisation restrictions.</w:t>
      </w:r>
    </w:p>
    <w:p w:rsidR="00705A2D" w:rsidRPr="00705A2D" w:rsidRDefault="00705A2D" w:rsidP="00705A2D">
      <w:pPr>
        <w:rPr>
          <w:szCs w:val="24"/>
          <w:lang w:val="en-NZ" w:eastAsia="en-NZ"/>
        </w:rPr>
      </w:pPr>
    </w:p>
    <w:p w:rsidR="00F02ADC" w:rsidRPr="00705A2D" w:rsidRDefault="00F02ADC" w:rsidP="00F02ADC">
      <w:pPr>
        <w:rPr>
          <w:szCs w:val="24"/>
          <w:lang w:val="en-NZ" w:eastAsia="en-NZ"/>
        </w:rPr>
      </w:pPr>
      <w:r>
        <w:rPr>
          <w:szCs w:val="24"/>
          <w:lang w:val="en-NZ" w:eastAsia="en-NZ"/>
        </w:rPr>
        <w:t>New Zealand</w:t>
      </w:r>
      <w:r w:rsidR="00675832">
        <w:rPr>
          <w:szCs w:val="24"/>
          <w:lang w:val="en-NZ" w:eastAsia="en-NZ"/>
        </w:rPr>
        <w:t>-</w:t>
      </w:r>
      <w:r>
        <w:rPr>
          <w:szCs w:val="24"/>
          <w:lang w:val="en-NZ" w:eastAsia="en-NZ"/>
        </w:rPr>
        <w:t>owned entities have no thin capitalisation restriction on the level of third party debt they can take on.</w:t>
      </w:r>
      <w:r w:rsidR="00292098">
        <w:rPr>
          <w:szCs w:val="24"/>
          <w:lang w:val="en-NZ" w:eastAsia="en-NZ"/>
        </w:rPr>
        <w:t xml:space="preserve"> </w:t>
      </w:r>
      <w:r>
        <w:rPr>
          <w:szCs w:val="24"/>
          <w:lang w:val="en-NZ" w:eastAsia="en-NZ"/>
        </w:rPr>
        <w:t xml:space="preserve">Similarly, New Zealand entities owned </w:t>
      </w:r>
      <w:r w:rsidR="00705A2D" w:rsidRPr="00705A2D">
        <w:rPr>
          <w:szCs w:val="24"/>
          <w:lang w:val="en-NZ" w:eastAsia="en-NZ"/>
        </w:rPr>
        <w:t xml:space="preserve">by a group of non-residents (none of which have a controlling interest in their own right) </w:t>
      </w:r>
      <w:r>
        <w:rPr>
          <w:szCs w:val="24"/>
          <w:lang w:val="en-NZ" w:eastAsia="en-NZ"/>
        </w:rPr>
        <w:t>are</w:t>
      </w:r>
      <w:r w:rsidR="00705A2D" w:rsidRPr="00705A2D">
        <w:rPr>
          <w:szCs w:val="24"/>
          <w:lang w:val="en-NZ" w:eastAsia="en-NZ"/>
        </w:rPr>
        <w:t xml:space="preserve"> unrestricted in how much third-party debt </w:t>
      </w:r>
      <w:r>
        <w:rPr>
          <w:szCs w:val="24"/>
          <w:lang w:val="en-NZ" w:eastAsia="en-NZ"/>
        </w:rPr>
        <w:t>they</w:t>
      </w:r>
      <w:r w:rsidR="00705A2D" w:rsidRPr="00705A2D">
        <w:rPr>
          <w:szCs w:val="24"/>
          <w:lang w:val="en-NZ" w:eastAsia="en-NZ"/>
        </w:rPr>
        <w:t xml:space="preserve"> can take on (provided that debt is not guaranteed by </w:t>
      </w:r>
      <w:r>
        <w:rPr>
          <w:szCs w:val="24"/>
          <w:lang w:val="en-NZ" w:eastAsia="en-NZ"/>
        </w:rPr>
        <w:t xml:space="preserve">the </w:t>
      </w:r>
      <w:r w:rsidR="00705A2D" w:rsidRPr="00705A2D">
        <w:rPr>
          <w:szCs w:val="24"/>
          <w:lang w:val="en-NZ" w:eastAsia="en-NZ"/>
        </w:rPr>
        <w:t xml:space="preserve">owners). </w:t>
      </w:r>
      <w:r>
        <w:rPr>
          <w:szCs w:val="24"/>
          <w:lang w:val="en-NZ" w:eastAsia="en-NZ"/>
        </w:rPr>
        <w:t>The amendment effectively provides other entities (i.e. New Zealand entities controlled by a single non-resident) i</w:t>
      </w:r>
      <w:r w:rsidRPr="00705A2D">
        <w:rPr>
          <w:szCs w:val="24"/>
          <w:lang w:val="en-NZ" w:eastAsia="en-NZ"/>
        </w:rPr>
        <w:t>nvolved in eligible infrastructure projects with a</w:t>
      </w:r>
      <w:r>
        <w:rPr>
          <w:szCs w:val="24"/>
          <w:lang w:val="en-NZ" w:eastAsia="en-NZ"/>
        </w:rPr>
        <w:t xml:space="preserve">n exemption from the </w:t>
      </w:r>
      <w:r w:rsidRPr="00705A2D">
        <w:rPr>
          <w:szCs w:val="24"/>
          <w:lang w:val="en-NZ" w:eastAsia="en-NZ"/>
        </w:rPr>
        <w:t>thin capitalisation rules</w:t>
      </w:r>
      <w:r>
        <w:rPr>
          <w:szCs w:val="24"/>
          <w:lang w:val="en-NZ" w:eastAsia="en-NZ"/>
        </w:rPr>
        <w:t xml:space="preserve"> if they only have third party debt.</w:t>
      </w:r>
      <w:r w:rsidR="00292098">
        <w:rPr>
          <w:szCs w:val="24"/>
          <w:lang w:val="en-NZ" w:eastAsia="en-NZ"/>
        </w:rPr>
        <w:t xml:space="preserve"> </w:t>
      </w:r>
    </w:p>
    <w:p w:rsidR="00705A2D" w:rsidRDefault="00705A2D" w:rsidP="00F15077">
      <w:pPr>
        <w:rPr>
          <w:lang w:val="en-NZ" w:eastAsia="en-NZ"/>
        </w:rPr>
      </w:pPr>
    </w:p>
    <w:p w:rsidR="00F15077" w:rsidRPr="00705A2D" w:rsidRDefault="00F15077" w:rsidP="00F15077">
      <w:pPr>
        <w:rPr>
          <w:lang w:val="en-NZ" w:eastAsia="en-NZ"/>
        </w:rPr>
      </w:pPr>
    </w:p>
    <w:p w:rsidR="00705A2D" w:rsidRPr="00705A2D" w:rsidRDefault="00705A2D" w:rsidP="00705A2D">
      <w:pPr>
        <w:keepNext/>
        <w:outlineLvl w:val="1"/>
        <w:rPr>
          <w:b/>
          <w:szCs w:val="24"/>
          <w:lang w:val="en-NZ" w:eastAsia="en-NZ"/>
        </w:rPr>
      </w:pPr>
      <w:r w:rsidRPr="00705A2D">
        <w:rPr>
          <w:b/>
          <w:szCs w:val="24"/>
          <w:lang w:val="en-NZ" w:eastAsia="en-NZ"/>
        </w:rPr>
        <w:t>Key features</w:t>
      </w:r>
    </w:p>
    <w:p w:rsidR="00705A2D" w:rsidRPr="00705A2D" w:rsidRDefault="00705A2D" w:rsidP="00705A2D">
      <w:pPr>
        <w:rPr>
          <w:szCs w:val="24"/>
          <w:lang w:val="en-NZ" w:eastAsia="en-NZ"/>
        </w:rPr>
      </w:pPr>
    </w:p>
    <w:p w:rsidR="00F02ADC" w:rsidRDefault="00F02ADC" w:rsidP="00F02ADC">
      <w:pPr>
        <w:rPr>
          <w:szCs w:val="24"/>
          <w:lang w:val="en-NZ" w:eastAsia="en-NZ"/>
        </w:rPr>
      </w:pPr>
      <w:r>
        <w:rPr>
          <w:szCs w:val="24"/>
          <w:lang w:val="en-NZ" w:eastAsia="en-NZ"/>
        </w:rPr>
        <w:t>The thin capitalisation rules have been amended to provide entities carrying out eligible infrastructure projects a limited exemption from the thin capitalisation rules by allowing them to claim deductions on debt that exceed the thresholds in section FE 5(1).</w:t>
      </w:r>
    </w:p>
    <w:p w:rsidR="00F02ADC" w:rsidRDefault="00F02ADC" w:rsidP="00F02ADC">
      <w:pPr>
        <w:rPr>
          <w:szCs w:val="24"/>
          <w:lang w:val="en-NZ" w:eastAsia="en-NZ"/>
        </w:rPr>
      </w:pPr>
    </w:p>
    <w:p w:rsidR="00705A2D" w:rsidRPr="00705A2D" w:rsidRDefault="00F02ADC" w:rsidP="00F02ADC">
      <w:pPr>
        <w:rPr>
          <w:szCs w:val="24"/>
          <w:lang w:val="en-NZ" w:eastAsia="en-NZ"/>
        </w:rPr>
      </w:pPr>
      <w:r>
        <w:rPr>
          <w:szCs w:val="24"/>
          <w:lang w:val="en-NZ" w:eastAsia="en-NZ"/>
        </w:rPr>
        <w:t>The debt that can exceed the ordinary thin capitalisation thresholds under the exemption is limited to third-party debt (or debt that is from an investor but is made in the capacity of a third-party lender) that only has recourse against the assets associated with the infrastructure project and the income arising from those assets.</w:t>
      </w:r>
    </w:p>
    <w:p w:rsidR="00705A2D" w:rsidRDefault="00705A2D" w:rsidP="00705A2D">
      <w:pPr>
        <w:rPr>
          <w:szCs w:val="24"/>
          <w:lang w:val="en-NZ" w:eastAsia="en-NZ"/>
        </w:rPr>
      </w:pPr>
    </w:p>
    <w:p w:rsidR="00F15077" w:rsidRPr="00705A2D" w:rsidRDefault="00F15077" w:rsidP="00705A2D">
      <w:pPr>
        <w:rPr>
          <w:szCs w:val="24"/>
          <w:lang w:val="en-NZ" w:eastAsia="en-NZ"/>
        </w:rPr>
      </w:pPr>
    </w:p>
    <w:p w:rsidR="00705A2D" w:rsidRPr="00705A2D" w:rsidRDefault="00705A2D" w:rsidP="00F15077">
      <w:pPr>
        <w:pStyle w:val="Heading2"/>
        <w:rPr>
          <w:lang w:val="en-NZ" w:eastAsia="en-NZ"/>
        </w:rPr>
      </w:pPr>
      <w:r w:rsidRPr="00705A2D">
        <w:rPr>
          <w:lang w:val="en-NZ" w:eastAsia="en-NZ"/>
        </w:rPr>
        <w:t>Application date</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The amendments apply to income years starting on or after 1 July 2018.</w:t>
      </w:r>
    </w:p>
    <w:p w:rsidR="00705A2D" w:rsidRPr="00705A2D" w:rsidRDefault="00705A2D" w:rsidP="00705A2D">
      <w:pPr>
        <w:rPr>
          <w:szCs w:val="24"/>
          <w:lang w:val="en-NZ" w:eastAsia="en-NZ"/>
        </w:rPr>
      </w:pPr>
    </w:p>
    <w:p w:rsidR="00705A2D" w:rsidRDefault="00705A2D" w:rsidP="00F15077">
      <w:pPr>
        <w:rPr>
          <w:lang w:val="en-NZ" w:eastAsia="en-NZ"/>
        </w:rPr>
      </w:pPr>
    </w:p>
    <w:p w:rsidR="00507AB5" w:rsidRDefault="00507AB5">
      <w:pPr>
        <w:jc w:val="left"/>
        <w:rPr>
          <w:b/>
          <w:szCs w:val="24"/>
          <w:lang w:val="en-NZ" w:eastAsia="en-NZ"/>
        </w:rPr>
      </w:pPr>
      <w:r>
        <w:rPr>
          <w:b/>
          <w:szCs w:val="24"/>
          <w:lang w:val="en-NZ" w:eastAsia="en-NZ"/>
        </w:rPr>
        <w:br w:type="page"/>
      </w:r>
    </w:p>
    <w:p w:rsidR="00705A2D" w:rsidRPr="00705A2D" w:rsidRDefault="00705A2D" w:rsidP="00705A2D">
      <w:pPr>
        <w:keepNext/>
        <w:outlineLvl w:val="1"/>
        <w:rPr>
          <w:b/>
          <w:szCs w:val="24"/>
          <w:lang w:val="en-NZ" w:eastAsia="en-NZ"/>
        </w:rPr>
      </w:pPr>
      <w:r w:rsidRPr="00705A2D">
        <w:rPr>
          <w:b/>
          <w:szCs w:val="24"/>
          <w:lang w:val="en-NZ" w:eastAsia="en-NZ"/>
        </w:rPr>
        <w:t>Detailed analysis</w:t>
      </w: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Public project assets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This exemption will apply only to debt that relates to public project assets – defined in section FE 4B(1), which are assets arising from a project performed under a contract that meets the following criteria:</w:t>
      </w:r>
    </w:p>
    <w:p w:rsidR="00705A2D" w:rsidRPr="00705A2D" w:rsidRDefault="00705A2D" w:rsidP="00705A2D">
      <w:pPr>
        <w:rPr>
          <w:szCs w:val="24"/>
          <w:lang w:val="en-NZ" w:eastAsia="en-NZ"/>
        </w:rPr>
      </w:pPr>
    </w:p>
    <w:p w:rsidR="00705A2D" w:rsidRPr="00705A2D" w:rsidRDefault="00705A2D" w:rsidP="00F15077">
      <w:pPr>
        <w:pStyle w:val="Bullets"/>
      </w:pPr>
      <w:r w:rsidRPr="00705A2D">
        <w:t>The project is established at the request of the New Zealand Government or a public authority.</w:t>
      </w:r>
    </w:p>
    <w:p w:rsidR="00705A2D" w:rsidRPr="00705A2D" w:rsidRDefault="00705A2D" w:rsidP="00F15077">
      <w:pPr>
        <w:pStyle w:val="Bullets"/>
      </w:pPr>
      <w:r w:rsidRPr="00705A2D">
        <w:t>The project is to provide, upgrade, or create assets in New Zealand and to operate or maintain those assets.</w:t>
      </w:r>
    </w:p>
    <w:p w:rsidR="00705A2D" w:rsidRPr="00705A2D" w:rsidRDefault="00705A2D" w:rsidP="00F15077">
      <w:pPr>
        <w:pStyle w:val="Bullets"/>
      </w:pPr>
      <w:r w:rsidRPr="00705A2D">
        <w:t>The contract is for a period of at least 10 years.</w:t>
      </w:r>
    </w:p>
    <w:p w:rsidR="00705A2D" w:rsidRPr="00705A2D" w:rsidRDefault="00705A2D" w:rsidP="00F15077">
      <w:pPr>
        <w:pStyle w:val="Bullets"/>
      </w:pPr>
      <w:r w:rsidRPr="00705A2D">
        <w:t>The public funding relating to the contract is approved by the Minister of Finance.</w:t>
      </w:r>
    </w:p>
    <w:p w:rsidR="00705A2D" w:rsidRPr="00705A2D" w:rsidRDefault="00705A2D" w:rsidP="00F15077">
      <w:pPr>
        <w:pStyle w:val="Bullets"/>
        <w:spacing w:after="0"/>
      </w:pPr>
      <w:r w:rsidRPr="00705A2D">
        <w:t xml:space="preserve">The contract provides that the assets are owned by the New Zealand Government or </w:t>
      </w:r>
      <w:r w:rsidR="00F02ADC">
        <w:t>the</w:t>
      </w:r>
      <w:r w:rsidRPr="00705A2D">
        <w:t xml:space="preserve"> public authority after the completion of the contract.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Public project debt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The exemption will apply only to public project debt – defined in section FE 4B(2).</w:t>
      </w:r>
      <w:r w:rsidR="00292098">
        <w:rPr>
          <w:szCs w:val="24"/>
          <w:lang w:val="en-NZ" w:eastAsia="en-NZ"/>
        </w:rPr>
        <w:t xml:space="preserve"> </w:t>
      </w:r>
      <w:r w:rsidRPr="00705A2D">
        <w:rPr>
          <w:szCs w:val="24"/>
          <w:lang w:val="en-NZ" w:eastAsia="en-NZ"/>
        </w:rPr>
        <w:t>This debt must meet the following criteria:</w:t>
      </w:r>
    </w:p>
    <w:p w:rsidR="00705A2D" w:rsidRPr="00705A2D" w:rsidRDefault="00705A2D" w:rsidP="00705A2D">
      <w:pPr>
        <w:rPr>
          <w:szCs w:val="24"/>
          <w:lang w:val="en-NZ" w:eastAsia="en-NZ"/>
        </w:rPr>
      </w:pPr>
    </w:p>
    <w:p w:rsidR="00705A2D" w:rsidRPr="00705A2D" w:rsidRDefault="00F15077" w:rsidP="00F15077">
      <w:pPr>
        <w:pStyle w:val="Bullets"/>
      </w:pPr>
      <w:r>
        <w:t>The debt is applied to:</w:t>
      </w:r>
    </w:p>
    <w:p w:rsidR="00705A2D" w:rsidRPr="00705A2D" w:rsidRDefault="00705A2D" w:rsidP="00F15077">
      <w:pPr>
        <w:pStyle w:val="Bullets2"/>
        <w:spacing w:after="120"/>
        <w:contextualSpacing w:val="0"/>
        <w:rPr>
          <w:lang w:val="en-NZ"/>
        </w:rPr>
      </w:pPr>
      <w:r w:rsidRPr="00705A2D">
        <w:rPr>
          <w:lang w:val="en-NZ"/>
        </w:rPr>
        <w:t>a project in order to give rise to public project assets, or income derived from public project assets; or</w:t>
      </w:r>
    </w:p>
    <w:p w:rsidR="00705A2D" w:rsidRPr="00705A2D" w:rsidRDefault="00705A2D" w:rsidP="00F15077">
      <w:pPr>
        <w:pStyle w:val="Bullets2"/>
        <w:spacing w:after="120"/>
        <w:contextualSpacing w:val="0"/>
        <w:rPr>
          <w:lang w:val="en-NZ"/>
        </w:rPr>
      </w:pPr>
      <w:r w:rsidRPr="00705A2D">
        <w:rPr>
          <w:lang w:val="en-NZ"/>
        </w:rPr>
        <w:t>refinance a loan that was public project debt, including previous refinances of public project debt</w:t>
      </w:r>
      <w:r w:rsidR="00F02ADC">
        <w:rPr>
          <w:lang w:val="en-NZ"/>
        </w:rPr>
        <w:t>.</w:t>
      </w:r>
    </w:p>
    <w:p w:rsidR="00705A2D" w:rsidRPr="00705A2D" w:rsidRDefault="00705A2D" w:rsidP="00F15077">
      <w:pPr>
        <w:pStyle w:val="Bullets"/>
      </w:pPr>
      <w:r w:rsidRPr="00705A2D">
        <w:t xml:space="preserve">The debt must not be on-lent to a party that is not associated with the performance of the project, unless the on-lending is minor or incidental and the funds are still expected to be applied to the project. This is discussed further below under the heading </w:t>
      </w:r>
      <w:r w:rsidRPr="00705A2D">
        <w:rPr>
          <w:i/>
        </w:rPr>
        <w:t>on-lent funds</w:t>
      </w:r>
      <w:r w:rsidRPr="00705A2D">
        <w:t>.</w:t>
      </w:r>
    </w:p>
    <w:p w:rsidR="00705A2D" w:rsidRPr="00705A2D" w:rsidRDefault="00705A2D" w:rsidP="00F15077">
      <w:pPr>
        <w:pStyle w:val="Bullets"/>
        <w:spacing w:after="0"/>
      </w:pPr>
      <w:r w:rsidRPr="00705A2D">
        <w:t>The debt must give rise to interest expenditure that is incurred in New Zealand.</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Threshold debt amount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The threshold debt amount is the amount of debt that an entity carrying on an eligible infrastructure project could have without being required to apportion its interest expenditure under section FE 6.</w:t>
      </w:r>
      <w:r w:rsidR="00292098">
        <w:rPr>
          <w:szCs w:val="24"/>
          <w:lang w:val="en-NZ" w:eastAsia="en-NZ"/>
        </w:rPr>
        <w:t xml:space="preserve"> </w:t>
      </w:r>
      <w:r w:rsidR="001F5885">
        <w:rPr>
          <w:szCs w:val="24"/>
          <w:lang w:val="en-NZ" w:eastAsia="en-NZ"/>
        </w:rPr>
        <w:t>It is calculated by multiplying the value of the public project assets and assets used in performing the project by the threshold debt percentage given by FE 5(1).</w:t>
      </w:r>
      <w:r w:rsidR="00292098">
        <w:rPr>
          <w:szCs w:val="24"/>
          <w:lang w:val="en-NZ" w:eastAsia="en-NZ"/>
        </w:rPr>
        <w:t xml:space="preserve"> </w:t>
      </w:r>
      <w:r w:rsidRPr="00705A2D">
        <w:rPr>
          <w:szCs w:val="24"/>
          <w:lang w:val="en-NZ" w:eastAsia="en-NZ"/>
        </w:rPr>
        <w:t>If the amount of public project debt is less than this amount, all interest on the public project debt will continue to be deductible, even if the debt is of a type that is not intended to receive the benefit of this exemption (public project participant debt and unrestricted debt). If the amount of public project debt exceeds this amount, only interest on debt that is intended to receive the benefit of the exemption will be deductible.</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Public project participant debt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Public project participant debt, defined in section FE 4B(3) and used to define the item “member debt” in the formula in section FE 7B(4)(</w:t>
      </w:r>
      <w:r w:rsidR="001F5885">
        <w:rPr>
          <w:szCs w:val="24"/>
          <w:lang w:val="en-NZ" w:eastAsia="en-NZ"/>
        </w:rPr>
        <w:t>f</w:t>
      </w:r>
      <w:r w:rsidRPr="00705A2D">
        <w:rPr>
          <w:szCs w:val="24"/>
          <w:lang w:val="en-NZ" w:eastAsia="en-NZ"/>
        </w:rPr>
        <w:t>), is public project debt issued by a participant in the infrastructure project that is made under an arrangement that has the purpose or effect of funding the project with debt equal to each participant</w:t>
      </w:r>
      <w:r w:rsidR="001F5885">
        <w:rPr>
          <w:szCs w:val="24"/>
          <w:lang w:val="en-NZ" w:eastAsia="en-NZ"/>
        </w:rPr>
        <w:t>’</w:t>
      </w:r>
      <w:r w:rsidRPr="00705A2D">
        <w:rPr>
          <w:szCs w:val="24"/>
          <w:lang w:val="en-NZ" w:eastAsia="en-NZ"/>
        </w:rPr>
        <w:t xml:space="preserve">s interest in the project. </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Public project participant debt is not intended to get the benefit of the exemption. If this form of debt was able to get the benefit of the exemption, it could result in some private investors being able to allocate more debt to the infrastructure project than is appropriate.</w:t>
      </w:r>
      <w:r w:rsidR="00292098">
        <w:rPr>
          <w:szCs w:val="24"/>
          <w:lang w:val="en-NZ" w:eastAsia="en-NZ"/>
        </w:rPr>
        <w:t xml:space="preserve"> </w:t>
      </w:r>
      <w:r w:rsidRPr="00705A2D">
        <w:rPr>
          <w:szCs w:val="24"/>
          <w:lang w:val="en-NZ" w:eastAsia="en-NZ"/>
        </w:rPr>
        <w:t xml:space="preserve"> </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 xml:space="preserve">Example </w:t>
      </w:r>
      <w:r w:rsidR="001F5885">
        <w:rPr>
          <w:szCs w:val="24"/>
          <w:lang w:val="en-NZ" w:eastAsia="en-NZ"/>
        </w:rPr>
        <w:t>Eleven</w:t>
      </w:r>
      <w:r w:rsidRPr="00705A2D">
        <w:rPr>
          <w:szCs w:val="24"/>
          <w:lang w:val="en-NZ" w:eastAsia="en-NZ"/>
        </w:rPr>
        <w:t xml:space="preserve"> is an example of where the partners in a partnership that is performing an eligible infrastructure project contract partially fund the project using debt in a way in which the debt is effectively a substitute for equity.</w:t>
      </w:r>
    </w:p>
    <w:p w:rsidR="00705A2D" w:rsidRDefault="00705A2D" w:rsidP="00705A2D">
      <w:pPr>
        <w:rPr>
          <w:szCs w:val="24"/>
          <w:lang w:val="en-NZ" w:eastAsia="en-NZ"/>
        </w:rPr>
      </w:pPr>
    </w:p>
    <w:p w:rsidR="00F15077" w:rsidRPr="00705A2D" w:rsidRDefault="00F15077" w:rsidP="00705A2D">
      <w:pPr>
        <w:rPr>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szCs w:val="24"/>
          <w:lang w:val="en-NZ" w:eastAsia="en-NZ"/>
        </w:rPr>
      </w:pPr>
      <w:r w:rsidRPr="00705A2D">
        <w:rPr>
          <w:b/>
          <w:sz w:val="20"/>
          <w:szCs w:val="24"/>
          <w:lang w:val="en-NZ" w:eastAsia="en-NZ"/>
        </w:rPr>
        <w:t xml:space="preserve">Example </w:t>
      </w:r>
      <w:r w:rsidR="00507AB5">
        <w:rPr>
          <w:b/>
          <w:sz w:val="20"/>
          <w:szCs w:val="24"/>
          <w:lang w:val="en-NZ" w:eastAsia="en-NZ"/>
        </w:rPr>
        <w:t>13</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A Co, B Co and C Co, all of which are foreign companies, entered into a partnership called ABC Partnership. ABC Partnership entered into a contract with the New Zealand government to provide and maintain an asset for a 20 year period. All three partners have permanent establishments in New Zealand due to the activities of ABC Partnership.</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In order to carry out the project, ABC Partnership required $100 million. All three partners contributed $5 million of capital contribution. In addition, ABC Partnership received a loan from Bank Co of $70 million at an interest rate of 10% p.a.</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The final $15 million is provided in equal proportions by A Co, B Co and C Co by way of loans to ABC Partnership at a rate of 10% p.a.</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All of the $70 million debt from Bank Ltd will be considered public project debt. All of the $15 million from the three partners will also be considered public project debt. However, it will also be considered to be public project participant debt, because it was advanced under an arrangement between the three partners in a way that allowed them to fund the partnership in proportion to their interest in the partnership.</w:t>
      </w:r>
    </w:p>
    <w:p w:rsidR="00705A2D" w:rsidRPr="00705A2D" w:rsidRDefault="00705A2D" w:rsidP="00705A2D">
      <w:pPr>
        <w:rPr>
          <w:sz w:val="20"/>
          <w:szCs w:val="24"/>
          <w:lang w:val="en-NZ" w:eastAsia="en-NZ"/>
        </w:rPr>
      </w:pPr>
    </w:p>
    <w:p w:rsidR="00705A2D" w:rsidRPr="00705A2D" w:rsidRDefault="00705A2D" w:rsidP="00705A2D">
      <w:pPr>
        <w:rPr>
          <w:szCs w:val="24"/>
          <w:lang w:val="en-NZ" w:eastAsia="en-NZ"/>
        </w:rPr>
      </w:pPr>
      <w:r w:rsidRPr="00705A2D">
        <w:rPr>
          <w:szCs w:val="24"/>
          <w:lang w:val="en-NZ" w:eastAsia="en-NZ"/>
        </w:rPr>
        <w:t>Funding that is provided by a participant will not automatically be considered funding that is under an arrangement with a purpose or effect of allowing the participants to fund the project equal to their own ownership interests in the project. Example</w:t>
      </w:r>
      <w:r w:rsidR="001F5885">
        <w:rPr>
          <w:szCs w:val="24"/>
          <w:lang w:val="en-NZ" w:eastAsia="en-NZ"/>
        </w:rPr>
        <w:t>s Twelve and Thirteen provide</w:t>
      </w:r>
      <w:r w:rsidRPr="00705A2D">
        <w:rPr>
          <w:szCs w:val="24"/>
          <w:lang w:val="en-NZ" w:eastAsia="en-NZ"/>
        </w:rPr>
        <w:t xml:space="preserve"> two types of situations in which debt from an investor in a project will not be public project participant debt.</w:t>
      </w:r>
    </w:p>
    <w:p w:rsidR="00705A2D" w:rsidRPr="00705A2D" w:rsidRDefault="00705A2D" w:rsidP="00705A2D">
      <w:pPr>
        <w:rPr>
          <w:sz w:val="20"/>
          <w:szCs w:val="24"/>
          <w:lang w:val="en-NZ" w:eastAsia="en-NZ"/>
        </w:rPr>
      </w:pPr>
    </w:p>
    <w:p w:rsidR="00F15077" w:rsidRDefault="00F15077">
      <w:pPr>
        <w:jc w:val="left"/>
        <w:rPr>
          <w:b/>
          <w:sz w:val="20"/>
          <w:szCs w:val="24"/>
          <w:lang w:val="en-NZ" w:eastAsia="en-NZ"/>
        </w:rPr>
      </w:pPr>
      <w:r>
        <w:rPr>
          <w:b/>
          <w:sz w:val="20"/>
          <w:szCs w:val="24"/>
          <w:lang w:val="en-NZ" w:eastAsia="en-NZ"/>
        </w:rPr>
        <w:br w:type="page"/>
      </w:r>
    </w:p>
    <w:p w:rsidR="00705A2D" w:rsidRPr="00705A2D" w:rsidRDefault="00705A2D" w:rsidP="00705A2D">
      <w:pPr>
        <w:pBdr>
          <w:top w:val="single" w:sz="4" w:space="10" w:color="auto"/>
          <w:left w:val="single" w:sz="4" w:space="10" w:color="auto"/>
          <w:bottom w:val="single" w:sz="4" w:space="10" w:color="auto"/>
          <w:right w:val="single" w:sz="4" w:space="10" w:color="auto"/>
        </w:pBdr>
        <w:rPr>
          <w:b/>
          <w:sz w:val="20"/>
          <w:szCs w:val="24"/>
          <w:lang w:val="en-NZ" w:eastAsia="en-NZ"/>
        </w:rPr>
      </w:pPr>
      <w:r w:rsidRPr="00705A2D">
        <w:rPr>
          <w:b/>
          <w:sz w:val="20"/>
          <w:szCs w:val="24"/>
          <w:lang w:val="en-NZ" w:eastAsia="en-NZ"/>
        </w:rPr>
        <w:t xml:space="preserve">Example </w:t>
      </w:r>
      <w:r w:rsidR="00507AB5">
        <w:rPr>
          <w:b/>
          <w:sz w:val="20"/>
          <w:szCs w:val="24"/>
          <w:lang w:val="en-NZ" w:eastAsia="en-NZ"/>
        </w:rPr>
        <w:t>14</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A Co, B Co and C Co, all of which are foreign companies, entered in</w:t>
      </w:r>
      <w:r w:rsidR="001F5885">
        <w:rPr>
          <w:sz w:val="20"/>
          <w:szCs w:val="24"/>
          <w:lang w:val="en-NZ" w:eastAsia="en-NZ"/>
        </w:rPr>
        <w:t>to</w:t>
      </w:r>
      <w:r w:rsidRPr="00705A2D">
        <w:rPr>
          <w:sz w:val="20"/>
          <w:szCs w:val="24"/>
          <w:lang w:val="en-NZ" w:eastAsia="en-NZ"/>
        </w:rPr>
        <w:t xml:space="preserve"> a partnership called ABC Partnership. ABC Partnership entered into a contract with the New Zealand </w:t>
      </w:r>
      <w:r w:rsidR="001F5885">
        <w:rPr>
          <w:sz w:val="20"/>
          <w:szCs w:val="24"/>
          <w:lang w:val="en-NZ" w:eastAsia="en-NZ"/>
        </w:rPr>
        <w:t>G</w:t>
      </w:r>
      <w:r w:rsidRPr="00705A2D">
        <w:rPr>
          <w:sz w:val="20"/>
          <w:szCs w:val="24"/>
          <w:lang w:val="en-NZ" w:eastAsia="en-NZ"/>
        </w:rPr>
        <w:t>overnment to provide and maintain an asset for a 20 year period. All three partners have permanent establishment</w:t>
      </w:r>
      <w:r w:rsidR="001F5885">
        <w:rPr>
          <w:sz w:val="20"/>
          <w:szCs w:val="24"/>
          <w:lang w:val="en-NZ" w:eastAsia="en-NZ"/>
        </w:rPr>
        <w:t>s</w:t>
      </w:r>
      <w:r w:rsidRPr="00705A2D">
        <w:rPr>
          <w:sz w:val="20"/>
          <w:szCs w:val="24"/>
          <w:lang w:val="en-NZ" w:eastAsia="en-NZ"/>
        </w:rPr>
        <w:t xml:space="preserve"> in New Zealand due to the activities of ABC Partnership.</w:t>
      </w:r>
    </w:p>
    <w:p w:rsid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1F5885" w:rsidRPr="00705A2D" w:rsidRDefault="001F5885" w:rsidP="001F5885">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 xml:space="preserve">In addition to being a direct investor in infrastructure projects in New Zealand, C Co is also in the business of providing debt funding to a variety of New Zealand based projects. As a part of ABC Partnership’s process of procuring adequate debt funding for the project, it was decided that a combination of debt facilities from Bank </w:t>
      </w:r>
      <w:r>
        <w:rPr>
          <w:sz w:val="20"/>
          <w:szCs w:val="24"/>
          <w:lang w:val="en-NZ" w:eastAsia="en-NZ"/>
        </w:rPr>
        <w:t>Ltd</w:t>
      </w:r>
      <w:r w:rsidRPr="00705A2D">
        <w:rPr>
          <w:sz w:val="20"/>
          <w:szCs w:val="24"/>
          <w:lang w:val="en-NZ" w:eastAsia="en-NZ"/>
        </w:rPr>
        <w:t xml:space="preserve"> and C Co was the</w:t>
      </w:r>
      <w:r w:rsidR="00F15077">
        <w:rPr>
          <w:sz w:val="20"/>
          <w:szCs w:val="24"/>
          <w:lang w:val="en-NZ" w:eastAsia="en-NZ"/>
        </w:rPr>
        <w:t xml:space="preserve"> best available funding option.</w:t>
      </w:r>
    </w:p>
    <w:p w:rsidR="001F5885" w:rsidRPr="00705A2D" w:rsidRDefault="001F5885"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1F5885" w:rsidP="00705A2D">
      <w:pPr>
        <w:pBdr>
          <w:top w:val="single" w:sz="4" w:space="10" w:color="auto"/>
          <w:left w:val="single" w:sz="4" w:space="10" w:color="auto"/>
          <w:bottom w:val="single" w:sz="4" w:space="10" w:color="auto"/>
          <w:right w:val="single" w:sz="4" w:space="10" w:color="auto"/>
        </w:pBdr>
        <w:rPr>
          <w:sz w:val="20"/>
          <w:szCs w:val="24"/>
          <w:lang w:val="en-NZ" w:eastAsia="en-NZ"/>
        </w:rPr>
      </w:pPr>
      <w:r>
        <w:rPr>
          <w:sz w:val="20"/>
          <w:szCs w:val="24"/>
          <w:lang w:val="en-NZ" w:eastAsia="en-NZ"/>
        </w:rPr>
        <w:t xml:space="preserve">Therefore, </w:t>
      </w:r>
      <w:r w:rsidR="00705A2D" w:rsidRPr="00705A2D">
        <w:rPr>
          <w:sz w:val="20"/>
          <w:szCs w:val="24"/>
          <w:lang w:val="en-NZ" w:eastAsia="en-NZ"/>
        </w:rPr>
        <w:t xml:space="preserve">ABC Partnership </w:t>
      </w:r>
      <w:r w:rsidR="004E782E">
        <w:rPr>
          <w:sz w:val="20"/>
          <w:szCs w:val="24"/>
          <w:lang w:val="en-NZ" w:eastAsia="en-NZ"/>
        </w:rPr>
        <w:t>obtained</w:t>
      </w:r>
      <w:r w:rsidR="00705A2D" w:rsidRPr="00705A2D">
        <w:rPr>
          <w:sz w:val="20"/>
          <w:szCs w:val="24"/>
          <w:lang w:val="en-NZ" w:eastAsia="en-NZ"/>
        </w:rPr>
        <w:t xml:space="preserve"> debt from Bank Ltd of $60 million at the beginning of the project at a rate of 10% p.a., with terms that gave Bank </w:t>
      </w:r>
      <w:r w:rsidR="004E782E">
        <w:rPr>
          <w:sz w:val="20"/>
          <w:szCs w:val="24"/>
          <w:lang w:val="en-NZ" w:eastAsia="en-NZ"/>
        </w:rPr>
        <w:t>Ltd</w:t>
      </w:r>
      <w:r w:rsidR="00705A2D" w:rsidRPr="00705A2D">
        <w:rPr>
          <w:sz w:val="20"/>
          <w:szCs w:val="24"/>
          <w:lang w:val="en-NZ" w:eastAsia="en-NZ"/>
        </w:rPr>
        <w:t xml:space="preserve"> recourse solely to assets and income derived from the project.</w:t>
      </w:r>
      <w:r w:rsidR="00292098">
        <w:rPr>
          <w:sz w:val="20"/>
          <w:szCs w:val="24"/>
          <w:lang w:val="en-NZ" w:eastAsia="en-NZ"/>
        </w:rPr>
        <w:t xml:space="preserve"> </w:t>
      </w:r>
      <w:r>
        <w:rPr>
          <w:sz w:val="20"/>
          <w:szCs w:val="24"/>
          <w:lang w:val="en-NZ" w:eastAsia="en-NZ"/>
        </w:rPr>
        <w:t>ABC Partnership also obtained debt from C Co of $15 million on the same terms as the debt facility from Bank Ltd.</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The funds provided under th</w:t>
      </w:r>
      <w:r w:rsidR="000602C9">
        <w:rPr>
          <w:sz w:val="20"/>
          <w:szCs w:val="24"/>
          <w:lang w:val="en-NZ" w:eastAsia="en-NZ"/>
        </w:rPr>
        <w:t>e</w:t>
      </w:r>
      <w:r w:rsidRPr="00705A2D">
        <w:rPr>
          <w:sz w:val="20"/>
          <w:szCs w:val="24"/>
          <w:lang w:val="en-NZ" w:eastAsia="en-NZ"/>
        </w:rPr>
        <w:t xml:space="preserve"> debt facility </w:t>
      </w:r>
      <w:r w:rsidR="000602C9">
        <w:rPr>
          <w:sz w:val="20"/>
          <w:szCs w:val="24"/>
          <w:lang w:val="en-NZ" w:eastAsia="en-NZ"/>
        </w:rPr>
        <w:t xml:space="preserve">from C Co </w:t>
      </w:r>
      <w:r w:rsidRPr="00705A2D">
        <w:rPr>
          <w:sz w:val="20"/>
          <w:szCs w:val="24"/>
          <w:lang w:val="en-NZ" w:eastAsia="en-NZ"/>
        </w:rPr>
        <w:t>are applied by ABC Partnership to give rise to public project assets, which means that the debt will be public project debt.</w:t>
      </w:r>
      <w:r w:rsidR="00292098">
        <w:rPr>
          <w:sz w:val="20"/>
          <w:szCs w:val="24"/>
          <w:lang w:val="en-NZ" w:eastAsia="en-NZ"/>
        </w:rPr>
        <w:t xml:space="preserve"> </w:t>
      </w:r>
      <w:r w:rsidR="000602C9">
        <w:rPr>
          <w:sz w:val="20"/>
          <w:szCs w:val="24"/>
          <w:lang w:val="en-NZ" w:eastAsia="en-NZ"/>
        </w:rPr>
        <w:t>However, it will not be considered to be public project participant debt.</w:t>
      </w:r>
      <w:r w:rsidR="00292098">
        <w:rPr>
          <w:sz w:val="20"/>
          <w:szCs w:val="24"/>
          <w:lang w:val="en-NZ" w:eastAsia="en-NZ"/>
        </w:rPr>
        <w:t xml:space="preserve"> </w:t>
      </w:r>
      <w:r w:rsidR="000602C9">
        <w:rPr>
          <w:sz w:val="20"/>
          <w:szCs w:val="24"/>
          <w:lang w:val="en-NZ" w:eastAsia="en-NZ"/>
        </w:rPr>
        <w:t>This is because the debt facility was only provided by one of the three partners (C Co).</w:t>
      </w: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In addition, there is no evidence that this loan was made with the intent of being a substitute for C Co’s capit</w:t>
      </w:r>
      <w:r w:rsidR="00F15077">
        <w:rPr>
          <w:sz w:val="20"/>
          <w:szCs w:val="24"/>
          <w:lang w:val="en-NZ" w:eastAsia="en-NZ"/>
        </w:rPr>
        <w:t>al contribution to the project.</w:t>
      </w:r>
    </w:p>
    <w:p w:rsidR="00705A2D" w:rsidRPr="00705A2D" w:rsidRDefault="00705A2D" w:rsidP="00705A2D">
      <w:pPr>
        <w:rPr>
          <w:szCs w:val="24"/>
          <w:lang w:val="en-NZ" w:eastAsia="en-NZ"/>
        </w:rPr>
      </w:pPr>
    </w:p>
    <w:p w:rsidR="000602C9" w:rsidRPr="000D4219" w:rsidRDefault="00507AB5" w:rsidP="000602C9">
      <w:pPr>
        <w:pBdr>
          <w:top w:val="single" w:sz="4" w:space="10" w:color="auto"/>
          <w:left w:val="single" w:sz="4" w:space="10" w:color="auto"/>
          <w:bottom w:val="single" w:sz="4" w:space="10" w:color="auto"/>
          <w:right w:val="single" w:sz="4" w:space="10" w:color="auto"/>
        </w:pBdr>
        <w:rPr>
          <w:b/>
          <w:sz w:val="20"/>
          <w:szCs w:val="24"/>
          <w:lang w:val="en-NZ" w:eastAsia="en-NZ"/>
        </w:rPr>
      </w:pPr>
      <w:r>
        <w:rPr>
          <w:b/>
          <w:sz w:val="20"/>
          <w:szCs w:val="24"/>
          <w:lang w:val="en-NZ" w:eastAsia="en-NZ"/>
        </w:rPr>
        <w:t>Example 15</w:t>
      </w:r>
    </w:p>
    <w:p w:rsidR="000602C9"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A Co, B Co and C Co, all of which are foreign companies, entered in a partnership called ABC Partnership. ABC Partnership entered into a contract with the New Zealand government to provide and maintain an asset for a 20 year period. All three partners have permanent establishment</w:t>
      </w:r>
      <w:r>
        <w:rPr>
          <w:sz w:val="20"/>
          <w:szCs w:val="24"/>
          <w:lang w:val="en-NZ" w:eastAsia="en-NZ"/>
        </w:rPr>
        <w:t>s</w:t>
      </w:r>
      <w:r w:rsidRPr="00705A2D">
        <w:rPr>
          <w:sz w:val="20"/>
          <w:szCs w:val="24"/>
          <w:lang w:val="en-NZ" w:eastAsia="en-NZ"/>
        </w:rPr>
        <w:t xml:space="preserve"> in New Zealand due to the activities of ABC Partnership.</w:t>
      </w:r>
    </w:p>
    <w:p w:rsidR="000602C9"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Pr>
          <w:sz w:val="20"/>
          <w:szCs w:val="24"/>
          <w:lang w:val="en-NZ" w:eastAsia="en-NZ"/>
        </w:rPr>
        <w:t>The partners agreed that capital contributions would be made once construction of the asset was complete.</w:t>
      </w: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 xml:space="preserve">ABC Partnership </w:t>
      </w:r>
      <w:r>
        <w:rPr>
          <w:sz w:val="20"/>
          <w:szCs w:val="24"/>
          <w:lang w:val="en-NZ" w:eastAsia="en-NZ"/>
        </w:rPr>
        <w:t>obtained</w:t>
      </w:r>
      <w:r w:rsidRPr="00705A2D">
        <w:rPr>
          <w:sz w:val="20"/>
          <w:szCs w:val="24"/>
          <w:lang w:val="en-NZ" w:eastAsia="en-NZ"/>
        </w:rPr>
        <w:t xml:space="preserve"> debt from Bank Ltd of $60 million at the beginning of the project at a rate of 10% p.a., with terms that gave Bank </w:t>
      </w:r>
      <w:r>
        <w:rPr>
          <w:sz w:val="20"/>
          <w:szCs w:val="24"/>
          <w:lang w:val="en-NZ" w:eastAsia="en-NZ"/>
        </w:rPr>
        <w:t>Ltd</w:t>
      </w:r>
      <w:r w:rsidRPr="00705A2D">
        <w:rPr>
          <w:sz w:val="20"/>
          <w:szCs w:val="24"/>
          <w:lang w:val="en-NZ" w:eastAsia="en-NZ"/>
        </w:rPr>
        <w:t xml:space="preserve"> recourse solely to assets and income derived from the project. </w:t>
      </w: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Before Bank Co would provide its debt facility, it required recourse to the capital contributions that all three of the partners would provide as a part of the project contract</w:t>
      </w:r>
      <w:r w:rsidR="007306EA">
        <w:rPr>
          <w:sz w:val="20"/>
          <w:szCs w:val="24"/>
          <w:lang w:val="en-NZ" w:eastAsia="en-NZ"/>
        </w:rPr>
        <w:t xml:space="preserve">. </w:t>
      </w:r>
      <w:r>
        <w:rPr>
          <w:sz w:val="20"/>
          <w:szCs w:val="24"/>
          <w:lang w:val="en-NZ" w:eastAsia="en-NZ"/>
        </w:rPr>
        <w:t>Bank Ltd agreed that to secure this, each partner could provide a letter of credit, or provide the funds to ABC Partnership through a convertible debt instrument.</w:t>
      </w:r>
    </w:p>
    <w:p w:rsidR="000602C9"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Pr>
          <w:sz w:val="20"/>
          <w:szCs w:val="24"/>
          <w:lang w:val="en-NZ" w:eastAsia="en-NZ"/>
        </w:rPr>
        <w:t>At the beginning of the project, B Co and C Co provided letters of credit for the amount of their capital contribution.</w:t>
      </w:r>
      <w:r w:rsidR="00292098">
        <w:rPr>
          <w:sz w:val="20"/>
          <w:szCs w:val="24"/>
          <w:lang w:val="en-NZ" w:eastAsia="en-NZ"/>
        </w:rPr>
        <w:t xml:space="preserve"> </w:t>
      </w:r>
      <w:r>
        <w:rPr>
          <w:sz w:val="20"/>
          <w:szCs w:val="24"/>
          <w:lang w:val="en-NZ" w:eastAsia="en-NZ"/>
        </w:rPr>
        <w:t xml:space="preserve">A Co decided to </w:t>
      </w:r>
      <w:r w:rsidRPr="00705A2D">
        <w:rPr>
          <w:sz w:val="20"/>
          <w:szCs w:val="24"/>
          <w:lang w:val="en-NZ" w:eastAsia="en-NZ"/>
        </w:rPr>
        <w:t xml:space="preserve">provide debt funding </w:t>
      </w:r>
      <w:r>
        <w:rPr>
          <w:sz w:val="20"/>
          <w:szCs w:val="24"/>
          <w:lang w:val="en-NZ" w:eastAsia="en-NZ"/>
        </w:rPr>
        <w:t>to ABC Partnership using a convertible debt instrument.</w:t>
      </w:r>
      <w:r w:rsidR="00292098">
        <w:rPr>
          <w:sz w:val="20"/>
          <w:szCs w:val="24"/>
          <w:lang w:val="en-NZ" w:eastAsia="en-NZ"/>
        </w:rPr>
        <w:t xml:space="preserve"> </w:t>
      </w:r>
      <w:r>
        <w:rPr>
          <w:sz w:val="20"/>
          <w:szCs w:val="24"/>
          <w:lang w:val="en-NZ" w:eastAsia="en-NZ"/>
        </w:rPr>
        <w:t xml:space="preserve">That instrument provided for </w:t>
      </w:r>
      <w:r w:rsidRPr="00705A2D">
        <w:rPr>
          <w:sz w:val="20"/>
          <w:szCs w:val="24"/>
          <w:lang w:val="en-NZ" w:eastAsia="en-NZ"/>
        </w:rPr>
        <w:t>a fixed rate of return at an arm’s length price</w:t>
      </w:r>
      <w:r>
        <w:rPr>
          <w:sz w:val="20"/>
          <w:szCs w:val="24"/>
          <w:lang w:val="en-NZ" w:eastAsia="en-NZ"/>
        </w:rPr>
        <w:t xml:space="preserve">, and converted into A Co’s partnership interest at the </w:t>
      </w:r>
      <w:r w:rsidRPr="00705A2D">
        <w:rPr>
          <w:sz w:val="20"/>
          <w:szCs w:val="24"/>
          <w:lang w:val="en-NZ" w:eastAsia="en-NZ"/>
        </w:rPr>
        <w:t>same time</w:t>
      </w:r>
      <w:r>
        <w:rPr>
          <w:sz w:val="20"/>
          <w:szCs w:val="24"/>
          <w:lang w:val="en-NZ" w:eastAsia="en-NZ"/>
        </w:rPr>
        <w:t xml:space="preserve"> that B Co and C</w:t>
      </w:r>
      <w:r w:rsidRPr="00705A2D">
        <w:rPr>
          <w:sz w:val="20"/>
          <w:szCs w:val="24"/>
          <w:lang w:val="en-NZ" w:eastAsia="en-NZ"/>
        </w:rPr>
        <w:t xml:space="preserve"> Co put in their capital contribution.</w:t>
      </w: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p>
    <w:p w:rsidR="000602C9" w:rsidRPr="00705A2D" w:rsidRDefault="000602C9" w:rsidP="000602C9">
      <w:pPr>
        <w:pBdr>
          <w:top w:val="single" w:sz="4" w:space="10"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 xml:space="preserve">The </w:t>
      </w:r>
      <w:r>
        <w:rPr>
          <w:sz w:val="20"/>
          <w:szCs w:val="24"/>
          <w:lang w:val="en-NZ" w:eastAsia="en-NZ"/>
        </w:rPr>
        <w:t xml:space="preserve">convertible debt instrument is an arrangement that provides funding to the project, but it only </w:t>
      </w:r>
      <w:r w:rsidRPr="00705A2D">
        <w:rPr>
          <w:sz w:val="20"/>
          <w:szCs w:val="24"/>
          <w:lang w:val="en-NZ" w:eastAsia="en-NZ"/>
        </w:rPr>
        <w:t>provides funding from one of the partners</w:t>
      </w:r>
      <w:r>
        <w:rPr>
          <w:sz w:val="20"/>
          <w:szCs w:val="24"/>
          <w:lang w:val="en-NZ" w:eastAsia="en-NZ"/>
        </w:rPr>
        <w:t xml:space="preserve"> (A Co). T</w:t>
      </w:r>
      <w:r w:rsidRPr="00705A2D">
        <w:rPr>
          <w:sz w:val="20"/>
          <w:szCs w:val="24"/>
          <w:lang w:val="en-NZ" w:eastAsia="en-NZ"/>
        </w:rPr>
        <w:t>here is no evidence that the arrangement was designed with the purpose of allowing all of the participants to provide funding in proportion to their interests in the project</w:t>
      </w:r>
      <w:r>
        <w:rPr>
          <w:sz w:val="20"/>
          <w:szCs w:val="24"/>
          <w:lang w:val="en-NZ" w:eastAsia="en-NZ"/>
        </w:rPr>
        <w:t>.</w:t>
      </w:r>
      <w:r w:rsidR="00292098">
        <w:rPr>
          <w:sz w:val="20"/>
          <w:szCs w:val="24"/>
          <w:lang w:val="en-NZ" w:eastAsia="en-NZ"/>
        </w:rPr>
        <w:t xml:space="preserve"> </w:t>
      </w:r>
      <w:r>
        <w:rPr>
          <w:sz w:val="20"/>
          <w:szCs w:val="24"/>
          <w:lang w:val="en-NZ" w:eastAsia="en-NZ"/>
        </w:rPr>
        <w:t>Further, rather than being a s</w:t>
      </w:r>
      <w:r w:rsidRPr="00705A2D">
        <w:rPr>
          <w:sz w:val="20"/>
          <w:szCs w:val="24"/>
          <w:lang w:val="en-NZ" w:eastAsia="en-NZ"/>
        </w:rPr>
        <w:t xml:space="preserve">ubstitute for partnership interest, </w:t>
      </w:r>
      <w:r>
        <w:rPr>
          <w:sz w:val="20"/>
          <w:szCs w:val="24"/>
          <w:lang w:val="en-NZ" w:eastAsia="en-NZ"/>
        </w:rPr>
        <w:t>the</w:t>
      </w:r>
      <w:r w:rsidRPr="00705A2D">
        <w:rPr>
          <w:sz w:val="20"/>
          <w:szCs w:val="24"/>
          <w:lang w:val="en-NZ" w:eastAsia="en-NZ"/>
        </w:rPr>
        <w:t xml:space="preserve"> convertible debt instrument is a substitute for </w:t>
      </w:r>
      <w:r>
        <w:rPr>
          <w:sz w:val="20"/>
          <w:szCs w:val="24"/>
          <w:lang w:val="en-NZ" w:eastAsia="en-NZ"/>
        </w:rPr>
        <w:t>the</w:t>
      </w:r>
      <w:r w:rsidRPr="00705A2D">
        <w:rPr>
          <w:sz w:val="20"/>
          <w:szCs w:val="24"/>
          <w:lang w:val="en-NZ" w:eastAsia="en-NZ"/>
        </w:rPr>
        <w:t xml:space="preserve"> letter</w:t>
      </w:r>
      <w:r>
        <w:rPr>
          <w:sz w:val="20"/>
          <w:szCs w:val="24"/>
          <w:lang w:val="en-NZ" w:eastAsia="en-NZ"/>
        </w:rPr>
        <w:t>s</w:t>
      </w:r>
      <w:r w:rsidRPr="00705A2D">
        <w:rPr>
          <w:sz w:val="20"/>
          <w:szCs w:val="24"/>
          <w:lang w:val="en-NZ" w:eastAsia="en-NZ"/>
        </w:rPr>
        <w:t xml:space="preserve"> of credit</w:t>
      </w:r>
      <w:r>
        <w:rPr>
          <w:sz w:val="20"/>
          <w:szCs w:val="24"/>
          <w:lang w:val="en-NZ" w:eastAsia="en-NZ"/>
        </w:rPr>
        <w:t xml:space="preserve"> provided by the other parties</w:t>
      </w:r>
      <w:r w:rsidRPr="00705A2D">
        <w:rPr>
          <w:sz w:val="20"/>
          <w:szCs w:val="24"/>
          <w:lang w:val="en-NZ" w:eastAsia="en-NZ"/>
        </w:rPr>
        <w:t xml:space="preserve">. </w:t>
      </w:r>
      <w:r>
        <w:rPr>
          <w:sz w:val="20"/>
          <w:szCs w:val="24"/>
          <w:lang w:val="en-NZ" w:eastAsia="en-NZ"/>
        </w:rPr>
        <w:t xml:space="preserve">As such, </w:t>
      </w:r>
      <w:r w:rsidRPr="00705A2D">
        <w:rPr>
          <w:sz w:val="20"/>
          <w:szCs w:val="24"/>
          <w:lang w:val="en-NZ" w:eastAsia="en-NZ"/>
        </w:rPr>
        <w:t xml:space="preserve">the </w:t>
      </w:r>
      <w:r>
        <w:rPr>
          <w:sz w:val="20"/>
          <w:szCs w:val="24"/>
          <w:lang w:val="en-NZ" w:eastAsia="en-NZ"/>
        </w:rPr>
        <w:t xml:space="preserve">convertible </w:t>
      </w:r>
      <w:r w:rsidRPr="00705A2D">
        <w:rPr>
          <w:sz w:val="20"/>
          <w:szCs w:val="24"/>
          <w:lang w:val="en-NZ" w:eastAsia="en-NZ"/>
        </w:rPr>
        <w:t>debt will not be public project participant debt.</w:t>
      </w:r>
    </w:p>
    <w:p w:rsidR="00705A2D" w:rsidRPr="00705A2D" w:rsidRDefault="00705A2D" w:rsidP="00705A2D">
      <w:pPr>
        <w:rPr>
          <w:szCs w:val="24"/>
          <w:lang w:val="en-NZ" w:eastAsia="en-NZ"/>
        </w:rPr>
      </w:pPr>
    </w:p>
    <w:p w:rsidR="00F15077" w:rsidRDefault="00F15077">
      <w:pPr>
        <w:jc w:val="left"/>
        <w:rPr>
          <w:b/>
          <w:i/>
          <w:szCs w:val="24"/>
          <w:lang w:val="en-NZ" w:eastAsia="en-NZ"/>
        </w:rPr>
      </w:pPr>
      <w:r>
        <w:rPr>
          <w:b/>
          <w:i/>
          <w:szCs w:val="24"/>
          <w:lang w:val="en-NZ" w:eastAsia="en-NZ"/>
        </w:rPr>
        <w:br w:type="page"/>
      </w:r>
    </w:p>
    <w:p w:rsidR="00705A2D" w:rsidRPr="00705A2D" w:rsidRDefault="00705A2D" w:rsidP="00705A2D">
      <w:pPr>
        <w:rPr>
          <w:b/>
          <w:i/>
          <w:szCs w:val="24"/>
          <w:lang w:val="en-NZ" w:eastAsia="en-NZ"/>
        </w:rPr>
      </w:pPr>
      <w:r w:rsidRPr="00705A2D">
        <w:rPr>
          <w:b/>
          <w:i/>
          <w:szCs w:val="24"/>
          <w:lang w:val="en-NZ" w:eastAsia="en-NZ"/>
        </w:rPr>
        <w:t xml:space="preserve">On-lent funds </w:t>
      </w:r>
    </w:p>
    <w:p w:rsidR="00705A2D" w:rsidRPr="00705A2D" w:rsidRDefault="00705A2D" w:rsidP="00F15077">
      <w:pPr>
        <w:rPr>
          <w:lang w:val="en-NZ" w:eastAsia="en-NZ"/>
        </w:rPr>
      </w:pPr>
    </w:p>
    <w:p w:rsidR="00705A2D" w:rsidRPr="00705A2D" w:rsidRDefault="00705A2D" w:rsidP="00705A2D">
      <w:pPr>
        <w:rPr>
          <w:szCs w:val="24"/>
          <w:lang w:val="en-NZ" w:eastAsia="en-NZ"/>
        </w:rPr>
      </w:pPr>
      <w:r w:rsidRPr="00705A2D">
        <w:rPr>
          <w:szCs w:val="24"/>
          <w:lang w:val="en-NZ" w:eastAsia="en-NZ"/>
        </w:rPr>
        <w:t xml:space="preserve">A loan will not be considered public project debt if it is on-lent to a third party, unless that on-lending is simply </w:t>
      </w:r>
      <w:r w:rsidR="000602C9">
        <w:rPr>
          <w:szCs w:val="24"/>
          <w:lang w:val="en-NZ" w:eastAsia="en-NZ"/>
        </w:rPr>
        <w:t xml:space="preserve">due to </w:t>
      </w:r>
      <w:r w:rsidRPr="00705A2D">
        <w:rPr>
          <w:szCs w:val="24"/>
          <w:lang w:val="en-NZ" w:eastAsia="en-NZ"/>
        </w:rPr>
        <w:t>a delay in the application of the funds to the project. This is to prevent an excess debt entity that has an interest in an eligible infrastructure project from taking on more debt than is necessary for the project and applying that debt to a separate project, while still getting the benefit of these measures.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Depositing funds from a loan with a financial institution will generally be a delay in the application of funds to a project, unless it is intended that those funds will</w:t>
      </w:r>
      <w:r w:rsidR="00F15077">
        <w:rPr>
          <w:szCs w:val="24"/>
          <w:lang w:val="en-NZ" w:eastAsia="en-NZ"/>
        </w:rPr>
        <w:t xml:space="preserve"> not be applied to the project.</w:t>
      </w: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Unrestricted debt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 xml:space="preserve">Unrestricted debt, defined in section </w:t>
      </w:r>
      <w:r w:rsidRPr="004E782E">
        <w:rPr>
          <w:szCs w:val="24"/>
          <w:lang w:val="en-NZ" w:eastAsia="en-NZ"/>
        </w:rPr>
        <w:t>FE 7B(4)(</w:t>
      </w:r>
      <w:r w:rsidR="000602C9">
        <w:rPr>
          <w:szCs w:val="24"/>
          <w:lang w:val="en-NZ" w:eastAsia="en-NZ"/>
        </w:rPr>
        <w:t>c</w:t>
      </w:r>
      <w:r w:rsidRPr="004E782E">
        <w:rPr>
          <w:szCs w:val="24"/>
          <w:lang w:val="en-NZ" w:eastAsia="en-NZ"/>
        </w:rPr>
        <w:t>),</w:t>
      </w:r>
      <w:r w:rsidRPr="00705A2D">
        <w:rPr>
          <w:szCs w:val="24"/>
          <w:lang w:val="en-NZ" w:eastAsia="en-NZ"/>
        </w:rPr>
        <w:t xml:space="preserve"> is public project debt that does not meet the definition of “public project participant debt” that is made on terms that give the creditor recourse that is not limited to the project. Recourse over public project assets, income derived from those assets and ownership interests in entities that </w:t>
      </w:r>
      <w:r w:rsidR="000602C9">
        <w:rPr>
          <w:szCs w:val="24"/>
          <w:lang w:val="en-NZ" w:eastAsia="en-NZ"/>
        </w:rPr>
        <w:t xml:space="preserve">are </w:t>
      </w:r>
      <w:r w:rsidRPr="00705A2D">
        <w:rPr>
          <w:szCs w:val="24"/>
          <w:lang w:val="en-NZ" w:eastAsia="en-NZ"/>
        </w:rPr>
        <w:t xml:space="preserve">only involved in the infrastructure project will be recourse that is limited to the project. Unrestricted debt is not intended to </w:t>
      </w:r>
      <w:r w:rsidR="000602C9">
        <w:rPr>
          <w:szCs w:val="24"/>
          <w:lang w:val="en-NZ" w:eastAsia="en-NZ"/>
        </w:rPr>
        <w:t xml:space="preserve">receive </w:t>
      </w:r>
      <w:r w:rsidRPr="00705A2D">
        <w:rPr>
          <w:szCs w:val="24"/>
          <w:lang w:val="en-NZ" w:eastAsia="en-NZ"/>
        </w:rPr>
        <w:t>the benefit of this concessionary rule.</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 xml:space="preserve">“Public project participant debt” is excluded from this definition to ensure that debt that meets both definitions does not have its interest deductions denied twice, as well as ensuring that an excess debt entity is still allowed an amount of debt that meets the threshold debt amount provided by the ordinary thin capitalisation rules. This principle is illustrated in Example </w:t>
      </w:r>
      <w:r w:rsidR="000602C9">
        <w:rPr>
          <w:szCs w:val="24"/>
          <w:lang w:val="en-NZ" w:eastAsia="en-NZ"/>
        </w:rPr>
        <w:t>Fourteen</w:t>
      </w:r>
      <w:r w:rsidRPr="00705A2D">
        <w:rPr>
          <w:szCs w:val="24"/>
          <w:lang w:val="en-NZ" w:eastAsia="en-NZ"/>
        </w:rPr>
        <w: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b/>
          <w:sz w:val="20"/>
          <w:szCs w:val="24"/>
          <w:lang w:val="en-NZ" w:eastAsia="en-NZ"/>
        </w:rPr>
      </w:pPr>
      <w:r w:rsidRPr="00705A2D">
        <w:rPr>
          <w:b/>
          <w:sz w:val="20"/>
          <w:szCs w:val="24"/>
          <w:lang w:val="en-NZ" w:eastAsia="en-NZ"/>
        </w:rPr>
        <w:t xml:space="preserve">Example </w:t>
      </w:r>
      <w:r w:rsidR="00507AB5">
        <w:rPr>
          <w:b/>
          <w:sz w:val="20"/>
          <w:szCs w:val="24"/>
          <w:lang w:val="en-NZ" w:eastAsia="en-NZ"/>
        </w:rPr>
        <w:t>16</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X Co, Y Co and Z Co are all foreign companies and are the only shareholders in XYZ Co, a company incorporated in New Zealand. X Co is a majority shareholder with 60% ownership interest, while Y Co and Z Co each have a 20% ownership interest. XYZ Co entered into a cont</w:t>
      </w:r>
      <w:r w:rsidR="000602C9">
        <w:rPr>
          <w:sz w:val="20"/>
          <w:szCs w:val="24"/>
          <w:lang w:val="en-NZ" w:eastAsia="en-NZ"/>
        </w:rPr>
        <w:t>ract with the New Zealand G</w:t>
      </w:r>
      <w:r w:rsidRPr="00705A2D">
        <w:rPr>
          <w:sz w:val="20"/>
          <w:szCs w:val="24"/>
          <w:lang w:val="en-NZ" w:eastAsia="en-NZ"/>
        </w:rPr>
        <w:t xml:space="preserve">overnment to provide and maintain an asset for </w:t>
      </w:r>
      <w:r w:rsidR="000602C9">
        <w:rPr>
          <w:sz w:val="20"/>
          <w:szCs w:val="24"/>
          <w:lang w:val="en-NZ" w:eastAsia="en-NZ"/>
        </w:rPr>
        <w:t xml:space="preserve">a </w:t>
      </w:r>
      <w:r w:rsidR="00F15077">
        <w:rPr>
          <w:sz w:val="20"/>
          <w:szCs w:val="24"/>
          <w:lang w:val="en-NZ" w:eastAsia="en-NZ"/>
        </w:rPr>
        <w:t>20 year period.</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In order to carry out the project, XYZ Co required $100 million. All three partners contributed $5 million of equity. XYZ Co also secured a loan from Bank Co of $50 million with an interest rate of 10% p.a. This loan only has recourse against assets and income associated with the project.</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XYZ Co also secured a separate loan from Bank Co of $20 million with an interest rate of 5% p.a. This loan had a lower interest rate because it was on terms that gave Bank Co recourse over specific assets held by the shareholders of XYZ Co. As this item of debt gave Bank Co recourse that was not limited to the project, it will meet the d</w:t>
      </w:r>
      <w:r w:rsidR="00F15077">
        <w:rPr>
          <w:sz w:val="20"/>
          <w:szCs w:val="24"/>
          <w:lang w:val="en-NZ" w:eastAsia="en-NZ"/>
        </w:rPr>
        <w:t>efinition of unrestricted debt.</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The final $15 million is provided by X Co, Y Co and Z Co in proportion to their ownership interest by way of loans to XYZ Co with an interest rate of 15% p.a. These loans meet the definition of p</w:t>
      </w:r>
      <w:r w:rsidR="00F15077">
        <w:rPr>
          <w:sz w:val="20"/>
          <w:szCs w:val="24"/>
          <w:lang w:val="en-NZ" w:eastAsia="en-NZ"/>
        </w:rPr>
        <w:t>ublic project participant debt.</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Over the course of the first year of the project, XYZ Co spends all of the $100 million on constructing</w:t>
      </w:r>
      <w:r w:rsidR="000602C9">
        <w:rPr>
          <w:sz w:val="20"/>
          <w:szCs w:val="24"/>
          <w:lang w:val="en-NZ" w:eastAsia="en-NZ"/>
        </w:rPr>
        <w:t xml:space="preserve"> the asset for the New Zealand G</w:t>
      </w:r>
      <w:r w:rsidRPr="00705A2D">
        <w:rPr>
          <w:sz w:val="20"/>
          <w:szCs w:val="24"/>
          <w:lang w:val="en-NZ" w:eastAsia="en-NZ"/>
        </w:rPr>
        <w:t>overnment. XYZ Co has a $110 million asset in its financial statements, which incorporates the present value of the expected payments from the New Zealand government over the next 20 years.</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For the purpose of s</w:t>
      </w:r>
      <w:r w:rsidR="004E782E">
        <w:rPr>
          <w:sz w:val="20"/>
          <w:szCs w:val="24"/>
          <w:lang w:val="en-NZ" w:eastAsia="en-NZ"/>
        </w:rPr>
        <w:t>ection</w:t>
      </w:r>
      <w:r w:rsidRPr="00705A2D">
        <w:rPr>
          <w:sz w:val="20"/>
          <w:szCs w:val="24"/>
          <w:lang w:val="en-NZ" w:eastAsia="en-NZ"/>
        </w:rPr>
        <w:t xml:space="preserve"> FE 7B, XYZ Co has a debt percentage of 77% (85 ÷ 110)</w:t>
      </w:r>
      <w:r w:rsidR="004E782E">
        <w:rPr>
          <w:sz w:val="20"/>
          <w:szCs w:val="24"/>
          <w:lang w:val="en-NZ" w:eastAsia="en-NZ"/>
        </w:rPr>
        <w:t>, assuming no non-debt liabilities for simplicity</w:t>
      </w:r>
      <w:r w:rsidRPr="00705A2D">
        <w:rPr>
          <w:sz w:val="20"/>
          <w:szCs w:val="24"/>
          <w:lang w:val="en-NZ" w:eastAsia="en-NZ"/>
        </w:rPr>
        <w:t xml:space="preserve">. In addition, XYZ Co has a worldwide group debt percentage of 50%. This means that it will have to apply the apportionment formula in </w:t>
      </w:r>
      <w:r w:rsidR="004E782E">
        <w:rPr>
          <w:sz w:val="20"/>
          <w:szCs w:val="24"/>
          <w:lang w:val="en-NZ" w:eastAsia="en-NZ"/>
        </w:rPr>
        <w:t xml:space="preserve">section </w:t>
      </w:r>
      <w:r w:rsidRPr="00705A2D">
        <w:rPr>
          <w:sz w:val="20"/>
          <w:szCs w:val="24"/>
          <w:lang w:val="en-NZ" w:eastAsia="en-NZ"/>
        </w:rPr>
        <w:t>FE 7B(3).</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For the purpose of th</w:t>
      </w:r>
      <w:r w:rsidR="000602C9">
        <w:rPr>
          <w:sz w:val="20"/>
          <w:szCs w:val="24"/>
          <w:lang w:val="en-NZ" w:eastAsia="en-NZ"/>
        </w:rPr>
        <w:t>e apportionment</w:t>
      </w:r>
      <w:r w:rsidRPr="00705A2D">
        <w:rPr>
          <w:sz w:val="20"/>
          <w:szCs w:val="24"/>
          <w:lang w:val="en-NZ" w:eastAsia="en-NZ"/>
        </w:rPr>
        <w:t xml:space="preserve"> formula, the value of public project participant (</w:t>
      </w:r>
      <w:r w:rsidR="000602C9">
        <w:rPr>
          <w:sz w:val="20"/>
          <w:szCs w:val="24"/>
          <w:lang w:val="en-NZ" w:eastAsia="en-NZ"/>
        </w:rPr>
        <w:t>member</w:t>
      </w:r>
      <w:r w:rsidRPr="00705A2D">
        <w:rPr>
          <w:sz w:val="20"/>
          <w:szCs w:val="24"/>
          <w:lang w:val="en-NZ" w:eastAsia="en-NZ"/>
        </w:rPr>
        <w:t xml:space="preserve">) debt is $15 million and </w:t>
      </w:r>
      <w:r w:rsidR="000602C9">
        <w:rPr>
          <w:sz w:val="20"/>
          <w:szCs w:val="24"/>
          <w:lang w:val="en-NZ" w:eastAsia="en-NZ"/>
        </w:rPr>
        <w:t xml:space="preserve">member </w:t>
      </w:r>
      <w:r w:rsidRPr="00705A2D">
        <w:rPr>
          <w:sz w:val="20"/>
          <w:szCs w:val="24"/>
          <w:lang w:val="en-NZ" w:eastAsia="en-NZ"/>
        </w:rPr>
        <w:t xml:space="preserve">interest is $2.25 million. </w:t>
      </w:r>
      <w:r w:rsidR="004E782E">
        <w:rPr>
          <w:sz w:val="20"/>
          <w:szCs w:val="24"/>
          <w:lang w:val="en-NZ" w:eastAsia="en-NZ"/>
        </w:rPr>
        <w:t>Member</w:t>
      </w:r>
      <w:r w:rsidRPr="00705A2D">
        <w:rPr>
          <w:sz w:val="20"/>
          <w:szCs w:val="24"/>
          <w:lang w:val="en-NZ" w:eastAsia="en-NZ"/>
        </w:rPr>
        <w:t xml:space="preserve"> excess is $15 million, because the amount of public project debt that is not public project participant debt is $70 million and the threshold debt amount is $66 million ($110 million x 60%).</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0602C9" w:rsidP="00705A2D">
      <w:pPr>
        <w:pBdr>
          <w:top w:val="single" w:sz="4" w:space="11" w:color="auto"/>
          <w:left w:val="single" w:sz="4" w:space="10" w:color="auto"/>
          <w:bottom w:val="single" w:sz="4" w:space="10" w:color="auto"/>
          <w:right w:val="single" w:sz="4" w:space="10" w:color="auto"/>
        </w:pBdr>
        <w:rPr>
          <w:sz w:val="20"/>
          <w:szCs w:val="24"/>
          <w:lang w:val="en-NZ" w:eastAsia="en-NZ"/>
        </w:rPr>
      </w:pPr>
      <w:r>
        <w:rPr>
          <w:sz w:val="20"/>
          <w:szCs w:val="24"/>
          <w:lang w:val="en-NZ" w:eastAsia="en-NZ"/>
        </w:rPr>
        <w:t>Unrestricted</w:t>
      </w:r>
      <w:r w:rsidR="00705A2D" w:rsidRPr="00705A2D">
        <w:rPr>
          <w:sz w:val="20"/>
          <w:szCs w:val="24"/>
          <w:lang w:val="en-NZ" w:eastAsia="en-NZ"/>
        </w:rPr>
        <w:t xml:space="preserve"> debt is $20 million and </w:t>
      </w:r>
      <w:r>
        <w:rPr>
          <w:sz w:val="20"/>
          <w:szCs w:val="24"/>
          <w:lang w:val="en-NZ" w:eastAsia="en-NZ"/>
        </w:rPr>
        <w:t xml:space="preserve">unrestricted </w:t>
      </w:r>
      <w:r w:rsidR="00705A2D" w:rsidRPr="00705A2D">
        <w:rPr>
          <w:sz w:val="20"/>
          <w:szCs w:val="24"/>
          <w:lang w:val="en-NZ" w:eastAsia="en-NZ"/>
        </w:rPr>
        <w:t xml:space="preserve">interest on this debt is $1 million. </w:t>
      </w:r>
      <w:r>
        <w:rPr>
          <w:sz w:val="20"/>
          <w:szCs w:val="24"/>
          <w:lang w:val="en-NZ" w:eastAsia="en-NZ"/>
        </w:rPr>
        <w:t xml:space="preserve">Unrestricted </w:t>
      </w:r>
      <w:r w:rsidR="00705A2D" w:rsidRPr="00705A2D">
        <w:rPr>
          <w:sz w:val="20"/>
          <w:szCs w:val="24"/>
          <w:lang w:val="en-NZ" w:eastAsia="en-NZ"/>
        </w:rPr>
        <w:t xml:space="preserve">excess will not be the whole amount of the </w:t>
      </w:r>
      <w:r>
        <w:rPr>
          <w:sz w:val="20"/>
          <w:szCs w:val="24"/>
          <w:lang w:val="en-NZ" w:eastAsia="en-NZ"/>
        </w:rPr>
        <w:t xml:space="preserve">unrestricted </w:t>
      </w:r>
      <w:r w:rsidR="00705A2D" w:rsidRPr="00705A2D">
        <w:rPr>
          <w:sz w:val="20"/>
          <w:szCs w:val="24"/>
          <w:lang w:val="en-NZ" w:eastAsia="en-NZ"/>
        </w:rPr>
        <w:t xml:space="preserve">debt however, as the amount of public project debt that is not either public project participant debt or recourse debt is $50 million, which is less than the threshold debt amount of $66 million. The amount of </w:t>
      </w:r>
      <w:r>
        <w:rPr>
          <w:sz w:val="20"/>
          <w:szCs w:val="24"/>
          <w:lang w:val="en-NZ" w:eastAsia="en-NZ"/>
        </w:rPr>
        <w:t xml:space="preserve">unrestricted </w:t>
      </w:r>
      <w:r w:rsidR="00705A2D" w:rsidRPr="00705A2D">
        <w:rPr>
          <w:sz w:val="20"/>
          <w:szCs w:val="24"/>
          <w:lang w:val="en-NZ" w:eastAsia="en-NZ"/>
        </w:rPr>
        <w:t>excess is instead $4 million, which is the amount that the public project debt that is not public project participant debt ($70 million) exceeds the threshold deb</w:t>
      </w:r>
      <w:r>
        <w:rPr>
          <w:sz w:val="20"/>
          <w:szCs w:val="24"/>
          <w:lang w:val="en-NZ" w:eastAsia="en-NZ"/>
        </w:rPr>
        <w:t>t</w:t>
      </w:r>
      <w:r w:rsidR="00705A2D" w:rsidRPr="00705A2D">
        <w:rPr>
          <w:sz w:val="20"/>
          <w:szCs w:val="24"/>
          <w:lang w:val="en-NZ" w:eastAsia="en-NZ"/>
        </w:rPr>
        <w:t xml:space="preserve"> amount.</w:t>
      </w: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p>
    <w:p w:rsidR="00705A2D" w:rsidRPr="00705A2D" w:rsidRDefault="00705A2D" w:rsidP="00705A2D">
      <w:pPr>
        <w:pBdr>
          <w:top w:val="single" w:sz="4" w:space="11" w:color="auto"/>
          <w:left w:val="single" w:sz="4" w:space="10" w:color="auto"/>
          <w:bottom w:val="single" w:sz="4" w:space="10" w:color="auto"/>
          <w:right w:val="single" w:sz="4" w:space="10" w:color="auto"/>
        </w:pBdr>
        <w:rPr>
          <w:sz w:val="20"/>
          <w:szCs w:val="24"/>
          <w:lang w:val="en-NZ" w:eastAsia="en-NZ"/>
        </w:rPr>
      </w:pPr>
      <w:r w:rsidRPr="00705A2D">
        <w:rPr>
          <w:sz w:val="20"/>
          <w:szCs w:val="24"/>
          <w:lang w:val="en-NZ" w:eastAsia="en-NZ"/>
        </w:rPr>
        <w:t>The result of the formula will be ($1 million × $4 million ÷ $20 million) + ($ 2.25 million × $15 million ÷ $15 million) = $2.45 million of income derived by XYZ Co.</w:t>
      </w:r>
    </w:p>
    <w:p w:rsidR="00705A2D" w:rsidRPr="00705A2D" w:rsidRDefault="00705A2D" w:rsidP="00705A2D">
      <w:pPr>
        <w:rPr>
          <w:szCs w:val="24"/>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Disposing of interest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Section FE 4B(1)(b) provides that public project assets must not be able to be disposed of within 10 years from the beginning of the contract, unless it is to the Crown, a public authority, or another person performing the contract. By allowing public project assets to be disposed of to “another person performing the project”, it is intended that an investor in an eligible infrastructure project will be able to dispose of their investment to a separate investor who will step into their shoes.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The intent of this provision is to ensure that the concessionary rules will only apply to projects that cannot be abandoned at the discretion of the private investor(s). It is not intended to prevent an investor from disposing of its interest in the project to a third party that intends to carry on the original investor’s obligations under the project contract.</w:t>
      </w:r>
    </w:p>
    <w:p w:rsidR="00705A2D" w:rsidRPr="00705A2D" w:rsidRDefault="00705A2D" w:rsidP="00F15077">
      <w:pPr>
        <w:rPr>
          <w:lang w:val="en-NZ" w:eastAsia="en-NZ"/>
        </w:rPr>
      </w:pPr>
    </w:p>
    <w:p w:rsidR="00705A2D" w:rsidRPr="00705A2D" w:rsidRDefault="00705A2D" w:rsidP="00705A2D">
      <w:pPr>
        <w:keepNext/>
        <w:outlineLvl w:val="2"/>
        <w:rPr>
          <w:b/>
          <w:i/>
          <w:szCs w:val="24"/>
          <w:lang w:val="en-NZ" w:eastAsia="en-NZ"/>
        </w:rPr>
      </w:pPr>
      <w:r w:rsidRPr="00705A2D">
        <w:rPr>
          <w:b/>
          <w:i/>
          <w:szCs w:val="24"/>
          <w:lang w:val="en-NZ" w:eastAsia="en-NZ"/>
        </w:rPr>
        <w:t>Scope of exemption</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Section FE 7B(1) provides that this exemption will only apply to entities controlled by a single non-resident, partnerships, and New Zealand resident entities subject to the outbound thin capitalisation rules.</w:t>
      </w:r>
      <w:r w:rsidR="00292098">
        <w:rPr>
          <w:szCs w:val="24"/>
          <w:lang w:val="en-NZ" w:eastAsia="en-NZ"/>
        </w:rPr>
        <w:t xml:space="preserve"> </w:t>
      </w:r>
      <w:r w:rsidRPr="00705A2D">
        <w:rPr>
          <w:szCs w:val="24"/>
          <w:lang w:val="en-NZ" w:eastAsia="en-NZ"/>
        </w:rPr>
        <w:t>A similar exemption already applies (in effect) where a separate entity is controlled by a group of non-residents.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 xml:space="preserve">Where a person has an interest in more than one eligible infrastructure project, each project will be treated separately under section FE 7B(5). This bifurcation will prevent the debt that is related to one infrastructure project that is denied a deduction from </w:t>
      </w:r>
      <w:r w:rsidR="00F15077">
        <w:rPr>
          <w:szCs w:val="24"/>
          <w:lang w:val="en-NZ" w:eastAsia="en-NZ"/>
        </w:rPr>
        <w:t>mixing with a low debt project.</w:t>
      </w:r>
    </w:p>
    <w:p w:rsidR="00705A2D" w:rsidRPr="00705A2D" w:rsidRDefault="00705A2D" w:rsidP="00705A2D">
      <w:pPr>
        <w:rPr>
          <w:szCs w:val="24"/>
          <w:lang w:val="en-NZ" w:eastAsia="en-NZ"/>
        </w:rPr>
      </w:pPr>
    </w:p>
    <w:p w:rsidR="00705A2D" w:rsidRPr="00705A2D" w:rsidRDefault="00705A2D" w:rsidP="00705A2D">
      <w:pPr>
        <w:rPr>
          <w:b/>
          <w:i/>
          <w:szCs w:val="24"/>
          <w:lang w:val="en-NZ" w:eastAsia="en-NZ"/>
        </w:rPr>
      </w:pPr>
      <w:r w:rsidRPr="00705A2D">
        <w:rPr>
          <w:b/>
          <w:i/>
          <w:szCs w:val="24"/>
          <w:lang w:val="en-NZ" w:eastAsia="en-NZ"/>
        </w:rPr>
        <w:t>Option of applying the rule</w:t>
      </w:r>
    </w:p>
    <w:p w:rsidR="00705A2D" w:rsidRPr="00705A2D" w:rsidRDefault="00705A2D" w:rsidP="00705A2D">
      <w:pPr>
        <w:rPr>
          <w:b/>
          <w:i/>
          <w:szCs w:val="24"/>
          <w:lang w:val="en-NZ" w:eastAsia="en-NZ"/>
        </w:rPr>
      </w:pPr>
    </w:p>
    <w:p w:rsidR="00705A2D" w:rsidRPr="00705A2D" w:rsidRDefault="00705A2D" w:rsidP="00705A2D">
      <w:pPr>
        <w:rPr>
          <w:szCs w:val="24"/>
          <w:lang w:val="en-NZ" w:eastAsia="en-NZ"/>
        </w:rPr>
      </w:pPr>
      <w:r w:rsidRPr="00705A2D">
        <w:rPr>
          <w:szCs w:val="24"/>
          <w:lang w:val="en-NZ" w:eastAsia="en-NZ"/>
        </w:rPr>
        <w:t>Each excess debt entity that is required to apply the thin capitalisation rules in relation to public project debt has the choice of whether to apply the ordinary thin capitalisation rules, or to apply the special rules for eligible infrastructure projects.</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Section FE 7B(1)(c) allows an excess debt entity to choose whether or not they want to apply the concessionary rule. An election to apply the concessionary rule must be made at the time that the excess debt entity is first able to apply the concessionary rule to public project debt associated with the project.</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 xml:space="preserve">Once an election is made to apply the concessionary rule to a project, the excess debt entity must continue to use that approach for the life of the project. If an excess debt entity applies the ordinary thin capitalisation rules to the first calculation for public project debt that relates to the project, then that entity will be unable to utilise the concessionary rule. However, if the concessionary rule </w:t>
      </w:r>
      <w:r w:rsidR="000602C9">
        <w:rPr>
          <w:szCs w:val="24"/>
          <w:lang w:val="en-NZ" w:eastAsia="en-NZ"/>
        </w:rPr>
        <w:t>wa</w:t>
      </w:r>
      <w:r w:rsidRPr="00705A2D">
        <w:rPr>
          <w:szCs w:val="24"/>
          <w:lang w:val="en-NZ" w:eastAsia="en-NZ"/>
        </w:rPr>
        <w:t>s not in place before the first time in which the thin capitalisation rules are applied to the project, then the concessionary rule can still be applied to the project after the application date for the rule.</w:t>
      </w:r>
    </w:p>
    <w:p w:rsidR="00705A2D" w:rsidRPr="00705A2D" w:rsidRDefault="00705A2D" w:rsidP="00705A2D">
      <w:pPr>
        <w:rPr>
          <w:szCs w:val="24"/>
          <w:lang w:val="en-NZ" w:eastAsia="en-NZ"/>
        </w:rPr>
      </w:pPr>
    </w:p>
    <w:p w:rsidR="00705A2D" w:rsidRPr="00705A2D" w:rsidRDefault="00705A2D" w:rsidP="00705A2D">
      <w:pPr>
        <w:rPr>
          <w:szCs w:val="24"/>
          <w:lang w:val="en-NZ" w:eastAsia="en-NZ"/>
        </w:rPr>
      </w:pPr>
      <w:r w:rsidRPr="00705A2D">
        <w:rPr>
          <w:szCs w:val="24"/>
          <w:lang w:val="en-NZ" w:eastAsia="en-NZ"/>
        </w:rPr>
        <w:t>Each excess debt entity that is applying the thin capitalisation rules for a specific infrastructure project will be able to make its own election. In addition, if an excess debt entity disposes of its interest in an eligible infrastructure project to a new investor, that new investor will have the opportunity to make an election at the time in which it is first required to make a thin capitalisation calculation that relates to the project.</w:t>
      </w:r>
    </w:p>
    <w:sectPr w:rsidR="00705A2D" w:rsidRPr="00705A2D" w:rsidSect="00A06DB2">
      <w:headerReference w:type="default" r:id="rId24"/>
      <w:footerReference w:type="default" r:id="rId25"/>
      <w:footerReference w:type="first" r:id="rId26"/>
      <w:pgSz w:w="11906" w:h="16838" w:code="9"/>
      <w:pgMar w:top="1304" w:right="1797" w:bottom="1134"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A05" w:rsidRDefault="00076A05">
      <w:r>
        <w:separator/>
      </w:r>
    </w:p>
  </w:endnote>
  <w:endnote w:type="continuationSeparator" w:id="0">
    <w:p w:rsidR="00076A05" w:rsidRDefault="0007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583280"/>
      <w:docPartObj>
        <w:docPartGallery w:val="Page Numbers (Bottom of Page)"/>
        <w:docPartUnique/>
      </w:docPartObj>
    </w:sdtPr>
    <w:sdtEndPr>
      <w:rPr>
        <w:noProof/>
      </w:rPr>
    </w:sdtEndPr>
    <w:sdtContent>
      <w:p w:rsidR="00076A05" w:rsidRPr="00416D20" w:rsidRDefault="00076A05" w:rsidP="00416D20">
        <w:pPr>
          <w:pStyle w:val="Footer"/>
        </w:pPr>
        <w:r>
          <w:fldChar w:fldCharType="begin"/>
        </w:r>
        <w:r>
          <w:instrText xml:space="preserve"> PAGE   \* MERGEFORMAT </w:instrText>
        </w:r>
        <w:r>
          <w:fldChar w:fldCharType="separate"/>
        </w:r>
        <w:r w:rsidR="005F19D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B2" w:rsidRDefault="00A06DB2" w:rsidP="00A06DB2">
    <w:pPr>
      <w:jc w:val="center"/>
    </w:pPr>
    <w:r>
      <w:rPr>
        <w:rStyle w:val="PageNumber"/>
      </w:rPr>
      <w:fldChar w:fldCharType="begin"/>
    </w:r>
    <w:r>
      <w:rPr>
        <w:rStyle w:val="PageNumber"/>
      </w:rPr>
      <w:instrText xml:space="preserve"> PAGE </w:instrText>
    </w:r>
    <w:r>
      <w:rPr>
        <w:rStyle w:val="PageNumber"/>
      </w:rPr>
      <w:fldChar w:fldCharType="separate"/>
    </w:r>
    <w:r w:rsidR="005F19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A05" w:rsidRDefault="00076A05">
      <w:r>
        <w:separator/>
      </w:r>
    </w:p>
  </w:footnote>
  <w:footnote w:type="continuationSeparator" w:id="0">
    <w:p w:rsidR="00076A05" w:rsidRDefault="00076A05">
      <w:r>
        <w:continuationSeparator/>
      </w:r>
    </w:p>
  </w:footnote>
  <w:footnote w:id="1">
    <w:p w:rsidR="00076A05" w:rsidRPr="00536B30" w:rsidRDefault="00076A05">
      <w:pPr>
        <w:pStyle w:val="FootnoteText"/>
        <w:rPr>
          <w:lang w:val="en-NZ"/>
        </w:rPr>
      </w:pPr>
      <w:r>
        <w:rPr>
          <w:rStyle w:val="FootnoteReference"/>
        </w:rPr>
        <w:footnoteRef/>
      </w:r>
      <w:r>
        <w:t xml:space="preserve"> “</w:t>
      </w:r>
      <w:r>
        <w:rPr>
          <w:lang w:val="en-NZ"/>
        </w:rPr>
        <w:t xml:space="preserve">Significant” is not a term used in the legislation, but is discussed in the next paragraph. </w:t>
      </w:r>
    </w:p>
  </w:footnote>
  <w:footnote w:id="2">
    <w:p w:rsidR="00076A05" w:rsidRPr="00C71BCE" w:rsidRDefault="00076A05">
      <w:pPr>
        <w:pStyle w:val="FootnoteText"/>
        <w:rPr>
          <w:lang w:val="en-NZ"/>
        </w:rPr>
      </w:pPr>
      <w:r>
        <w:rPr>
          <w:rStyle w:val="FootnoteReference"/>
        </w:rPr>
        <w:footnoteRef/>
      </w:r>
      <w:r>
        <w:t xml:space="preserve"> Taxpayers are only required to calculate whether they comply with thin capitalisation on their measurement dates which, under section FE 8, can be daily, 3-monthly or annually. Most taxpayers choose to have an annual measurement date.</w:t>
      </w:r>
    </w:p>
  </w:footnote>
  <w:footnote w:id="3">
    <w:p w:rsidR="00076A05" w:rsidRPr="000429F8" w:rsidRDefault="00076A05" w:rsidP="00192B65">
      <w:pPr>
        <w:pStyle w:val="FootnoteText"/>
        <w:rPr>
          <w:lang w:val="en-NZ"/>
        </w:rPr>
      </w:pPr>
      <w:r>
        <w:rPr>
          <w:rStyle w:val="FootnoteReference"/>
        </w:rPr>
        <w:footnoteRef/>
      </w:r>
      <w:r>
        <w:t xml:space="preserve"> </w:t>
      </w:r>
      <w:r>
        <w:rPr>
          <w:i/>
          <w:lang w:val="en-NZ"/>
        </w:rPr>
        <w:t xml:space="preserve">OECD Transfer Pricing Guidelines for Multinational Enterprises and Tax Administrations </w:t>
      </w:r>
      <w:r>
        <w:rPr>
          <w:lang w:val="en-NZ"/>
        </w:rPr>
        <w:t>2017.</w:t>
      </w:r>
    </w:p>
  </w:footnote>
  <w:footnote w:id="4">
    <w:p w:rsidR="00076A05" w:rsidRPr="00D41102" w:rsidRDefault="00076A05">
      <w:pPr>
        <w:pStyle w:val="FootnoteText"/>
        <w:rPr>
          <w:lang w:val="en-NZ"/>
        </w:rPr>
      </w:pPr>
      <w:r>
        <w:rPr>
          <w:rStyle w:val="FootnoteReference"/>
        </w:rPr>
        <w:footnoteRef/>
      </w:r>
      <w:r>
        <w:t xml:space="preserve"> </w:t>
      </w:r>
      <w:r>
        <w:rPr>
          <w:lang w:val="en-NZ"/>
        </w:rPr>
        <w:t>For simplicity for the purpose of this example disregard the $10 million de minimis in GC 18(2)(a).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54289"/>
      <w:docPartObj>
        <w:docPartGallery w:val="Watermarks"/>
        <w:docPartUnique/>
      </w:docPartObj>
    </w:sdtPr>
    <w:sdtEndPr/>
    <w:sdtContent>
      <w:p w:rsidR="00E343E1" w:rsidRDefault="00CF22B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CBA"/>
    <w:multiLevelType w:val="hybridMultilevel"/>
    <w:tmpl w:val="1C2ACBEA"/>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29654E"/>
    <w:multiLevelType w:val="hybridMultilevel"/>
    <w:tmpl w:val="72F6D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3" w15:restartNumberingAfterBreak="0">
    <w:nsid w:val="1B316CF2"/>
    <w:multiLevelType w:val="hybridMultilevel"/>
    <w:tmpl w:val="EF9E2B62"/>
    <w:lvl w:ilvl="0" w:tplc="14090001">
      <w:start w:val="1"/>
      <w:numFmt w:val="bullet"/>
      <w:lvlText w:val=""/>
      <w:lvlJc w:val="left"/>
      <w:pPr>
        <w:ind w:left="720" w:hanging="360"/>
      </w:pPr>
      <w:rPr>
        <w:rFonts w:ascii="Symbol" w:hAnsi="Symbol" w:hint="default"/>
      </w:rPr>
    </w:lvl>
    <w:lvl w:ilvl="1" w:tplc="EACAE7B4">
      <w:start w:val="3630"/>
      <w:numFmt w:val="bullet"/>
      <w:lvlText w:val="–"/>
      <w:lvlJc w:val="left"/>
      <w:pPr>
        <w:ind w:left="1440" w:hanging="360"/>
      </w:pPr>
      <w:rPr>
        <w:rFonts w:ascii="Times New Roman" w:hAnsi="Times New Roman"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F7B6F10"/>
    <w:multiLevelType w:val="hybridMultilevel"/>
    <w:tmpl w:val="09AC8D5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F3B0B"/>
    <w:multiLevelType w:val="hybridMultilevel"/>
    <w:tmpl w:val="C9B827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9"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11"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12" w15:restartNumberingAfterBreak="0">
    <w:nsid w:val="415B0018"/>
    <w:multiLevelType w:val="hybridMultilevel"/>
    <w:tmpl w:val="6A1A0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7D7C2B"/>
    <w:multiLevelType w:val="hybridMultilevel"/>
    <w:tmpl w:val="9F920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C6472F"/>
    <w:multiLevelType w:val="hybridMultilevel"/>
    <w:tmpl w:val="1E9CCAC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0"/>
  </w:num>
  <w:num w:numId="6">
    <w:abstractNumId w:val="15"/>
  </w:num>
  <w:num w:numId="7">
    <w:abstractNumId w:val="5"/>
  </w:num>
  <w:num w:numId="8">
    <w:abstractNumId w:val="18"/>
  </w:num>
  <w:num w:numId="9">
    <w:abstractNumId w:val="16"/>
  </w:num>
  <w:num w:numId="10">
    <w:abstractNumId w:val="13"/>
  </w:num>
  <w:num w:numId="11">
    <w:abstractNumId w:val="17"/>
  </w:num>
  <w:num w:numId="12">
    <w:abstractNumId w:val="8"/>
  </w:num>
  <w:num w:numId="13">
    <w:abstractNumId w:val="11"/>
  </w:num>
  <w:num w:numId="14">
    <w:abstractNumId w:val="3"/>
  </w:num>
  <w:num w:numId="15">
    <w:abstractNumId w:val="4"/>
  </w:num>
  <w:num w:numId="16">
    <w:abstractNumId w:val="14"/>
  </w:num>
  <w:num w:numId="17">
    <w:abstractNumId w:val="12"/>
  </w:num>
  <w:num w:numId="18">
    <w:abstractNumId w:val="1"/>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0E1"/>
    <w:rsid w:val="000054F0"/>
    <w:rsid w:val="0001464A"/>
    <w:rsid w:val="00015FA4"/>
    <w:rsid w:val="00032FB8"/>
    <w:rsid w:val="000355FC"/>
    <w:rsid w:val="000440E1"/>
    <w:rsid w:val="00053ED3"/>
    <w:rsid w:val="000602C9"/>
    <w:rsid w:val="000659D5"/>
    <w:rsid w:val="00072567"/>
    <w:rsid w:val="0007560B"/>
    <w:rsid w:val="00075E8A"/>
    <w:rsid w:val="000767D7"/>
    <w:rsid w:val="00076A05"/>
    <w:rsid w:val="00076DDA"/>
    <w:rsid w:val="00082808"/>
    <w:rsid w:val="00082DE8"/>
    <w:rsid w:val="00096EFD"/>
    <w:rsid w:val="000A09DC"/>
    <w:rsid w:val="000A5885"/>
    <w:rsid w:val="000C22FC"/>
    <w:rsid w:val="000C3823"/>
    <w:rsid w:val="000C545E"/>
    <w:rsid w:val="000D28F9"/>
    <w:rsid w:val="000D42CA"/>
    <w:rsid w:val="00101924"/>
    <w:rsid w:val="0010647F"/>
    <w:rsid w:val="00106877"/>
    <w:rsid w:val="00110BF8"/>
    <w:rsid w:val="0011110D"/>
    <w:rsid w:val="00114329"/>
    <w:rsid w:val="00121C39"/>
    <w:rsid w:val="0013049D"/>
    <w:rsid w:val="00140591"/>
    <w:rsid w:val="001471A2"/>
    <w:rsid w:val="00153B36"/>
    <w:rsid w:val="00163975"/>
    <w:rsid w:val="001653D4"/>
    <w:rsid w:val="0017023D"/>
    <w:rsid w:val="001723AC"/>
    <w:rsid w:val="00172C46"/>
    <w:rsid w:val="0017449C"/>
    <w:rsid w:val="001919CF"/>
    <w:rsid w:val="00192B65"/>
    <w:rsid w:val="00193AED"/>
    <w:rsid w:val="001A0887"/>
    <w:rsid w:val="001A790E"/>
    <w:rsid w:val="001B32AC"/>
    <w:rsid w:val="001B35CC"/>
    <w:rsid w:val="001B61D8"/>
    <w:rsid w:val="001D27FA"/>
    <w:rsid w:val="001D30FD"/>
    <w:rsid w:val="001F0044"/>
    <w:rsid w:val="001F5885"/>
    <w:rsid w:val="001F68D2"/>
    <w:rsid w:val="002049FC"/>
    <w:rsid w:val="00204FE3"/>
    <w:rsid w:val="00214E42"/>
    <w:rsid w:val="00215672"/>
    <w:rsid w:val="00221FE8"/>
    <w:rsid w:val="00231A6E"/>
    <w:rsid w:val="00235EBE"/>
    <w:rsid w:val="00236B06"/>
    <w:rsid w:val="00237439"/>
    <w:rsid w:val="00240162"/>
    <w:rsid w:val="00243BAE"/>
    <w:rsid w:val="0025081A"/>
    <w:rsid w:val="00250DD1"/>
    <w:rsid w:val="00253142"/>
    <w:rsid w:val="00254A6A"/>
    <w:rsid w:val="002719C6"/>
    <w:rsid w:val="0027557B"/>
    <w:rsid w:val="00276187"/>
    <w:rsid w:val="00277A4B"/>
    <w:rsid w:val="00280277"/>
    <w:rsid w:val="002815E7"/>
    <w:rsid w:val="00290A24"/>
    <w:rsid w:val="00292098"/>
    <w:rsid w:val="00293CE6"/>
    <w:rsid w:val="00294283"/>
    <w:rsid w:val="002A5C2E"/>
    <w:rsid w:val="002C0293"/>
    <w:rsid w:val="002C0418"/>
    <w:rsid w:val="002C3738"/>
    <w:rsid w:val="002C543C"/>
    <w:rsid w:val="002D59BF"/>
    <w:rsid w:val="002E7168"/>
    <w:rsid w:val="002F1623"/>
    <w:rsid w:val="002F3E4B"/>
    <w:rsid w:val="002F409C"/>
    <w:rsid w:val="002F550A"/>
    <w:rsid w:val="0031390F"/>
    <w:rsid w:val="003153FB"/>
    <w:rsid w:val="003240FC"/>
    <w:rsid w:val="003260C4"/>
    <w:rsid w:val="003273AB"/>
    <w:rsid w:val="00330B37"/>
    <w:rsid w:val="0033189A"/>
    <w:rsid w:val="00334705"/>
    <w:rsid w:val="0033636A"/>
    <w:rsid w:val="00343D77"/>
    <w:rsid w:val="003458A3"/>
    <w:rsid w:val="00350E43"/>
    <w:rsid w:val="00351B4B"/>
    <w:rsid w:val="003520C7"/>
    <w:rsid w:val="00355B33"/>
    <w:rsid w:val="00373CA7"/>
    <w:rsid w:val="003762FA"/>
    <w:rsid w:val="00385517"/>
    <w:rsid w:val="003959E1"/>
    <w:rsid w:val="003A256F"/>
    <w:rsid w:val="003A702C"/>
    <w:rsid w:val="003B4C7F"/>
    <w:rsid w:val="003C00EA"/>
    <w:rsid w:val="003C0A1F"/>
    <w:rsid w:val="003C0E6F"/>
    <w:rsid w:val="003C206F"/>
    <w:rsid w:val="003C471A"/>
    <w:rsid w:val="003F6392"/>
    <w:rsid w:val="004002A1"/>
    <w:rsid w:val="004035A2"/>
    <w:rsid w:val="00416D20"/>
    <w:rsid w:val="0042436B"/>
    <w:rsid w:val="0043686A"/>
    <w:rsid w:val="0044019D"/>
    <w:rsid w:val="004405DA"/>
    <w:rsid w:val="00441463"/>
    <w:rsid w:val="004434D4"/>
    <w:rsid w:val="00461802"/>
    <w:rsid w:val="0046479F"/>
    <w:rsid w:val="004659D6"/>
    <w:rsid w:val="0046633F"/>
    <w:rsid w:val="00482F9E"/>
    <w:rsid w:val="004966E3"/>
    <w:rsid w:val="004B1074"/>
    <w:rsid w:val="004C1812"/>
    <w:rsid w:val="004C41AE"/>
    <w:rsid w:val="004C53AE"/>
    <w:rsid w:val="004C7A63"/>
    <w:rsid w:val="004D512E"/>
    <w:rsid w:val="004E69EA"/>
    <w:rsid w:val="004E782E"/>
    <w:rsid w:val="004F28A4"/>
    <w:rsid w:val="004F567E"/>
    <w:rsid w:val="005017F1"/>
    <w:rsid w:val="00502E2B"/>
    <w:rsid w:val="00505FFD"/>
    <w:rsid w:val="00507AB5"/>
    <w:rsid w:val="00516BC7"/>
    <w:rsid w:val="00532BAB"/>
    <w:rsid w:val="00535C41"/>
    <w:rsid w:val="00536B30"/>
    <w:rsid w:val="005373C0"/>
    <w:rsid w:val="0053762B"/>
    <w:rsid w:val="00541FB9"/>
    <w:rsid w:val="005546BC"/>
    <w:rsid w:val="00556249"/>
    <w:rsid w:val="0057141E"/>
    <w:rsid w:val="0057259B"/>
    <w:rsid w:val="00575151"/>
    <w:rsid w:val="00581032"/>
    <w:rsid w:val="0058136E"/>
    <w:rsid w:val="00590314"/>
    <w:rsid w:val="0059396C"/>
    <w:rsid w:val="00596A32"/>
    <w:rsid w:val="005B02D2"/>
    <w:rsid w:val="005B4B17"/>
    <w:rsid w:val="005B515B"/>
    <w:rsid w:val="005B7293"/>
    <w:rsid w:val="005C3F28"/>
    <w:rsid w:val="005D2886"/>
    <w:rsid w:val="005D48FD"/>
    <w:rsid w:val="005D4EA7"/>
    <w:rsid w:val="005E3830"/>
    <w:rsid w:val="005F19D5"/>
    <w:rsid w:val="005F2729"/>
    <w:rsid w:val="005F417B"/>
    <w:rsid w:val="005F5E3B"/>
    <w:rsid w:val="005F5F0A"/>
    <w:rsid w:val="005F798E"/>
    <w:rsid w:val="00603E99"/>
    <w:rsid w:val="00605E4E"/>
    <w:rsid w:val="006153E2"/>
    <w:rsid w:val="00627F6C"/>
    <w:rsid w:val="0063015C"/>
    <w:rsid w:val="0063231B"/>
    <w:rsid w:val="00632C81"/>
    <w:rsid w:val="00641110"/>
    <w:rsid w:val="00646B57"/>
    <w:rsid w:val="006543D6"/>
    <w:rsid w:val="006635F4"/>
    <w:rsid w:val="006656E4"/>
    <w:rsid w:val="006714DF"/>
    <w:rsid w:val="00675832"/>
    <w:rsid w:val="00691713"/>
    <w:rsid w:val="006954C6"/>
    <w:rsid w:val="006C18A0"/>
    <w:rsid w:val="006C5208"/>
    <w:rsid w:val="006C53A1"/>
    <w:rsid w:val="006C7E1A"/>
    <w:rsid w:val="006D7748"/>
    <w:rsid w:val="006F02A6"/>
    <w:rsid w:val="006F165C"/>
    <w:rsid w:val="006F2F89"/>
    <w:rsid w:val="007010AE"/>
    <w:rsid w:val="00701868"/>
    <w:rsid w:val="00701ECF"/>
    <w:rsid w:val="00704AC2"/>
    <w:rsid w:val="00705A2D"/>
    <w:rsid w:val="00714A84"/>
    <w:rsid w:val="00714B53"/>
    <w:rsid w:val="00714D5B"/>
    <w:rsid w:val="0072722E"/>
    <w:rsid w:val="007306EA"/>
    <w:rsid w:val="00734069"/>
    <w:rsid w:val="00736401"/>
    <w:rsid w:val="0073742A"/>
    <w:rsid w:val="00742B37"/>
    <w:rsid w:val="00747DF5"/>
    <w:rsid w:val="0075265C"/>
    <w:rsid w:val="00752819"/>
    <w:rsid w:val="00766746"/>
    <w:rsid w:val="00767295"/>
    <w:rsid w:val="0076763B"/>
    <w:rsid w:val="00772686"/>
    <w:rsid w:val="0077753B"/>
    <w:rsid w:val="007813B9"/>
    <w:rsid w:val="00783173"/>
    <w:rsid w:val="00786D81"/>
    <w:rsid w:val="00791FFF"/>
    <w:rsid w:val="007925E6"/>
    <w:rsid w:val="0079526B"/>
    <w:rsid w:val="007A0324"/>
    <w:rsid w:val="007A2462"/>
    <w:rsid w:val="007A5D40"/>
    <w:rsid w:val="007B2D46"/>
    <w:rsid w:val="007B65DC"/>
    <w:rsid w:val="007D108F"/>
    <w:rsid w:val="007D178A"/>
    <w:rsid w:val="007D62E4"/>
    <w:rsid w:val="007E0F5C"/>
    <w:rsid w:val="007E266B"/>
    <w:rsid w:val="007F0F32"/>
    <w:rsid w:val="007F276F"/>
    <w:rsid w:val="007F3DE9"/>
    <w:rsid w:val="007F4FFF"/>
    <w:rsid w:val="00803E39"/>
    <w:rsid w:val="0081251A"/>
    <w:rsid w:val="00813CE8"/>
    <w:rsid w:val="0081440F"/>
    <w:rsid w:val="00816B6C"/>
    <w:rsid w:val="00834337"/>
    <w:rsid w:val="00843A8B"/>
    <w:rsid w:val="0086161E"/>
    <w:rsid w:val="00873A34"/>
    <w:rsid w:val="00881D08"/>
    <w:rsid w:val="00883552"/>
    <w:rsid w:val="00890033"/>
    <w:rsid w:val="008901BA"/>
    <w:rsid w:val="00891562"/>
    <w:rsid w:val="00893353"/>
    <w:rsid w:val="00897F4A"/>
    <w:rsid w:val="008B6F3F"/>
    <w:rsid w:val="008B6FF1"/>
    <w:rsid w:val="008C3CF7"/>
    <w:rsid w:val="008C7AAA"/>
    <w:rsid w:val="008C7D10"/>
    <w:rsid w:val="008D4E41"/>
    <w:rsid w:val="008E5D35"/>
    <w:rsid w:val="008F6762"/>
    <w:rsid w:val="008F7377"/>
    <w:rsid w:val="009051FC"/>
    <w:rsid w:val="00910B34"/>
    <w:rsid w:val="0092041F"/>
    <w:rsid w:val="00920638"/>
    <w:rsid w:val="009215CB"/>
    <w:rsid w:val="00921E49"/>
    <w:rsid w:val="00922766"/>
    <w:rsid w:val="00926EA8"/>
    <w:rsid w:val="00941A09"/>
    <w:rsid w:val="00944ED9"/>
    <w:rsid w:val="00954523"/>
    <w:rsid w:val="009563B0"/>
    <w:rsid w:val="0096598C"/>
    <w:rsid w:val="00972025"/>
    <w:rsid w:val="00976AEA"/>
    <w:rsid w:val="00980DC8"/>
    <w:rsid w:val="009867CA"/>
    <w:rsid w:val="00993B38"/>
    <w:rsid w:val="00993D95"/>
    <w:rsid w:val="009B3F77"/>
    <w:rsid w:val="009B684A"/>
    <w:rsid w:val="009B73A2"/>
    <w:rsid w:val="009C1A9B"/>
    <w:rsid w:val="009C3EB5"/>
    <w:rsid w:val="009D6C23"/>
    <w:rsid w:val="009F03E7"/>
    <w:rsid w:val="00A0084F"/>
    <w:rsid w:val="00A008AE"/>
    <w:rsid w:val="00A064F0"/>
    <w:rsid w:val="00A06DB2"/>
    <w:rsid w:val="00A11821"/>
    <w:rsid w:val="00A21AB0"/>
    <w:rsid w:val="00A23930"/>
    <w:rsid w:val="00A276D5"/>
    <w:rsid w:val="00A31234"/>
    <w:rsid w:val="00A3774E"/>
    <w:rsid w:val="00A55A10"/>
    <w:rsid w:val="00A67391"/>
    <w:rsid w:val="00A71438"/>
    <w:rsid w:val="00A736B6"/>
    <w:rsid w:val="00A739B1"/>
    <w:rsid w:val="00A751DD"/>
    <w:rsid w:val="00A7595F"/>
    <w:rsid w:val="00A81CE9"/>
    <w:rsid w:val="00A83E68"/>
    <w:rsid w:val="00A91FE8"/>
    <w:rsid w:val="00A932D9"/>
    <w:rsid w:val="00A94AD8"/>
    <w:rsid w:val="00AA120A"/>
    <w:rsid w:val="00AA150E"/>
    <w:rsid w:val="00AA228A"/>
    <w:rsid w:val="00AA310F"/>
    <w:rsid w:val="00AA57F7"/>
    <w:rsid w:val="00AA6307"/>
    <w:rsid w:val="00AB1772"/>
    <w:rsid w:val="00AB7302"/>
    <w:rsid w:val="00AC52A1"/>
    <w:rsid w:val="00AE7628"/>
    <w:rsid w:val="00AE7D29"/>
    <w:rsid w:val="00AF3924"/>
    <w:rsid w:val="00AF3B0E"/>
    <w:rsid w:val="00AF5AF5"/>
    <w:rsid w:val="00B00AF0"/>
    <w:rsid w:val="00B023BC"/>
    <w:rsid w:val="00B14F2D"/>
    <w:rsid w:val="00B25B09"/>
    <w:rsid w:val="00B30C33"/>
    <w:rsid w:val="00B347E9"/>
    <w:rsid w:val="00B3699F"/>
    <w:rsid w:val="00B3706E"/>
    <w:rsid w:val="00B44476"/>
    <w:rsid w:val="00B47665"/>
    <w:rsid w:val="00B64001"/>
    <w:rsid w:val="00B647AE"/>
    <w:rsid w:val="00B66026"/>
    <w:rsid w:val="00B7192E"/>
    <w:rsid w:val="00B74F24"/>
    <w:rsid w:val="00B807CD"/>
    <w:rsid w:val="00B9496F"/>
    <w:rsid w:val="00BA6547"/>
    <w:rsid w:val="00BA6F29"/>
    <w:rsid w:val="00BB3C66"/>
    <w:rsid w:val="00BB7BE6"/>
    <w:rsid w:val="00BC21CB"/>
    <w:rsid w:val="00BE67CC"/>
    <w:rsid w:val="00BE6CE5"/>
    <w:rsid w:val="00BF6B36"/>
    <w:rsid w:val="00C10A7E"/>
    <w:rsid w:val="00C113EB"/>
    <w:rsid w:val="00C15AE4"/>
    <w:rsid w:val="00C203DF"/>
    <w:rsid w:val="00C32093"/>
    <w:rsid w:val="00C45CBA"/>
    <w:rsid w:val="00C46B85"/>
    <w:rsid w:val="00C47DB5"/>
    <w:rsid w:val="00C522CB"/>
    <w:rsid w:val="00C534A9"/>
    <w:rsid w:val="00C57B03"/>
    <w:rsid w:val="00C6246F"/>
    <w:rsid w:val="00C65768"/>
    <w:rsid w:val="00C71BCE"/>
    <w:rsid w:val="00C733BA"/>
    <w:rsid w:val="00C74021"/>
    <w:rsid w:val="00C87042"/>
    <w:rsid w:val="00C94CF6"/>
    <w:rsid w:val="00C97D9C"/>
    <w:rsid w:val="00CA03A7"/>
    <w:rsid w:val="00CB3819"/>
    <w:rsid w:val="00CC4BE8"/>
    <w:rsid w:val="00CD32B0"/>
    <w:rsid w:val="00CD4DF6"/>
    <w:rsid w:val="00CD55E7"/>
    <w:rsid w:val="00CE1E2D"/>
    <w:rsid w:val="00CE3732"/>
    <w:rsid w:val="00CE4964"/>
    <w:rsid w:val="00CF22B5"/>
    <w:rsid w:val="00CF5E51"/>
    <w:rsid w:val="00CF6F92"/>
    <w:rsid w:val="00D02C04"/>
    <w:rsid w:val="00D0783D"/>
    <w:rsid w:val="00D10894"/>
    <w:rsid w:val="00D14EA7"/>
    <w:rsid w:val="00D20E81"/>
    <w:rsid w:val="00D25602"/>
    <w:rsid w:val="00D41102"/>
    <w:rsid w:val="00D43AFA"/>
    <w:rsid w:val="00D43E4A"/>
    <w:rsid w:val="00D457F2"/>
    <w:rsid w:val="00D472AB"/>
    <w:rsid w:val="00D513AA"/>
    <w:rsid w:val="00D51BB9"/>
    <w:rsid w:val="00D52C15"/>
    <w:rsid w:val="00D73C1C"/>
    <w:rsid w:val="00D73F59"/>
    <w:rsid w:val="00D94817"/>
    <w:rsid w:val="00D9689C"/>
    <w:rsid w:val="00DA42C6"/>
    <w:rsid w:val="00DA79A1"/>
    <w:rsid w:val="00DC7EB0"/>
    <w:rsid w:val="00DD23A3"/>
    <w:rsid w:val="00DD547A"/>
    <w:rsid w:val="00DD5B3B"/>
    <w:rsid w:val="00DE6F76"/>
    <w:rsid w:val="00E0181F"/>
    <w:rsid w:val="00E04283"/>
    <w:rsid w:val="00E052E0"/>
    <w:rsid w:val="00E21BA6"/>
    <w:rsid w:val="00E224E0"/>
    <w:rsid w:val="00E32A51"/>
    <w:rsid w:val="00E343E1"/>
    <w:rsid w:val="00E34479"/>
    <w:rsid w:val="00E346C0"/>
    <w:rsid w:val="00E35D51"/>
    <w:rsid w:val="00E47BC3"/>
    <w:rsid w:val="00E51139"/>
    <w:rsid w:val="00E62EC7"/>
    <w:rsid w:val="00E7317A"/>
    <w:rsid w:val="00E77E6B"/>
    <w:rsid w:val="00E83DFE"/>
    <w:rsid w:val="00E86701"/>
    <w:rsid w:val="00E94AD7"/>
    <w:rsid w:val="00EA03D2"/>
    <w:rsid w:val="00EA4882"/>
    <w:rsid w:val="00EB179A"/>
    <w:rsid w:val="00EB1963"/>
    <w:rsid w:val="00EB1AC4"/>
    <w:rsid w:val="00EB2C65"/>
    <w:rsid w:val="00EB6922"/>
    <w:rsid w:val="00EC46E6"/>
    <w:rsid w:val="00EC5260"/>
    <w:rsid w:val="00EC76AD"/>
    <w:rsid w:val="00ED42E8"/>
    <w:rsid w:val="00EE11BC"/>
    <w:rsid w:val="00EE4DD5"/>
    <w:rsid w:val="00EF338F"/>
    <w:rsid w:val="00EF3901"/>
    <w:rsid w:val="00EF57EA"/>
    <w:rsid w:val="00F01D66"/>
    <w:rsid w:val="00F02ADC"/>
    <w:rsid w:val="00F02B18"/>
    <w:rsid w:val="00F11515"/>
    <w:rsid w:val="00F1328C"/>
    <w:rsid w:val="00F15077"/>
    <w:rsid w:val="00F22706"/>
    <w:rsid w:val="00F2493D"/>
    <w:rsid w:val="00F25558"/>
    <w:rsid w:val="00F32744"/>
    <w:rsid w:val="00F43E7D"/>
    <w:rsid w:val="00F72A77"/>
    <w:rsid w:val="00F7543C"/>
    <w:rsid w:val="00F761E3"/>
    <w:rsid w:val="00F76FD2"/>
    <w:rsid w:val="00F82BE8"/>
    <w:rsid w:val="00F82CE1"/>
    <w:rsid w:val="00F84886"/>
    <w:rsid w:val="00F87511"/>
    <w:rsid w:val="00F96283"/>
    <w:rsid w:val="00F976FB"/>
    <w:rsid w:val="00FA2EBB"/>
    <w:rsid w:val="00FB09C1"/>
    <w:rsid w:val="00FB3C71"/>
    <w:rsid w:val="00FC13F6"/>
    <w:rsid w:val="00FC2085"/>
    <w:rsid w:val="00FC45FE"/>
    <w:rsid w:val="00FC526B"/>
    <w:rsid w:val="00FC608E"/>
    <w:rsid w:val="00FE0058"/>
    <w:rsid w:val="00FE1AB1"/>
    <w:rsid w:val="00FE1FA1"/>
    <w:rsid w:val="00FF0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9DFFA8CD-2237-4F6D-8A6E-B672DF08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qFormat/>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4"/>
      </w:numPr>
      <w:spacing w:after="140"/>
      <w:ind w:left="567" w:hanging="567"/>
    </w:pPr>
    <w:rPr>
      <w:lang w:val="en-NZ"/>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3"/>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1Char">
    <w:name w:val="Heading 1 Char"/>
    <w:aliases w:val="Report Title Char"/>
    <w:basedOn w:val="DefaultParagraphFont"/>
    <w:link w:val="Heading1"/>
    <w:rsid w:val="005D4EA7"/>
    <w:rPr>
      <w:b/>
      <w:caps/>
      <w:sz w:val="26"/>
      <w:lang w:eastAsia="en-AU"/>
    </w:rPr>
  </w:style>
  <w:style w:type="character" w:customStyle="1" w:styleId="Heading2Char">
    <w:name w:val="Heading 2 Char"/>
    <w:basedOn w:val="DefaultParagraphFont"/>
    <w:link w:val="Heading2"/>
    <w:rsid w:val="005D4EA7"/>
    <w:rPr>
      <w:b/>
      <w:sz w:val="24"/>
      <w:lang w:val="en-GB" w:eastAsia="en-AU"/>
    </w:rPr>
  </w:style>
  <w:style w:type="character" w:customStyle="1" w:styleId="Heading3Char">
    <w:name w:val="Heading 3 Char"/>
    <w:aliases w:val="Clauses Char"/>
    <w:basedOn w:val="DefaultParagraphFont"/>
    <w:link w:val="Heading3"/>
    <w:rsid w:val="005D4EA7"/>
    <w:rPr>
      <w:b/>
      <w:i/>
      <w:sz w:val="24"/>
      <w:lang w:val="en-GB" w:eastAsia="en-AU"/>
    </w:rPr>
  </w:style>
  <w:style w:type="paragraph" w:customStyle="1" w:styleId="Indentbullet">
    <w:name w:val="Indent bullet"/>
    <w:basedOn w:val="BodyText"/>
    <w:rsid w:val="005D4EA7"/>
    <w:pPr>
      <w:tabs>
        <w:tab w:val="num" w:pos="360"/>
      </w:tabs>
      <w:spacing w:after="140"/>
    </w:pPr>
  </w:style>
  <w:style w:type="paragraph" w:styleId="ListParagraph">
    <w:name w:val="List Paragraph"/>
    <w:basedOn w:val="Normal"/>
    <w:uiPriority w:val="34"/>
    <w:qFormat/>
    <w:rsid w:val="005D4EA7"/>
    <w:pPr>
      <w:ind w:left="720"/>
      <w:contextualSpacing/>
    </w:pPr>
  </w:style>
  <w:style w:type="character" w:styleId="Strong">
    <w:name w:val="Strong"/>
    <w:basedOn w:val="DefaultParagraphFont"/>
    <w:uiPriority w:val="22"/>
    <w:qFormat/>
    <w:rsid w:val="005D4EA7"/>
    <w:rPr>
      <w:b/>
      <w:bCs/>
    </w:rPr>
  </w:style>
  <w:style w:type="paragraph" w:styleId="BalloonText">
    <w:name w:val="Balloon Text"/>
    <w:basedOn w:val="Normal"/>
    <w:link w:val="BalloonTextChar"/>
    <w:uiPriority w:val="99"/>
    <w:semiHidden/>
    <w:unhideWhenUsed/>
    <w:rsid w:val="0057141E"/>
    <w:rPr>
      <w:rFonts w:ascii="Tahoma" w:hAnsi="Tahoma" w:cs="Tahoma"/>
      <w:sz w:val="16"/>
      <w:szCs w:val="16"/>
    </w:rPr>
  </w:style>
  <w:style w:type="character" w:customStyle="1" w:styleId="BalloonTextChar">
    <w:name w:val="Balloon Text Char"/>
    <w:basedOn w:val="DefaultParagraphFont"/>
    <w:link w:val="BalloonText"/>
    <w:uiPriority w:val="99"/>
    <w:semiHidden/>
    <w:rsid w:val="0057141E"/>
    <w:rPr>
      <w:rFonts w:ascii="Tahoma" w:hAnsi="Tahoma" w:cs="Tahoma"/>
      <w:sz w:val="16"/>
      <w:szCs w:val="16"/>
      <w:lang w:val="en-GB" w:eastAsia="en-AU"/>
    </w:rPr>
  </w:style>
  <w:style w:type="paragraph" w:customStyle="1" w:styleId="dotpoint">
    <w:name w:val="dot point"/>
    <w:basedOn w:val="Normal"/>
    <w:rsid w:val="00192B65"/>
    <w:pPr>
      <w:tabs>
        <w:tab w:val="num" w:pos="567"/>
      </w:tabs>
      <w:spacing w:after="140"/>
      <w:ind w:left="567" w:hanging="567"/>
    </w:pPr>
  </w:style>
  <w:style w:type="character" w:styleId="PageNumber">
    <w:name w:val="page number"/>
    <w:basedOn w:val="DefaultParagraphFont"/>
    <w:uiPriority w:val="3"/>
    <w:rsid w:val="00192B65"/>
    <w:rPr>
      <w:sz w:val="22"/>
    </w:rPr>
  </w:style>
  <w:style w:type="paragraph" w:styleId="BodyTextIndent">
    <w:name w:val="Body Text Indent"/>
    <w:basedOn w:val="Normal"/>
    <w:link w:val="BodyTextIndentChar"/>
    <w:rsid w:val="00192B65"/>
    <w:pPr>
      <w:ind w:left="450"/>
    </w:pPr>
    <w:rPr>
      <w:lang w:val="en-NZ"/>
    </w:rPr>
  </w:style>
  <w:style w:type="character" w:customStyle="1" w:styleId="BodyTextIndentChar">
    <w:name w:val="Body Text Indent Char"/>
    <w:basedOn w:val="DefaultParagraphFont"/>
    <w:link w:val="BodyTextIndent"/>
    <w:rsid w:val="00192B65"/>
    <w:rPr>
      <w:sz w:val="24"/>
      <w:lang w:eastAsia="en-AU"/>
    </w:rPr>
  </w:style>
  <w:style w:type="paragraph" w:styleId="BodyTextIndent2">
    <w:name w:val="Body Text Indent 2"/>
    <w:basedOn w:val="Normal"/>
    <w:link w:val="BodyTextIndent2Char"/>
    <w:rsid w:val="00192B65"/>
    <w:pPr>
      <w:ind w:left="450"/>
    </w:pPr>
    <w:rPr>
      <w:lang w:val="en-US"/>
    </w:rPr>
  </w:style>
  <w:style w:type="character" w:customStyle="1" w:styleId="BodyTextIndent2Char">
    <w:name w:val="Body Text Indent 2 Char"/>
    <w:basedOn w:val="DefaultParagraphFont"/>
    <w:link w:val="BodyTextIndent2"/>
    <w:rsid w:val="00192B65"/>
    <w:rPr>
      <w:sz w:val="24"/>
      <w:lang w:val="en-US" w:eastAsia="en-AU"/>
    </w:rPr>
  </w:style>
  <w:style w:type="paragraph" w:styleId="BodyTextIndent3">
    <w:name w:val="Body Text Indent 3"/>
    <w:basedOn w:val="Normal"/>
    <w:link w:val="BodyTextIndent3Char"/>
    <w:rsid w:val="00192B65"/>
    <w:pPr>
      <w:ind w:left="465"/>
    </w:pPr>
    <w:rPr>
      <w:lang w:val="en-US"/>
    </w:rPr>
  </w:style>
  <w:style w:type="character" w:customStyle="1" w:styleId="BodyTextIndent3Char">
    <w:name w:val="Body Text Indent 3 Char"/>
    <w:basedOn w:val="DefaultParagraphFont"/>
    <w:link w:val="BodyTextIndent3"/>
    <w:rsid w:val="00192B65"/>
    <w:rPr>
      <w:sz w:val="24"/>
      <w:lang w:val="en-US" w:eastAsia="en-AU"/>
    </w:rPr>
  </w:style>
  <w:style w:type="paragraph" w:styleId="BodyText2">
    <w:name w:val="Body Text 2"/>
    <w:basedOn w:val="Normal"/>
    <w:link w:val="BodyText2Char"/>
    <w:rsid w:val="00192B65"/>
    <w:pPr>
      <w:jc w:val="center"/>
    </w:pPr>
    <w:rPr>
      <w:b/>
      <w:lang w:val="en-US"/>
    </w:rPr>
  </w:style>
  <w:style w:type="character" w:customStyle="1" w:styleId="BodyText2Char">
    <w:name w:val="Body Text 2 Char"/>
    <w:basedOn w:val="DefaultParagraphFont"/>
    <w:link w:val="BodyText2"/>
    <w:rsid w:val="00192B65"/>
    <w:rPr>
      <w:b/>
      <w:sz w:val="24"/>
      <w:lang w:val="en-US" w:eastAsia="en-AU"/>
    </w:rPr>
  </w:style>
  <w:style w:type="paragraph" w:customStyle="1" w:styleId="BodyTextChapter2">
    <w:name w:val="Body Text Chapter 2"/>
    <w:rsid w:val="00192B65"/>
    <w:pPr>
      <w:tabs>
        <w:tab w:val="num" w:pos="992"/>
      </w:tabs>
      <w:ind w:left="992" w:hanging="992"/>
      <w:jc w:val="both"/>
    </w:pPr>
    <w:rPr>
      <w:noProof/>
      <w:sz w:val="24"/>
      <w:lang w:val="en-AU" w:eastAsia="en-AU"/>
    </w:rPr>
  </w:style>
  <w:style w:type="paragraph" w:customStyle="1" w:styleId="PartHeading">
    <w:name w:val="PartHeading"/>
    <w:basedOn w:val="Heading1"/>
    <w:rsid w:val="00192B65"/>
    <w:pPr>
      <w:pBdr>
        <w:top w:val="single" w:sz="4" w:space="8" w:color="auto"/>
        <w:bottom w:val="single" w:sz="4" w:space="8" w:color="auto"/>
      </w:pBdr>
      <w:jc w:val="center"/>
    </w:pPr>
    <w:rPr>
      <w:b w:val="0"/>
      <w:sz w:val="60"/>
    </w:rPr>
  </w:style>
  <w:style w:type="paragraph" w:customStyle="1" w:styleId="BodyTextChapter11">
    <w:name w:val="Body Text Chapter 11"/>
    <w:rsid w:val="00192B65"/>
    <w:pPr>
      <w:tabs>
        <w:tab w:val="num" w:pos="992"/>
      </w:tabs>
      <w:ind w:left="992" w:hanging="992"/>
      <w:jc w:val="both"/>
    </w:pPr>
    <w:rPr>
      <w:noProof/>
      <w:sz w:val="24"/>
      <w:lang w:val="en-AU" w:eastAsia="en-AU"/>
    </w:rPr>
  </w:style>
  <w:style w:type="paragraph" w:customStyle="1" w:styleId="BodyTextChapter14">
    <w:name w:val="Body Text Chapter 14"/>
    <w:rsid w:val="00192B65"/>
    <w:pPr>
      <w:tabs>
        <w:tab w:val="num" w:pos="992"/>
      </w:tabs>
      <w:ind w:left="992" w:hanging="992"/>
      <w:jc w:val="both"/>
    </w:pPr>
    <w:rPr>
      <w:noProof/>
      <w:sz w:val="24"/>
      <w:lang w:val="en-AU" w:eastAsia="en-AU"/>
    </w:rPr>
  </w:style>
  <w:style w:type="paragraph" w:customStyle="1" w:styleId="BodyTextChapter17">
    <w:name w:val="Body Text Chapter 17"/>
    <w:rsid w:val="00192B65"/>
    <w:pPr>
      <w:tabs>
        <w:tab w:val="num" w:pos="992"/>
      </w:tabs>
      <w:ind w:left="992" w:hanging="992"/>
      <w:jc w:val="both"/>
    </w:pPr>
    <w:rPr>
      <w:noProof/>
      <w:sz w:val="24"/>
      <w:lang w:val="en-AU" w:eastAsia="en-AU"/>
    </w:rPr>
  </w:style>
  <w:style w:type="paragraph" w:customStyle="1" w:styleId="BodyTextChapter15">
    <w:name w:val="Body Text Chapter 15"/>
    <w:rsid w:val="00192B65"/>
    <w:pPr>
      <w:tabs>
        <w:tab w:val="num" w:pos="992"/>
      </w:tabs>
      <w:ind w:left="992" w:hanging="992"/>
      <w:jc w:val="both"/>
    </w:pPr>
    <w:rPr>
      <w:noProof/>
      <w:sz w:val="24"/>
      <w:lang w:val="en-AU" w:eastAsia="en-AU"/>
    </w:rPr>
  </w:style>
  <w:style w:type="paragraph" w:styleId="BodyText3">
    <w:name w:val="Body Text 3"/>
    <w:basedOn w:val="Normal"/>
    <w:link w:val="BodyText3Char"/>
    <w:rsid w:val="00192B65"/>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192B65"/>
    <w:rPr>
      <w:lang w:val="en-GB" w:eastAsia="en-AU"/>
    </w:rPr>
  </w:style>
  <w:style w:type="paragraph" w:customStyle="1" w:styleId="Style1">
    <w:name w:val="Style1"/>
    <w:basedOn w:val="Normal"/>
    <w:rsid w:val="00192B65"/>
    <w:rPr>
      <w:lang w:val="en-NZ"/>
    </w:rPr>
  </w:style>
  <w:style w:type="paragraph" w:customStyle="1" w:styleId="TRNormal">
    <w:name w:val="_TRNormal"/>
    <w:rsid w:val="00192B65"/>
    <w:pPr>
      <w:spacing w:after="240" w:line="300" w:lineRule="atLeast"/>
      <w:ind w:left="567" w:hanging="567"/>
      <w:jc w:val="both"/>
    </w:pPr>
    <w:rPr>
      <w:sz w:val="24"/>
      <w:lang w:eastAsia="en-AU"/>
    </w:rPr>
  </w:style>
  <w:style w:type="paragraph" w:customStyle="1" w:styleId="dotpoint2">
    <w:name w:val="dot point2"/>
    <w:basedOn w:val="Normal"/>
    <w:rsid w:val="00192B65"/>
    <w:pPr>
      <w:widowControl w:val="0"/>
      <w:tabs>
        <w:tab w:val="num" w:pos="360"/>
      </w:tabs>
      <w:ind w:left="340" w:hanging="340"/>
    </w:pPr>
  </w:style>
  <w:style w:type="paragraph" w:customStyle="1" w:styleId="recomendation">
    <w:name w:val="recomendation"/>
    <w:basedOn w:val="BodyText"/>
    <w:rsid w:val="00192B65"/>
    <w:pPr>
      <w:tabs>
        <w:tab w:val="left" w:pos="567"/>
        <w:tab w:val="left" w:pos="1134"/>
      </w:tabs>
      <w:spacing w:after="180"/>
      <w:ind w:left="567" w:hanging="567"/>
    </w:pPr>
    <w:rPr>
      <w:rFonts w:ascii="Arial" w:hAnsi="Arial"/>
    </w:rPr>
  </w:style>
  <w:style w:type="paragraph" w:customStyle="1" w:styleId="Subrec">
    <w:name w:val="Subrec"/>
    <w:basedOn w:val="BodyText"/>
    <w:rsid w:val="00192B65"/>
    <w:pPr>
      <w:tabs>
        <w:tab w:val="num" w:pos="1134"/>
      </w:tabs>
      <w:spacing w:after="180"/>
      <w:ind w:left="1134" w:hanging="567"/>
    </w:pPr>
    <w:rPr>
      <w:rFonts w:ascii="Arial" w:hAnsi="Arial"/>
    </w:rPr>
  </w:style>
  <w:style w:type="paragraph" w:customStyle="1" w:styleId="Dotpointtwo">
    <w:name w:val="Dot point two"/>
    <w:basedOn w:val="dotpoint"/>
    <w:next w:val="BlockText"/>
    <w:rsid w:val="00192B65"/>
    <w:pPr>
      <w:widowControl w:val="0"/>
      <w:tabs>
        <w:tab w:val="clear" w:pos="567"/>
        <w:tab w:val="num" w:pos="1134"/>
      </w:tabs>
      <w:spacing w:after="240"/>
      <w:ind w:left="1134"/>
    </w:pPr>
  </w:style>
  <w:style w:type="paragraph" w:styleId="BlockText">
    <w:name w:val="Block Text"/>
    <w:basedOn w:val="Normal"/>
    <w:rsid w:val="00192B65"/>
    <w:pPr>
      <w:spacing w:after="120"/>
      <w:ind w:left="1440" w:right="1440"/>
    </w:pPr>
    <w:rPr>
      <w:lang w:val="en-NZ"/>
    </w:rPr>
  </w:style>
  <w:style w:type="paragraph" w:customStyle="1" w:styleId="Tabledotpoint">
    <w:name w:val="Table dot point"/>
    <w:basedOn w:val="Normal"/>
    <w:rsid w:val="00192B65"/>
    <w:pPr>
      <w:tabs>
        <w:tab w:val="num" w:pos="360"/>
      </w:tabs>
      <w:spacing w:after="240"/>
      <w:ind w:left="284" w:hanging="284"/>
    </w:pPr>
    <w:rPr>
      <w:sz w:val="20"/>
      <w:lang w:val="en-NZ"/>
    </w:rPr>
  </w:style>
  <w:style w:type="paragraph" w:customStyle="1" w:styleId="TRFooter">
    <w:name w:val="_TRFooter"/>
    <w:basedOn w:val="TRNormal"/>
    <w:rsid w:val="00192B65"/>
    <w:pPr>
      <w:tabs>
        <w:tab w:val="right" w:pos="9071"/>
      </w:tabs>
      <w:spacing w:after="0" w:line="240" w:lineRule="atLeast"/>
      <w:ind w:left="0" w:firstLine="0"/>
      <w:jc w:val="left"/>
    </w:pPr>
    <w:rPr>
      <w:sz w:val="16"/>
    </w:rPr>
  </w:style>
  <w:style w:type="paragraph" w:customStyle="1" w:styleId="TRHeader">
    <w:name w:val="_TRHeader"/>
    <w:basedOn w:val="TRNormal"/>
    <w:rsid w:val="00192B65"/>
    <w:pPr>
      <w:spacing w:after="0"/>
      <w:ind w:left="0" w:firstLine="0"/>
      <w:jc w:val="left"/>
    </w:pPr>
    <w:rPr>
      <w:b/>
      <w:sz w:val="16"/>
    </w:rPr>
  </w:style>
  <w:style w:type="paragraph" w:customStyle="1" w:styleId="TRTitle">
    <w:name w:val="_TRTitle"/>
    <w:basedOn w:val="TRNormal"/>
    <w:next w:val="TRNormal"/>
    <w:rsid w:val="00192B65"/>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192B65"/>
    <w:pPr>
      <w:spacing w:after="0"/>
      <w:ind w:left="0" w:firstLine="0"/>
      <w:jc w:val="left"/>
    </w:pPr>
  </w:style>
  <w:style w:type="paragraph" w:customStyle="1" w:styleId="Chapter16">
    <w:name w:val="Chapter16"/>
    <w:rsid w:val="00192B65"/>
    <w:pPr>
      <w:tabs>
        <w:tab w:val="left" w:pos="709"/>
      </w:tabs>
      <w:ind w:left="709" w:hanging="709"/>
      <w:jc w:val="both"/>
    </w:pPr>
    <w:rPr>
      <w:sz w:val="24"/>
      <w:lang w:eastAsia="en-AU"/>
    </w:rPr>
  </w:style>
  <w:style w:type="paragraph" w:customStyle="1" w:styleId="Chapter19">
    <w:name w:val="Chapter19"/>
    <w:rsid w:val="00192B65"/>
    <w:pPr>
      <w:tabs>
        <w:tab w:val="num" w:pos="720"/>
      </w:tabs>
      <w:ind w:left="709" w:hanging="709"/>
      <w:jc w:val="both"/>
    </w:pPr>
    <w:rPr>
      <w:sz w:val="24"/>
      <w:lang w:eastAsia="en-AU"/>
    </w:rPr>
  </w:style>
  <w:style w:type="paragraph" w:customStyle="1" w:styleId="Chapter11">
    <w:name w:val="Chapter11"/>
    <w:rsid w:val="00192B65"/>
    <w:pPr>
      <w:tabs>
        <w:tab w:val="left" w:pos="709"/>
      </w:tabs>
      <w:ind w:left="709" w:hanging="709"/>
      <w:jc w:val="both"/>
    </w:pPr>
    <w:rPr>
      <w:sz w:val="24"/>
      <w:lang w:eastAsia="en-AU"/>
    </w:rPr>
  </w:style>
  <w:style w:type="paragraph" w:customStyle="1" w:styleId="Chapter13">
    <w:name w:val="Chapter13"/>
    <w:rsid w:val="00192B65"/>
    <w:pPr>
      <w:tabs>
        <w:tab w:val="left" w:pos="709"/>
      </w:tabs>
      <w:ind w:left="709" w:hanging="709"/>
      <w:jc w:val="both"/>
    </w:pPr>
    <w:rPr>
      <w:sz w:val="24"/>
      <w:lang w:eastAsia="en-AU"/>
    </w:rPr>
  </w:style>
  <w:style w:type="paragraph" w:customStyle="1" w:styleId="dotpointindent">
    <w:name w:val="dot point indent"/>
    <w:rsid w:val="00192B65"/>
    <w:pPr>
      <w:tabs>
        <w:tab w:val="num" w:pos="1134"/>
      </w:tabs>
      <w:spacing w:after="140"/>
      <w:ind w:left="1134" w:hanging="567"/>
    </w:pPr>
    <w:rPr>
      <w:noProof/>
      <w:sz w:val="24"/>
      <w:lang w:val="en-AU" w:eastAsia="en-AU"/>
    </w:rPr>
  </w:style>
  <w:style w:type="paragraph" w:customStyle="1" w:styleId="TRFootnoteText">
    <w:name w:val="_TRFootnote Text"/>
    <w:basedOn w:val="Normal"/>
    <w:rsid w:val="00192B65"/>
    <w:pPr>
      <w:spacing w:line="300" w:lineRule="atLeast"/>
    </w:pPr>
    <w:rPr>
      <w:sz w:val="16"/>
      <w:lang w:val="en-NZ"/>
    </w:rPr>
  </w:style>
  <w:style w:type="paragraph" w:customStyle="1" w:styleId="TRBodyText">
    <w:name w:val="_TRBody Text"/>
    <w:rsid w:val="00192B65"/>
    <w:pPr>
      <w:spacing w:line="300" w:lineRule="atLeast"/>
      <w:jc w:val="both"/>
    </w:pPr>
    <w:rPr>
      <w:sz w:val="24"/>
      <w:lang w:eastAsia="en-AU"/>
    </w:rPr>
  </w:style>
  <w:style w:type="paragraph" w:styleId="NormalWeb">
    <w:name w:val="Normal (Web)"/>
    <w:basedOn w:val="Normal"/>
    <w:rsid w:val="00192B65"/>
    <w:pPr>
      <w:spacing w:before="100" w:after="100"/>
    </w:pPr>
    <w:rPr>
      <w:rFonts w:ascii="Verdana" w:hAnsi="Verdana"/>
      <w:lang w:val="en-AU"/>
    </w:rPr>
  </w:style>
  <w:style w:type="paragraph" w:customStyle="1" w:styleId="Chapter3">
    <w:name w:val="Chapter 3"/>
    <w:basedOn w:val="Normal"/>
    <w:rsid w:val="00192B65"/>
    <w:pPr>
      <w:tabs>
        <w:tab w:val="num" w:pos="737"/>
      </w:tabs>
      <w:spacing w:before="120" w:after="120"/>
      <w:ind w:left="737" w:hanging="737"/>
    </w:pPr>
    <w:rPr>
      <w:snapToGrid w:val="0"/>
      <w:lang w:val="en-AU" w:eastAsia="en-US"/>
    </w:rPr>
  </w:style>
  <w:style w:type="paragraph" w:customStyle="1" w:styleId="Indent2">
    <w:name w:val="Indent 2"/>
    <w:rsid w:val="00192B65"/>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192B65"/>
    <w:pPr>
      <w:keepNext/>
      <w:widowControl w:val="0"/>
      <w:spacing w:before="560" w:after="360"/>
      <w:jc w:val="left"/>
    </w:pPr>
    <w:rPr>
      <w:b/>
      <w:lang w:val="en-NZ"/>
    </w:rPr>
  </w:style>
  <w:style w:type="paragraph" w:customStyle="1" w:styleId="TRHeading4">
    <w:name w:val="_TRHeading 4"/>
    <w:basedOn w:val="Normal"/>
    <w:next w:val="TRNormal"/>
    <w:rsid w:val="00192B65"/>
    <w:pPr>
      <w:keepNext/>
      <w:widowControl w:val="0"/>
      <w:spacing w:before="360" w:after="360"/>
      <w:jc w:val="left"/>
    </w:pPr>
    <w:rPr>
      <w:i/>
      <w:lang w:val="en-NZ"/>
    </w:rPr>
  </w:style>
  <w:style w:type="paragraph" w:customStyle="1" w:styleId="Chapter2">
    <w:name w:val="Chapter 2"/>
    <w:basedOn w:val="Normal"/>
    <w:autoRedefine/>
    <w:rsid w:val="00192B65"/>
    <w:pPr>
      <w:tabs>
        <w:tab w:val="num" w:pos="851"/>
      </w:tabs>
      <w:spacing w:after="240"/>
    </w:pPr>
    <w:rPr>
      <w:snapToGrid w:val="0"/>
      <w:lang w:val="en-NZ"/>
    </w:rPr>
  </w:style>
  <w:style w:type="table" w:styleId="TableGrid">
    <w:name w:val="Table Grid"/>
    <w:basedOn w:val="TableNormal"/>
    <w:uiPriority w:val="59"/>
    <w:rsid w:val="0019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2B65"/>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192B65"/>
    <w:rPr>
      <w:b/>
      <w:bCs/>
      <w:sz w:val="26"/>
      <w:lang w:val="en-GB" w:eastAsia="en-AU"/>
    </w:rPr>
  </w:style>
  <w:style w:type="paragraph" w:customStyle="1" w:styleId="Egbox">
    <w:name w:val="Eg box"/>
    <w:basedOn w:val="Normal"/>
    <w:link w:val="EgboxChar"/>
    <w:qFormat/>
    <w:rsid w:val="00192B65"/>
    <w:pPr>
      <w:pBdr>
        <w:top w:val="single" w:sz="4" w:space="1" w:color="auto"/>
        <w:left w:val="single" w:sz="4" w:space="4" w:color="auto"/>
        <w:bottom w:val="single" w:sz="4" w:space="1" w:color="auto"/>
        <w:right w:val="single" w:sz="4" w:space="4" w:color="auto"/>
      </w:pBdr>
      <w:spacing w:after="240"/>
    </w:pPr>
    <w:rPr>
      <w:lang w:val="en-NZ"/>
    </w:rPr>
  </w:style>
  <w:style w:type="character" w:customStyle="1" w:styleId="EgboxChar">
    <w:name w:val="Eg box Char"/>
    <w:basedOn w:val="DefaultParagraphFont"/>
    <w:link w:val="Egbox"/>
    <w:rsid w:val="00192B65"/>
    <w:rPr>
      <w:sz w:val="24"/>
      <w:lang w:eastAsia="en-AU"/>
    </w:rPr>
  </w:style>
  <w:style w:type="character" w:styleId="Hyperlink">
    <w:name w:val="Hyperlink"/>
    <w:basedOn w:val="DefaultParagraphFont"/>
    <w:uiPriority w:val="99"/>
    <w:unhideWhenUsed/>
    <w:rsid w:val="00192B65"/>
    <w:rPr>
      <w:color w:val="0000FF" w:themeColor="hyperlink"/>
      <w:u w:val="single"/>
    </w:rPr>
  </w:style>
  <w:style w:type="paragraph" w:styleId="Revision">
    <w:name w:val="Revision"/>
    <w:hidden/>
    <w:uiPriority w:val="99"/>
    <w:semiHidden/>
    <w:rsid w:val="00192B65"/>
    <w:rPr>
      <w:sz w:val="24"/>
      <w:lang w:val="en-GB" w:eastAsia="en-AU"/>
    </w:rPr>
  </w:style>
  <w:style w:type="character" w:customStyle="1" w:styleId="FootnoteTextChar">
    <w:name w:val="Footnote Text Char"/>
    <w:basedOn w:val="DefaultParagraphFont"/>
    <w:link w:val="FootnoteText"/>
    <w:uiPriority w:val="99"/>
    <w:rsid w:val="002C0293"/>
    <w:rPr>
      <w:lang w:val="en-GB" w:eastAsia="en-AU"/>
    </w:rPr>
  </w:style>
  <w:style w:type="table" w:customStyle="1" w:styleId="TableGrid1">
    <w:name w:val="Table Grid1"/>
    <w:basedOn w:val="TableNormal"/>
    <w:next w:val="TableGrid"/>
    <w:rsid w:val="00532BA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15CB"/>
    <w:rPr>
      <w:color w:val="800080" w:themeColor="followedHyperlink"/>
      <w:u w:val="single"/>
    </w:rPr>
  </w:style>
  <w:style w:type="paragraph" w:customStyle="1" w:styleId="Sections">
    <w:name w:val="Sections"/>
    <w:basedOn w:val="Normal"/>
    <w:link w:val="SectionsChar"/>
    <w:qFormat/>
    <w:rsid w:val="00076A05"/>
    <w:rPr>
      <w:b/>
      <w:i/>
      <w:szCs w:val="24"/>
      <w:lang w:val="en-NZ" w:eastAsia="en-NZ"/>
    </w:rPr>
  </w:style>
  <w:style w:type="character" w:customStyle="1" w:styleId="SectionsChar">
    <w:name w:val="Sections Char"/>
    <w:basedOn w:val="DefaultParagraphFont"/>
    <w:link w:val="Sections"/>
    <w:rsid w:val="00076A05"/>
    <w:rPr>
      <w:b/>
      <w:i/>
      <w:sz w:val="24"/>
      <w:szCs w:val="24"/>
    </w:rPr>
  </w:style>
  <w:style w:type="paragraph" w:customStyle="1" w:styleId="Title-Specialreport">
    <w:name w:val="Title - Special report"/>
    <w:basedOn w:val="Normal"/>
    <w:qFormat/>
    <w:rsid w:val="00076A05"/>
    <w:pPr>
      <w:pBdr>
        <w:top w:val="single" w:sz="18" w:space="10" w:color="auto"/>
        <w:bottom w:val="single" w:sz="8" w:space="10" w:color="auto"/>
      </w:pBdr>
    </w:pPr>
    <w:rPr>
      <w:b/>
      <w:sz w:val="36"/>
      <w:szCs w:val="36"/>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package" Target="embeddings/Microsoft_Visio_Drawing2.vsdx"/><Relationship Id="rId18" Type="http://schemas.openxmlformats.org/officeDocument/2006/relationships/package" Target="embeddings/Microsoft_Visio_Drawing5.vsdx"/><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package" Target="embeddings/Microsoft_Word_Document.docx"/><Relationship Id="rId7" Type="http://schemas.openxmlformats.org/officeDocument/2006/relationships/image" Target="media/image1.emf"/><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Word_Document7.docx"/><Relationship Id="rId28" Type="http://schemas.openxmlformats.org/officeDocument/2006/relationships/theme" Target="theme/theme1.xml"/><Relationship Id="rId10" Type="http://schemas.openxmlformats.org/officeDocument/2006/relationships/hyperlink" Target="https://www.rbnz.govt.nz/regulation-and-supervision/non-bank-deposit-takers/requirements/credit-ratings" TargetMode="External"/><Relationship Id="rId19" Type="http://schemas.openxmlformats.org/officeDocument/2006/relationships/package" Target="embeddings/Microsoft_Visio_Drawing6.vsdx"/><Relationship Id="rId4" Type="http://schemas.openxmlformats.org/officeDocument/2006/relationships/webSettings" Target="webSettings.xml"/><Relationship Id="rId9" Type="http://schemas.openxmlformats.org/officeDocument/2006/relationships/hyperlink" Target="http://www.ird.govt.nz/international/business/transfer-pricing/transfer-pricing/practice/transfer-pricing-practice-financing-costs.html" TargetMode="Externa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17024</Words>
  <Characters>97042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Draft special report - BEPS - interest limitation rules (August 2018)</vt:lpstr>
    </vt:vector>
  </TitlesOfParts>
  <Manager/>
  <Company>Inland Revenue</Company>
  <LinksUpToDate>false</LinksUpToDate>
  <CharactersWithSpaces>113839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report - BEPS - interest limitation rules (August 2018)</dc:title>
  <dc:subject/>
  <dc:creator>Policy and Strategy</dc:creator>
  <dcterms:created xsi:type="dcterms:W3CDTF">2019-04-29T00:05:00Z</dcterms:created>
  <dcterms:modified xsi:type="dcterms:W3CDTF">2019-04-29T00:06:00Z</dcterms:modified>
</cp:coreProperties>
</file>