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57E" w:rsidRDefault="0062657E" w:rsidP="007B090A">
      <w:pPr>
        <w:pStyle w:val="Heading1"/>
        <w:spacing w:line="276" w:lineRule="auto"/>
        <w:rPr>
          <w:color w:val="0082AB"/>
        </w:rPr>
      </w:pPr>
      <w:r w:rsidRPr="0005691A">
        <w:rPr>
          <w:color w:val="0082AB"/>
        </w:rPr>
        <w:t>Coversheet</w:t>
      </w:r>
      <w:r w:rsidR="009435C4">
        <w:rPr>
          <w:color w:val="0082AB"/>
        </w:rPr>
        <w:t>:</w:t>
      </w:r>
      <w:r w:rsidRPr="0005691A">
        <w:rPr>
          <w:color w:val="0082AB"/>
        </w:rPr>
        <w:t xml:space="preserve"> </w:t>
      </w:r>
      <w:r w:rsidR="00720214">
        <w:rPr>
          <w:color w:val="0082AB"/>
        </w:rPr>
        <w:t>Proposed changes to bloodstock tax rules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8"/>
        <w:gridCol w:w="6719"/>
      </w:tblGrid>
      <w:tr w:rsidR="0062657E" w:rsidRPr="007B090A" w:rsidTr="00FA7EFC">
        <w:tc>
          <w:tcPr>
            <w:tcW w:w="2348" w:type="dxa"/>
            <w:shd w:val="clear" w:color="auto" w:fill="EBF5F8"/>
          </w:tcPr>
          <w:p w:rsidR="0062657E" w:rsidRPr="007B090A" w:rsidRDefault="0062657E" w:rsidP="00C76F5C">
            <w:pPr>
              <w:pStyle w:val="TableText"/>
              <w:spacing w:line="276" w:lineRule="auto"/>
              <w:jc w:val="both"/>
              <w:rPr>
                <w:rFonts w:cs="Arial"/>
                <w:sz w:val="22"/>
              </w:rPr>
            </w:pPr>
            <w:r w:rsidRPr="007B090A">
              <w:rPr>
                <w:rFonts w:cs="Arial"/>
                <w:sz w:val="22"/>
              </w:rPr>
              <w:t>Advising agencies</w:t>
            </w:r>
          </w:p>
        </w:tc>
        <w:tc>
          <w:tcPr>
            <w:tcW w:w="6719" w:type="dxa"/>
            <w:shd w:val="clear" w:color="auto" w:fill="auto"/>
          </w:tcPr>
          <w:p w:rsidR="0062657E" w:rsidRPr="00720214" w:rsidRDefault="007406DE" w:rsidP="00C76F5C">
            <w:pPr>
              <w:spacing w:before="20" w:after="20" w:line="276" w:lineRule="auto"/>
              <w:jc w:val="both"/>
              <w:rPr>
                <w:rFonts w:cs="Arial"/>
                <w:szCs w:val="22"/>
              </w:rPr>
            </w:pPr>
            <w:r>
              <w:rPr>
                <w:rFonts w:cs="Arial"/>
                <w:szCs w:val="22"/>
              </w:rPr>
              <w:t xml:space="preserve">Inland Revenue and </w:t>
            </w:r>
            <w:r w:rsidR="004253AB">
              <w:rPr>
                <w:rFonts w:cs="Arial"/>
                <w:szCs w:val="22"/>
              </w:rPr>
              <w:t xml:space="preserve">the </w:t>
            </w:r>
            <w:r>
              <w:rPr>
                <w:rFonts w:cs="Arial"/>
                <w:szCs w:val="22"/>
              </w:rPr>
              <w:t>Treasury</w:t>
            </w:r>
          </w:p>
        </w:tc>
      </w:tr>
      <w:tr w:rsidR="0062657E" w:rsidRPr="007B090A" w:rsidTr="00FA7EFC">
        <w:tc>
          <w:tcPr>
            <w:tcW w:w="2348" w:type="dxa"/>
            <w:shd w:val="clear" w:color="auto" w:fill="EBF5F8"/>
          </w:tcPr>
          <w:p w:rsidR="0062657E" w:rsidRPr="007B090A" w:rsidRDefault="0062657E" w:rsidP="00C76F5C">
            <w:pPr>
              <w:pStyle w:val="TableText"/>
              <w:spacing w:line="276" w:lineRule="auto"/>
              <w:jc w:val="both"/>
              <w:rPr>
                <w:rFonts w:cs="Arial"/>
                <w:sz w:val="22"/>
              </w:rPr>
            </w:pPr>
            <w:r w:rsidRPr="007B090A">
              <w:rPr>
                <w:rFonts w:cs="Arial"/>
                <w:sz w:val="22"/>
              </w:rPr>
              <w:t>Decision sought</w:t>
            </w:r>
          </w:p>
        </w:tc>
        <w:tc>
          <w:tcPr>
            <w:tcW w:w="6719" w:type="dxa"/>
            <w:shd w:val="clear" w:color="auto" w:fill="auto"/>
          </w:tcPr>
          <w:p w:rsidR="0062657E" w:rsidRPr="006727E5" w:rsidRDefault="006F2D8F" w:rsidP="00C76F5C">
            <w:pPr>
              <w:spacing w:before="20" w:after="20" w:line="276" w:lineRule="auto"/>
              <w:jc w:val="both"/>
              <w:rPr>
                <w:rFonts w:cs="Arial"/>
                <w:szCs w:val="22"/>
              </w:rPr>
            </w:pPr>
            <w:r>
              <w:rPr>
                <w:rFonts w:cs="Arial"/>
                <w:szCs w:val="22"/>
              </w:rPr>
              <w:t xml:space="preserve">Final design approvals for Budget 2018 bloodstock initiative </w:t>
            </w:r>
          </w:p>
        </w:tc>
      </w:tr>
      <w:tr w:rsidR="0062657E" w:rsidRPr="007B090A" w:rsidTr="00FA7EFC">
        <w:tc>
          <w:tcPr>
            <w:tcW w:w="2348" w:type="dxa"/>
            <w:shd w:val="clear" w:color="auto" w:fill="EBF5F8"/>
          </w:tcPr>
          <w:p w:rsidR="0062657E" w:rsidRPr="007B090A" w:rsidRDefault="0062657E" w:rsidP="00C76F5C">
            <w:pPr>
              <w:pStyle w:val="TableText"/>
              <w:spacing w:line="276" w:lineRule="auto"/>
              <w:jc w:val="both"/>
              <w:rPr>
                <w:rFonts w:cs="Arial"/>
                <w:sz w:val="22"/>
              </w:rPr>
            </w:pPr>
            <w:r w:rsidRPr="007B090A">
              <w:rPr>
                <w:rFonts w:cs="Arial"/>
                <w:sz w:val="22"/>
              </w:rPr>
              <w:t>Proposing Ministers</w:t>
            </w:r>
          </w:p>
        </w:tc>
        <w:tc>
          <w:tcPr>
            <w:tcW w:w="6719" w:type="dxa"/>
            <w:shd w:val="clear" w:color="auto" w:fill="auto"/>
          </w:tcPr>
          <w:p w:rsidR="0062657E" w:rsidRPr="00C8362F" w:rsidRDefault="00C74C33" w:rsidP="0027630F">
            <w:pPr>
              <w:spacing w:before="20" w:after="20" w:line="276" w:lineRule="auto"/>
              <w:jc w:val="both"/>
              <w:rPr>
                <w:rFonts w:cs="Arial"/>
                <w:szCs w:val="22"/>
              </w:rPr>
            </w:pPr>
            <w:r>
              <w:rPr>
                <w:rFonts w:cs="Arial"/>
                <w:szCs w:val="22"/>
              </w:rPr>
              <w:t>Hon Stuart Nash (Minister of Revenue)</w:t>
            </w:r>
          </w:p>
        </w:tc>
      </w:tr>
    </w:tbl>
    <w:p w:rsidR="0062657E" w:rsidRDefault="0062657E" w:rsidP="00C76F5C">
      <w:pPr>
        <w:pStyle w:val="spacer"/>
        <w:spacing w:line="276" w:lineRule="auto"/>
        <w:jc w:val="both"/>
        <w:rPr>
          <w:rFonts w:cs="Arial"/>
          <w:sz w:val="22"/>
        </w:rPr>
      </w:pPr>
    </w:p>
    <w:p w:rsidR="009C4129" w:rsidRPr="007B090A" w:rsidRDefault="009C4129" w:rsidP="00C76F5C">
      <w:pPr>
        <w:pStyle w:val="spacer"/>
        <w:spacing w:line="276" w:lineRule="auto"/>
        <w:jc w:val="both"/>
        <w:rPr>
          <w:rFonts w:cs="Arial"/>
          <w:sz w:val="22"/>
        </w:rPr>
      </w:pPr>
    </w:p>
    <w:p w:rsidR="0062657E" w:rsidRPr="0005691A" w:rsidRDefault="0062657E" w:rsidP="00C76F5C">
      <w:pPr>
        <w:pStyle w:val="Heading2"/>
        <w:spacing w:line="276" w:lineRule="auto"/>
        <w:jc w:val="both"/>
      </w:pPr>
      <w:r>
        <w:t xml:space="preserve">Summary:  Problem and Proposed Approach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62657E" w:rsidRPr="007B090A" w:rsidTr="00663BAA">
        <w:trPr>
          <w:trHeight w:val="214"/>
        </w:trPr>
        <w:tc>
          <w:tcPr>
            <w:tcW w:w="9039" w:type="dxa"/>
            <w:shd w:val="clear" w:color="auto" w:fill="99CDDD"/>
          </w:tcPr>
          <w:p w:rsidR="0062657E" w:rsidRPr="007B090A" w:rsidRDefault="0062657E" w:rsidP="00C76F5C">
            <w:pPr>
              <w:keepNext/>
              <w:spacing w:before="60" w:after="60" w:line="276" w:lineRule="auto"/>
              <w:jc w:val="both"/>
              <w:rPr>
                <w:b/>
                <w:szCs w:val="22"/>
              </w:rPr>
            </w:pPr>
            <w:bookmarkStart w:id="0" w:name="_GoBack"/>
            <w:r w:rsidRPr="007B090A">
              <w:rPr>
                <w:b/>
                <w:szCs w:val="22"/>
              </w:rPr>
              <w:t>Problem Definition</w:t>
            </w:r>
          </w:p>
          <w:p w:rsidR="0062657E" w:rsidRPr="007B090A" w:rsidRDefault="0062657E" w:rsidP="00C76F5C">
            <w:pPr>
              <w:spacing w:before="60" w:after="60" w:line="240" w:lineRule="auto"/>
              <w:jc w:val="both"/>
              <w:rPr>
                <w:b/>
                <w:szCs w:val="22"/>
              </w:rPr>
            </w:pPr>
            <w:r w:rsidRPr="007B090A">
              <w:rPr>
                <w:b/>
                <w:szCs w:val="22"/>
              </w:rPr>
              <w:t>What problem or opportunity does this proposal seek to address?  Why is Government intervention required?</w:t>
            </w:r>
          </w:p>
        </w:tc>
      </w:tr>
      <w:bookmarkEnd w:id="0"/>
      <w:tr w:rsidR="0062657E" w:rsidRPr="007B090A" w:rsidTr="00663BAA">
        <w:trPr>
          <w:trHeight w:val="1228"/>
        </w:trPr>
        <w:tc>
          <w:tcPr>
            <w:tcW w:w="9039" w:type="dxa"/>
            <w:shd w:val="clear" w:color="auto" w:fill="FFFFFF"/>
          </w:tcPr>
          <w:p w:rsidR="0062657E" w:rsidRPr="007B090A" w:rsidRDefault="0062657E" w:rsidP="00C76F5C">
            <w:pPr>
              <w:pStyle w:val="TableText"/>
              <w:spacing w:before="0" w:after="0" w:line="276" w:lineRule="auto"/>
              <w:jc w:val="both"/>
              <w:rPr>
                <w:sz w:val="22"/>
              </w:rPr>
            </w:pPr>
          </w:p>
          <w:p w:rsidR="00186E24" w:rsidRDefault="003707EF" w:rsidP="00C76F5C">
            <w:pPr>
              <w:pStyle w:val="TableText"/>
              <w:spacing w:before="0" w:after="0" w:line="276" w:lineRule="auto"/>
              <w:jc w:val="both"/>
              <w:rPr>
                <w:sz w:val="22"/>
              </w:rPr>
            </w:pPr>
            <w:r>
              <w:rPr>
                <w:sz w:val="22"/>
              </w:rPr>
              <w:t xml:space="preserve">The Government wants to encourage </w:t>
            </w:r>
            <w:r w:rsidR="00BE6B34">
              <w:rPr>
                <w:sz w:val="22"/>
              </w:rPr>
              <w:t xml:space="preserve">investment in </w:t>
            </w:r>
            <w:r>
              <w:rPr>
                <w:sz w:val="22"/>
              </w:rPr>
              <w:t xml:space="preserve">the New Zealand racing industry and ensure New Zealand horses can compete with the best in the world. </w:t>
            </w:r>
            <w:r w:rsidR="00A97089">
              <w:rPr>
                <w:sz w:val="22"/>
              </w:rPr>
              <w:t>The concern is that the current tax rules for bloodstock breeding do not encourage new investors</w:t>
            </w:r>
            <w:r w:rsidR="00596262">
              <w:rPr>
                <w:sz w:val="22"/>
              </w:rPr>
              <w:t xml:space="preserve"> into this part of the industry</w:t>
            </w:r>
            <w:r w:rsidR="00A97089">
              <w:rPr>
                <w:sz w:val="22"/>
              </w:rPr>
              <w:t>.</w:t>
            </w:r>
            <w:r w:rsidR="00A31DAF">
              <w:rPr>
                <w:sz w:val="22"/>
              </w:rPr>
              <w:t xml:space="preserve"> </w:t>
            </w:r>
          </w:p>
          <w:p w:rsidR="0062657E" w:rsidRPr="007B090A" w:rsidRDefault="003D4BF0" w:rsidP="00C76F5C">
            <w:pPr>
              <w:pStyle w:val="TableText"/>
              <w:spacing w:before="0" w:after="0" w:line="276" w:lineRule="auto"/>
              <w:jc w:val="both"/>
              <w:rPr>
                <w:sz w:val="22"/>
              </w:rPr>
            </w:pPr>
            <w:r>
              <w:rPr>
                <w:sz w:val="22"/>
              </w:rPr>
              <w:t xml:space="preserve"> </w:t>
            </w:r>
          </w:p>
        </w:tc>
      </w:tr>
    </w:tbl>
    <w:p w:rsidR="0062657E" w:rsidRPr="007B090A" w:rsidRDefault="0062657E" w:rsidP="00C76F5C">
      <w:pPr>
        <w:pStyle w:val="spacer"/>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62657E" w:rsidRPr="007B090A" w:rsidTr="004A11FC">
        <w:trPr>
          <w:trHeight w:val="585"/>
        </w:trPr>
        <w:tc>
          <w:tcPr>
            <w:tcW w:w="9067" w:type="dxa"/>
            <w:shd w:val="clear" w:color="auto" w:fill="99CDDD"/>
          </w:tcPr>
          <w:p w:rsidR="0062657E" w:rsidRPr="007B090A" w:rsidRDefault="0062657E" w:rsidP="00C76F5C">
            <w:pPr>
              <w:spacing w:before="60" w:after="60" w:line="276" w:lineRule="auto"/>
              <w:jc w:val="both"/>
              <w:rPr>
                <w:b/>
                <w:szCs w:val="22"/>
              </w:rPr>
            </w:pPr>
            <w:r w:rsidRPr="007B090A">
              <w:rPr>
                <w:b/>
                <w:szCs w:val="22"/>
              </w:rPr>
              <w:t xml:space="preserve">Proposed Approach    </w:t>
            </w:r>
          </w:p>
          <w:p w:rsidR="0062657E" w:rsidRPr="007B090A" w:rsidRDefault="0062657E" w:rsidP="00C76F5C">
            <w:pPr>
              <w:spacing w:before="60" w:after="60" w:line="240" w:lineRule="auto"/>
              <w:jc w:val="both"/>
              <w:rPr>
                <w:b/>
                <w:szCs w:val="22"/>
              </w:rPr>
            </w:pPr>
            <w:r w:rsidRPr="007B090A">
              <w:rPr>
                <w:b/>
                <w:szCs w:val="22"/>
              </w:rPr>
              <w:t>How will Government intervention work to bring about the desired change? How is this the best option?</w:t>
            </w:r>
          </w:p>
        </w:tc>
      </w:tr>
      <w:tr w:rsidR="0062657E" w:rsidRPr="007B090A" w:rsidTr="00384E9B">
        <w:trPr>
          <w:trHeight w:val="1014"/>
        </w:trPr>
        <w:tc>
          <w:tcPr>
            <w:tcW w:w="9067" w:type="dxa"/>
            <w:shd w:val="clear" w:color="auto" w:fill="FFFFFF"/>
          </w:tcPr>
          <w:p w:rsidR="00E61B4F" w:rsidRDefault="00E61B4F" w:rsidP="00C76F5C">
            <w:pPr>
              <w:pStyle w:val="TableText"/>
              <w:spacing w:before="0" w:after="0" w:line="276" w:lineRule="auto"/>
              <w:jc w:val="both"/>
              <w:rPr>
                <w:sz w:val="22"/>
              </w:rPr>
            </w:pPr>
          </w:p>
          <w:p w:rsidR="0062657E" w:rsidRDefault="000A6AC2" w:rsidP="00C76F5C">
            <w:pPr>
              <w:pStyle w:val="TableText"/>
              <w:spacing w:before="0" w:after="0" w:line="276" w:lineRule="auto"/>
              <w:jc w:val="both"/>
              <w:rPr>
                <w:sz w:val="22"/>
              </w:rPr>
            </w:pPr>
            <w:r>
              <w:rPr>
                <w:sz w:val="22"/>
              </w:rPr>
              <w:t>New rules</w:t>
            </w:r>
            <w:r w:rsidR="009D659B">
              <w:rPr>
                <w:sz w:val="22"/>
              </w:rPr>
              <w:t xml:space="preserve"> will be introduced</w:t>
            </w:r>
            <w:r w:rsidR="00811A97">
              <w:rPr>
                <w:sz w:val="22"/>
              </w:rPr>
              <w:t xml:space="preserve"> that </w:t>
            </w:r>
            <w:r w:rsidR="00273233">
              <w:rPr>
                <w:sz w:val="22"/>
              </w:rPr>
              <w:t>allow</w:t>
            </w:r>
            <w:r w:rsidR="00E45975">
              <w:rPr>
                <w:sz w:val="22"/>
              </w:rPr>
              <w:t xml:space="preserve"> </w:t>
            </w:r>
            <w:r w:rsidR="00273233">
              <w:rPr>
                <w:sz w:val="22"/>
              </w:rPr>
              <w:t>new</w:t>
            </w:r>
            <w:r w:rsidR="00F66A91">
              <w:rPr>
                <w:sz w:val="22"/>
              </w:rPr>
              <w:t xml:space="preserve"> bloodstock</w:t>
            </w:r>
            <w:r w:rsidR="009A41E5">
              <w:rPr>
                <w:sz w:val="22"/>
              </w:rPr>
              <w:t xml:space="preserve"> </w:t>
            </w:r>
            <w:r w:rsidR="00273233">
              <w:rPr>
                <w:sz w:val="22"/>
              </w:rPr>
              <w:t xml:space="preserve">investors </w:t>
            </w:r>
            <w:r w:rsidR="009A41E5">
              <w:rPr>
                <w:sz w:val="22"/>
              </w:rPr>
              <w:t xml:space="preserve">to </w:t>
            </w:r>
            <w:r w:rsidR="0076019F">
              <w:rPr>
                <w:sz w:val="22"/>
              </w:rPr>
              <w:t xml:space="preserve">claim tax </w:t>
            </w:r>
            <w:r w:rsidR="000D5EF7">
              <w:rPr>
                <w:sz w:val="22"/>
              </w:rPr>
              <w:t>deductions</w:t>
            </w:r>
            <w:r w:rsidR="0076019F">
              <w:rPr>
                <w:sz w:val="22"/>
              </w:rPr>
              <w:t>, as though they had a bloodstock breeding business,</w:t>
            </w:r>
            <w:r w:rsidR="000D5EF7">
              <w:rPr>
                <w:sz w:val="22"/>
              </w:rPr>
              <w:t xml:space="preserve"> </w:t>
            </w:r>
            <w:r w:rsidR="0076019F">
              <w:rPr>
                <w:sz w:val="22"/>
              </w:rPr>
              <w:t xml:space="preserve">if they purchase a </w:t>
            </w:r>
            <w:r w:rsidR="00615760">
              <w:rPr>
                <w:sz w:val="22"/>
              </w:rPr>
              <w:t>standout</w:t>
            </w:r>
            <w:r w:rsidR="0076019F">
              <w:rPr>
                <w:sz w:val="22"/>
              </w:rPr>
              <w:t xml:space="preserve"> yearling</w:t>
            </w:r>
            <w:r w:rsidR="009C3D45">
              <w:rPr>
                <w:rStyle w:val="FootnoteReference"/>
              </w:rPr>
              <w:footnoteReference w:id="1"/>
            </w:r>
            <w:r w:rsidR="00E55A5E">
              <w:rPr>
                <w:sz w:val="22"/>
              </w:rPr>
              <w:t xml:space="preserve"> </w:t>
            </w:r>
            <w:r w:rsidR="0076019F">
              <w:rPr>
                <w:sz w:val="22"/>
              </w:rPr>
              <w:t>with an intention to breed from the horse in the future</w:t>
            </w:r>
            <w:r w:rsidR="00333363">
              <w:rPr>
                <w:sz w:val="22"/>
              </w:rPr>
              <w:t>.</w:t>
            </w:r>
            <w:r w:rsidR="0099513A">
              <w:rPr>
                <w:sz w:val="22"/>
              </w:rPr>
              <w:t xml:space="preserve"> </w:t>
            </w:r>
            <w:r w:rsidR="00732B6B">
              <w:rPr>
                <w:sz w:val="22"/>
              </w:rPr>
              <w:t>The aim is to</w:t>
            </w:r>
            <w:r w:rsidR="0099513A">
              <w:rPr>
                <w:sz w:val="22"/>
              </w:rPr>
              <w:t xml:space="preserve"> incentivise new investors </w:t>
            </w:r>
            <w:r w:rsidR="006E3806">
              <w:rPr>
                <w:sz w:val="22"/>
              </w:rPr>
              <w:t xml:space="preserve">into </w:t>
            </w:r>
            <w:r w:rsidR="00596262">
              <w:rPr>
                <w:sz w:val="22"/>
              </w:rPr>
              <w:t xml:space="preserve">bloodstock </w:t>
            </w:r>
            <w:r w:rsidR="006E3806">
              <w:rPr>
                <w:sz w:val="22"/>
              </w:rPr>
              <w:t xml:space="preserve">breeding while targeting the best </w:t>
            </w:r>
            <w:r w:rsidR="00596262">
              <w:rPr>
                <w:sz w:val="22"/>
              </w:rPr>
              <w:t xml:space="preserve">yearling </w:t>
            </w:r>
            <w:r w:rsidR="006E3806">
              <w:rPr>
                <w:sz w:val="22"/>
              </w:rPr>
              <w:t>prospects.</w:t>
            </w:r>
            <w:r w:rsidR="006A1DB0">
              <w:rPr>
                <w:sz w:val="22"/>
              </w:rPr>
              <w:t xml:space="preserve"> </w:t>
            </w:r>
          </w:p>
          <w:p w:rsidR="005C6767" w:rsidRPr="007B090A" w:rsidRDefault="005C6767" w:rsidP="00C76F5C">
            <w:pPr>
              <w:pStyle w:val="TableText"/>
              <w:spacing w:before="0" w:after="0" w:line="276" w:lineRule="auto"/>
              <w:jc w:val="both"/>
              <w:rPr>
                <w:sz w:val="22"/>
              </w:rPr>
            </w:pPr>
          </w:p>
        </w:tc>
      </w:tr>
    </w:tbl>
    <w:p w:rsidR="0062657E" w:rsidRPr="00AA6A54" w:rsidRDefault="0062657E" w:rsidP="00C76F5C">
      <w:pPr>
        <w:pStyle w:val="spacer"/>
        <w:jc w:val="both"/>
      </w:pPr>
    </w:p>
    <w:p w:rsidR="0062657E" w:rsidRPr="00B2239E" w:rsidRDefault="0062657E" w:rsidP="00C76F5C">
      <w:pPr>
        <w:pStyle w:val="Heading2"/>
        <w:spacing w:line="276" w:lineRule="auto"/>
        <w:jc w:val="both"/>
      </w:pPr>
      <w:r w:rsidRPr="00B2239E">
        <w:t>Section B</w:t>
      </w:r>
      <w:r w:rsidR="00B2239E">
        <w:t xml:space="preserve">: </w:t>
      </w:r>
      <w:r w:rsidRPr="00B2239E">
        <w:t xml:space="preserve">Summary Impacts: Benefits and costs </w:t>
      </w: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039"/>
      </w:tblGrid>
      <w:tr w:rsidR="00210C3D" w:rsidRPr="00210C3D" w:rsidTr="00663BAA">
        <w:trPr>
          <w:trHeight w:val="197"/>
        </w:trPr>
        <w:tc>
          <w:tcPr>
            <w:tcW w:w="9039" w:type="dxa"/>
            <w:tcBorders>
              <w:top w:val="single" w:sz="4" w:space="0" w:color="auto"/>
              <w:left w:val="single" w:sz="4" w:space="0" w:color="auto"/>
              <w:bottom w:val="single" w:sz="4" w:space="0" w:color="auto"/>
              <w:right w:val="single" w:sz="4" w:space="0" w:color="auto"/>
            </w:tcBorders>
            <w:shd w:val="clear" w:color="auto" w:fill="99CDDD"/>
          </w:tcPr>
          <w:p w:rsidR="0062657E" w:rsidRPr="00210C3D" w:rsidRDefault="0062657E" w:rsidP="00C76F5C">
            <w:pPr>
              <w:spacing w:before="60" w:after="60" w:line="240" w:lineRule="auto"/>
              <w:jc w:val="both"/>
              <w:rPr>
                <w:rFonts w:ascii="Arial Narrow" w:hAnsi="Arial Narrow"/>
                <w:b/>
                <w:i/>
                <w:szCs w:val="22"/>
              </w:rPr>
            </w:pPr>
            <w:r w:rsidRPr="00210C3D">
              <w:rPr>
                <w:b/>
                <w:szCs w:val="22"/>
              </w:rPr>
              <w:t>Who are the main expected beneficiaries and what is the nature of the expected benefit?</w:t>
            </w:r>
          </w:p>
        </w:tc>
      </w:tr>
      <w:tr w:rsidR="00210C3D" w:rsidRPr="00210C3D" w:rsidTr="00663BAA">
        <w:trPr>
          <w:trHeight w:val="699"/>
        </w:trPr>
        <w:tc>
          <w:tcPr>
            <w:tcW w:w="9039" w:type="dxa"/>
            <w:tcBorders>
              <w:top w:val="single" w:sz="4" w:space="0" w:color="auto"/>
              <w:left w:val="single" w:sz="4" w:space="0" w:color="auto"/>
              <w:bottom w:val="single" w:sz="4" w:space="0" w:color="auto"/>
              <w:right w:val="single" w:sz="4" w:space="0" w:color="auto"/>
            </w:tcBorders>
            <w:shd w:val="clear" w:color="auto" w:fill="FFFFFF"/>
          </w:tcPr>
          <w:p w:rsidR="000166DB" w:rsidRDefault="000166DB" w:rsidP="00C76F5C">
            <w:pPr>
              <w:pStyle w:val="TableText"/>
              <w:spacing w:before="0" w:after="0" w:line="276" w:lineRule="auto"/>
              <w:jc w:val="both"/>
              <w:rPr>
                <w:sz w:val="22"/>
              </w:rPr>
            </w:pPr>
          </w:p>
          <w:p w:rsidR="001220BD" w:rsidRDefault="00491FEE" w:rsidP="00C76F5C">
            <w:pPr>
              <w:pStyle w:val="TableText"/>
              <w:spacing w:before="0" w:after="0" w:line="276" w:lineRule="auto"/>
              <w:jc w:val="both"/>
              <w:rPr>
                <w:sz w:val="22"/>
              </w:rPr>
            </w:pPr>
            <w:r>
              <w:rPr>
                <w:sz w:val="22"/>
              </w:rPr>
              <w:t>New investors establishing a breeding business</w:t>
            </w:r>
            <w:r w:rsidR="00A56368">
              <w:rPr>
                <w:sz w:val="22"/>
              </w:rPr>
              <w:t xml:space="preserve"> will be able to access deductions</w:t>
            </w:r>
            <w:r>
              <w:rPr>
                <w:sz w:val="22"/>
              </w:rPr>
              <w:t xml:space="preserve"> earlier and in wider circumstances</w:t>
            </w:r>
            <w:r w:rsidR="00A56368">
              <w:rPr>
                <w:sz w:val="22"/>
              </w:rPr>
              <w:t xml:space="preserve"> </w:t>
            </w:r>
            <w:r>
              <w:rPr>
                <w:sz w:val="22"/>
              </w:rPr>
              <w:t>than they</w:t>
            </w:r>
            <w:r w:rsidR="0041587A">
              <w:rPr>
                <w:sz w:val="22"/>
              </w:rPr>
              <w:t xml:space="preserve"> </w:t>
            </w:r>
            <w:r>
              <w:rPr>
                <w:sz w:val="22"/>
              </w:rPr>
              <w:t>would</w:t>
            </w:r>
            <w:r w:rsidR="0041587A">
              <w:rPr>
                <w:sz w:val="22"/>
              </w:rPr>
              <w:t xml:space="preserve"> otherwise</w:t>
            </w:r>
            <w:r w:rsidR="00414651">
              <w:rPr>
                <w:sz w:val="22"/>
              </w:rPr>
              <w:t xml:space="preserve">. </w:t>
            </w:r>
            <w:r w:rsidR="001B6B53">
              <w:rPr>
                <w:sz w:val="22"/>
              </w:rPr>
              <w:t xml:space="preserve">Existing breeders </w:t>
            </w:r>
            <w:r w:rsidR="00DA043D">
              <w:rPr>
                <w:sz w:val="22"/>
              </w:rPr>
              <w:t xml:space="preserve">are likely to </w:t>
            </w:r>
            <w:r w:rsidR="001B6B53">
              <w:rPr>
                <w:sz w:val="22"/>
              </w:rPr>
              <w:t>benefit from an increase in prices for yearlings at the margin.</w:t>
            </w:r>
            <w:r w:rsidR="00D82F88">
              <w:rPr>
                <w:sz w:val="22"/>
              </w:rPr>
              <w:t xml:space="preserve"> Qualified bloodstock managers </w:t>
            </w:r>
            <w:r w:rsidR="00DA043D">
              <w:rPr>
                <w:sz w:val="22"/>
              </w:rPr>
              <w:t xml:space="preserve">may </w:t>
            </w:r>
            <w:r w:rsidR="00D82F88">
              <w:rPr>
                <w:sz w:val="22"/>
              </w:rPr>
              <w:t>also benefit from additional demand</w:t>
            </w:r>
            <w:r w:rsidR="0017431A">
              <w:rPr>
                <w:sz w:val="22"/>
              </w:rPr>
              <w:t xml:space="preserve"> for services in business planning. Finally</w:t>
            </w:r>
            <w:r w:rsidR="00300E83">
              <w:rPr>
                <w:sz w:val="22"/>
              </w:rPr>
              <w:t>,</w:t>
            </w:r>
            <w:r w:rsidR="0017431A">
              <w:rPr>
                <w:sz w:val="22"/>
              </w:rPr>
              <w:t xml:space="preserve"> the </w:t>
            </w:r>
            <w:r w:rsidR="00596262">
              <w:rPr>
                <w:sz w:val="22"/>
              </w:rPr>
              <w:t xml:space="preserve">entire </w:t>
            </w:r>
            <w:r w:rsidR="0017431A">
              <w:rPr>
                <w:sz w:val="22"/>
              </w:rPr>
              <w:t xml:space="preserve">racing industry </w:t>
            </w:r>
            <w:r w:rsidR="00DA043D">
              <w:rPr>
                <w:sz w:val="22"/>
              </w:rPr>
              <w:t xml:space="preserve">may </w:t>
            </w:r>
            <w:r w:rsidR="0017431A">
              <w:rPr>
                <w:sz w:val="22"/>
              </w:rPr>
              <w:t xml:space="preserve">benefit </w:t>
            </w:r>
            <w:r w:rsidR="00596262">
              <w:rPr>
                <w:sz w:val="22"/>
              </w:rPr>
              <w:t xml:space="preserve">in the long run </w:t>
            </w:r>
            <w:r w:rsidR="00A176AC">
              <w:rPr>
                <w:sz w:val="22"/>
              </w:rPr>
              <w:t>from improvement</w:t>
            </w:r>
            <w:r w:rsidR="00596262">
              <w:rPr>
                <w:sz w:val="22"/>
              </w:rPr>
              <w:t>s</w:t>
            </w:r>
            <w:r w:rsidR="00A176AC">
              <w:rPr>
                <w:sz w:val="22"/>
              </w:rPr>
              <w:t xml:space="preserve"> in </w:t>
            </w:r>
            <w:r w:rsidR="00596262">
              <w:rPr>
                <w:sz w:val="22"/>
              </w:rPr>
              <w:t xml:space="preserve">the </w:t>
            </w:r>
            <w:r w:rsidR="00596262">
              <w:rPr>
                <w:sz w:val="22"/>
              </w:rPr>
              <w:lastRenderedPageBreak/>
              <w:t xml:space="preserve">quality of New Zealand’s bloodstock.  </w:t>
            </w:r>
          </w:p>
          <w:p w:rsidR="006D465E" w:rsidRPr="00210C3D" w:rsidRDefault="006D465E" w:rsidP="00C76F5C">
            <w:pPr>
              <w:pStyle w:val="TableText"/>
              <w:spacing w:before="0" w:after="0" w:line="276" w:lineRule="auto"/>
              <w:jc w:val="both"/>
              <w:rPr>
                <w:sz w:val="22"/>
              </w:rPr>
            </w:pPr>
          </w:p>
        </w:tc>
      </w:tr>
    </w:tbl>
    <w:p w:rsidR="0062657E" w:rsidRPr="00AA6A54" w:rsidRDefault="0062657E" w:rsidP="00C76F5C">
      <w:pPr>
        <w:pStyle w:val="spacer"/>
        <w:jc w:val="both"/>
      </w:pPr>
    </w:p>
    <w:tbl>
      <w:tblPr>
        <w:tblW w:w="0" w:type="auto"/>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ook w:val="04A0" w:firstRow="1" w:lastRow="0" w:firstColumn="1" w:lastColumn="0" w:noHBand="0" w:noVBand="1"/>
      </w:tblPr>
      <w:tblGrid>
        <w:gridCol w:w="9039"/>
      </w:tblGrid>
      <w:tr w:rsidR="00210C3D" w:rsidRPr="00210C3D" w:rsidTr="00663BAA">
        <w:trPr>
          <w:trHeight w:val="224"/>
        </w:trPr>
        <w:tc>
          <w:tcPr>
            <w:tcW w:w="9039" w:type="dxa"/>
            <w:tcBorders>
              <w:top w:val="single" w:sz="4" w:space="0" w:color="auto"/>
              <w:left w:val="single" w:sz="4" w:space="0" w:color="auto"/>
              <w:bottom w:val="single" w:sz="4" w:space="0" w:color="auto"/>
              <w:right w:val="single" w:sz="4" w:space="0" w:color="auto"/>
            </w:tcBorders>
            <w:shd w:val="clear" w:color="auto" w:fill="99CDDD"/>
          </w:tcPr>
          <w:p w:rsidR="0062657E" w:rsidRPr="00210C3D" w:rsidRDefault="0062657E" w:rsidP="00C76F5C">
            <w:pPr>
              <w:spacing w:before="60" w:after="60" w:line="240" w:lineRule="auto"/>
              <w:jc w:val="both"/>
              <w:rPr>
                <w:b/>
                <w:szCs w:val="22"/>
              </w:rPr>
            </w:pPr>
            <w:r w:rsidRPr="00210C3D">
              <w:rPr>
                <w:b/>
                <w:szCs w:val="22"/>
              </w:rPr>
              <w:t xml:space="preserve">Where do the costs fall?  </w:t>
            </w:r>
          </w:p>
        </w:tc>
      </w:tr>
      <w:tr w:rsidR="00210C3D" w:rsidRPr="00210C3D" w:rsidTr="00663BAA">
        <w:tc>
          <w:tcPr>
            <w:tcW w:w="9039" w:type="dxa"/>
            <w:tcBorders>
              <w:top w:val="single" w:sz="4" w:space="0" w:color="auto"/>
              <w:left w:val="single" w:sz="4" w:space="0" w:color="auto"/>
              <w:bottom w:val="single" w:sz="4" w:space="0" w:color="auto"/>
              <w:right w:val="single" w:sz="4" w:space="0" w:color="auto"/>
            </w:tcBorders>
            <w:shd w:val="clear" w:color="auto" w:fill="FFFFFF"/>
          </w:tcPr>
          <w:p w:rsidR="000166DB" w:rsidRDefault="000166DB" w:rsidP="00C76F5C">
            <w:pPr>
              <w:pStyle w:val="TableText"/>
              <w:spacing w:before="0" w:after="0" w:line="276" w:lineRule="auto"/>
              <w:jc w:val="both"/>
              <w:rPr>
                <w:sz w:val="22"/>
              </w:rPr>
            </w:pPr>
          </w:p>
          <w:p w:rsidR="00231044" w:rsidRDefault="00FD3C75" w:rsidP="00C76F5C">
            <w:pPr>
              <w:pStyle w:val="TableText"/>
              <w:spacing w:before="0" w:after="0" w:line="276" w:lineRule="auto"/>
              <w:jc w:val="both"/>
              <w:rPr>
                <w:sz w:val="22"/>
              </w:rPr>
            </w:pPr>
            <w:r>
              <w:rPr>
                <w:sz w:val="22"/>
              </w:rPr>
              <w:t>The</w:t>
            </w:r>
            <w:r w:rsidR="00F65CE4">
              <w:rPr>
                <w:sz w:val="22"/>
              </w:rPr>
              <w:t xml:space="preserve"> monetary</w:t>
            </w:r>
            <w:r>
              <w:rPr>
                <w:sz w:val="22"/>
              </w:rPr>
              <w:t xml:space="preserve"> costs </w:t>
            </w:r>
            <w:r w:rsidR="00747A06">
              <w:rPr>
                <w:sz w:val="22"/>
              </w:rPr>
              <w:t>fall on the G</w:t>
            </w:r>
            <w:r w:rsidR="0077062F">
              <w:rPr>
                <w:sz w:val="22"/>
              </w:rPr>
              <w:t>overnment, which will fund the changes through tax expenditure</w:t>
            </w:r>
            <w:r w:rsidR="000630F9">
              <w:rPr>
                <w:sz w:val="22"/>
              </w:rPr>
              <w:t xml:space="preserve">. </w:t>
            </w:r>
          </w:p>
          <w:p w:rsidR="00231044" w:rsidRDefault="00231044" w:rsidP="00C76F5C">
            <w:pPr>
              <w:pStyle w:val="TableText"/>
              <w:spacing w:before="0" w:after="0" w:line="276" w:lineRule="auto"/>
              <w:jc w:val="both"/>
              <w:rPr>
                <w:sz w:val="22"/>
              </w:rPr>
            </w:pPr>
          </w:p>
          <w:p w:rsidR="00596262" w:rsidRDefault="00BB3569" w:rsidP="00C76F5C">
            <w:pPr>
              <w:pStyle w:val="TableText"/>
              <w:spacing w:before="0" w:after="0" w:line="276" w:lineRule="auto"/>
              <w:jc w:val="both"/>
              <w:rPr>
                <w:sz w:val="22"/>
              </w:rPr>
            </w:pPr>
            <w:r>
              <w:rPr>
                <w:sz w:val="22"/>
              </w:rPr>
              <w:t xml:space="preserve">Some of the costs may fall on </w:t>
            </w:r>
            <w:r w:rsidR="00DA043D">
              <w:rPr>
                <w:sz w:val="22"/>
              </w:rPr>
              <w:t xml:space="preserve">new and existing </w:t>
            </w:r>
            <w:r w:rsidR="00AA63B7">
              <w:rPr>
                <w:sz w:val="22"/>
              </w:rPr>
              <w:t>investors</w:t>
            </w:r>
            <w:r>
              <w:rPr>
                <w:sz w:val="22"/>
              </w:rPr>
              <w:t xml:space="preserve"> </w:t>
            </w:r>
            <w:r w:rsidR="00596262">
              <w:rPr>
                <w:sz w:val="22"/>
              </w:rPr>
              <w:t xml:space="preserve">if </w:t>
            </w:r>
            <w:r>
              <w:rPr>
                <w:sz w:val="22"/>
              </w:rPr>
              <w:t>they need to pay more for quality yearlings</w:t>
            </w:r>
            <w:r w:rsidR="00AA63B7">
              <w:rPr>
                <w:sz w:val="22"/>
              </w:rPr>
              <w:t>, particularly at the threshold</w:t>
            </w:r>
            <w:r w:rsidR="001B6756">
              <w:rPr>
                <w:sz w:val="22"/>
              </w:rPr>
              <w:t>. This</w:t>
            </w:r>
            <w:r w:rsidR="00231044">
              <w:rPr>
                <w:sz w:val="22"/>
              </w:rPr>
              <w:t xml:space="preserve"> may include overseas buyers of New Zealand bloodstock</w:t>
            </w:r>
            <w:r>
              <w:rPr>
                <w:sz w:val="22"/>
              </w:rPr>
              <w:t xml:space="preserve">. </w:t>
            </w:r>
          </w:p>
          <w:p w:rsidR="00596262" w:rsidRDefault="00596262" w:rsidP="00C76F5C">
            <w:pPr>
              <w:pStyle w:val="TableText"/>
              <w:spacing w:before="0" w:after="0" w:line="276" w:lineRule="auto"/>
              <w:jc w:val="both"/>
              <w:rPr>
                <w:sz w:val="22"/>
              </w:rPr>
            </w:pPr>
          </w:p>
          <w:p w:rsidR="0062657E" w:rsidRDefault="00766B0F" w:rsidP="00C76F5C">
            <w:pPr>
              <w:pStyle w:val="TableText"/>
              <w:spacing w:before="0" w:after="0" w:line="276" w:lineRule="auto"/>
              <w:jc w:val="both"/>
              <w:rPr>
                <w:sz w:val="22"/>
              </w:rPr>
            </w:pPr>
            <w:r>
              <w:rPr>
                <w:sz w:val="22"/>
              </w:rPr>
              <w:t xml:space="preserve">The policy </w:t>
            </w:r>
            <w:r w:rsidR="00DA043D">
              <w:rPr>
                <w:sz w:val="22"/>
              </w:rPr>
              <w:t xml:space="preserve">is expected to </w:t>
            </w:r>
            <w:r>
              <w:rPr>
                <w:sz w:val="22"/>
              </w:rPr>
              <w:t xml:space="preserve">increase compliance costs for </w:t>
            </w:r>
            <w:r w:rsidR="00DA043D">
              <w:rPr>
                <w:sz w:val="22"/>
              </w:rPr>
              <w:t xml:space="preserve">those taking advantage of the policy, </w:t>
            </w:r>
            <w:r>
              <w:rPr>
                <w:sz w:val="22"/>
              </w:rPr>
              <w:t xml:space="preserve">as </w:t>
            </w:r>
            <w:r w:rsidR="00DA043D">
              <w:rPr>
                <w:sz w:val="22"/>
              </w:rPr>
              <w:t xml:space="preserve">new investors </w:t>
            </w:r>
            <w:r>
              <w:rPr>
                <w:sz w:val="22"/>
              </w:rPr>
              <w:t xml:space="preserve">will </w:t>
            </w:r>
            <w:r w:rsidR="00DA043D">
              <w:rPr>
                <w:sz w:val="22"/>
              </w:rPr>
              <w:t xml:space="preserve">need </w:t>
            </w:r>
            <w:r w:rsidR="00340934">
              <w:rPr>
                <w:sz w:val="22"/>
              </w:rPr>
              <w:t>to demonstrate</w:t>
            </w:r>
            <w:r w:rsidR="00FC25E0">
              <w:rPr>
                <w:sz w:val="22"/>
              </w:rPr>
              <w:t xml:space="preserve"> an</w:t>
            </w:r>
            <w:r w:rsidR="00340934">
              <w:rPr>
                <w:sz w:val="22"/>
              </w:rPr>
              <w:t xml:space="preserve"> intention to breed</w:t>
            </w:r>
            <w:r w:rsidR="008E6C84">
              <w:rPr>
                <w:sz w:val="22"/>
              </w:rPr>
              <w:t xml:space="preserve"> by fulfilling a number of requirements</w:t>
            </w:r>
            <w:r w:rsidR="00DA043D">
              <w:rPr>
                <w:sz w:val="22"/>
              </w:rPr>
              <w:t>,</w:t>
            </w:r>
            <w:r w:rsidR="003729F2">
              <w:rPr>
                <w:sz w:val="22"/>
              </w:rPr>
              <w:t xml:space="preserve"> </w:t>
            </w:r>
            <w:r w:rsidR="008431A1">
              <w:rPr>
                <w:sz w:val="22"/>
              </w:rPr>
              <w:t xml:space="preserve">and </w:t>
            </w:r>
            <w:r w:rsidR="00DA043D">
              <w:rPr>
                <w:sz w:val="22"/>
              </w:rPr>
              <w:t xml:space="preserve">Inland </w:t>
            </w:r>
            <w:r w:rsidR="008E6C84">
              <w:rPr>
                <w:sz w:val="22"/>
              </w:rPr>
              <w:t>Revenue will</w:t>
            </w:r>
            <w:r w:rsidR="00DA043D">
              <w:rPr>
                <w:sz w:val="22"/>
              </w:rPr>
              <w:t xml:space="preserve"> also</w:t>
            </w:r>
            <w:r w:rsidR="008E6C84">
              <w:rPr>
                <w:sz w:val="22"/>
              </w:rPr>
              <w:t xml:space="preserve"> </w:t>
            </w:r>
            <w:r w:rsidR="00DA043D">
              <w:rPr>
                <w:sz w:val="22"/>
              </w:rPr>
              <w:t xml:space="preserve">incur additional administration costs </w:t>
            </w:r>
            <w:r w:rsidR="0013390A">
              <w:rPr>
                <w:sz w:val="22"/>
              </w:rPr>
              <w:t xml:space="preserve">in </w:t>
            </w:r>
            <w:r w:rsidR="00E9035A">
              <w:rPr>
                <w:sz w:val="22"/>
              </w:rPr>
              <w:t>evalua</w:t>
            </w:r>
            <w:r w:rsidR="00122626">
              <w:rPr>
                <w:sz w:val="22"/>
              </w:rPr>
              <w:t>ting</w:t>
            </w:r>
            <w:r w:rsidR="00E9035A">
              <w:rPr>
                <w:sz w:val="22"/>
              </w:rPr>
              <w:t xml:space="preserve"> </w:t>
            </w:r>
            <w:r w:rsidR="004247CD">
              <w:rPr>
                <w:sz w:val="22"/>
              </w:rPr>
              <w:t>these applications.</w:t>
            </w:r>
          </w:p>
          <w:p w:rsidR="003A3C8E" w:rsidRDefault="003A3C8E" w:rsidP="00C76F5C">
            <w:pPr>
              <w:pStyle w:val="TableText"/>
              <w:spacing w:before="0" w:after="0" w:line="276" w:lineRule="auto"/>
              <w:jc w:val="both"/>
              <w:rPr>
                <w:sz w:val="22"/>
              </w:rPr>
            </w:pPr>
          </w:p>
          <w:p w:rsidR="00231044" w:rsidRPr="00455309" w:rsidRDefault="003A3C8E" w:rsidP="00C76F5C">
            <w:pPr>
              <w:pStyle w:val="TableText"/>
              <w:spacing w:line="276" w:lineRule="auto"/>
              <w:jc w:val="both"/>
              <w:rPr>
                <w:sz w:val="22"/>
              </w:rPr>
            </w:pPr>
            <w:r w:rsidRPr="00455309">
              <w:rPr>
                <w:sz w:val="22"/>
              </w:rPr>
              <w:t xml:space="preserve">Finally, </w:t>
            </w:r>
            <w:r w:rsidR="00DE0023" w:rsidRPr="00455309">
              <w:rPr>
                <w:sz w:val="22"/>
              </w:rPr>
              <w:t>there is a risk that encouraging</w:t>
            </w:r>
            <w:r w:rsidRPr="00455309">
              <w:rPr>
                <w:sz w:val="22"/>
              </w:rPr>
              <w:t xml:space="preserve"> investment i</w:t>
            </w:r>
            <w:r w:rsidR="00DE0023" w:rsidRPr="00455309">
              <w:rPr>
                <w:sz w:val="22"/>
              </w:rPr>
              <w:t>n</w:t>
            </w:r>
            <w:r w:rsidRPr="00455309">
              <w:rPr>
                <w:sz w:val="22"/>
              </w:rPr>
              <w:t xml:space="preserve"> one area over others via the tax system ma</w:t>
            </w:r>
            <w:r w:rsidR="00DE0023" w:rsidRPr="00455309">
              <w:rPr>
                <w:sz w:val="22"/>
              </w:rPr>
              <w:t>y result in reduced tax revenue</w:t>
            </w:r>
            <w:r w:rsidRPr="00455309">
              <w:rPr>
                <w:sz w:val="22"/>
              </w:rPr>
              <w:t xml:space="preserve"> that need</w:t>
            </w:r>
            <w:r w:rsidR="00DE0023" w:rsidRPr="00455309">
              <w:rPr>
                <w:sz w:val="22"/>
              </w:rPr>
              <w:t>s</w:t>
            </w:r>
            <w:r w:rsidRPr="00455309">
              <w:rPr>
                <w:sz w:val="22"/>
              </w:rPr>
              <w:t xml:space="preserve"> to be made up elsewhere</w:t>
            </w:r>
            <w:r w:rsidR="00DE0023" w:rsidRPr="00455309">
              <w:rPr>
                <w:sz w:val="22"/>
              </w:rPr>
              <w:t>,</w:t>
            </w:r>
            <w:r w:rsidR="00231044" w:rsidRPr="00455309">
              <w:rPr>
                <w:sz w:val="22"/>
              </w:rPr>
              <w:t xml:space="preserve"> and result in </w:t>
            </w:r>
            <w:r w:rsidRPr="00455309">
              <w:rPr>
                <w:sz w:val="22"/>
              </w:rPr>
              <w:t>resources being captured by</w:t>
            </w:r>
            <w:r w:rsidR="00231044" w:rsidRPr="00455309">
              <w:rPr>
                <w:sz w:val="22"/>
              </w:rPr>
              <w:t xml:space="preserve"> interest groups</w:t>
            </w:r>
            <w:r w:rsidR="00DE0023" w:rsidRPr="00455309">
              <w:rPr>
                <w:sz w:val="22"/>
              </w:rPr>
              <w:t xml:space="preserve">, which can </w:t>
            </w:r>
            <w:r w:rsidR="00231044" w:rsidRPr="00455309">
              <w:rPr>
                <w:sz w:val="22"/>
              </w:rPr>
              <w:t>undermine the Government’s overall objectives for the tax system</w:t>
            </w:r>
            <w:r w:rsidRPr="00455309">
              <w:rPr>
                <w:sz w:val="22"/>
              </w:rPr>
              <w:t xml:space="preserve">. </w:t>
            </w:r>
          </w:p>
          <w:p w:rsidR="0062657E" w:rsidRPr="00210C3D" w:rsidRDefault="0062657E" w:rsidP="00C76F5C">
            <w:pPr>
              <w:pStyle w:val="TableText"/>
              <w:spacing w:before="0" w:after="0" w:line="276" w:lineRule="auto"/>
              <w:jc w:val="both"/>
              <w:rPr>
                <w:sz w:val="22"/>
              </w:rPr>
            </w:pPr>
          </w:p>
        </w:tc>
      </w:tr>
    </w:tbl>
    <w:p w:rsidR="0062657E" w:rsidRDefault="0062657E"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Default="001C2B7D" w:rsidP="00C76F5C">
      <w:pPr>
        <w:pStyle w:val="spacer"/>
        <w:jc w:val="both"/>
      </w:pPr>
    </w:p>
    <w:p w:rsidR="001C2B7D" w:rsidRPr="00210C3D" w:rsidRDefault="001C2B7D" w:rsidP="00C76F5C">
      <w:pPr>
        <w:pStyle w:val="spacer"/>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10C3D" w:rsidRPr="00210C3D" w:rsidTr="004A11FC">
        <w:tc>
          <w:tcPr>
            <w:tcW w:w="9067" w:type="dxa"/>
            <w:shd w:val="clear" w:color="auto" w:fill="99CDDD"/>
          </w:tcPr>
          <w:p w:rsidR="0062657E" w:rsidRPr="00210C3D" w:rsidRDefault="0062657E" w:rsidP="00C76F5C">
            <w:pPr>
              <w:spacing w:before="60" w:after="60" w:line="240" w:lineRule="auto"/>
              <w:jc w:val="both"/>
              <w:rPr>
                <w:b/>
                <w:i/>
                <w:szCs w:val="22"/>
              </w:rPr>
            </w:pPr>
            <w:r w:rsidRPr="00210C3D">
              <w:rPr>
                <w:b/>
                <w:szCs w:val="22"/>
              </w:rPr>
              <w:t xml:space="preserve">What are the likely risks and unintended impacts, how significant are they and how </w:t>
            </w:r>
            <w:r w:rsidRPr="00210C3D">
              <w:rPr>
                <w:b/>
                <w:szCs w:val="22"/>
              </w:rPr>
              <w:lastRenderedPageBreak/>
              <w:t xml:space="preserve">will they be minimised or mitigated? </w:t>
            </w:r>
          </w:p>
        </w:tc>
      </w:tr>
      <w:tr w:rsidR="00210C3D" w:rsidRPr="00210C3D" w:rsidTr="00E354B9">
        <w:trPr>
          <w:trHeight w:val="9752"/>
        </w:trPr>
        <w:tc>
          <w:tcPr>
            <w:tcW w:w="9067" w:type="dxa"/>
            <w:shd w:val="clear" w:color="auto" w:fill="FFFFFF"/>
          </w:tcPr>
          <w:p w:rsidR="00ED5F3E" w:rsidRDefault="00ED5F3E" w:rsidP="00C76F5C">
            <w:pPr>
              <w:pStyle w:val="TableText"/>
              <w:spacing w:before="0" w:after="0" w:line="276" w:lineRule="auto"/>
              <w:jc w:val="both"/>
              <w:rPr>
                <w:sz w:val="22"/>
              </w:rPr>
            </w:pPr>
          </w:p>
          <w:p w:rsidR="00E76317" w:rsidRDefault="00E76317" w:rsidP="00C76F5C">
            <w:pPr>
              <w:pStyle w:val="TableText"/>
              <w:spacing w:before="0" w:after="0" w:line="276" w:lineRule="auto"/>
              <w:jc w:val="both"/>
              <w:rPr>
                <w:sz w:val="22"/>
              </w:rPr>
            </w:pPr>
            <w:r>
              <w:rPr>
                <w:sz w:val="22"/>
              </w:rPr>
              <w:t xml:space="preserve">There is a risk that this policy </w:t>
            </w:r>
            <w:r w:rsidR="001C6826">
              <w:rPr>
                <w:sz w:val="22"/>
              </w:rPr>
              <w:t>may</w:t>
            </w:r>
            <w:r>
              <w:rPr>
                <w:sz w:val="22"/>
              </w:rPr>
              <w:t xml:space="preserve"> not improve the quality of New Zealand’s racing stock.  Limiting the policy to standout yearlings may result in new investors but little improvement in the quality of breeding.  </w:t>
            </w:r>
            <w:r w:rsidR="001B525E">
              <w:rPr>
                <w:sz w:val="22"/>
              </w:rPr>
              <w:t xml:space="preserve">The </w:t>
            </w:r>
            <w:r w:rsidR="008017DE">
              <w:rPr>
                <w:sz w:val="22"/>
              </w:rPr>
              <w:t>probability</w:t>
            </w:r>
            <w:r w:rsidR="001B525E">
              <w:rPr>
                <w:sz w:val="22"/>
              </w:rPr>
              <w:t xml:space="preserve"> that a yearling will be used in a commercial breeding business is reasonably low and is determined in part by how well </w:t>
            </w:r>
            <w:r w:rsidR="00143915">
              <w:rPr>
                <w:sz w:val="22"/>
              </w:rPr>
              <w:t>it performs on the race track, so e</w:t>
            </w:r>
            <w:r>
              <w:rPr>
                <w:sz w:val="22"/>
              </w:rPr>
              <w:t xml:space="preserve">stablishing a breeding business on the future racing performance of a yearling </w:t>
            </w:r>
            <w:r w:rsidR="001B525E">
              <w:rPr>
                <w:sz w:val="22"/>
              </w:rPr>
              <w:t xml:space="preserve">may </w:t>
            </w:r>
            <w:r>
              <w:rPr>
                <w:sz w:val="22"/>
              </w:rPr>
              <w:t>be a risk</w:t>
            </w:r>
            <w:r w:rsidR="00443BC9">
              <w:rPr>
                <w:sz w:val="22"/>
              </w:rPr>
              <w:t>y approach</w:t>
            </w:r>
            <w:r w:rsidR="00FD397A">
              <w:rPr>
                <w:sz w:val="22"/>
              </w:rPr>
              <w:t xml:space="preserve"> for investors.</w:t>
            </w:r>
          </w:p>
          <w:p w:rsidR="00E76317" w:rsidRDefault="00E76317" w:rsidP="00C76F5C">
            <w:pPr>
              <w:pStyle w:val="TableText"/>
              <w:spacing w:before="0" w:after="0" w:line="276" w:lineRule="auto"/>
              <w:jc w:val="both"/>
              <w:rPr>
                <w:sz w:val="22"/>
              </w:rPr>
            </w:pPr>
          </w:p>
          <w:p w:rsidR="00FF2DE9" w:rsidRDefault="00423250" w:rsidP="00C76F5C">
            <w:pPr>
              <w:pStyle w:val="TableText"/>
              <w:spacing w:before="0" w:after="0" w:line="276" w:lineRule="auto"/>
              <w:jc w:val="both"/>
              <w:rPr>
                <w:sz w:val="22"/>
              </w:rPr>
            </w:pPr>
            <w:r>
              <w:rPr>
                <w:sz w:val="22"/>
              </w:rPr>
              <w:t>Another</w:t>
            </w:r>
            <w:r w:rsidR="00E9235C">
              <w:rPr>
                <w:sz w:val="22"/>
              </w:rPr>
              <w:t xml:space="preserve"> risk </w:t>
            </w:r>
            <w:r>
              <w:rPr>
                <w:sz w:val="22"/>
              </w:rPr>
              <w:t xml:space="preserve">is </w:t>
            </w:r>
            <w:r w:rsidR="00E9235C">
              <w:rPr>
                <w:sz w:val="22"/>
              </w:rPr>
              <w:t xml:space="preserve">that </w:t>
            </w:r>
            <w:r w:rsidR="00DA043D">
              <w:rPr>
                <w:sz w:val="22"/>
              </w:rPr>
              <w:t xml:space="preserve">investors mainly interested in horse racing will </w:t>
            </w:r>
            <w:r w:rsidR="007015F8">
              <w:rPr>
                <w:sz w:val="22"/>
              </w:rPr>
              <w:t>access the rules, when c</w:t>
            </w:r>
            <w:r w:rsidR="00A254E2">
              <w:rPr>
                <w:sz w:val="22"/>
              </w:rPr>
              <w:t>urrently</w:t>
            </w:r>
            <w:r w:rsidR="00E76317">
              <w:rPr>
                <w:sz w:val="22"/>
              </w:rPr>
              <w:t xml:space="preserve"> the</w:t>
            </w:r>
            <w:r w:rsidR="001B525E">
              <w:rPr>
                <w:sz w:val="22"/>
              </w:rPr>
              <w:t xml:space="preserve"> costs and prize money from </w:t>
            </w:r>
            <w:r w:rsidR="00A36AD8">
              <w:rPr>
                <w:sz w:val="22"/>
              </w:rPr>
              <w:t>horse racing are</w:t>
            </w:r>
            <w:r w:rsidR="00E76317">
              <w:rPr>
                <w:sz w:val="22"/>
              </w:rPr>
              <w:t xml:space="preserve"> deliberately outside the</w:t>
            </w:r>
            <w:r w:rsidR="000B2B21">
              <w:rPr>
                <w:sz w:val="22"/>
              </w:rPr>
              <w:t xml:space="preserve"> tax base.</w:t>
            </w:r>
            <w:r w:rsidR="002C36CB">
              <w:rPr>
                <w:sz w:val="22"/>
              </w:rPr>
              <w:t xml:space="preserve"> </w:t>
            </w:r>
            <w:r w:rsidR="00664753">
              <w:rPr>
                <w:sz w:val="22"/>
              </w:rPr>
              <w:t>We assume the</w:t>
            </w:r>
            <w:r w:rsidR="002C36CB">
              <w:rPr>
                <w:sz w:val="22"/>
              </w:rPr>
              <w:t xml:space="preserve"> price</w:t>
            </w:r>
            <w:r w:rsidR="008017DE" w:rsidRPr="008017DE">
              <w:rPr>
                <w:sz w:val="22"/>
              </w:rPr>
              <w:t xml:space="preserve"> paid for a yearling may be a good proxy for a yearling that is more likely to be a commercial breeding prospect</w:t>
            </w:r>
            <w:r w:rsidR="00AB2580">
              <w:rPr>
                <w:sz w:val="22"/>
              </w:rPr>
              <w:t>;</w:t>
            </w:r>
            <w:r w:rsidR="00664753">
              <w:rPr>
                <w:sz w:val="22"/>
              </w:rPr>
              <w:t xml:space="preserve"> therefore the price threshold reduces this risk by preventing investors</w:t>
            </w:r>
            <w:r w:rsidR="00CA6C82">
              <w:rPr>
                <w:sz w:val="22"/>
              </w:rPr>
              <w:t xml:space="preserve"> from</w:t>
            </w:r>
            <w:r w:rsidR="00664753">
              <w:rPr>
                <w:sz w:val="22"/>
              </w:rPr>
              <w:t xml:space="preserve"> claim</w:t>
            </w:r>
            <w:r w:rsidR="00CA6C82">
              <w:rPr>
                <w:sz w:val="22"/>
              </w:rPr>
              <w:t>ing</w:t>
            </w:r>
            <w:r w:rsidR="00664753">
              <w:rPr>
                <w:sz w:val="22"/>
              </w:rPr>
              <w:t xml:space="preserve"> an intention to breed with lower-priced horses.</w:t>
            </w:r>
            <w:r w:rsidR="008017DE">
              <w:rPr>
                <w:sz w:val="22"/>
              </w:rPr>
              <w:t xml:space="preserve">  </w:t>
            </w:r>
            <w:r w:rsidR="00DA043D">
              <w:rPr>
                <w:sz w:val="22"/>
              </w:rPr>
              <w:t>However, investors</w:t>
            </w:r>
            <w:r w:rsidR="00231044">
              <w:rPr>
                <w:sz w:val="22"/>
              </w:rPr>
              <w:t xml:space="preserve"> mainly interested in horse racing </w:t>
            </w:r>
            <w:r w:rsidR="00DA043D">
              <w:rPr>
                <w:sz w:val="22"/>
              </w:rPr>
              <w:t xml:space="preserve">may be prepared to pay more for yearlings once bidding gets close to the </w:t>
            </w:r>
            <w:r w:rsidR="00FF2DE9">
              <w:rPr>
                <w:sz w:val="22"/>
              </w:rPr>
              <w:t xml:space="preserve">published price threshold.  </w:t>
            </w:r>
          </w:p>
          <w:p w:rsidR="00FF2DE9" w:rsidRDefault="00FF2DE9" w:rsidP="00C76F5C">
            <w:pPr>
              <w:pStyle w:val="TableText"/>
              <w:spacing w:before="0" w:after="0" w:line="276" w:lineRule="auto"/>
              <w:jc w:val="both"/>
              <w:rPr>
                <w:sz w:val="22"/>
              </w:rPr>
            </w:pPr>
          </w:p>
          <w:p w:rsidR="00E93862" w:rsidRDefault="004D03B2" w:rsidP="00C76F5C">
            <w:pPr>
              <w:pStyle w:val="TableText"/>
              <w:spacing w:before="0" w:after="0" w:line="276" w:lineRule="auto"/>
              <w:jc w:val="both"/>
              <w:rPr>
                <w:sz w:val="22"/>
              </w:rPr>
            </w:pPr>
            <w:r>
              <w:rPr>
                <w:sz w:val="22"/>
              </w:rPr>
              <w:t>Overall, c</w:t>
            </w:r>
            <w:r w:rsidR="00E8176C">
              <w:rPr>
                <w:sz w:val="22"/>
              </w:rPr>
              <w:t xml:space="preserve">hanges in investor behaviour may result in the costs of this policy being higher than forecast in Budget 2018.  The fiscal costs of this policy are based on a certain number </w:t>
            </w:r>
            <w:r w:rsidR="000362F7">
              <w:rPr>
                <w:sz w:val="22"/>
              </w:rPr>
              <w:t>of yearlings qualifying as standouts, and their estimated prices</w:t>
            </w:r>
            <w:r w:rsidR="00E8176C">
              <w:rPr>
                <w:sz w:val="22"/>
              </w:rPr>
              <w:t>.  The actual costs could be higher depending on the number of yearlings that are acquired with an intention to breed in the future and the p</w:t>
            </w:r>
            <w:r w:rsidR="00825F90">
              <w:rPr>
                <w:sz w:val="22"/>
              </w:rPr>
              <w:t>rices paid for these yearlings.</w:t>
            </w:r>
          </w:p>
          <w:p w:rsidR="00E93862" w:rsidRDefault="00E93862" w:rsidP="00C76F5C">
            <w:pPr>
              <w:pStyle w:val="TableText"/>
              <w:spacing w:before="0" w:after="0" w:line="276" w:lineRule="auto"/>
              <w:jc w:val="both"/>
              <w:rPr>
                <w:sz w:val="22"/>
              </w:rPr>
            </w:pPr>
          </w:p>
          <w:p w:rsidR="00231044" w:rsidRDefault="00BA0BFF" w:rsidP="00C76F5C">
            <w:pPr>
              <w:pStyle w:val="TableText"/>
              <w:spacing w:before="0" w:after="0" w:line="276" w:lineRule="auto"/>
              <w:jc w:val="both"/>
              <w:rPr>
                <w:sz w:val="22"/>
              </w:rPr>
            </w:pPr>
            <w:r w:rsidRPr="00FF2DE9">
              <w:rPr>
                <w:sz w:val="22"/>
              </w:rPr>
              <w:t xml:space="preserve">Inland Revenue </w:t>
            </w:r>
            <w:r>
              <w:rPr>
                <w:sz w:val="22"/>
              </w:rPr>
              <w:t xml:space="preserve">will be able to </w:t>
            </w:r>
            <w:r w:rsidRPr="00FF2DE9">
              <w:rPr>
                <w:sz w:val="22"/>
              </w:rPr>
              <w:t xml:space="preserve">monitor </w:t>
            </w:r>
            <w:r>
              <w:rPr>
                <w:sz w:val="22"/>
              </w:rPr>
              <w:t xml:space="preserve">and report on </w:t>
            </w:r>
            <w:r w:rsidRPr="00FF2DE9">
              <w:rPr>
                <w:sz w:val="22"/>
              </w:rPr>
              <w:t>the notifications it receives o</w:t>
            </w:r>
            <w:r w:rsidR="00694F15">
              <w:rPr>
                <w:sz w:val="22"/>
              </w:rPr>
              <w:t>f</w:t>
            </w:r>
            <w:r w:rsidRPr="00FF2DE9">
              <w:rPr>
                <w:sz w:val="22"/>
              </w:rPr>
              <w:t xml:space="preserve"> yearlings being acqu</w:t>
            </w:r>
            <w:r w:rsidR="00D951BE">
              <w:rPr>
                <w:sz w:val="22"/>
              </w:rPr>
              <w:t>ired with an intention to breed, and we</w:t>
            </w:r>
            <w:r w:rsidR="00C17E1C">
              <w:rPr>
                <w:sz w:val="22"/>
              </w:rPr>
              <w:t xml:space="preserve"> </w:t>
            </w:r>
            <w:r w:rsidR="00DC5D50">
              <w:rPr>
                <w:sz w:val="22"/>
              </w:rPr>
              <w:t xml:space="preserve">also </w:t>
            </w:r>
            <w:r w:rsidR="00C17E1C">
              <w:rPr>
                <w:sz w:val="22"/>
              </w:rPr>
              <w:t>note that i</w:t>
            </w:r>
            <w:r w:rsidR="009B13F6">
              <w:rPr>
                <w:sz w:val="22"/>
              </w:rPr>
              <w:t>f</w:t>
            </w:r>
            <w:r w:rsidR="00E8176C">
              <w:rPr>
                <w:sz w:val="22"/>
              </w:rPr>
              <w:t xml:space="preserve"> prices for standout yearlings</w:t>
            </w:r>
            <w:r w:rsidR="009760EA">
              <w:rPr>
                <w:sz w:val="22"/>
              </w:rPr>
              <w:t xml:space="preserve"> </w:t>
            </w:r>
            <w:r w:rsidR="005173A9">
              <w:rPr>
                <w:sz w:val="22"/>
              </w:rPr>
              <w:t>increase in the future</w:t>
            </w:r>
            <w:r w:rsidR="00E8176C">
              <w:rPr>
                <w:sz w:val="22"/>
              </w:rPr>
              <w:t>, then the</w:t>
            </w:r>
            <w:r w:rsidR="009760EA">
              <w:rPr>
                <w:sz w:val="22"/>
              </w:rPr>
              <w:t xml:space="preserve"> value of the threshold will increase over</w:t>
            </w:r>
            <w:r w:rsidR="00F34564">
              <w:rPr>
                <w:sz w:val="22"/>
              </w:rPr>
              <w:t xml:space="preserve"> </w:t>
            </w:r>
            <w:r w:rsidR="009760EA">
              <w:rPr>
                <w:sz w:val="22"/>
              </w:rPr>
              <w:t>time.</w:t>
            </w:r>
            <w:r w:rsidR="009B13F6">
              <w:rPr>
                <w:sz w:val="22"/>
              </w:rPr>
              <w:t xml:space="preserve"> This may help to manage the fiscal risk.</w:t>
            </w:r>
            <w:r w:rsidR="009760EA">
              <w:rPr>
                <w:sz w:val="22"/>
              </w:rPr>
              <w:t xml:space="preserve">  However, the increases will always lag behind what happens to prices in any given year.  </w:t>
            </w:r>
          </w:p>
          <w:p w:rsidR="00231044" w:rsidRDefault="00231044" w:rsidP="00C76F5C">
            <w:pPr>
              <w:pStyle w:val="TableText"/>
              <w:spacing w:before="0" w:after="0" w:line="276" w:lineRule="auto"/>
              <w:jc w:val="both"/>
              <w:rPr>
                <w:sz w:val="22"/>
              </w:rPr>
            </w:pPr>
          </w:p>
          <w:p w:rsidR="00E8176C" w:rsidRDefault="00E8176C" w:rsidP="00C76F5C">
            <w:pPr>
              <w:pStyle w:val="TableText"/>
              <w:spacing w:before="0" w:after="0" w:line="276" w:lineRule="auto"/>
              <w:jc w:val="both"/>
              <w:rPr>
                <w:sz w:val="22"/>
              </w:rPr>
            </w:pPr>
            <w:r>
              <w:rPr>
                <w:sz w:val="22"/>
              </w:rPr>
              <w:t>A</w:t>
            </w:r>
            <w:r w:rsidR="00BF4C56">
              <w:rPr>
                <w:sz w:val="22"/>
              </w:rPr>
              <w:t>nother</w:t>
            </w:r>
            <w:r w:rsidR="00220246">
              <w:rPr>
                <w:sz w:val="22"/>
              </w:rPr>
              <w:t xml:space="preserve"> consideration is that</w:t>
            </w:r>
            <w:r w:rsidR="00A97F65">
              <w:rPr>
                <w:sz w:val="22"/>
              </w:rPr>
              <w:t xml:space="preserve"> an</w:t>
            </w:r>
            <w:r>
              <w:rPr>
                <w:sz w:val="22"/>
              </w:rPr>
              <w:t xml:space="preserve"> increase in </w:t>
            </w:r>
            <w:r w:rsidR="00B20A75">
              <w:rPr>
                <w:sz w:val="22"/>
              </w:rPr>
              <w:t xml:space="preserve">yearling prices at the margin </w:t>
            </w:r>
            <w:r w:rsidR="00B20778">
              <w:rPr>
                <w:sz w:val="22"/>
              </w:rPr>
              <w:t>may</w:t>
            </w:r>
            <w:r>
              <w:rPr>
                <w:sz w:val="22"/>
              </w:rPr>
              <w:t xml:space="preserve"> </w:t>
            </w:r>
            <w:r w:rsidR="00B20A75">
              <w:rPr>
                <w:sz w:val="22"/>
              </w:rPr>
              <w:t>disadvantag</w:t>
            </w:r>
            <w:r>
              <w:rPr>
                <w:sz w:val="22"/>
              </w:rPr>
              <w:t>e</w:t>
            </w:r>
            <w:r w:rsidR="00B20A75">
              <w:rPr>
                <w:sz w:val="22"/>
              </w:rPr>
              <w:t xml:space="preserve"> </w:t>
            </w:r>
            <w:r w:rsidR="00391F4D">
              <w:rPr>
                <w:sz w:val="22"/>
              </w:rPr>
              <w:t>race horse investors</w:t>
            </w:r>
            <w:r w:rsidR="00737DA6">
              <w:rPr>
                <w:sz w:val="22"/>
              </w:rPr>
              <w:t xml:space="preserve"> who </w:t>
            </w:r>
            <w:r w:rsidR="008C0CD8">
              <w:rPr>
                <w:sz w:val="22"/>
              </w:rPr>
              <w:t xml:space="preserve">would otherwise have </w:t>
            </w:r>
            <w:r>
              <w:rPr>
                <w:sz w:val="22"/>
              </w:rPr>
              <w:t>acquired yearlings for prices close to the price threshold.</w:t>
            </w:r>
            <w:r w:rsidR="00691C92">
              <w:rPr>
                <w:sz w:val="22"/>
              </w:rPr>
              <w:t xml:space="preserve"> </w:t>
            </w:r>
            <w:r w:rsidR="001C3900">
              <w:rPr>
                <w:sz w:val="22"/>
              </w:rPr>
              <w:t>Nevertheless, t</w:t>
            </w:r>
            <w:r w:rsidR="00691C92">
              <w:rPr>
                <w:sz w:val="22"/>
              </w:rPr>
              <w:t xml:space="preserve">his is an unavoidable </w:t>
            </w:r>
            <w:r w:rsidR="00CC2301">
              <w:rPr>
                <w:sz w:val="22"/>
              </w:rPr>
              <w:t>risk</w:t>
            </w:r>
            <w:r w:rsidR="00691C92">
              <w:rPr>
                <w:sz w:val="22"/>
              </w:rPr>
              <w:t xml:space="preserve"> </w:t>
            </w:r>
            <w:r w:rsidR="0001495A">
              <w:rPr>
                <w:sz w:val="22"/>
              </w:rPr>
              <w:t>of having a bright-line price</w:t>
            </w:r>
            <w:r w:rsidR="00691C92">
              <w:rPr>
                <w:sz w:val="22"/>
              </w:rPr>
              <w:t xml:space="preserve">. </w:t>
            </w:r>
            <w:r>
              <w:rPr>
                <w:sz w:val="22"/>
              </w:rPr>
              <w:t xml:space="preserve">   </w:t>
            </w:r>
          </w:p>
          <w:p w:rsidR="00E8176C" w:rsidRDefault="00E8176C" w:rsidP="00C76F5C">
            <w:pPr>
              <w:pStyle w:val="TableText"/>
              <w:spacing w:before="0" w:after="0" w:line="276" w:lineRule="auto"/>
              <w:jc w:val="both"/>
              <w:rPr>
                <w:sz w:val="22"/>
              </w:rPr>
            </w:pPr>
          </w:p>
          <w:p w:rsidR="00E9235C" w:rsidRDefault="00E9235C" w:rsidP="00C76F5C">
            <w:pPr>
              <w:pStyle w:val="TableText"/>
              <w:spacing w:before="0" w:after="0" w:line="276" w:lineRule="auto"/>
              <w:jc w:val="both"/>
              <w:rPr>
                <w:sz w:val="22"/>
              </w:rPr>
            </w:pPr>
          </w:p>
          <w:p w:rsidR="0062657E" w:rsidRPr="00210C3D" w:rsidRDefault="0062657E" w:rsidP="00C76F5C">
            <w:pPr>
              <w:pStyle w:val="TableText"/>
              <w:spacing w:before="0" w:after="0" w:line="276" w:lineRule="auto"/>
              <w:jc w:val="both"/>
              <w:rPr>
                <w:sz w:val="22"/>
              </w:rPr>
            </w:pPr>
          </w:p>
        </w:tc>
      </w:tr>
    </w:tbl>
    <w:p w:rsidR="0062657E" w:rsidRPr="00210C3D" w:rsidRDefault="0062657E" w:rsidP="00C76F5C">
      <w:pPr>
        <w:pStyle w:val="spacer"/>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10C3D" w:rsidRPr="00210C3D" w:rsidTr="004A11FC">
        <w:tc>
          <w:tcPr>
            <w:tcW w:w="9067" w:type="dxa"/>
            <w:shd w:val="clear" w:color="auto" w:fill="99CDDD"/>
          </w:tcPr>
          <w:p w:rsidR="0062657E" w:rsidRPr="00210C3D" w:rsidRDefault="0062657E" w:rsidP="00C76F5C">
            <w:pPr>
              <w:spacing w:before="60" w:after="60" w:line="240" w:lineRule="auto"/>
              <w:jc w:val="both"/>
              <w:rPr>
                <w:b/>
                <w:i/>
                <w:szCs w:val="22"/>
              </w:rPr>
            </w:pPr>
            <w:r w:rsidRPr="00210C3D">
              <w:rPr>
                <w:b/>
                <w:szCs w:val="22"/>
              </w:rPr>
              <w:t xml:space="preserve">Identify any significant incompatibility with the Government’s ‘Expectations for the design of regulatory systems’.  </w:t>
            </w:r>
          </w:p>
        </w:tc>
      </w:tr>
      <w:tr w:rsidR="00210C3D" w:rsidRPr="00210C3D" w:rsidTr="00384E9B">
        <w:tc>
          <w:tcPr>
            <w:tcW w:w="9067" w:type="dxa"/>
            <w:shd w:val="clear" w:color="auto" w:fill="FFFFFF"/>
          </w:tcPr>
          <w:p w:rsidR="005306DF" w:rsidRDefault="005306DF" w:rsidP="00C76F5C">
            <w:pPr>
              <w:pStyle w:val="spacer"/>
              <w:spacing w:line="276" w:lineRule="auto"/>
              <w:jc w:val="both"/>
              <w:rPr>
                <w:sz w:val="22"/>
              </w:rPr>
            </w:pPr>
          </w:p>
          <w:p w:rsidR="0062657E" w:rsidRPr="00210C3D" w:rsidRDefault="008C033E" w:rsidP="00C76F5C">
            <w:pPr>
              <w:pStyle w:val="spacer"/>
              <w:spacing w:line="276" w:lineRule="auto"/>
              <w:jc w:val="both"/>
              <w:rPr>
                <w:sz w:val="22"/>
              </w:rPr>
            </w:pPr>
            <w:r>
              <w:rPr>
                <w:sz w:val="22"/>
              </w:rPr>
              <w:t>Compatible</w:t>
            </w:r>
            <w:r w:rsidR="00B01F24">
              <w:rPr>
                <w:sz w:val="22"/>
              </w:rPr>
              <w:t xml:space="preserve"> with the Government’s ‘Expectations for the design of regulatory systems’.</w:t>
            </w:r>
          </w:p>
          <w:p w:rsidR="0062657E" w:rsidRPr="00210C3D" w:rsidRDefault="0062657E" w:rsidP="00C76F5C">
            <w:pPr>
              <w:pStyle w:val="spacer"/>
              <w:spacing w:line="276" w:lineRule="auto"/>
              <w:jc w:val="both"/>
              <w:rPr>
                <w:sz w:val="22"/>
              </w:rPr>
            </w:pPr>
          </w:p>
        </w:tc>
      </w:tr>
    </w:tbl>
    <w:p w:rsidR="00E354B9" w:rsidRDefault="00E354B9" w:rsidP="00C76F5C">
      <w:pPr>
        <w:pStyle w:val="Heading2"/>
        <w:spacing w:line="276" w:lineRule="auto"/>
        <w:jc w:val="both"/>
      </w:pPr>
    </w:p>
    <w:p w:rsidR="00EE3C84" w:rsidRPr="00EE3C84" w:rsidRDefault="00EE3C84" w:rsidP="00EE3C84"/>
    <w:p w:rsidR="0062657E" w:rsidRPr="008603C7" w:rsidRDefault="0062657E" w:rsidP="00C76F5C">
      <w:pPr>
        <w:pStyle w:val="Heading2"/>
        <w:spacing w:line="276" w:lineRule="auto"/>
        <w:jc w:val="both"/>
      </w:pPr>
      <w:r w:rsidRPr="008603C7">
        <w:t>Section C</w:t>
      </w:r>
      <w:r w:rsidR="0005691A">
        <w:t xml:space="preserve">: </w:t>
      </w:r>
      <w:r w:rsidRPr="008603C7">
        <w:t xml:space="preserve">Evidence certainty and quality assurance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10C3D" w:rsidRPr="00210C3D" w:rsidTr="00663BAA">
        <w:trPr>
          <w:trHeight w:val="339"/>
        </w:trPr>
        <w:tc>
          <w:tcPr>
            <w:tcW w:w="9039" w:type="dxa"/>
            <w:shd w:val="clear" w:color="auto" w:fill="99CDDD"/>
          </w:tcPr>
          <w:p w:rsidR="0062657E" w:rsidRPr="00210C3D" w:rsidRDefault="0062657E" w:rsidP="00C76F5C">
            <w:pPr>
              <w:spacing w:before="60" w:after="60" w:line="240" w:lineRule="auto"/>
              <w:jc w:val="both"/>
              <w:rPr>
                <w:b/>
                <w:szCs w:val="22"/>
              </w:rPr>
            </w:pPr>
            <w:r w:rsidRPr="00210C3D">
              <w:rPr>
                <w:b/>
                <w:szCs w:val="22"/>
              </w:rPr>
              <w:t xml:space="preserve">Agency rating of evidence certainty?  </w:t>
            </w:r>
          </w:p>
        </w:tc>
      </w:tr>
      <w:tr w:rsidR="00210C3D" w:rsidRPr="00210C3D" w:rsidTr="00663BAA">
        <w:tc>
          <w:tcPr>
            <w:tcW w:w="9039" w:type="dxa"/>
            <w:shd w:val="clear" w:color="auto" w:fill="FFFFFF"/>
          </w:tcPr>
          <w:p w:rsidR="00D91997" w:rsidRDefault="00D91997" w:rsidP="00C76F5C">
            <w:pPr>
              <w:pStyle w:val="spacer"/>
              <w:spacing w:line="276" w:lineRule="auto"/>
              <w:jc w:val="both"/>
              <w:rPr>
                <w:sz w:val="22"/>
              </w:rPr>
            </w:pPr>
          </w:p>
          <w:p w:rsidR="009760EA" w:rsidRDefault="00010BF3" w:rsidP="00C76F5C">
            <w:pPr>
              <w:pStyle w:val="spacer"/>
              <w:spacing w:line="276" w:lineRule="auto"/>
              <w:jc w:val="both"/>
              <w:rPr>
                <w:sz w:val="22"/>
              </w:rPr>
            </w:pPr>
            <w:r>
              <w:rPr>
                <w:sz w:val="22"/>
              </w:rPr>
              <w:t>A review of the New Zealand racing industry by Australian racing administrator John Messara has indicated that t</w:t>
            </w:r>
            <w:r w:rsidR="000012A8">
              <w:rPr>
                <w:sz w:val="22"/>
              </w:rPr>
              <w:t xml:space="preserve">he </w:t>
            </w:r>
            <w:r w:rsidR="00AE75EA">
              <w:rPr>
                <w:sz w:val="22"/>
              </w:rPr>
              <w:t>thoroughbred</w:t>
            </w:r>
            <w:r w:rsidR="000D05E0">
              <w:rPr>
                <w:sz w:val="22"/>
              </w:rPr>
              <w:t xml:space="preserve"> racing</w:t>
            </w:r>
            <w:r w:rsidR="000012A8">
              <w:rPr>
                <w:sz w:val="22"/>
              </w:rPr>
              <w:t xml:space="preserve"> industry</w:t>
            </w:r>
            <w:r w:rsidR="000D05E0">
              <w:rPr>
                <w:sz w:val="22"/>
              </w:rPr>
              <w:t xml:space="preserve"> is in serious decline</w:t>
            </w:r>
            <w:r w:rsidR="006A19C7">
              <w:rPr>
                <w:sz w:val="22"/>
              </w:rPr>
              <w:t>, referencing data</w:t>
            </w:r>
            <w:r w:rsidR="000D05E0">
              <w:rPr>
                <w:sz w:val="22"/>
              </w:rPr>
              <w:t xml:space="preserve"> such as foal crop</w:t>
            </w:r>
            <w:r w:rsidR="00BE4CC0">
              <w:rPr>
                <w:sz w:val="22"/>
              </w:rPr>
              <w:t xml:space="preserve"> numbers</w:t>
            </w:r>
            <w:r w:rsidR="000D05E0">
              <w:rPr>
                <w:sz w:val="22"/>
              </w:rPr>
              <w:t xml:space="preserve"> and monetary returns to owners.</w:t>
            </w:r>
            <w:r w:rsidR="00627903">
              <w:rPr>
                <w:sz w:val="22"/>
              </w:rPr>
              <w:t xml:space="preserve"> </w:t>
            </w:r>
            <w:r w:rsidR="009760EA">
              <w:rPr>
                <w:sz w:val="22"/>
              </w:rPr>
              <w:t xml:space="preserve">We have not considered whether </w:t>
            </w:r>
            <w:r w:rsidR="004867F8">
              <w:rPr>
                <w:sz w:val="22"/>
              </w:rPr>
              <w:t xml:space="preserve">tax incentives </w:t>
            </w:r>
            <w:r w:rsidR="000B3625">
              <w:rPr>
                <w:sz w:val="22"/>
              </w:rPr>
              <w:t>encouraging new inves</w:t>
            </w:r>
            <w:r w:rsidR="00D33D19">
              <w:rPr>
                <w:sz w:val="22"/>
              </w:rPr>
              <w:t xml:space="preserve">tors into bloodstock </w:t>
            </w:r>
            <w:r w:rsidR="00F765F0">
              <w:rPr>
                <w:sz w:val="22"/>
              </w:rPr>
              <w:t xml:space="preserve">breeding </w:t>
            </w:r>
            <w:r w:rsidR="00D41775">
              <w:rPr>
                <w:sz w:val="22"/>
              </w:rPr>
              <w:t>are</w:t>
            </w:r>
            <w:r w:rsidR="00F765F0">
              <w:rPr>
                <w:sz w:val="22"/>
              </w:rPr>
              <w:t xml:space="preserve"> </w:t>
            </w:r>
            <w:r w:rsidR="000B3625">
              <w:rPr>
                <w:sz w:val="22"/>
              </w:rPr>
              <w:t xml:space="preserve">the best way to </w:t>
            </w:r>
            <w:r w:rsidR="00D900B5">
              <w:rPr>
                <w:sz w:val="22"/>
              </w:rPr>
              <w:t>r</w:t>
            </w:r>
            <w:r w:rsidR="00442E66">
              <w:rPr>
                <w:sz w:val="22"/>
              </w:rPr>
              <w:t>everse th</w:t>
            </w:r>
            <w:r w:rsidR="009760EA">
              <w:rPr>
                <w:sz w:val="22"/>
              </w:rPr>
              <w:t xml:space="preserve">is </w:t>
            </w:r>
            <w:r w:rsidR="00442E66">
              <w:rPr>
                <w:sz w:val="22"/>
              </w:rPr>
              <w:t>trend</w:t>
            </w:r>
            <w:r w:rsidR="009760EA">
              <w:rPr>
                <w:sz w:val="22"/>
              </w:rPr>
              <w:t xml:space="preserve">.  Further, there is significant uncertainty </w:t>
            </w:r>
            <w:r w:rsidR="00E250EF">
              <w:rPr>
                <w:sz w:val="22"/>
              </w:rPr>
              <w:t>as to</w:t>
            </w:r>
            <w:r w:rsidR="009760EA">
              <w:rPr>
                <w:sz w:val="22"/>
              </w:rPr>
              <w:t xml:space="preserve"> whether a standout yearling will actually be used in a bloodstock breeding business.   </w:t>
            </w:r>
          </w:p>
          <w:p w:rsidR="009760EA" w:rsidRDefault="009760EA" w:rsidP="00C76F5C">
            <w:pPr>
              <w:pStyle w:val="spacer"/>
              <w:spacing w:line="276" w:lineRule="auto"/>
              <w:jc w:val="both"/>
              <w:rPr>
                <w:sz w:val="22"/>
              </w:rPr>
            </w:pPr>
          </w:p>
          <w:p w:rsidR="00873AD5" w:rsidRDefault="009760EA" w:rsidP="00C76F5C">
            <w:pPr>
              <w:pStyle w:val="spacer"/>
              <w:spacing w:line="276" w:lineRule="auto"/>
              <w:jc w:val="both"/>
              <w:rPr>
                <w:sz w:val="22"/>
              </w:rPr>
            </w:pPr>
            <w:r>
              <w:rPr>
                <w:sz w:val="22"/>
              </w:rPr>
              <w:t xml:space="preserve">We consider that a </w:t>
            </w:r>
            <w:r w:rsidR="00873AD5">
              <w:rPr>
                <w:sz w:val="22"/>
              </w:rPr>
              <w:t xml:space="preserve">bright-line price </w:t>
            </w:r>
            <w:r>
              <w:rPr>
                <w:sz w:val="22"/>
              </w:rPr>
              <w:t xml:space="preserve">is an appropriate way to </w:t>
            </w:r>
            <w:r w:rsidR="00873AD5">
              <w:rPr>
                <w:sz w:val="22"/>
              </w:rPr>
              <w:t xml:space="preserve">manage </w:t>
            </w:r>
            <w:r>
              <w:rPr>
                <w:sz w:val="22"/>
              </w:rPr>
              <w:t xml:space="preserve">some of the </w:t>
            </w:r>
            <w:r w:rsidR="00873AD5">
              <w:rPr>
                <w:sz w:val="22"/>
              </w:rPr>
              <w:t xml:space="preserve">fiscal risk. </w:t>
            </w:r>
          </w:p>
          <w:p w:rsidR="00336966" w:rsidRDefault="00336966" w:rsidP="00C76F5C">
            <w:pPr>
              <w:pStyle w:val="spacer"/>
              <w:spacing w:line="276" w:lineRule="auto"/>
              <w:jc w:val="both"/>
              <w:rPr>
                <w:sz w:val="22"/>
              </w:rPr>
            </w:pPr>
          </w:p>
          <w:p w:rsidR="0062657E" w:rsidRPr="00210C3D" w:rsidRDefault="008F7AE5" w:rsidP="00C76F5C">
            <w:pPr>
              <w:pStyle w:val="spacer"/>
              <w:spacing w:line="276" w:lineRule="auto"/>
              <w:jc w:val="both"/>
              <w:rPr>
                <w:sz w:val="22"/>
              </w:rPr>
            </w:pPr>
            <w:r>
              <w:rPr>
                <w:sz w:val="22"/>
              </w:rPr>
              <w:t xml:space="preserve"> </w:t>
            </w:r>
          </w:p>
        </w:tc>
      </w:tr>
    </w:tbl>
    <w:p w:rsidR="0062657E" w:rsidRPr="00210C3D" w:rsidRDefault="0062657E" w:rsidP="00C76F5C">
      <w:pPr>
        <w:pStyle w:val="spacer"/>
        <w:spacing w:line="276" w:lineRule="auto"/>
        <w:jc w:val="both"/>
        <w:rPr>
          <w:sz w:val="22"/>
        </w:rPr>
      </w:pPr>
    </w:p>
    <w:p w:rsidR="0062657E" w:rsidRPr="00210C3D" w:rsidRDefault="0062657E" w:rsidP="00C76F5C">
      <w:pPr>
        <w:spacing w:line="276" w:lineRule="auto"/>
        <w:jc w:val="both"/>
        <w:rPr>
          <w:rFonts w:ascii="Arial Narrow" w:hAnsi="Arial Narrow"/>
          <w:i/>
          <w:szCs w:val="22"/>
        </w:rPr>
      </w:pPr>
      <w:r w:rsidRPr="00210C3D">
        <w:rPr>
          <w:i/>
          <w:szCs w:val="22"/>
        </w:rPr>
        <w:t>To be completed by quality assurers: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210C3D" w:rsidRPr="00210C3D" w:rsidTr="004A11FC">
        <w:trPr>
          <w:trHeight w:val="77"/>
        </w:trPr>
        <w:tc>
          <w:tcPr>
            <w:tcW w:w="9067" w:type="dxa"/>
            <w:shd w:val="clear" w:color="auto" w:fill="99CDDD"/>
            <w:hideMark/>
          </w:tcPr>
          <w:p w:rsidR="0062657E" w:rsidRPr="00210C3D" w:rsidRDefault="0062657E" w:rsidP="00C76F5C">
            <w:pPr>
              <w:spacing w:before="60" w:after="60" w:line="240" w:lineRule="auto"/>
              <w:jc w:val="both"/>
              <w:rPr>
                <w:szCs w:val="22"/>
              </w:rPr>
            </w:pPr>
            <w:r w:rsidRPr="00210C3D">
              <w:rPr>
                <w:szCs w:val="22"/>
              </w:rPr>
              <w:t>Quality Assurance Reviewing Agency:</w:t>
            </w:r>
          </w:p>
        </w:tc>
      </w:tr>
      <w:tr w:rsidR="00210C3D" w:rsidRPr="00210C3D" w:rsidTr="00384E9B">
        <w:trPr>
          <w:trHeight w:val="850"/>
        </w:trPr>
        <w:tc>
          <w:tcPr>
            <w:tcW w:w="9067" w:type="dxa"/>
            <w:shd w:val="clear" w:color="auto" w:fill="FFFFFF"/>
          </w:tcPr>
          <w:p w:rsidR="0062657E" w:rsidRDefault="0062657E" w:rsidP="00C76F5C">
            <w:pPr>
              <w:pStyle w:val="spacer"/>
              <w:spacing w:line="276" w:lineRule="auto"/>
              <w:jc w:val="both"/>
              <w:rPr>
                <w:sz w:val="22"/>
              </w:rPr>
            </w:pPr>
          </w:p>
          <w:p w:rsidR="001220BD" w:rsidRPr="00210C3D" w:rsidRDefault="00D91997" w:rsidP="00C76F5C">
            <w:pPr>
              <w:pStyle w:val="spacer"/>
              <w:spacing w:line="276" w:lineRule="auto"/>
              <w:jc w:val="both"/>
              <w:rPr>
                <w:sz w:val="22"/>
              </w:rPr>
            </w:pPr>
            <w:r>
              <w:rPr>
                <w:sz w:val="22"/>
              </w:rPr>
              <w:t>Inland Revenue</w:t>
            </w:r>
          </w:p>
        </w:tc>
      </w:tr>
      <w:tr w:rsidR="00210C3D" w:rsidRPr="00210C3D" w:rsidTr="004A11FC">
        <w:trPr>
          <w:trHeight w:val="109"/>
        </w:trPr>
        <w:tc>
          <w:tcPr>
            <w:tcW w:w="9067" w:type="dxa"/>
            <w:shd w:val="clear" w:color="auto" w:fill="99CDDD"/>
          </w:tcPr>
          <w:p w:rsidR="0062657E" w:rsidRPr="00210C3D" w:rsidRDefault="0062657E" w:rsidP="00C76F5C">
            <w:pPr>
              <w:spacing w:before="60" w:after="60" w:line="240" w:lineRule="auto"/>
              <w:jc w:val="both"/>
              <w:rPr>
                <w:szCs w:val="22"/>
              </w:rPr>
            </w:pPr>
            <w:r w:rsidRPr="00210C3D">
              <w:rPr>
                <w:szCs w:val="22"/>
              </w:rPr>
              <w:t>Quality Assurance Assessment:</w:t>
            </w:r>
          </w:p>
        </w:tc>
      </w:tr>
      <w:tr w:rsidR="00210C3D" w:rsidRPr="00210C3D" w:rsidTr="00384E9B">
        <w:trPr>
          <w:trHeight w:val="850"/>
        </w:trPr>
        <w:tc>
          <w:tcPr>
            <w:tcW w:w="9067" w:type="dxa"/>
            <w:shd w:val="clear" w:color="auto" w:fill="FFFFFF"/>
          </w:tcPr>
          <w:p w:rsidR="0062657E" w:rsidRDefault="0062657E" w:rsidP="00C76F5C">
            <w:pPr>
              <w:pStyle w:val="spacer"/>
              <w:spacing w:line="276" w:lineRule="auto"/>
              <w:jc w:val="both"/>
              <w:rPr>
                <w:sz w:val="22"/>
              </w:rPr>
            </w:pPr>
          </w:p>
          <w:p w:rsidR="00245904" w:rsidRDefault="00D91997" w:rsidP="00C76F5C">
            <w:pPr>
              <w:pStyle w:val="spacer"/>
              <w:spacing w:line="276" w:lineRule="auto"/>
              <w:jc w:val="both"/>
              <w:rPr>
                <w:iCs/>
                <w:sz w:val="22"/>
                <w:lang w:val="en-NZ"/>
              </w:rPr>
            </w:pPr>
            <w:r>
              <w:rPr>
                <w:sz w:val="22"/>
              </w:rPr>
              <w:t xml:space="preserve">The Quality Assurance reviewer at Inland Revenue has reviewed the ‘Proposed changes to bloodstock tax rules’ RIA prepared by Inland Revenue and considers that the information and analysis summarised in it </w:t>
            </w:r>
            <w:r w:rsidR="00923A73" w:rsidRPr="0035579F">
              <w:rPr>
                <w:b/>
                <w:sz w:val="22"/>
              </w:rPr>
              <w:t>partially meets</w:t>
            </w:r>
            <w:r>
              <w:rPr>
                <w:sz w:val="22"/>
              </w:rPr>
              <w:t xml:space="preserve"> the quality assurance criteria.</w:t>
            </w:r>
            <w:r w:rsidR="00923A73">
              <w:rPr>
                <w:sz w:val="22"/>
              </w:rPr>
              <w:t xml:space="preserve"> </w:t>
            </w:r>
          </w:p>
          <w:p w:rsidR="001C2B7D" w:rsidRPr="001C2B7D" w:rsidRDefault="001C2B7D" w:rsidP="00C76F5C">
            <w:pPr>
              <w:pStyle w:val="spacer"/>
              <w:spacing w:line="276" w:lineRule="auto"/>
              <w:jc w:val="both"/>
              <w:rPr>
                <w:iCs/>
                <w:sz w:val="22"/>
                <w:lang w:val="en-NZ"/>
              </w:rPr>
            </w:pPr>
          </w:p>
        </w:tc>
      </w:tr>
      <w:tr w:rsidR="00210C3D" w:rsidRPr="00210C3D" w:rsidTr="004A11FC">
        <w:trPr>
          <w:trHeight w:val="56"/>
        </w:trPr>
        <w:tc>
          <w:tcPr>
            <w:tcW w:w="9067" w:type="dxa"/>
            <w:shd w:val="clear" w:color="auto" w:fill="99CDDD"/>
          </w:tcPr>
          <w:p w:rsidR="0062657E" w:rsidRPr="00210C3D" w:rsidRDefault="0062657E" w:rsidP="00C76F5C">
            <w:pPr>
              <w:spacing w:before="60" w:after="60" w:line="240" w:lineRule="auto"/>
              <w:jc w:val="both"/>
              <w:rPr>
                <w:szCs w:val="22"/>
              </w:rPr>
            </w:pPr>
            <w:r w:rsidRPr="00210C3D">
              <w:rPr>
                <w:szCs w:val="22"/>
              </w:rPr>
              <w:t>Reviewer Comments and Recommendations:</w:t>
            </w:r>
          </w:p>
        </w:tc>
      </w:tr>
      <w:tr w:rsidR="00210C3D" w:rsidRPr="00210C3D" w:rsidTr="001C2B7D">
        <w:trPr>
          <w:trHeight w:val="70"/>
        </w:trPr>
        <w:tc>
          <w:tcPr>
            <w:tcW w:w="9067" w:type="dxa"/>
            <w:shd w:val="clear" w:color="auto" w:fill="FFFFFF"/>
          </w:tcPr>
          <w:p w:rsidR="0062657E" w:rsidRDefault="0062657E" w:rsidP="00C76F5C">
            <w:pPr>
              <w:pStyle w:val="spacer"/>
              <w:spacing w:line="276" w:lineRule="auto"/>
              <w:jc w:val="both"/>
              <w:rPr>
                <w:sz w:val="22"/>
              </w:rPr>
            </w:pPr>
          </w:p>
          <w:p w:rsidR="0064553B" w:rsidRDefault="002D3CFE" w:rsidP="0064553B">
            <w:pPr>
              <w:pStyle w:val="spacer"/>
              <w:spacing w:line="276" w:lineRule="auto"/>
              <w:jc w:val="both"/>
              <w:rPr>
                <w:iCs/>
                <w:sz w:val="22"/>
                <w:lang w:val="en-NZ"/>
              </w:rPr>
            </w:pPr>
            <w:r>
              <w:rPr>
                <w:iCs/>
                <w:sz w:val="22"/>
              </w:rPr>
              <w:t>The Regulatory Impact Assessment</w:t>
            </w:r>
            <w:r w:rsidRPr="002D3CFE">
              <w:rPr>
                <w:iCs/>
                <w:sz w:val="22"/>
              </w:rPr>
              <w:t xml:space="preserve"> describes how allowing new bloodstock investors to claim tax deductions if they purchase a standout yearling with an intention to breed in the future will meet the stated objective and also provides excellent coverage of the main uncertainties and risks around its likely impact.</w:t>
            </w:r>
            <w:r w:rsidR="0064553B">
              <w:rPr>
                <w:iCs/>
                <w:sz w:val="22"/>
              </w:rPr>
              <w:t xml:space="preserve"> </w:t>
            </w:r>
            <w:r w:rsidR="0064553B" w:rsidRPr="00923A73">
              <w:rPr>
                <w:iCs/>
                <w:sz w:val="22"/>
                <w:lang w:val="en-NZ"/>
              </w:rPr>
              <w:t>The ability to have on-going monitoring may result in any unintended consequences being picked up as part of that process and any remedial action taken as appropriate.</w:t>
            </w:r>
          </w:p>
          <w:p w:rsidR="002D3CFE" w:rsidRDefault="002D3CFE" w:rsidP="002D3CFE">
            <w:pPr>
              <w:pStyle w:val="spacer"/>
              <w:spacing w:line="276" w:lineRule="auto"/>
              <w:jc w:val="both"/>
              <w:rPr>
                <w:iCs/>
                <w:sz w:val="22"/>
              </w:rPr>
            </w:pPr>
          </w:p>
          <w:p w:rsidR="00245904" w:rsidRPr="001C2B7D" w:rsidRDefault="002D3CFE" w:rsidP="00C76F5C">
            <w:pPr>
              <w:pStyle w:val="spacer"/>
              <w:spacing w:line="276" w:lineRule="auto"/>
              <w:jc w:val="both"/>
              <w:rPr>
                <w:iCs/>
                <w:sz w:val="22"/>
              </w:rPr>
            </w:pPr>
            <w:r w:rsidRPr="002D3CFE">
              <w:rPr>
                <w:iCs/>
                <w:sz w:val="22"/>
              </w:rPr>
              <w:t>The analysis summarised in the RIA is as good as could be expected in light of the constrained range of options considered and the uncertainties over the net impacts of these tax changes on the bloodstock breeding industry.  Even so, the analysis only partially meets the quality assurance criteria primarily because it is not possible to be confident that the stated objective is being met in the best way and with th</w:t>
            </w:r>
            <w:r w:rsidR="001C2B7D">
              <w:rPr>
                <w:iCs/>
                <w:sz w:val="22"/>
              </w:rPr>
              <w:t>e least unintended consequences.</w:t>
            </w:r>
          </w:p>
          <w:p w:rsidR="006D465E" w:rsidRPr="00210C3D" w:rsidRDefault="006D465E" w:rsidP="00C76F5C">
            <w:pPr>
              <w:pStyle w:val="spacer"/>
              <w:spacing w:line="276" w:lineRule="auto"/>
              <w:jc w:val="both"/>
              <w:rPr>
                <w:sz w:val="22"/>
              </w:rPr>
            </w:pPr>
          </w:p>
        </w:tc>
      </w:tr>
    </w:tbl>
    <w:p w:rsidR="0062657E" w:rsidRPr="00210C3D" w:rsidRDefault="0062657E" w:rsidP="00C76F5C">
      <w:pPr>
        <w:pStyle w:val="spacer"/>
        <w:jc w:val="both"/>
      </w:pPr>
      <w:r w:rsidRPr="00210C3D">
        <w:br w:type="page"/>
      </w:r>
    </w:p>
    <w:p w:rsidR="0062657E" w:rsidRDefault="0062657E" w:rsidP="00C76F5C">
      <w:pPr>
        <w:pStyle w:val="Heading1"/>
        <w:spacing w:line="276" w:lineRule="auto"/>
        <w:jc w:val="both"/>
        <w:rPr>
          <w:color w:val="0082AB"/>
        </w:rPr>
      </w:pPr>
      <w:r w:rsidRPr="0005691A">
        <w:rPr>
          <w:color w:val="0082AB"/>
        </w:rPr>
        <w:lastRenderedPageBreak/>
        <w:t>Impact Statement</w:t>
      </w:r>
      <w:r w:rsidR="00210C3D">
        <w:rPr>
          <w:color w:val="0082AB"/>
        </w:rPr>
        <w:t>:</w:t>
      </w:r>
      <w:r w:rsidRPr="0005691A">
        <w:rPr>
          <w:color w:val="0082AB"/>
        </w:rPr>
        <w:t xml:space="preserve"> </w:t>
      </w:r>
      <w:r w:rsidR="00503EA2">
        <w:rPr>
          <w:color w:val="0082AB"/>
        </w:rPr>
        <w:t>Proposed changes to bloodstock tax rules</w:t>
      </w:r>
    </w:p>
    <w:p w:rsidR="00210C3D" w:rsidRPr="00210C3D" w:rsidRDefault="00210C3D" w:rsidP="00C76F5C">
      <w:pPr>
        <w:tabs>
          <w:tab w:val="left" w:pos="2550"/>
        </w:tabs>
        <w:spacing w:after="0" w:line="276" w:lineRule="auto"/>
        <w:jc w:val="both"/>
        <w:rPr>
          <w:rFonts w:cs="Arial"/>
          <w:szCs w:val="22"/>
        </w:rPr>
      </w:pPr>
    </w:p>
    <w:p w:rsidR="0062657E" w:rsidRPr="0005691A" w:rsidRDefault="0062657E" w:rsidP="00C76F5C">
      <w:pPr>
        <w:tabs>
          <w:tab w:val="left" w:pos="2550"/>
        </w:tabs>
        <w:spacing w:line="276" w:lineRule="auto"/>
        <w:jc w:val="both"/>
        <w:rPr>
          <w:rFonts w:cs="Arial"/>
          <w:b/>
          <w:color w:val="0082AB"/>
          <w:spacing w:val="20"/>
          <w:w w:val="90"/>
          <w:sz w:val="32"/>
          <w:szCs w:val="24"/>
        </w:rPr>
      </w:pPr>
      <w:r w:rsidRPr="0005691A">
        <w:rPr>
          <w:rFonts w:cs="Arial"/>
          <w:b/>
          <w:color w:val="0082AB"/>
          <w:spacing w:val="20"/>
          <w:w w:val="90"/>
          <w:sz w:val="32"/>
          <w:szCs w:val="24"/>
        </w:rPr>
        <w:t>Section 1: General information</w:t>
      </w: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2657E" w:rsidRPr="009C4129" w:rsidTr="00663BAA">
        <w:tc>
          <w:tcPr>
            <w:tcW w:w="5000" w:type="pct"/>
            <w:shd w:val="clear" w:color="auto" w:fill="99CDDD"/>
            <w:hideMark/>
          </w:tcPr>
          <w:p w:rsidR="0062657E" w:rsidRPr="009C4129" w:rsidRDefault="0062657E" w:rsidP="00C76F5C">
            <w:pPr>
              <w:spacing w:before="60" w:after="60" w:line="240" w:lineRule="auto"/>
              <w:jc w:val="both"/>
              <w:rPr>
                <w:rFonts w:cs="Arial"/>
                <w:b/>
                <w:szCs w:val="22"/>
              </w:rPr>
            </w:pPr>
            <w:r w:rsidRPr="009C4129">
              <w:rPr>
                <w:rFonts w:cs="Arial"/>
                <w:b/>
                <w:szCs w:val="22"/>
              </w:rPr>
              <w:t>Purpose</w:t>
            </w:r>
          </w:p>
        </w:tc>
      </w:tr>
      <w:tr w:rsidR="0062657E" w:rsidRPr="009C4129" w:rsidTr="00663BAA">
        <w:trPr>
          <w:trHeight w:val="680"/>
        </w:trPr>
        <w:tc>
          <w:tcPr>
            <w:tcW w:w="5000" w:type="pct"/>
            <w:shd w:val="clear" w:color="auto" w:fill="FFFFFF"/>
          </w:tcPr>
          <w:p w:rsidR="001C2B7D" w:rsidRDefault="001C2B7D" w:rsidP="001C2B7D">
            <w:pPr>
              <w:spacing w:after="0" w:line="276" w:lineRule="auto"/>
              <w:jc w:val="both"/>
              <w:rPr>
                <w:rFonts w:cs="Arial"/>
                <w:color w:val="000000"/>
                <w:szCs w:val="22"/>
              </w:rPr>
            </w:pPr>
          </w:p>
          <w:p w:rsidR="0062657E" w:rsidRPr="00F20926" w:rsidRDefault="00C32311" w:rsidP="00C76F5C">
            <w:pPr>
              <w:spacing w:line="276" w:lineRule="auto"/>
              <w:jc w:val="both"/>
              <w:rPr>
                <w:rFonts w:cs="Arial"/>
                <w:i/>
                <w:szCs w:val="22"/>
              </w:rPr>
            </w:pPr>
            <w:r>
              <w:rPr>
                <w:rFonts w:cs="Arial"/>
                <w:color w:val="000000"/>
                <w:szCs w:val="22"/>
              </w:rPr>
              <w:t>Inland Revenue</w:t>
            </w:r>
            <w:r w:rsidR="008878C2">
              <w:rPr>
                <w:rFonts w:cs="Arial"/>
                <w:color w:val="000000"/>
                <w:szCs w:val="22"/>
              </w:rPr>
              <w:t xml:space="preserve"> and</w:t>
            </w:r>
            <w:r w:rsidR="00EB3C9F">
              <w:rPr>
                <w:rFonts w:cs="Arial"/>
                <w:color w:val="000000"/>
                <w:szCs w:val="22"/>
              </w:rPr>
              <w:t xml:space="preserve"> the</w:t>
            </w:r>
            <w:r w:rsidR="008878C2">
              <w:rPr>
                <w:rFonts w:cs="Arial"/>
                <w:color w:val="000000"/>
                <w:szCs w:val="22"/>
              </w:rPr>
              <w:t xml:space="preserve"> Treasury are</w:t>
            </w:r>
            <w:r>
              <w:rPr>
                <w:rFonts w:cs="Arial"/>
                <w:color w:val="000000"/>
                <w:szCs w:val="22"/>
              </w:rPr>
              <w:t xml:space="preserve"> </w:t>
            </w:r>
            <w:r w:rsidR="0062657E" w:rsidRPr="00384E9B">
              <w:rPr>
                <w:rFonts w:cs="Arial"/>
                <w:color w:val="000000"/>
                <w:szCs w:val="22"/>
              </w:rPr>
              <w:t xml:space="preserve">solely responsible for the analysis and advice set out in this Regulatory Impact </w:t>
            </w:r>
            <w:r w:rsidR="003978E3">
              <w:rPr>
                <w:rFonts w:cs="Arial"/>
                <w:color w:val="000000"/>
                <w:szCs w:val="22"/>
              </w:rPr>
              <w:t>Assessment</w:t>
            </w:r>
            <w:r w:rsidR="0062657E" w:rsidRPr="00384E9B">
              <w:rPr>
                <w:rFonts w:cs="Arial"/>
                <w:color w:val="000000"/>
                <w:szCs w:val="22"/>
              </w:rPr>
              <w:t>, except as otherwise explicitly indicated.  This analysis and advice has been produced for the purpose of informing</w:t>
            </w:r>
            <w:r w:rsidR="00F20926">
              <w:rPr>
                <w:rFonts w:cs="Arial"/>
                <w:color w:val="000000"/>
                <w:szCs w:val="22"/>
              </w:rPr>
              <w:t xml:space="preserve"> </w:t>
            </w:r>
            <w:r w:rsidR="0062657E" w:rsidRPr="009C4129">
              <w:rPr>
                <w:rFonts w:cs="Arial"/>
                <w:szCs w:val="22"/>
              </w:rPr>
              <w:t>final decisions to proceed with a policy change to be taken by Cabinet</w:t>
            </w:r>
            <w:r w:rsidR="00A3774A">
              <w:rPr>
                <w:rFonts w:cs="Arial"/>
                <w:szCs w:val="22"/>
              </w:rPr>
              <w:t>.</w:t>
            </w:r>
          </w:p>
        </w:tc>
      </w:tr>
    </w:tbl>
    <w:p w:rsidR="009C4129" w:rsidRPr="009C4129" w:rsidRDefault="009C4129" w:rsidP="00C76F5C">
      <w:pPr>
        <w:pStyle w:val="spacer"/>
        <w:jc w:val="both"/>
      </w:pPr>
    </w:p>
    <w:tbl>
      <w:tblPr>
        <w:tblW w:w="49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62657E" w:rsidRPr="009C4129" w:rsidTr="00663BAA">
        <w:tc>
          <w:tcPr>
            <w:tcW w:w="5000" w:type="pct"/>
            <w:shd w:val="clear" w:color="auto" w:fill="99CDDD"/>
            <w:hideMark/>
          </w:tcPr>
          <w:p w:rsidR="0062657E" w:rsidRPr="009C4129" w:rsidRDefault="0062657E" w:rsidP="00C76F5C">
            <w:pPr>
              <w:keepNext/>
              <w:spacing w:before="60" w:after="60" w:line="240" w:lineRule="auto"/>
              <w:jc w:val="both"/>
              <w:rPr>
                <w:rFonts w:cs="Arial"/>
                <w:b/>
                <w:color w:val="002060"/>
                <w:szCs w:val="22"/>
              </w:rPr>
            </w:pPr>
            <w:r w:rsidRPr="009C4129">
              <w:rPr>
                <w:rFonts w:cs="Arial"/>
                <w:b/>
                <w:szCs w:val="22"/>
              </w:rPr>
              <w:lastRenderedPageBreak/>
              <w:t>Key Limitations or Constraints on Analysis</w:t>
            </w:r>
          </w:p>
        </w:tc>
      </w:tr>
      <w:tr w:rsidR="0062657E" w:rsidRPr="009C4129" w:rsidTr="00663BAA">
        <w:trPr>
          <w:trHeight w:val="7333"/>
        </w:trPr>
        <w:tc>
          <w:tcPr>
            <w:tcW w:w="5000" w:type="pct"/>
            <w:shd w:val="clear" w:color="auto" w:fill="auto"/>
          </w:tcPr>
          <w:p w:rsidR="0062657E" w:rsidRPr="009C4129" w:rsidRDefault="0062657E" w:rsidP="00C76F5C">
            <w:pPr>
              <w:keepNext/>
              <w:spacing w:after="0" w:line="276" w:lineRule="auto"/>
              <w:jc w:val="both"/>
              <w:rPr>
                <w:rFonts w:cs="Arial"/>
                <w:szCs w:val="22"/>
              </w:rPr>
            </w:pPr>
          </w:p>
          <w:p w:rsidR="00F765F0" w:rsidRDefault="00931B83" w:rsidP="00C76F5C">
            <w:pPr>
              <w:keepNext/>
              <w:spacing w:after="0" w:line="276" w:lineRule="auto"/>
              <w:jc w:val="both"/>
              <w:rPr>
                <w:rFonts w:cs="Arial"/>
                <w:szCs w:val="22"/>
                <w:lang w:val="en"/>
              </w:rPr>
            </w:pPr>
            <w:r>
              <w:rPr>
                <w:rFonts w:cs="Arial"/>
                <w:szCs w:val="22"/>
              </w:rPr>
              <w:t xml:space="preserve">The </w:t>
            </w:r>
            <w:r w:rsidR="00C00A23">
              <w:rPr>
                <w:rFonts w:cs="Arial"/>
                <w:szCs w:val="22"/>
              </w:rPr>
              <w:t>Coalition A</w:t>
            </w:r>
            <w:r w:rsidR="00170857">
              <w:rPr>
                <w:rFonts w:cs="Arial"/>
                <w:szCs w:val="22"/>
              </w:rPr>
              <w:t xml:space="preserve">greement </w:t>
            </w:r>
            <w:r w:rsidR="00F765F0">
              <w:rPr>
                <w:rFonts w:cs="Arial"/>
                <w:szCs w:val="22"/>
              </w:rPr>
              <w:t xml:space="preserve">between the New Zealand Labour Party and </w:t>
            </w:r>
            <w:r w:rsidR="00C00A23">
              <w:rPr>
                <w:rFonts w:cs="Arial"/>
                <w:szCs w:val="22"/>
              </w:rPr>
              <w:t>N</w:t>
            </w:r>
            <w:r w:rsidR="009760EA">
              <w:rPr>
                <w:rFonts w:cs="Arial"/>
                <w:szCs w:val="22"/>
              </w:rPr>
              <w:t xml:space="preserve">ew </w:t>
            </w:r>
            <w:r w:rsidR="00C00A23">
              <w:rPr>
                <w:rFonts w:cs="Arial"/>
                <w:szCs w:val="22"/>
              </w:rPr>
              <w:t>Z</w:t>
            </w:r>
            <w:r w:rsidR="009760EA">
              <w:rPr>
                <w:rFonts w:cs="Arial"/>
                <w:szCs w:val="22"/>
              </w:rPr>
              <w:t xml:space="preserve">ealand </w:t>
            </w:r>
            <w:r w:rsidR="00C00A23">
              <w:rPr>
                <w:rFonts w:cs="Arial"/>
                <w:szCs w:val="22"/>
              </w:rPr>
              <w:t xml:space="preserve">First </w:t>
            </w:r>
            <w:r w:rsidR="00170857">
              <w:rPr>
                <w:rFonts w:cs="Arial"/>
                <w:szCs w:val="22"/>
              </w:rPr>
              <w:t>commits the Government</w:t>
            </w:r>
            <w:r w:rsidR="000D7D31">
              <w:rPr>
                <w:rFonts w:cs="Arial"/>
                <w:szCs w:val="22"/>
              </w:rPr>
              <w:t xml:space="preserve"> to </w:t>
            </w:r>
            <w:r w:rsidR="00F765F0">
              <w:rPr>
                <w:rFonts w:cs="Arial"/>
                <w:szCs w:val="22"/>
              </w:rPr>
              <w:t>support</w:t>
            </w:r>
            <w:r w:rsidR="000E6C69">
              <w:rPr>
                <w:rFonts w:cs="Arial"/>
                <w:szCs w:val="22"/>
              </w:rPr>
              <w:t>ing</w:t>
            </w:r>
            <w:r w:rsidR="00F765F0">
              <w:rPr>
                <w:rFonts w:cs="Arial"/>
                <w:szCs w:val="22"/>
              </w:rPr>
              <w:t xml:space="preserve"> New Zealand First’s Racing policy.  Th</w:t>
            </w:r>
            <w:r w:rsidR="008F1FD4">
              <w:rPr>
                <w:rFonts w:cs="Arial"/>
                <w:szCs w:val="22"/>
              </w:rPr>
              <w:t>is</w:t>
            </w:r>
            <w:r w:rsidR="00F765F0">
              <w:rPr>
                <w:rFonts w:cs="Arial"/>
                <w:szCs w:val="22"/>
              </w:rPr>
              <w:t xml:space="preserve"> policy</w:t>
            </w:r>
            <w:r w:rsidR="00947195">
              <w:rPr>
                <w:rFonts w:cs="Arial"/>
                <w:szCs w:val="22"/>
              </w:rPr>
              <w:t xml:space="preserve"> </w:t>
            </w:r>
            <w:r w:rsidR="00E86ABB">
              <w:rPr>
                <w:rFonts w:cs="Arial"/>
                <w:szCs w:val="22"/>
              </w:rPr>
              <w:t>underscores</w:t>
            </w:r>
            <w:r w:rsidR="00947195">
              <w:rPr>
                <w:rFonts w:cs="Arial"/>
                <w:szCs w:val="22"/>
              </w:rPr>
              <w:t xml:space="preserve"> the </w:t>
            </w:r>
            <w:r w:rsidR="00947195" w:rsidRPr="00947195">
              <w:rPr>
                <w:rFonts w:cs="Arial"/>
                <w:szCs w:val="22"/>
                <w:lang w:val="en"/>
              </w:rPr>
              <w:t>need</w:t>
            </w:r>
            <w:r w:rsidR="00603960">
              <w:rPr>
                <w:rFonts w:cs="Arial"/>
                <w:szCs w:val="22"/>
                <w:lang w:val="en"/>
              </w:rPr>
              <w:t xml:space="preserve"> for</w:t>
            </w:r>
            <w:r w:rsidR="00947195" w:rsidRPr="00947195">
              <w:rPr>
                <w:rFonts w:cs="Arial"/>
                <w:szCs w:val="22"/>
                <w:lang w:val="en"/>
              </w:rPr>
              <w:t xml:space="preserve"> breeding programmes to re-establish New Zealand as</w:t>
            </w:r>
            <w:r w:rsidR="00EF4F2A">
              <w:rPr>
                <w:rFonts w:cs="Arial"/>
                <w:szCs w:val="22"/>
                <w:lang w:val="en"/>
              </w:rPr>
              <w:t xml:space="preserve"> a first tier country in racing.</w:t>
            </w:r>
          </w:p>
          <w:p w:rsidR="00F765F0" w:rsidRDefault="00F765F0" w:rsidP="00C76F5C">
            <w:pPr>
              <w:keepNext/>
              <w:spacing w:after="0" w:line="276" w:lineRule="auto"/>
              <w:jc w:val="both"/>
              <w:rPr>
                <w:rFonts w:cs="Arial"/>
                <w:szCs w:val="22"/>
                <w:lang w:val="en"/>
              </w:rPr>
            </w:pPr>
          </w:p>
          <w:p w:rsidR="006B67E9" w:rsidRDefault="00422175" w:rsidP="00C76F5C">
            <w:pPr>
              <w:keepNext/>
              <w:spacing w:after="0" w:line="276" w:lineRule="auto"/>
              <w:jc w:val="both"/>
              <w:rPr>
                <w:rFonts w:cs="Arial"/>
                <w:szCs w:val="22"/>
              </w:rPr>
            </w:pPr>
            <w:r>
              <w:rPr>
                <w:rFonts w:cs="Arial"/>
                <w:szCs w:val="22"/>
              </w:rPr>
              <w:t xml:space="preserve">Officials have not </w:t>
            </w:r>
            <w:r w:rsidR="005041FC">
              <w:rPr>
                <w:rFonts w:cs="Arial"/>
                <w:szCs w:val="22"/>
              </w:rPr>
              <w:t>assessed</w:t>
            </w:r>
            <w:r>
              <w:rPr>
                <w:rFonts w:cs="Arial"/>
                <w:szCs w:val="22"/>
              </w:rPr>
              <w:t xml:space="preserve"> the </w:t>
            </w:r>
            <w:r w:rsidR="00CB0DD6">
              <w:rPr>
                <w:rFonts w:cs="Arial"/>
                <w:szCs w:val="22"/>
              </w:rPr>
              <w:t xml:space="preserve">nature and scale of the issues facing </w:t>
            </w:r>
            <w:r>
              <w:rPr>
                <w:rFonts w:cs="Arial"/>
                <w:szCs w:val="22"/>
              </w:rPr>
              <w:t xml:space="preserve">the racing industry, nor </w:t>
            </w:r>
            <w:r w:rsidR="000F45EC">
              <w:rPr>
                <w:rFonts w:cs="Arial"/>
                <w:szCs w:val="22"/>
              </w:rPr>
              <w:t>considered</w:t>
            </w:r>
            <w:r>
              <w:rPr>
                <w:rFonts w:cs="Arial"/>
                <w:szCs w:val="22"/>
              </w:rPr>
              <w:t xml:space="preserve"> </w:t>
            </w:r>
            <w:r w:rsidR="003D6025">
              <w:rPr>
                <w:rFonts w:cs="Arial"/>
                <w:szCs w:val="22"/>
              </w:rPr>
              <w:t>the full</w:t>
            </w:r>
            <w:r>
              <w:rPr>
                <w:rFonts w:cs="Arial"/>
                <w:szCs w:val="22"/>
              </w:rPr>
              <w:t xml:space="preserve"> range of alternative options.</w:t>
            </w:r>
            <w:r w:rsidR="00753AD7">
              <w:rPr>
                <w:rFonts w:cs="Arial"/>
                <w:szCs w:val="22"/>
              </w:rPr>
              <w:t xml:space="preserve"> </w:t>
            </w:r>
            <w:r w:rsidR="008017DE">
              <w:rPr>
                <w:rFonts w:cs="Arial"/>
                <w:szCs w:val="22"/>
              </w:rPr>
              <w:t xml:space="preserve"> </w:t>
            </w:r>
            <w:r w:rsidR="00C24EE9">
              <w:rPr>
                <w:rFonts w:cs="Arial"/>
                <w:szCs w:val="22"/>
              </w:rPr>
              <w:t>We have not assess</w:t>
            </w:r>
            <w:r w:rsidR="009760EA">
              <w:rPr>
                <w:rFonts w:cs="Arial"/>
                <w:szCs w:val="22"/>
              </w:rPr>
              <w:t>ed</w:t>
            </w:r>
            <w:r w:rsidR="00C24EE9">
              <w:rPr>
                <w:rFonts w:cs="Arial"/>
                <w:szCs w:val="22"/>
              </w:rPr>
              <w:t xml:space="preserve"> whether the current tax rules are </w:t>
            </w:r>
            <w:r w:rsidR="000A45D4">
              <w:rPr>
                <w:rFonts w:cs="Arial"/>
                <w:szCs w:val="22"/>
              </w:rPr>
              <w:t>a</w:t>
            </w:r>
            <w:r w:rsidR="008017DE">
              <w:rPr>
                <w:rFonts w:cs="Arial"/>
                <w:szCs w:val="22"/>
              </w:rPr>
              <w:t xml:space="preserve"> reason for fewer </w:t>
            </w:r>
            <w:r w:rsidR="00C24EE9">
              <w:rPr>
                <w:rFonts w:cs="Arial"/>
                <w:szCs w:val="22"/>
              </w:rPr>
              <w:t xml:space="preserve">new investors </w:t>
            </w:r>
            <w:r w:rsidR="008017DE">
              <w:rPr>
                <w:rFonts w:cs="Arial"/>
                <w:szCs w:val="22"/>
              </w:rPr>
              <w:t xml:space="preserve">entering </w:t>
            </w:r>
            <w:r w:rsidR="00C24EE9">
              <w:rPr>
                <w:rFonts w:cs="Arial"/>
                <w:szCs w:val="22"/>
              </w:rPr>
              <w:t>into bloodstock breeding</w:t>
            </w:r>
            <w:r w:rsidR="007C7182">
              <w:rPr>
                <w:rFonts w:cs="Arial"/>
                <w:szCs w:val="22"/>
              </w:rPr>
              <w:t>.</w:t>
            </w:r>
            <w:r w:rsidR="00102FA8">
              <w:rPr>
                <w:rFonts w:cs="Arial"/>
                <w:szCs w:val="22"/>
              </w:rPr>
              <w:t xml:space="preserve"> </w:t>
            </w:r>
          </w:p>
          <w:p w:rsidR="006B67E9" w:rsidRDefault="006B67E9" w:rsidP="00C76F5C">
            <w:pPr>
              <w:keepNext/>
              <w:spacing w:after="0" w:line="276" w:lineRule="auto"/>
              <w:jc w:val="both"/>
              <w:rPr>
                <w:rFonts w:cs="Arial"/>
                <w:szCs w:val="22"/>
              </w:rPr>
            </w:pPr>
          </w:p>
          <w:p w:rsidR="00A6021B" w:rsidRDefault="008017DE" w:rsidP="00C76F5C">
            <w:pPr>
              <w:keepNext/>
              <w:spacing w:after="0" w:line="276" w:lineRule="auto"/>
              <w:jc w:val="both"/>
              <w:rPr>
                <w:rFonts w:cs="Arial"/>
                <w:szCs w:val="22"/>
              </w:rPr>
            </w:pPr>
            <w:r>
              <w:rPr>
                <w:rFonts w:cs="Arial"/>
                <w:szCs w:val="22"/>
              </w:rPr>
              <w:t xml:space="preserve">Prior to the new Government being formed, </w:t>
            </w:r>
            <w:r w:rsidR="00A6021B">
              <w:rPr>
                <w:rFonts w:cs="Arial"/>
                <w:szCs w:val="22"/>
              </w:rPr>
              <w:t xml:space="preserve">Inland Revenue </w:t>
            </w:r>
            <w:r>
              <w:rPr>
                <w:rFonts w:cs="Arial"/>
                <w:szCs w:val="22"/>
              </w:rPr>
              <w:t xml:space="preserve">officials </w:t>
            </w:r>
            <w:r w:rsidR="00A6021B">
              <w:rPr>
                <w:rFonts w:cs="Arial"/>
                <w:szCs w:val="22"/>
              </w:rPr>
              <w:t>had been considering racing industry proposals for tax reform.</w:t>
            </w:r>
            <w:r w:rsidR="003B0BFC">
              <w:rPr>
                <w:rFonts w:cs="Arial"/>
                <w:szCs w:val="22"/>
              </w:rPr>
              <w:t xml:space="preserve"> A few options were initially raised to address the problem identified by the industry, including the possibility of direct grants, but these alternatives were not developed further. I</w:t>
            </w:r>
            <w:r w:rsidR="00A6021B">
              <w:rPr>
                <w:rFonts w:cs="Arial"/>
                <w:szCs w:val="22"/>
              </w:rPr>
              <w:t>n early 2018 officials began to focus on an approach that provides tax deductions for</w:t>
            </w:r>
            <w:r w:rsidR="004321A1">
              <w:rPr>
                <w:rFonts w:cs="Arial"/>
                <w:szCs w:val="22"/>
              </w:rPr>
              <w:t xml:space="preserve"> up to 30 yearlings per year. </w:t>
            </w:r>
            <w:r w:rsidR="00A6021B">
              <w:rPr>
                <w:rFonts w:cs="Arial"/>
                <w:szCs w:val="22"/>
              </w:rPr>
              <w:t xml:space="preserve">The industry advised that in any year, there </w:t>
            </w:r>
            <w:r w:rsidR="00410A37">
              <w:rPr>
                <w:rFonts w:cs="Arial"/>
                <w:szCs w:val="22"/>
              </w:rPr>
              <w:t>are</w:t>
            </w:r>
            <w:r w:rsidR="00A6021B">
              <w:rPr>
                <w:rFonts w:cs="Arial"/>
                <w:szCs w:val="22"/>
              </w:rPr>
              <w:t xml:space="preserve"> up to 20 thoroughbred yearlings and up to 10 standardbred yearlings that have the pedigree and physique and race winning potential to be commercial breeding horses in the future.  </w:t>
            </w:r>
          </w:p>
          <w:p w:rsidR="00A6021B" w:rsidRDefault="00A6021B" w:rsidP="00C76F5C">
            <w:pPr>
              <w:keepNext/>
              <w:spacing w:after="0" w:line="276" w:lineRule="auto"/>
              <w:jc w:val="both"/>
              <w:rPr>
                <w:rFonts w:cs="Arial"/>
                <w:szCs w:val="22"/>
              </w:rPr>
            </w:pPr>
          </w:p>
          <w:p w:rsidR="00507721" w:rsidRDefault="00507721" w:rsidP="00C76F5C">
            <w:pPr>
              <w:keepNext/>
              <w:spacing w:after="0" w:line="276" w:lineRule="auto"/>
              <w:jc w:val="both"/>
              <w:rPr>
                <w:rFonts w:cs="Arial"/>
                <w:szCs w:val="22"/>
              </w:rPr>
            </w:pPr>
            <w:r>
              <w:rPr>
                <w:rFonts w:cs="Arial"/>
                <w:szCs w:val="22"/>
              </w:rPr>
              <w:t>Price paid for a yearling may be a good proxy for a yearling that is more likely to be a commercial breeding prospect</w:t>
            </w:r>
            <w:r w:rsidR="00C62283">
              <w:rPr>
                <w:rFonts w:cs="Arial"/>
                <w:szCs w:val="22"/>
              </w:rPr>
              <w:t xml:space="preserve">; </w:t>
            </w:r>
            <w:r w:rsidR="00AC1727">
              <w:rPr>
                <w:rFonts w:cs="Arial"/>
                <w:szCs w:val="22"/>
              </w:rPr>
              <w:t>we</w:t>
            </w:r>
            <w:r w:rsidR="00CA1234">
              <w:rPr>
                <w:rFonts w:cs="Arial"/>
                <w:szCs w:val="22"/>
              </w:rPr>
              <w:t xml:space="preserve"> </w:t>
            </w:r>
            <w:r w:rsidR="001E64BB">
              <w:rPr>
                <w:rFonts w:cs="Arial"/>
                <w:szCs w:val="22"/>
              </w:rPr>
              <w:t>assume that</w:t>
            </w:r>
            <w:r w:rsidR="00991483">
              <w:rPr>
                <w:rFonts w:cs="Arial"/>
                <w:szCs w:val="22"/>
              </w:rPr>
              <w:t xml:space="preserve"> final</w:t>
            </w:r>
            <w:r w:rsidR="001E64BB">
              <w:rPr>
                <w:rFonts w:cs="Arial"/>
                <w:szCs w:val="22"/>
              </w:rPr>
              <w:t xml:space="preserve"> </w:t>
            </w:r>
            <w:r w:rsidR="007E219F">
              <w:rPr>
                <w:rFonts w:cs="Arial"/>
                <w:szCs w:val="22"/>
              </w:rPr>
              <w:t>purchase</w:t>
            </w:r>
            <w:r w:rsidR="00DD0593">
              <w:rPr>
                <w:rFonts w:cs="Arial"/>
                <w:szCs w:val="22"/>
              </w:rPr>
              <w:t xml:space="preserve"> </w:t>
            </w:r>
            <w:r w:rsidR="001E64BB">
              <w:rPr>
                <w:rFonts w:cs="Arial"/>
                <w:szCs w:val="22"/>
              </w:rPr>
              <w:t xml:space="preserve">prices must be based on some </w:t>
            </w:r>
            <w:r w:rsidR="00F86DD4">
              <w:rPr>
                <w:rFonts w:cs="Arial"/>
                <w:szCs w:val="22"/>
              </w:rPr>
              <w:t>assessment of a yearling’</w:t>
            </w:r>
            <w:r w:rsidR="00E6582D">
              <w:rPr>
                <w:rFonts w:cs="Arial"/>
                <w:szCs w:val="22"/>
              </w:rPr>
              <w:t>s qualities that make it more or less likely to be a breedi</w:t>
            </w:r>
            <w:r w:rsidR="00C84FF1">
              <w:rPr>
                <w:rFonts w:cs="Arial"/>
                <w:szCs w:val="22"/>
              </w:rPr>
              <w:t>ng prospect in the eyes of an investor.</w:t>
            </w:r>
            <w:r>
              <w:rPr>
                <w:rFonts w:cs="Arial"/>
                <w:szCs w:val="22"/>
              </w:rPr>
              <w:t xml:space="preserve"> However, because a yearling has not yet raced and proven its </w:t>
            </w:r>
            <w:r w:rsidR="00A6021B">
              <w:rPr>
                <w:rFonts w:cs="Arial"/>
                <w:szCs w:val="22"/>
              </w:rPr>
              <w:t>quality</w:t>
            </w:r>
            <w:r>
              <w:rPr>
                <w:rFonts w:cs="Arial"/>
                <w:szCs w:val="22"/>
              </w:rPr>
              <w:t xml:space="preserve">, a higher purchase price will not necessarily translate to a </w:t>
            </w:r>
            <w:r w:rsidR="001A1A16">
              <w:rPr>
                <w:rFonts w:cs="Arial"/>
                <w:szCs w:val="22"/>
              </w:rPr>
              <w:t>better quality horse</w:t>
            </w:r>
            <w:r w:rsidR="00421D5A">
              <w:rPr>
                <w:rFonts w:cs="Arial"/>
                <w:szCs w:val="22"/>
              </w:rPr>
              <w:t xml:space="preserve">. That </w:t>
            </w:r>
            <w:r w:rsidR="001A1A16">
              <w:rPr>
                <w:rFonts w:cs="Arial"/>
                <w:szCs w:val="22"/>
              </w:rPr>
              <w:t xml:space="preserve">can only be </w:t>
            </w:r>
            <w:r w:rsidR="00665192">
              <w:rPr>
                <w:rFonts w:cs="Arial"/>
                <w:szCs w:val="22"/>
              </w:rPr>
              <w:t>confirmed</w:t>
            </w:r>
            <w:r w:rsidR="001A1A16">
              <w:rPr>
                <w:rFonts w:cs="Arial"/>
                <w:szCs w:val="22"/>
              </w:rPr>
              <w:t xml:space="preserve"> after the fact.</w:t>
            </w:r>
            <w:r>
              <w:rPr>
                <w:rFonts w:cs="Arial"/>
                <w:szCs w:val="22"/>
              </w:rPr>
              <w:t xml:space="preserve">                   </w:t>
            </w:r>
          </w:p>
          <w:p w:rsidR="00507721" w:rsidRDefault="00507721" w:rsidP="00C76F5C">
            <w:pPr>
              <w:keepNext/>
              <w:spacing w:after="0" w:line="276" w:lineRule="auto"/>
              <w:jc w:val="both"/>
              <w:rPr>
                <w:rFonts w:cs="Arial"/>
                <w:szCs w:val="22"/>
              </w:rPr>
            </w:pPr>
          </w:p>
          <w:p w:rsidR="00507721" w:rsidRPr="009C4129" w:rsidRDefault="00A6021B" w:rsidP="00C76F5C">
            <w:pPr>
              <w:keepNext/>
              <w:spacing w:after="0" w:line="276" w:lineRule="auto"/>
              <w:jc w:val="both"/>
              <w:rPr>
                <w:rFonts w:cs="Arial"/>
                <w:szCs w:val="22"/>
              </w:rPr>
            </w:pPr>
            <w:r>
              <w:rPr>
                <w:rFonts w:cs="Arial"/>
                <w:szCs w:val="22"/>
              </w:rPr>
              <w:t xml:space="preserve">The </w:t>
            </w:r>
            <w:r w:rsidR="00507721">
              <w:rPr>
                <w:rFonts w:cs="Arial"/>
                <w:szCs w:val="22"/>
              </w:rPr>
              <w:t xml:space="preserve">price threshold </w:t>
            </w:r>
            <w:r w:rsidR="004F042E">
              <w:rPr>
                <w:rFonts w:cs="Arial"/>
                <w:szCs w:val="22"/>
              </w:rPr>
              <w:t>importantly</w:t>
            </w:r>
            <w:r>
              <w:rPr>
                <w:rFonts w:cs="Arial"/>
                <w:szCs w:val="22"/>
              </w:rPr>
              <w:t xml:space="preserve"> </w:t>
            </w:r>
            <w:r w:rsidR="001A712E">
              <w:rPr>
                <w:rFonts w:cs="Arial"/>
                <w:szCs w:val="22"/>
              </w:rPr>
              <w:t>aims</w:t>
            </w:r>
            <w:r w:rsidR="00507721">
              <w:rPr>
                <w:rFonts w:cs="Arial"/>
                <w:szCs w:val="22"/>
              </w:rPr>
              <w:t xml:space="preserve"> to limit the number of </w:t>
            </w:r>
            <w:r w:rsidR="002C488B">
              <w:rPr>
                <w:rFonts w:cs="Arial"/>
                <w:szCs w:val="22"/>
              </w:rPr>
              <w:t>horses</w:t>
            </w:r>
            <w:r w:rsidR="001A712E">
              <w:rPr>
                <w:rFonts w:cs="Arial"/>
                <w:szCs w:val="22"/>
              </w:rPr>
              <w:t xml:space="preserve"> </w:t>
            </w:r>
            <w:r w:rsidR="00EE5FC5">
              <w:rPr>
                <w:rFonts w:cs="Arial"/>
                <w:szCs w:val="22"/>
              </w:rPr>
              <w:t xml:space="preserve">that </w:t>
            </w:r>
            <w:r>
              <w:rPr>
                <w:rFonts w:cs="Arial"/>
                <w:szCs w:val="22"/>
              </w:rPr>
              <w:t xml:space="preserve">qualify for the </w:t>
            </w:r>
            <w:r w:rsidR="001A712E">
              <w:rPr>
                <w:rFonts w:cs="Arial"/>
                <w:szCs w:val="22"/>
              </w:rPr>
              <w:t>policy</w:t>
            </w:r>
            <w:r w:rsidR="00507721">
              <w:rPr>
                <w:rFonts w:cs="Arial"/>
                <w:szCs w:val="22"/>
              </w:rPr>
              <w:t xml:space="preserve">. </w:t>
            </w:r>
            <w:r>
              <w:rPr>
                <w:rFonts w:cs="Arial"/>
                <w:szCs w:val="22"/>
              </w:rPr>
              <w:t xml:space="preserve"> However, </w:t>
            </w:r>
            <w:r w:rsidR="00507721">
              <w:rPr>
                <w:rFonts w:cs="Arial"/>
                <w:szCs w:val="22"/>
              </w:rPr>
              <w:t xml:space="preserve">it is difficult to know how industry practices will change in response to </w:t>
            </w:r>
            <w:r w:rsidR="006811DA">
              <w:rPr>
                <w:rFonts w:cs="Arial"/>
                <w:szCs w:val="22"/>
              </w:rPr>
              <w:t xml:space="preserve">these tax amendments. The extent to which investors </w:t>
            </w:r>
            <w:r w:rsidR="00AD01A9">
              <w:rPr>
                <w:rFonts w:cs="Arial"/>
                <w:szCs w:val="22"/>
              </w:rPr>
              <w:t>will</w:t>
            </w:r>
            <w:r w:rsidR="006811DA">
              <w:rPr>
                <w:rFonts w:cs="Arial"/>
                <w:szCs w:val="22"/>
              </w:rPr>
              <w:t xml:space="preserve"> bid up </w:t>
            </w:r>
            <w:r w:rsidR="00F27C87">
              <w:rPr>
                <w:rFonts w:cs="Arial"/>
                <w:szCs w:val="22"/>
              </w:rPr>
              <w:t xml:space="preserve">horses </w:t>
            </w:r>
            <w:r w:rsidR="00BE2A6D">
              <w:rPr>
                <w:rFonts w:cs="Arial"/>
                <w:szCs w:val="22"/>
              </w:rPr>
              <w:t>near the threshold</w:t>
            </w:r>
            <w:r w:rsidR="00F27C87">
              <w:rPr>
                <w:rFonts w:cs="Arial"/>
                <w:szCs w:val="22"/>
              </w:rPr>
              <w:t xml:space="preserve"> to</w:t>
            </w:r>
            <w:r w:rsidR="00AD01A9">
              <w:rPr>
                <w:rFonts w:cs="Arial"/>
                <w:szCs w:val="22"/>
              </w:rPr>
              <w:t xml:space="preserve"> </w:t>
            </w:r>
            <w:r w:rsidR="00491078">
              <w:rPr>
                <w:rFonts w:cs="Arial"/>
                <w:szCs w:val="22"/>
              </w:rPr>
              <w:t xml:space="preserve">qualify for </w:t>
            </w:r>
            <w:r w:rsidR="006A4AF8">
              <w:rPr>
                <w:rFonts w:cs="Arial"/>
                <w:szCs w:val="22"/>
              </w:rPr>
              <w:t xml:space="preserve">tax </w:t>
            </w:r>
            <w:r w:rsidR="00456EAC">
              <w:rPr>
                <w:rFonts w:cs="Arial"/>
                <w:szCs w:val="22"/>
              </w:rPr>
              <w:t>benefits</w:t>
            </w:r>
            <w:r w:rsidR="00044593">
              <w:rPr>
                <w:rFonts w:cs="Arial"/>
                <w:szCs w:val="22"/>
              </w:rPr>
              <w:t xml:space="preserve"> cannot be</w:t>
            </w:r>
            <w:r w:rsidR="009B3B53">
              <w:rPr>
                <w:rFonts w:cs="Arial"/>
                <w:szCs w:val="22"/>
              </w:rPr>
              <w:t xml:space="preserve"> </w:t>
            </w:r>
            <w:r w:rsidR="00670F53">
              <w:rPr>
                <w:rFonts w:cs="Arial"/>
                <w:szCs w:val="22"/>
              </w:rPr>
              <w:t xml:space="preserve">accurately </w:t>
            </w:r>
            <w:r w:rsidR="00974007">
              <w:rPr>
                <w:rFonts w:cs="Arial"/>
                <w:szCs w:val="22"/>
              </w:rPr>
              <w:t>predicted</w:t>
            </w:r>
            <w:r w:rsidR="001A3B1B">
              <w:rPr>
                <w:rFonts w:cs="Arial"/>
                <w:szCs w:val="22"/>
              </w:rPr>
              <w:t xml:space="preserve">. </w:t>
            </w:r>
          </w:p>
          <w:p w:rsidR="00507721" w:rsidRDefault="00507721" w:rsidP="00C76F5C">
            <w:pPr>
              <w:keepNext/>
              <w:spacing w:after="0" w:line="276" w:lineRule="auto"/>
              <w:jc w:val="both"/>
              <w:rPr>
                <w:rFonts w:cs="Arial"/>
                <w:szCs w:val="22"/>
              </w:rPr>
            </w:pPr>
          </w:p>
          <w:p w:rsidR="00EB76BF" w:rsidRDefault="00BC172A" w:rsidP="00C76F5C">
            <w:pPr>
              <w:keepNext/>
              <w:spacing w:after="0" w:line="276" w:lineRule="auto"/>
              <w:jc w:val="both"/>
              <w:rPr>
                <w:rFonts w:cs="Arial"/>
                <w:szCs w:val="22"/>
              </w:rPr>
            </w:pPr>
            <w:r>
              <w:rPr>
                <w:rFonts w:cs="Arial"/>
                <w:szCs w:val="22"/>
              </w:rPr>
              <w:t xml:space="preserve">Intention </w:t>
            </w:r>
            <w:r w:rsidR="006476F0">
              <w:rPr>
                <w:rFonts w:cs="Arial"/>
                <w:szCs w:val="22"/>
              </w:rPr>
              <w:t>to breed</w:t>
            </w:r>
            <w:r>
              <w:rPr>
                <w:rFonts w:cs="Arial"/>
                <w:szCs w:val="22"/>
              </w:rPr>
              <w:t xml:space="preserve"> also presents difficulties as a criterion</w:t>
            </w:r>
            <w:r w:rsidR="006476F0">
              <w:rPr>
                <w:rFonts w:cs="Arial"/>
                <w:szCs w:val="22"/>
              </w:rPr>
              <w:t xml:space="preserve">, </w:t>
            </w:r>
            <w:r>
              <w:rPr>
                <w:rFonts w:cs="Arial"/>
                <w:szCs w:val="22"/>
              </w:rPr>
              <w:t>as</w:t>
            </w:r>
            <w:r w:rsidR="006476F0">
              <w:rPr>
                <w:rFonts w:cs="Arial"/>
                <w:szCs w:val="22"/>
              </w:rPr>
              <w:t xml:space="preserve"> it is not possible to </w:t>
            </w:r>
            <w:r w:rsidR="00E26128">
              <w:rPr>
                <w:rFonts w:cs="Arial"/>
                <w:szCs w:val="22"/>
              </w:rPr>
              <w:t>know whether the intention</w:t>
            </w:r>
            <w:r w:rsidR="007107A9">
              <w:rPr>
                <w:rFonts w:cs="Arial"/>
                <w:szCs w:val="22"/>
              </w:rPr>
              <w:t xml:space="preserve"> an investor claims</w:t>
            </w:r>
            <w:r w:rsidR="00E26128">
              <w:rPr>
                <w:rFonts w:cs="Arial"/>
                <w:szCs w:val="22"/>
              </w:rPr>
              <w:t xml:space="preserve"> is genuine </w:t>
            </w:r>
            <w:r w:rsidR="0045415F">
              <w:rPr>
                <w:rFonts w:cs="Arial"/>
                <w:szCs w:val="22"/>
              </w:rPr>
              <w:t>until a breeding business is realised</w:t>
            </w:r>
            <w:r w:rsidR="005B74FE">
              <w:rPr>
                <w:rFonts w:cs="Arial"/>
                <w:szCs w:val="22"/>
              </w:rPr>
              <w:t>.</w:t>
            </w:r>
            <w:r w:rsidR="00A6021B">
              <w:rPr>
                <w:rFonts w:cs="Arial"/>
                <w:szCs w:val="22"/>
              </w:rPr>
              <w:t xml:space="preserve">  However, the quality of business plans and other information required to support a statement of intention to breed </w:t>
            </w:r>
            <w:r w:rsidR="00F359BD">
              <w:rPr>
                <w:rFonts w:cs="Arial"/>
                <w:szCs w:val="22"/>
              </w:rPr>
              <w:t xml:space="preserve">may enable Inland Revenue to identify those investors that do not have a genuine intention to breed from a yearling in the future.  </w:t>
            </w:r>
          </w:p>
          <w:p w:rsidR="00B77025" w:rsidRPr="00FB47AA" w:rsidRDefault="00B77025" w:rsidP="00C76F5C">
            <w:pPr>
              <w:keepNext/>
              <w:spacing w:after="0" w:line="276" w:lineRule="auto"/>
              <w:jc w:val="both"/>
              <w:rPr>
                <w:rFonts w:cs="Arial"/>
                <w:szCs w:val="22"/>
              </w:rPr>
            </w:pPr>
          </w:p>
        </w:tc>
      </w:tr>
      <w:tr w:rsidR="0062657E" w:rsidRPr="009C4129" w:rsidTr="00663BAA">
        <w:tc>
          <w:tcPr>
            <w:tcW w:w="5000" w:type="pct"/>
            <w:shd w:val="clear" w:color="auto" w:fill="99CDDD"/>
            <w:hideMark/>
          </w:tcPr>
          <w:p w:rsidR="0062657E" w:rsidRPr="009C4129" w:rsidRDefault="0062657E" w:rsidP="00DF2E7B">
            <w:pPr>
              <w:spacing w:before="60" w:after="60" w:line="240" w:lineRule="auto"/>
              <w:rPr>
                <w:rFonts w:cs="Arial"/>
                <w:b/>
                <w:szCs w:val="22"/>
              </w:rPr>
            </w:pPr>
            <w:bookmarkStart w:id="1" w:name="_Toc363047038"/>
            <w:bookmarkStart w:id="2" w:name="_Toc362940530"/>
            <w:bookmarkStart w:id="3" w:name="_Toc362618966"/>
            <w:bookmarkStart w:id="4" w:name="_Toc362434720"/>
            <w:bookmarkStart w:id="5" w:name="_Toc362368098"/>
            <w:r w:rsidRPr="009C4129">
              <w:rPr>
                <w:rFonts w:cs="Arial"/>
                <w:b/>
                <w:szCs w:val="22"/>
              </w:rPr>
              <w:t>Responsible Manager (signature and date):</w:t>
            </w:r>
          </w:p>
        </w:tc>
      </w:tr>
      <w:tr w:rsidR="0062657E" w:rsidRPr="009C4129" w:rsidTr="007E6AE3">
        <w:trPr>
          <w:trHeight w:val="2949"/>
        </w:trPr>
        <w:tc>
          <w:tcPr>
            <w:tcW w:w="5000" w:type="pct"/>
            <w:shd w:val="clear" w:color="auto" w:fill="FFFFFF"/>
          </w:tcPr>
          <w:p w:rsidR="00576168" w:rsidRDefault="00576168" w:rsidP="00576168">
            <w:pPr>
              <w:spacing w:after="0" w:line="276" w:lineRule="auto"/>
              <w:jc w:val="both"/>
              <w:rPr>
                <w:rFonts w:cs="Arial"/>
                <w:szCs w:val="22"/>
              </w:rPr>
            </w:pPr>
          </w:p>
          <w:p w:rsidR="00BE4B54" w:rsidRDefault="00BE4B54" w:rsidP="00576168">
            <w:pPr>
              <w:spacing w:after="0" w:line="276" w:lineRule="auto"/>
              <w:jc w:val="both"/>
              <w:rPr>
                <w:rFonts w:cs="Arial"/>
                <w:szCs w:val="22"/>
              </w:rPr>
            </w:pPr>
          </w:p>
          <w:p w:rsidR="00BE4B54" w:rsidRDefault="00BE4B54" w:rsidP="00576168">
            <w:pPr>
              <w:spacing w:after="0" w:line="276" w:lineRule="auto"/>
              <w:jc w:val="both"/>
              <w:rPr>
                <w:rFonts w:cs="Arial"/>
                <w:szCs w:val="22"/>
              </w:rPr>
            </w:pPr>
          </w:p>
          <w:p w:rsidR="00BE4B54" w:rsidRDefault="00BE4B54" w:rsidP="00576168">
            <w:pPr>
              <w:spacing w:after="0" w:line="276" w:lineRule="auto"/>
              <w:jc w:val="both"/>
              <w:rPr>
                <w:rFonts w:cs="Arial"/>
                <w:szCs w:val="22"/>
              </w:rPr>
            </w:pPr>
          </w:p>
          <w:p w:rsidR="0049543B" w:rsidRDefault="0049543B" w:rsidP="00576168">
            <w:pPr>
              <w:spacing w:after="0" w:line="276" w:lineRule="auto"/>
              <w:jc w:val="both"/>
              <w:rPr>
                <w:rFonts w:cs="Arial"/>
                <w:szCs w:val="22"/>
              </w:rPr>
            </w:pPr>
            <w:r>
              <w:rPr>
                <w:rFonts w:cs="Arial"/>
                <w:szCs w:val="22"/>
              </w:rPr>
              <w:t>Peter Frawley</w:t>
            </w:r>
          </w:p>
          <w:p w:rsidR="0049543B" w:rsidRDefault="0049543B" w:rsidP="0049543B">
            <w:pPr>
              <w:spacing w:after="0" w:line="276" w:lineRule="auto"/>
              <w:ind w:left="284" w:hanging="284"/>
              <w:jc w:val="both"/>
              <w:rPr>
                <w:rFonts w:cs="Arial"/>
                <w:szCs w:val="22"/>
              </w:rPr>
            </w:pPr>
            <w:r>
              <w:rPr>
                <w:rFonts w:cs="Arial"/>
                <w:szCs w:val="22"/>
              </w:rPr>
              <w:t>Policy Manager</w:t>
            </w:r>
          </w:p>
          <w:p w:rsidR="0049543B" w:rsidRDefault="0049543B" w:rsidP="0049543B">
            <w:pPr>
              <w:spacing w:after="0" w:line="276" w:lineRule="auto"/>
              <w:ind w:left="284" w:hanging="284"/>
              <w:jc w:val="both"/>
              <w:rPr>
                <w:rFonts w:cs="Arial"/>
                <w:szCs w:val="22"/>
              </w:rPr>
            </w:pPr>
            <w:r>
              <w:rPr>
                <w:rFonts w:cs="Arial"/>
                <w:szCs w:val="22"/>
              </w:rPr>
              <w:t>Policy and Strategy</w:t>
            </w:r>
          </w:p>
          <w:p w:rsidR="0049543B" w:rsidRDefault="0049543B" w:rsidP="0049543B">
            <w:pPr>
              <w:spacing w:after="0" w:line="276" w:lineRule="auto"/>
              <w:ind w:left="284" w:hanging="284"/>
              <w:jc w:val="both"/>
              <w:rPr>
                <w:rFonts w:cs="Arial"/>
                <w:szCs w:val="22"/>
              </w:rPr>
            </w:pPr>
            <w:r>
              <w:rPr>
                <w:rFonts w:cs="Arial"/>
                <w:szCs w:val="22"/>
              </w:rPr>
              <w:t>Inland Revenue</w:t>
            </w:r>
          </w:p>
          <w:p w:rsidR="0049543B" w:rsidRDefault="0049543B" w:rsidP="0049543B">
            <w:pPr>
              <w:spacing w:after="0" w:line="276" w:lineRule="auto"/>
              <w:ind w:left="284" w:hanging="284"/>
              <w:jc w:val="both"/>
              <w:rPr>
                <w:rFonts w:cs="Arial"/>
                <w:szCs w:val="22"/>
              </w:rPr>
            </w:pPr>
          </w:p>
          <w:p w:rsidR="0049543B" w:rsidRPr="009C4129" w:rsidRDefault="00BE4B54" w:rsidP="00BE4B54">
            <w:pPr>
              <w:spacing w:after="0" w:line="276" w:lineRule="auto"/>
              <w:ind w:left="284" w:hanging="284"/>
              <w:jc w:val="both"/>
              <w:rPr>
                <w:rFonts w:cs="Arial"/>
                <w:szCs w:val="22"/>
              </w:rPr>
            </w:pPr>
            <w:r>
              <w:rPr>
                <w:rFonts w:cs="Arial"/>
                <w:szCs w:val="22"/>
              </w:rPr>
              <w:t>11</w:t>
            </w:r>
            <w:r w:rsidR="0049543B">
              <w:rPr>
                <w:rFonts w:cs="Arial"/>
                <w:szCs w:val="22"/>
              </w:rPr>
              <w:t xml:space="preserve"> </w:t>
            </w:r>
            <w:r w:rsidR="0032472E">
              <w:rPr>
                <w:rFonts w:cs="Arial"/>
                <w:szCs w:val="22"/>
              </w:rPr>
              <w:t>September</w:t>
            </w:r>
            <w:r w:rsidR="0049543B">
              <w:rPr>
                <w:rFonts w:cs="Arial"/>
                <w:szCs w:val="22"/>
              </w:rPr>
              <w:t xml:space="preserve"> 2018</w:t>
            </w:r>
          </w:p>
        </w:tc>
      </w:tr>
    </w:tbl>
    <w:p w:rsidR="0062657E" w:rsidRPr="0005691A" w:rsidRDefault="0062657E" w:rsidP="00663BAA">
      <w:pPr>
        <w:spacing w:line="276" w:lineRule="auto"/>
        <w:rPr>
          <w:rFonts w:cs="Arial"/>
          <w:b/>
          <w:color w:val="0082AB"/>
          <w:spacing w:val="20"/>
          <w:w w:val="90"/>
          <w:sz w:val="32"/>
          <w:szCs w:val="24"/>
        </w:rPr>
      </w:pPr>
      <w:r w:rsidRPr="009C4129">
        <w:rPr>
          <w:rFonts w:cs="Arial"/>
          <w:szCs w:val="22"/>
        </w:rPr>
        <w:br w:type="page"/>
      </w:r>
      <w:r w:rsidRPr="0005691A">
        <w:rPr>
          <w:rFonts w:cs="Arial"/>
          <w:b/>
          <w:color w:val="0082AB"/>
          <w:spacing w:val="20"/>
          <w:w w:val="90"/>
          <w:sz w:val="32"/>
          <w:szCs w:val="24"/>
        </w:rPr>
        <w:lastRenderedPageBreak/>
        <w:t>Section 2:</w:t>
      </w:r>
      <w:bookmarkEnd w:id="1"/>
      <w:bookmarkEnd w:id="2"/>
      <w:bookmarkEnd w:id="3"/>
      <w:bookmarkEnd w:id="4"/>
      <w:bookmarkEnd w:id="5"/>
      <w:r w:rsidR="0005691A" w:rsidRPr="0005691A">
        <w:rPr>
          <w:rFonts w:cs="Arial"/>
          <w:b/>
          <w:color w:val="0082AB"/>
          <w:spacing w:val="20"/>
          <w:w w:val="90"/>
          <w:sz w:val="32"/>
          <w:szCs w:val="24"/>
        </w:rPr>
        <w:t xml:space="preserve"> </w:t>
      </w:r>
      <w:r w:rsidRPr="0005691A">
        <w:rPr>
          <w:rFonts w:cs="Arial"/>
          <w:b/>
          <w:color w:val="0082AB"/>
          <w:spacing w:val="20"/>
          <w:w w:val="90"/>
          <w:sz w:val="32"/>
          <w:szCs w:val="24"/>
        </w:rPr>
        <w:t>Problem definition and objectives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C4129" w:rsidRPr="009C4129" w:rsidTr="004A11FC">
        <w:trPr>
          <w:trHeight w:val="77"/>
        </w:trPr>
        <w:tc>
          <w:tcPr>
            <w:tcW w:w="5000" w:type="pct"/>
            <w:shd w:val="clear" w:color="auto" w:fill="99CDDD"/>
          </w:tcPr>
          <w:p w:rsidR="0062657E" w:rsidRPr="009C4129" w:rsidRDefault="0062657E" w:rsidP="00DF2E7B">
            <w:pPr>
              <w:spacing w:before="60" w:after="60" w:line="240" w:lineRule="auto"/>
              <w:rPr>
                <w:rFonts w:cs="Arial"/>
                <w:b/>
                <w:szCs w:val="22"/>
              </w:rPr>
            </w:pPr>
            <w:r w:rsidRPr="009C4129">
              <w:rPr>
                <w:rFonts w:cs="Arial"/>
                <w:b/>
                <w:szCs w:val="22"/>
              </w:rPr>
              <w:t>2.1      What is the context within which action is proposed?</w:t>
            </w:r>
          </w:p>
        </w:tc>
      </w:tr>
      <w:tr w:rsidR="009C4129" w:rsidRPr="009C4129" w:rsidTr="00384E9B">
        <w:trPr>
          <w:trHeight w:val="3346"/>
        </w:trPr>
        <w:tc>
          <w:tcPr>
            <w:tcW w:w="5000" w:type="pct"/>
            <w:shd w:val="clear" w:color="auto" w:fill="FFFFFF"/>
          </w:tcPr>
          <w:p w:rsidR="0062657E" w:rsidRPr="009C4129" w:rsidRDefault="0062657E" w:rsidP="009C4129">
            <w:pPr>
              <w:spacing w:after="0" w:line="276" w:lineRule="auto"/>
              <w:jc w:val="both"/>
              <w:rPr>
                <w:rFonts w:cs="Arial"/>
                <w:szCs w:val="22"/>
                <w:lang w:eastAsia="en-AU"/>
              </w:rPr>
            </w:pPr>
          </w:p>
          <w:p w:rsidR="00CA3EFC" w:rsidRDefault="00D562B1" w:rsidP="00A91CB9">
            <w:pPr>
              <w:spacing w:after="0" w:line="276" w:lineRule="auto"/>
              <w:jc w:val="both"/>
              <w:rPr>
                <w:rFonts w:cs="Arial"/>
                <w:szCs w:val="22"/>
                <w:lang w:eastAsia="en-AU"/>
              </w:rPr>
            </w:pPr>
            <w:r>
              <w:rPr>
                <w:rFonts w:cs="Arial"/>
                <w:szCs w:val="22"/>
                <w:lang w:eastAsia="en-AU"/>
              </w:rPr>
              <w:t>A high proportion of people engaged in the horse racing</w:t>
            </w:r>
            <w:r w:rsidR="001F42A0">
              <w:rPr>
                <w:rFonts w:cs="Arial"/>
                <w:szCs w:val="22"/>
                <w:lang w:eastAsia="en-AU"/>
              </w:rPr>
              <w:t xml:space="preserve"> and breeding</w:t>
            </w:r>
            <w:r>
              <w:rPr>
                <w:rFonts w:cs="Arial"/>
                <w:szCs w:val="22"/>
                <w:lang w:eastAsia="en-AU"/>
              </w:rPr>
              <w:t xml:space="preserve"> industry are hobbyists</w:t>
            </w:r>
            <w:r w:rsidR="00660A79">
              <w:rPr>
                <w:rFonts w:cs="Arial"/>
                <w:szCs w:val="22"/>
                <w:lang w:eastAsia="en-AU"/>
              </w:rPr>
              <w:t>.</w:t>
            </w:r>
            <w:r w:rsidR="004049AB">
              <w:rPr>
                <w:rFonts w:cs="Arial"/>
                <w:szCs w:val="22"/>
                <w:lang w:eastAsia="en-AU"/>
              </w:rPr>
              <w:t xml:space="preserve"> Thes</w:t>
            </w:r>
            <w:r w:rsidR="009D2231">
              <w:rPr>
                <w:rFonts w:cs="Arial"/>
                <w:szCs w:val="22"/>
                <w:lang w:eastAsia="en-AU"/>
              </w:rPr>
              <w:t>e participants are not</w:t>
            </w:r>
            <w:r w:rsidR="0025649C">
              <w:rPr>
                <w:rFonts w:cs="Arial"/>
                <w:szCs w:val="22"/>
                <w:lang w:eastAsia="en-AU"/>
              </w:rPr>
              <w:t xml:space="preserve"> entirely</w:t>
            </w:r>
            <w:r w:rsidR="009D2231">
              <w:rPr>
                <w:rFonts w:cs="Arial"/>
                <w:szCs w:val="22"/>
                <w:lang w:eastAsia="en-AU"/>
              </w:rPr>
              <w:t xml:space="preserve"> motivated by profit</w:t>
            </w:r>
            <w:r w:rsidR="00FA21C8">
              <w:rPr>
                <w:rFonts w:cs="Arial"/>
                <w:szCs w:val="22"/>
                <w:lang w:eastAsia="en-AU"/>
              </w:rPr>
              <w:t xml:space="preserve">, but </w:t>
            </w:r>
            <w:r w:rsidR="00177628">
              <w:rPr>
                <w:rFonts w:cs="Arial"/>
                <w:szCs w:val="22"/>
                <w:lang w:eastAsia="en-AU"/>
              </w:rPr>
              <w:t xml:space="preserve">also </w:t>
            </w:r>
            <w:r w:rsidR="00FA21C8">
              <w:rPr>
                <w:rFonts w:cs="Arial"/>
                <w:szCs w:val="22"/>
                <w:lang w:eastAsia="en-AU"/>
              </w:rPr>
              <w:t xml:space="preserve">by the enjoyment they derive from </w:t>
            </w:r>
            <w:r w:rsidR="002D42E7">
              <w:rPr>
                <w:rFonts w:cs="Arial"/>
                <w:szCs w:val="22"/>
                <w:lang w:eastAsia="en-AU"/>
              </w:rPr>
              <w:t xml:space="preserve">racing as </w:t>
            </w:r>
            <w:r w:rsidR="0027630F">
              <w:rPr>
                <w:rFonts w:cs="Arial"/>
                <w:szCs w:val="22"/>
                <w:lang w:eastAsia="en-AU"/>
              </w:rPr>
              <w:t>a hobby</w:t>
            </w:r>
            <w:r w:rsidR="00907CE4">
              <w:rPr>
                <w:rFonts w:cs="Arial"/>
                <w:szCs w:val="22"/>
                <w:lang w:eastAsia="en-AU"/>
              </w:rPr>
              <w:t xml:space="preserve"> and the opportunity to </w:t>
            </w:r>
            <w:r w:rsidR="00F359BD">
              <w:rPr>
                <w:rFonts w:cs="Arial"/>
                <w:szCs w:val="22"/>
                <w:lang w:eastAsia="en-AU"/>
              </w:rPr>
              <w:t xml:space="preserve">develop a future champion sire or </w:t>
            </w:r>
            <w:r w:rsidR="00907CE4">
              <w:rPr>
                <w:rFonts w:cs="Arial"/>
                <w:szCs w:val="22"/>
                <w:lang w:eastAsia="en-AU"/>
              </w:rPr>
              <w:t>breed the next champion</w:t>
            </w:r>
            <w:r w:rsidR="00F359BD">
              <w:rPr>
                <w:rFonts w:cs="Arial"/>
                <w:szCs w:val="22"/>
                <w:lang w:eastAsia="en-AU"/>
              </w:rPr>
              <w:t xml:space="preserve"> race winner</w:t>
            </w:r>
            <w:r w:rsidR="00907CE4">
              <w:rPr>
                <w:rFonts w:cs="Arial"/>
                <w:szCs w:val="22"/>
                <w:lang w:eastAsia="en-AU"/>
              </w:rPr>
              <w:t xml:space="preserve">. </w:t>
            </w:r>
          </w:p>
          <w:p w:rsidR="00EE40A5" w:rsidRDefault="00EE40A5" w:rsidP="00A91CB9">
            <w:pPr>
              <w:spacing w:after="0" w:line="276" w:lineRule="auto"/>
              <w:jc w:val="both"/>
              <w:rPr>
                <w:rFonts w:cs="Arial"/>
                <w:szCs w:val="22"/>
                <w:lang w:eastAsia="en-AU"/>
              </w:rPr>
            </w:pPr>
          </w:p>
          <w:p w:rsidR="00CA3EFC" w:rsidRDefault="00CA3EFC" w:rsidP="00A91CB9">
            <w:pPr>
              <w:spacing w:after="0" w:line="276" w:lineRule="auto"/>
              <w:jc w:val="both"/>
              <w:rPr>
                <w:rFonts w:cs="Arial"/>
                <w:szCs w:val="22"/>
                <w:lang w:eastAsia="en-AU"/>
              </w:rPr>
            </w:pPr>
            <w:r>
              <w:rPr>
                <w:rFonts w:cs="Arial"/>
                <w:szCs w:val="22"/>
                <w:lang w:eastAsia="en-AU"/>
              </w:rPr>
              <w:t xml:space="preserve">Bloodstock breeders </w:t>
            </w:r>
            <w:r w:rsidR="00E17F6F">
              <w:rPr>
                <w:rFonts w:cs="Arial"/>
                <w:szCs w:val="22"/>
                <w:lang w:eastAsia="en-AU"/>
              </w:rPr>
              <w:t>provide the future horses</w:t>
            </w:r>
            <w:r>
              <w:rPr>
                <w:rFonts w:cs="Arial"/>
                <w:szCs w:val="22"/>
                <w:lang w:eastAsia="en-AU"/>
              </w:rPr>
              <w:t xml:space="preserve"> for the racing industry. </w:t>
            </w:r>
            <w:r w:rsidR="00600EC9">
              <w:rPr>
                <w:rFonts w:cs="Arial"/>
                <w:szCs w:val="22"/>
                <w:lang w:eastAsia="en-AU"/>
              </w:rPr>
              <w:t>Yearlings are typically offered for sale at organised public sales</w:t>
            </w:r>
            <w:r w:rsidR="002075E4">
              <w:rPr>
                <w:rFonts w:cs="Arial"/>
                <w:szCs w:val="22"/>
                <w:lang w:eastAsia="en-AU"/>
              </w:rPr>
              <w:t xml:space="preserve">, where they are acquired by a range </w:t>
            </w:r>
            <w:r w:rsidR="007E4589">
              <w:rPr>
                <w:rFonts w:cs="Arial"/>
                <w:szCs w:val="22"/>
                <w:lang w:eastAsia="en-AU"/>
              </w:rPr>
              <w:t xml:space="preserve">of purchasers including overseas </w:t>
            </w:r>
            <w:r w:rsidR="00D63692">
              <w:rPr>
                <w:rFonts w:cs="Arial"/>
                <w:szCs w:val="22"/>
                <w:lang w:eastAsia="en-AU"/>
              </w:rPr>
              <w:t>investors</w:t>
            </w:r>
            <w:r w:rsidR="007E4589">
              <w:rPr>
                <w:rFonts w:cs="Arial"/>
                <w:szCs w:val="22"/>
                <w:lang w:eastAsia="en-AU"/>
              </w:rPr>
              <w:t>,</w:t>
            </w:r>
            <w:r w:rsidR="00B44C5C">
              <w:rPr>
                <w:rFonts w:cs="Arial"/>
                <w:szCs w:val="22"/>
                <w:lang w:eastAsia="en-AU"/>
              </w:rPr>
              <w:t xml:space="preserve"> </w:t>
            </w:r>
            <w:r w:rsidR="00014D00">
              <w:rPr>
                <w:rFonts w:cs="Arial"/>
                <w:szCs w:val="22"/>
                <w:lang w:eastAsia="en-AU"/>
              </w:rPr>
              <w:t xml:space="preserve">those buying </w:t>
            </w:r>
            <w:r w:rsidR="00B44C5C">
              <w:rPr>
                <w:rFonts w:cs="Arial"/>
                <w:szCs w:val="22"/>
                <w:lang w:eastAsia="en-AU"/>
              </w:rPr>
              <w:t>a horse to race</w:t>
            </w:r>
            <w:r w:rsidR="00F359BD">
              <w:rPr>
                <w:rFonts w:cs="Arial"/>
                <w:szCs w:val="22"/>
                <w:lang w:eastAsia="en-AU"/>
              </w:rPr>
              <w:t xml:space="preserve"> and potentially breed</w:t>
            </w:r>
            <w:r w:rsidR="00B44C5C">
              <w:rPr>
                <w:rFonts w:cs="Arial"/>
                <w:szCs w:val="22"/>
                <w:lang w:eastAsia="en-AU"/>
              </w:rPr>
              <w:t xml:space="preserve">, </w:t>
            </w:r>
            <w:r w:rsidR="00A37FDC">
              <w:rPr>
                <w:rFonts w:cs="Arial"/>
                <w:szCs w:val="22"/>
                <w:lang w:eastAsia="en-AU"/>
              </w:rPr>
              <w:t xml:space="preserve">existing breeding businesses, and investors </w:t>
            </w:r>
            <w:r w:rsidR="009B2ECD">
              <w:rPr>
                <w:rFonts w:cs="Arial"/>
                <w:szCs w:val="22"/>
                <w:lang w:eastAsia="en-AU"/>
              </w:rPr>
              <w:t>seeking to start a breeding business.</w:t>
            </w:r>
            <w:r w:rsidR="007F60D6">
              <w:rPr>
                <w:rFonts w:cs="Arial"/>
                <w:szCs w:val="22"/>
                <w:lang w:eastAsia="en-AU"/>
              </w:rPr>
              <w:t xml:space="preserve"> Investors frequently syndicate to share the cost of a horse</w:t>
            </w:r>
            <w:r w:rsidR="002248C3">
              <w:rPr>
                <w:rFonts w:cs="Arial"/>
                <w:szCs w:val="22"/>
                <w:lang w:eastAsia="en-AU"/>
              </w:rPr>
              <w:t xml:space="preserve">, and will therefore have an interest in the horse rather than </w:t>
            </w:r>
            <w:r w:rsidR="003B48BC">
              <w:rPr>
                <w:rFonts w:cs="Arial"/>
                <w:szCs w:val="22"/>
                <w:lang w:eastAsia="en-AU"/>
              </w:rPr>
              <w:t>full</w:t>
            </w:r>
            <w:r w:rsidR="002248C3">
              <w:rPr>
                <w:rFonts w:cs="Arial"/>
                <w:szCs w:val="22"/>
                <w:lang w:eastAsia="en-AU"/>
              </w:rPr>
              <w:t xml:space="preserve"> ownership. </w:t>
            </w:r>
            <w:r w:rsidR="009B2ECD">
              <w:rPr>
                <w:rFonts w:cs="Arial"/>
                <w:szCs w:val="22"/>
                <w:lang w:eastAsia="en-AU"/>
              </w:rPr>
              <w:t xml:space="preserve"> </w:t>
            </w:r>
          </w:p>
          <w:p w:rsidR="008C6401" w:rsidRDefault="008C6401" w:rsidP="00A91CB9">
            <w:pPr>
              <w:spacing w:after="0" w:line="276" w:lineRule="auto"/>
              <w:jc w:val="both"/>
              <w:rPr>
                <w:rFonts w:cs="Arial"/>
                <w:szCs w:val="22"/>
                <w:lang w:eastAsia="en-AU"/>
              </w:rPr>
            </w:pPr>
          </w:p>
          <w:p w:rsidR="008C7E43" w:rsidRDefault="00960F1A" w:rsidP="00A91CB9">
            <w:pPr>
              <w:spacing w:after="0" w:line="276" w:lineRule="auto"/>
              <w:jc w:val="both"/>
              <w:rPr>
                <w:rFonts w:cs="Arial"/>
                <w:szCs w:val="22"/>
                <w:lang w:eastAsia="en-AU"/>
              </w:rPr>
            </w:pPr>
            <w:r>
              <w:rPr>
                <w:rFonts w:cs="Arial"/>
                <w:szCs w:val="22"/>
                <w:lang w:eastAsia="en-AU"/>
              </w:rPr>
              <w:t>The</w:t>
            </w:r>
            <w:r w:rsidR="00627F4F">
              <w:rPr>
                <w:rFonts w:cs="Arial"/>
                <w:szCs w:val="22"/>
                <w:lang w:eastAsia="en-AU"/>
              </w:rPr>
              <w:t xml:space="preserve"> </w:t>
            </w:r>
            <w:r w:rsidR="006672FD">
              <w:rPr>
                <w:rFonts w:cs="Arial"/>
                <w:szCs w:val="22"/>
                <w:lang w:eastAsia="en-AU"/>
              </w:rPr>
              <w:t xml:space="preserve">high </w:t>
            </w:r>
            <w:r w:rsidR="00627F4F">
              <w:rPr>
                <w:rFonts w:cs="Arial"/>
                <w:szCs w:val="22"/>
                <w:lang w:eastAsia="en-AU"/>
              </w:rPr>
              <w:t>costs of buying and maintaining a horse</w:t>
            </w:r>
            <w:r w:rsidR="00D65A9E">
              <w:rPr>
                <w:rFonts w:cs="Arial"/>
                <w:szCs w:val="22"/>
                <w:lang w:eastAsia="en-AU"/>
              </w:rPr>
              <w:t xml:space="preserve"> for racing</w:t>
            </w:r>
            <w:r w:rsidR="00570541">
              <w:rPr>
                <w:rFonts w:cs="Arial"/>
                <w:szCs w:val="22"/>
                <w:lang w:eastAsia="en-AU"/>
              </w:rPr>
              <w:t>, combined with the generally low stake money</w:t>
            </w:r>
            <w:r w:rsidR="00F96BB8">
              <w:rPr>
                <w:rFonts w:cs="Arial"/>
                <w:szCs w:val="22"/>
                <w:lang w:eastAsia="en-AU"/>
              </w:rPr>
              <w:t xml:space="preserve"> involved and the</w:t>
            </w:r>
            <w:r w:rsidR="00F81143">
              <w:rPr>
                <w:rFonts w:cs="Arial"/>
                <w:szCs w:val="22"/>
                <w:lang w:eastAsia="en-AU"/>
              </w:rPr>
              <w:t xml:space="preserve"> multitude of competition, </w:t>
            </w:r>
            <w:r w:rsidR="00327A0F">
              <w:rPr>
                <w:rFonts w:cs="Arial"/>
                <w:szCs w:val="22"/>
                <w:lang w:eastAsia="en-AU"/>
              </w:rPr>
              <w:t xml:space="preserve">result in </w:t>
            </w:r>
            <w:r w:rsidR="00FA016E">
              <w:rPr>
                <w:rFonts w:cs="Arial"/>
                <w:szCs w:val="22"/>
                <w:lang w:eastAsia="en-AU"/>
              </w:rPr>
              <w:t xml:space="preserve">it being a loss-making </w:t>
            </w:r>
            <w:r w:rsidR="005408A3">
              <w:rPr>
                <w:rFonts w:cs="Arial"/>
                <w:szCs w:val="22"/>
                <w:lang w:eastAsia="en-AU"/>
              </w:rPr>
              <w:t>activity in many cases.</w:t>
            </w:r>
            <w:r w:rsidR="001C0532">
              <w:rPr>
                <w:rFonts w:cs="Arial"/>
                <w:szCs w:val="22"/>
                <w:lang w:eastAsia="en-AU"/>
              </w:rPr>
              <w:t xml:space="preserve"> </w:t>
            </w:r>
            <w:r w:rsidR="004B6F60">
              <w:rPr>
                <w:rFonts w:cs="Arial"/>
                <w:szCs w:val="22"/>
                <w:lang w:eastAsia="en-AU"/>
              </w:rPr>
              <w:t>Racing</w:t>
            </w:r>
            <w:r w:rsidR="001C0532">
              <w:rPr>
                <w:rFonts w:cs="Arial"/>
                <w:szCs w:val="22"/>
                <w:lang w:eastAsia="en-AU"/>
              </w:rPr>
              <w:t xml:space="preserve"> is</w:t>
            </w:r>
            <w:r w:rsidR="004B6F60">
              <w:rPr>
                <w:rFonts w:cs="Arial"/>
                <w:szCs w:val="22"/>
                <w:lang w:eastAsia="en-AU"/>
              </w:rPr>
              <w:t xml:space="preserve"> </w:t>
            </w:r>
            <w:r w:rsidR="001C0532">
              <w:rPr>
                <w:rFonts w:cs="Arial"/>
                <w:szCs w:val="22"/>
                <w:lang w:eastAsia="en-AU"/>
              </w:rPr>
              <w:t xml:space="preserve">exempted from </w:t>
            </w:r>
            <w:r w:rsidR="00F73C51">
              <w:rPr>
                <w:rFonts w:cs="Arial"/>
                <w:szCs w:val="22"/>
                <w:lang w:eastAsia="en-AU"/>
              </w:rPr>
              <w:t xml:space="preserve">income tax </w:t>
            </w:r>
            <w:r w:rsidR="00C469AA">
              <w:rPr>
                <w:rFonts w:cs="Arial"/>
                <w:szCs w:val="22"/>
                <w:lang w:eastAsia="en-AU"/>
              </w:rPr>
              <w:t>because it is considered to be a hobby. This prevents owners using losses from horse racing to shelter other income.</w:t>
            </w:r>
            <w:r w:rsidR="00225C8D">
              <w:rPr>
                <w:rFonts w:cs="Arial"/>
                <w:szCs w:val="22"/>
                <w:lang w:eastAsia="en-AU"/>
              </w:rPr>
              <w:t xml:space="preserve"> </w:t>
            </w:r>
            <w:r w:rsidR="008C7E43">
              <w:rPr>
                <w:rFonts w:cs="Arial"/>
                <w:szCs w:val="22"/>
                <w:lang w:eastAsia="en-AU"/>
              </w:rPr>
              <w:t xml:space="preserve"> </w:t>
            </w:r>
          </w:p>
          <w:p w:rsidR="008C7E43" w:rsidRDefault="008C7E43" w:rsidP="00A91CB9">
            <w:pPr>
              <w:spacing w:after="0" w:line="276" w:lineRule="auto"/>
              <w:jc w:val="both"/>
              <w:rPr>
                <w:rFonts w:cs="Arial"/>
                <w:szCs w:val="22"/>
                <w:lang w:eastAsia="en-AU"/>
              </w:rPr>
            </w:pPr>
          </w:p>
          <w:p w:rsidR="006001AE" w:rsidRDefault="00BF5DD8" w:rsidP="00A91CB9">
            <w:pPr>
              <w:spacing w:after="0" w:line="276" w:lineRule="auto"/>
              <w:jc w:val="both"/>
              <w:rPr>
                <w:rFonts w:cs="Arial"/>
                <w:szCs w:val="22"/>
                <w:lang w:eastAsia="en-AU"/>
              </w:rPr>
            </w:pPr>
            <w:r>
              <w:rPr>
                <w:rFonts w:cs="Arial"/>
                <w:szCs w:val="22"/>
                <w:lang w:eastAsia="en-AU"/>
              </w:rPr>
              <w:t>Breeding</w:t>
            </w:r>
            <w:r w:rsidR="00827C0A">
              <w:rPr>
                <w:rFonts w:cs="Arial"/>
                <w:szCs w:val="22"/>
                <w:lang w:eastAsia="en-AU"/>
              </w:rPr>
              <w:t xml:space="preserve"> is</w:t>
            </w:r>
            <w:r w:rsidR="00C70F48">
              <w:rPr>
                <w:rFonts w:cs="Arial"/>
                <w:szCs w:val="22"/>
                <w:lang w:eastAsia="en-AU"/>
              </w:rPr>
              <w:t xml:space="preserve"> in the tax base</w:t>
            </w:r>
            <w:r w:rsidR="008B6C92">
              <w:rPr>
                <w:rFonts w:cs="Arial"/>
                <w:szCs w:val="22"/>
                <w:lang w:eastAsia="en-AU"/>
              </w:rPr>
              <w:t xml:space="preserve"> </w:t>
            </w:r>
            <w:r w:rsidR="005805C7">
              <w:rPr>
                <w:rFonts w:cs="Arial"/>
                <w:szCs w:val="22"/>
                <w:lang w:eastAsia="en-AU"/>
              </w:rPr>
              <w:t>as</w:t>
            </w:r>
            <w:r w:rsidR="008B6C92">
              <w:rPr>
                <w:rFonts w:cs="Arial"/>
                <w:szCs w:val="22"/>
                <w:lang w:eastAsia="en-AU"/>
              </w:rPr>
              <w:t xml:space="preserve"> it is less lik</w:t>
            </w:r>
            <w:r w:rsidR="0001318E">
              <w:rPr>
                <w:rFonts w:cs="Arial"/>
                <w:szCs w:val="22"/>
                <w:lang w:eastAsia="en-AU"/>
              </w:rPr>
              <w:t>ely to be undertaken as a hobby. That said, there are</w:t>
            </w:r>
            <w:r w:rsidR="00EF3AD1">
              <w:rPr>
                <w:rFonts w:cs="Arial"/>
                <w:szCs w:val="22"/>
                <w:lang w:eastAsia="en-AU"/>
              </w:rPr>
              <w:t xml:space="preserve"> also</w:t>
            </w:r>
            <w:r w:rsidR="0001318E">
              <w:rPr>
                <w:rFonts w:cs="Arial"/>
                <w:szCs w:val="22"/>
                <w:lang w:eastAsia="en-AU"/>
              </w:rPr>
              <w:t xml:space="preserve"> a </w:t>
            </w:r>
            <w:r w:rsidR="003B0054">
              <w:rPr>
                <w:rFonts w:cs="Arial"/>
                <w:szCs w:val="22"/>
                <w:lang w:eastAsia="en-AU"/>
              </w:rPr>
              <w:t xml:space="preserve">large </w:t>
            </w:r>
            <w:r w:rsidR="0001318E">
              <w:rPr>
                <w:rFonts w:cs="Arial"/>
                <w:szCs w:val="22"/>
                <w:lang w:eastAsia="en-AU"/>
              </w:rPr>
              <w:t xml:space="preserve">number of hobby breeders. </w:t>
            </w:r>
            <w:r w:rsidR="000011D7">
              <w:rPr>
                <w:rFonts w:cs="Arial"/>
                <w:szCs w:val="22"/>
                <w:lang w:eastAsia="en-AU"/>
              </w:rPr>
              <w:t>Investors acquiring yearlings face a low chance of breeding</w:t>
            </w:r>
            <w:r w:rsidR="00153C5F">
              <w:rPr>
                <w:rFonts w:cs="Arial"/>
                <w:szCs w:val="22"/>
                <w:lang w:eastAsia="en-AU"/>
              </w:rPr>
              <w:t xml:space="preserve"> </w:t>
            </w:r>
            <w:r w:rsidR="000011D7">
              <w:rPr>
                <w:rFonts w:cs="Arial"/>
                <w:szCs w:val="22"/>
                <w:lang w:eastAsia="en-AU"/>
              </w:rPr>
              <w:t>them</w:t>
            </w:r>
            <w:r w:rsidR="003B0054">
              <w:rPr>
                <w:rFonts w:cs="Arial"/>
                <w:szCs w:val="22"/>
                <w:lang w:eastAsia="en-AU"/>
              </w:rPr>
              <w:t xml:space="preserve"> for profit</w:t>
            </w:r>
            <w:r w:rsidR="006A3229">
              <w:rPr>
                <w:rFonts w:cs="Arial"/>
                <w:szCs w:val="22"/>
                <w:lang w:eastAsia="en-AU"/>
              </w:rPr>
              <w:t>;</w:t>
            </w:r>
            <w:r w:rsidR="000011D7">
              <w:rPr>
                <w:rFonts w:cs="Arial"/>
                <w:szCs w:val="22"/>
                <w:lang w:eastAsia="en-AU"/>
              </w:rPr>
              <w:t xml:space="preserve"> the </w:t>
            </w:r>
            <w:r w:rsidR="00D43DD6">
              <w:rPr>
                <w:rFonts w:cs="Arial"/>
                <w:szCs w:val="22"/>
                <w:lang w:eastAsia="en-AU"/>
              </w:rPr>
              <w:t>probability of an individual</w:t>
            </w:r>
            <w:r w:rsidR="00BD14E0">
              <w:rPr>
                <w:rFonts w:cs="Arial"/>
                <w:szCs w:val="22"/>
                <w:lang w:eastAsia="en-AU"/>
              </w:rPr>
              <w:t xml:space="preserve"> </w:t>
            </w:r>
            <w:r w:rsidR="00F939C2">
              <w:rPr>
                <w:rFonts w:cs="Arial"/>
                <w:szCs w:val="22"/>
                <w:lang w:eastAsia="en-AU"/>
              </w:rPr>
              <w:t xml:space="preserve">yearling colt </w:t>
            </w:r>
            <w:r w:rsidR="00DE57DE">
              <w:rPr>
                <w:rFonts w:cs="Arial"/>
                <w:szCs w:val="22"/>
                <w:lang w:eastAsia="en-AU"/>
              </w:rPr>
              <w:t xml:space="preserve">ever going to </w:t>
            </w:r>
            <w:r w:rsidR="003B0054">
              <w:rPr>
                <w:rFonts w:cs="Arial"/>
                <w:szCs w:val="22"/>
                <w:lang w:eastAsia="en-AU"/>
              </w:rPr>
              <w:t xml:space="preserve">a commercial </w:t>
            </w:r>
            <w:r w:rsidR="00DE57DE">
              <w:rPr>
                <w:rFonts w:cs="Arial"/>
                <w:szCs w:val="22"/>
                <w:lang w:eastAsia="en-AU"/>
              </w:rPr>
              <w:t>stud</w:t>
            </w:r>
            <w:r w:rsidR="00D7293C">
              <w:rPr>
                <w:rFonts w:cs="Arial"/>
                <w:szCs w:val="22"/>
                <w:lang w:eastAsia="en-AU"/>
              </w:rPr>
              <w:t xml:space="preserve"> in New Zealand</w:t>
            </w:r>
            <w:r w:rsidR="00DE57DE">
              <w:rPr>
                <w:rFonts w:cs="Arial"/>
                <w:szCs w:val="22"/>
                <w:lang w:eastAsia="en-AU"/>
              </w:rPr>
              <w:t xml:space="preserve"> is less than 5%</w:t>
            </w:r>
            <w:r w:rsidR="00751347">
              <w:rPr>
                <w:rFonts w:cs="Arial"/>
                <w:szCs w:val="22"/>
                <w:lang w:eastAsia="en-AU"/>
              </w:rPr>
              <w:t xml:space="preserve">, and </w:t>
            </w:r>
            <w:r w:rsidR="00103AA6">
              <w:rPr>
                <w:rFonts w:cs="Arial"/>
                <w:szCs w:val="22"/>
                <w:lang w:eastAsia="en-AU"/>
              </w:rPr>
              <w:t xml:space="preserve">the probability for a filly </w:t>
            </w:r>
            <w:r w:rsidR="005D3F50">
              <w:rPr>
                <w:rFonts w:cs="Arial"/>
                <w:szCs w:val="22"/>
                <w:lang w:eastAsia="en-AU"/>
              </w:rPr>
              <w:t xml:space="preserve">around 15%. </w:t>
            </w:r>
            <w:r w:rsidR="00203C30">
              <w:rPr>
                <w:rFonts w:cs="Arial"/>
                <w:szCs w:val="22"/>
                <w:lang w:eastAsia="en-AU"/>
              </w:rPr>
              <w:t>Whether or not a young horse</w:t>
            </w:r>
            <w:r w:rsidR="00D86B64">
              <w:rPr>
                <w:rFonts w:cs="Arial"/>
                <w:szCs w:val="22"/>
                <w:lang w:eastAsia="en-AU"/>
              </w:rPr>
              <w:t xml:space="preserve"> with good </w:t>
            </w:r>
            <w:r w:rsidR="00345571">
              <w:rPr>
                <w:rFonts w:cs="Arial"/>
                <w:szCs w:val="22"/>
                <w:lang w:eastAsia="en-AU"/>
              </w:rPr>
              <w:t>physique</w:t>
            </w:r>
            <w:r w:rsidR="00D86B64">
              <w:rPr>
                <w:rFonts w:cs="Arial"/>
                <w:szCs w:val="22"/>
                <w:lang w:eastAsia="en-AU"/>
              </w:rPr>
              <w:t xml:space="preserve"> and pedigree</w:t>
            </w:r>
            <w:r w:rsidR="00203C30">
              <w:rPr>
                <w:rFonts w:cs="Arial"/>
                <w:szCs w:val="22"/>
                <w:lang w:eastAsia="en-AU"/>
              </w:rPr>
              <w:t xml:space="preserve"> </w:t>
            </w:r>
            <w:r w:rsidR="002C1A92">
              <w:rPr>
                <w:rFonts w:cs="Arial"/>
                <w:szCs w:val="22"/>
                <w:lang w:eastAsia="en-AU"/>
              </w:rPr>
              <w:t xml:space="preserve">is </w:t>
            </w:r>
            <w:r w:rsidR="003B0054">
              <w:rPr>
                <w:rFonts w:cs="Arial"/>
                <w:szCs w:val="22"/>
                <w:lang w:eastAsia="en-AU"/>
              </w:rPr>
              <w:t xml:space="preserve">used in a commercial stud </w:t>
            </w:r>
            <w:r w:rsidR="002C1A92">
              <w:rPr>
                <w:rFonts w:cs="Arial"/>
                <w:szCs w:val="22"/>
                <w:lang w:eastAsia="en-AU"/>
              </w:rPr>
              <w:t xml:space="preserve">is contingent on its performance on the race track. </w:t>
            </w:r>
          </w:p>
          <w:p w:rsidR="00546B4D" w:rsidRDefault="00546B4D" w:rsidP="00A91CB9">
            <w:pPr>
              <w:spacing w:after="0" w:line="276" w:lineRule="auto"/>
              <w:jc w:val="both"/>
              <w:rPr>
                <w:rFonts w:cs="Arial"/>
                <w:szCs w:val="22"/>
                <w:lang w:eastAsia="en-AU"/>
              </w:rPr>
            </w:pPr>
          </w:p>
          <w:p w:rsidR="00C86EDE" w:rsidRDefault="00695B16" w:rsidP="00A91CB9">
            <w:pPr>
              <w:spacing w:after="0" w:line="276" w:lineRule="auto"/>
              <w:jc w:val="both"/>
              <w:rPr>
                <w:rFonts w:cs="Arial"/>
                <w:szCs w:val="22"/>
                <w:lang w:val="en-NZ" w:eastAsia="en-AU"/>
              </w:rPr>
            </w:pPr>
            <w:r>
              <w:rPr>
                <w:rFonts w:cs="Arial"/>
                <w:szCs w:val="22"/>
                <w:lang w:eastAsia="en-AU"/>
              </w:rPr>
              <w:t>The</w:t>
            </w:r>
            <w:r w:rsidR="008721DE">
              <w:rPr>
                <w:rFonts w:cs="Arial"/>
                <w:szCs w:val="22"/>
                <w:lang w:eastAsia="en-AU"/>
              </w:rPr>
              <w:t xml:space="preserve"> horse racing</w:t>
            </w:r>
            <w:r>
              <w:rPr>
                <w:rFonts w:cs="Arial"/>
                <w:szCs w:val="22"/>
                <w:lang w:eastAsia="en-AU"/>
              </w:rPr>
              <w:t xml:space="preserve"> industry is represented by the New Zealand Thoroughbred Breeders</w:t>
            </w:r>
            <w:r w:rsidR="007956FE">
              <w:rPr>
                <w:rFonts w:cs="Arial"/>
                <w:szCs w:val="22"/>
                <w:lang w:eastAsia="en-AU"/>
              </w:rPr>
              <w:t xml:space="preserve"> Association,</w:t>
            </w:r>
            <w:r>
              <w:rPr>
                <w:rFonts w:cs="Arial"/>
                <w:szCs w:val="22"/>
                <w:lang w:eastAsia="en-AU"/>
              </w:rPr>
              <w:t xml:space="preserve"> </w:t>
            </w:r>
            <w:r>
              <w:rPr>
                <w:rFonts w:cs="Arial"/>
                <w:szCs w:val="22"/>
                <w:lang w:val="en-NZ" w:eastAsia="en-AU"/>
              </w:rPr>
              <w:t>the New Zealand S</w:t>
            </w:r>
            <w:r w:rsidRPr="006B5B51">
              <w:rPr>
                <w:rFonts w:cs="Arial"/>
                <w:szCs w:val="22"/>
                <w:lang w:val="en-NZ" w:eastAsia="en-AU"/>
              </w:rPr>
              <w:t>tan</w:t>
            </w:r>
            <w:r>
              <w:rPr>
                <w:rFonts w:cs="Arial"/>
                <w:szCs w:val="22"/>
                <w:lang w:val="en-NZ" w:eastAsia="en-AU"/>
              </w:rPr>
              <w:t>dardbred B</w:t>
            </w:r>
            <w:r w:rsidRPr="006B5B51">
              <w:rPr>
                <w:rFonts w:cs="Arial"/>
                <w:szCs w:val="22"/>
                <w:lang w:val="en-NZ" w:eastAsia="en-AU"/>
              </w:rPr>
              <w:t>reeder</w:t>
            </w:r>
            <w:r w:rsidR="007956FE">
              <w:rPr>
                <w:rFonts w:cs="Arial"/>
                <w:szCs w:val="22"/>
                <w:lang w:val="en-NZ" w:eastAsia="en-AU"/>
              </w:rPr>
              <w:t>s Association, the New Zealand Racing Board,</w:t>
            </w:r>
            <w:r>
              <w:rPr>
                <w:rFonts w:cs="Arial"/>
                <w:szCs w:val="22"/>
                <w:lang w:val="en-NZ" w:eastAsia="en-AU"/>
              </w:rPr>
              <w:t xml:space="preserve"> and Thoroughbred R</w:t>
            </w:r>
            <w:r w:rsidRPr="006B5B51">
              <w:rPr>
                <w:rFonts w:cs="Arial"/>
                <w:szCs w:val="22"/>
                <w:lang w:val="en-NZ" w:eastAsia="en-AU"/>
              </w:rPr>
              <w:t>acing New Zealand</w:t>
            </w:r>
            <w:r>
              <w:rPr>
                <w:rFonts w:cs="Arial"/>
                <w:szCs w:val="22"/>
                <w:lang w:val="en-NZ" w:eastAsia="en-AU"/>
              </w:rPr>
              <w:t>.</w:t>
            </w:r>
            <w:r w:rsidR="00C86EDE">
              <w:rPr>
                <w:rFonts w:cs="Arial"/>
                <w:szCs w:val="22"/>
                <w:lang w:val="en-NZ" w:eastAsia="en-AU"/>
              </w:rPr>
              <w:t xml:space="preserve"> The indus</w:t>
            </w:r>
            <w:r w:rsidR="0099059C">
              <w:rPr>
                <w:rFonts w:cs="Arial"/>
                <w:szCs w:val="22"/>
                <w:lang w:val="en-NZ" w:eastAsia="en-AU"/>
              </w:rPr>
              <w:t xml:space="preserve">try </w:t>
            </w:r>
            <w:r w:rsidR="003A166F">
              <w:rPr>
                <w:rFonts w:cs="Arial"/>
                <w:szCs w:val="22"/>
                <w:lang w:val="en-NZ" w:eastAsia="en-AU"/>
              </w:rPr>
              <w:t>works</w:t>
            </w:r>
            <w:r w:rsidR="00820628">
              <w:rPr>
                <w:rFonts w:cs="Arial"/>
                <w:szCs w:val="22"/>
                <w:lang w:val="en-NZ" w:eastAsia="en-AU"/>
              </w:rPr>
              <w:t xml:space="preserve"> closely with the government to </w:t>
            </w:r>
            <w:r w:rsidR="00AB4318">
              <w:rPr>
                <w:rFonts w:cs="Arial"/>
                <w:szCs w:val="22"/>
                <w:lang w:val="en-NZ" w:eastAsia="en-AU"/>
              </w:rPr>
              <w:t>design</w:t>
            </w:r>
            <w:r w:rsidR="000C7496">
              <w:rPr>
                <w:rFonts w:cs="Arial"/>
                <w:szCs w:val="22"/>
                <w:lang w:val="en-NZ" w:eastAsia="en-AU"/>
              </w:rPr>
              <w:t xml:space="preserve"> the rules that will apply to</w:t>
            </w:r>
            <w:r w:rsidR="0099059C">
              <w:rPr>
                <w:rFonts w:cs="Arial"/>
                <w:szCs w:val="22"/>
                <w:lang w:val="en-NZ" w:eastAsia="en-AU"/>
              </w:rPr>
              <w:t xml:space="preserve"> racing and breeding activities and then governs itself under these rules.</w:t>
            </w:r>
          </w:p>
          <w:p w:rsidR="00C86EDE" w:rsidRDefault="00C86EDE" w:rsidP="00A91CB9">
            <w:pPr>
              <w:spacing w:after="0" w:line="276" w:lineRule="auto"/>
              <w:jc w:val="both"/>
              <w:rPr>
                <w:rFonts w:cs="Arial"/>
                <w:szCs w:val="22"/>
                <w:lang w:val="en-NZ" w:eastAsia="en-AU"/>
              </w:rPr>
            </w:pPr>
          </w:p>
          <w:p w:rsidR="00546B4D" w:rsidRPr="00F34110" w:rsidRDefault="00D95253" w:rsidP="00A91CB9">
            <w:pPr>
              <w:spacing w:after="0" w:line="276" w:lineRule="auto"/>
              <w:jc w:val="both"/>
              <w:rPr>
                <w:rFonts w:cs="Arial"/>
                <w:szCs w:val="22"/>
                <w:lang w:val="en-NZ" w:eastAsia="en-AU"/>
              </w:rPr>
            </w:pPr>
            <w:r>
              <w:rPr>
                <w:rFonts w:cs="Arial"/>
                <w:szCs w:val="22"/>
                <w:lang w:eastAsia="en-AU"/>
              </w:rPr>
              <w:t xml:space="preserve">Industry </w:t>
            </w:r>
            <w:r w:rsidR="004D449F">
              <w:rPr>
                <w:rFonts w:cs="Arial"/>
                <w:szCs w:val="22"/>
                <w:lang w:eastAsia="en-AU"/>
              </w:rPr>
              <w:t>organisations</w:t>
            </w:r>
            <w:r w:rsidR="00E25FA4">
              <w:rPr>
                <w:rFonts w:cs="Arial"/>
                <w:szCs w:val="22"/>
                <w:lang w:eastAsia="en-AU"/>
              </w:rPr>
              <w:t xml:space="preserve"> have expressed</w:t>
            </w:r>
            <w:r w:rsidR="00546B4D">
              <w:rPr>
                <w:rFonts w:cs="Arial"/>
                <w:szCs w:val="22"/>
                <w:lang w:eastAsia="en-AU"/>
              </w:rPr>
              <w:t xml:space="preserve"> concerns that New Zealand is losing top bloodlines to </w:t>
            </w:r>
            <w:r w:rsidR="007336D6">
              <w:rPr>
                <w:rFonts w:cs="Arial"/>
                <w:szCs w:val="22"/>
                <w:lang w:eastAsia="en-AU"/>
              </w:rPr>
              <w:t>overseas buyers, reducing the quality of New Zealand bloodstock</w:t>
            </w:r>
            <w:r w:rsidR="004A4B27">
              <w:rPr>
                <w:rFonts w:cs="Arial"/>
                <w:szCs w:val="22"/>
                <w:lang w:eastAsia="en-AU"/>
              </w:rPr>
              <w:t xml:space="preserve"> for racing</w:t>
            </w:r>
            <w:r w:rsidR="007336D6">
              <w:rPr>
                <w:rFonts w:cs="Arial"/>
                <w:szCs w:val="22"/>
                <w:lang w:eastAsia="en-AU"/>
              </w:rPr>
              <w:t>.</w:t>
            </w:r>
            <w:r w:rsidR="0063630E">
              <w:rPr>
                <w:rFonts w:cs="Arial"/>
                <w:szCs w:val="22"/>
                <w:lang w:eastAsia="en-AU"/>
              </w:rPr>
              <w:t xml:space="preserve"> At the same time however, the industry wants to increase its export potential</w:t>
            </w:r>
            <w:r w:rsidR="00144549">
              <w:rPr>
                <w:rFonts w:cs="Arial"/>
                <w:szCs w:val="22"/>
                <w:lang w:eastAsia="en-AU"/>
              </w:rPr>
              <w:t>, which requires a supply of high quality horses to</w:t>
            </w:r>
            <w:r w:rsidR="00A775ED">
              <w:rPr>
                <w:rFonts w:cs="Arial"/>
                <w:szCs w:val="22"/>
                <w:lang w:eastAsia="en-AU"/>
              </w:rPr>
              <w:t xml:space="preserve"> send overseas.</w:t>
            </w:r>
            <w:r w:rsidR="005440EF">
              <w:rPr>
                <w:rFonts w:cs="Arial"/>
                <w:szCs w:val="22"/>
                <w:lang w:eastAsia="en-AU"/>
              </w:rPr>
              <w:t xml:space="preserve"> These </w:t>
            </w:r>
            <w:r w:rsidR="00904D74">
              <w:rPr>
                <w:rFonts w:cs="Arial"/>
                <w:szCs w:val="22"/>
                <w:lang w:eastAsia="en-AU"/>
              </w:rPr>
              <w:t xml:space="preserve">factors combine to </w:t>
            </w:r>
            <w:r w:rsidR="00E276C9">
              <w:rPr>
                <w:rFonts w:cs="Arial"/>
                <w:szCs w:val="22"/>
                <w:lang w:eastAsia="en-AU"/>
              </w:rPr>
              <w:t xml:space="preserve">create demand for </w:t>
            </w:r>
            <w:r w:rsidR="0025042D">
              <w:rPr>
                <w:rFonts w:cs="Arial"/>
                <w:szCs w:val="22"/>
                <w:lang w:eastAsia="en-AU"/>
              </w:rPr>
              <w:t xml:space="preserve">more and better bloodstock, which has </w:t>
            </w:r>
            <w:r w:rsidR="00F246FA">
              <w:rPr>
                <w:rFonts w:cs="Arial"/>
                <w:szCs w:val="22"/>
                <w:lang w:eastAsia="en-AU"/>
              </w:rPr>
              <w:t>contributed</w:t>
            </w:r>
            <w:r w:rsidR="0025042D">
              <w:rPr>
                <w:rFonts w:cs="Arial"/>
                <w:szCs w:val="22"/>
                <w:lang w:eastAsia="en-AU"/>
              </w:rPr>
              <w:t xml:space="preserve"> to the Government’s </w:t>
            </w:r>
            <w:r w:rsidR="004E05E9">
              <w:rPr>
                <w:rFonts w:cs="Arial"/>
                <w:szCs w:val="22"/>
                <w:lang w:eastAsia="en-AU"/>
              </w:rPr>
              <w:t>proposal to expand in</w:t>
            </w:r>
            <w:r w:rsidR="00586EFA">
              <w:rPr>
                <w:rFonts w:cs="Arial"/>
                <w:szCs w:val="22"/>
                <w:lang w:eastAsia="en-AU"/>
              </w:rPr>
              <w:t>centives</w:t>
            </w:r>
            <w:r w:rsidR="004E05E9">
              <w:rPr>
                <w:rFonts w:cs="Arial"/>
                <w:szCs w:val="22"/>
                <w:lang w:eastAsia="en-AU"/>
              </w:rPr>
              <w:t xml:space="preserve"> for new investors to undertake breeding.</w:t>
            </w:r>
          </w:p>
          <w:p w:rsidR="00497721" w:rsidRDefault="00497721" w:rsidP="00A91CB9">
            <w:pPr>
              <w:spacing w:after="0" w:line="276" w:lineRule="auto"/>
              <w:jc w:val="both"/>
              <w:rPr>
                <w:rFonts w:cs="Arial"/>
                <w:szCs w:val="22"/>
                <w:lang w:eastAsia="en-AU"/>
              </w:rPr>
            </w:pPr>
          </w:p>
          <w:p w:rsidR="00DE5928" w:rsidRDefault="003934D0" w:rsidP="00A91CB9">
            <w:pPr>
              <w:spacing w:after="0" w:line="276" w:lineRule="auto"/>
              <w:jc w:val="both"/>
              <w:rPr>
                <w:rFonts w:cs="Arial"/>
                <w:szCs w:val="22"/>
                <w:lang w:eastAsia="en-AU"/>
              </w:rPr>
            </w:pPr>
            <w:r>
              <w:rPr>
                <w:rFonts w:cs="Arial"/>
                <w:szCs w:val="22"/>
                <w:lang w:eastAsia="en-AU"/>
              </w:rPr>
              <w:t>John M</w:t>
            </w:r>
            <w:r w:rsidR="003B45B6">
              <w:rPr>
                <w:rFonts w:cs="Arial"/>
                <w:szCs w:val="22"/>
                <w:lang w:eastAsia="en-AU"/>
              </w:rPr>
              <w:t xml:space="preserve">essara’s </w:t>
            </w:r>
            <w:r w:rsidR="001D6EFC">
              <w:rPr>
                <w:rFonts w:cs="Arial"/>
                <w:szCs w:val="22"/>
                <w:lang w:eastAsia="en-AU"/>
              </w:rPr>
              <w:t>review indicates that</w:t>
            </w:r>
            <w:r w:rsidR="00497721">
              <w:rPr>
                <w:rFonts w:cs="Arial"/>
                <w:szCs w:val="22"/>
                <w:lang w:eastAsia="en-AU"/>
              </w:rPr>
              <w:t xml:space="preserve"> </w:t>
            </w:r>
            <w:r w:rsidR="00BA2407">
              <w:rPr>
                <w:rFonts w:cs="Arial"/>
                <w:szCs w:val="22"/>
                <w:lang w:eastAsia="en-AU"/>
              </w:rPr>
              <w:t xml:space="preserve">the thoroughbred racing industry is in a state of </w:t>
            </w:r>
            <w:r w:rsidR="00A83AB2">
              <w:rPr>
                <w:rFonts w:cs="Arial"/>
                <w:szCs w:val="22"/>
                <w:lang w:eastAsia="en-AU"/>
              </w:rPr>
              <w:t xml:space="preserve">serious </w:t>
            </w:r>
            <w:r w:rsidR="00BA2407">
              <w:rPr>
                <w:rFonts w:cs="Arial"/>
                <w:szCs w:val="22"/>
                <w:lang w:eastAsia="en-AU"/>
              </w:rPr>
              <w:t>malaise</w:t>
            </w:r>
            <w:r w:rsidR="00D910B2">
              <w:rPr>
                <w:rFonts w:cs="Arial"/>
                <w:szCs w:val="22"/>
                <w:lang w:eastAsia="en-AU"/>
              </w:rPr>
              <w:t>.</w:t>
            </w:r>
            <w:r w:rsidR="00DE5928">
              <w:rPr>
                <w:rFonts w:cs="Arial"/>
                <w:szCs w:val="22"/>
                <w:lang w:eastAsia="en-AU"/>
              </w:rPr>
              <w:t xml:space="preserve"> </w:t>
            </w:r>
            <w:r w:rsidR="008F2ED3">
              <w:rPr>
                <w:rFonts w:cs="Arial"/>
                <w:szCs w:val="22"/>
                <w:lang w:eastAsia="en-AU"/>
              </w:rPr>
              <w:t>It</w:t>
            </w:r>
            <w:r w:rsidR="00DE5928">
              <w:rPr>
                <w:rFonts w:cs="Arial"/>
                <w:szCs w:val="22"/>
                <w:lang w:eastAsia="en-AU"/>
              </w:rPr>
              <w:t xml:space="preserve"> </w:t>
            </w:r>
            <w:r w:rsidR="00E74FC2">
              <w:rPr>
                <w:rFonts w:cs="Arial"/>
                <w:szCs w:val="22"/>
                <w:lang w:eastAsia="en-AU"/>
              </w:rPr>
              <w:t>states</w:t>
            </w:r>
            <w:r w:rsidR="00DE5928">
              <w:rPr>
                <w:rFonts w:cs="Arial"/>
                <w:szCs w:val="22"/>
                <w:lang w:eastAsia="en-AU"/>
              </w:rPr>
              <w:t xml:space="preserve"> that returns to </w:t>
            </w:r>
            <w:r w:rsidR="00BA17A9">
              <w:rPr>
                <w:rFonts w:cs="Arial"/>
                <w:szCs w:val="22"/>
                <w:lang w:eastAsia="en-AU"/>
              </w:rPr>
              <w:t xml:space="preserve">New Zealand </w:t>
            </w:r>
            <w:r w:rsidR="00DE5928">
              <w:rPr>
                <w:rFonts w:cs="Arial"/>
                <w:szCs w:val="22"/>
                <w:lang w:eastAsia="en-AU"/>
              </w:rPr>
              <w:t xml:space="preserve">owners </w:t>
            </w:r>
            <w:r w:rsidR="00C45F9D">
              <w:rPr>
                <w:rFonts w:cs="Arial"/>
                <w:szCs w:val="22"/>
                <w:lang w:eastAsia="en-AU"/>
              </w:rPr>
              <w:t>from 2016-</w:t>
            </w:r>
            <w:r w:rsidR="00DE5928">
              <w:rPr>
                <w:rFonts w:cs="Arial"/>
                <w:szCs w:val="22"/>
                <w:lang w:eastAsia="en-AU"/>
              </w:rPr>
              <w:t xml:space="preserve">17 were 22.9%, compared with 48.1% in New South Wales, </w:t>
            </w:r>
            <w:r w:rsidR="003A4601">
              <w:rPr>
                <w:rFonts w:cs="Arial"/>
                <w:szCs w:val="22"/>
                <w:lang w:eastAsia="en-AU"/>
              </w:rPr>
              <w:t xml:space="preserve">and cites </w:t>
            </w:r>
            <w:r w:rsidR="00B11378">
              <w:rPr>
                <w:rFonts w:cs="Arial"/>
                <w:szCs w:val="22"/>
                <w:lang w:eastAsia="en-AU"/>
              </w:rPr>
              <w:t>a</w:t>
            </w:r>
            <w:r w:rsidR="003A4601">
              <w:rPr>
                <w:rFonts w:cs="Arial"/>
                <w:szCs w:val="22"/>
                <w:lang w:eastAsia="en-AU"/>
              </w:rPr>
              <w:t xml:space="preserve"> </w:t>
            </w:r>
            <w:r w:rsidR="005E2C2D">
              <w:rPr>
                <w:rFonts w:cs="Arial"/>
                <w:szCs w:val="22"/>
                <w:lang w:eastAsia="en-AU"/>
              </w:rPr>
              <w:t>significant</w:t>
            </w:r>
            <w:r w:rsidR="003A4601">
              <w:rPr>
                <w:rFonts w:cs="Arial"/>
                <w:szCs w:val="22"/>
                <w:lang w:eastAsia="en-AU"/>
              </w:rPr>
              <w:t xml:space="preserve"> decrease in the foal crop.</w:t>
            </w:r>
          </w:p>
          <w:p w:rsidR="00DE5928" w:rsidRDefault="00DE5928" w:rsidP="00A91CB9">
            <w:pPr>
              <w:spacing w:after="0" w:line="276" w:lineRule="auto"/>
              <w:jc w:val="both"/>
              <w:rPr>
                <w:rFonts w:cs="Arial"/>
                <w:szCs w:val="22"/>
                <w:lang w:eastAsia="en-AU"/>
              </w:rPr>
            </w:pPr>
          </w:p>
          <w:p w:rsidR="006001AE" w:rsidRDefault="003A4601" w:rsidP="00A91CB9">
            <w:pPr>
              <w:spacing w:after="0" w:line="276" w:lineRule="auto"/>
              <w:jc w:val="both"/>
              <w:rPr>
                <w:rFonts w:cs="Arial"/>
                <w:szCs w:val="22"/>
                <w:lang w:eastAsia="en-AU"/>
              </w:rPr>
            </w:pPr>
            <w:r>
              <w:rPr>
                <w:rFonts w:cs="Arial"/>
                <w:szCs w:val="22"/>
                <w:lang w:eastAsia="en-AU"/>
              </w:rPr>
              <w:t>Officials note that since 2004</w:t>
            </w:r>
            <w:r w:rsidR="00C975A2">
              <w:rPr>
                <w:rFonts w:cs="Arial"/>
                <w:szCs w:val="22"/>
                <w:lang w:eastAsia="en-AU"/>
              </w:rPr>
              <w:t>, the number of active breeders</w:t>
            </w:r>
            <w:r w:rsidR="008E294A">
              <w:rPr>
                <w:rFonts w:cs="Arial"/>
                <w:szCs w:val="22"/>
                <w:lang w:eastAsia="en-AU"/>
              </w:rPr>
              <w:t xml:space="preserve"> has dropped by a third</w:t>
            </w:r>
            <w:r w:rsidR="00C975A2">
              <w:rPr>
                <w:rFonts w:cs="Arial"/>
                <w:szCs w:val="22"/>
                <w:lang w:eastAsia="en-AU"/>
              </w:rPr>
              <w:t xml:space="preserve">, </w:t>
            </w:r>
            <w:r w:rsidR="008E294A">
              <w:rPr>
                <w:rFonts w:cs="Arial"/>
                <w:szCs w:val="22"/>
                <w:lang w:eastAsia="en-AU"/>
              </w:rPr>
              <w:t>and</w:t>
            </w:r>
            <w:r w:rsidR="009B54A8">
              <w:rPr>
                <w:rFonts w:cs="Arial"/>
                <w:szCs w:val="22"/>
                <w:lang w:eastAsia="en-AU"/>
              </w:rPr>
              <w:t xml:space="preserve"> </w:t>
            </w:r>
            <w:r w:rsidR="003B0054">
              <w:rPr>
                <w:rFonts w:cs="Arial"/>
                <w:szCs w:val="22"/>
                <w:lang w:eastAsia="en-AU"/>
              </w:rPr>
              <w:t xml:space="preserve">the number of </w:t>
            </w:r>
            <w:r w:rsidR="009B54A8">
              <w:rPr>
                <w:rFonts w:cs="Arial"/>
                <w:szCs w:val="22"/>
                <w:lang w:eastAsia="en-AU"/>
              </w:rPr>
              <w:t>foals</w:t>
            </w:r>
            <w:r w:rsidR="003B0054">
              <w:rPr>
                <w:rFonts w:cs="Arial"/>
                <w:szCs w:val="22"/>
                <w:lang w:eastAsia="en-AU"/>
              </w:rPr>
              <w:t xml:space="preserve"> </w:t>
            </w:r>
            <w:r w:rsidR="00081F0F">
              <w:rPr>
                <w:rFonts w:cs="Arial"/>
                <w:szCs w:val="22"/>
                <w:lang w:eastAsia="en-AU"/>
              </w:rPr>
              <w:t>has</w:t>
            </w:r>
            <w:r w:rsidR="003B0054">
              <w:rPr>
                <w:rFonts w:cs="Arial"/>
                <w:szCs w:val="22"/>
                <w:lang w:eastAsia="en-AU"/>
              </w:rPr>
              <w:t xml:space="preserve"> </w:t>
            </w:r>
            <w:r w:rsidR="00C975A2">
              <w:rPr>
                <w:rFonts w:cs="Arial"/>
                <w:szCs w:val="22"/>
                <w:lang w:eastAsia="en-AU"/>
              </w:rPr>
              <w:t xml:space="preserve">dropped by </w:t>
            </w:r>
            <w:r w:rsidR="00EC06EF">
              <w:rPr>
                <w:rFonts w:cs="Arial"/>
                <w:szCs w:val="22"/>
                <w:lang w:eastAsia="en-AU"/>
              </w:rPr>
              <w:t>over 40 per cent</w:t>
            </w:r>
            <w:r w:rsidR="00C975A2">
              <w:rPr>
                <w:rFonts w:cs="Arial"/>
                <w:szCs w:val="22"/>
                <w:lang w:eastAsia="en-AU"/>
              </w:rPr>
              <w:t>.</w:t>
            </w:r>
            <w:r w:rsidR="008C12A7">
              <w:rPr>
                <w:rFonts w:cs="Arial"/>
                <w:szCs w:val="22"/>
                <w:lang w:eastAsia="en-AU"/>
              </w:rPr>
              <w:t xml:space="preserve"> </w:t>
            </w:r>
            <w:r w:rsidR="001567D0">
              <w:rPr>
                <w:rFonts w:cs="Arial"/>
                <w:szCs w:val="22"/>
                <w:lang w:eastAsia="en-AU"/>
              </w:rPr>
              <w:t>In racing, the number of horses in training has dropped by 30 per cent since 2004</w:t>
            </w:r>
            <w:r w:rsidR="00D048FA">
              <w:rPr>
                <w:rFonts w:cs="Arial"/>
                <w:szCs w:val="22"/>
                <w:lang w:eastAsia="en-AU"/>
              </w:rPr>
              <w:t xml:space="preserve">, and </w:t>
            </w:r>
            <w:r w:rsidR="003B0054">
              <w:rPr>
                <w:rFonts w:cs="Arial"/>
                <w:szCs w:val="22"/>
                <w:lang w:eastAsia="en-AU"/>
              </w:rPr>
              <w:t xml:space="preserve">the number of </w:t>
            </w:r>
            <w:r w:rsidR="00D048FA">
              <w:rPr>
                <w:rFonts w:cs="Arial"/>
                <w:szCs w:val="22"/>
                <w:lang w:eastAsia="en-AU"/>
              </w:rPr>
              <w:t>full-time equivalents</w:t>
            </w:r>
            <w:r w:rsidR="003B0054">
              <w:rPr>
                <w:rFonts w:cs="Arial"/>
                <w:szCs w:val="22"/>
                <w:lang w:eastAsia="en-AU"/>
              </w:rPr>
              <w:t xml:space="preserve"> employed in the racing industry </w:t>
            </w:r>
            <w:r w:rsidR="0006608C">
              <w:rPr>
                <w:rFonts w:cs="Arial"/>
                <w:szCs w:val="22"/>
                <w:lang w:eastAsia="en-AU"/>
              </w:rPr>
              <w:t>ha</w:t>
            </w:r>
            <w:r w:rsidR="003B0054">
              <w:rPr>
                <w:rFonts w:cs="Arial"/>
                <w:szCs w:val="22"/>
                <w:lang w:eastAsia="en-AU"/>
              </w:rPr>
              <w:t xml:space="preserve">s decreased by around </w:t>
            </w:r>
            <w:r w:rsidR="0006608C">
              <w:rPr>
                <w:rFonts w:cs="Arial"/>
                <w:szCs w:val="22"/>
                <w:lang w:eastAsia="en-AU"/>
              </w:rPr>
              <w:t>20 per cent</w:t>
            </w:r>
            <w:r w:rsidR="003B0054">
              <w:rPr>
                <w:rFonts w:cs="Arial"/>
                <w:szCs w:val="22"/>
                <w:lang w:eastAsia="en-AU"/>
              </w:rPr>
              <w:t xml:space="preserve">.  </w:t>
            </w:r>
            <w:r w:rsidR="0058007F">
              <w:rPr>
                <w:rFonts w:cs="Arial"/>
                <w:szCs w:val="22"/>
                <w:lang w:eastAsia="en-AU"/>
              </w:rPr>
              <w:t xml:space="preserve">The general picture is that the </w:t>
            </w:r>
            <w:r w:rsidR="00174B2A">
              <w:rPr>
                <w:rFonts w:cs="Arial"/>
                <w:szCs w:val="22"/>
                <w:lang w:eastAsia="en-AU"/>
              </w:rPr>
              <w:lastRenderedPageBreak/>
              <w:t>industry</w:t>
            </w:r>
            <w:r w:rsidR="00047A0C">
              <w:rPr>
                <w:rFonts w:cs="Arial"/>
                <w:szCs w:val="22"/>
                <w:lang w:eastAsia="en-AU"/>
              </w:rPr>
              <w:t xml:space="preserve"> is not </w:t>
            </w:r>
            <w:r w:rsidR="00B96D69">
              <w:rPr>
                <w:rFonts w:cs="Arial"/>
                <w:szCs w:val="22"/>
                <w:lang w:eastAsia="en-AU"/>
              </w:rPr>
              <w:t>generating as much economic activity as it once was</w:t>
            </w:r>
            <w:r w:rsidR="009B63BD">
              <w:rPr>
                <w:rFonts w:cs="Arial"/>
                <w:szCs w:val="22"/>
                <w:lang w:eastAsia="en-AU"/>
              </w:rPr>
              <w:t xml:space="preserve">, and is </w:t>
            </w:r>
            <w:r w:rsidR="004E6EEA">
              <w:rPr>
                <w:rFonts w:cs="Arial"/>
                <w:szCs w:val="22"/>
                <w:lang w:eastAsia="en-AU"/>
              </w:rPr>
              <w:t>at risk of declining further</w:t>
            </w:r>
            <w:r w:rsidR="009B63BD">
              <w:rPr>
                <w:rFonts w:cs="Arial"/>
                <w:szCs w:val="22"/>
                <w:lang w:eastAsia="en-AU"/>
              </w:rPr>
              <w:t>.</w:t>
            </w:r>
            <w:r w:rsidR="000D4F55">
              <w:rPr>
                <w:rFonts w:cs="Arial"/>
                <w:szCs w:val="22"/>
                <w:lang w:eastAsia="en-AU"/>
              </w:rPr>
              <w:t xml:space="preserve"> </w:t>
            </w:r>
          </w:p>
          <w:p w:rsidR="0034098E" w:rsidRDefault="0034098E" w:rsidP="00A91CB9">
            <w:pPr>
              <w:spacing w:after="0" w:line="276" w:lineRule="auto"/>
              <w:jc w:val="both"/>
              <w:rPr>
                <w:rFonts w:cs="Arial"/>
                <w:szCs w:val="22"/>
                <w:lang w:eastAsia="en-AU"/>
              </w:rPr>
            </w:pPr>
          </w:p>
          <w:p w:rsidR="0088674E" w:rsidRDefault="006C4FFF" w:rsidP="0086493F">
            <w:pPr>
              <w:spacing w:after="0" w:line="276" w:lineRule="auto"/>
              <w:jc w:val="both"/>
              <w:rPr>
                <w:rFonts w:cs="Arial"/>
                <w:szCs w:val="22"/>
                <w:lang w:eastAsia="en-AU"/>
              </w:rPr>
            </w:pPr>
            <w:r>
              <w:rPr>
                <w:rFonts w:cs="Arial"/>
                <w:szCs w:val="22"/>
                <w:lang w:eastAsia="en-AU"/>
              </w:rPr>
              <w:t xml:space="preserve">Past and current </w:t>
            </w:r>
            <w:r w:rsidR="003D79B7">
              <w:rPr>
                <w:rFonts w:cs="Arial"/>
                <w:szCs w:val="22"/>
                <w:lang w:eastAsia="en-AU"/>
              </w:rPr>
              <w:t>government</w:t>
            </w:r>
            <w:r w:rsidR="00AF451E">
              <w:rPr>
                <w:rFonts w:cs="Arial"/>
                <w:szCs w:val="22"/>
                <w:lang w:eastAsia="en-AU"/>
              </w:rPr>
              <w:t>s have</w:t>
            </w:r>
            <w:r w:rsidR="003D79B7">
              <w:rPr>
                <w:rFonts w:cs="Arial"/>
                <w:szCs w:val="22"/>
                <w:lang w:eastAsia="en-AU"/>
              </w:rPr>
              <w:t xml:space="preserve"> </w:t>
            </w:r>
            <w:r>
              <w:rPr>
                <w:rFonts w:cs="Arial"/>
                <w:szCs w:val="22"/>
                <w:lang w:eastAsia="en-AU"/>
              </w:rPr>
              <w:t>provide</w:t>
            </w:r>
            <w:r w:rsidR="00AF451E">
              <w:rPr>
                <w:rFonts w:cs="Arial"/>
                <w:szCs w:val="22"/>
                <w:lang w:eastAsia="en-AU"/>
              </w:rPr>
              <w:t>d</w:t>
            </w:r>
            <w:r>
              <w:rPr>
                <w:rFonts w:cs="Arial"/>
                <w:szCs w:val="22"/>
                <w:lang w:eastAsia="en-AU"/>
              </w:rPr>
              <w:t xml:space="preserve"> support to the</w:t>
            </w:r>
            <w:r w:rsidR="0086493F">
              <w:rPr>
                <w:rFonts w:cs="Arial"/>
                <w:szCs w:val="22"/>
                <w:lang w:eastAsia="en-AU"/>
              </w:rPr>
              <w:t xml:space="preserve"> racing industry.</w:t>
            </w:r>
            <w:r w:rsidR="0088674E">
              <w:rPr>
                <w:rFonts w:cs="Arial"/>
                <w:szCs w:val="22"/>
                <w:lang w:eastAsia="en-AU"/>
              </w:rPr>
              <w:t xml:space="preserve"> The New Zealand Racing Board was established by the Racing Act 2003, with the purpose of providing effective governance for the racing industry, running a profitable betting business, promoting and enhancing the industry, and generating long term profit for the benefit of racing.</w:t>
            </w:r>
          </w:p>
          <w:p w:rsidR="0088674E" w:rsidRDefault="0088674E" w:rsidP="0086493F">
            <w:pPr>
              <w:spacing w:after="0" w:line="276" w:lineRule="auto"/>
              <w:jc w:val="both"/>
              <w:rPr>
                <w:rFonts w:cs="Arial"/>
                <w:szCs w:val="22"/>
                <w:lang w:eastAsia="en-AU"/>
              </w:rPr>
            </w:pPr>
          </w:p>
          <w:p w:rsidR="009F222B" w:rsidRDefault="00612BE8" w:rsidP="0086493F">
            <w:pPr>
              <w:spacing w:after="0" w:line="276" w:lineRule="auto"/>
              <w:jc w:val="both"/>
              <w:rPr>
                <w:rFonts w:cs="Arial"/>
                <w:szCs w:val="22"/>
                <w:lang w:eastAsia="en-AU"/>
              </w:rPr>
            </w:pPr>
            <w:r>
              <w:rPr>
                <w:rFonts w:cs="Arial"/>
                <w:szCs w:val="22"/>
                <w:lang w:eastAsia="en-AU"/>
              </w:rPr>
              <w:t>Profits</w:t>
            </w:r>
            <w:r w:rsidR="00F359BD">
              <w:rPr>
                <w:rFonts w:cs="Arial"/>
                <w:szCs w:val="22"/>
                <w:lang w:eastAsia="en-AU"/>
              </w:rPr>
              <w:t xml:space="preserve"> from the TAB</w:t>
            </w:r>
            <w:r w:rsidR="00947195">
              <w:rPr>
                <w:rFonts w:cs="Arial"/>
                <w:szCs w:val="22"/>
                <w:lang w:eastAsia="en-AU"/>
              </w:rPr>
              <w:t xml:space="preserve">, which is run by the New Zealand Racing Board, </w:t>
            </w:r>
            <w:r w:rsidR="00F359BD">
              <w:rPr>
                <w:rFonts w:cs="Arial"/>
                <w:szCs w:val="22"/>
                <w:lang w:eastAsia="en-AU"/>
              </w:rPr>
              <w:t xml:space="preserve">have </w:t>
            </w:r>
            <w:r w:rsidR="00947195">
              <w:rPr>
                <w:rFonts w:cs="Arial"/>
                <w:szCs w:val="22"/>
                <w:lang w:eastAsia="en-AU"/>
              </w:rPr>
              <w:t xml:space="preserve">for a long time </w:t>
            </w:r>
            <w:r w:rsidR="00F359BD">
              <w:rPr>
                <w:rFonts w:cs="Arial"/>
                <w:szCs w:val="22"/>
                <w:lang w:eastAsia="en-AU"/>
              </w:rPr>
              <w:t xml:space="preserve">been recycled back into the industry.  </w:t>
            </w:r>
            <w:r w:rsidR="00947195">
              <w:rPr>
                <w:rFonts w:cs="Arial"/>
                <w:szCs w:val="22"/>
                <w:lang w:eastAsia="en-AU"/>
              </w:rPr>
              <w:t>The Board’s statement of intent for 2018 states that d</w:t>
            </w:r>
            <w:r w:rsidR="0086493F" w:rsidRPr="0086493F">
              <w:rPr>
                <w:rFonts w:cs="Arial"/>
                <w:szCs w:val="22"/>
                <w:lang w:eastAsia="en-AU"/>
              </w:rPr>
              <w:t xml:space="preserve">istributions for the racing codes for 2018/19 are budgeted at $151.6 million, a $0.8 million increase on last year. </w:t>
            </w:r>
            <w:r w:rsidR="0086493F">
              <w:rPr>
                <w:rFonts w:cs="Arial"/>
                <w:szCs w:val="22"/>
                <w:lang w:eastAsia="en-AU"/>
              </w:rPr>
              <w:t xml:space="preserve"> </w:t>
            </w:r>
            <w:r w:rsidR="0086493F" w:rsidRPr="0086493F">
              <w:rPr>
                <w:rFonts w:cs="Arial"/>
                <w:szCs w:val="22"/>
                <w:lang w:eastAsia="en-AU"/>
              </w:rPr>
              <w:t>This includes the $12 million of additional funding targeted at increasing stakes across the 2017/18 and 2018/19 seasons that has been approved by the Board.</w:t>
            </w:r>
            <w:r w:rsidR="0086493F">
              <w:rPr>
                <w:rFonts w:cs="Arial"/>
                <w:szCs w:val="22"/>
                <w:lang w:eastAsia="en-AU"/>
              </w:rPr>
              <w:t xml:space="preserve">  </w:t>
            </w:r>
            <w:r w:rsidR="0086493F" w:rsidRPr="0086493F">
              <w:rPr>
                <w:rFonts w:cs="Arial"/>
                <w:szCs w:val="22"/>
                <w:lang w:eastAsia="en-AU"/>
              </w:rPr>
              <w:t>As profitability increases, the expectation is code distributions will also be lifted from $151.6 million to $172.2 million in 2019/20. Code distributions are expected to grow further in 2020/21 to $190.0 million.</w:t>
            </w:r>
            <w:r w:rsidR="006A63BF">
              <w:rPr>
                <w:rFonts w:cs="Arial"/>
                <w:szCs w:val="22"/>
                <w:lang w:eastAsia="en-AU"/>
              </w:rPr>
              <w:t xml:space="preserve"> </w:t>
            </w:r>
          </w:p>
          <w:p w:rsidR="00410BAD" w:rsidRPr="009C4129" w:rsidRDefault="00410BAD" w:rsidP="0086493F">
            <w:pPr>
              <w:spacing w:after="0" w:line="276" w:lineRule="auto"/>
              <w:jc w:val="both"/>
              <w:rPr>
                <w:rFonts w:cs="Arial"/>
                <w:szCs w:val="22"/>
                <w:lang w:eastAsia="en-AU"/>
              </w:rPr>
            </w:pPr>
          </w:p>
        </w:tc>
      </w:tr>
    </w:tbl>
    <w:p w:rsidR="0062657E" w:rsidRPr="009C4129" w:rsidRDefault="0062657E" w:rsidP="007B090A">
      <w:pPr>
        <w:pStyle w:val="spacer"/>
        <w:spacing w:line="276" w:lineRule="auto"/>
        <w:rPr>
          <w:rFonts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C4129" w:rsidRPr="009C4129" w:rsidTr="004A1887">
        <w:tc>
          <w:tcPr>
            <w:tcW w:w="9286" w:type="dxa"/>
            <w:shd w:val="clear" w:color="auto" w:fill="99CDDD"/>
          </w:tcPr>
          <w:p w:rsidR="0062657E" w:rsidRPr="00384E9B" w:rsidRDefault="0062657E" w:rsidP="00384E9B">
            <w:pPr>
              <w:pStyle w:val="Heading5"/>
              <w:spacing w:before="60" w:after="60" w:line="240" w:lineRule="atLeast"/>
              <w:jc w:val="both"/>
              <w:rPr>
                <w:rFonts w:eastAsia="Calibri" w:cs="Arial"/>
                <w:b/>
                <w:color w:val="auto"/>
              </w:rPr>
            </w:pPr>
            <w:r w:rsidRPr="00384E9B">
              <w:rPr>
                <w:rFonts w:cs="Arial"/>
                <w:b/>
                <w:color w:val="auto"/>
              </w:rPr>
              <w:t>2.2      What regulatory system, or systems, are already in place?</w:t>
            </w:r>
          </w:p>
        </w:tc>
      </w:tr>
      <w:tr w:rsidR="009C4129" w:rsidRPr="009C4129" w:rsidTr="004A1887">
        <w:trPr>
          <w:trHeight w:val="1309"/>
        </w:trPr>
        <w:tc>
          <w:tcPr>
            <w:tcW w:w="9286" w:type="dxa"/>
            <w:shd w:val="clear" w:color="auto" w:fill="FFFFFF"/>
          </w:tcPr>
          <w:p w:rsidR="0062657E" w:rsidRPr="00384E9B" w:rsidRDefault="0062657E" w:rsidP="00384E9B">
            <w:pPr>
              <w:spacing w:after="0" w:line="276" w:lineRule="auto"/>
              <w:jc w:val="both"/>
              <w:rPr>
                <w:rFonts w:cs="Arial"/>
                <w:szCs w:val="22"/>
                <w:lang w:eastAsia="en-AU"/>
              </w:rPr>
            </w:pPr>
          </w:p>
          <w:p w:rsidR="000777A5" w:rsidRDefault="00021C6A" w:rsidP="00025567">
            <w:pPr>
              <w:spacing w:after="0" w:line="276" w:lineRule="auto"/>
              <w:jc w:val="both"/>
              <w:rPr>
                <w:rFonts w:cs="Arial"/>
                <w:szCs w:val="22"/>
                <w:lang w:eastAsia="en-AU"/>
              </w:rPr>
            </w:pPr>
            <w:r>
              <w:rPr>
                <w:rFonts w:cs="Arial"/>
                <w:szCs w:val="22"/>
                <w:lang w:eastAsia="en-AU"/>
              </w:rPr>
              <w:t>The Racing Act provides governance arrangements for the racing industry, facilitates betting, and promotes the long-term viability of New Zealand racing.</w:t>
            </w:r>
            <w:r w:rsidR="00051BA6">
              <w:rPr>
                <w:rFonts w:cs="Arial"/>
                <w:szCs w:val="22"/>
                <w:lang w:eastAsia="en-AU"/>
              </w:rPr>
              <w:t xml:space="preserve"> The breeding industry is taxed by the bloodstock rules </w:t>
            </w:r>
            <w:r w:rsidR="000B75EE">
              <w:rPr>
                <w:rFonts w:cs="Arial"/>
                <w:szCs w:val="22"/>
                <w:lang w:eastAsia="en-AU"/>
              </w:rPr>
              <w:t>in</w:t>
            </w:r>
            <w:r w:rsidR="00051BA6">
              <w:rPr>
                <w:rFonts w:cs="Arial"/>
                <w:szCs w:val="22"/>
                <w:lang w:eastAsia="en-AU"/>
              </w:rPr>
              <w:t xml:space="preserve"> the </w:t>
            </w:r>
            <w:r w:rsidR="0086493F">
              <w:rPr>
                <w:rFonts w:cs="Arial"/>
                <w:szCs w:val="22"/>
                <w:lang w:eastAsia="en-AU"/>
              </w:rPr>
              <w:t xml:space="preserve">Income Tax </w:t>
            </w:r>
            <w:r w:rsidR="00051BA6">
              <w:rPr>
                <w:rFonts w:cs="Arial"/>
                <w:szCs w:val="22"/>
                <w:lang w:eastAsia="en-AU"/>
              </w:rPr>
              <w:t>Act</w:t>
            </w:r>
            <w:r w:rsidR="0086493F">
              <w:rPr>
                <w:rFonts w:cs="Arial"/>
                <w:szCs w:val="22"/>
                <w:lang w:eastAsia="en-AU"/>
              </w:rPr>
              <w:t xml:space="preserve"> 2007</w:t>
            </w:r>
            <w:r w:rsidR="00051BA6">
              <w:rPr>
                <w:rFonts w:cs="Arial"/>
                <w:szCs w:val="22"/>
                <w:lang w:eastAsia="en-AU"/>
              </w:rPr>
              <w:t>.</w:t>
            </w:r>
            <w:r>
              <w:rPr>
                <w:rFonts w:cs="Arial"/>
                <w:szCs w:val="22"/>
                <w:lang w:eastAsia="en-AU"/>
              </w:rPr>
              <w:t xml:space="preserve"> </w:t>
            </w:r>
            <w:r w:rsidR="00E345C3">
              <w:rPr>
                <w:rFonts w:cs="Arial"/>
                <w:szCs w:val="22"/>
                <w:lang w:eastAsia="en-AU"/>
              </w:rPr>
              <w:t xml:space="preserve">The </w:t>
            </w:r>
            <w:r w:rsidR="0086493F">
              <w:rPr>
                <w:rFonts w:cs="Arial"/>
                <w:szCs w:val="22"/>
                <w:lang w:eastAsia="en-AU"/>
              </w:rPr>
              <w:t xml:space="preserve">current </w:t>
            </w:r>
            <w:r w:rsidR="00F359BD">
              <w:rPr>
                <w:rFonts w:cs="Arial"/>
                <w:szCs w:val="22"/>
                <w:lang w:eastAsia="en-AU"/>
              </w:rPr>
              <w:t xml:space="preserve">tax rules that apply to </w:t>
            </w:r>
            <w:r w:rsidR="0086493F">
              <w:rPr>
                <w:rFonts w:cs="Arial"/>
                <w:szCs w:val="22"/>
                <w:lang w:eastAsia="en-AU"/>
              </w:rPr>
              <w:t>bloodstock breeding</w:t>
            </w:r>
            <w:r w:rsidR="00E345C3">
              <w:rPr>
                <w:rFonts w:cs="Arial"/>
                <w:szCs w:val="22"/>
                <w:lang w:eastAsia="en-AU"/>
              </w:rPr>
              <w:t xml:space="preserve">, </w:t>
            </w:r>
            <w:r w:rsidR="00F359BD">
              <w:rPr>
                <w:rFonts w:cs="Arial"/>
                <w:szCs w:val="22"/>
                <w:lang w:eastAsia="en-AU"/>
              </w:rPr>
              <w:t xml:space="preserve">last amended in </w:t>
            </w:r>
            <w:r w:rsidR="002308C1">
              <w:rPr>
                <w:rFonts w:cs="Arial"/>
                <w:szCs w:val="22"/>
                <w:lang w:eastAsia="en-AU"/>
              </w:rPr>
              <w:t>2006</w:t>
            </w:r>
            <w:r w:rsidR="00AC1CB1">
              <w:rPr>
                <w:rFonts w:cs="Arial"/>
                <w:szCs w:val="22"/>
                <w:lang w:eastAsia="en-AU"/>
              </w:rPr>
              <w:t xml:space="preserve">, </w:t>
            </w:r>
            <w:r w:rsidR="00FF30F9">
              <w:rPr>
                <w:rFonts w:cs="Arial"/>
                <w:szCs w:val="22"/>
                <w:lang w:eastAsia="en-AU"/>
              </w:rPr>
              <w:t xml:space="preserve">allow bloodstock owners who have an active breeding business to access </w:t>
            </w:r>
            <w:r w:rsidR="009178E6">
              <w:rPr>
                <w:rFonts w:cs="Arial"/>
                <w:szCs w:val="22"/>
                <w:lang w:eastAsia="en-AU"/>
              </w:rPr>
              <w:t>accelerated write-downs</w:t>
            </w:r>
            <w:r w:rsidR="00FF30F9">
              <w:rPr>
                <w:rFonts w:cs="Arial"/>
                <w:szCs w:val="22"/>
                <w:lang w:eastAsia="en-AU"/>
              </w:rPr>
              <w:t xml:space="preserve"> for </w:t>
            </w:r>
            <w:r w:rsidR="0086493F">
              <w:rPr>
                <w:rFonts w:cs="Arial"/>
                <w:szCs w:val="22"/>
                <w:lang w:eastAsia="en-AU"/>
              </w:rPr>
              <w:t>bloodst</w:t>
            </w:r>
            <w:r w:rsidR="00A22B5C">
              <w:rPr>
                <w:rFonts w:cs="Arial"/>
                <w:szCs w:val="22"/>
                <w:lang w:eastAsia="en-AU"/>
              </w:rPr>
              <w:t>ock used in a breeding business: this</w:t>
            </w:r>
            <w:r w:rsidR="00714608">
              <w:rPr>
                <w:rFonts w:cs="Arial"/>
                <w:szCs w:val="22"/>
                <w:lang w:eastAsia="en-AU"/>
              </w:rPr>
              <w:t xml:space="preserve"> means that stallions and broodmares receive deductions ahead of their expected decline in value. </w:t>
            </w:r>
            <w:r w:rsidR="00482E99">
              <w:rPr>
                <w:rFonts w:cs="Arial"/>
                <w:szCs w:val="22"/>
                <w:lang w:eastAsia="en-AU"/>
              </w:rPr>
              <w:t>The</w:t>
            </w:r>
            <w:r w:rsidR="00472BA5">
              <w:rPr>
                <w:rFonts w:cs="Arial"/>
                <w:szCs w:val="22"/>
                <w:lang w:eastAsia="en-AU"/>
              </w:rPr>
              <w:t xml:space="preserve"> </w:t>
            </w:r>
            <w:r w:rsidR="0086493F" w:rsidRPr="0086493F">
              <w:rPr>
                <w:rFonts w:cs="Arial"/>
                <w:szCs w:val="22"/>
                <w:lang w:val="en-NZ" w:eastAsia="en-AU"/>
              </w:rPr>
              <w:t>accelerated depreciation on bloodstock w</w:t>
            </w:r>
            <w:r w:rsidR="0086493F">
              <w:rPr>
                <w:rFonts w:cs="Arial"/>
                <w:szCs w:val="22"/>
                <w:lang w:val="en-NZ" w:eastAsia="en-AU"/>
              </w:rPr>
              <w:t xml:space="preserve">as intended to </w:t>
            </w:r>
            <w:r w:rsidR="0086493F" w:rsidRPr="0086493F">
              <w:rPr>
                <w:rFonts w:cs="Arial"/>
                <w:szCs w:val="22"/>
                <w:lang w:val="en-NZ" w:eastAsia="en-AU"/>
              </w:rPr>
              <w:t>make the purchase of bloodstock more attractive</w:t>
            </w:r>
            <w:r w:rsidR="0086493F">
              <w:rPr>
                <w:rFonts w:cs="Arial"/>
                <w:szCs w:val="22"/>
                <w:lang w:val="en-NZ" w:eastAsia="en-AU"/>
              </w:rPr>
              <w:t xml:space="preserve"> and </w:t>
            </w:r>
            <w:r w:rsidR="0086493F" w:rsidRPr="0086493F">
              <w:rPr>
                <w:rFonts w:cs="Arial"/>
                <w:szCs w:val="22"/>
                <w:lang w:val="en-NZ" w:eastAsia="en-AU"/>
              </w:rPr>
              <w:t>significantly improve the economic potential of the racing industry.</w:t>
            </w:r>
            <w:r w:rsidR="0086493F" w:rsidRPr="0086493F" w:rsidDel="0086493F">
              <w:rPr>
                <w:rFonts w:cs="Arial"/>
                <w:szCs w:val="22"/>
                <w:lang w:eastAsia="en-AU"/>
              </w:rPr>
              <w:t xml:space="preserve"> </w:t>
            </w:r>
          </w:p>
          <w:p w:rsidR="00DB49DE" w:rsidRDefault="00DB49DE" w:rsidP="00025567">
            <w:pPr>
              <w:spacing w:after="0" w:line="276" w:lineRule="auto"/>
              <w:jc w:val="both"/>
              <w:rPr>
                <w:rFonts w:cs="Arial"/>
                <w:szCs w:val="22"/>
                <w:lang w:eastAsia="en-AU"/>
              </w:rPr>
            </w:pPr>
          </w:p>
          <w:p w:rsidR="00DB49DE" w:rsidRDefault="00DC745C" w:rsidP="00025567">
            <w:pPr>
              <w:spacing w:after="0" w:line="276" w:lineRule="auto"/>
              <w:jc w:val="both"/>
              <w:rPr>
                <w:rFonts w:cs="Arial"/>
                <w:szCs w:val="22"/>
                <w:lang w:eastAsia="en-AU"/>
              </w:rPr>
            </w:pPr>
            <w:r>
              <w:rPr>
                <w:rFonts w:cs="Arial"/>
                <w:szCs w:val="22"/>
                <w:lang w:val="en-NZ" w:eastAsia="en-AU"/>
              </w:rPr>
              <w:t>The</w:t>
            </w:r>
            <w:r w:rsidR="00607849">
              <w:rPr>
                <w:rFonts w:cs="Arial"/>
                <w:szCs w:val="22"/>
                <w:lang w:val="en-NZ" w:eastAsia="en-AU"/>
              </w:rPr>
              <w:t xml:space="preserve"> Department of Internal Affairs, which</w:t>
            </w:r>
            <w:r w:rsidR="00FC74DE">
              <w:rPr>
                <w:rFonts w:cs="Arial"/>
                <w:szCs w:val="22"/>
                <w:lang w:val="en-NZ" w:eastAsia="en-AU"/>
              </w:rPr>
              <w:t xml:space="preserve"> provides advice to the Minister for Racing</w:t>
            </w:r>
            <w:r>
              <w:rPr>
                <w:rFonts w:cs="Arial"/>
                <w:szCs w:val="22"/>
                <w:lang w:val="en-NZ" w:eastAsia="en-AU"/>
              </w:rPr>
              <w:t>, h</w:t>
            </w:r>
            <w:r w:rsidR="00562DCA">
              <w:rPr>
                <w:rFonts w:cs="Arial"/>
                <w:szCs w:val="22"/>
                <w:lang w:val="en-NZ" w:eastAsia="en-AU"/>
              </w:rPr>
              <w:t>a</w:t>
            </w:r>
            <w:r w:rsidR="00767BD8">
              <w:rPr>
                <w:rFonts w:cs="Arial"/>
                <w:szCs w:val="22"/>
                <w:lang w:val="en-NZ" w:eastAsia="en-AU"/>
              </w:rPr>
              <w:t>s</w:t>
            </w:r>
            <w:r>
              <w:rPr>
                <w:rFonts w:cs="Arial"/>
                <w:szCs w:val="22"/>
                <w:lang w:val="en-NZ" w:eastAsia="en-AU"/>
              </w:rPr>
              <w:t xml:space="preserve"> an interest in </w:t>
            </w:r>
            <w:r w:rsidR="00562DCA">
              <w:rPr>
                <w:rFonts w:cs="Arial"/>
                <w:szCs w:val="22"/>
                <w:lang w:val="en-NZ" w:eastAsia="en-AU"/>
              </w:rPr>
              <w:t>bloodstock</w:t>
            </w:r>
            <w:r>
              <w:rPr>
                <w:rFonts w:cs="Arial"/>
                <w:szCs w:val="22"/>
                <w:lang w:val="en-NZ" w:eastAsia="en-AU"/>
              </w:rPr>
              <w:t xml:space="preserve"> policy.</w:t>
            </w:r>
            <w:r w:rsidR="00D92C02">
              <w:rPr>
                <w:rFonts w:cs="Arial"/>
                <w:szCs w:val="22"/>
                <w:lang w:val="en-NZ" w:eastAsia="en-AU"/>
              </w:rPr>
              <w:t xml:space="preserve">  </w:t>
            </w:r>
            <w:r w:rsidR="00FC74DE">
              <w:rPr>
                <w:rFonts w:cs="Arial"/>
                <w:szCs w:val="22"/>
                <w:lang w:val="en-NZ" w:eastAsia="en-AU"/>
              </w:rPr>
              <w:t xml:space="preserve"> </w:t>
            </w:r>
          </w:p>
          <w:p w:rsidR="00CF669A" w:rsidRDefault="00CF669A" w:rsidP="001B1BC9">
            <w:pPr>
              <w:spacing w:after="0" w:line="276" w:lineRule="auto"/>
              <w:jc w:val="both"/>
              <w:rPr>
                <w:rFonts w:cs="Arial"/>
                <w:szCs w:val="22"/>
                <w:lang w:eastAsia="en-AU"/>
              </w:rPr>
            </w:pPr>
          </w:p>
          <w:p w:rsidR="00CF669A" w:rsidRDefault="00595EF7" w:rsidP="001B1BC9">
            <w:pPr>
              <w:spacing w:after="0" w:line="276" w:lineRule="auto"/>
              <w:jc w:val="both"/>
              <w:rPr>
                <w:rFonts w:cs="Arial"/>
                <w:szCs w:val="22"/>
                <w:lang w:eastAsia="en-AU"/>
              </w:rPr>
            </w:pPr>
            <w:r>
              <w:rPr>
                <w:rFonts w:cs="Arial"/>
                <w:szCs w:val="22"/>
                <w:lang w:eastAsia="en-AU"/>
              </w:rPr>
              <w:t xml:space="preserve">A </w:t>
            </w:r>
            <w:r w:rsidR="000200A3">
              <w:rPr>
                <w:rFonts w:cs="Arial"/>
                <w:szCs w:val="22"/>
                <w:lang w:eastAsia="en-AU"/>
              </w:rPr>
              <w:t>review of the racing industry</w:t>
            </w:r>
            <w:r w:rsidR="0041467E">
              <w:rPr>
                <w:rFonts w:cs="Arial"/>
                <w:szCs w:val="22"/>
                <w:lang w:eastAsia="en-AU"/>
              </w:rPr>
              <w:t>,</w:t>
            </w:r>
            <w:r w:rsidR="002D03F8">
              <w:rPr>
                <w:rFonts w:cs="Arial"/>
                <w:szCs w:val="22"/>
                <w:lang w:eastAsia="en-AU"/>
              </w:rPr>
              <w:t xml:space="preserve"> commissioned by the Government,</w:t>
            </w:r>
            <w:r w:rsidR="000200A3">
              <w:rPr>
                <w:rFonts w:cs="Arial"/>
                <w:szCs w:val="22"/>
                <w:lang w:eastAsia="en-AU"/>
              </w:rPr>
              <w:t xml:space="preserve"> </w:t>
            </w:r>
            <w:r w:rsidR="00FF48A4">
              <w:rPr>
                <w:rFonts w:cs="Arial"/>
                <w:szCs w:val="22"/>
                <w:lang w:eastAsia="en-AU"/>
              </w:rPr>
              <w:t>has been</w:t>
            </w:r>
            <w:r w:rsidR="000200A3">
              <w:rPr>
                <w:rFonts w:cs="Arial"/>
                <w:szCs w:val="22"/>
                <w:lang w:eastAsia="en-AU"/>
              </w:rPr>
              <w:t xml:space="preserve"> </w:t>
            </w:r>
            <w:r w:rsidR="00BB2501">
              <w:rPr>
                <w:rFonts w:cs="Arial"/>
                <w:szCs w:val="22"/>
                <w:lang w:eastAsia="en-AU"/>
              </w:rPr>
              <w:t>completed</w:t>
            </w:r>
            <w:r w:rsidR="000200A3">
              <w:rPr>
                <w:rFonts w:cs="Arial"/>
                <w:szCs w:val="22"/>
                <w:lang w:eastAsia="en-AU"/>
              </w:rPr>
              <w:t xml:space="preserve"> </w:t>
            </w:r>
            <w:r w:rsidR="00CF669A">
              <w:rPr>
                <w:rFonts w:cs="Arial"/>
                <w:szCs w:val="22"/>
                <w:lang w:eastAsia="en-AU"/>
              </w:rPr>
              <w:t xml:space="preserve">by Australian </w:t>
            </w:r>
            <w:r w:rsidR="0083126C">
              <w:rPr>
                <w:rFonts w:cs="Arial"/>
                <w:szCs w:val="22"/>
                <w:lang w:eastAsia="en-AU"/>
              </w:rPr>
              <w:t>racing administrator</w:t>
            </w:r>
            <w:r w:rsidR="00CF669A">
              <w:rPr>
                <w:rFonts w:cs="Arial"/>
                <w:szCs w:val="22"/>
                <w:lang w:eastAsia="en-AU"/>
              </w:rPr>
              <w:t xml:space="preserve"> John Messara</w:t>
            </w:r>
            <w:r w:rsidR="002D03F8">
              <w:rPr>
                <w:rFonts w:cs="Arial"/>
                <w:szCs w:val="22"/>
                <w:lang w:eastAsia="en-AU"/>
              </w:rPr>
              <w:t xml:space="preserve">. </w:t>
            </w:r>
            <w:r w:rsidR="00E87E80">
              <w:rPr>
                <w:rFonts w:cs="Arial"/>
                <w:szCs w:val="22"/>
                <w:lang w:eastAsia="en-AU"/>
              </w:rPr>
              <w:t xml:space="preserve">The Government’s goal is to ascertain whether the industry is meeting its full financial potential, </w:t>
            </w:r>
            <w:r w:rsidR="00F30699">
              <w:rPr>
                <w:rFonts w:cs="Arial"/>
                <w:szCs w:val="22"/>
                <w:lang w:eastAsia="en-AU"/>
              </w:rPr>
              <w:t xml:space="preserve">and </w:t>
            </w:r>
            <w:r w:rsidR="00AE3C11">
              <w:rPr>
                <w:rFonts w:cs="Arial"/>
                <w:szCs w:val="22"/>
                <w:lang w:eastAsia="en-AU"/>
              </w:rPr>
              <w:t xml:space="preserve">will </w:t>
            </w:r>
            <w:r w:rsidR="00FF48A4">
              <w:rPr>
                <w:rFonts w:cs="Arial"/>
                <w:szCs w:val="22"/>
                <w:lang w:eastAsia="en-AU"/>
              </w:rPr>
              <w:t>consider</w:t>
            </w:r>
            <w:r w:rsidR="00AE3C11">
              <w:rPr>
                <w:rFonts w:cs="Arial"/>
                <w:szCs w:val="22"/>
                <w:lang w:eastAsia="en-AU"/>
              </w:rPr>
              <w:t xml:space="preserve"> Messara’s</w:t>
            </w:r>
            <w:r w:rsidR="00F30699">
              <w:rPr>
                <w:rFonts w:cs="Arial"/>
                <w:szCs w:val="22"/>
                <w:lang w:eastAsia="en-AU"/>
              </w:rPr>
              <w:t xml:space="preserve"> recommendations on future directions. </w:t>
            </w:r>
          </w:p>
          <w:p w:rsidR="000061EA" w:rsidRPr="00384E9B" w:rsidRDefault="000061EA" w:rsidP="001B1BC9">
            <w:pPr>
              <w:spacing w:after="0" w:line="276" w:lineRule="auto"/>
              <w:jc w:val="both"/>
              <w:rPr>
                <w:rFonts w:cs="Arial"/>
                <w:szCs w:val="22"/>
                <w:lang w:eastAsia="en-AU"/>
              </w:rPr>
            </w:pPr>
          </w:p>
        </w:tc>
      </w:tr>
    </w:tbl>
    <w:p w:rsidR="0062657E" w:rsidRPr="009C4129" w:rsidRDefault="0062657E" w:rsidP="007B090A">
      <w:pPr>
        <w:pStyle w:val="spacer"/>
        <w:spacing w:line="276" w:lineRule="auto"/>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C4129" w:rsidRPr="009C4129" w:rsidTr="004A11FC">
        <w:trPr>
          <w:trHeight w:val="77"/>
        </w:trPr>
        <w:tc>
          <w:tcPr>
            <w:tcW w:w="5000" w:type="pct"/>
            <w:shd w:val="clear" w:color="auto" w:fill="99CDDD"/>
            <w:hideMark/>
          </w:tcPr>
          <w:p w:rsidR="0062657E" w:rsidRPr="009C4129" w:rsidRDefault="0062657E" w:rsidP="00DF2E7B">
            <w:pPr>
              <w:pStyle w:val="Heading5"/>
              <w:spacing w:before="60" w:after="60" w:line="240" w:lineRule="auto"/>
              <w:jc w:val="both"/>
              <w:rPr>
                <w:rFonts w:cs="Arial"/>
                <w:b/>
                <w:color w:val="auto"/>
              </w:rPr>
            </w:pPr>
            <w:r w:rsidRPr="009C4129">
              <w:rPr>
                <w:rFonts w:cs="Arial"/>
                <w:b/>
                <w:color w:val="auto"/>
              </w:rPr>
              <w:lastRenderedPageBreak/>
              <w:t xml:space="preserve">2.3     What is the policy problem or opportunity? </w:t>
            </w:r>
          </w:p>
        </w:tc>
      </w:tr>
      <w:tr w:rsidR="009C4129" w:rsidRPr="009C4129" w:rsidTr="00384E9B">
        <w:trPr>
          <w:trHeight w:val="4059"/>
        </w:trPr>
        <w:tc>
          <w:tcPr>
            <w:tcW w:w="5000" w:type="pct"/>
            <w:shd w:val="clear" w:color="auto" w:fill="FFFFFF"/>
          </w:tcPr>
          <w:p w:rsidR="0062657E" w:rsidRPr="009C4129" w:rsidRDefault="0062657E" w:rsidP="009C4129">
            <w:pPr>
              <w:spacing w:after="0" w:line="276" w:lineRule="auto"/>
              <w:jc w:val="both"/>
              <w:rPr>
                <w:rFonts w:cs="Arial"/>
                <w:szCs w:val="22"/>
                <w:lang w:eastAsia="en-AU"/>
              </w:rPr>
            </w:pPr>
          </w:p>
          <w:p w:rsidR="00D92C02" w:rsidRDefault="00332C5F" w:rsidP="0004566F">
            <w:pPr>
              <w:spacing w:after="0" w:line="276" w:lineRule="auto"/>
              <w:jc w:val="both"/>
              <w:rPr>
                <w:rFonts w:cs="Arial"/>
                <w:szCs w:val="22"/>
                <w:lang w:eastAsia="en-AU"/>
              </w:rPr>
            </w:pPr>
            <w:r>
              <w:rPr>
                <w:rFonts w:cs="Arial"/>
                <w:szCs w:val="22"/>
                <w:lang w:eastAsia="en-AU"/>
              </w:rPr>
              <w:t xml:space="preserve">The Government considers that </w:t>
            </w:r>
            <w:r w:rsidR="00D92C02">
              <w:rPr>
                <w:rFonts w:cs="Arial"/>
                <w:szCs w:val="22"/>
                <w:lang w:eastAsia="en-AU"/>
              </w:rPr>
              <w:t>the 2006 tax changes are not working as intended.  The</w:t>
            </w:r>
            <w:r w:rsidR="007513C2">
              <w:rPr>
                <w:rFonts w:cs="Arial"/>
                <w:szCs w:val="22"/>
                <w:lang w:eastAsia="en-AU"/>
              </w:rPr>
              <w:t>ir</w:t>
            </w:r>
            <w:r w:rsidR="00D92C02">
              <w:rPr>
                <w:rFonts w:cs="Arial"/>
                <w:szCs w:val="22"/>
                <w:lang w:eastAsia="en-AU"/>
              </w:rPr>
              <w:t xml:space="preserve"> view is that the changes </w:t>
            </w:r>
            <w:r w:rsidR="00D92C02" w:rsidRPr="00D92C02">
              <w:rPr>
                <w:rFonts w:cs="Arial"/>
                <w:szCs w:val="22"/>
                <w:lang w:eastAsia="en-AU"/>
              </w:rPr>
              <w:t xml:space="preserve">favour existing breeders, due to the requirement that an owner must have an existing breeding business to qualify for </w:t>
            </w:r>
            <w:r w:rsidR="00D92C02">
              <w:rPr>
                <w:rFonts w:cs="Arial"/>
                <w:szCs w:val="22"/>
                <w:lang w:eastAsia="en-AU"/>
              </w:rPr>
              <w:t xml:space="preserve">the accelerated </w:t>
            </w:r>
            <w:r w:rsidR="00D92C02" w:rsidRPr="00D92C02">
              <w:rPr>
                <w:rFonts w:cs="Arial"/>
                <w:szCs w:val="22"/>
                <w:lang w:eastAsia="en-AU"/>
              </w:rPr>
              <w:t xml:space="preserve">write-downs. </w:t>
            </w:r>
          </w:p>
          <w:p w:rsidR="00D92C02" w:rsidRDefault="00D92C02" w:rsidP="0004566F">
            <w:pPr>
              <w:spacing w:after="0" w:line="276" w:lineRule="auto"/>
              <w:jc w:val="both"/>
              <w:rPr>
                <w:rFonts w:cs="Arial"/>
                <w:szCs w:val="22"/>
                <w:lang w:eastAsia="en-AU"/>
              </w:rPr>
            </w:pPr>
          </w:p>
          <w:p w:rsidR="0062657E" w:rsidRDefault="00D92C02" w:rsidP="0004566F">
            <w:pPr>
              <w:spacing w:after="0" w:line="276" w:lineRule="auto"/>
              <w:jc w:val="both"/>
              <w:rPr>
                <w:rFonts w:cs="Arial"/>
                <w:szCs w:val="22"/>
                <w:lang w:eastAsia="en-AU"/>
              </w:rPr>
            </w:pPr>
            <w:r>
              <w:rPr>
                <w:rFonts w:cs="Arial"/>
                <w:szCs w:val="22"/>
                <w:lang w:eastAsia="en-AU"/>
              </w:rPr>
              <w:t>The review</w:t>
            </w:r>
            <w:r w:rsidR="00723DE3">
              <w:rPr>
                <w:rFonts w:cs="Arial"/>
                <w:szCs w:val="22"/>
                <w:lang w:eastAsia="en-AU"/>
              </w:rPr>
              <w:t xml:space="preserve"> of the</w:t>
            </w:r>
            <w:r w:rsidR="00E97331">
              <w:rPr>
                <w:rFonts w:cs="Arial"/>
                <w:szCs w:val="22"/>
                <w:lang w:eastAsia="en-AU"/>
              </w:rPr>
              <w:t xml:space="preserve"> racing</w:t>
            </w:r>
            <w:r w:rsidR="00723DE3">
              <w:rPr>
                <w:rFonts w:cs="Arial"/>
                <w:szCs w:val="22"/>
                <w:lang w:eastAsia="en-AU"/>
              </w:rPr>
              <w:t xml:space="preserve"> industry</w:t>
            </w:r>
            <w:r w:rsidR="00E17220">
              <w:rPr>
                <w:rFonts w:cs="Arial"/>
                <w:szCs w:val="22"/>
                <w:lang w:eastAsia="en-AU"/>
              </w:rPr>
              <w:t xml:space="preserve"> </w:t>
            </w:r>
            <w:r w:rsidR="00AF2C88">
              <w:rPr>
                <w:rFonts w:cs="Arial"/>
                <w:szCs w:val="22"/>
                <w:lang w:eastAsia="en-AU"/>
              </w:rPr>
              <w:t>completed by John Messara</w:t>
            </w:r>
            <w:r w:rsidR="00E17220">
              <w:rPr>
                <w:rFonts w:cs="Arial"/>
                <w:szCs w:val="22"/>
                <w:lang w:eastAsia="en-AU"/>
              </w:rPr>
              <w:t xml:space="preserve"> is also</w:t>
            </w:r>
            <w:r>
              <w:rPr>
                <w:rFonts w:cs="Arial"/>
                <w:szCs w:val="22"/>
                <w:lang w:eastAsia="en-AU"/>
              </w:rPr>
              <w:t xml:space="preserve"> </w:t>
            </w:r>
            <w:r w:rsidR="00E17220">
              <w:rPr>
                <w:rFonts w:cs="Arial"/>
                <w:szCs w:val="22"/>
                <w:lang w:eastAsia="en-AU"/>
              </w:rPr>
              <w:t>intended to</w:t>
            </w:r>
            <w:r>
              <w:rPr>
                <w:rFonts w:cs="Arial"/>
                <w:szCs w:val="22"/>
                <w:lang w:eastAsia="en-AU"/>
              </w:rPr>
              <w:t xml:space="preserve"> </w:t>
            </w:r>
            <w:r w:rsidRPr="00D92C02">
              <w:rPr>
                <w:rFonts w:cs="Arial"/>
                <w:szCs w:val="22"/>
                <w:lang w:eastAsia="en-AU"/>
              </w:rPr>
              <w:t xml:space="preserve">ascertain </w:t>
            </w:r>
            <w:r w:rsidR="00430DC2">
              <w:rPr>
                <w:rFonts w:cs="Arial"/>
                <w:szCs w:val="22"/>
                <w:lang w:eastAsia="en-AU"/>
              </w:rPr>
              <w:t>how</w:t>
            </w:r>
            <w:r w:rsidRPr="00D92C02">
              <w:rPr>
                <w:rFonts w:cs="Arial"/>
                <w:szCs w:val="22"/>
                <w:lang w:eastAsia="en-AU"/>
              </w:rPr>
              <w:t xml:space="preserve"> the industry </w:t>
            </w:r>
            <w:r w:rsidR="00430DC2">
              <w:rPr>
                <w:rFonts w:cs="Arial"/>
                <w:szCs w:val="22"/>
                <w:lang w:eastAsia="en-AU"/>
              </w:rPr>
              <w:t>can</w:t>
            </w:r>
            <w:r w:rsidRPr="00D92C02">
              <w:rPr>
                <w:rFonts w:cs="Arial"/>
                <w:szCs w:val="22"/>
                <w:lang w:eastAsia="en-AU"/>
              </w:rPr>
              <w:t xml:space="preserve"> meet its full financial potential</w:t>
            </w:r>
            <w:r>
              <w:rPr>
                <w:rFonts w:cs="Arial"/>
                <w:szCs w:val="22"/>
                <w:lang w:eastAsia="en-AU"/>
              </w:rPr>
              <w:t xml:space="preserve">.  </w:t>
            </w:r>
            <w:r w:rsidR="00B83C67">
              <w:rPr>
                <w:rFonts w:cs="Arial"/>
                <w:szCs w:val="22"/>
                <w:lang w:eastAsia="en-AU"/>
              </w:rPr>
              <w:t>Data published by the industry</w:t>
            </w:r>
            <w:r w:rsidR="00CA26D3">
              <w:rPr>
                <w:rFonts w:cs="Arial"/>
                <w:szCs w:val="22"/>
                <w:lang w:eastAsia="en-AU"/>
              </w:rPr>
              <w:t xml:space="preserve"> show</w:t>
            </w:r>
            <w:r w:rsidR="00A759A9">
              <w:rPr>
                <w:rFonts w:cs="Arial"/>
                <w:szCs w:val="22"/>
                <w:lang w:eastAsia="en-AU"/>
              </w:rPr>
              <w:t>s</w:t>
            </w:r>
            <w:r w:rsidR="00982FC6">
              <w:rPr>
                <w:rFonts w:cs="Arial"/>
                <w:szCs w:val="22"/>
                <w:lang w:eastAsia="en-AU"/>
              </w:rPr>
              <w:t xml:space="preserve"> that</w:t>
            </w:r>
            <w:r w:rsidR="00116EE0">
              <w:rPr>
                <w:rFonts w:cs="Arial"/>
                <w:szCs w:val="22"/>
                <w:lang w:eastAsia="en-AU"/>
              </w:rPr>
              <w:t xml:space="preserve"> </w:t>
            </w:r>
            <w:r w:rsidR="00C0124E">
              <w:rPr>
                <w:rFonts w:cs="Arial"/>
                <w:szCs w:val="22"/>
                <w:lang w:eastAsia="en-AU"/>
              </w:rPr>
              <w:t>horse racing and breeding are in decline and have</w:t>
            </w:r>
            <w:r w:rsidR="00116EE0">
              <w:rPr>
                <w:rFonts w:cs="Arial"/>
                <w:szCs w:val="22"/>
                <w:lang w:eastAsia="en-AU"/>
              </w:rPr>
              <w:t xml:space="preserve"> been for a number of years. </w:t>
            </w:r>
            <w:r w:rsidR="000714ED">
              <w:rPr>
                <w:rFonts w:cs="Arial"/>
                <w:szCs w:val="22"/>
                <w:lang w:eastAsia="en-AU"/>
              </w:rPr>
              <w:t xml:space="preserve"> </w:t>
            </w:r>
            <w:r w:rsidR="00162225">
              <w:rPr>
                <w:rFonts w:cs="Arial"/>
                <w:szCs w:val="22"/>
                <w:lang w:eastAsia="en-AU"/>
              </w:rPr>
              <w:t>The Government’s</w:t>
            </w:r>
            <w:r w:rsidR="003248DF">
              <w:rPr>
                <w:rFonts w:cs="Arial"/>
                <w:szCs w:val="22"/>
                <w:lang w:eastAsia="en-AU"/>
              </w:rPr>
              <w:t xml:space="preserve"> aim is to</w:t>
            </w:r>
            <w:r w:rsidR="003419D7">
              <w:rPr>
                <w:rFonts w:cs="Arial"/>
                <w:szCs w:val="22"/>
                <w:lang w:eastAsia="en-AU"/>
              </w:rPr>
              <w:t xml:space="preserve"> encourage </w:t>
            </w:r>
            <w:r w:rsidR="006F097D">
              <w:rPr>
                <w:rFonts w:cs="Arial"/>
                <w:szCs w:val="22"/>
                <w:lang w:eastAsia="en-AU"/>
              </w:rPr>
              <w:t>new investors to</w:t>
            </w:r>
            <w:r w:rsidR="00BE64C5">
              <w:rPr>
                <w:rFonts w:cs="Arial"/>
                <w:szCs w:val="22"/>
                <w:lang w:eastAsia="en-AU"/>
              </w:rPr>
              <w:t xml:space="preserve"> start a breeding business</w:t>
            </w:r>
            <w:r w:rsidR="00592E06">
              <w:rPr>
                <w:rFonts w:cs="Arial"/>
                <w:szCs w:val="22"/>
                <w:lang w:eastAsia="en-AU"/>
              </w:rPr>
              <w:t>, on the basis that</w:t>
            </w:r>
            <w:r w:rsidR="00D9651B">
              <w:rPr>
                <w:rFonts w:cs="Arial"/>
                <w:szCs w:val="22"/>
                <w:lang w:eastAsia="en-AU"/>
              </w:rPr>
              <w:t xml:space="preserve"> breeding stimulates the industry</w:t>
            </w:r>
            <w:r w:rsidR="009C2EF5">
              <w:rPr>
                <w:rFonts w:cs="Arial"/>
                <w:szCs w:val="22"/>
                <w:lang w:eastAsia="en-AU"/>
              </w:rPr>
              <w:t xml:space="preserve"> by increasing the pool of bloodstock</w:t>
            </w:r>
            <w:r w:rsidR="00D9651B">
              <w:rPr>
                <w:rFonts w:cs="Arial"/>
                <w:szCs w:val="22"/>
                <w:lang w:eastAsia="en-AU"/>
              </w:rPr>
              <w:t>,</w:t>
            </w:r>
            <w:r w:rsidR="00BB371F">
              <w:rPr>
                <w:rFonts w:cs="Arial"/>
                <w:szCs w:val="22"/>
                <w:lang w:eastAsia="en-AU"/>
              </w:rPr>
              <w:t xml:space="preserve"> and</w:t>
            </w:r>
            <w:r w:rsidR="00D9651B">
              <w:rPr>
                <w:rFonts w:cs="Arial"/>
                <w:szCs w:val="22"/>
                <w:lang w:eastAsia="en-AU"/>
              </w:rPr>
              <w:t xml:space="preserve"> </w:t>
            </w:r>
            <w:r w:rsidR="00740FE8">
              <w:rPr>
                <w:rFonts w:cs="Arial"/>
                <w:szCs w:val="22"/>
                <w:lang w:eastAsia="en-AU"/>
              </w:rPr>
              <w:t>if there are</w:t>
            </w:r>
            <w:r w:rsidR="000568D9">
              <w:rPr>
                <w:rFonts w:cs="Arial"/>
                <w:szCs w:val="22"/>
                <w:lang w:eastAsia="en-AU"/>
              </w:rPr>
              <w:t xml:space="preserve"> more breeding business</w:t>
            </w:r>
            <w:r w:rsidR="00611243">
              <w:rPr>
                <w:rFonts w:cs="Arial"/>
                <w:szCs w:val="22"/>
                <w:lang w:eastAsia="en-AU"/>
              </w:rPr>
              <w:t>es</w:t>
            </w:r>
            <w:r w:rsidR="000568D9">
              <w:rPr>
                <w:rFonts w:cs="Arial"/>
                <w:szCs w:val="22"/>
                <w:lang w:eastAsia="en-AU"/>
              </w:rPr>
              <w:t xml:space="preserve"> </w:t>
            </w:r>
            <w:r w:rsidR="00740FE8">
              <w:rPr>
                <w:rFonts w:cs="Arial"/>
                <w:szCs w:val="22"/>
                <w:lang w:eastAsia="en-AU"/>
              </w:rPr>
              <w:t>then the</w:t>
            </w:r>
            <w:r w:rsidR="000568D9">
              <w:rPr>
                <w:rFonts w:cs="Arial"/>
                <w:szCs w:val="22"/>
                <w:lang w:eastAsia="en-AU"/>
              </w:rPr>
              <w:t xml:space="preserve"> </w:t>
            </w:r>
            <w:r w:rsidR="00050A57">
              <w:rPr>
                <w:rFonts w:cs="Arial"/>
                <w:szCs w:val="22"/>
                <w:lang w:eastAsia="en-AU"/>
              </w:rPr>
              <w:t>industry</w:t>
            </w:r>
            <w:r w:rsidR="00740FE8">
              <w:rPr>
                <w:rFonts w:cs="Arial"/>
                <w:szCs w:val="22"/>
                <w:lang w:eastAsia="en-AU"/>
              </w:rPr>
              <w:t xml:space="preserve"> will be more likely</w:t>
            </w:r>
            <w:r w:rsidR="00050A57">
              <w:rPr>
                <w:rFonts w:cs="Arial"/>
                <w:szCs w:val="22"/>
                <w:lang w:eastAsia="en-AU"/>
              </w:rPr>
              <w:t xml:space="preserve"> to produce </w:t>
            </w:r>
            <w:r w:rsidR="00E45F60">
              <w:rPr>
                <w:rFonts w:cs="Arial"/>
                <w:szCs w:val="22"/>
                <w:lang w:eastAsia="en-AU"/>
              </w:rPr>
              <w:t>a high quality of stand</w:t>
            </w:r>
            <w:r w:rsidR="00E003DF">
              <w:rPr>
                <w:rFonts w:cs="Arial"/>
                <w:szCs w:val="22"/>
                <w:lang w:eastAsia="en-AU"/>
              </w:rPr>
              <w:t>out horses that</w:t>
            </w:r>
            <w:r w:rsidR="00C24970">
              <w:rPr>
                <w:rFonts w:cs="Arial"/>
                <w:szCs w:val="22"/>
                <w:lang w:eastAsia="en-AU"/>
              </w:rPr>
              <w:t xml:space="preserve"> </w:t>
            </w:r>
            <w:r w:rsidR="0004566F">
              <w:rPr>
                <w:rFonts w:cs="Arial"/>
                <w:szCs w:val="22"/>
                <w:lang w:eastAsia="en-AU"/>
              </w:rPr>
              <w:t>carry</w:t>
            </w:r>
            <w:r w:rsidR="00C24970">
              <w:rPr>
                <w:rFonts w:cs="Arial"/>
                <w:szCs w:val="22"/>
                <w:lang w:eastAsia="en-AU"/>
              </w:rPr>
              <w:t xml:space="preserve"> economic potential.</w:t>
            </w:r>
          </w:p>
          <w:p w:rsidR="00960D8C" w:rsidRDefault="00960D8C" w:rsidP="0004566F">
            <w:pPr>
              <w:spacing w:after="0" w:line="276" w:lineRule="auto"/>
              <w:jc w:val="both"/>
              <w:rPr>
                <w:rFonts w:cs="Arial"/>
                <w:szCs w:val="22"/>
                <w:lang w:eastAsia="en-AU"/>
              </w:rPr>
            </w:pPr>
          </w:p>
          <w:p w:rsidR="00960D8C" w:rsidRDefault="003F7662" w:rsidP="0004566F">
            <w:pPr>
              <w:spacing w:after="0" w:line="276" w:lineRule="auto"/>
              <w:jc w:val="both"/>
              <w:rPr>
                <w:rFonts w:cs="Arial"/>
                <w:szCs w:val="22"/>
                <w:lang w:eastAsia="en-AU"/>
              </w:rPr>
            </w:pPr>
            <w:r>
              <w:rPr>
                <w:rFonts w:cs="Arial"/>
                <w:szCs w:val="22"/>
                <w:lang w:eastAsia="en-AU"/>
              </w:rPr>
              <w:t>We have not considered whether</w:t>
            </w:r>
            <w:r w:rsidR="00960D8C">
              <w:rPr>
                <w:rFonts w:cs="Arial"/>
                <w:szCs w:val="22"/>
                <w:lang w:eastAsia="en-AU"/>
              </w:rPr>
              <w:t xml:space="preserve"> </w:t>
            </w:r>
            <w:r w:rsidR="009D0782">
              <w:rPr>
                <w:rFonts w:cs="Arial"/>
                <w:szCs w:val="22"/>
                <w:lang w:eastAsia="en-AU"/>
              </w:rPr>
              <w:t xml:space="preserve">an increase in the number of new investors in breeding is the best way to </w:t>
            </w:r>
            <w:r w:rsidR="004E0113">
              <w:rPr>
                <w:rFonts w:cs="Arial"/>
                <w:szCs w:val="22"/>
                <w:lang w:eastAsia="en-AU"/>
              </w:rPr>
              <w:t xml:space="preserve">increase </w:t>
            </w:r>
            <w:r w:rsidR="00F062E2">
              <w:rPr>
                <w:rFonts w:cs="Arial"/>
                <w:szCs w:val="22"/>
                <w:lang w:eastAsia="en-AU"/>
              </w:rPr>
              <w:t xml:space="preserve">the quality of New Zealand bloodstock, </w:t>
            </w:r>
            <w:r w:rsidR="000F114F">
              <w:rPr>
                <w:rFonts w:cs="Arial"/>
                <w:szCs w:val="22"/>
                <w:lang w:eastAsia="en-AU"/>
              </w:rPr>
              <w:t xml:space="preserve">or to </w:t>
            </w:r>
            <w:r w:rsidR="00D92C02">
              <w:rPr>
                <w:rFonts w:cs="Arial"/>
                <w:szCs w:val="22"/>
                <w:lang w:eastAsia="en-AU"/>
              </w:rPr>
              <w:t xml:space="preserve">address the challenges that the racing industry has been facing in recent years.  </w:t>
            </w:r>
          </w:p>
          <w:p w:rsidR="00562B89" w:rsidRDefault="00562B89" w:rsidP="0004566F">
            <w:pPr>
              <w:spacing w:after="0" w:line="276" w:lineRule="auto"/>
              <w:jc w:val="both"/>
              <w:rPr>
                <w:rFonts w:cs="Arial"/>
                <w:szCs w:val="22"/>
                <w:lang w:eastAsia="en-AU"/>
              </w:rPr>
            </w:pPr>
          </w:p>
          <w:p w:rsidR="00562B89" w:rsidRDefault="00562B89" w:rsidP="005F7083">
            <w:pPr>
              <w:spacing w:after="0" w:line="276" w:lineRule="auto"/>
              <w:jc w:val="both"/>
              <w:rPr>
                <w:rFonts w:cs="Arial"/>
                <w:szCs w:val="22"/>
                <w:lang w:eastAsia="en-AU"/>
              </w:rPr>
            </w:pPr>
            <w:r>
              <w:rPr>
                <w:rFonts w:cs="Arial"/>
                <w:szCs w:val="22"/>
                <w:lang w:eastAsia="en-AU"/>
              </w:rPr>
              <w:t>The incentive to start a breeding business</w:t>
            </w:r>
            <w:r w:rsidR="00E33D8B">
              <w:rPr>
                <w:rFonts w:cs="Arial"/>
                <w:szCs w:val="22"/>
                <w:lang w:eastAsia="en-AU"/>
              </w:rPr>
              <w:t xml:space="preserve"> with yearlings</w:t>
            </w:r>
            <w:r>
              <w:rPr>
                <w:rFonts w:cs="Arial"/>
                <w:szCs w:val="22"/>
                <w:lang w:eastAsia="en-AU"/>
              </w:rPr>
              <w:t xml:space="preserve"> </w:t>
            </w:r>
            <w:r w:rsidR="005F7083">
              <w:rPr>
                <w:rFonts w:cs="Arial"/>
                <w:szCs w:val="22"/>
                <w:lang w:eastAsia="en-AU"/>
              </w:rPr>
              <w:t>is not ordinarily very strong</w:t>
            </w:r>
            <w:r>
              <w:rPr>
                <w:rFonts w:cs="Arial"/>
                <w:szCs w:val="22"/>
                <w:lang w:eastAsia="en-AU"/>
              </w:rPr>
              <w:t>,</w:t>
            </w:r>
            <w:r w:rsidR="009D6DE7">
              <w:rPr>
                <w:rFonts w:cs="Arial"/>
                <w:szCs w:val="22"/>
                <w:lang w:eastAsia="en-AU"/>
              </w:rPr>
              <w:t xml:space="preserve"> because</w:t>
            </w:r>
            <w:r w:rsidR="004E6070">
              <w:rPr>
                <w:rFonts w:cs="Arial"/>
                <w:szCs w:val="22"/>
                <w:lang w:eastAsia="en-AU"/>
              </w:rPr>
              <w:t xml:space="preserve"> of </w:t>
            </w:r>
            <w:r w:rsidR="008469A8">
              <w:rPr>
                <w:rFonts w:cs="Arial"/>
                <w:szCs w:val="22"/>
                <w:lang w:eastAsia="en-AU"/>
              </w:rPr>
              <w:t>the</w:t>
            </w:r>
            <w:r w:rsidR="004E6070">
              <w:rPr>
                <w:rFonts w:cs="Arial"/>
                <w:szCs w:val="22"/>
                <w:lang w:eastAsia="en-AU"/>
              </w:rPr>
              <w:t xml:space="preserve"> overall </w:t>
            </w:r>
            <w:r w:rsidR="008469A8">
              <w:rPr>
                <w:rFonts w:cs="Arial"/>
                <w:szCs w:val="22"/>
                <w:lang w:eastAsia="en-AU"/>
              </w:rPr>
              <w:t xml:space="preserve">uncertainty </w:t>
            </w:r>
            <w:r w:rsidR="00C216A7">
              <w:rPr>
                <w:rFonts w:cs="Arial"/>
                <w:szCs w:val="22"/>
                <w:lang w:eastAsia="en-AU"/>
              </w:rPr>
              <w:t>of this approach</w:t>
            </w:r>
            <w:r w:rsidR="00E25E3F">
              <w:rPr>
                <w:rFonts w:cs="Arial"/>
                <w:szCs w:val="22"/>
                <w:lang w:eastAsia="en-AU"/>
              </w:rPr>
              <w:t>. If</w:t>
            </w:r>
            <w:r w:rsidR="00CA7947">
              <w:rPr>
                <w:rFonts w:cs="Arial"/>
                <w:szCs w:val="22"/>
                <w:lang w:eastAsia="en-AU"/>
              </w:rPr>
              <w:t xml:space="preserve"> a horse performs poorly on the track</w:t>
            </w:r>
            <w:r w:rsidR="00E25E3F">
              <w:rPr>
                <w:rFonts w:cs="Arial"/>
                <w:szCs w:val="22"/>
                <w:lang w:eastAsia="en-AU"/>
              </w:rPr>
              <w:t xml:space="preserve"> and does not go to stud</w:t>
            </w:r>
            <w:r w:rsidR="00CA7947">
              <w:rPr>
                <w:rFonts w:cs="Arial"/>
                <w:szCs w:val="22"/>
                <w:lang w:eastAsia="en-AU"/>
              </w:rPr>
              <w:t xml:space="preserve">, then </w:t>
            </w:r>
            <w:r w:rsidR="00A81541">
              <w:rPr>
                <w:rFonts w:cs="Arial"/>
                <w:szCs w:val="22"/>
                <w:lang w:eastAsia="en-AU"/>
              </w:rPr>
              <w:t>the owner may make a sizeable loss</w:t>
            </w:r>
            <w:r w:rsidR="0021757D">
              <w:rPr>
                <w:rFonts w:cs="Arial"/>
                <w:szCs w:val="22"/>
                <w:lang w:eastAsia="en-AU"/>
              </w:rPr>
              <w:t>.</w:t>
            </w:r>
            <w:r w:rsidR="009610E2">
              <w:rPr>
                <w:rFonts w:cs="Arial"/>
                <w:szCs w:val="22"/>
                <w:lang w:eastAsia="en-AU"/>
              </w:rPr>
              <w:t xml:space="preserve"> </w:t>
            </w:r>
            <w:r w:rsidR="00E90172">
              <w:rPr>
                <w:rFonts w:cs="Arial"/>
                <w:szCs w:val="22"/>
                <w:lang w:eastAsia="en-AU"/>
              </w:rPr>
              <w:t>However we note that</w:t>
            </w:r>
            <w:r w:rsidR="003F7A10">
              <w:rPr>
                <w:rFonts w:cs="Arial"/>
                <w:szCs w:val="22"/>
                <w:lang w:eastAsia="en-AU"/>
              </w:rPr>
              <w:t>, other things</w:t>
            </w:r>
            <w:r w:rsidR="007E653D">
              <w:rPr>
                <w:rFonts w:cs="Arial"/>
                <w:szCs w:val="22"/>
                <w:lang w:eastAsia="en-AU"/>
              </w:rPr>
              <w:t xml:space="preserve"> being</w:t>
            </w:r>
            <w:r w:rsidR="003F7A10">
              <w:rPr>
                <w:rFonts w:cs="Arial"/>
                <w:szCs w:val="22"/>
                <w:lang w:eastAsia="en-AU"/>
              </w:rPr>
              <w:t xml:space="preserve"> equal,</w:t>
            </w:r>
            <w:r w:rsidR="00E90172">
              <w:rPr>
                <w:rFonts w:cs="Arial"/>
                <w:szCs w:val="22"/>
                <w:lang w:eastAsia="en-AU"/>
              </w:rPr>
              <w:t xml:space="preserve"> the</w:t>
            </w:r>
            <w:r w:rsidR="009610E2">
              <w:rPr>
                <w:rFonts w:cs="Arial"/>
                <w:szCs w:val="22"/>
                <w:lang w:eastAsia="en-AU"/>
              </w:rPr>
              <w:t xml:space="preserve"> tax </w:t>
            </w:r>
            <w:r w:rsidR="00C548C9">
              <w:rPr>
                <w:rFonts w:cs="Arial"/>
                <w:szCs w:val="22"/>
                <w:lang w:eastAsia="en-AU"/>
              </w:rPr>
              <w:t>incentives</w:t>
            </w:r>
            <w:r w:rsidR="009610E2">
              <w:rPr>
                <w:rFonts w:cs="Arial"/>
                <w:szCs w:val="22"/>
                <w:lang w:eastAsia="en-AU"/>
              </w:rPr>
              <w:t xml:space="preserve"> will make</w:t>
            </w:r>
            <w:r w:rsidR="00513B78">
              <w:rPr>
                <w:rFonts w:cs="Arial"/>
                <w:szCs w:val="22"/>
                <w:lang w:eastAsia="en-AU"/>
              </w:rPr>
              <w:t xml:space="preserve"> such</w:t>
            </w:r>
            <w:r w:rsidR="009610E2">
              <w:rPr>
                <w:rFonts w:cs="Arial"/>
                <w:szCs w:val="22"/>
                <w:lang w:eastAsia="en-AU"/>
              </w:rPr>
              <w:t xml:space="preserve"> bloodstock breeding a more appealing investment.</w:t>
            </w:r>
            <w:r w:rsidR="0095685E">
              <w:rPr>
                <w:rFonts w:cs="Arial"/>
                <w:szCs w:val="22"/>
                <w:lang w:eastAsia="en-AU"/>
              </w:rPr>
              <w:t xml:space="preserve"> </w:t>
            </w:r>
          </w:p>
          <w:p w:rsidR="00FB4D1F" w:rsidRPr="009C4129" w:rsidRDefault="00FB4D1F" w:rsidP="005F7083">
            <w:pPr>
              <w:spacing w:after="0" w:line="276" w:lineRule="auto"/>
              <w:jc w:val="both"/>
              <w:rPr>
                <w:rFonts w:cs="Arial"/>
                <w:szCs w:val="22"/>
                <w:lang w:eastAsia="en-AU"/>
              </w:rPr>
            </w:pPr>
          </w:p>
        </w:tc>
      </w:tr>
    </w:tbl>
    <w:p w:rsidR="0062657E" w:rsidRPr="009C4129" w:rsidRDefault="0062657E" w:rsidP="007B090A">
      <w:pPr>
        <w:pStyle w:val="spacer"/>
        <w:spacing w:line="276" w:lineRule="auto"/>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C4129" w:rsidRPr="009C4129" w:rsidTr="004A11FC">
        <w:trPr>
          <w:trHeight w:val="77"/>
        </w:trPr>
        <w:tc>
          <w:tcPr>
            <w:tcW w:w="5000" w:type="pct"/>
            <w:shd w:val="clear" w:color="auto" w:fill="99CDDD"/>
          </w:tcPr>
          <w:p w:rsidR="0062657E" w:rsidRPr="009C4129" w:rsidRDefault="0062657E" w:rsidP="004A11FC">
            <w:pPr>
              <w:keepNext/>
              <w:spacing w:before="60" w:after="60" w:line="240" w:lineRule="atLeast"/>
              <w:rPr>
                <w:rFonts w:cs="Arial"/>
                <w:b/>
                <w:szCs w:val="22"/>
              </w:rPr>
            </w:pPr>
            <w:r w:rsidRPr="009C4129">
              <w:rPr>
                <w:rFonts w:cs="Arial"/>
                <w:b/>
                <w:szCs w:val="22"/>
              </w:rPr>
              <w:t xml:space="preserve">2.4   Are there any constraints on the scope for decision making? </w:t>
            </w:r>
          </w:p>
        </w:tc>
      </w:tr>
      <w:tr w:rsidR="009C4129" w:rsidRPr="009C4129" w:rsidTr="00D10C15">
        <w:trPr>
          <w:trHeight w:val="3293"/>
        </w:trPr>
        <w:tc>
          <w:tcPr>
            <w:tcW w:w="5000" w:type="pct"/>
            <w:shd w:val="clear" w:color="auto" w:fill="FFFFFF"/>
          </w:tcPr>
          <w:p w:rsidR="0062657E" w:rsidRPr="009C4129" w:rsidRDefault="0062657E" w:rsidP="009C4129">
            <w:pPr>
              <w:spacing w:after="0" w:line="276" w:lineRule="auto"/>
              <w:jc w:val="both"/>
              <w:rPr>
                <w:rFonts w:cs="Arial"/>
                <w:szCs w:val="22"/>
                <w:lang w:eastAsia="en-AU"/>
              </w:rPr>
            </w:pPr>
          </w:p>
          <w:p w:rsidR="0062657E" w:rsidRDefault="00872E30" w:rsidP="00790B55">
            <w:pPr>
              <w:spacing w:after="0" w:line="276" w:lineRule="auto"/>
              <w:jc w:val="both"/>
              <w:rPr>
                <w:rFonts w:cs="Arial"/>
                <w:szCs w:val="22"/>
                <w:lang w:eastAsia="en-AU"/>
              </w:rPr>
            </w:pPr>
            <w:r>
              <w:rPr>
                <w:rFonts w:cs="Arial"/>
                <w:szCs w:val="22"/>
                <w:lang w:eastAsia="en-AU"/>
              </w:rPr>
              <w:t>Ministers have ruled out the status quo, and</w:t>
            </w:r>
            <w:r w:rsidR="00296EBA">
              <w:rPr>
                <w:rFonts w:cs="Arial"/>
                <w:szCs w:val="22"/>
                <w:lang w:eastAsia="en-AU"/>
              </w:rPr>
              <w:t xml:space="preserve"> have also ruled out</w:t>
            </w:r>
            <w:r>
              <w:rPr>
                <w:rFonts w:cs="Arial"/>
                <w:szCs w:val="22"/>
                <w:lang w:eastAsia="en-AU"/>
              </w:rPr>
              <w:t xml:space="preserve"> the </w:t>
            </w:r>
            <w:r w:rsidR="00A53430">
              <w:rPr>
                <w:rFonts w:cs="Arial"/>
                <w:szCs w:val="22"/>
                <w:lang w:eastAsia="en-AU"/>
              </w:rPr>
              <w:t>use of direct grants to encourage new investors.</w:t>
            </w:r>
            <w:r w:rsidR="0092544B">
              <w:rPr>
                <w:rFonts w:cs="Arial"/>
                <w:szCs w:val="22"/>
                <w:lang w:eastAsia="en-AU"/>
              </w:rPr>
              <w:t xml:space="preserve"> </w:t>
            </w:r>
            <w:r w:rsidR="00A129F8">
              <w:rPr>
                <w:rFonts w:cs="Arial"/>
                <w:szCs w:val="22"/>
                <w:lang w:eastAsia="en-AU"/>
              </w:rPr>
              <w:t>Officials’</w:t>
            </w:r>
            <w:r w:rsidR="00E31D97">
              <w:rPr>
                <w:rFonts w:cs="Arial"/>
                <w:szCs w:val="22"/>
                <w:lang w:eastAsia="en-AU"/>
              </w:rPr>
              <w:t xml:space="preserve"> preference </w:t>
            </w:r>
            <w:r w:rsidR="0092544B">
              <w:rPr>
                <w:rFonts w:cs="Arial"/>
                <w:szCs w:val="22"/>
                <w:lang w:eastAsia="en-AU"/>
              </w:rPr>
              <w:t>was</w:t>
            </w:r>
            <w:r w:rsidR="00E31D97">
              <w:rPr>
                <w:rFonts w:cs="Arial"/>
                <w:szCs w:val="22"/>
                <w:lang w:eastAsia="en-AU"/>
              </w:rPr>
              <w:t xml:space="preserve"> to stay with the status quo</w:t>
            </w:r>
            <w:r w:rsidR="009A4F76">
              <w:rPr>
                <w:rFonts w:cs="Arial"/>
                <w:szCs w:val="22"/>
                <w:lang w:eastAsia="en-AU"/>
              </w:rPr>
              <w:t>,</w:t>
            </w:r>
            <w:r w:rsidR="00A129F8">
              <w:rPr>
                <w:rFonts w:cs="Arial"/>
                <w:szCs w:val="22"/>
                <w:lang w:eastAsia="en-AU"/>
              </w:rPr>
              <w:t xml:space="preserve"> as </w:t>
            </w:r>
            <w:r w:rsidR="003B79B1">
              <w:rPr>
                <w:rFonts w:cs="Arial"/>
                <w:szCs w:val="22"/>
                <w:lang w:eastAsia="en-AU"/>
              </w:rPr>
              <w:t xml:space="preserve">we see </w:t>
            </w:r>
            <w:r w:rsidR="00351EE0">
              <w:rPr>
                <w:rFonts w:cs="Arial"/>
                <w:szCs w:val="22"/>
                <w:lang w:eastAsia="en-AU"/>
              </w:rPr>
              <w:t>prece</w:t>
            </w:r>
            <w:r w:rsidR="00347BDE">
              <w:rPr>
                <w:rFonts w:cs="Arial"/>
                <w:szCs w:val="22"/>
                <w:lang w:eastAsia="en-AU"/>
              </w:rPr>
              <w:t>de</w:t>
            </w:r>
            <w:r w:rsidR="00351EE0">
              <w:rPr>
                <w:rFonts w:cs="Arial"/>
                <w:szCs w:val="22"/>
                <w:lang w:eastAsia="en-AU"/>
              </w:rPr>
              <w:t xml:space="preserve">ntial </w:t>
            </w:r>
            <w:r w:rsidR="003B79B1">
              <w:rPr>
                <w:rFonts w:cs="Arial"/>
                <w:szCs w:val="22"/>
                <w:lang w:eastAsia="en-AU"/>
              </w:rPr>
              <w:t xml:space="preserve">disadvantages in expanding tax </w:t>
            </w:r>
            <w:r w:rsidR="001250D8">
              <w:rPr>
                <w:rFonts w:cs="Arial"/>
                <w:szCs w:val="22"/>
                <w:lang w:eastAsia="en-AU"/>
              </w:rPr>
              <w:t>incentives</w:t>
            </w:r>
            <w:r w:rsidR="003B79B1">
              <w:rPr>
                <w:rFonts w:cs="Arial"/>
                <w:szCs w:val="22"/>
                <w:lang w:eastAsia="en-AU"/>
              </w:rPr>
              <w:t xml:space="preserve"> in an industry that has a large leisure component.</w:t>
            </w:r>
            <w:r w:rsidR="009A4F76">
              <w:rPr>
                <w:rFonts w:cs="Arial"/>
                <w:szCs w:val="22"/>
                <w:lang w:eastAsia="en-AU"/>
              </w:rPr>
              <w:t xml:space="preserve"> </w:t>
            </w:r>
          </w:p>
          <w:p w:rsidR="00AA13E1" w:rsidRDefault="00AA13E1" w:rsidP="00790B55">
            <w:pPr>
              <w:spacing w:after="0" w:line="276" w:lineRule="auto"/>
              <w:jc w:val="both"/>
              <w:rPr>
                <w:rFonts w:cs="Arial"/>
                <w:szCs w:val="22"/>
                <w:lang w:eastAsia="en-AU"/>
              </w:rPr>
            </w:pPr>
          </w:p>
          <w:p w:rsidR="007A1A96" w:rsidRPr="007A1A96" w:rsidRDefault="00F808DB" w:rsidP="007A1A96">
            <w:pPr>
              <w:spacing w:after="0" w:line="276" w:lineRule="auto"/>
              <w:jc w:val="both"/>
              <w:rPr>
                <w:rFonts w:cs="Arial"/>
                <w:szCs w:val="22"/>
                <w:lang w:eastAsia="en-AU"/>
              </w:rPr>
            </w:pPr>
            <w:r>
              <w:rPr>
                <w:rFonts w:cs="Arial"/>
                <w:szCs w:val="22"/>
                <w:lang w:eastAsia="en-AU"/>
              </w:rPr>
              <w:t xml:space="preserve">The recommendations </w:t>
            </w:r>
            <w:r w:rsidR="00DC570A">
              <w:rPr>
                <w:rFonts w:cs="Arial"/>
                <w:szCs w:val="22"/>
                <w:lang w:eastAsia="en-AU"/>
              </w:rPr>
              <w:t xml:space="preserve">included </w:t>
            </w:r>
            <w:r w:rsidR="00AA13E1">
              <w:rPr>
                <w:rFonts w:cs="Arial"/>
                <w:szCs w:val="22"/>
                <w:lang w:eastAsia="en-AU"/>
              </w:rPr>
              <w:t>in</w:t>
            </w:r>
            <w:r w:rsidR="00852DDA">
              <w:rPr>
                <w:rFonts w:cs="Arial"/>
                <w:szCs w:val="22"/>
                <w:lang w:eastAsia="en-AU"/>
              </w:rPr>
              <w:t xml:space="preserve"> John</w:t>
            </w:r>
            <w:r w:rsidR="00AA13E1">
              <w:rPr>
                <w:rFonts w:cs="Arial"/>
                <w:szCs w:val="22"/>
                <w:lang w:eastAsia="en-AU"/>
              </w:rPr>
              <w:t xml:space="preserve"> </w:t>
            </w:r>
            <w:r w:rsidR="00FD62DA">
              <w:rPr>
                <w:rFonts w:cs="Arial"/>
                <w:szCs w:val="22"/>
                <w:lang w:eastAsia="en-AU"/>
              </w:rPr>
              <w:t>Messara’s</w:t>
            </w:r>
            <w:r w:rsidR="00AA13E1">
              <w:rPr>
                <w:rFonts w:cs="Arial"/>
                <w:szCs w:val="22"/>
                <w:lang w:eastAsia="en-AU"/>
              </w:rPr>
              <w:t xml:space="preserve"> review of the racing industry </w:t>
            </w:r>
            <w:r w:rsidR="00DC570A">
              <w:rPr>
                <w:rFonts w:cs="Arial"/>
                <w:szCs w:val="22"/>
                <w:lang w:eastAsia="en-AU"/>
              </w:rPr>
              <w:t xml:space="preserve">will </w:t>
            </w:r>
            <w:r w:rsidR="00642D45">
              <w:rPr>
                <w:rFonts w:cs="Arial"/>
                <w:szCs w:val="22"/>
                <w:lang w:eastAsia="en-AU"/>
              </w:rPr>
              <w:t xml:space="preserve">further contribute to </w:t>
            </w:r>
            <w:r w:rsidR="00562116">
              <w:rPr>
                <w:rFonts w:cs="Arial"/>
                <w:szCs w:val="22"/>
                <w:lang w:eastAsia="en-AU"/>
              </w:rPr>
              <w:t>M</w:t>
            </w:r>
            <w:r w:rsidR="000E073E">
              <w:rPr>
                <w:rFonts w:cs="Arial"/>
                <w:szCs w:val="22"/>
                <w:lang w:eastAsia="en-AU"/>
              </w:rPr>
              <w:t xml:space="preserve">inisters’ </w:t>
            </w:r>
            <w:r w:rsidR="00781DFA">
              <w:rPr>
                <w:rFonts w:cs="Arial"/>
                <w:szCs w:val="22"/>
                <w:lang w:eastAsia="en-AU"/>
              </w:rPr>
              <w:t>decision-</w:t>
            </w:r>
            <w:r w:rsidR="005F7DA2">
              <w:rPr>
                <w:rFonts w:cs="Arial"/>
                <w:szCs w:val="22"/>
                <w:lang w:eastAsia="en-AU"/>
              </w:rPr>
              <w:t xml:space="preserve">making </w:t>
            </w:r>
            <w:r w:rsidR="00781DFA">
              <w:rPr>
                <w:rFonts w:cs="Arial"/>
                <w:szCs w:val="22"/>
                <w:lang w:eastAsia="en-AU"/>
              </w:rPr>
              <w:t>on</w:t>
            </w:r>
            <w:r w:rsidR="007A1A96">
              <w:rPr>
                <w:rFonts w:cs="Arial"/>
                <w:szCs w:val="22"/>
                <w:lang w:eastAsia="en-AU"/>
              </w:rPr>
              <w:t xml:space="preserve"> the racing codes.</w:t>
            </w:r>
          </w:p>
        </w:tc>
      </w:tr>
    </w:tbl>
    <w:p w:rsidR="0062657E" w:rsidRDefault="0062657E" w:rsidP="007B090A">
      <w:pPr>
        <w:pStyle w:val="spacer"/>
        <w:spacing w:line="276" w:lineRule="auto"/>
        <w:rPr>
          <w:rFonts w:cs="Arial"/>
          <w:sz w:val="22"/>
        </w:rPr>
      </w:pPr>
    </w:p>
    <w:p w:rsidR="00A75C98" w:rsidRDefault="00A75C98" w:rsidP="007B090A">
      <w:pPr>
        <w:pStyle w:val="spacer"/>
        <w:spacing w:line="276" w:lineRule="auto"/>
        <w:rPr>
          <w:rFonts w:cs="Arial"/>
          <w:sz w:val="22"/>
        </w:rPr>
      </w:pPr>
    </w:p>
    <w:p w:rsidR="00A75C98" w:rsidRDefault="00A75C98" w:rsidP="007B090A">
      <w:pPr>
        <w:pStyle w:val="spacer"/>
        <w:spacing w:line="276" w:lineRule="auto"/>
        <w:rPr>
          <w:rFonts w:cs="Arial"/>
          <w:sz w:val="22"/>
        </w:rPr>
      </w:pPr>
    </w:p>
    <w:p w:rsidR="00A75C98" w:rsidRDefault="00A75C98" w:rsidP="007B090A">
      <w:pPr>
        <w:pStyle w:val="spacer"/>
        <w:spacing w:line="276" w:lineRule="auto"/>
        <w:rPr>
          <w:rFonts w:cs="Arial"/>
          <w:sz w:val="22"/>
        </w:rPr>
      </w:pPr>
    </w:p>
    <w:p w:rsidR="00A75C98" w:rsidRDefault="00A75C98" w:rsidP="007B090A">
      <w:pPr>
        <w:pStyle w:val="spacer"/>
        <w:spacing w:line="276" w:lineRule="auto"/>
        <w:rPr>
          <w:rFonts w:cs="Arial"/>
          <w:sz w:val="22"/>
        </w:rPr>
      </w:pPr>
    </w:p>
    <w:p w:rsidR="00A75C98" w:rsidRDefault="00A75C98" w:rsidP="007B090A">
      <w:pPr>
        <w:pStyle w:val="spacer"/>
        <w:spacing w:line="276" w:lineRule="auto"/>
        <w:rPr>
          <w:rFonts w:cs="Arial"/>
          <w:sz w:val="22"/>
        </w:rPr>
      </w:pPr>
    </w:p>
    <w:p w:rsidR="00A75C98" w:rsidRDefault="00A75C98" w:rsidP="007B090A">
      <w:pPr>
        <w:pStyle w:val="spacer"/>
        <w:spacing w:line="276" w:lineRule="auto"/>
        <w:rPr>
          <w:rFonts w:cs="Arial"/>
          <w:sz w:val="22"/>
        </w:rPr>
      </w:pPr>
    </w:p>
    <w:p w:rsidR="00A75C98" w:rsidRDefault="00A75C98" w:rsidP="007B090A">
      <w:pPr>
        <w:pStyle w:val="spacer"/>
        <w:spacing w:line="276" w:lineRule="auto"/>
        <w:rPr>
          <w:rFonts w:cs="Arial"/>
          <w:sz w:val="22"/>
        </w:rPr>
      </w:pPr>
    </w:p>
    <w:p w:rsidR="00A75C98" w:rsidRDefault="00A75C98" w:rsidP="007B090A">
      <w:pPr>
        <w:pStyle w:val="spacer"/>
        <w:spacing w:line="276" w:lineRule="auto"/>
        <w:rPr>
          <w:rFonts w:cs="Arial"/>
          <w:sz w:val="22"/>
        </w:rPr>
      </w:pPr>
    </w:p>
    <w:p w:rsidR="00A75C98" w:rsidRDefault="00A75C98" w:rsidP="007B090A">
      <w:pPr>
        <w:pStyle w:val="spacer"/>
        <w:spacing w:line="276" w:lineRule="auto"/>
        <w:rPr>
          <w:rFonts w:cs="Arial"/>
          <w:sz w:val="22"/>
        </w:rPr>
      </w:pPr>
    </w:p>
    <w:p w:rsidR="00A75C98" w:rsidRPr="009C4129" w:rsidRDefault="00A75C98" w:rsidP="007B090A">
      <w:pPr>
        <w:pStyle w:val="spacer"/>
        <w:spacing w:line="276" w:lineRule="auto"/>
        <w:rPr>
          <w:rFonts w:cs="Arial"/>
          <w:sz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C4129" w:rsidRPr="009C4129" w:rsidTr="004A11FC">
        <w:trPr>
          <w:trHeight w:val="77"/>
        </w:trPr>
        <w:tc>
          <w:tcPr>
            <w:tcW w:w="5000" w:type="pct"/>
            <w:shd w:val="clear" w:color="auto" w:fill="99CDDD"/>
          </w:tcPr>
          <w:p w:rsidR="0062657E" w:rsidRPr="009C4129" w:rsidRDefault="00663BAA" w:rsidP="00DF2E7B">
            <w:pPr>
              <w:spacing w:before="60" w:after="60" w:line="240" w:lineRule="auto"/>
              <w:rPr>
                <w:rFonts w:cs="Arial"/>
                <w:b/>
                <w:szCs w:val="22"/>
              </w:rPr>
            </w:pPr>
            <w:r>
              <w:rPr>
                <w:rFonts w:cs="Arial"/>
                <w:b/>
                <w:szCs w:val="22"/>
              </w:rPr>
              <w:lastRenderedPageBreak/>
              <w:t>2.5</w:t>
            </w:r>
            <w:r w:rsidR="0062657E" w:rsidRPr="009C4129">
              <w:rPr>
                <w:rFonts w:cs="Arial"/>
                <w:b/>
                <w:szCs w:val="22"/>
              </w:rPr>
              <w:t xml:space="preserve">     What do stakeholders think?</w:t>
            </w:r>
          </w:p>
        </w:tc>
      </w:tr>
      <w:tr w:rsidR="009C4129" w:rsidRPr="009C4129" w:rsidTr="00712CC5">
        <w:trPr>
          <w:trHeight w:val="8597"/>
        </w:trPr>
        <w:tc>
          <w:tcPr>
            <w:tcW w:w="5000" w:type="pct"/>
            <w:shd w:val="clear" w:color="auto" w:fill="FFFFFF"/>
          </w:tcPr>
          <w:p w:rsidR="0062657E" w:rsidRPr="009C4129" w:rsidRDefault="0062657E" w:rsidP="009C4129">
            <w:pPr>
              <w:spacing w:after="0" w:line="276" w:lineRule="auto"/>
              <w:jc w:val="both"/>
              <w:rPr>
                <w:rFonts w:cs="Arial"/>
                <w:szCs w:val="22"/>
                <w:lang w:eastAsia="en-AU"/>
              </w:rPr>
            </w:pPr>
          </w:p>
          <w:p w:rsidR="0062657E" w:rsidRDefault="006B5B51" w:rsidP="00FF02FD">
            <w:pPr>
              <w:spacing w:after="0" w:line="276" w:lineRule="auto"/>
              <w:jc w:val="both"/>
              <w:rPr>
                <w:rFonts w:cs="Arial"/>
                <w:szCs w:val="22"/>
                <w:lang w:val="en-NZ" w:eastAsia="en-AU"/>
              </w:rPr>
            </w:pPr>
            <w:r>
              <w:rPr>
                <w:rFonts w:cs="Arial"/>
                <w:szCs w:val="22"/>
                <w:lang w:eastAsia="en-AU"/>
              </w:rPr>
              <w:t>The stakeholders are the</w:t>
            </w:r>
            <w:r w:rsidR="007B421F">
              <w:rPr>
                <w:rFonts w:cs="Arial"/>
                <w:szCs w:val="22"/>
                <w:lang w:eastAsia="en-AU"/>
              </w:rPr>
              <w:t xml:space="preserve"> racing industry. Th</w:t>
            </w:r>
            <w:r w:rsidR="000605C0">
              <w:rPr>
                <w:rFonts w:cs="Arial"/>
                <w:szCs w:val="22"/>
                <w:lang w:eastAsia="en-AU"/>
              </w:rPr>
              <w:t>ey are</w:t>
            </w:r>
            <w:r w:rsidR="007B421F">
              <w:rPr>
                <w:rFonts w:cs="Arial"/>
                <w:szCs w:val="22"/>
                <w:lang w:eastAsia="en-AU"/>
              </w:rPr>
              <w:t xml:space="preserve"> represented </w:t>
            </w:r>
            <w:r w:rsidR="00502E5D">
              <w:rPr>
                <w:rFonts w:cs="Arial"/>
                <w:szCs w:val="22"/>
                <w:lang w:eastAsia="en-AU"/>
              </w:rPr>
              <w:t>by: the</w:t>
            </w:r>
            <w:r>
              <w:rPr>
                <w:rFonts w:cs="Arial"/>
                <w:szCs w:val="22"/>
                <w:lang w:eastAsia="en-AU"/>
              </w:rPr>
              <w:t xml:space="preserve"> New Zealand Thoroughbred</w:t>
            </w:r>
            <w:r w:rsidR="007A7715">
              <w:rPr>
                <w:rFonts w:cs="Arial"/>
                <w:szCs w:val="22"/>
                <w:lang w:eastAsia="en-AU"/>
              </w:rPr>
              <w:t xml:space="preserve"> Breeders</w:t>
            </w:r>
            <w:r w:rsidR="000A7E2E">
              <w:rPr>
                <w:rFonts w:cs="Arial"/>
                <w:szCs w:val="22"/>
                <w:lang w:eastAsia="en-AU"/>
              </w:rPr>
              <w:t xml:space="preserve"> Association;</w:t>
            </w:r>
            <w:r>
              <w:rPr>
                <w:rFonts w:cs="Arial"/>
                <w:szCs w:val="22"/>
                <w:lang w:eastAsia="en-AU"/>
              </w:rPr>
              <w:t xml:space="preserve"> </w:t>
            </w:r>
            <w:r>
              <w:rPr>
                <w:rFonts w:cs="Arial"/>
                <w:szCs w:val="22"/>
                <w:lang w:val="en-NZ" w:eastAsia="en-AU"/>
              </w:rPr>
              <w:t>the New Zealand S</w:t>
            </w:r>
            <w:r w:rsidRPr="006B5B51">
              <w:rPr>
                <w:rFonts w:cs="Arial"/>
                <w:szCs w:val="22"/>
                <w:lang w:val="en-NZ" w:eastAsia="en-AU"/>
              </w:rPr>
              <w:t>tan</w:t>
            </w:r>
            <w:r>
              <w:rPr>
                <w:rFonts w:cs="Arial"/>
                <w:szCs w:val="22"/>
                <w:lang w:val="en-NZ" w:eastAsia="en-AU"/>
              </w:rPr>
              <w:t>dardbred B</w:t>
            </w:r>
            <w:r w:rsidRPr="006B5B51">
              <w:rPr>
                <w:rFonts w:cs="Arial"/>
                <w:szCs w:val="22"/>
                <w:lang w:val="en-NZ" w:eastAsia="en-AU"/>
              </w:rPr>
              <w:t>reeder</w:t>
            </w:r>
            <w:r w:rsidR="000A7E2E">
              <w:rPr>
                <w:rFonts w:cs="Arial"/>
                <w:szCs w:val="22"/>
                <w:lang w:val="en-NZ" w:eastAsia="en-AU"/>
              </w:rPr>
              <w:t>s Association; the New Zealand Racing Board;</w:t>
            </w:r>
            <w:r>
              <w:rPr>
                <w:rFonts w:cs="Arial"/>
                <w:szCs w:val="22"/>
                <w:lang w:val="en-NZ" w:eastAsia="en-AU"/>
              </w:rPr>
              <w:t xml:space="preserve"> and Thoroughbred R</w:t>
            </w:r>
            <w:r w:rsidRPr="006B5B51">
              <w:rPr>
                <w:rFonts w:cs="Arial"/>
                <w:szCs w:val="22"/>
                <w:lang w:val="en-NZ" w:eastAsia="en-AU"/>
              </w:rPr>
              <w:t>acing New Zealand</w:t>
            </w:r>
            <w:r>
              <w:rPr>
                <w:rFonts w:cs="Arial"/>
                <w:szCs w:val="22"/>
                <w:lang w:val="en-NZ" w:eastAsia="en-AU"/>
              </w:rPr>
              <w:t>.</w:t>
            </w:r>
            <w:r w:rsidR="00C1524C">
              <w:rPr>
                <w:rFonts w:cs="Arial"/>
                <w:szCs w:val="22"/>
                <w:lang w:val="en-NZ" w:eastAsia="en-AU"/>
              </w:rPr>
              <w:t xml:space="preserve"> Officials have consulted with all of the stakeholders an</w:t>
            </w:r>
            <w:r w:rsidR="00FF02FD">
              <w:rPr>
                <w:rFonts w:cs="Arial"/>
                <w:szCs w:val="22"/>
                <w:lang w:val="en-NZ" w:eastAsia="en-AU"/>
              </w:rPr>
              <w:t>d the industry is broadly in fav</w:t>
            </w:r>
            <w:r w:rsidR="007C7984">
              <w:rPr>
                <w:rFonts w:cs="Arial"/>
                <w:szCs w:val="22"/>
                <w:lang w:val="en-NZ" w:eastAsia="en-AU"/>
              </w:rPr>
              <w:t xml:space="preserve">our of the proposed changes, although </w:t>
            </w:r>
            <w:r w:rsidR="001A541D">
              <w:rPr>
                <w:rFonts w:cs="Arial"/>
                <w:szCs w:val="22"/>
                <w:lang w:val="en-NZ" w:eastAsia="en-AU"/>
              </w:rPr>
              <w:t>the</w:t>
            </w:r>
            <w:r w:rsidR="00BD5E41">
              <w:rPr>
                <w:rFonts w:cs="Arial"/>
                <w:szCs w:val="22"/>
                <w:lang w:val="en-NZ" w:eastAsia="en-AU"/>
              </w:rPr>
              <w:t xml:space="preserve"> changes</w:t>
            </w:r>
            <w:r w:rsidR="001A541D">
              <w:rPr>
                <w:rFonts w:cs="Arial"/>
                <w:szCs w:val="22"/>
                <w:lang w:val="en-NZ" w:eastAsia="en-AU"/>
              </w:rPr>
              <w:t xml:space="preserve"> are </w:t>
            </w:r>
            <w:r w:rsidR="00C962D3">
              <w:rPr>
                <w:rFonts w:cs="Arial"/>
                <w:szCs w:val="22"/>
                <w:lang w:val="en-NZ" w:eastAsia="en-AU"/>
              </w:rPr>
              <w:t xml:space="preserve">somewhat </w:t>
            </w:r>
            <w:r w:rsidR="00585BDF">
              <w:rPr>
                <w:rFonts w:cs="Arial"/>
                <w:szCs w:val="22"/>
                <w:lang w:val="en-NZ" w:eastAsia="en-AU"/>
              </w:rPr>
              <w:t xml:space="preserve">narrower than what the industry originally sought.  </w:t>
            </w:r>
          </w:p>
          <w:p w:rsidR="009F7C7C" w:rsidRDefault="009F7C7C" w:rsidP="00FF02FD">
            <w:pPr>
              <w:spacing w:after="0" w:line="276" w:lineRule="auto"/>
              <w:jc w:val="both"/>
              <w:rPr>
                <w:rFonts w:cs="Arial"/>
                <w:szCs w:val="22"/>
                <w:lang w:val="en-NZ" w:eastAsia="en-AU"/>
              </w:rPr>
            </w:pPr>
          </w:p>
          <w:p w:rsidR="009F7C7C" w:rsidRDefault="009F7C7C" w:rsidP="00FF02FD">
            <w:pPr>
              <w:spacing w:after="0" w:line="276" w:lineRule="auto"/>
              <w:jc w:val="both"/>
              <w:rPr>
                <w:rFonts w:cs="Arial"/>
                <w:szCs w:val="22"/>
                <w:lang w:val="en-NZ" w:eastAsia="en-AU"/>
              </w:rPr>
            </w:pPr>
            <w:r>
              <w:rPr>
                <w:rFonts w:cs="Arial"/>
                <w:szCs w:val="22"/>
                <w:lang w:val="en-NZ" w:eastAsia="en-AU"/>
              </w:rPr>
              <w:t>The industry’s</w:t>
            </w:r>
            <w:r w:rsidR="00AC49E1">
              <w:rPr>
                <w:rFonts w:cs="Arial"/>
                <w:szCs w:val="22"/>
                <w:lang w:val="en-NZ" w:eastAsia="en-AU"/>
              </w:rPr>
              <w:t xml:space="preserve"> initial</w:t>
            </w:r>
            <w:r>
              <w:rPr>
                <w:rFonts w:cs="Arial"/>
                <w:szCs w:val="22"/>
                <w:lang w:val="en-NZ" w:eastAsia="en-AU"/>
              </w:rPr>
              <w:t xml:space="preserve"> </w:t>
            </w:r>
            <w:r w:rsidR="009F4116">
              <w:rPr>
                <w:rFonts w:cs="Arial"/>
                <w:szCs w:val="22"/>
                <w:lang w:val="en-NZ" w:eastAsia="en-AU"/>
              </w:rPr>
              <w:t>proposal</w:t>
            </w:r>
            <w:r>
              <w:rPr>
                <w:rFonts w:cs="Arial"/>
                <w:szCs w:val="22"/>
                <w:lang w:val="en-NZ" w:eastAsia="en-AU"/>
              </w:rPr>
              <w:t xml:space="preserve"> was for </w:t>
            </w:r>
            <w:r w:rsidR="0032737D">
              <w:rPr>
                <w:rFonts w:cs="Arial"/>
                <w:szCs w:val="22"/>
                <w:lang w:val="en-NZ" w:eastAsia="en-AU"/>
              </w:rPr>
              <w:t>deductions to be available to new</w:t>
            </w:r>
            <w:r w:rsidR="0085798C">
              <w:rPr>
                <w:rFonts w:cs="Arial"/>
                <w:szCs w:val="22"/>
                <w:lang w:val="en-NZ" w:eastAsia="en-AU"/>
              </w:rPr>
              <w:t xml:space="preserve"> bloodstock</w:t>
            </w:r>
            <w:r w:rsidR="0032737D">
              <w:rPr>
                <w:rFonts w:cs="Arial"/>
                <w:szCs w:val="22"/>
                <w:lang w:val="en-NZ" w:eastAsia="en-AU"/>
              </w:rPr>
              <w:t xml:space="preserve"> investors </w:t>
            </w:r>
            <w:r w:rsidR="00387D9F">
              <w:rPr>
                <w:rFonts w:cs="Arial"/>
                <w:szCs w:val="22"/>
                <w:lang w:val="en-NZ" w:eastAsia="en-AU"/>
              </w:rPr>
              <w:t>who</w:t>
            </w:r>
            <w:r w:rsidR="00585BDF">
              <w:rPr>
                <w:rFonts w:cs="Arial"/>
                <w:szCs w:val="22"/>
                <w:lang w:val="en-NZ" w:eastAsia="en-AU"/>
              </w:rPr>
              <w:t xml:space="preserve"> </w:t>
            </w:r>
            <w:r w:rsidR="008D2FAC">
              <w:rPr>
                <w:rFonts w:cs="Arial"/>
                <w:szCs w:val="22"/>
                <w:lang w:val="en-NZ" w:eastAsia="en-AU"/>
              </w:rPr>
              <w:t>claim</w:t>
            </w:r>
            <w:r w:rsidR="00585BDF">
              <w:rPr>
                <w:rFonts w:cs="Arial"/>
                <w:szCs w:val="22"/>
                <w:lang w:val="en-NZ" w:eastAsia="en-AU"/>
              </w:rPr>
              <w:t>ed</w:t>
            </w:r>
            <w:r w:rsidR="0032737D">
              <w:rPr>
                <w:rFonts w:cs="Arial"/>
                <w:szCs w:val="22"/>
                <w:lang w:val="en-NZ" w:eastAsia="en-AU"/>
              </w:rPr>
              <w:t xml:space="preserve"> an intention to bree</w:t>
            </w:r>
            <w:r w:rsidR="001C4A29">
              <w:rPr>
                <w:rFonts w:cs="Arial"/>
                <w:szCs w:val="22"/>
                <w:lang w:val="en-NZ" w:eastAsia="en-AU"/>
              </w:rPr>
              <w:t>d</w:t>
            </w:r>
            <w:r w:rsidR="00585BDF">
              <w:rPr>
                <w:rFonts w:cs="Arial"/>
                <w:szCs w:val="22"/>
                <w:lang w:val="en-NZ" w:eastAsia="en-AU"/>
              </w:rPr>
              <w:t xml:space="preserve"> from a horse in the future</w:t>
            </w:r>
            <w:r w:rsidR="001C4A29">
              <w:rPr>
                <w:rFonts w:cs="Arial"/>
                <w:szCs w:val="22"/>
                <w:lang w:val="en-NZ" w:eastAsia="en-AU"/>
              </w:rPr>
              <w:t xml:space="preserve">. </w:t>
            </w:r>
            <w:r w:rsidR="002B4435">
              <w:rPr>
                <w:rFonts w:cs="Arial"/>
                <w:szCs w:val="22"/>
                <w:lang w:val="en-NZ" w:eastAsia="en-AU"/>
              </w:rPr>
              <w:t>Their proposal was to amend the legislation so that:</w:t>
            </w:r>
          </w:p>
          <w:p w:rsidR="00575A4F" w:rsidRDefault="00575A4F" w:rsidP="00FF02FD">
            <w:pPr>
              <w:spacing w:after="0" w:line="276" w:lineRule="auto"/>
              <w:jc w:val="both"/>
              <w:rPr>
                <w:rFonts w:cs="Arial"/>
                <w:szCs w:val="22"/>
                <w:lang w:val="en-NZ" w:eastAsia="en-AU"/>
              </w:rPr>
            </w:pPr>
          </w:p>
          <w:p w:rsidR="00760E09" w:rsidRPr="00A00C6C" w:rsidRDefault="002B4435" w:rsidP="00760E09">
            <w:pPr>
              <w:numPr>
                <w:ilvl w:val="0"/>
                <w:numId w:val="29"/>
              </w:numPr>
              <w:spacing w:after="0" w:line="276" w:lineRule="auto"/>
              <w:jc w:val="both"/>
              <w:rPr>
                <w:rFonts w:cs="Arial"/>
                <w:szCs w:val="22"/>
                <w:lang w:eastAsia="en-AU"/>
              </w:rPr>
            </w:pPr>
            <w:r>
              <w:rPr>
                <w:rFonts w:cs="Arial"/>
                <w:szCs w:val="22"/>
                <w:lang w:val="en-NZ" w:eastAsia="en-AU"/>
              </w:rPr>
              <w:t>A breeding business is treated as commencing on the purchase of a horse, provided there is an intention and plan to breed the horse for profit</w:t>
            </w:r>
            <w:r w:rsidR="00A00C6C">
              <w:rPr>
                <w:rFonts w:cs="Arial"/>
                <w:szCs w:val="22"/>
                <w:lang w:val="en-NZ" w:eastAsia="en-AU"/>
              </w:rPr>
              <w:t>; and</w:t>
            </w:r>
          </w:p>
          <w:p w:rsidR="00A00C6C" w:rsidRPr="00774089" w:rsidRDefault="00A00C6C" w:rsidP="00760E09">
            <w:pPr>
              <w:numPr>
                <w:ilvl w:val="0"/>
                <w:numId w:val="29"/>
              </w:numPr>
              <w:spacing w:after="0" w:line="276" w:lineRule="auto"/>
              <w:jc w:val="both"/>
              <w:rPr>
                <w:rFonts w:cs="Arial"/>
                <w:szCs w:val="22"/>
                <w:lang w:eastAsia="en-AU"/>
              </w:rPr>
            </w:pPr>
            <w:r>
              <w:rPr>
                <w:rFonts w:cs="Arial"/>
                <w:szCs w:val="22"/>
                <w:lang w:val="en-NZ" w:eastAsia="en-AU"/>
              </w:rPr>
              <w:t>The breeding business is only required by the end of the income year (ie does not need to be pre-existing at purchase)</w:t>
            </w:r>
          </w:p>
          <w:p w:rsidR="00774089" w:rsidRDefault="00774089" w:rsidP="00774089">
            <w:pPr>
              <w:spacing w:after="0" w:line="276" w:lineRule="auto"/>
              <w:jc w:val="both"/>
              <w:rPr>
                <w:rFonts w:cs="Arial"/>
                <w:szCs w:val="22"/>
                <w:lang w:val="en-NZ" w:eastAsia="en-AU"/>
              </w:rPr>
            </w:pPr>
          </w:p>
          <w:p w:rsidR="00173C17" w:rsidRDefault="00774089" w:rsidP="009925F2">
            <w:pPr>
              <w:spacing w:after="0" w:line="276" w:lineRule="auto"/>
              <w:jc w:val="both"/>
              <w:rPr>
                <w:rFonts w:cs="Arial"/>
                <w:szCs w:val="22"/>
                <w:lang w:val="en-NZ" w:eastAsia="en-AU"/>
              </w:rPr>
            </w:pPr>
            <w:r>
              <w:rPr>
                <w:rFonts w:cs="Arial"/>
                <w:szCs w:val="22"/>
                <w:lang w:val="en-NZ" w:eastAsia="en-AU"/>
              </w:rPr>
              <w:t xml:space="preserve">Officials </w:t>
            </w:r>
            <w:r w:rsidR="00770BB5">
              <w:rPr>
                <w:rFonts w:cs="Arial"/>
                <w:szCs w:val="22"/>
                <w:lang w:val="en-NZ" w:eastAsia="en-AU"/>
              </w:rPr>
              <w:t>had reservations with</w:t>
            </w:r>
            <w:r>
              <w:rPr>
                <w:rFonts w:cs="Arial"/>
                <w:szCs w:val="22"/>
                <w:lang w:val="en-NZ" w:eastAsia="en-AU"/>
              </w:rPr>
              <w:t xml:space="preserve"> this </w:t>
            </w:r>
            <w:r w:rsidR="006B730A">
              <w:rPr>
                <w:rFonts w:cs="Arial"/>
                <w:szCs w:val="22"/>
                <w:lang w:val="en-NZ" w:eastAsia="en-AU"/>
              </w:rPr>
              <w:t xml:space="preserve">broad </w:t>
            </w:r>
            <w:r>
              <w:rPr>
                <w:rFonts w:cs="Arial"/>
                <w:szCs w:val="22"/>
                <w:lang w:val="en-NZ" w:eastAsia="en-AU"/>
              </w:rPr>
              <w:t xml:space="preserve">proposal because of </w:t>
            </w:r>
            <w:r w:rsidR="00405D6F">
              <w:rPr>
                <w:rFonts w:cs="Arial"/>
                <w:szCs w:val="22"/>
                <w:lang w:val="en-NZ" w:eastAsia="en-AU"/>
              </w:rPr>
              <w:t xml:space="preserve">the number of horses that might qualify, and </w:t>
            </w:r>
            <w:r w:rsidR="00EB1220">
              <w:rPr>
                <w:rFonts w:cs="Arial"/>
                <w:szCs w:val="22"/>
                <w:lang w:val="en-NZ" w:eastAsia="en-AU"/>
              </w:rPr>
              <w:t>that</w:t>
            </w:r>
            <w:r w:rsidR="00DB3C0D">
              <w:rPr>
                <w:rFonts w:cs="Arial"/>
                <w:szCs w:val="22"/>
                <w:lang w:val="en-NZ" w:eastAsia="en-AU"/>
              </w:rPr>
              <w:t xml:space="preserve"> all</w:t>
            </w:r>
            <w:r w:rsidR="00EB1220">
              <w:rPr>
                <w:rFonts w:cs="Arial"/>
                <w:szCs w:val="22"/>
                <w:lang w:val="en-NZ" w:eastAsia="en-AU"/>
              </w:rPr>
              <w:t xml:space="preserve"> pre-breeding business expen</w:t>
            </w:r>
            <w:r w:rsidR="00BE222A">
              <w:rPr>
                <w:rFonts w:cs="Arial"/>
                <w:szCs w:val="22"/>
                <w:lang w:val="en-NZ" w:eastAsia="en-AU"/>
              </w:rPr>
              <w:t>diture could become deductible</w:t>
            </w:r>
            <w:r w:rsidR="00B74B10">
              <w:rPr>
                <w:rFonts w:cs="Arial"/>
                <w:szCs w:val="22"/>
                <w:lang w:val="en-NZ" w:eastAsia="en-AU"/>
              </w:rPr>
              <w:t>, even when no contribution to th</w:t>
            </w:r>
            <w:r w:rsidR="005D47AA">
              <w:rPr>
                <w:rFonts w:cs="Arial"/>
                <w:szCs w:val="22"/>
                <w:lang w:val="en-NZ" w:eastAsia="en-AU"/>
              </w:rPr>
              <w:t>e breeding industry is realised</w:t>
            </w:r>
            <w:r w:rsidR="00B23D65">
              <w:rPr>
                <w:rFonts w:cs="Arial"/>
                <w:szCs w:val="22"/>
                <w:lang w:val="en-NZ" w:eastAsia="en-AU"/>
              </w:rPr>
              <w:t>.</w:t>
            </w:r>
            <w:r w:rsidR="003E0222">
              <w:rPr>
                <w:rFonts w:cs="Arial"/>
                <w:szCs w:val="22"/>
                <w:lang w:val="en-NZ" w:eastAsia="en-AU"/>
              </w:rPr>
              <w:t xml:space="preserve"> This </w:t>
            </w:r>
            <w:r w:rsidR="004D70DA">
              <w:rPr>
                <w:rFonts w:cs="Arial"/>
                <w:szCs w:val="22"/>
                <w:lang w:val="en-NZ" w:eastAsia="en-AU"/>
              </w:rPr>
              <w:t>c</w:t>
            </w:r>
            <w:r w:rsidR="005D2981">
              <w:rPr>
                <w:rFonts w:cs="Arial"/>
                <w:szCs w:val="22"/>
                <w:lang w:val="en-NZ" w:eastAsia="en-AU"/>
              </w:rPr>
              <w:t>ould carry</w:t>
            </w:r>
            <w:r w:rsidR="003E0222">
              <w:rPr>
                <w:rFonts w:cs="Arial"/>
                <w:szCs w:val="22"/>
                <w:lang w:val="en-NZ" w:eastAsia="en-AU"/>
              </w:rPr>
              <w:t xml:space="preserve"> significant </w:t>
            </w:r>
            <w:r w:rsidR="003615D5">
              <w:rPr>
                <w:rFonts w:cs="Arial"/>
                <w:szCs w:val="22"/>
                <w:lang w:val="en-NZ" w:eastAsia="en-AU"/>
              </w:rPr>
              <w:t xml:space="preserve">fiscal </w:t>
            </w:r>
            <w:r w:rsidR="0032750F">
              <w:rPr>
                <w:rFonts w:cs="Arial"/>
                <w:szCs w:val="22"/>
                <w:lang w:val="en-NZ" w:eastAsia="en-AU"/>
              </w:rPr>
              <w:t>risk</w:t>
            </w:r>
            <w:r w:rsidR="006B7213">
              <w:rPr>
                <w:rFonts w:cs="Arial"/>
                <w:szCs w:val="22"/>
                <w:lang w:val="en-NZ" w:eastAsia="en-AU"/>
              </w:rPr>
              <w:t xml:space="preserve"> </w:t>
            </w:r>
            <w:r w:rsidR="00E214A6">
              <w:rPr>
                <w:rFonts w:cs="Arial"/>
                <w:szCs w:val="22"/>
                <w:lang w:val="en-NZ" w:eastAsia="en-AU"/>
              </w:rPr>
              <w:t xml:space="preserve">for the </w:t>
            </w:r>
            <w:r w:rsidR="003615D5">
              <w:rPr>
                <w:rFonts w:cs="Arial"/>
                <w:szCs w:val="22"/>
                <w:lang w:val="en-NZ" w:eastAsia="en-AU"/>
              </w:rPr>
              <w:t>government</w:t>
            </w:r>
            <w:r w:rsidR="006D497F">
              <w:rPr>
                <w:rFonts w:cs="Arial"/>
                <w:szCs w:val="22"/>
                <w:lang w:val="en-NZ" w:eastAsia="en-AU"/>
              </w:rPr>
              <w:t>.</w:t>
            </w:r>
          </w:p>
          <w:p w:rsidR="005739B7" w:rsidRDefault="005739B7" w:rsidP="009925F2">
            <w:pPr>
              <w:spacing w:after="0" w:line="276" w:lineRule="auto"/>
              <w:jc w:val="both"/>
              <w:rPr>
                <w:rFonts w:cs="Arial"/>
                <w:szCs w:val="22"/>
                <w:lang w:val="en-NZ" w:eastAsia="en-AU"/>
              </w:rPr>
            </w:pPr>
          </w:p>
          <w:p w:rsidR="005739B7" w:rsidRDefault="005739B7" w:rsidP="009925F2">
            <w:pPr>
              <w:spacing w:after="0" w:line="276" w:lineRule="auto"/>
              <w:jc w:val="both"/>
              <w:rPr>
                <w:rFonts w:cs="Arial"/>
                <w:szCs w:val="22"/>
                <w:lang w:val="en-NZ" w:eastAsia="en-AU"/>
              </w:rPr>
            </w:pPr>
            <w:r>
              <w:rPr>
                <w:rFonts w:cs="Arial"/>
                <w:szCs w:val="22"/>
                <w:lang w:val="en-NZ" w:eastAsia="en-AU"/>
              </w:rPr>
              <w:t>The industry</w:t>
            </w:r>
            <w:r w:rsidR="00AE1641">
              <w:rPr>
                <w:rFonts w:cs="Arial"/>
                <w:szCs w:val="22"/>
                <w:lang w:val="en-NZ" w:eastAsia="en-AU"/>
              </w:rPr>
              <w:t xml:space="preserve"> later revised its proposal to</w:t>
            </w:r>
            <w:r w:rsidR="00ED4EA1">
              <w:rPr>
                <w:rFonts w:cs="Arial"/>
                <w:szCs w:val="22"/>
                <w:lang w:val="en-NZ" w:eastAsia="en-AU"/>
              </w:rPr>
              <w:t xml:space="preserve"> allow an investor to claim a tax deduction against other income for the accumulated bloodstock holding cos</w:t>
            </w:r>
            <w:r w:rsidR="0093281D">
              <w:rPr>
                <w:rFonts w:cs="Arial"/>
                <w:szCs w:val="22"/>
                <w:lang w:val="en-NZ" w:eastAsia="en-AU"/>
              </w:rPr>
              <w:t xml:space="preserve">ts (such as insurance, </w:t>
            </w:r>
            <w:r w:rsidR="00ED4EA1">
              <w:rPr>
                <w:rFonts w:cs="Arial"/>
                <w:szCs w:val="22"/>
                <w:lang w:val="en-NZ" w:eastAsia="en-AU"/>
              </w:rPr>
              <w:t>veterinary costs, and grazing costs)</w:t>
            </w:r>
            <w:r w:rsidR="002C021E">
              <w:rPr>
                <w:rFonts w:cs="Arial"/>
                <w:szCs w:val="22"/>
                <w:lang w:val="en-NZ" w:eastAsia="en-AU"/>
              </w:rPr>
              <w:t>, having claimed an intention to breed,</w:t>
            </w:r>
            <w:r w:rsidR="003C4A1B">
              <w:rPr>
                <w:rFonts w:cs="Arial"/>
                <w:szCs w:val="22"/>
                <w:lang w:val="en-NZ" w:eastAsia="en-AU"/>
              </w:rPr>
              <w:t xml:space="preserve"> at the earlier of:</w:t>
            </w:r>
          </w:p>
          <w:p w:rsidR="003C4A1B" w:rsidRDefault="003C4A1B" w:rsidP="009925F2">
            <w:pPr>
              <w:spacing w:after="0" w:line="276" w:lineRule="auto"/>
              <w:jc w:val="both"/>
              <w:rPr>
                <w:rFonts w:cs="Arial"/>
                <w:szCs w:val="22"/>
                <w:lang w:val="en-NZ" w:eastAsia="en-AU"/>
              </w:rPr>
            </w:pPr>
          </w:p>
          <w:p w:rsidR="003C4A1B" w:rsidRDefault="003C4A1B" w:rsidP="003C4A1B">
            <w:pPr>
              <w:numPr>
                <w:ilvl w:val="0"/>
                <w:numId w:val="32"/>
              </w:numPr>
              <w:spacing w:after="0" w:line="276" w:lineRule="auto"/>
              <w:jc w:val="both"/>
              <w:rPr>
                <w:rFonts w:cs="Arial"/>
                <w:szCs w:val="22"/>
                <w:lang w:val="en-NZ" w:eastAsia="en-AU"/>
              </w:rPr>
            </w:pPr>
            <w:r>
              <w:rPr>
                <w:rFonts w:cs="Arial"/>
                <w:szCs w:val="22"/>
                <w:lang w:val="en-NZ" w:eastAsia="en-AU"/>
              </w:rPr>
              <w:t>The date the breeding phase commences</w:t>
            </w:r>
            <w:r w:rsidR="00755920">
              <w:rPr>
                <w:rFonts w:cs="Arial"/>
                <w:szCs w:val="22"/>
                <w:lang w:val="en-NZ" w:eastAsia="en-AU"/>
              </w:rPr>
              <w:t>;</w:t>
            </w:r>
          </w:p>
          <w:p w:rsidR="003C4A1B" w:rsidRDefault="003C4A1B" w:rsidP="003C4A1B">
            <w:pPr>
              <w:numPr>
                <w:ilvl w:val="0"/>
                <w:numId w:val="32"/>
              </w:numPr>
              <w:spacing w:after="0" w:line="276" w:lineRule="auto"/>
              <w:jc w:val="both"/>
              <w:rPr>
                <w:rFonts w:cs="Arial"/>
                <w:szCs w:val="22"/>
                <w:lang w:val="en-NZ" w:eastAsia="en-AU"/>
              </w:rPr>
            </w:pPr>
            <w:r>
              <w:rPr>
                <w:rFonts w:cs="Arial"/>
                <w:szCs w:val="22"/>
                <w:lang w:val="en-NZ" w:eastAsia="en-AU"/>
              </w:rPr>
              <w:t>The date the investor otherwise comes to have an interest in a bloodstock breeding business</w:t>
            </w:r>
            <w:r w:rsidR="00755920">
              <w:rPr>
                <w:rFonts w:cs="Arial"/>
                <w:szCs w:val="22"/>
                <w:lang w:val="en-NZ" w:eastAsia="en-AU"/>
              </w:rPr>
              <w:t>; or</w:t>
            </w:r>
          </w:p>
          <w:p w:rsidR="00755920" w:rsidRDefault="00755920" w:rsidP="003C4A1B">
            <w:pPr>
              <w:numPr>
                <w:ilvl w:val="0"/>
                <w:numId w:val="32"/>
              </w:numPr>
              <w:spacing w:after="0" w:line="276" w:lineRule="auto"/>
              <w:jc w:val="both"/>
              <w:rPr>
                <w:rFonts w:cs="Arial"/>
                <w:szCs w:val="22"/>
                <w:lang w:val="en-NZ" w:eastAsia="en-AU"/>
              </w:rPr>
            </w:pPr>
            <w:r>
              <w:rPr>
                <w:rFonts w:cs="Arial"/>
                <w:szCs w:val="22"/>
                <w:lang w:val="en-NZ" w:eastAsia="en-AU"/>
              </w:rPr>
              <w:t>The date they abandon their plans to breed the horse for profit</w:t>
            </w:r>
            <w:r w:rsidR="00510622">
              <w:rPr>
                <w:rFonts w:cs="Arial"/>
                <w:szCs w:val="22"/>
                <w:lang w:val="en-NZ" w:eastAsia="en-AU"/>
              </w:rPr>
              <w:t xml:space="preserve"> (because the horse is sold, or proves unsuitable or unable to breed)</w:t>
            </w:r>
          </w:p>
          <w:p w:rsidR="00173C17" w:rsidRDefault="00173C17" w:rsidP="009925F2">
            <w:pPr>
              <w:spacing w:after="0" w:line="276" w:lineRule="auto"/>
              <w:jc w:val="both"/>
              <w:rPr>
                <w:rFonts w:cs="Arial"/>
                <w:szCs w:val="22"/>
                <w:lang w:val="en-NZ" w:eastAsia="en-AU"/>
              </w:rPr>
            </w:pPr>
          </w:p>
          <w:p w:rsidR="00DE5353" w:rsidRDefault="00DE5353" w:rsidP="004D1F88">
            <w:pPr>
              <w:spacing w:after="0" w:line="276" w:lineRule="auto"/>
              <w:jc w:val="both"/>
              <w:rPr>
                <w:rFonts w:cs="Arial"/>
                <w:szCs w:val="22"/>
                <w:lang w:val="en-NZ" w:eastAsia="en-AU"/>
              </w:rPr>
            </w:pPr>
            <w:r>
              <w:rPr>
                <w:rFonts w:cs="Arial"/>
                <w:szCs w:val="22"/>
                <w:lang w:val="en-NZ" w:eastAsia="en-AU"/>
              </w:rPr>
              <w:t xml:space="preserve">Officials considered that this updated proposal was similar in substance to the original. </w:t>
            </w:r>
            <w:r w:rsidR="00F7515B">
              <w:rPr>
                <w:rFonts w:cs="Arial"/>
                <w:szCs w:val="22"/>
                <w:lang w:val="en-NZ" w:eastAsia="en-AU"/>
              </w:rPr>
              <w:t xml:space="preserve">The abandonment point allows </w:t>
            </w:r>
            <w:r w:rsidR="001A12FB">
              <w:rPr>
                <w:rFonts w:cs="Arial"/>
                <w:szCs w:val="22"/>
                <w:lang w:val="en-NZ" w:eastAsia="en-AU"/>
              </w:rPr>
              <w:t>investors to claim deductions for accumulated costs even when no bre</w:t>
            </w:r>
            <w:r w:rsidR="00F47084">
              <w:rPr>
                <w:rFonts w:cs="Arial"/>
                <w:szCs w:val="22"/>
                <w:lang w:val="en-NZ" w:eastAsia="en-AU"/>
              </w:rPr>
              <w:t xml:space="preserve">eding business eventuates, which </w:t>
            </w:r>
            <w:r w:rsidR="00230BC5">
              <w:rPr>
                <w:rFonts w:cs="Arial"/>
                <w:szCs w:val="22"/>
                <w:lang w:val="en-NZ" w:eastAsia="en-AU"/>
              </w:rPr>
              <w:t xml:space="preserve">officials </w:t>
            </w:r>
            <w:r w:rsidR="00302752">
              <w:rPr>
                <w:rFonts w:cs="Arial"/>
                <w:szCs w:val="22"/>
                <w:lang w:val="en-NZ" w:eastAsia="en-AU"/>
              </w:rPr>
              <w:t xml:space="preserve">also regarded as </w:t>
            </w:r>
            <w:r w:rsidR="003A2863">
              <w:rPr>
                <w:rFonts w:cs="Arial"/>
                <w:szCs w:val="22"/>
                <w:lang w:val="en-NZ" w:eastAsia="en-AU"/>
              </w:rPr>
              <w:t>carrying sustainability risks</w:t>
            </w:r>
            <w:r w:rsidR="00F21903">
              <w:rPr>
                <w:rFonts w:cs="Arial"/>
                <w:szCs w:val="22"/>
                <w:lang w:val="en-NZ" w:eastAsia="en-AU"/>
              </w:rPr>
              <w:t xml:space="preserve"> </w:t>
            </w:r>
            <w:r w:rsidR="00C10516">
              <w:rPr>
                <w:rFonts w:cs="Arial"/>
                <w:szCs w:val="22"/>
                <w:lang w:val="en-NZ" w:eastAsia="en-AU"/>
              </w:rPr>
              <w:t>for the government.</w:t>
            </w:r>
            <w:r w:rsidR="00F21903">
              <w:rPr>
                <w:rFonts w:cs="Arial"/>
                <w:szCs w:val="22"/>
                <w:lang w:val="en-NZ" w:eastAsia="en-AU"/>
              </w:rPr>
              <w:t xml:space="preserve"> </w:t>
            </w:r>
          </w:p>
          <w:p w:rsidR="00DE5353" w:rsidRDefault="00DE5353" w:rsidP="004D1F88">
            <w:pPr>
              <w:spacing w:after="0" w:line="276" w:lineRule="auto"/>
              <w:jc w:val="both"/>
              <w:rPr>
                <w:rFonts w:cs="Arial"/>
                <w:szCs w:val="22"/>
                <w:lang w:val="en-NZ" w:eastAsia="en-AU"/>
              </w:rPr>
            </w:pPr>
          </w:p>
          <w:p w:rsidR="00774089" w:rsidRDefault="00575A4F" w:rsidP="004D1F88">
            <w:pPr>
              <w:spacing w:after="0" w:line="276" w:lineRule="auto"/>
              <w:jc w:val="both"/>
              <w:rPr>
                <w:rFonts w:cs="Arial"/>
                <w:szCs w:val="22"/>
                <w:lang w:val="en-NZ" w:eastAsia="en-AU"/>
              </w:rPr>
            </w:pPr>
            <w:r>
              <w:rPr>
                <w:rFonts w:cs="Arial"/>
                <w:szCs w:val="22"/>
                <w:lang w:val="en-NZ" w:eastAsia="en-AU"/>
              </w:rPr>
              <w:t xml:space="preserve">Instead, officials </w:t>
            </w:r>
            <w:r w:rsidR="000714ED">
              <w:rPr>
                <w:rFonts w:cs="Arial"/>
                <w:szCs w:val="22"/>
                <w:lang w:val="en-NZ" w:eastAsia="en-AU"/>
              </w:rPr>
              <w:t xml:space="preserve">have </w:t>
            </w:r>
            <w:r w:rsidR="00F225AA">
              <w:rPr>
                <w:rFonts w:cs="Arial"/>
                <w:szCs w:val="22"/>
                <w:lang w:val="en-NZ" w:eastAsia="en-AU"/>
              </w:rPr>
              <w:t xml:space="preserve">proposed a rule allowing write-downs </w:t>
            </w:r>
            <w:r w:rsidR="00813540">
              <w:rPr>
                <w:rFonts w:cs="Arial"/>
                <w:szCs w:val="22"/>
                <w:lang w:val="en-NZ" w:eastAsia="en-AU"/>
              </w:rPr>
              <w:t xml:space="preserve">only </w:t>
            </w:r>
            <w:r w:rsidR="00F225AA">
              <w:rPr>
                <w:rFonts w:cs="Arial"/>
                <w:szCs w:val="22"/>
                <w:lang w:val="en-NZ" w:eastAsia="en-AU"/>
              </w:rPr>
              <w:t xml:space="preserve">for the costs of </w:t>
            </w:r>
            <w:r w:rsidR="00E021F0">
              <w:rPr>
                <w:rFonts w:cs="Arial"/>
                <w:szCs w:val="22"/>
                <w:lang w:val="en-NZ" w:eastAsia="en-AU"/>
              </w:rPr>
              <w:t>standout</w:t>
            </w:r>
            <w:r w:rsidR="00F225AA">
              <w:rPr>
                <w:rFonts w:cs="Arial"/>
                <w:szCs w:val="22"/>
                <w:lang w:val="en-NZ" w:eastAsia="en-AU"/>
              </w:rPr>
              <w:t xml:space="preserve"> </w:t>
            </w:r>
            <w:r w:rsidR="000B0772">
              <w:rPr>
                <w:rFonts w:cs="Arial"/>
                <w:szCs w:val="22"/>
                <w:lang w:val="en-NZ" w:eastAsia="en-AU"/>
              </w:rPr>
              <w:t>horses</w:t>
            </w:r>
            <w:r w:rsidR="009925F2">
              <w:rPr>
                <w:rFonts w:cs="Arial"/>
                <w:szCs w:val="22"/>
                <w:lang w:val="en-NZ" w:eastAsia="en-AU"/>
              </w:rPr>
              <w:t xml:space="preserve"> (the most expensive horses</w:t>
            </w:r>
            <w:r w:rsidR="00016648">
              <w:rPr>
                <w:rFonts w:cs="Arial"/>
                <w:szCs w:val="22"/>
                <w:lang w:val="en-NZ" w:eastAsia="en-AU"/>
              </w:rPr>
              <w:t>)</w:t>
            </w:r>
            <w:r w:rsidR="002E4F36">
              <w:rPr>
                <w:rFonts w:cs="Arial"/>
                <w:szCs w:val="22"/>
                <w:lang w:val="en-NZ" w:eastAsia="en-AU"/>
              </w:rPr>
              <w:t>, and proposed that the policy be limited to yearlings</w:t>
            </w:r>
            <w:r w:rsidR="009765A0">
              <w:rPr>
                <w:rFonts w:cs="Arial"/>
                <w:szCs w:val="22"/>
                <w:lang w:val="en-NZ" w:eastAsia="en-AU"/>
              </w:rPr>
              <w:t>.</w:t>
            </w:r>
            <w:r w:rsidR="00173C17">
              <w:rPr>
                <w:rFonts w:cs="Arial"/>
                <w:szCs w:val="22"/>
                <w:lang w:val="en-NZ" w:eastAsia="en-AU"/>
              </w:rPr>
              <w:t xml:space="preserve"> Th</w:t>
            </w:r>
            <w:r w:rsidR="00BD30F8">
              <w:rPr>
                <w:rFonts w:cs="Arial"/>
                <w:szCs w:val="22"/>
                <w:lang w:val="en-NZ" w:eastAsia="en-AU"/>
              </w:rPr>
              <w:t>e</w:t>
            </w:r>
            <w:r w:rsidR="00173C17">
              <w:rPr>
                <w:rFonts w:cs="Arial"/>
                <w:szCs w:val="22"/>
                <w:lang w:val="en-NZ" w:eastAsia="en-AU"/>
              </w:rPr>
              <w:t xml:space="preserve"> </w:t>
            </w:r>
            <w:r w:rsidR="00DC7376">
              <w:rPr>
                <w:rFonts w:cs="Arial"/>
                <w:szCs w:val="22"/>
                <w:lang w:val="en-NZ" w:eastAsia="en-AU"/>
              </w:rPr>
              <w:t>aim is</w:t>
            </w:r>
            <w:r w:rsidR="004D1F88">
              <w:rPr>
                <w:rFonts w:cs="Arial"/>
                <w:szCs w:val="22"/>
                <w:lang w:val="en-NZ" w:eastAsia="en-AU"/>
              </w:rPr>
              <w:t xml:space="preserve"> to </w:t>
            </w:r>
            <w:r w:rsidR="00172DC0">
              <w:rPr>
                <w:rFonts w:cs="Arial"/>
                <w:szCs w:val="22"/>
                <w:lang w:val="en-NZ" w:eastAsia="en-AU"/>
              </w:rPr>
              <w:t>limit</w:t>
            </w:r>
            <w:r w:rsidR="00967609">
              <w:rPr>
                <w:rFonts w:cs="Arial"/>
                <w:szCs w:val="22"/>
                <w:lang w:val="en-NZ" w:eastAsia="en-AU"/>
              </w:rPr>
              <w:t xml:space="preserve"> </w:t>
            </w:r>
            <w:r w:rsidR="007A1A96">
              <w:rPr>
                <w:rFonts w:cs="Arial"/>
                <w:szCs w:val="22"/>
                <w:lang w:val="en-NZ" w:eastAsia="en-AU"/>
              </w:rPr>
              <w:t>tax incentives</w:t>
            </w:r>
            <w:r w:rsidR="00410C32">
              <w:rPr>
                <w:rFonts w:cs="Arial"/>
                <w:szCs w:val="22"/>
                <w:lang w:val="en-NZ" w:eastAsia="en-AU"/>
              </w:rPr>
              <w:t xml:space="preserve"> to </w:t>
            </w:r>
            <w:r w:rsidR="0042665D">
              <w:rPr>
                <w:rFonts w:cs="Arial"/>
                <w:szCs w:val="22"/>
                <w:lang w:val="en-NZ" w:eastAsia="en-AU"/>
              </w:rPr>
              <w:t>owners who never end up starting a breeding business by</w:t>
            </w:r>
            <w:r w:rsidR="00FE02B6">
              <w:rPr>
                <w:rFonts w:cs="Arial"/>
                <w:szCs w:val="22"/>
                <w:lang w:val="en-NZ" w:eastAsia="en-AU"/>
              </w:rPr>
              <w:t xml:space="preserve"> significantly restricting the number of eligible horses and thereby</w:t>
            </w:r>
            <w:r w:rsidR="0042665D">
              <w:rPr>
                <w:rFonts w:cs="Arial"/>
                <w:szCs w:val="22"/>
                <w:lang w:val="en-NZ" w:eastAsia="en-AU"/>
              </w:rPr>
              <w:t xml:space="preserve"> </w:t>
            </w:r>
            <w:r w:rsidR="00172DC0">
              <w:rPr>
                <w:rFonts w:cs="Arial"/>
                <w:szCs w:val="22"/>
                <w:lang w:val="en-NZ" w:eastAsia="en-AU"/>
              </w:rPr>
              <w:t>reducing</w:t>
            </w:r>
            <w:r w:rsidR="0042665D">
              <w:rPr>
                <w:rFonts w:cs="Arial"/>
                <w:szCs w:val="22"/>
                <w:lang w:val="en-NZ" w:eastAsia="en-AU"/>
              </w:rPr>
              <w:t xml:space="preserve"> the fiscal impact.</w:t>
            </w:r>
            <w:r w:rsidR="004C7295">
              <w:rPr>
                <w:rFonts w:cs="Arial"/>
                <w:szCs w:val="22"/>
                <w:lang w:val="en-NZ" w:eastAsia="en-AU"/>
              </w:rPr>
              <w:t xml:space="preserve"> It is</w:t>
            </w:r>
            <w:r w:rsidR="00016648">
              <w:rPr>
                <w:rFonts w:cs="Arial"/>
                <w:szCs w:val="22"/>
                <w:lang w:val="en-NZ" w:eastAsia="en-AU"/>
              </w:rPr>
              <w:t xml:space="preserve"> a second-best option for the industry,</w:t>
            </w:r>
            <w:r w:rsidR="00A13221">
              <w:rPr>
                <w:rFonts w:cs="Arial"/>
                <w:szCs w:val="22"/>
                <w:lang w:val="en-NZ" w:eastAsia="en-AU"/>
              </w:rPr>
              <w:t xml:space="preserve"> and it is also a second-best for Government as it </w:t>
            </w:r>
            <w:r w:rsidR="007242D0">
              <w:rPr>
                <w:rFonts w:cs="Arial"/>
                <w:szCs w:val="22"/>
                <w:lang w:val="en-NZ" w:eastAsia="en-AU"/>
              </w:rPr>
              <w:t>retains the possibility of subsidising some</w:t>
            </w:r>
            <w:r w:rsidR="00A13221">
              <w:rPr>
                <w:rFonts w:cs="Arial"/>
                <w:szCs w:val="22"/>
                <w:lang w:val="en-NZ" w:eastAsia="en-AU"/>
              </w:rPr>
              <w:t xml:space="preserve"> losses where no breeding business has materialised,</w:t>
            </w:r>
            <w:r w:rsidR="00016648">
              <w:rPr>
                <w:rFonts w:cs="Arial"/>
                <w:szCs w:val="22"/>
                <w:lang w:val="en-NZ" w:eastAsia="en-AU"/>
              </w:rPr>
              <w:t xml:space="preserve"> but </w:t>
            </w:r>
            <w:r w:rsidR="000C67EA">
              <w:rPr>
                <w:rFonts w:cs="Arial"/>
                <w:szCs w:val="22"/>
                <w:lang w:val="en-NZ" w:eastAsia="en-AU"/>
              </w:rPr>
              <w:t>it</w:t>
            </w:r>
            <w:r w:rsidR="00016648">
              <w:rPr>
                <w:rFonts w:cs="Arial"/>
                <w:szCs w:val="22"/>
                <w:lang w:val="en-NZ" w:eastAsia="en-AU"/>
              </w:rPr>
              <w:t xml:space="preserve"> </w:t>
            </w:r>
            <w:r w:rsidR="00F774D8">
              <w:rPr>
                <w:rFonts w:cs="Arial"/>
                <w:szCs w:val="22"/>
                <w:lang w:val="en-NZ" w:eastAsia="en-AU"/>
              </w:rPr>
              <w:t>mitigate</w:t>
            </w:r>
            <w:r w:rsidR="00B862DE">
              <w:rPr>
                <w:rFonts w:cs="Arial"/>
                <w:szCs w:val="22"/>
                <w:lang w:val="en-NZ" w:eastAsia="en-AU"/>
              </w:rPr>
              <w:t>s</w:t>
            </w:r>
            <w:r w:rsidR="00F774D8">
              <w:rPr>
                <w:rFonts w:cs="Arial"/>
                <w:szCs w:val="22"/>
                <w:lang w:val="en-NZ" w:eastAsia="en-AU"/>
              </w:rPr>
              <w:t xml:space="preserve"> </w:t>
            </w:r>
            <w:r w:rsidR="003615D5">
              <w:rPr>
                <w:rFonts w:cs="Arial"/>
                <w:szCs w:val="22"/>
                <w:lang w:val="en-NZ" w:eastAsia="en-AU"/>
              </w:rPr>
              <w:t xml:space="preserve">a large amount of </w:t>
            </w:r>
            <w:r w:rsidR="00355F18">
              <w:rPr>
                <w:rFonts w:cs="Arial"/>
                <w:szCs w:val="22"/>
                <w:lang w:val="en-NZ" w:eastAsia="en-AU"/>
              </w:rPr>
              <w:t xml:space="preserve">the </w:t>
            </w:r>
            <w:r w:rsidR="003615D5">
              <w:rPr>
                <w:rFonts w:cs="Arial"/>
                <w:szCs w:val="22"/>
                <w:lang w:val="en-NZ" w:eastAsia="en-AU"/>
              </w:rPr>
              <w:t xml:space="preserve">potential </w:t>
            </w:r>
            <w:r w:rsidR="00F774D8">
              <w:rPr>
                <w:rFonts w:cs="Arial"/>
                <w:szCs w:val="22"/>
                <w:lang w:val="en-NZ" w:eastAsia="en-AU"/>
              </w:rPr>
              <w:t>fiscal risk.</w:t>
            </w:r>
          </w:p>
          <w:p w:rsidR="00DF7972" w:rsidRPr="009C4129" w:rsidRDefault="00DF7972" w:rsidP="004D1F88">
            <w:pPr>
              <w:spacing w:after="0" w:line="276" w:lineRule="auto"/>
              <w:jc w:val="both"/>
              <w:rPr>
                <w:rFonts w:cs="Arial"/>
                <w:szCs w:val="22"/>
                <w:lang w:eastAsia="en-AU"/>
              </w:rPr>
            </w:pPr>
          </w:p>
        </w:tc>
      </w:tr>
    </w:tbl>
    <w:p w:rsidR="0062657E" w:rsidRPr="00537EFE" w:rsidRDefault="0062657E" w:rsidP="007B090A">
      <w:pPr>
        <w:pStyle w:val="Heading2"/>
        <w:spacing w:line="276" w:lineRule="auto"/>
      </w:pPr>
      <w:r w:rsidRPr="0005691A">
        <w:lastRenderedPageBreak/>
        <w:t>Section 3:  Options identification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286"/>
      </w:tblGrid>
      <w:tr w:rsidR="009C4129" w:rsidRPr="009C4129" w:rsidTr="00384E9B">
        <w:trPr>
          <w:trHeight w:val="77"/>
        </w:trPr>
        <w:tc>
          <w:tcPr>
            <w:tcW w:w="5000" w:type="pct"/>
            <w:shd w:val="clear" w:color="auto" w:fill="99CDDD"/>
            <w:hideMark/>
          </w:tcPr>
          <w:p w:rsidR="0062657E" w:rsidRPr="009C4129" w:rsidRDefault="0062657E" w:rsidP="00DF2E7B">
            <w:pPr>
              <w:spacing w:before="60" w:after="60" w:line="240" w:lineRule="auto"/>
              <w:rPr>
                <w:rFonts w:cs="Arial"/>
                <w:b/>
                <w:szCs w:val="22"/>
                <w:lang w:eastAsia="en-AU"/>
              </w:rPr>
            </w:pPr>
            <w:r w:rsidRPr="009C4129">
              <w:rPr>
                <w:rFonts w:cs="Arial"/>
                <w:b/>
                <w:szCs w:val="22"/>
                <w:lang w:eastAsia="en-AU"/>
              </w:rPr>
              <w:t>3.1   What options are available to address the problem?</w:t>
            </w:r>
          </w:p>
        </w:tc>
      </w:tr>
      <w:tr w:rsidR="009C4129" w:rsidRPr="009C4129" w:rsidTr="00A75C98">
        <w:trPr>
          <w:trHeight w:val="4711"/>
        </w:trPr>
        <w:tc>
          <w:tcPr>
            <w:tcW w:w="5000" w:type="pct"/>
            <w:shd w:val="clear" w:color="auto" w:fill="FFFFFF"/>
          </w:tcPr>
          <w:p w:rsidR="0062657E" w:rsidRPr="009C4129" w:rsidRDefault="0062657E" w:rsidP="009C4129">
            <w:pPr>
              <w:spacing w:after="0" w:line="276" w:lineRule="auto"/>
              <w:jc w:val="both"/>
              <w:rPr>
                <w:rFonts w:cs="Arial"/>
                <w:szCs w:val="22"/>
                <w:lang w:eastAsia="en-AU"/>
              </w:rPr>
            </w:pPr>
          </w:p>
          <w:p w:rsidR="0062657E" w:rsidRDefault="006F19E9" w:rsidP="009C4129">
            <w:pPr>
              <w:spacing w:after="0" w:line="276" w:lineRule="auto"/>
              <w:jc w:val="both"/>
              <w:rPr>
                <w:rFonts w:cs="Arial"/>
                <w:szCs w:val="22"/>
                <w:lang w:eastAsia="en-AU"/>
              </w:rPr>
            </w:pPr>
            <w:r>
              <w:rPr>
                <w:rFonts w:cs="Arial"/>
                <w:szCs w:val="22"/>
                <w:lang w:eastAsia="en-AU"/>
              </w:rPr>
              <w:t xml:space="preserve">The </w:t>
            </w:r>
            <w:r w:rsidR="00522F26">
              <w:rPr>
                <w:rFonts w:cs="Arial"/>
                <w:szCs w:val="22"/>
                <w:lang w:eastAsia="en-AU"/>
              </w:rPr>
              <w:t>four</w:t>
            </w:r>
            <w:r>
              <w:rPr>
                <w:rFonts w:cs="Arial"/>
                <w:szCs w:val="22"/>
                <w:lang w:eastAsia="en-AU"/>
              </w:rPr>
              <w:t xml:space="preserve"> options considered are:</w:t>
            </w:r>
          </w:p>
          <w:p w:rsidR="00042B54" w:rsidRDefault="00042B54" w:rsidP="009C4129">
            <w:pPr>
              <w:spacing w:after="0" w:line="276" w:lineRule="auto"/>
              <w:jc w:val="both"/>
              <w:rPr>
                <w:rFonts w:cs="Arial"/>
                <w:szCs w:val="22"/>
                <w:lang w:eastAsia="en-AU"/>
              </w:rPr>
            </w:pPr>
          </w:p>
          <w:p w:rsidR="00D60F74" w:rsidRDefault="00042B54" w:rsidP="00042B54">
            <w:pPr>
              <w:numPr>
                <w:ilvl w:val="0"/>
                <w:numId w:val="33"/>
              </w:numPr>
              <w:spacing w:after="0" w:line="276" w:lineRule="auto"/>
              <w:jc w:val="both"/>
              <w:rPr>
                <w:rFonts w:cs="Arial"/>
                <w:szCs w:val="22"/>
                <w:lang w:eastAsia="en-AU"/>
              </w:rPr>
            </w:pPr>
            <w:r>
              <w:rPr>
                <w:rFonts w:cs="Arial"/>
                <w:szCs w:val="22"/>
                <w:lang w:eastAsia="en-AU"/>
              </w:rPr>
              <w:t>Option 1: Status quo</w:t>
            </w:r>
          </w:p>
          <w:p w:rsidR="006F19E9" w:rsidRDefault="00042B54" w:rsidP="006F19E9">
            <w:pPr>
              <w:numPr>
                <w:ilvl w:val="0"/>
                <w:numId w:val="30"/>
              </w:numPr>
              <w:spacing w:after="0" w:line="276" w:lineRule="auto"/>
              <w:jc w:val="both"/>
              <w:rPr>
                <w:rFonts w:cs="Arial"/>
                <w:szCs w:val="22"/>
                <w:lang w:eastAsia="en-AU"/>
              </w:rPr>
            </w:pPr>
            <w:r>
              <w:rPr>
                <w:rFonts w:cs="Arial"/>
                <w:szCs w:val="22"/>
                <w:lang w:eastAsia="en-AU"/>
              </w:rPr>
              <w:t>Option 2</w:t>
            </w:r>
            <w:r w:rsidR="00800F1A">
              <w:rPr>
                <w:rFonts w:cs="Arial"/>
                <w:szCs w:val="22"/>
                <w:lang w:eastAsia="en-AU"/>
              </w:rPr>
              <w:t xml:space="preserve">: </w:t>
            </w:r>
            <w:r w:rsidR="006166A7">
              <w:rPr>
                <w:rFonts w:cs="Arial"/>
                <w:szCs w:val="22"/>
                <w:lang w:eastAsia="en-AU"/>
              </w:rPr>
              <w:t>‘C</w:t>
            </w:r>
            <w:r w:rsidR="006F19E9">
              <w:rPr>
                <w:rFonts w:cs="Arial"/>
                <w:szCs w:val="22"/>
                <w:lang w:eastAsia="en-AU"/>
              </w:rPr>
              <w:t xml:space="preserve">arry forward’ </w:t>
            </w:r>
            <w:r w:rsidR="006166A7">
              <w:rPr>
                <w:rFonts w:cs="Arial"/>
                <w:szCs w:val="22"/>
                <w:lang w:eastAsia="en-AU"/>
              </w:rPr>
              <w:t>to business</w:t>
            </w:r>
          </w:p>
          <w:p w:rsidR="004D65FC" w:rsidRDefault="00042B54" w:rsidP="006F19E9">
            <w:pPr>
              <w:numPr>
                <w:ilvl w:val="0"/>
                <w:numId w:val="30"/>
              </w:numPr>
              <w:spacing w:after="0" w:line="276" w:lineRule="auto"/>
              <w:jc w:val="both"/>
              <w:rPr>
                <w:rFonts w:cs="Arial"/>
                <w:szCs w:val="22"/>
                <w:lang w:eastAsia="en-AU"/>
              </w:rPr>
            </w:pPr>
            <w:r>
              <w:rPr>
                <w:rFonts w:cs="Arial"/>
                <w:szCs w:val="22"/>
                <w:lang w:eastAsia="en-AU"/>
              </w:rPr>
              <w:t>Option 3</w:t>
            </w:r>
            <w:r w:rsidR="00800F1A">
              <w:rPr>
                <w:rFonts w:cs="Arial"/>
                <w:szCs w:val="22"/>
                <w:lang w:eastAsia="en-AU"/>
              </w:rPr>
              <w:t xml:space="preserve">: </w:t>
            </w:r>
            <w:r w:rsidR="00262AFF">
              <w:rPr>
                <w:rFonts w:cs="Arial"/>
                <w:szCs w:val="22"/>
                <w:lang w:eastAsia="en-AU"/>
              </w:rPr>
              <w:t>Claim</w:t>
            </w:r>
            <w:r w:rsidR="006166A7">
              <w:rPr>
                <w:rFonts w:cs="Arial"/>
                <w:szCs w:val="22"/>
                <w:lang w:eastAsia="en-AU"/>
              </w:rPr>
              <w:t xml:space="preserve"> to intention</w:t>
            </w:r>
            <w:r w:rsidR="00B819F6">
              <w:rPr>
                <w:rFonts w:cs="Arial"/>
                <w:szCs w:val="22"/>
                <w:lang w:eastAsia="en-AU"/>
              </w:rPr>
              <w:t xml:space="preserve"> (industry’s preferred option)</w:t>
            </w:r>
          </w:p>
          <w:p w:rsidR="004D65FC" w:rsidRDefault="00042B54" w:rsidP="006F19E9">
            <w:pPr>
              <w:numPr>
                <w:ilvl w:val="0"/>
                <w:numId w:val="30"/>
              </w:numPr>
              <w:spacing w:after="0" w:line="276" w:lineRule="auto"/>
              <w:jc w:val="both"/>
              <w:rPr>
                <w:rFonts w:cs="Arial"/>
                <w:szCs w:val="22"/>
                <w:lang w:eastAsia="en-AU"/>
              </w:rPr>
            </w:pPr>
            <w:r>
              <w:rPr>
                <w:rFonts w:cs="Arial"/>
                <w:szCs w:val="22"/>
                <w:lang w:eastAsia="en-AU"/>
              </w:rPr>
              <w:t>Option 4</w:t>
            </w:r>
            <w:r w:rsidR="00800F1A">
              <w:rPr>
                <w:rFonts w:cs="Arial"/>
                <w:szCs w:val="22"/>
                <w:lang w:eastAsia="en-AU"/>
              </w:rPr>
              <w:t xml:space="preserve">: </w:t>
            </w:r>
            <w:r w:rsidR="00262AFF">
              <w:rPr>
                <w:rFonts w:cs="Arial"/>
                <w:szCs w:val="22"/>
                <w:lang w:eastAsia="en-AU"/>
              </w:rPr>
              <w:t xml:space="preserve">Claim </w:t>
            </w:r>
            <w:r w:rsidR="00C812BF">
              <w:rPr>
                <w:rFonts w:cs="Arial"/>
                <w:szCs w:val="22"/>
                <w:lang w:eastAsia="en-AU"/>
              </w:rPr>
              <w:t xml:space="preserve">to </w:t>
            </w:r>
            <w:r w:rsidR="00262AFF">
              <w:rPr>
                <w:rFonts w:cs="Arial"/>
                <w:szCs w:val="22"/>
                <w:lang w:eastAsia="en-AU"/>
              </w:rPr>
              <w:t>intention with high-quality yearling</w:t>
            </w:r>
          </w:p>
          <w:p w:rsidR="00125A66" w:rsidRDefault="00125A66" w:rsidP="00125A66">
            <w:pPr>
              <w:spacing w:after="0" w:line="276" w:lineRule="auto"/>
              <w:jc w:val="both"/>
              <w:rPr>
                <w:rFonts w:cs="Arial"/>
                <w:szCs w:val="22"/>
                <w:lang w:eastAsia="en-AU"/>
              </w:rPr>
            </w:pPr>
          </w:p>
          <w:p w:rsidR="005E56C4" w:rsidRPr="005E56C4" w:rsidRDefault="009C5F84" w:rsidP="00125A66">
            <w:pPr>
              <w:spacing w:after="0" w:line="276" w:lineRule="auto"/>
              <w:jc w:val="both"/>
              <w:rPr>
                <w:rFonts w:cs="Arial"/>
                <w:i/>
                <w:szCs w:val="22"/>
                <w:lang w:eastAsia="en-AU"/>
              </w:rPr>
            </w:pPr>
            <w:r>
              <w:rPr>
                <w:rFonts w:cs="Arial"/>
                <w:i/>
                <w:szCs w:val="22"/>
                <w:lang w:eastAsia="en-AU"/>
              </w:rPr>
              <w:t>Option 1 (</w:t>
            </w:r>
            <w:r w:rsidR="005E56C4">
              <w:rPr>
                <w:rFonts w:cs="Arial"/>
                <w:i/>
                <w:szCs w:val="22"/>
                <w:lang w:eastAsia="en-AU"/>
              </w:rPr>
              <w:t>Status quo</w:t>
            </w:r>
            <w:r>
              <w:rPr>
                <w:rFonts w:cs="Arial"/>
                <w:i/>
                <w:szCs w:val="22"/>
                <w:lang w:eastAsia="en-AU"/>
              </w:rPr>
              <w:t>)</w:t>
            </w:r>
          </w:p>
          <w:p w:rsidR="005E56C4" w:rsidRDefault="005E56C4" w:rsidP="00125A66">
            <w:pPr>
              <w:spacing w:after="0" w:line="276" w:lineRule="auto"/>
              <w:jc w:val="both"/>
              <w:rPr>
                <w:rFonts w:cs="Arial"/>
                <w:szCs w:val="22"/>
                <w:lang w:eastAsia="en-AU"/>
              </w:rPr>
            </w:pPr>
          </w:p>
          <w:p w:rsidR="00B008B0" w:rsidRDefault="005E56C4" w:rsidP="00125A66">
            <w:pPr>
              <w:spacing w:after="0" w:line="276" w:lineRule="auto"/>
              <w:jc w:val="both"/>
              <w:rPr>
                <w:rFonts w:cs="Arial"/>
                <w:szCs w:val="22"/>
                <w:lang w:eastAsia="en-AU"/>
              </w:rPr>
            </w:pPr>
            <w:r>
              <w:rPr>
                <w:rFonts w:cs="Arial"/>
                <w:szCs w:val="22"/>
                <w:lang w:eastAsia="en-AU"/>
              </w:rPr>
              <w:t>Bloodstock</w:t>
            </w:r>
            <w:r w:rsidR="00B008B0">
              <w:rPr>
                <w:rFonts w:cs="Arial"/>
                <w:szCs w:val="22"/>
                <w:lang w:eastAsia="en-AU"/>
              </w:rPr>
              <w:t xml:space="preserve"> breeders must have an existing</w:t>
            </w:r>
            <w:r w:rsidR="00482615">
              <w:rPr>
                <w:rFonts w:cs="Arial"/>
                <w:szCs w:val="22"/>
                <w:lang w:eastAsia="en-AU"/>
              </w:rPr>
              <w:t xml:space="preserve"> breeding</w:t>
            </w:r>
            <w:r w:rsidR="00B008B0">
              <w:rPr>
                <w:rFonts w:cs="Arial"/>
                <w:szCs w:val="22"/>
                <w:lang w:eastAsia="en-AU"/>
              </w:rPr>
              <w:t xml:space="preserve"> business to qualify for </w:t>
            </w:r>
            <w:r w:rsidR="00F34B7C">
              <w:rPr>
                <w:rFonts w:cs="Arial"/>
                <w:szCs w:val="22"/>
                <w:lang w:eastAsia="en-AU"/>
              </w:rPr>
              <w:t>deductions</w:t>
            </w:r>
            <w:r w:rsidR="00B008B0">
              <w:rPr>
                <w:rFonts w:cs="Arial"/>
                <w:szCs w:val="22"/>
                <w:lang w:eastAsia="en-AU"/>
              </w:rPr>
              <w:t xml:space="preserve"> on the </w:t>
            </w:r>
            <w:r w:rsidR="000238A5">
              <w:rPr>
                <w:rFonts w:cs="Arial"/>
                <w:szCs w:val="22"/>
                <w:lang w:eastAsia="en-AU"/>
              </w:rPr>
              <w:t>cost</w:t>
            </w:r>
            <w:r w:rsidR="00B008B0">
              <w:rPr>
                <w:rFonts w:cs="Arial"/>
                <w:szCs w:val="22"/>
                <w:lang w:eastAsia="en-AU"/>
              </w:rPr>
              <w:t xml:space="preserve"> of horses</w:t>
            </w:r>
            <w:r w:rsidR="00AB0061">
              <w:rPr>
                <w:rFonts w:cs="Arial"/>
                <w:szCs w:val="22"/>
                <w:lang w:eastAsia="en-AU"/>
              </w:rPr>
              <w:t>.</w:t>
            </w:r>
            <w:r w:rsidR="00E4400C">
              <w:rPr>
                <w:rFonts w:cs="Arial"/>
                <w:szCs w:val="22"/>
                <w:lang w:eastAsia="en-AU"/>
              </w:rPr>
              <w:t xml:space="preserve"> The Government ruled this option out early on.</w:t>
            </w:r>
          </w:p>
          <w:p w:rsidR="00B008B0" w:rsidRDefault="00B008B0" w:rsidP="00125A66">
            <w:pPr>
              <w:spacing w:after="0" w:line="276" w:lineRule="auto"/>
              <w:jc w:val="both"/>
              <w:rPr>
                <w:rFonts w:cs="Arial"/>
                <w:szCs w:val="22"/>
                <w:lang w:eastAsia="en-AU"/>
              </w:rPr>
            </w:pPr>
          </w:p>
          <w:p w:rsidR="00FA628E" w:rsidRPr="00FA628E" w:rsidRDefault="00FA628E" w:rsidP="00125A66">
            <w:pPr>
              <w:spacing w:after="0" w:line="276" w:lineRule="auto"/>
              <w:jc w:val="both"/>
              <w:rPr>
                <w:rFonts w:cs="Arial"/>
                <w:i/>
                <w:szCs w:val="22"/>
                <w:lang w:eastAsia="en-AU"/>
              </w:rPr>
            </w:pPr>
            <w:r>
              <w:rPr>
                <w:rFonts w:cs="Arial"/>
                <w:i/>
                <w:szCs w:val="22"/>
                <w:lang w:eastAsia="en-AU"/>
              </w:rPr>
              <w:t>Option 2</w:t>
            </w:r>
          </w:p>
          <w:p w:rsidR="00FA628E" w:rsidRDefault="00FA628E" w:rsidP="00125A66">
            <w:pPr>
              <w:spacing w:after="0" w:line="276" w:lineRule="auto"/>
              <w:jc w:val="both"/>
              <w:rPr>
                <w:rFonts w:cs="Arial"/>
                <w:szCs w:val="22"/>
                <w:lang w:eastAsia="en-AU"/>
              </w:rPr>
            </w:pPr>
          </w:p>
          <w:p w:rsidR="003D6E6E" w:rsidRDefault="0012325C" w:rsidP="00125A66">
            <w:pPr>
              <w:spacing w:after="0" w:line="276" w:lineRule="auto"/>
              <w:jc w:val="both"/>
              <w:rPr>
                <w:rFonts w:cs="Arial"/>
                <w:szCs w:val="22"/>
                <w:lang w:eastAsia="en-AU"/>
              </w:rPr>
            </w:pPr>
            <w:r>
              <w:rPr>
                <w:rFonts w:cs="Arial"/>
                <w:szCs w:val="22"/>
                <w:lang w:eastAsia="en-AU"/>
              </w:rPr>
              <w:t>Allow</w:t>
            </w:r>
            <w:r w:rsidR="00DC0121">
              <w:rPr>
                <w:rFonts w:cs="Arial"/>
                <w:szCs w:val="22"/>
                <w:lang w:eastAsia="en-AU"/>
              </w:rPr>
              <w:t xml:space="preserve"> pre-breeding</w:t>
            </w:r>
            <w:r w:rsidR="0022570D">
              <w:rPr>
                <w:rFonts w:cs="Arial"/>
                <w:szCs w:val="22"/>
                <w:lang w:eastAsia="en-AU"/>
              </w:rPr>
              <w:t xml:space="preserve"> business</w:t>
            </w:r>
            <w:r w:rsidR="00DC0121">
              <w:rPr>
                <w:rFonts w:cs="Arial"/>
                <w:szCs w:val="22"/>
                <w:lang w:eastAsia="en-AU"/>
              </w:rPr>
              <w:t xml:space="preserve"> costs to be carried forward until a breeding business is established, and then deducted.</w:t>
            </w:r>
            <w:r w:rsidR="002D0354">
              <w:rPr>
                <w:rFonts w:cs="Arial"/>
                <w:szCs w:val="22"/>
                <w:lang w:eastAsia="en-AU"/>
              </w:rPr>
              <w:t xml:space="preserve"> </w:t>
            </w:r>
            <w:r w:rsidR="00A90416">
              <w:rPr>
                <w:rFonts w:cs="Arial"/>
                <w:szCs w:val="22"/>
                <w:lang w:eastAsia="en-AU"/>
              </w:rPr>
              <w:t>It</w:t>
            </w:r>
            <w:r w:rsidR="00676BD8">
              <w:rPr>
                <w:rFonts w:cs="Arial"/>
                <w:szCs w:val="22"/>
                <w:lang w:eastAsia="en-AU"/>
              </w:rPr>
              <w:t xml:space="preserve"> is a tax </w:t>
            </w:r>
            <w:r w:rsidR="001A5026">
              <w:rPr>
                <w:rFonts w:cs="Arial"/>
                <w:szCs w:val="22"/>
                <w:lang w:eastAsia="en-AU"/>
              </w:rPr>
              <w:t>incentive</w:t>
            </w:r>
            <w:r w:rsidR="00676BD8">
              <w:rPr>
                <w:rFonts w:cs="Arial"/>
                <w:szCs w:val="22"/>
                <w:lang w:eastAsia="en-AU"/>
              </w:rPr>
              <w:t xml:space="preserve"> as it allows pre-business expenditure to be deductible if a business eventuates, which departs from the </w:t>
            </w:r>
            <w:r w:rsidR="006068B1">
              <w:rPr>
                <w:rFonts w:cs="Arial"/>
                <w:szCs w:val="22"/>
                <w:lang w:eastAsia="en-AU"/>
              </w:rPr>
              <w:t>general</w:t>
            </w:r>
            <w:r w:rsidR="00676BD8">
              <w:rPr>
                <w:rFonts w:cs="Arial"/>
                <w:szCs w:val="22"/>
                <w:lang w:eastAsia="en-AU"/>
              </w:rPr>
              <w:t xml:space="preserve"> requirement that for costs to be deductible, they must be incurred in the course of carrying on a </w:t>
            </w:r>
            <w:r w:rsidR="0032371F">
              <w:rPr>
                <w:rFonts w:cs="Arial"/>
                <w:szCs w:val="22"/>
                <w:lang w:eastAsia="en-AU"/>
              </w:rPr>
              <w:t xml:space="preserve">current </w:t>
            </w:r>
            <w:r w:rsidR="00676BD8">
              <w:rPr>
                <w:rFonts w:cs="Arial"/>
                <w:szCs w:val="22"/>
                <w:lang w:eastAsia="en-AU"/>
              </w:rPr>
              <w:t>business for the purpose of deriving income.</w:t>
            </w:r>
            <w:r w:rsidR="003D6E6E">
              <w:rPr>
                <w:rFonts w:cs="Arial"/>
                <w:szCs w:val="22"/>
                <w:lang w:eastAsia="en-AU"/>
              </w:rPr>
              <w:t xml:space="preserve"> Therefore, it provides an incentive for new investors to start a breeding business.</w:t>
            </w:r>
          </w:p>
          <w:p w:rsidR="003D6E6E" w:rsidRDefault="003D6E6E" w:rsidP="00125A66">
            <w:pPr>
              <w:spacing w:after="0" w:line="276" w:lineRule="auto"/>
              <w:jc w:val="both"/>
              <w:rPr>
                <w:rFonts w:cs="Arial"/>
                <w:szCs w:val="22"/>
                <w:lang w:eastAsia="en-AU"/>
              </w:rPr>
            </w:pPr>
          </w:p>
          <w:p w:rsidR="006166A7" w:rsidRDefault="002D0354" w:rsidP="00125A66">
            <w:pPr>
              <w:spacing w:after="0" w:line="276" w:lineRule="auto"/>
              <w:jc w:val="both"/>
              <w:rPr>
                <w:rFonts w:cs="Arial"/>
                <w:szCs w:val="22"/>
                <w:lang w:eastAsia="en-AU"/>
              </w:rPr>
            </w:pPr>
            <w:r>
              <w:rPr>
                <w:rFonts w:cs="Arial"/>
                <w:szCs w:val="22"/>
                <w:lang w:eastAsia="en-AU"/>
              </w:rPr>
              <w:t xml:space="preserve">This option is closest to the status quo, as no benefit is </w:t>
            </w:r>
            <w:r w:rsidR="00C36449">
              <w:rPr>
                <w:rFonts w:cs="Arial"/>
                <w:szCs w:val="22"/>
                <w:lang w:eastAsia="en-AU"/>
              </w:rPr>
              <w:t>available</w:t>
            </w:r>
            <w:r>
              <w:rPr>
                <w:rFonts w:cs="Arial"/>
                <w:szCs w:val="22"/>
                <w:lang w:eastAsia="en-AU"/>
              </w:rPr>
              <w:t xml:space="preserve"> until </w:t>
            </w:r>
            <w:r w:rsidR="000055D5">
              <w:rPr>
                <w:rFonts w:cs="Arial"/>
                <w:szCs w:val="22"/>
                <w:lang w:eastAsia="en-AU"/>
              </w:rPr>
              <w:t xml:space="preserve">a breeding business is </w:t>
            </w:r>
            <w:r w:rsidR="006505D6">
              <w:rPr>
                <w:rFonts w:cs="Arial"/>
                <w:szCs w:val="22"/>
                <w:lang w:eastAsia="en-AU"/>
              </w:rPr>
              <w:t xml:space="preserve">actually </w:t>
            </w:r>
            <w:r w:rsidR="0035058A">
              <w:rPr>
                <w:rFonts w:cs="Arial"/>
                <w:szCs w:val="22"/>
                <w:lang w:eastAsia="en-AU"/>
              </w:rPr>
              <w:t>started</w:t>
            </w:r>
            <w:r w:rsidR="000055D5">
              <w:rPr>
                <w:rFonts w:cs="Arial"/>
                <w:szCs w:val="22"/>
                <w:lang w:eastAsia="en-AU"/>
              </w:rPr>
              <w:t xml:space="preserve">. </w:t>
            </w:r>
            <w:r w:rsidR="00355A7D">
              <w:rPr>
                <w:rFonts w:cs="Arial"/>
                <w:szCs w:val="22"/>
                <w:lang w:eastAsia="en-AU"/>
              </w:rPr>
              <w:t xml:space="preserve">Due to the fact that it addresses the problem of the uncertainty of new investors’ intentions, </w:t>
            </w:r>
            <w:r w:rsidR="00762068">
              <w:rPr>
                <w:rFonts w:cs="Arial"/>
                <w:szCs w:val="22"/>
                <w:lang w:eastAsia="en-AU"/>
              </w:rPr>
              <w:t xml:space="preserve">officials preferred this option over </w:t>
            </w:r>
            <w:r w:rsidR="00D75A1C">
              <w:rPr>
                <w:rFonts w:cs="Arial"/>
                <w:szCs w:val="22"/>
                <w:lang w:eastAsia="en-AU"/>
              </w:rPr>
              <w:t>options 3 and 4</w:t>
            </w:r>
            <w:r w:rsidR="00762068">
              <w:rPr>
                <w:rFonts w:cs="Arial"/>
                <w:szCs w:val="22"/>
                <w:lang w:eastAsia="en-AU"/>
              </w:rPr>
              <w:t>.</w:t>
            </w:r>
            <w:r w:rsidR="00F856BC">
              <w:rPr>
                <w:rFonts w:cs="Arial"/>
                <w:szCs w:val="22"/>
                <w:lang w:eastAsia="en-AU"/>
              </w:rPr>
              <w:t xml:space="preserve"> </w:t>
            </w:r>
          </w:p>
          <w:p w:rsidR="00123C21" w:rsidRDefault="00123C21" w:rsidP="00125A66">
            <w:pPr>
              <w:spacing w:after="0" w:line="276" w:lineRule="auto"/>
              <w:jc w:val="both"/>
              <w:rPr>
                <w:rFonts w:cs="Arial"/>
                <w:szCs w:val="22"/>
                <w:lang w:eastAsia="en-AU"/>
              </w:rPr>
            </w:pPr>
          </w:p>
          <w:p w:rsidR="00FA628E" w:rsidRPr="00FA628E" w:rsidRDefault="00FA628E" w:rsidP="0058640C">
            <w:pPr>
              <w:spacing w:after="0" w:line="276" w:lineRule="auto"/>
              <w:jc w:val="both"/>
              <w:rPr>
                <w:rFonts w:cs="Arial"/>
                <w:i/>
                <w:szCs w:val="22"/>
                <w:lang w:eastAsia="en-AU"/>
              </w:rPr>
            </w:pPr>
            <w:r>
              <w:rPr>
                <w:rFonts w:cs="Arial"/>
                <w:i/>
                <w:szCs w:val="22"/>
                <w:lang w:eastAsia="en-AU"/>
              </w:rPr>
              <w:t>Option 3</w:t>
            </w:r>
          </w:p>
          <w:p w:rsidR="00FA628E" w:rsidRDefault="00FA628E" w:rsidP="0058640C">
            <w:pPr>
              <w:spacing w:after="0" w:line="276" w:lineRule="auto"/>
              <w:jc w:val="both"/>
              <w:rPr>
                <w:rFonts w:cs="Arial"/>
                <w:szCs w:val="22"/>
                <w:lang w:eastAsia="en-AU"/>
              </w:rPr>
            </w:pPr>
          </w:p>
          <w:p w:rsidR="006166A7" w:rsidRDefault="0012325C" w:rsidP="0058640C">
            <w:pPr>
              <w:spacing w:after="0" w:line="276" w:lineRule="auto"/>
              <w:jc w:val="both"/>
              <w:rPr>
                <w:rFonts w:cs="Arial"/>
                <w:szCs w:val="22"/>
                <w:lang w:eastAsia="en-AU"/>
              </w:rPr>
            </w:pPr>
            <w:r>
              <w:rPr>
                <w:rFonts w:cs="Arial"/>
                <w:szCs w:val="22"/>
                <w:lang w:eastAsia="en-AU"/>
              </w:rPr>
              <w:t>Allow</w:t>
            </w:r>
            <w:r w:rsidR="0058640C">
              <w:rPr>
                <w:rFonts w:cs="Arial"/>
                <w:szCs w:val="22"/>
                <w:lang w:eastAsia="en-AU"/>
              </w:rPr>
              <w:t xml:space="preserve"> pre-breeding </w:t>
            </w:r>
            <w:r w:rsidR="0098505E">
              <w:rPr>
                <w:rFonts w:cs="Arial"/>
                <w:szCs w:val="22"/>
                <w:lang w:eastAsia="en-AU"/>
              </w:rPr>
              <w:t xml:space="preserve">business </w:t>
            </w:r>
            <w:r w:rsidR="0058640C">
              <w:rPr>
                <w:rFonts w:cs="Arial"/>
                <w:szCs w:val="22"/>
                <w:lang w:eastAsia="en-AU"/>
              </w:rPr>
              <w:t xml:space="preserve">costs to be </w:t>
            </w:r>
            <w:r w:rsidR="00EE28F7">
              <w:rPr>
                <w:rFonts w:cs="Arial"/>
                <w:szCs w:val="22"/>
                <w:lang w:eastAsia="en-AU"/>
              </w:rPr>
              <w:t>deductible</w:t>
            </w:r>
            <w:r w:rsidR="0058640C">
              <w:rPr>
                <w:rFonts w:cs="Arial"/>
                <w:szCs w:val="22"/>
                <w:lang w:eastAsia="en-AU"/>
              </w:rPr>
              <w:t xml:space="preserve"> </w:t>
            </w:r>
            <w:r w:rsidR="00EE28F7">
              <w:rPr>
                <w:rFonts w:cs="Arial"/>
                <w:szCs w:val="22"/>
                <w:lang w:eastAsia="en-AU"/>
              </w:rPr>
              <w:t>when</w:t>
            </w:r>
            <w:r w:rsidR="0058640C">
              <w:rPr>
                <w:rFonts w:cs="Arial"/>
                <w:szCs w:val="22"/>
                <w:lang w:eastAsia="en-AU"/>
              </w:rPr>
              <w:t xml:space="preserve"> </w:t>
            </w:r>
            <w:r w:rsidR="006166A7">
              <w:rPr>
                <w:rFonts w:cs="Arial"/>
                <w:szCs w:val="22"/>
                <w:lang w:eastAsia="en-AU"/>
              </w:rPr>
              <w:t>an intention to breed from a thoroughb</w:t>
            </w:r>
            <w:r w:rsidR="009D685D">
              <w:rPr>
                <w:rFonts w:cs="Arial"/>
                <w:szCs w:val="22"/>
                <w:lang w:eastAsia="en-AU"/>
              </w:rPr>
              <w:t xml:space="preserve">red or standardbred </w:t>
            </w:r>
            <w:r w:rsidR="00D15532">
              <w:rPr>
                <w:rFonts w:cs="Arial"/>
                <w:szCs w:val="22"/>
                <w:lang w:eastAsia="en-AU"/>
              </w:rPr>
              <w:t>horse for profit is claimed.</w:t>
            </w:r>
            <w:r w:rsidR="00786FCC">
              <w:rPr>
                <w:rFonts w:cs="Arial"/>
                <w:szCs w:val="22"/>
                <w:lang w:eastAsia="en-AU"/>
              </w:rPr>
              <w:t xml:space="preserve"> Investors can also claim deductions if they </w:t>
            </w:r>
            <w:r w:rsidR="000969E1">
              <w:rPr>
                <w:rFonts w:cs="Arial"/>
                <w:szCs w:val="22"/>
                <w:lang w:eastAsia="en-AU"/>
              </w:rPr>
              <w:t xml:space="preserve">abandon the </w:t>
            </w:r>
            <w:r w:rsidR="00B30233">
              <w:rPr>
                <w:rFonts w:cs="Arial"/>
                <w:szCs w:val="22"/>
                <w:lang w:eastAsia="en-AU"/>
              </w:rPr>
              <w:t xml:space="preserve">intention to breed the </w:t>
            </w:r>
            <w:r w:rsidR="000969E1">
              <w:rPr>
                <w:rFonts w:cs="Arial"/>
                <w:szCs w:val="22"/>
                <w:lang w:eastAsia="en-AU"/>
              </w:rPr>
              <w:t>horse for profit.</w:t>
            </w:r>
            <w:r w:rsidR="00D036D8">
              <w:rPr>
                <w:rFonts w:cs="Arial"/>
                <w:szCs w:val="22"/>
                <w:lang w:eastAsia="en-AU"/>
              </w:rPr>
              <w:t xml:space="preserve"> </w:t>
            </w:r>
            <w:r w:rsidR="009F481F">
              <w:rPr>
                <w:rFonts w:cs="Arial"/>
                <w:szCs w:val="22"/>
                <w:lang w:eastAsia="en-AU"/>
              </w:rPr>
              <w:t xml:space="preserve">Evidence of an intention to breed for profit in the future would include the pedigree of the horse, contractual arrangements, a detailed business plan, and </w:t>
            </w:r>
            <w:r w:rsidR="00AE4E25">
              <w:rPr>
                <w:rFonts w:cs="Arial"/>
                <w:szCs w:val="22"/>
                <w:lang w:eastAsia="en-AU"/>
              </w:rPr>
              <w:t>a skilled manager/trainer.</w:t>
            </w:r>
            <w:r w:rsidR="008227DA">
              <w:rPr>
                <w:rFonts w:cs="Arial"/>
                <w:szCs w:val="22"/>
                <w:lang w:eastAsia="en-AU"/>
              </w:rPr>
              <w:t xml:space="preserve"> This option departs most substantively from the status quo</w:t>
            </w:r>
            <w:r w:rsidR="001C385F">
              <w:rPr>
                <w:rFonts w:cs="Arial"/>
                <w:szCs w:val="22"/>
                <w:lang w:eastAsia="en-AU"/>
              </w:rPr>
              <w:t>,</w:t>
            </w:r>
            <w:r w:rsidR="00993441">
              <w:rPr>
                <w:rFonts w:cs="Arial"/>
                <w:szCs w:val="22"/>
                <w:lang w:eastAsia="en-AU"/>
              </w:rPr>
              <w:t xml:space="preserve"> as it </w:t>
            </w:r>
            <w:r w:rsidR="00A92CA8">
              <w:rPr>
                <w:rFonts w:cs="Arial"/>
                <w:szCs w:val="22"/>
                <w:lang w:eastAsia="en-AU"/>
              </w:rPr>
              <w:t>relaxes</w:t>
            </w:r>
            <w:r w:rsidR="00993441">
              <w:rPr>
                <w:rFonts w:cs="Arial"/>
                <w:szCs w:val="22"/>
                <w:lang w:eastAsia="en-AU"/>
              </w:rPr>
              <w:t xml:space="preserve"> the requirements of the lon</w:t>
            </w:r>
            <w:r w:rsidR="00CA5845">
              <w:rPr>
                <w:rFonts w:cs="Arial"/>
                <w:szCs w:val="22"/>
                <w:lang w:eastAsia="en-AU"/>
              </w:rPr>
              <w:t>gstanding tax policy concept</w:t>
            </w:r>
            <w:r w:rsidR="005114CD">
              <w:rPr>
                <w:rFonts w:cs="Arial"/>
                <w:szCs w:val="22"/>
                <w:lang w:eastAsia="en-AU"/>
              </w:rPr>
              <w:t xml:space="preserve"> of a</w:t>
            </w:r>
            <w:r w:rsidR="00CA5845">
              <w:rPr>
                <w:rFonts w:cs="Arial"/>
                <w:szCs w:val="22"/>
                <w:lang w:eastAsia="en-AU"/>
              </w:rPr>
              <w:t xml:space="preserve"> </w:t>
            </w:r>
            <w:r w:rsidR="00993441">
              <w:rPr>
                <w:rFonts w:cs="Arial"/>
                <w:szCs w:val="22"/>
                <w:lang w:eastAsia="en-AU"/>
              </w:rPr>
              <w:t>‘business test’,</w:t>
            </w:r>
            <w:r w:rsidR="001C385F">
              <w:rPr>
                <w:rFonts w:cs="Arial"/>
                <w:szCs w:val="22"/>
                <w:lang w:eastAsia="en-AU"/>
              </w:rPr>
              <w:t xml:space="preserve"> and was the industry’s preferred option.</w:t>
            </w:r>
            <w:r w:rsidR="00FF7BA4">
              <w:rPr>
                <w:rFonts w:cs="Arial"/>
                <w:szCs w:val="22"/>
                <w:lang w:eastAsia="en-AU"/>
              </w:rPr>
              <w:t xml:space="preserve"> The looser </w:t>
            </w:r>
            <w:r w:rsidR="00E0157E">
              <w:rPr>
                <w:rFonts w:cs="Arial"/>
                <w:szCs w:val="22"/>
                <w:lang w:eastAsia="en-AU"/>
              </w:rPr>
              <w:t xml:space="preserve">requirements </w:t>
            </w:r>
            <w:r w:rsidR="00D575FC">
              <w:rPr>
                <w:rFonts w:cs="Arial"/>
                <w:szCs w:val="22"/>
                <w:lang w:eastAsia="en-AU"/>
              </w:rPr>
              <w:t xml:space="preserve">provide an incentive for new investors </w:t>
            </w:r>
            <w:r w:rsidR="00D77590">
              <w:rPr>
                <w:rFonts w:cs="Arial"/>
                <w:szCs w:val="22"/>
                <w:lang w:eastAsia="en-AU"/>
              </w:rPr>
              <w:t xml:space="preserve">to buy bloodstock for breeding. </w:t>
            </w:r>
          </w:p>
          <w:p w:rsidR="008B19DA" w:rsidRDefault="008B19DA" w:rsidP="0058640C">
            <w:pPr>
              <w:spacing w:after="0" w:line="276" w:lineRule="auto"/>
              <w:jc w:val="both"/>
              <w:rPr>
                <w:rFonts w:cs="Arial"/>
                <w:szCs w:val="22"/>
                <w:lang w:eastAsia="en-AU"/>
              </w:rPr>
            </w:pPr>
          </w:p>
          <w:p w:rsidR="00C83619" w:rsidRPr="00C83619" w:rsidRDefault="00C83619" w:rsidP="0058640C">
            <w:pPr>
              <w:spacing w:after="0" w:line="276" w:lineRule="auto"/>
              <w:jc w:val="both"/>
              <w:rPr>
                <w:rFonts w:cs="Arial"/>
                <w:i/>
                <w:szCs w:val="22"/>
                <w:lang w:eastAsia="en-AU"/>
              </w:rPr>
            </w:pPr>
            <w:r>
              <w:rPr>
                <w:rFonts w:cs="Arial"/>
                <w:i/>
                <w:szCs w:val="22"/>
                <w:lang w:eastAsia="en-AU"/>
              </w:rPr>
              <w:t>Option 4</w:t>
            </w:r>
          </w:p>
          <w:p w:rsidR="00C83619" w:rsidRDefault="00C83619" w:rsidP="0058640C">
            <w:pPr>
              <w:spacing w:after="0" w:line="276" w:lineRule="auto"/>
              <w:jc w:val="both"/>
              <w:rPr>
                <w:rFonts w:cs="Arial"/>
                <w:szCs w:val="22"/>
                <w:lang w:eastAsia="en-AU"/>
              </w:rPr>
            </w:pPr>
          </w:p>
          <w:p w:rsidR="008B19DA" w:rsidRDefault="0012325C" w:rsidP="0058640C">
            <w:pPr>
              <w:spacing w:after="0" w:line="276" w:lineRule="auto"/>
              <w:jc w:val="both"/>
              <w:rPr>
                <w:rFonts w:cs="Arial"/>
                <w:szCs w:val="22"/>
                <w:lang w:eastAsia="en-AU"/>
              </w:rPr>
            </w:pPr>
            <w:r>
              <w:rPr>
                <w:rFonts w:cs="Arial"/>
                <w:szCs w:val="22"/>
                <w:lang w:eastAsia="en-AU"/>
              </w:rPr>
              <w:t>Similar</w:t>
            </w:r>
            <w:r w:rsidR="00FC7891">
              <w:rPr>
                <w:rFonts w:cs="Arial"/>
                <w:szCs w:val="22"/>
                <w:lang w:eastAsia="en-AU"/>
              </w:rPr>
              <w:t xml:space="preserve"> to </w:t>
            </w:r>
            <w:r w:rsidR="00AF5455">
              <w:rPr>
                <w:rFonts w:cs="Arial"/>
                <w:szCs w:val="22"/>
                <w:lang w:eastAsia="en-AU"/>
              </w:rPr>
              <w:t>option 3</w:t>
            </w:r>
            <w:r w:rsidR="004A1BBE">
              <w:rPr>
                <w:rFonts w:cs="Arial"/>
                <w:szCs w:val="22"/>
                <w:lang w:eastAsia="en-AU"/>
              </w:rPr>
              <w:t xml:space="preserve">, but </w:t>
            </w:r>
            <w:r>
              <w:rPr>
                <w:rFonts w:cs="Arial"/>
                <w:szCs w:val="22"/>
                <w:lang w:eastAsia="en-AU"/>
              </w:rPr>
              <w:t>limit</w:t>
            </w:r>
            <w:r w:rsidR="00E33D2C">
              <w:rPr>
                <w:rFonts w:cs="Arial"/>
                <w:szCs w:val="22"/>
                <w:lang w:eastAsia="en-AU"/>
              </w:rPr>
              <w:t xml:space="preserve"> eligibility for deductions to </w:t>
            </w:r>
            <w:r w:rsidR="00F440FB">
              <w:rPr>
                <w:rFonts w:cs="Arial"/>
                <w:szCs w:val="22"/>
                <w:lang w:eastAsia="en-AU"/>
              </w:rPr>
              <w:t>standout</w:t>
            </w:r>
            <w:r w:rsidR="00E33D2C">
              <w:rPr>
                <w:rFonts w:cs="Arial"/>
                <w:szCs w:val="22"/>
                <w:lang w:eastAsia="en-AU"/>
              </w:rPr>
              <w:t xml:space="preserve"> </w:t>
            </w:r>
            <w:r w:rsidR="00452C8C">
              <w:rPr>
                <w:rFonts w:cs="Arial"/>
                <w:szCs w:val="22"/>
                <w:lang w:eastAsia="en-AU"/>
              </w:rPr>
              <w:t>yearlings</w:t>
            </w:r>
            <w:r w:rsidR="00E33D2C">
              <w:rPr>
                <w:rFonts w:cs="Arial"/>
                <w:szCs w:val="22"/>
                <w:lang w:eastAsia="en-AU"/>
              </w:rPr>
              <w:t xml:space="preserve"> </w:t>
            </w:r>
            <w:r w:rsidR="002F3DDC">
              <w:rPr>
                <w:rFonts w:cs="Arial"/>
                <w:szCs w:val="22"/>
                <w:lang w:eastAsia="en-AU"/>
              </w:rPr>
              <w:t xml:space="preserve">that command a price above a </w:t>
            </w:r>
            <w:r w:rsidR="00AC5320">
              <w:rPr>
                <w:rFonts w:cs="Arial"/>
                <w:szCs w:val="22"/>
                <w:lang w:eastAsia="en-AU"/>
              </w:rPr>
              <w:t xml:space="preserve">bright-line threshold </w:t>
            </w:r>
            <w:r w:rsidR="003615D5">
              <w:rPr>
                <w:rFonts w:cs="Arial"/>
                <w:szCs w:val="22"/>
                <w:lang w:eastAsia="en-AU"/>
              </w:rPr>
              <w:t>determined by previous sales results and published ahead of</w:t>
            </w:r>
            <w:r w:rsidR="008B297B">
              <w:rPr>
                <w:rFonts w:cs="Arial"/>
                <w:szCs w:val="22"/>
                <w:lang w:eastAsia="en-AU"/>
              </w:rPr>
              <w:t xml:space="preserve"> the</w:t>
            </w:r>
            <w:r w:rsidR="003615D5">
              <w:rPr>
                <w:rFonts w:cs="Arial"/>
                <w:szCs w:val="22"/>
                <w:lang w:eastAsia="en-AU"/>
              </w:rPr>
              <w:t xml:space="preserve"> next year’s sales </w:t>
            </w:r>
            <w:r w:rsidR="00AC5320">
              <w:rPr>
                <w:rFonts w:cs="Arial"/>
                <w:szCs w:val="22"/>
                <w:lang w:eastAsia="en-AU"/>
              </w:rPr>
              <w:t>by Inland Revenue.</w:t>
            </w:r>
            <w:r w:rsidR="00764471">
              <w:rPr>
                <w:rFonts w:cs="Arial"/>
                <w:szCs w:val="22"/>
                <w:lang w:eastAsia="en-AU"/>
              </w:rPr>
              <w:t xml:space="preserve"> This restricts the </w:t>
            </w:r>
            <w:r w:rsidR="00E86284">
              <w:rPr>
                <w:rFonts w:cs="Arial"/>
                <w:szCs w:val="22"/>
                <w:lang w:eastAsia="en-AU"/>
              </w:rPr>
              <w:t>incentive</w:t>
            </w:r>
            <w:r w:rsidR="00764471">
              <w:rPr>
                <w:rFonts w:cs="Arial"/>
                <w:szCs w:val="22"/>
                <w:lang w:eastAsia="en-AU"/>
              </w:rPr>
              <w:t xml:space="preserve"> to horses that</w:t>
            </w:r>
            <w:r w:rsidR="00E16AC7">
              <w:rPr>
                <w:rFonts w:cs="Arial"/>
                <w:szCs w:val="22"/>
                <w:lang w:eastAsia="en-AU"/>
              </w:rPr>
              <w:t xml:space="preserve">, </w:t>
            </w:r>
            <w:r w:rsidR="0087361D">
              <w:rPr>
                <w:rFonts w:cs="Arial"/>
                <w:szCs w:val="22"/>
                <w:lang w:eastAsia="en-AU"/>
              </w:rPr>
              <w:t>as yearlings,</w:t>
            </w:r>
            <w:r w:rsidR="00C22F47">
              <w:rPr>
                <w:rFonts w:cs="Arial"/>
                <w:szCs w:val="22"/>
                <w:lang w:eastAsia="en-AU"/>
              </w:rPr>
              <w:t xml:space="preserve"> </w:t>
            </w:r>
            <w:r w:rsidR="00764471">
              <w:rPr>
                <w:rFonts w:cs="Arial"/>
                <w:szCs w:val="22"/>
                <w:lang w:eastAsia="en-AU"/>
              </w:rPr>
              <w:t xml:space="preserve">are </w:t>
            </w:r>
            <w:r w:rsidR="00D21083">
              <w:rPr>
                <w:rFonts w:cs="Arial"/>
                <w:szCs w:val="22"/>
                <w:lang w:eastAsia="en-AU"/>
              </w:rPr>
              <w:t xml:space="preserve">indicated by the market to be </w:t>
            </w:r>
            <w:r w:rsidR="00764471">
              <w:rPr>
                <w:rFonts w:cs="Arial"/>
                <w:szCs w:val="22"/>
                <w:lang w:eastAsia="en-AU"/>
              </w:rPr>
              <w:t>most likely</w:t>
            </w:r>
            <w:r w:rsidR="00782836">
              <w:rPr>
                <w:rFonts w:cs="Arial"/>
                <w:szCs w:val="22"/>
                <w:lang w:eastAsia="en-AU"/>
              </w:rPr>
              <w:t xml:space="preserve"> to be genuine </w:t>
            </w:r>
            <w:r w:rsidR="003615D5">
              <w:rPr>
                <w:rFonts w:cs="Arial"/>
                <w:szCs w:val="22"/>
                <w:lang w:eastAsia="en-AU"/>
              </w:rPr>
              <w:t xml:space="preserve">commercial </w:t>
            </w:r>
            <w:r w:rsidR="00782836">
              <w:rPr>
                <w:rFonts w:cs="Arial"/>
                <w:szCs w:val="22"/>
                <w:lang w:eastAsia="en-AU"/>
              </w:rPr>
              <w:t>breeding prospects</w:t>
            </w:r>
            <w:r w:rsidR="002A5D3E">
              <w:rPr>
                <w:rFonts w:cs="Arial"/>
                <w:szCs w:val="22"/>
                <w:lang w:eastAsia="en-AU"/>
              </w:rPr>
              <w:t xml:space="preserve">, </w:t>
            </w:r>
            <w:r w:rsidR="00F45B9A">
              <w:rPr>
                <w:rFonts w:cs="Arial"/>
                <w:szCs w:val="22"/>
                <w:lang w:eastAsia="en-AU"/>
              </w:rPr>
              <w:t>and thus</w:t>
            </w:r>
            <w:r w:rsidR="006F2DD7">
              <w:rPr>
                <w:rFonts w:cs="Arial"/>
                <w:szCs w:val="22"/>
                <w:lang w:eastAsia="en-AU"/>
              </w:rPr>
              <w:t xml:space="preserve"> </w:t>
            </w:r>
            <w:r w:rsidR="00F35957">
              <w:rPr>
                <w:rFonts w:cs="Arial"/>
                <w:szCs w:val="22"/>
                <w:lang w:eastAsia="en-AU"/>
              </w:rPr>
              <w:t>m</w:t>
            </w:r>
            <w:r w:rsidR="00F45B9A">
              <w:rPr>
                <w:rFonts w:cs="Arial"/>
                <w:szCs w:val="22"/>
                <w:lang w:eastAsia="en-AU"/>
              </w:rPr>
              <w:t>itigates</w:t>
            </w:r>
            <w:r w:rsidR="002A5D3E">
              <w:rPr>
                <w:rFonts w:cs="Arial"/>
                <w:szCs w:val="22"/>
                <w:lang w:eastAsia="en-AU"/>
              </w:rPr>
              <w:t xml:space="preserve"> the </w:t>
            </w:r>
            <w:r w:rsidR="003615D5">
              <w:rPr>
                <w:rFonts w:cs="Arial"/>
                <w:szCs w:val="22"/>
                <w:lang w:eastAsia="en-AU"/>
              </w:rPr>
              <w:t xml:space="preserve">negative </w:t>
            </w:r>
            <w:r w:rsidR="002A5D3E">
              <w:rPr>
                <w:rFonts w:cs="Arial"/>
                <w:szCs w:val="22"/>
                <w:lang w:eastAsia="en-AU"/>
              </w:rPr>
              <w:t>impact on Crown revenue.</w:t>
            </w:r>
            <w:r w:rsidR="008260AD">
              <w:rPr>
                <w:rFonts w:cs="Arial"/>
                <w:szCs w:val="22"/>
                <w:lang w:eastAsia="en-AU"/>
              </w:rPr>
              <w:t xml:space="preserve"> </w:t>
            </w:r>
            <w:r w:rsidR="00D81E3B">
              <w:rPr>
                <w:rFonts w:cs="Arial"/>
                <w:szCs w:val="22"/>
                <w:lang w:eastAsia="en-AU"/>
              </w:rPr>
              <w:t>It</w:t>
            </w:r>
            <w:r w:rsidR="004E5C65">
              <w:rPr>
                <w:rFonts w:cs="Arial"/>
                <w:szCs w:val="22"/>
                <w:lang w:eastAsia="en-AU"/>
              </w:rPr>
              <w:t xml:space="preserve"> </w:t>
            </w:r>
            <w:r w:rsidR="008260AD">
              <w:rPr>
                <w:rFonts w:cs="Arial"/>
                <w:szCs w:val="22"/>
                <w:lang w:eastAsia="en-AU"/>
              </w:rPr>
              <w:t xml:space="preserve">provides an incentive for new investors to </w:t>
            </w:r>
            <w:r w:rsidR="00FD770D">
              <w:rPr>
                <w:rFonts w:cs="Arial"/>
                <w:szCs w:val="22"/>
                <w:lang w:eastAsia="en-AU"/>
              </w:rPr>
              <w:t>start a breeding business</w:t>
            </w:r>
            <w:r w:rsidR="00A05065">
              <w:rPr>
                <w:rFonts w:cs="Arial"/>
                <w:szCs w:val="22"/>
                <w:lang w:eastAsia="en-AU"/>
              </w:rPr>
              <w:t xml:space="preserve"> while taking steps to</w:t>
            </w:r>
            <w:r w:rsidR="0035614A">
              <w:rPr>
                <w:rFonts w:cs="Arial"/>
                <w:szCs w:val="22"/>
                <w:lang w:eastAsia="en-AU"/>
              </w:rPr>
              <w:t xml:space="preserve"> manage the </w:t>
            </w:r>
            <w:r w:rsidR="007374D4">
              <w:rPr>
                <w:rFonts w:cs="Arial"/>
                <w:szCs w:val="22"/>
                <w:lang w:eastAsia="en-AU"/>
              </w:rPr>
              <w:t>fiscal</w:t>
            </w:r>
            <w:r w:rsidR="0035614A">
              <w:rPr>
                <w:rFonts w:cs="Arial"/>
                <w:szCs w:val="22"/>
                <w:lang w:eastAsia="en-AU"/>
              </w:rPr>
              <w:t xml:space="preserve"> risk. </w:t>
            </w:r>
            <w:r w:rsidR="004D00DC">
              <w:rPr>
                <w:rFonts w:cs="Arial"/>
                <w:szCs w:val="22"/>
                <w:lang w:eastAsia="en-AU"/>
              </w:rPr>
              <w:t>However, it has the same negative</w:t>
            </w:r>
            <w:r w:rsidR="00681818">
              <w:rPr>
                <w:rFonts w:cs="Arial"/>
                <w:szCs w:val="22"/>
                <w:lang w:eastAsia="en-AU"/>
              </w:rPr>
              <w:t xml:space="preserve"> precedential effect as option 3</w:t>
            </w:r>
            <w:r w:rsidR="00DE1C0E">
              <w:rPr>
                <w:rFonts w:cs="Arial"/>
                <w:szCs w:val="22"/>
                <w:lang w:eastAsia="en-AU"/>
              </w:rPr>
              <w:t xml:space="preserve">. </w:t>
            </w:r>
          </w:p>
          <w:p w:rsidR="00355D88" w:rsidRDefault="00355D88" w:rsidP="0058640C">
            <w:pPr>
              <w:spacing w:after="0" w:line="276" w:lineRule="auto"/>
              <w:jc w:val="both"/>
              <w:rPr>
                <w:rFonts w:cs="Arial"/>
                <w:szCs w:val="22"/>
                <w:lang w:eastAsia="en-AU"/>
              </w:rPr>
            </w:pPr>
          </w:p>
          <w:p w:rsidR="00B30233" w:rsidRPr="00B5625B" w:rsidRDefault="00B30233" w:rsidP="00355D88">
            <w:pPr>
              <w:spacing w:after="0" w:line="276" w:lineRule="auto"/>
              <w:jc w:val="both"/>
              <w:rPr>
                <w:rFonts w:cs="Arial"/>
                <w:b/>
                <w:i/>
                <w:szCs w:val="22"/>
                <w:lang w:eastAsia="en-AU"/>
              </w:rPr>
            </w:pPr>
            <w:r w:rsidRPr="00B5625B">
              <w:rPr>
                <w:rFonts w:cs="Arial"/>
                <w:b/>
                <w:i/>
                <w:szCs w:val="22"/>
                <w:lang w:eastAsia="en-AU"/>
              </w:rPr>
              <w:t>Horses acquired at Australian sales</w:t>
            </w:r>
          </w:p>
          <w:p w:rsidR="00B30233" w:rsidRDefault="00B30233" w:rsidP="00355D88">
            <w:pPr>
              <w:spacing w:after="0" w:line="276" w:lineRule="auto"/>
              <w:jc w:val="both"/>
              <w:rPr>
                <w:rFonts w:cs="Arial"/>
                <w:szCs w:val="22"/>
                <w:lang w:eastAsia="en-AU"/>
              </w:rPr>
            </w:pPr>
          </w:p>
          <w:p w:rsidR="00355D88" w:rsidRDefault="00B30233" w:rsidP="00355D88">
            <w:pPr>
              <w:spacing w:after="0" w:line="276" w:lineRule="auto"/>
              <w:jc w:val="both"/>
              <w:rPr>
                <w:rFonts w:cs="Arial"/>
                <w:szCs w:val="22"/>
                <w:lang w:eastAsia="en-AU"/>
              </w:rPr>
            </w:pPr>
            <w:r>
              <w:rPr>
                <w:rFonts w:cs="Arial"/>
                <w:szCs w:val="22"/>
                <w:lang w:eastAsia="en-AU"/>
              </w:rPr>
              <w:t>The</w:t>
            </w:r>
            <w:r w:rsidR="00355D88">
              <w:rPr>
                <w:rFonts w:cs="Arial"/>
                <w:szCs w:val="22"/>
                <w:lang w:eastAsia="en-AU"/>
              </w:rPr>
              <w:t xml:space="preserve"> Government is currently considering whether to include yearlings bought at Australian sales in the proposed policy. The industry has stated that allowing Australian yearlings in</w:t>
            </w:r>
            <w:r w:rsidR="00907045">
              <w:rPr>
                <w:rFonts w:cs="Arial"/>
                <w:szCs w:val="22"/>
                <w:lang w:eastAsia="en-AU"/>
              </w:rPr>
              <w:t>to the policy</w:t>
            </w:r>
            <w:r w:rsidR="00355D88">
              <w:rPr>
                <w:rFonts w:cs="Arial"/>
                <w:szCs w:val="22"/>
                <w:lang w:eastAsia="en-AU"/>
              </w:rPr>
              <w:t xml:space="preserve"> would further help to improve New Zealand bloodli</w:t>
            </w:r>
            <w:r w:rsidR="00192C42">
              <w:rPr>
                <w:rFonts w:cs="Arial"/>
                <w:szCs w:val="22"/>
                <w:lang w:eastAsia="en-AU"/>
              </w:rPr>
              <w:t>nes, and has requested that these</w:t>
            </w:r>
            <w:r w:rsidR="00355D88">
              <w:rPr>
                <w:rFonts w:cs="Arial"/>
                <w:szCs w:val="22"/>
                <w:lang w:eastAsia="en-AU"/>
              </w:rPr>
              <w:t xml:space="preserve"> sales</w:t>
            </w:r>
            <w:r w:rsidR="00192C42">
              <w:rPr>
                <w:rFonts w:cs="Arial"/>
                <w:szCs w:val="22"/>
                <w:lang w:eastAsia="en-AU"/>
              </w:rPr>
              <w:t xml:space="preserve"> be included</w:t>
            </w:r>
            <w:r w:rsidR="00355D88">
              <w:rPr>
                <w:rFonts w:cs="Arial"/>
                <w:szCs w:val="22"/>
                <w:lang w:eastAsia="en-AU"/>
              </w:rPr>
              <w:t>.</w:t>
            </w:r>
          </w:p>
          <w:p w:rsidR="00355D88" w:rsidRDefault="00355D88" w:rsidP="00355D88">
            <w:pPr>
              <w:spacing w:after="0" w:line="276" w:lineRule="auto"/>
              <w:jc w:val="both"/>
              <w:rPr>
                <w:rFonts w:cs="Arial"/>
                <w:szCs w:val="22"/>
                <w:lang w:eastAsia="en-AU"/>
              </w:rPr>
            </w:pPr>
          </w:p>
          <w:p w:rsidR="0035244C" w:rsidRPr="00A75C98" w:rsidRDefault="00355D88" w:rsidP="00A75C98">
            <w:pPr>
              <w:spacing w:after="0" w:line="276" w:lineRule="auto"/>
              <w:jc w:val="both"/>
              <w:rPr>
                <w:rFonts w:cs="Arial"/>
                <w:szCs w:val="22"/>
                <w:lang w:eastAsia="en-AU"/>
              </w:rPr>
            </w:pPr>
            <w:r>
              <w:rPr>
                <w:rFonts w:cs="Arial"/>
                <w:szCs w:val="22"/>
                <w:lang w:eastAsia="en-AU"/>
              </w:rPr>
              <w:t xml:space="preserve">There is a risk that including Australian sales will increase the fiscal cost, particularly given that Australian yearlings are more expensive than New Zealand yearlings overall, and </w:t>
            </w:r>
            <w:r w:rsidR="00585BDF">
              <w:rPr>
                <w:rFonts w:cs="Arial"/>
                <w:szCs w:val="22"/>
                <w:lang w:eastAsia="en-AU"/>
              </w:rPr>
              <w:t xml:space="preserve">each year more than a couple of standout yearlings may be acquired by new investors at the Australian sales.  </w:t>
            </w:r>
            <w:r w:rsidR="00B572D3">
              <w:rPr>
                <w:rFonts w:cs="Arial"/>
                <w:szCs w:val="22"/>
                <w:lang w:eastAsia="en-AU"/>
              </w:rPr>
              <w:t>The</w:t>
            </w:r>
            <w:r>
              <w:rPr>
                <w:rFonts w:cs="Arial"/>
                <w:szCs w:val="22"/>
                <w:lang w:eastAsia="en-AU"/>
              </w:rPr>
              <w:t xml:space="preserve"> industry has argued that there would not be demand for more than a few such Australian yearlings, and that there is therefore room for these horses within the proposed policy.</w:t>
            </w:r>
            <w:r w:rsidR="006E5051">
              <w:rPr>
                <w:rFonts w:cs="Arial"/>
                <w:szCs w:val="22"/>
                <w:lang w:eastAsia="en-AU"/>
              </w:rPr>
              <w:t xml:space="preserve"> </w:t>
            </w:r>
            <w:r w:rsidR="00854912">
              <w:rPr>
                <w:rFonts w:cs="Arial"/>
                <w:szCs w:val="22"/>
                <w:lang w:eastAsia="en-AU"/>
              </w:rPr>
              <w:t xml:space="preserve">We assume that including Australian horses in options </w:t>
            </w:r>
            <w:r w:rsidR="00681818">
              <w:rPr>
                <w:rFonts w:cs="Arial"/>
                <w:szCs w:val="22"/>
                <w:lang w:eastAsia="en-AU"/>
              </w:rPr>
              <w:t>2 or 3</w:t>
            </w:r>
            <w:r w:rsidR="00854912">
              <w:rPr>
                <w:rFonts w:cs="Arial"/>
                <w:szCs w:val="22"/>
                <w:lang w:eastAsia="en-AU"/>
              </w:rPr>
              <w:t xml:space="preserve"> </w:t>
            </w:r>
            <w:r w:rsidR="008A052B">
              <w:rPr>
                <w:rFonts w:cs="Arial"/>
                <w:szCs w:val="22"/>
                <w:lang w:eastAsia="en-AU"/>
              </w:rPr>
              <w:t>could</w:t>
            </w:r>
            <w:r w:rsidR="00854912">
              <w:rPr>
                <w:rFonts w:cs="Arial"/>
                <w:szCs w:val="22"/>
                <w:lang w:eastAsia="en-AU"/>
              </w:rPr>
              <w:t xml:space="preserve"> also </w:t>
            </w:r>
            <w:r w:rsidR="00D253C3">
              <w:rPr>
                <w:rFonts w:cs="Arial"/>
                <w:szCs w:val="22"/>
                <w:lang w:eastAsia="en-AU"/>
              </w:rPr>
              <w:t>increase fiscal cost</w:t>
            </w:r>
            <w:r w:rsidR="008A052B">
              <w:rPr>
                <w:rFonts w:cs="Arial"/>
                <w:szCs w:val="22"/>
                <w:lang w:eastAsia="en-AU"/>
              </w:rPr>
              <w:t>.</w:t>
            </w:r>
            <w:r w:rsidR="00D253C3">
              <w:rPr>
                <w:rFonts w:cs="Arial"/>
                <w:szCs w:val="22"/>
                <w:lang w:eastAsia="en-AU"/>
              </w:rPr>
              <w:t xml:space="preserve"> </w:t>
            </w:r>
          </w:p>
        </w:tc>
      </w:tr>
    </w:tbl>
    <w:p w:rsidR="0062657E" w:rsidRPr="009C4129" w:rsidRDefault="0062657E" w:rsidP="00C17661">
      <w:pPr>
        <w:pStyle w:val="spac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286"/>
      </w:tblGrid>
      <w:tr w:rsidR="009C4129" w:rsidRPr="009C4129" w:rsidTr="00384E9B">
        <w:trPr>
          <w:trHeight w:val="510"/>
        </w:trPr>
        <w:tc>
          <w:tcPr>
            <w:tcW w:w="5000" w:type="pct"/>
            <w:shd w:val="clear" w:color="auto" w:fill="99CDDD"/>
          </w:tcPr>
          <w:p w:rsidR="0062657E" w:rsidRPr="009C4129" w:rsidRDefault="0062657E" w:rsidP="00DF2E7B">
            <w:pPr>
              <w:spacing w:before="60" w:after="60" w:line="240" w:lineRule="auto"/>
              <w:rPr>
                <w:rFonts w:cs="Arial"/>
                <w:b/>
                <w:szCs w:val="22"/>
                <w:lang w:eastAsia="en-AU"/>
              </w:rPr>
            </w:pPr>
            <w:r w:rsidRPr="009C4129">
              <w:rPr>
                <w:rFonts w:cs="Arial"/>
                <w:b/>
                <w:szCs w:val="22"/>
                <w:lang w:eastAsia="en-AU"/>
              </w:rPr>
              <w:t>3.2 What criteria, in addition to monetary costs and benefits, have been used to assess the likely impacts of the options under consideration?</w:t>
            </w:r>
          </w:p>
        </w:tc>
      </w:tr>
      <w:tr w:rsidR="009C4129" w:rsidRPr="009C4129" w:rsidTr="00384E9B">
        <w:trPr>
          <w:trHeight w:val="2096"/>
        </w:trPr>
        <w:tc>
          <w:tcPr>
            <w:tcW w:w="5000" w:type="pct"/>
            <w:shd w:val="clear" w:color="auto" w:fill="FFFFFF"/>
          </w:tcPr>
          <w:p w:rsidR="0062657E" w:rsidRDefault="0062657E" w:rsidP="009C4129">
            <w:pPr>
              <w:spacing w:after="0" w:line="276" w:lineRule="auto"/>
              <w:jc w:val="both"/>
              <w:rPr>
                <w:rFonts w:cs="Arial"/>
                <w:szCs w:val="22"/>
                <w:lang w:eastAsia="en-AU"/>
              </w:rPr>
            </w:pPr>
          </w:p>
          <w:p w:rsidR="008631CA" w:rsidRPr="009C4129" w:rsidRDefault="003477FC" w:rsidP="009C4129">
            <w:pPr>
              <w:spacing w:after="0" w:line="276" w:lineRule="auto"/>
              <w:jc w:val="both"/>
              <w:rPr>
                <w:rFonts w:cs="Arial"/>
                <w:szCs w:val="22"/>
                <w:lang w:eastAsia="en-AU"/>
              </w:rPr>
            </w:pPr>
            <w:r>
              <w:rPr>
                <w:rFonts w:cs="Arial"/>
                <w:szCs w:val="22"/>
                <w:lang w:eastAsia="en-AU"/>
              </w:rPr>
              <w:t xml:space="preserve">The main objective is to incentivise new bloodstock investors </w:t>
            </w:r>
            <w:r w:rsidR="000D32BC">
              <w:rPr>
                <w:rFonts w:cs="Arial"/>
                <w:szCs w:val="22"/>
                <w:lang w:eastAsia="en-AU"/>
              </w:rPr>
              <w:t xml:space="preserve">to </w:t>
            </w:r>
            <w:r w:rsidR="003940F0">
              <w:rPr>
                <w:rFonts w:cs="Arial"/>
                <w:szCs w:val="22"/>
                <w:lang w:eastAsia="en-AU"/>
              </w:rPr>
              <w:t xml:space="preserve">start </w:t>
            </w:r>
            <w:r w:rsidR="000D32BC">
              <w:rPr>
                <w:rFonts w:cs="Arial"/>
                <w:szCs w:val="22"/>
                <w:lang w:eastAsia="en-AU"/>
              </w:rPr>
              <w:t>a</w:t>
            </w:r>
            <w:r>
              <w:rPr>
                <w:rFonts w:cs="Arial"/>
                <w:szCs w:val="22"/>
                <w:lang w:eastAsia="en-AU"/>
              </w:rPr>
              <w:t xml:space="preserve"> breeding </w:t>
            </w:r>
            <w:r w:rsidR="00C71867">
              <w:rPr>
                <w:rFonts w:cs="Arial"/>
                <w:szCs w:val="22"/>
                <w:lang w:eastAsia="en-AU"/>
              </w:rPr>
              <w:t xml:space="preserve">business, in order to </w:t>
            </w:r>
            <w:r w:rsidR="00155AF9">
              <w:rPr>
                <w:rFonts w:cs="Arial"/>
                <w:szCs w:val="22"/>
                <w:lang w:eastAsia="en-AU"/>
              </w:rPr>
              <w:t>promote</w:t>
            </w:r>
            <w:r w:rsidR="00BE66FD">
              <w:rPr>
                <w:rFonts w:cs="Arial"/>
                <w:szCs w:val="22"/>
                <w:lang w:eastAsia="en-AU"/>
              </w:rPr>
              <w:t xml:space="preserve"> investment in the New Zealand racing industry</w:t>
            </w:r>
            <w:r w:rsidR="00C71867">
              <w:rPr>
                <w:rFonts w:cs="Arial"/>
                <w:szCs w:val="22"/>
                <w:lang w:eastAsia="en-AU"/>
              </w:rPr>
              <w:t xml:space="preserve"> and enhance the quality of bloodstock.</w:t>
            </w:r>
            <w:r w:rsidR="00DC04F9">
              <w:rPr>
                <w:rFonts w:cs="Arial"/>
                <w:szCs w:val="22"/>
                <w:lang w:eastAsia="en-AU"/>
              </w:rPr>
              <w:t xml:space="preserve"> This has been measured against the following criteria:</w:t>
            </w:r>
          </w:p>
          <w:p w:rsidR="008631CA" w:rsidRDefault="008631CA" w:rsidP="001750A0">
            <w:pPr>
              <w:spacing w:after="0" w:line="276" w:lineRule="auto"/>
              <w:jc w:val="both"/>
              <w:rPr>
                <w:rFonts w:cs="Arial"/>
                <w:i/>
                <w:szCs w:val="22"/>
                <w:lang w:eastAsia="en-AU"/>
              </w:rPr>
            </w:pPr>
          </w:p>
          <w:p w:rsidR="00290928" w:rsidRPr="004D5C14" w:rsidRDefault="00290928" w:rsidP="00290928">
            <w:pPr>
              <w:spacing w:after="0" w:line="276" w:lineRule="auto"/>
              <w:jc w:val="both"/>
              <w:rPr>
                <w:rFonts w:cs="Arial"/>
                <w:b/>
                <w:szCs w:val="22"/>
                <w:lang w:eastAsia="en-AU"/>
              </w:rPr>
            </w:pPr>
            <w:r>
              <w:rPr>
                <w:rFonts w:cs="Arial"/>
                <w:b/>
                <w:szCs w:val="22"/>
                <w:lang w:eastAsia="en-AU"/>
              </w:rPr>
              <w:t xml:space="preserve">Effectiveness: </w:t>
            </w:r>
            <w:r>
              <w:rPr>
                <w:rFonts w:cs="Arial"/>
                <w:szCs w:val="22"/>
                <w:lang w:eastAsia="en-AU"/>
              </w:rPr>
              <w:t>The option should</w:t>
            </w:r>
            <w:r>
              <w:rPr>
                <w:rFonts w:cs="Arial"/>
                <w:b/>
                <w:szCs w:val="22"/>
                <w:lang w:eastAsia="en-AU"/>
              </w:rPr>
              <w:t xml:space="preserve"> </w:t>
            </w:r>
            <w:r w:rsidR="006B3211">
              <w:rPr>
                <w:rFonts w:cs="Arial"/>
                <w:szCs w:val="22"/>
                <w:lang w:eastAsia="en-AU"/>
              </w:rPr>
              <w:t>encourage</w:t>
            </w:r>
            <w:r w:rsidR="00FB78B3">
              <w:rPr>
                <w:rFonts w:cs="Arial"/>
                <w:szCs w:val="22"/>
                <w:lang w:eastAsia="en-AU"/>
              </w:rPr>
              <w:t xml:space="preserve"> in</w:t>
            </w:r>
            <w:r w:rsidR="00643B27">
              <w:rPr>
                <w:rFonts w:cs="Arial"/>
                <w:szCs w:val="22"/>
                <w:lang w:eastAsia="en-AU"/>
              </w:rPr>
              <w:t>vestment in</w:t>
            </w:r>
            <w:r w:rsidR="006B3211">
              <w:rPr>
                <w:rFonts w:cs="Arial"/>
                <w:szCs w:val="22"/>
                <w:lang w:eastAsia="en-AU"/>
              </w:rPr>
              <w:t xml:space="preserve"> the racing industry</w:t>
            </w:r>
            <w:r w:rsidR="00D63053">
              <w:rPr>
                <w:rFonts w:cs="Arial"/>
                <w:szCs w:val="22"/>
                <w:lang w:eastAsia="en-AU"/>
              </w:rPr>
              <w:t xml:space="preserve"> by stimulating breeding</w:t>
            </w:r>
            <w:r w:rsidR="006B3211">
              <w:rPr>
                <w:rFonts w:cs="Arial"/>
                <w:szCs w:val="22"/>
                <w:lang w:eastAsia="en-AU"/>
              </w:rPr>
              <w:t xml:space="preserve"> and improve</w:t>
            </w:r>
            <w:r w:rsidR="00643B27">
              <w:rPr>
                <w:rFonts w:cs="Arial"/>
                <w:szCs w:val="22"/>
                <w:lang w:eastAsia="en-AU"/>
              </w:rPr>
              <w:t xml:space="preserve"> the quality of New Zealand bloodstock.</w:t>
            </w:r>
            <w:r w:rsidR="00FB78B3">
              <w:rPr>
                <w:rFonts w:cs="Arial"/>
                <w:szCs w:val="22"/>
                <w:lang w:eastAsia="en-AU"/>
              </w:rPr>
              <w:t xml:space="preserve"> </w:t>
            </w:r>
          </w:p>
          <w:p w:rsidR="00290928" w:rsidRDefault="00290928" w:rsidP="00397574">
            <w:pPr>
              <w:spacing w:after="0" w:line="276" w:lineRule="auto"/>
              <w:jc w:val="both"/>
              <w:rPr>
                <w:rFonts w:cs="Arial"/>
                <w:b/>
                <w:szCs w:val="22"/>
                <w:lang w:eastAsia="en-AU"/>
              </w:rPr>
            </w:pPr>
          </w:p>
          <w:p w:rsidR="001972E2" w:rsidRDefault="001972E2" w:rsidP="00397574">
            <w:pPr>
              <w:spacing w:after="0" w:line="276" w:lineRule="auto"/>
              <w:jc w:val="both"/>
              <w:rPr>
                <w:rFonts w:cs="Arial"/>
                <w:szCs w:val="22"/>
                <w:lang w:eastAsia="en-AU"/>
              </w:rPr>
            </w:pPr>
            <w:r w:rsidRPr="00D74BBB">
              <w:rPr>
                <w:rFonts w:cs="Arial"/>
                <w:b/>
                <w:szCs w:val="22"/>
                <w:lang w:eastAsia="en-AU"/>
              </w:rPr>
              <w:t>Efficiency</w:t>
            </w:r>
            <w:r w:rsidR="00D74BBB">
              <w:rPr>
                <w:rFonts w:cs="Arial"/>
                <w:b/>
                <w:szCs w:val="22"/>
                <w:lang w:eastAsia="en-AU"/>
              </w:rPr>
              <w:t xml:space="preserve">: </w:t>
            </w:r>
            <w:r w:rsidR="00FD2D8E">
              <w:rPr>
                <w:rFonts w:cs="Arial"/>
                <w:szCs w:val="22"/>
                <w:lang w:eastAsia="en-AU"/>
              </w:rPr>
              <w:t xml:space="preserve">The </w:t>
            </w:r>
            <w:r w:rsidR="005C0A5B">
              <w:rPr>
                <w:rFonts w:cs="Arial"/>
                <w:szCs w:val="22"/>
                <w:lang w:eastAsia="en-AU"/>
              </w:rPr>
              <w:t>option</w:t>
            </w:r>
            <w:r w:rsidR="00FD2D8E">
              <w:rPr>
                <w:rFonts w:cs="Arial"/>
                <w:szCs w:val="22"/>
                <w:lang w:eastAsia="en-AU"/>
              </w:rPr>
              <w:t xml:space="preserve"> should </w:t>
            </w:r>
            <w:r w:rsidR="00D71947">
              <w:rPr>
                <w:rFonts w:cs="Arial"/>
                <w:szCs w:val="22"/>
                <w:lang w:eastAsia="en-AU"/>
              </w:rPr>
              <w:t>target</w:t>
            </w:r>
            <w:r w:rsidR="009B4FF8">
              <w:rPr>
                <w:rFonts w:cs="Arial"/>
                <w:szCs w:val="22"/>
                <w:lang w:eastAsia="en-AU"/>
              </w:rPr>
              <w:t xml:space="preserve"> </w:t>
            </w:r>
            <w:r w:rsidR="00F34349">
              <w:rPr>
                <w:rFonts w:cs="Arial"/>
                <w:szCs w:val="22"/>
                <w:lang w:eastAsia="en-AU"/>
              </w:rPr>
              <w:t xml:space="preserve">the best breeding prospects to the greatest extent possible. </w:t>
            </w:r>
          </w:p>
          <w:p w:rsidR="004D5C14" w:rsidRDefault="004D5C14" w:rsidP="00397574">
            <w:pPr>
              <w:spacing w:after="0" w:line="276" w:lineRule="auto"/>
              <w:jc w:val="both"/>
              <w:rPr>
                <w:rFonts w:cs="Arial"/>
                <w:szCs w:val="22"/>
                <w:lang w:eastAsia="en-AU"/>
              </w:rPr>
            </w:pPr>
          </w:p>
          <w:p w:rsidR="009E0072" w:rsidRDefault="00E67721" w:rsidP="00397574">
            <w:pPr>
              <w:spacing w:after="0" w:line="276" w:lineRule="auto"/>
              <w:jc w:val="both"/>
              <w:rPr>
                <w:rFonts w:cs="Arial"/>
                <w:szCs w:val="22"/>
                <w:lang w:eastAsia="en-AU"/>
              </w:rPr>
            </w:pPr>
            <w:r w:rsidRPr="00ED2372">
              <w:rPr>
                <w:rFonts w:cs="Arial"/>
                <w:b/>
                <w:szCs w:val="22"/>
                <w:lang w:eastAsia="en-AU"/>
              </w:rPr>
              <w:t>Administration &amp; compliance costs</w:t>
            </w:r>
            <w:r w:rsidR="00ED2372">
              <w:rPr>
                <w:rFonts w:cs="Arial"/>
                <w:b/>
                <w:szCs w:val="22"/>
                <w:lang w:eastAsia="en-AU"/>
              </w:rPr>
              <w:t xml:space="preserve">: </w:t>
            </w:r>
            <w:r w:rsidR="002B1B6F">
              <w:rPr>
                <w:rFonts w:cs="Arial"/>
                <w:szCs w:val="22"/>
                <w:lang w:eastAsia="en-AU"/>
              </w:rPr>
              <w:t>The option</w:t>
            </w:r>
            <w:r w:rsidR="00397AA9">
              <w:rPr>
                <w:rFonts w:cs="Arial"/>
                <w:szCs w:val="22"/>
                <w:lang w:eastAsia="en-AU"/>
              </w:rPr>
              <w:t xml:space="preserve"> should </w:t>
            </w:r>
            <w:r w:rsidR="00014270">
              <w:rPr>
                <w:rFonts w:cs="Arial"/>
                <w:szCs w:val="22"/>
                <w:lang w:eastAsia="en-AU"/>
              </w:rPr>
              <w:t xml:space="preserve">minimise </w:t>
            </w:r>
            <w:r w:rsidR="00920EC5">
              <w:rPr>
                <w:rFonts w:cs="Arial"/>
                <w:szCs w:val="22"/>
                <w:lang w:eastAsia="en-AU"/>
              </w:rPr>
              <w:t xml:space="preserve">administrative and compliance </w:t>
            </w:r>
            <w:r w:rsidR="00E85C2E">
              <w:rPr>
                <w:rFonts w:cs="Arial"/>
                <w:szCs w:val="22"/>
                <w:lang w:eastAsia="en-AU"/>
              </w:rPr>
              <w:t>costs</w:t>
            </w:r>
            <w:r w:rsidR="001C5A99">
              <w:rPr>
                <w:rFonts w:cs="Arial"/>
                <w:szCs w:val="22"/>
                <w:lang w:eastAsia="en-AU"/>
              </w:rPr>
              <w:t xml:space="preserve"> as </w:t>
            </w:r>
            <w:r w:rsidR="00605D17">
              <w:rPr>
                <w:rFonts w:cs="Arial"/>
                <w:szCs w:val="22"/>
                <w:lang w:eastAsia="en-AU"/>
              </w:rPr>
              <w:t>much as possible.</w:t>
            </w:r>
          </w:p>
          <w:p w:rsidR="00605D17" w:rsidRDefault="00605D17" w:rsidP="00397574">
            <w:pPr>
              <w:spacing w:after="0" w:line="276" w:lineRule="auto"/>
              <w:jc w:val="both"/>
              <w:rPr>
                <w:rFonts w:cs="Arial"/>
                <w:szCs w:val="22"/>
                <w:lang w:eastAsia="en-AU"/>
              </w:rPr>
            </w:pPr>
          </w:p>
          <w:p w:rsidR="00112C72" w:rsidRPr="00ED2372" w:rsidRDefault="009E0072" w:rsidP="00397574">
            <w:pPr>
              <w:spacing w:after="0" w:line="276" w:lineRule="auto"/>
              <w:jc w:val="both"/>
              <w:rPr>
                <w:rFonts w:cs="Arial"/>
                <w:b/>
                <w:szCs w:val="22"/>
                <w:lang w:eastAsia="en-AU"/>
              </w:rPr>
            </w:pPr>
            <w:r w:rsidRPr="00ED2372">
              <w:rPr>
                <w:rFonts w:cs="Arial"/>
                <w:b/>
                <w:szCs w:val="22"/>
                <w:lang w:eastAsia="en-AU"/>
              </w:rPr>
              <w:t>Sustainability</w:t>
            </w:r>
            <w:r w:rsidR="00ED2372">
              <w:rPr>
                <w:rFonts w:cs="Arial"/>
                <w:b/>
                <w:szCs w:val="22"/>
                <w:lang w:eastAsia="en-AU"/>
              </w:rPr>
              <w:t xml:space="preserve">: </w:t>
            </w:r>
            <w:r w:rsidR="00477DDA">
              <w:rPr>
                <w:rFonts w:cs="Arial"/>
                <w:szCs w:val="22"/>
                <w:lang w:eastAsia="en-AU"/>
              </w:rPr>
              <w:t>T</w:t>
            </w:r>
            <w:r w:rsidR="00477DDA" w:rsidRPr="00477DDA">
              <w:rPr>
                <w:rFonts w:cs="Arial"/>
                <w:szCs w:val="22"/>
                <w:lang w:eastAsia="en-AU"/>
              </w:rPr>
              <w:t xml:space="preserve">he </w:t>
            </w:r>
            <w:r w:rsidR="00477DDA">
              <w:rPr>
                <w:rFonts w:cs="Arial"/>
                <w:szCs w:val="22"/>
                <w:lang w:eastAsia="en-AU"/>
              </w:rPr>
              <w:t>changes</w:t>
            </w:r>
            <w:r w:rsidR="00477DDA" w:rsidRPr="00477DDA">
              <w:rPr>
                <w:rFonts w:cs="Arial"/>
                <w:szCs w:val="22"/>
                <w:lang w:eastAsia="en-AU"/>
              </w:rPr>
              <w:t xml:space="preserve"> should </w:t>
            </w:r>
            <w:r w:rsidR="00AE1B89">
              <w:rPr>
                <w:rFonts w:cs="Arial"/>
                <w:szCs w:val="22"/>
                <w:lang w:eastAsia="en-AU"/>
              </w:rPr>
              <w:t>minimise negative precedential effect</w:t>
            </w:r>
            <w:r w:rsidR="00D41B93">
              <w:rPr>
                <w:rFonts w:cs="Arial"/>
                <w:szCs w:val="22"/>
                <w:lang w:eastAsia="en-AU"/>
              </w:rPr>
              <w:t xml:space="preserve">, and </w:t>
            </w:r>
            <w:r w:rsidR="00CD4CF3">
              <w:rPr>
                <w:rFonts w:cs="Arial"/>
                <w:szCs w:val="22"/>
                <w:lang w:eastAsia="en-AU"/>
              </w:rPr>
              <w:t>s</w:t>
            </w:r>
            <w:r w:rsidR="00CE59C8">
              <w:rPr>
                <w:rFonts w:cs="Arial"/>
                <w:szCs w:val="22"/>
                <w:lang w:eastAsia="en-AU"/>
              </w:rPr>
              <w:t xml:space="preserve">hould fit </w:t>
            </w:r>
            <w:r w:rsidR="00AD1991">
              <w:rPr>
                <w:rFonts w:cs="Arial"/>
                <w:szCs w:val="22"/>
                <w:lang w:eastAsia="en-AU"/>
              </w:rPr>
              <w:t>within the allocated fiscal envelope.</w:t>
            </w:r>
          </w:p>
          <w:p w:rsidR="00112C72" w:rsidRDefault="00112C72" w:rsidP="00397574">
            <w:pPr>
              <w:spacing w:after="0" w:line="276" w:lineRule="auto"/>
              <w:jc w:val="both"/>
              <w:rPr>
                <w:rFonts w:cs="Arial"/>
                <w:szCs w:val="22"/>
                <w:lang w:eastAsia="en-AU"/>
              </w:rPr>
            </w:pPr>
          </w:p>
          <w:p w:rsidR="00C86673" w:rsidRDefault="00112C72" w:rsidP="00397574">
            <w:pPr>
              <w:spacing w:after="0" w:line="276" w:lineRule="auto"/>
              <w:jc w:val="both"/>
              <w:rPr>
                <w:rFonts w:cs="Arial"/>
                <w:szCs w:val="22"/>
                <w:lang w:eastAsia="en-AU"/>
              </w:rPr>
            </w:pPr>
            <w:r>
              <w:rPr>
                <w:rFonts w:cs="Arial"/>
                <w:szCs w:val="22"/>
                <w:lang w:eastAsia="en-AU"/>
              </w:rPr>
              <w:t>Efficiency</w:t>
            </w:r>
            <w:r w:rsidR="001F025A">
              <w:rPr>
                <w:rFonts w:cs="Arial"/>
                <w:szCs w:val="22"/>
                <w:lang w:eastAsia="en-AU"/>
              </w:rPr>
              <w:t xml:space="preserve"> and effectiveness</w:t>
            </w:r>
            <w:r>
              <w:rPr>
                <w:rFonts w:cs="Arial"/>
                <w:szCs w:val="22"/>
                <w:lang w:eastAsia="en-AU"/>
              </w:rPr>
              <w:t xml:space="preserve"> </w:t>
            </w:r>
            <w:r w:rsidR="001F025A">
              <w:rPr>
                <w:rFonts w:cs="Arial"/>
                <w:szCs w:val="22"/>
                <w:lang w:eastAsia="en-AU"/>
              </w:rPr>
              <w:t>are</w:t>
            </w:r>
            <w:r w:rsidR="00011C3C">
              <w:rPr>
                <w:rFonts w:cs="Arial"/>
                <w:szCs w:val="22"/>
                <w:lang w:eastAsia="en-AU"/>
              </w:rPr>
              <w:t xml:space="preserve"> the most important criteria</w:t>
            </w:r>
            <w:r w:rsidR="00B86E4A">
              <w:rPr>
                <w:rFonts w:cs="Arial"/>
                <w:szCs w:val="22"/>
                <w:lang w:eastAsia="en-AU"/>
              </w:rPr>
              <w:t>;</w:t>
            </w:r>
            <w:r w:rsidR="00A21158">
              <w:rPr>
                <w:rFonts w:cs="Arial"/>
                <w:szCs w:val="22"/>
                <w:lang w:eastAsia="en-AU"/>
              </w:rPr>
              <w:t xml:space="preserve"> targeting genuine breeding prospects is </w:t>
            </w:r>
            <w:r w:rsidR="003D12C5">
              <w:rPr>
                <w:rFonts w:cs="Arial"/>
                <w:szCs w:val="22"/>
                <w:lang w:eastAsia="en-AU"/>
              </w:rPr>
              <w:t>important</w:t>
            </w:r>
            <w:r w:rsidR="007130DC">
              <w:rPr>
                <w:rFonts w:cs="Arial"/>
                <w:szCs w:val="22"/>
                <w:lang w:eastAsia="en-AU"/>
              </w:rPr>
              <w:t xml:space="preserve"> for the </w:t>
            </w:r>
            <w:r w:rsidR="003550FA">
              <w:rPr>
                <w:rFonts w:cs="Arial"/>
                <w:szCs w:val="22"/>
                <w:lang w:eastAsia="en-AU"/>
              </w:rPr>
              <w:t>policy to have a p</w:t>
            </w:r>
            <w:r w:rsidR="00704E1F">
              <w:rPr>
                <w:rFonts w:cs="Arial"/>
                <w:szCs w:val="22"/>
                <w:lang w:eastAsia="en-AU"/>
              </w:rPr>
              <w:t>ositive effect</w:t>
            </w:r>
            <w:r w:rsidR="001F025A">
              <w:rPr>
                <w:rFonts w:cs="Arial"/>
                <w:szCs w:val="22"/>
                <w:lang w:eastAsia="en-AU"/>
              </w:rPr>
              <w:t xml:space="preserve"> on the</w:t>
            </w:r>
            <w:r w:rsidR="00F50B30">
              <w:rPr>
                <w:rFonts w:cs="Arial"/>
                <w:szCs w:val="22"/>
                <w:lang w:eastAsia="en-AU"/>
              </w:rPr>
              <w:t xml:space="preserve"> racing</w:t>
            </w:r>
            <w:r w:rsidR="001F025A">
              <w:rPr>
                <w:rFonts w:cs="Arial"/>
                <w:szCs w:val="22"/>
                <w:lang w:eastAsia="en-AU"/>
              </w:rPr>
              <w:t xml:space="preserve"> industry</w:t>
            </w:r>
            <w:r w:rsidR="007F2ECF">
              <w:rPr>
                <w:rFonts w:cs="Arial"/>
                <w:szCs w:val="22"/>
                <w:lang w:eastAsia="en-AU"/>
              </w:rPr>
              <w:t>.</w:t>
            </w:r>
            <w:r w:rsidR="00111436">
              <w:rPr>
                <w:rFonts w:cs="Arial"/>
                <w:szCs w:val="22"/>
                <w:lang w:eastAsia="en-AU"/>
              </w:rPr>
              <w:t xml:space="preserve"> We assume that price paid for a yearling may be a good proxy for a yearling that is more likely to be a commercial breeding prospect. </w:t>
            </w:r>
            <w:r w:rsidR="000E51DB">
              <w:rPr>
                <w:rFonts w:cs="Arial"/>
                <w:szCs w:val="22"/>
                <w:lang w:eastAsia="en-AU"/>
              </w:rPr>
              <w:t>As</w:t>
            </w:r>
            <w:r w:rsidR="00111436">
              <w:rPr>
                <w:rFonts w:cs="Arial"/>
                <w:szCs w:val="22"/>
                <w:lang w:eastAsia="en-AU"/>
              </w:rPr>
              <w:t xml:space="preserve"> this is not certain,</w:t>
            </w:r>
            <w:r w:rsidR="00EC4399">
              <w:rPr>
                <w:rFonts w:cs="Arial"/>
                <w:szCs w:val="22"/>
                <w:lang w:eastAsia="en-AU"/>
              </w:rPr>
              <w:t xml:space="preserve"> however,</w:t>
            </w:r>
            <w:r w:rsidR="00111436">
              <w:rPr>
                <w:rFonts w:cs="Arial"/>
                <w:szCs w:val="22"/>
                <w:lang w:eastAsia="en-AU"/>
              </w:rPr>
              <w:t xml:space="preserve"> </w:t>
            </w:r>
            <w:r w:rsidR="002C78FB">
              <w:rPr>
                <w:rFonts w:cs="Arial"/>
                <w:szCs w:val="22"/>
                <w:lang w:eastAsia="en-AU"/>
              </w:rPr>
              <w:t xml:space="preserve">it is difficult to assert that the </w:t>
            </w:r>
            <w:r w:rsidR="005A6CEB">
              <w:rPr>
                <w:rFonts w:cs="Arial"/>
                <w:szCs w:val="22"/>
                <w:lang w:eastAsia="en-AU"/>
              </w:rPr>
              <w:t>chosen</w:t>
            </w:r>
            <w:r w:rsidR="002C78FB">
              <w:rPr>
                <w:rFonts w:cs="Arial"/>
                <w:szCs w:val="22"/>
                <w:lang w:eastAsia="en-AU"/>
              </w:rPr>
              <w:t xml:space="preserve"> option </w:t>
            </w:r>
            <w:r w:rsidR="005D4B90">
              <w:rPr>
                <w:rFonts w:cs="Arial"/>
                <w:szCs w:val="22"/>
                <w:lang w:eastAsia="en-AU"/>
              </w:rPr>
              <w:t>will be</w:t>
            </w:r>
            <w:r w:rsidR="002C78FB">
              <w:rPr>
                <w:rFonts w:cs="Arial"/>
                <w:szCs w:val="22"/>
                <w:lang w:eastAsia="en-AU"/>
              </w:rPr>
              <w:t xml:space="preserve"> </w:t>
            </w:r>
            <w:r w:rsidR="00B527AE">
              <w:rPr>
                <w:rFonts w:cs="Arial"/>
                <w:szCs w:val="22"/>
                <w:lang w:eastAsia="en-AU"/>
              </w:rPr>
              <w:t>objectively effective</w:t>
            </w:r>
            <w:r w:rsidR="002166C4">
              <w:rPr>
                <w:rFonts w:cs="Arial"/>
                <w:szCs w:val="22"/>
                <w:lang w:eastAsia="en-AU"/>
              </w:rPr>
              <w:t>, even if</w:t>
            </w:r>
            <w:r w:rsidR="00C86673">
              <w:rPr>
                <w:rFonts w:cs="Arial"/>
                <w:szCs w:val="22"/>
                <w:lang w:eastAsia="en-AU"/>
              </w:rPr>
              <w:t xml:space="preserve"> purchase price is the </w:t>
            </w:r>
            <w:r w:rsidR="00784C8B">
              <w:rPr>
                <w:rFonts w:cs="Arial"/>
                <w:szCs w:val="22"/>
                <w:lang w:eastAsia="en-AU"/>
              </w:rPr>
              <w:t>most logical</w:t>
            </w:r>
            <w:r w:rsidR="00C86673">
              <w:rPr>
                <w:rFonts w:cs="Arial"/>
                <w:szCs w:val="22"/>
                <w:lang w:eastAsia="en-AU"/>
              </w:rPr>
              <w:t xml:space="preserve"> metric available.</w:t>
            </w:r>
          </w:p>
          <w:p w:rsidR="00C86673" w:rsidRDefault="00704E1F" w:rsidP="00397574">
            <w:pPr>
              <w:spacing w:after="0" w:line="276" w:lineRule="auto"/>
              <w:jc w:val="both"/>
              <w:rPr>
                <w:rFonts w:cs="Arial"/>
                <w:szCs w:val="22"/>
                <w:lang w:eastAsia="en-AU"/>
              </w:rPr>
            </w:pPr>
            <w:r>
              <w:rPr>
                <w:rFonts w:cs="Arial"/>
                <w:szCs w:val="22"/>
                <w:lang w:eastAsia="en-AU"/>
              </w:rPr>
              <w:t xml:space="preserve"> </w:t>
            </w:r>
          </w:p>
          <w:p w:rsidR="009E0072" w:rsidRDefault="00D0308D" w:rsidP="00397574">
            <w:pPr>
              <w:spacing w:after="0" w:line="276" w:lineRule="auto"/>
              <w:jc w:val="both"/>
              <w:rPr>
                <w:rFonts w:cs="Arial"/>
                <w:szCs w:val="22"/>
                <w:lang w:eastAsia="en-AU"/>
              </w:rPr>
            </w:pPr>
            <w:r>
              <w:rPr>
                <w:rFonts w:cs="Arial"/>
                <w:szCs w:val="22"/>
                <w:lang w:eastAsia="en-AU"/>
              </w:rPr>
              <w:t>Administration and compliance costs</w:t>
            </w:r>
            <w:r w:rsidR="009971C2">
              <w:rPr>
                <w:rFonts w:cs="Arial"/>
                <w:szCs w:val="22"/>
                <w:lang w:eastAsia="en-AU"/>
              </w:rPr>
              <w:t xml:space="preserve"> (least important)</w:t>
            </w:r>
            <w:r>
              <w:rPr>
                <w:rFonts w:cs="Arial"/>
                <w:szCs w:val="22"/>
                <w:lang w:eastAsia="en-AU"/>
              </w:rPr>
              <w:t xml:space="preserve"> </w:t>
            </w:r>
            <w:r w:rsidR="00586018">
              <w:rPr>
                <w:rFonts w:cs="Arial"/>
                <w:szCs w:val="22"/>
                <w:lang w:eastAsia="en-AU"/>
              </w:rPr>
              <w:t xml:space="preserve">must also be taken into consideration, </w:t>
            </w:r>
            <w:r w:rsidR="00E0037E">
              <w:rPr>
                <w:rFonts w:cs="Arial"/>
                <w:szCs w:val="22"/>
                <w:lang w:eastAsia="en-AU"/>
              </w:rPr>
              <w:t>a</w:t>
            </w:r>
            <w:r w:rsidR="001B793B">
              <w:rPr>
                <w:rFonts w:cs="Arial"/>
                <w:szCs w:val="22"/>
                <w:lang w:eastAsia="en-AU"/>
              </w:rPr>
              <w:t xml:space="preserve">nd sustainability will be </w:t>
            </w:r>
            <w:r w:rsidR="00C33036">
              <w:rPr>
                <w:rFonts w:cs="Arial"/>
                <w:szCs w:val="22"/>
                <w:lang w:eastAsia="en-AU"/>
              </w:rPr>
              <w:t>traded off</w:t>
            </w:r>
            <w:r w:rsidR="005955A6">
              <w:rPr>
                <w:rFonts w:cs="Arial"/>
                <w:szCs w:val="22"/>
                <w:lang w:eastAsia="en-AU"/>
              </w:rPr>
              <w:t xml:space="preserve"> agains</w:t>
            </w:r>
            <w:r w:rsidR="00B5446F">
              <w:rPr>
                <w:rFonts w:cs="Arial"/>
                <w:szCs w:val="22"/>
                <w:lang w:eastAsia="en-AU"/>
              </w:rPr>
              <w:t>t efficiency and effectiveness</w:t>
            </w:r>
            <w:r w:rsidR="009F25FE">
              <w:rPr>
                <w:rFonts w:cs="Arial"/>
                <w:szCs w:val="22"/>
                <w:lang w:eastAsia="en-AU"/>
              </w:rPr>
              <w:t xml:space="preserve">, since all of the options involve overriding the </w:t>
            </w:r>
            <w:r w:rsidR="0054458D">
              <w:rPr>
                <w:rFonts w:cs="Arial"/>
                <w:szCs w:val="22"/>
                <w:lang w:eastAsia="en-AU"/>
              </w:rPr>
              <w:t xml:space="preserve">traditional ‘business test’ </w:t>
            </w:r>
            <w:r w:rsidR="00500C6B">
              <w:rPr>
                <w:rFonts w:cs="Arial"/>
                <w:szCs w:val="22"/>
                <w:lang w:eastAsia="en-AU"/>
              </w:rPr>
              <w:t>for the racing sector</w:t>
            </w:r>
            <w:r w:rsidR="00E20260">
              <w:rPr>
                <w:rFonts w:cs="Arial"/>
                <w:szCs w:val="22"/>
                <w:lang w:eastAsia="en-AU"/>
              </w:rPr>
              <w:t>, which</w:t>
            </w:r>
            <w:r w:rsidR="004E171C">
              <w:rPr>
                <w:rFonts w:cs="Arial"/>
                <w:szCs w:val="22"/>
                <w:lang w:eastAsia="en-AU"/>
              </w:rPr>
              <w:t xml:space="preserve"> inevitably</w:t>
            </w:r>
            <w:r w:rsidR="00E20260">
              <w:rPr>
                <w:rFonts w:cs="Arial"/>
                <w:szCs w:val="22"/>
                <w:lang w:eastAsia="en-AU"/>
              </w:rPr>
              <w:t xml:space="preserve"> </w:t>
            </w:r>
            <w:r w:rsidR="00801929">
              <w:rPr>
                <w:rFonts w:cs="Arial"/>
                <w:szCs w:val="22"/>
                <w:lang w:eastAsia="en-AU"/>
              </w:rPr>
              <w:t xml:space="preserve">sets </w:t>
            </w:r>
            <w:r w:rsidR="00757C91">
              <w:rPr>
                <w:rFonts w:cs="Arial"/>
                <w:szCs w:val="22"/>
                <w:lang w:eastAsia="en-AU"/>
              </w:rPr>
              <w:t xml:space="preserve">negative precedent. </w:t>
            </w:r>
          </w:p>
          <w:p w:rsidR="00A13E89" w:rsidRDefault="00A13E89" w:rsidP="00397574">
            <w:pPr>
              <w:spacing w:after="0" w:line="276" w:lineRule="auto"/>
              <w:jc w:val="both"/>
              <w:rPr>
                <w:rFonts w:cs="Arial"/>
                <w:szCs w:val="22"/>
                <w:lang w:eastAsia="en-AU"/>
              </w:rPr>
            </w:pPr>
          </w:p>
          <w:p w:rsidR="00A13E89" w:rsidRPr="00A13E89" w:rsidRDefault="00A13E89" w:rsidP="00397574">
            <w:pPr>
              <w:spacing w:after="0" w:line="276" w:lineRule="auto"/>
              <w:jc w:val="both"/>
              <w:rPr>
                <w:rFonts w:cs="Arial"/>
                <w:i/>
                <w:szCs w:val="22"/>
                <w:lang w:eastAsia="en-AU"/>
              </w:rPr>
            </w:pPr>
          </w:p>
        </w:tc>
      </w:tr>
    </w:tbl>
    <w:p w:rsidR="0062657E" w:rsidRPr="009C4129" w:rsidRDefault="0062657E" w:rsidP="00C17661">
      <w:pPr>
        <w:pStyle w:val="spac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9C4129" w:rsidRPr="009C4129" w:rsidTr="004A11FC">
        <w:trPr>
          <w:trHeight w:val="124"/>
        </w:trPr>
        <w:tc>
          <w:tcPr>
            <w:tcW w:w="5000" w:type="pct"/>
            <w:shd w:val="clear" w:color="auto" w:fill="99CDDD"/>
          </w:tcPr>
          <w:p w:rsidR="0062657E" w:rsidRPr="009C4129" w:rsidRDefault="0062657E" w:rsidP="00DF2E7B">
            <w:pPr>
              <w:spacing w:before="60" w:after="60" w:line="240" w:lineRule="auto"/>
              <w:rPr>
                <w:rFonts w:cs="Arial"/>
                <w:b/>
                <w:szCs w:val="22"/>
                <w:lang w:eastAsia="en-AU"/>
              </w:rPr>
            </w:pPr>
            <w:r w:rsidRPr="009C4129">
              <w:rPr>
                <w:rFonts w:cs="Arial"/>
                <w:b/>
                <w:szCs w:val="22"/>
                <w:lang w:eastAsia="en-AU"/>
              </w:rPr>
              <w:lastRenderedPageBreak/>
              <w:t>3.3   What other</w:t>
            </w:r>
            <w:r w:rsidRPr="004A11FC">
              <w:rPr>
                <w:rFonts w:cs="Arial"/>
                <w:b/>
                <w:szCs w:val="22"/>
                <w:lang w:eastAsia="en-AU"/>
              </w:rPr>
              <w:t xml:space="preserve"> </w:t>
            </w:r>
            <w:r w:rsidRPr="009C4129">
              <w:rPr>
                <w:rFonts w:cs="Arial"/>
                <w:b/>
                <w:szCs w:val="22"/>
                <w:lang w:eastAsia="en-AU"/>
              </w:rPr>
              <w:t>options have been ruled out of scope, or not considered, and why?</w:t>
            </w:r>
          </w:p>
        </w:tc>
      </w:tr>
      <w:tr w:rsidR="009C4129" w:rsidRPr="009C4129" w:rsidTr="00EC5E10">
        <w:trPr>
          <w:trHeight w:val="2012"/>
        </w:trPr>
        <w:tc>
          <w:tcPr>
            <w:tcW w:w="5000" w:type="pct"/>
            <w:shd w:val="clear" w:color="auto" w:fill="FFFFFF"/>
          </w:tcPr>
          <w:p w:rsidR="0062657E" w:rsidRPr="009C4129" w:rsidRDefault="0062657E" w:rsidP="009C4129">
            <w:pPr>
              <w:spacing w:after="0" w:line="276" w:lineRule="auto"/>
              <w:jc w:val="both"/>
              <w:rPr>
                <w:rFonts w:cs="Arial"/>
                <w:szCs w:val="22"/>
                <w:lang w:eastAsia="en-AU"/>
              </w:rPr>
            </w:pPr>
          </w:p>
          <w:p w:rsidR="0062657E" w:rsidRDefault="002F7EE5" w:rsidP="00A314DA">
            <w:pPr>
              <w:spacing w:after="0" w:line="276" w:lineRule="auto"/>
              <w:jc w:val="both"/>
              <w:rPr>
                <w:rFonts w:cs="Arial"/>
                <w:szCs w:val="22"/>
                <w:lang w:eastAsia="en-AU"/>
              </w:rPr>
            </w:pPr>
            <w:r>
              <w:rPr>
                <w:rFonts w:cs="Arial"/>
                <w:szCs w:val="22"/>
                <w:lang w:eastAsia="en-AU"/>
              </w:rPr>
              <w:t>The option to st</w:t>
            </w:r>
            <w:r w:rsidR="00A314DA">
              <w:rPr>
                <w:rFonts w:cs="Arial"/>
                <w:szCs w:val="22"/>
                <w:lang w:eastAsia="en-AU"/>
              </w:rPr>
              <w:t>ay</w:t>
            </w:r>
            <w:r>
              <w:rPr>
                <w:rFonts w:cs="Arial"/>
                <w:szCs w:val="22"/>
                <w:lang w:eastAsia="en-AU"/>
              </w:rPr>
              <w:t xml:space="preserve"> with the status quo</w:t>
            </w:r>
            <w:r w:rsidR="00A3637B">
              <w:rPr>
                <w:rFonts w:cs="Arial"/>
                <w:szCs w:val="22"/>
                <w:lang w:eastAsia="en-AU"/>
              </w:rPr>
              <w:t xml:space="preserve"> has been ruled out by Ministers</w:t>
            </w:r>
            <w:r w:rsidR="00FA0595">
              <w:rPr>
                <w:rFonts w:cs="Arial"/>
                <w:szCs w:val="22"/>
                <w:lang w:eastAsia="en-AU"/>
              </w:rPr>
              <w:t>,</w:t>
            </w:r>
            <w:r w:rsidR="00F6305F">
              <w:rPr>
                <w:rFonts w:cs="Arial"/>
                <w:szCs w:val="22"/>
                <w:lang w:eastAsia="en-AU"/>
              </w:rPr>
              <w:t xml:space="preserve"> as have direct grants.</w:t>
            </w:r>
            <w:r w:rsidR="00FA0595">
              <w:rPr>
                <w:rFonts w:cs="Arial"/>
                <w:szCs w:val="22"/>
                <w:lang w:eastAsia="en-AU"/>
              </w:rPr>
              <w:t xml:space="preserve"> </w:t>
            </w:r>
            <w:r w:rsidR="00F6305F">
              <w:rPr>
                <w:rFonts w:cs="Arial"/>
                <w:szCs w:val="22"/>
                <w:lang w:eastAsia="en-AU"/>
              </w:rPr>
              <w:t>The</w:t>
            </w:r>
            <w:r w:rsidR="00B8360C">
              <w:rPr>
                <w:rFonts w:cs="Arial"/>
                <w:szCs w:val="22"/>
                <w:lang w:eastAsia="en-AU"/>
              </w:rPr>
              <w:t xml:space="preserve"> Coalition A</w:t>
            </w:r>
            <w:r w:rsidR="00FA0595">
              <w:rPr>
                <w:rFonts w:cs="Arial"/>
                <w:szCs w:val="22"/>
                <w:lang w:eastAsia="en-AU"/>
              </w:rPr>
              <w:t xml:space="preserve">greement </w:t>
            </w:r>
            <w:r w:rsidR="00A80392">
              <w:rPr>
                <w:rFonts w:cs="Arial"/>
                <w:szCs w:val="22"/>
                <w:lang w:eastAsia="en-AU"/>
              </w:rPr>
              <w:t>supports New Zealand First’s racing policy</w:t>
            </w:r>
            <w:r w:rsidR="009E74E8">
              <w:rPr>
                <w:rFonts w:cs="Arial"/>
                <w:szCs w:val="22"/>
                <w:lang w:eastAsia="en-AU"/>
              </w:rPr>
              <w:t>.</w:t>
            </w:r>
            <w:r w:rsidR="00926096">
              <w:rPr>
                <w:rFonts w:cs="Arial"/>
                <w:szCs w:val="22"/>
                <w:lang w:eastAsia="en-AU"/>
              </w:rPr>
              <w:t xml:space="preserve"> T</w:t>
            </w:r>
            <w:r w:rsidR="00CD4536">
              <w:rPr>
                <w:rFonts w:cs="Arial"/>
                <w:szCs w:val="22"/>
                <w:lang w:eastAsia="en-AU"/>
              </w:rPr>
              <w:t>hus, any options put forward have</w:t>
            </w:r>
            <w:r w:rsidR="00926096">
              <w:rPr>
                <w:rFonts w:cs="Arial"/>
                <w:szCs w:val="22"/>
                <w:lang w:eastAsia="en-AU"/>
              </w:rPr>
              <w:t xml:space="preserve"> to address the </w:t>
            </w:r>
            <w:r w:rsidR="00607637">
              <w:rPr>
                <w:rFonts w:cs="Arial"/>
                <w:szCs w:val="22"/>
                <w:lang w:eastAsia="en-AU"/>
              </w:rPr>
              <w:t>Government’</w:t>
            </w:r>
            <w:r w:rsidR="00206EF4">
              <w:rPr>
                <w:rFonts w:cs="Arial"/>
                <w:szCs w:val="22"/>
                <w:lang w:eastAsia="en-AU"/>
              </w:rPr>
              <w:t xml:space="preserve">s objective of </w:t>
            </w:r>
            <w:r w:rsidR="004D642A">
              <w:rPr>
                <w:rFonts w:cs="Arial"/>
                <w:szCs w:val="22"/>
                <w:lang w:eastAsia="en-AU"/>
              </w:rPr>
              <w:t>enhancing incentives to breed bloodstock.</w:t>
            </w:r>
            <w:r w:rsidR="00926096">
              <w:rPr>
                <w:rFonts w:cs="Arial"/>
                <w:szCs w:val="22"/>
                <w:lang w:eastAsia="en-AU"/>
              </w:rPr>
              <w:t xml:space="preserve"> </w:t>
            </w:r>
          </w:p>
          <w:p w:rsidR="00064C27" w:rsidRDefault="00064C27" w:rsidP="00A314DA">
            <w:pPr>
              <w:spacing w:after="0" w:line="276" w:lineRule="auto"/>
              <w:jc w:val="both"/>
              <w:rPr>
                <w:rFonts w:cs="Arial"/>
                <w:szCs w:val="22"/>
                <w:lang w:eastAsia="en-AU"/>
              </w:rPr>
            </w:pPr>
          </w:p>
          <w:p w:rsidR="00064C27" w:rsidRPr="009C4129" w:rsidRDefault="00064C27" w:rsidP="00A314DA">
            <w:pPr>
              <w:spacing w:after="0" w:line="276" w:lineRule="auto"/>
              <w:jc w:val="both"/>
              <w:rPr>
                <w:rFonts w:cs="Arial"/>
                <w:szCs w:val="22"/>
                <w:lang w:eastAsia="en-AU"/>
              </w:rPr>
            </w:pPr>
          </w:p>
        </w:tc>
      </w:tr>
    </w:tbl>
    <w:p w:rsidR="0062657E" w:rsidRPr="009C4129" w:rsidRDefault="0062657E" w:rsidP="007B090A">
      <w:pPr>
        <w:pStyle w:val="spacer"/>
        <w:spacing w:line="276" w:lineRule="auto"/>
        <w:rPr>
          <w:sz w:val="22"/>
        </w:rPr>
      </w:pPr>
    </w:p>
    <w:p w:rsidR="0062657E" w:rsidRPr="0049234F" w:rsidRDefault="0062657E" w:rsidP="00C17661">
      <w:pPr>
        <w:pStyle w:val="spacer"/>
        <w:sectPr w:rsidR="0062657E" w:rsidRPr="0049234F" w:rsidSect="00FA7EFC">
          <w:headerReference w:type="default" r:id="rId9"/>
          <w:footerReference w:type="default" r:id="rId10"/>
          <w:pgSz w:w="11906" w:h="16838"/>
          <w:pgMar w:top="1134" w:right="1418" w:bottom="992" w:left="1418" w:header="709" w:footer="709" w:gutter="0"/>
          <w:cols w:space="708"/>
          <w:docGrid w:linePitch="360"/>
        </w:sectPr>
      </w:pPr>
    </w:p>
    <w:p w:rsidR="0062657E" w:rsidRPr="0005691A" w:rsidRDefault="0062657E" w:rsidP="0027630F">
      <w:pPr>
        <w:tabs>
          <w:tab w:val="left" w:pos="2550"/>
        </w:tabs>
        <w:spacing w:after="0" w:line="276" w:lineRule="auto"/>
        <w:rPr>
          <w:rFonts w:cs="Arial"/>
          <w:b/>
          <w:color w:val="0082AB"/>
          <w:spacing w:val="20"/>
          <w:w w:val="90"/>
          <w:sz w:val="32"/>
          <w:szCs w:val="24"/>
        </w:rPr>
      </w:pPr>
      <w:r w:rsidRPr="0005691A">
        <w:rPr>
          <w:rFonts w:cs="Arial"/>
          <w:b/>
          <w:color w:val="0082AB"/>
          <w:spacing w:val="20"/>
          <w:w w:val="90"/>
          <w:sz w:val="32"/>
          <w:szCs w:val="24"/>
        </w:rPr>
        <w:lastRenderedPageBreak/>
        <w:t>Section 4:  Impact Analysis</w:t>
      </w:r>
    </w:p>
    <w:p w:rsidR="009435C4" w:rsidRDefault="009435C4" w:rsidP="009435C4">
      <w:pPr>
        <w:spacing w:after="0" w:line="276" w:lineRule="auto"/>
        <w:rPr>
          <w:rFonts w:cs="Arial"/>
          <w:i/>
          <w:szCs w:val="22"/>
        </w:rPr>
      </w:pPr>
      <w:r w:rsidRPr="009435C4">
        <w:rPr>
          <w:rFonts w:cs="Arial"/>
          <w:b/>
          <w:szCs w:val="22"/>
        </w:rPr>
        <w:t>Marginal impact: How does each of the options identified at section 3.1 compare with the counterfactual, under each of the criteria set out in section 3.2?</w:t>
      </w:r>
      <w:r w:rsidRPr="009435C4">
        <w:rPr>
          <w:rFonts w:cs="Arial"/>
          <w:b/>
          <w:i/>
          <w:szCs w:val="22"/>
        </w:rPr>
        <w:t xml:space="preserve">  </w:t>
      </w:r>
      <w:r w:rsidRPr="0049467D">
        <w:rPr>
          <w:rFonts w:cs="Arial"/>
          <w:i/>
          <w:szCs w:val="22"/>
        </w:rPr>
        <w:t>Add, or subtract, columns and rows as necessary</w:t>
      </w:r>
      <w:r>
        <w:rPr>
          <w:rFonts w:cs="Arial"/>
          <w:i/>
          <w:szCs w:val="22"/>
        </w:rPr>
        <w:t>.</w:t>
      </w: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207"/>
        <w:gridCol w:w="3685"/>
        <w:gridCol w:w="5137"/>
        <w:gridCol w:w="3827"/>
      </w:tblGrid>
      <w:tr w:rsidR="00663BAA" w:rsidRPr="005910FD" w:rsidTr="00EC5E10">
        <w:tc>
          <w:tcPr>
            <w:tcW w:w="1595" w:type="dxa"/>
            <w:shd w:val="clear" w:color="auto" w:fill="92CDDC"/>
          </w:tcPr>
          <w:p w:rsidR="0062657E" w:rsidRPr="00721958" w:rsidRDefault="0062657E" w:rsidP="00384E9B">
            <w:pPr>
              <w:spacing w:before="60" w:after="60" w:line="276" w:lineRule="auto"/>
              <w:jc w:val="both"/>
              <w:rPr>
                <w:rFonts w:cs="Arial"/>
                <w:b/>
                <w:color w:val="FFFFFF"/>
                <w:sz w:val="16"/>
                <w:szCs w:val="16"/>
              </w:rPr>
            </w:pPr>
          </w:p>
        </w:tc>
        <w:tc>
          <w:tcPr>
            <w:tcW w:w="1207" w:type="dxa"/>
            <w:shd w:val="clear" w:color="auto" w:fill="99CDDD"/>
          </w:tcPr>
          <w:p w:rsidR="0062657E" w:rsidRPr="00721958" w:rsidRDefault="009520E4" w:rsidP="00DB2698">
            <w:pPr>
              <w:spacing w:before="60" w:after="60" w:line="240" w:lineRule="auto"/>
              <w:rPr>
                <w:rFonts w:cs="Arial"/>
                <w:b/>
                <w:color w:val="000000"/>
                <w:sz w:val="16"/>
                <w:szCs w:val="16"/>
              </w:rPr>
            </w:pPr>
            <w:r>
              <w:rPr>
                <w:rFonts w:cs="Arial"/>
                <w:b/>
                <w:color w:val="000000"/>
                <w:sz w:val="16"/>
                <w:szCs w:val="16"/>
              </w:rPr>
              <w:t>Option 1 (</w:t>
            </w:r>
            <w:r w:rsidR="00DB2698">
              <w:rPr>
                <w:rFonts w:cs="Arial"/>
                <w:b/>
                <w:color w:val="000000"/>
                <w:sz w:val="16"/>
                <w:szCs w:val="16"/>
              </w:rPr>
              <w:t>status quo</w:t>
            </w:r>
            <w:r>
              <w:rPr>
                <w:rFonts w:cs="Arial"/>
                <w:b/>
                <w:color w:val="000000"/>
                <w:sz w:val="16"/>
                <w:szCs w:val="16"/>
              </w:rPr>
              <w:t>)</w:t>
            </w:r>
          </w:p>
        </w:tc>
        <w:tc>
          <w:tcPr>
            <w:tcW w:w="3685" w:type="dxa"/>
            <w:shd w:val="clear" w:color="auto" w:fill="99CDDD"/>
          </w:tcPr>
          <w:p w:rsidR="0062657E" w:rsidRPr="00721958" w:rsidRDefault="0062657E" w:rsidP="009520E4">
            <w:pPr>
              <w:spacing w:before="60" w:after="60" w:line="276" w:lineRule="auto"/>
              <w:jc w:val="both"/>
              <w:rPr>
                <w:rFonts w:cs="Arial"/>
                <w:b/>
                <w:color w:val="000000"/>
                <w:sz w:val="16"/>
                <w:szCs w:val="16"/>
              </w:rPr>
            </w:pPr>
            <w:r w:rsidRPr="00721958">
              <w:rPr>
                <w:rFonts w:cs="Arial"/>
                <w:b/>
                <w:color w:val="000000"/>
                <w:sz w:val="16"/>
                <w:szCs w:val="16"/>
              </w:rPr>
              <w:t>Option</w:t>
            </w:r>
            <w:r w:rsidR="00D9181A" w:rsidRPr="00721958">
              <w:rPr>
                <w:rFonts w:cs="Arial"/>
                <w:b/>
                <w:color w:val="000000"/>
                <w:sz w:val="16"/>
                <w:szCs w:val="16"/>
              </w:rPr>
              <w:t xml:space="preserve"> </w:t>
            </w:r>
            <w:r w:rsidR="009520E4">
              <w:rPr>
                <w:rFonts w:cs="Arial"/>
                <w:b/>
                <w:color w:val="000000"/>
                <w:sz w:val="16"/>
                <w:szCs w:val="16"/>
              </w:rPr>
              <w:t>2</w:t>
            </w:r>
            <w:r w:rsidRPr="00721958">
              <w:rPr>
                <w:rFonts w:cs="Arial"/>
                <w:b/>
                <w:color w:val="000000"/>
                <w:sz w:val="16"/>
                <w:szCs w:val="16"/>
              </w:rPr>
              <w:t xml:space="preserve"> (</w:t>
            </w:r>
            <w:r w:rsidR="001B0E94" w:rsidRPr="00721958">
              <w:rPr>
                <w:rFonts w:cs="Arial"/>
                <w:b/>
                <w:color w:val="000000"/>
                <w:sz w:val="16"/>
                <w:szCs w:val="16"/>
              </w:rPr>
              <w:t>carry-forward</w:t>
            </w:r>
            <w:r w:rsidR="00376265">
              <w:rPr>
                <w:rFonts w:cs="Arial"/>
                <w:b/>
                <w:color w:val="000000"/>
                <w:sz w:val="16"/>
                <w:szCs w:val="16"/>
              </w:rPr>
              <w:t xml:space="preserve"> costs</w:t>
            </w:r>
            <w:r w:rsidR="001B0E94" w:rsidRPr="00721958">
              <w:rPr>
                <w:rFonts w:cs="Arial"/>
                <w:b/>
                <w:color w:val="000000"/>
                <w:sz w:val="16"/>
                <w:szCs w:val="16"/>
              </w:rPr>
              <w:t xml:space="preserve"> </w:t>
            </w:r>
            <w:r w:rsidR="007B6437">
              <w:rPr>
                <w:rFonts w:cs="Arial"/>
                <w:b/>
                <w:color w:val="000000"/>
                <w:sz w:val="16"/>
                <w:szCs w:val="16"/>
              </w:rPr>
              <w:t>until</w:t>
            </w:r>
            <w:r w:rsidR="001B0E94" w:rsidRPr="00721958">
              <w:rPr>
                <w:rFonts w:cs="Arial"/>
                <w:b/>
                <w:color w:val="000000"/>
                <w:sz w:val="16"/>
                <w:szCs w:val="16"/>
              </w:rPr>
              <w:t xml:space="preserve"> </w:t>
            </w:r>
            <w:r w:rsidR="007B6437">
              <w:rPr>
                <w:rFonts w:cs="Arial"/>
                <w:b/>
                <w:color w:val="000000"/>
                <w:sz w:val="16"/>
                <w:szCs w:val="16"/>
              </w:rPr>
              <w:t xml:space="preserve">breeding </w:t>
            </w:r>
            <w:r w:rsidR="001B0E94" w:rsidRPr="00721958">
              <w:rPr>
                <w:rFonts w:cs="Arial"/>
                <w:b/>
                <w:color w:val="000000"/>
                <w:sz w:val="16"/>
                <w:szCs w:val="16"/>
              </w:rPr>
              <w:t>business</w:t>
            </w:r>
            <w:r w:rsidR="007B6437">
              <w:rPr>
                <w:rFonts w:cs="Arial"/>
                <w:b/>
                <w:color w:val="000000"/>
                <w:sz w:val="16"/>
                <w:szCs w:val="16"/>
              </w:rPr>
              <w:t xml:space="preserve"> is established</w:t>
            </w:r>
            <w:r w:rsidR="00376265">
              <w:rPr>
                <w:rFonts w:cs="Arial"/>
                <w:b/>
                <w:color w:val="000000"/>
                <w:sz w:val="16"/>
                <w:szCs w:val="16"/>
              </w:rPr>
              <w:t>, then deduct</w:t>
            </w:r>
            <w:r w:rsidR="001B0E94" w:rsidRPr="00721958">
              <w:rPr>
                <w:rFonts w:cs="Arial"/>
                <w:b/>
                <w:color w:val="000000"/>
                <w:sz w:val="16"/>
                <w:szCs w:val="16"/>
              </w:rPr>
              <w:t>)</w:t>
            </w:r>
          </w:p>
        </w:tc>
        <w:tc>
          <w:tcPr>
            <w:tcW w:w="5137" w:type="dxa"/>
            <w:shd w:val="clear" w:color="auto" w:fill="99CDDD"/>
          </w:tcPr>
          <w:p w:rsidR="0062657E" w:rsidRPr="00721958" w:rsidRDefault="0062657E" w:rsidP="006B4860">
            <w:pPr>
              <w:spacing w:before="60" w:after="60" w:line="276" w:lineRule="auto"/>
              <w:jc w:val="both"/>
              <w:rPr>
                <w:rFonts w:cs="Arial"/>
                <w:b/>
                <w:color w:val="000000"/>
                <w:sz w:val="16"/>
                <w:szCs w:val="16"/>
              </w:rPr>
            </w:pPr>
            <w:r w:rsidRPr="00721958">
              <w:rPr>
                <w:rFonts w:cs="Arial"/>
                <w:b/>
                <w:color w:val="000000"/>
                <w:sz w:val="16"/>
                <w:szCs w:val="16"/>
              </w:rPr>
              <w:t>Option</w:t>
            </w:r>
            <w:r w:rsidR="009520E4">
              <w:rPr>
                <w:rFonts w:cs="Arial"/>
                <w:b/>
                <w:color w:val="000000"/>
                <w:sz w:val="16"/>
                <w:szCs w:val="16"/>
              </w:rPr>
              <w:t xml:space="preserve"> 3</w:t>
            </w:r>
            <w:r w:rsidR="001B0E94" w:rsidRPr="00721958">
              <w:rPr>
                <w:rFonts w:cs="Arial"/>
                <w:b/>
                <w:color w:val="000000"/>
                <w:sz w:val="16"/>
                <w:szCs w:val="16"/>
              </w:rPr>
              <w:t xml:space="preserve"> (</w:t>
            </w:r>
            <w:r w:rsidR="006B4860">
              <w:rPr>
                <w:rFonts w:cs="Arial"/>
                <w:b/>
                <w:color w:val="000000"/>
                <w:sz w:val="16"/>
                <w:szCs w:val="16"/>
              </w:rPr>
              <w:t>deductions when intention to breed claimed</w:t>
            </w:r>
            <w:r w:rsidR="001B0E94" w:rsidRPr="00721958">
              <w:rPr>
                <w:rFonts w:cs="Arial"/>
                <w:b/>
                <w:color w:val="000000"/>
                <w:sz w:val="16"/>
                <w:szCs w:val="16"/>
              </w:rPr>
              <w:t>)</w:t>
            </w:r>
          </w:p>
        </w:tc>
        <w:tc>
          <w:tcPr>
            <w:tcW w:w="3827" w:type="dxa"/>
            <w:shd w:val="clear" w:color="auto" w:fill="99CDDD"/>
          </w:tcPr>
          <w:p w:rsidR="0062657E" w:rsidRPr="00721958" w:rsidRDefault="0062657E" w:rsidP="0084295E">
            <w:pPr>
              <w:spacing w:before="60" w:after="60" w:line="276" w:lineRule="auto"/>
              <w:jc w:val="both"/>
              <w:rPr>
                <w:rFonts w:cs="Arial"/>
                <w:b/>
                <w:color w:val="000000"/>
                <w:sz w:val="16"/>
                <w:szCs w:val="16"/>
              </w:rPr>
            </w:pPr>
            <w:r w:rsidRPr="00721958">
              <w:rPr>
                <w:rFonts w:cs="Arial"/>
                <w:b/>
                <w:color w:val="000000"/>
                <w:sz w:val="16"/>
                <w:szCs w:val="16"/>
              </w:rPr>
              <w:t>Option</w:t>
            </w:r>
            <w:r w:rsidR="009520E4">
              <w:rPr>
                <w:rFonts w:cs="Arial"/>
                <w:b/>
                <w:color w:val="000000"/>
                <w:sz w:val="16"/>
                <w:szCs w:val="16"/>
              </w:rPr>
              <w:t xml:space="preserve"> 4</w:t>
            </w:r>
            <w:r w:rsidR="00D9181A" w:rsidRPr="00721958">
              <w:rPr>
                <w:rFonts w:cs="Arial"/>
                <w:b/>
                <w:color w:val="000000"/>
                <w:sz w:val="16"/>
                <w:szCs w:val="16"/>
              </w:rPr>
              <w:t xml:space="preserve"> (</w:t>
            </w:r>
            <w:r w:rsidR="00DF71C6">
              <w:rPr>
                <w:rFonts w:cs="Arial"/>
                <w:b/>
                <w:color w:val="000000"/>
                <w:sz w:val="16"/>
                <w:szCs w:val="16"/>
              </w:rPr>
              <w:t>deductions when</w:t>
            </w:r>
            <w:r w:rsidR="00D9181A" w:rsidRPr="00721958">
              <w:rPr>
                <w:rFonts w:cs="Arial"/>
                <w:b/>
                <w:color w:val="000000"/>
                <w:sz w:val="16"/>
                <w:szCs w:val="16"/>
              </w:rPr>
              <w:t xml:space="preserve"> intention to breed</w:t>
            </w:r>
            <w:r w:rsidR="00DF71C6">
              <w:rPr>
                <w:rFonts w:cs="Arial"/>
                <w:b/>
                <w:color w:val="000000"/>
                <w:sz w:val="16"/>
                <w:szCs w:val="16"/>
              </w:rPr>
              <w:t xml:space="preserve"> claimed</w:t>
            </w:r>
            <w:r w:rsidR="00D9181A" w:rsidRPr="00721958">
              <w:rPr>
                <w:rFonts w:cs="Arial"/>
                <w:b/>
                <w:color w:val="000000"/>
                <w:sz w:val="16"/>
                <w:szCs w:val="16"/>
              </w:rPr>
              <w:t xml:space="preserve">; high value </w:t>
            </w:r>
            <w:r w:rsidR="0084295E">
              <w:rPr>
                <w:rFonts w:cs="Arial"/>
                <w:b/>
                <w:color w:val="000000"/>
                <w:sz w:val="16"/>
                <w:szCs w:val="16"/>
              </w:rPr>
              <w:t>yearlings</w:t>
            </w:r>
            <w:r w:rsidR="00D9181A" w:rsidRPr="00721958">
              <w:rPr>
                <w:rFonts w:cs="Arial"/>
                <w:b/>
                <w:color w:val="000000"/>
                <w:sz w:val="16"/>
                <w:szCs w:val="16"/>
              </w:rPr>
              <w:t xml:space="preserve"> only)</w:t>
            </w:r>
          </w:p>
        </w:tc>
      </w:tr>
      <w:tr w:rsidR="00074AF7" w:rsidRPr="005910FD" w:rsidTr="00EC5E10">
        <w:tc>
          <w:tcPr>
            <w:tcW w:w="1595" w:type="dxa"/>
            <w:shd w:val="clear" w:color="auto" w:fill="92CDDC"/>
          </w:tcPr>
          <w:p w:rsidR="00074AF7" w:rsidRPr="004A5660" w:rsidRDefault="003101F4" w:rsidP="00EC5E10">
            <w:pPr>
              <w:spacing w:after="0" w:line="276" w:lineRule="auto"/>
              <w:jc w:val="both"/>
              <w:rPr>
                <w:rFonts w:cs="Arial"/>
                <w:b/>
                <w:color w:val="000000"/>
                <w:sz w:val="16"/>
                <w:szCs w:val="16"/>
              </w:rPr>
            </w:pPr>
            <w:r w:rsidRPr="004A5660">
              <w:rPr>
                <w:rFonts w:cs="Arial"/>
                <w:b/>
                <w:color w:val="000000"/>
                <w:sz w:val="16"/>
                <w:szCs w:val="16"/>
              </w:rPr>
              <w:t>Effectiveness</w:t>
            </w:r>
          </w:p>
        </w:tc>
        <w:tc>
          <w:tcPr>
            <w:tcW w:w="1207" w:type="dxa"/>
            <w:shd w:val="clear" w:color="auto" w:fill="auto"/>
          </w:tcPr>
          <w:p w:rsidR="00EC5E10" w:rsidRDefault="00EC5E10" w:rsidP="00EC5E10">
            <w:pPr>
              <w:spacing w:after="0" w:line="240" w:lineRule="auto"/>
              <w:jc w:val="center"/>
              <w:rPr>
                <w:rFonts w:cs="Arial"/>
                <w:b/>
                <w:color w:val="000000"/>
                <w:sz w:val="16"/>
                <w:szCs w:val="16"/>
              </w:rPr>
            </w:pPr>
          </w:p>
          <w:p w:rsidR="00074AF7" w:rsidRPr="00721958" w:rsidRDefault="00C337A9" w:rsidP="00EC5E10">
            <w:pPr>
              <w:spacing w:after="0" w:line="240" w:lineRule="auto"/>
              <w:jc w:val="center"/>
              <w:rPr>
                <w:rFonts w:cs="Arial"/>
                <w:b/>
                <w:color w:val="000000"/>
                <w:sz w:val="16"/>
                <w:szCs w:val="16"/>
              </w:rPr>
            </w:pPr>
            <w:r>
              <w:rPr>
                <w:rFonts w:cs="Arial"/>
                <w:b/>
                <w:color w:val="000000"/>
                <w:sz w:val="16"/>
                <w:szCs w:val="16"/>
              </w:rPr>
              <w:t>0</w:t>
            </w:r>
          </w:p>
        </w:tc>
        <w:tc>
          <w:tcPr>
            <w:tcW w:w="3685" w:type="dxa"/>
            <w:shd w:val="clear" w:color="auto" w:fill="auto"/>
          </w:tcPr>
          <w:p w:rsidR="00177DF9" w:rsidRPr="00B41DEE" w:rsidRDefault="00B41DEE" w:rsidP="00EC5E10">
            <w:pPr>
              <w:spacing w:after="0" w:line="276" w:lineRule="auto"/>
              <w:jc w:val="center"/>
              <w:rPr>
                <w:rFonts w:cs="Arial"/>
                <w:b/>
                <w:color w:val="00B050"/>
                <w:sz w:val="16"/>
                <w:szCs w:val="16"/>
              </w:rPr>
            </w:pPr>
            <w:r>
              <w:rPr>
                <w:rFonts w:cs="Arial"/>
                <w:b/>
                <w:color w:val="00B050"/>
                <w:sz w:val="16"/>
                <w:szCs w:val="16"/>
              </w:rPr>
              <w:t>+</w:t>
            </w:r>
          </w:p>
          <w:p w:rsidR="00074AF7" w:rsidRPr="00177DF9" w:rsidRDefault="00470BCC" w:rsidP="00EC5E10">
            <w:pPr>
              <w:spacing w:after="0" w:line="276" w:lineRule="auto"/>
              <w:rPr>
                <w:rFonts w:cs="Arial"/>
                <w:sz w:val="16"/>
                <w:szCs w:val="16"/>
              </w:rPr>
            </w:pPr>
            <w:r>
              <w:rPr>
                <w:rFonts w:cs="Arial"/>
                <w:sz w:val="16"/>
                <w:szCs w:val="16"/>
              </w:rPr>
              <w:t>Likely to</w:t>
            </w:r>
            <w:r w:rsidR="00610B21">
              <w:rPr>
                <w:rFonts w:cs="Arial"/>
                <w:sz w:val="16"/>
                <w:szCs w:val="16"/>
              </w:rPr>
              <w:t xml:space="preserve"> encourage some new investors </w:t>
            </w:r>
            <w:r w:rsidR="007C1FF8">
              <w:rPr>
                <w:rFonts w:cs="Arial"/>
                <w:sz w:val="16"/>
                <w:szCs w:val="16"/>
              </w:rPr>
              <w:t xml:space="preserve">relative to status quo, although </w:t>
            </w:r>
            <w:r w:rsidR="00706733">
              <w:rPr>
                <w:rFonts w:cs="Arial"/>
                <w:sz w:val="16"/>
                <w:szCs w:val="16"/>
              </w:rPr>
              <w:t xml:space="preserve">incentive is </w:t>
            </w:r>
            <w:r w:rsidR="00493547">
              <w:rPr>
                <w:rFonts w:cs="Arial"/>
                <w:sz w:val="16"/>
                <w:szCs w:val="16"/>
              </w:rPr>
              <w:t>weakest of the three options</w:t>
            </w:r>
            <w:r w:rsidR="008F3204">
              <w:rPr>
                <w:rFonts w:cs="Arial"/>
                <w:sz w:val="16"/>
                <w:szCs w:val="16"/>
              </w:rPr>
              <w:t xml:space="preserve">, </w:t>
            </w:r>
            <w:r w:rsidR="0000438C">
              <w:rPr>
                <w:rFonts w:cs="Arial"/>
                <w:sz w:val="16"/>
                <w:szCs w:val="16"/>
              </w:rPr>
              <w:t>and therefore p</w:t>
            </w:r>
            <w:r w:rsidR="00CD2D1F">
              <w:rPr>
                <w:rFonts w:cs="Arial"/>
                <w:sz w:val="16"/>
                <w:szCs w:val="16"/>
              </w:rPr>
              <w:t>ossibly</w:t>
            </w:r>
            <w:r w:rsidR="0000438C">
              <w:rPr>
                <w:rFonts w:cs="Arial"/>
                <w:sz w:val="16"/>
                <w:szCs w:val="16"/>
              </w:rPr>
              <w:t xml:space="preserve"> le</w:t>
            </w:r>
            <w:r w:rsidR="00FD6998">
              <w:rPr>
                <w:rFonts w:cs="Arial"/>
                <w:sz w:val="16"/>
                <w:szCs w:val="16"/>
              </w:rPr>
              <w:t>ast</w:t>
            </w:r>
            <w:r w:rsidR="0000438C">
              <w:rPr>
                <w:rFonts w:cs="Arial"/>
                <w:sz w:val="16"/>
                <w:szCs w:val="16"/>
              </w:rPr>
              <w:t xml:space="preserve"> effective</w:t>
            </w:r>
            <w:r w:rsidR="007C699D">
              <w:rPr>
                <w:rFonts w:cs="Arial"/>
                <w:sz w:val="16"/>
                <w:szCs w:val="16"/>
              </w:rPr>
              <w:t xml:space="preserve"> at stimulating bloodstock breeding.</w:t>
            </w:r>
            <w:r w:rsidR="00B32884">
              <w:rPr>
                <w:rFonts w:cs="Arial"/>
                <w:sz w:val="16"/>
                <w:szCs w:val="16"/>
              </w:rPr>
              <w:t xml:space="preserve"> There are no deductions if a breeding business does not eventuate.</w:t>
            </w:r>
          </w:p>
        </w:tc>
        <w:tc>
          <w:tcPr>
            <w:tcW w:w="5137" w:type="dxa"/>
            <w:shd w:val="clear" w:color="auto" w:fill="auto"/>
          </w:tcPr>
          <w:p w:rsidR="00B728F8" w:rsidRPr="00EA514F" w:rsidRDefault="00EA514F" w:rsidP="00EC5E10">
            <w:pPr>
              <w:spacing w:after="0" w:line="276" w:lineRule="auto"/>
              <w:jc w:val="center"/>
              <w:rPr>
                <w:rFonts w:cs="Arial"/>
                <w:b/>
                <w:color w:val="00B050"/>
                <w:sz w:val="16"/>
                <w:szCs w:val="16"/>
              </w:rPr>
            </w:pPr>
            <w:r>
              <w:rPr>
                <w:rFonts w:cs="Arial"/>
                <w:b/>
                <w:color w:val="00B050"/>
                <w:sz w:val="16"/>
                <w:szCs w:val="16"/>
              </w:rPr>
              <w:t>+</w:t>
            </w:r>
            <w:r w:rsidR="00322B67">
              <w:rPr>
                <w:rFonts w:cs="Arial"/>
                <w:b/>
                <w:color w:val="00B050"/>
                <w:sz w:val="16"/>
                <w:szCs w:val="16"/>
              </w:rPr>
              <w:t>+</w:t>
            </w:r>
          </w:p>
          <w:p w:rsidR="00074AF7" w:rsidRPr="00B728F8" w:rsidRDefault="00846CEF" w:rsidP="00EC5E10">
            <w:pPr>
              <w:spacing w:after="0" w:line="276" w:lineRule="auto"/>
              <w:rPr>
                <w:rFonts w:cs="Arial"/>
                <w:sz w:val="16"/>
                <w:szCs w:val="16"/>
              </w:rPr>
            </w:pPr>
            <w:r>
              <w:rPr>
                <w:rFonts w:cs="Arial"/>
                <w:sz w:val="16"/>
                <w:szCs w:val="16"/>
              </w:rPr>
              <w:t xml:space="preserve">Strong </w:t>
            </w:r>
            <w:r w:rsidR="000A5F4A">
              <w:rPr>
                <w:rFonts w:cs="Arial"/>
                <w:sz w:val="16"/>
                <w:szCs w:val="16"/>
              </w:rPr>
              <w:t>inc</w:t>
            </w:r>
            <w:r w:rsidR="00FB0E40">
              <w:rPr>
                <w:rFonts w:cs="Arial"/>
                <w:sz w:val="16"/>
                <w:szCs w:val="16"/>
              </w:rPr>
              <w:t xml:space="preserve">entive for </w:t>
            </w:r>
            <w:r w:rsidR="00585BDF">
              <w:rPr>
                <w:rFonts w:cs="Arial"/>
                <w:sz w:val="16"/>
                <w:szCs w:val="16"/>
              </w:rPr>
              <w:t xml:space="preserve">new </w:t>
            </w:r>
            <w:r w:rsidR="00FB0E40">
              <w:rPr>
                <w:rFonts w:cs="Arial"/>
                <w:sz w:val="16"/>
                <w:szCs w:val="16"/>
              </w:rPr>
              <w:t xml:space="preserve">investors to </w:t>
            </w:r>
            <w:r w:rsidR="00493547">
              <w:rPr>
                <w:rFonts w:cs="Arial"/>
                <w:sz w:val="16"/>
                <w:szCs w:val="16"/>
              </w:rPr>
              <w:t xml:space="preserve">claim that a race horse was acquired with an intention to </w:t>
            </w:r>
            <w:r w:rsidR="00FB0E40">
              <w:rPr>
                <w:rFonts w:cs="Arial"/>
                <w:sz w:val="16"/>
                <w:szCs w:val="16"/>
              </w:rPr>
              <w:t>breed</w:t>
            </w:r>
            <w:r w:rsidR="00493547">
              <w:rPr>
                <w:rFonts w:cs="Arial"/>
                <w:sz w:val="16"/>
                <w:szCs w:val="16"/>
              </w:rPr>
              <w:t xml:space="preserve"> for profit in the future, </w:t>
            </w:r>
            <w:r w:rsidR="00FB0E40">
              <w:rPr>
                <w:rFonts w:cs="Arial"/>
                <w:sz w:val="16"/>
                <w:szCs w:val="16"/>
              </w:rPr>
              <w:t xml:space="preserve">as </w:t>
            </w:r>
            <w:r w:rsidR="004E5F2A">
              <w:rPr>
                <w:rFonts w:cs="Arial"/>
                <w:sz w:val="16"/>
                <w:szCs w:val="16"/>
              </w:rPr>
              <w:t xml:space="preserve">the only restriction </w:t>
            </w:r>
            <w:r w:rsidR="00865433">
              <w:rPr>
                <w:rFonts w:cs="Arial"/>
                <w:sz w:val="16"/>
                <w:szCs w:val="16"/>
              </w:rPr>
              <w:t xml:space="preserve">on eligibility for deductions </w:t>
            </w:r>
            <w:r w:rsidR="004E5F2A">
              <w:rPr>
                <w:rFonts w:cs="Arial"/>
                <w:sz w:val="16"/>
                <w:szCs w:val="16"/>
              </w:rPr>
              <w:t>is the abili</w:t>
            </w:r>
            <w:r w:rsidR="002413F4">
              <w:rPr>
                <w:rFonts w:cs="Arial"/>
                <w:sz w:val="16"/>
                <w:szCs w:val="16"/>
              </w:rPr>
              <w:t xml:space="preserve">ty to demonstrate an intention </w:t>
            </w:r>
            <w:r w:rsidR="004E5F2A">
              <w:rPr>
                <w:rFonts w:cs="Arial"/>
                <w:sz w:val="16"/>
                <w:szCs w:val="16"/>
              </w:rPr>
              <w:t>to breed.</w:t>
            </w:r>
            <w:r w:rsidR="00EA514F">
              <w:rPr>
                <w:rFonts w:cs="Arial"/>
                <w:sz w:val="16"/>
                <w:szCs w:val="16"/>
              </w:rPr>
              <w:t xml:space="preserve"> Potentially the most effective at stimulating </w:t>
            </w:r>
            <w:r w:rsidR="00B55BF2">
              <w:rPr>
                <w:rFonts w:cs="Arial"/>
                <w:sz w:val="16"/>
                <w:szCs w:val="16"/>
              </w:rPr>
              <w:t>investment in the racing industry</w:t>
            </w:r>
            <w:r w:rsidR="00585BDF">
              <w:rPr>
                <w:rFonts w:cs="Arial"/>
                <w:sz w:val="16"/>
                <w:szCs w:val="16"/>
              </w:rPr>
              <w:t>, but perhaps not into bloodstock breeding</w:t>
            </w:r>
            <w:r w:rsidR="00CD2D1F">
              <w:rPr>
                <w:rFonts w:cs="Arial"/>
                <w:sz w:val="16"/>
                <w:szCs w:val="16"/>
              </w:rPr>
              <w:t>, as investors may mischaracterise their intent.</w:t>
            </w:r>
          </w:p>
        </w:tc>
        <w:tc>
          <w:tcPr>
            <w:tcW w:w="3827" w:type="dxa"/>
            <w:shd w:val="clear" w:color="auto" w:fill="auto"/>
          </w:tcPr>
          <w:p w:rsidR="008A1BDB" w:rsidRPr="00721958" w:rsidRDefault="00E06082" w:rsidP="00EC5E10">
            <w:pPr>
              <w:spacing w:after="0" w:line="276" w:lineRule="auto"/>
              <w:jc w:val="center"/>
              <w:rPr>
                <w:rFonts w:cs="Arial"/>
                <w:b/>
                <w:color w:val="00B050"/>
                <w:sz w:val="16"/>
                <w:szCs w:val="16"/>
              </w:rPr>
            </w:pPr>
            <w:r>
              <w:rPr>
                <w:rFonts w:cs="Arial"/>
                <w:b/>
                <w:color w:val="00B050"/>
                <w:sz w:val="16"/>
                <w:szCs w:val="16"/>
              </w:rPr>
              <w:t>+</w:t>
            </w:r>
            <w:r w:rsidR="00322B67">
              <w:rPr>
                <w:rFonts w:cs="Arial"/>
                <w:b/>
                <w:color w:val="00B050"/>
                <w:sz w:val="16"/>
                <w:szCs w:val="16"/>
              </w:rPr>
              <w:t>+</w:t>
            </w:r>
          </w:p>
          <w:p w:rsidR="00074AF7" w:rsidRPr="004A5660" w:rsidRDefault="00E06082" w:rsidP="00EC5E10">
            <w:pPr>
              <w:spacing w:after="0" w:line="276" w:lineRule="auto"/>
              <w:rPr>
                <w:rFonts w:cs="Arial"/>
                <w:color w:val="000000"/>
                <w:sz w:val="16"/>
                <w:szCs w:val="16"/>
              </w:rPr>
            </w:pPr>
            <w:r>
              <w:rPr>
                <w:rFonts w:cs="Arial"/>
                <w:color w:val="000000"/>
                <w:sz w:val="16"/>
                <w:szCs w:val="16"/>
              </w:rPr>
              <w:t>May</w:t>
            </w:r>
            <w:r w:rsidR="004B316C" w:rsidRPr="004A5660">
              <w:rPr>
                <w:rFonts w:cs="Arial"/>
                <w:color w:val="000000"/>
                <w:sz w:val="16"/>
                <w:szCs w:val="16"/>
              </w:rPr>
              <w:t xml:space="preserve"> incentivise new investors </w:t>
            </w:r>
            <w:r w:rsidR="008F4D6E" w:rsidRPr="004A5660">
              <w:rPr>
                <w:rFonts w:cs="Arial"/>
                <w:color w:val="000000"/>
                <w:sz w:val="16"/>
                <w:szCs w:val="16"/>
              </w:rPr>
              <w:t>who have a</w:t>
            </w:r>
            <w:r w:rsidR="004B316C" w:rsidRPr="004A5660">
              <w:rPr>
                <w:rFonts w:cs="Arial"/>
                <w:color w:val="000000"/>
                <w:sz w:val="16"/>
                <w:szCs w:val="16"/>
              </w:rPr>
              <w:t xml:space="preserve"> </w:t>
            </w:r>
            <w:r w:rsidR="00C72AAD" w:rsidRPr="004A5660">
              <w:rPr>
                <w:rFonts w:cs="Arial"/>
                <w:color w:val="000000"/>
                <w:sz w:val="16"/>
                <w:szCs w:val="16"/>
              </w:rPr>
              <w:t>genuine intention to breed</w:t>
            </w:r>
            <w:r w:rsidR="00055C6E" w:rsidRPr="004A5660">
              <w:rPr>
                <w:rFonts w:cs="Arial"/>
                <w:color w:val="000000"/>
                <w:sz w:val="16"/>
                <w:szCs w:val="16"/>
              </w:rPr>
              <w:t xml:space="preserve"> by offering concessions only for higher-priced horses</w:t>
            </w:r>
            <w:r w:rsidR="00E24BEA" w:rsidRPr="004A5660">
              <w:rPr>
                <w:rFonts w:cs="Arial"/>
                <w:color w:val="000000"/>
                <w:sz w:val="16"/>
                <w:szCs w:val="16"/>
              </w:rPr>
              <w:t xml:space="preserve">. </w:t>
            </w:r>
            <w:r w:rsidR="00FE7A5D" w:rsidRPr="004A5660">
              <w:rPr>
                <w:rFonts w:cs="Arial"/>
                <w:color w:val="000000"/>
                <w:sz w:val="16"/>
                <w:szCs w:val="16"/>
              </w:rPr>
              <w:t xml:space="preserve">Therefore, </w:t>
            </w:r>
            <w:r w:rsidR="00576CC5" w:rsidRPr="004A5660">
              <w:rPr>
                <w:rFonts w:cs="Arial"/>
                <w:color w:val="000000"/>
                <w:sz w:val="16"/>
                <w:szCs w:val="16"/>
              </w:rPr>
              <w:t xml:space="preserve">potentially </w:t>
            </w:r>
            <w:r w:rsidR="00520F36">
              <w:rPr>
                <w:rFonts w:cs="Arial"/>
                <w:color w:val="000000"/>
                <w:sz w:val="16"/>
                <w:szCs w:val="16"/>
              </w:rPr>
              <w:t>equally</w:t>
            </w:r>
            <w:r w:rsidR="00DF408A">
              <w:rPr>
                <w:rFonts w:cs="Arial"/>
                <w:color w:val="000000"/>
                <w:sz w:val="16"/>
                <w:szCs w:val="16"/>
              </w:rPr>
              <w:t xml:space="preserve"> effective</w:t>
            </w:r>
            <w:r w:rsidR="00520F36">
              <w:rPr>
                <w:rFonts w:cs="Arial"/>
                <w:color w:val="000000"/>
                <w:sz w:val="16"/>
                <w:szCs w:val="16"/>
              </w:rPr>
              <w:t xml:space="preserve"> at</w:t>
            </w:r>
            <w:r w:rsidR="00FE7A5D" w:rsidRPr="004A5660">
              <w:rPr>
                <w:rFonts w:cs="Arial"/>
                <w:color w:val="000000"/>
                <w:sz w:val="16"/>
                <w:szCs w:val="16"/>
              </w:rPr>
              <w:t xml:space="preserve"> </w:t>
            </w:r>
            <w:r w:rsidR="00520F36">
              <w:rPr>
                <w:rFonts w:cs="Arial"/>
                <w:color w:val="000000"/>
                <w:sz w:val="16"/>
                <w:szCs w:val="16"/>
              </w:rPr>
              <w:t>stimulating bloodstock breeding and</w:t>
            </w:r>
            <w:r w:rsidR="001E7443">
              <w:rPr>
                <w:rFonts w:cs="Arial"/>
                <w:color w:val="000000"/>
                <w:sz w:val="16"/>
                <w:szCs w:val="16"/>
              </w:rPr>
              <w:t xml:space="preserve"> increasing </w:t>
            </w:r>
            <w:r w:rsidR="003A1EB2">
              <w:rPr>
                <w:rFonts w:cs="Arial"/>
                <w:color w:val="000000"/>
                <w:sz w:val="16"/>
                <w:szCs w:val="16"/>
              </w:rPr>
              <w:t>investment in the racing industry.</w:t>
            </w:r>
            <w:r w:rsidR="0045505C" w:rsidRPr="004A5660">
              <w:rPr>
                <w:rFonts w:cs="Arial"/>
                <w:color w:val="000000"/>
                <w:sz w:val="16"/>
                <w:szCs w:val="16"/>
              </w:rPr>
              <w:t xml:space="preserve"> </w:t>
            </w:r>
          </w:p>
        </w:tc>
      </w:tr>
      <w:tr w:rsidR="00663BAA" w:rsidRPr="00DD7964" w:rsidTr="00EC5E10">
        <w:tc>
          <w:tcPr>
            <w:tcW w:w="1595" w:type="dxa"/>
            <w:shd w:val="clear" w:color="auto" w:fill="99CDDD"/>
          </w:tcPr>
          <w:p w:rsidR="0062657E" w:rsidRPr="00721958" w:rsidRDefault="006D6D58" w:rsidP="00EC5E10">
            <w:pPr>
              <w:spacing w:after="0" w:line="240" w:lineRule="auto"/>
              <w:rPr>
                <w:rFonts w:cs="Arial"/>
                <w:b/>
                <w:color w:val="000000"/>
                <w:sz w:val="16"/>
                <w:szCs w:val="16"/>
              </w:rPr>
            </w:pPr>
            <w:r w:rsidRPr="00721958">
              <w:rPr>
                <w:rFonts w:cs="Arial"/>
                <w:b/>
                <w:color w:val="000000"/>
                <w:sz w:val="16"/>
                <w:szCs w:val="16"/>
              </w:rPr>
              <w:t>Efficiency</w:t>
            </w:r>
          </w:p>
          <w:p w:rsidR="006D6D58" w:rsidRPr="00721958" w:rsidRDefault="006D6D58" w:rsidP="00EC5E10">
            <w:pPr>
              <w:spacing w:after="0" w:line="240" w:lineRule="auto"/>
              <w:rPr>
                <w:rFonts w:cs="Arial"/>
                <w:b/>
                <w:color w:val="000000"/>
                <w:sz w:val="16"/>
                <w:szCs w:val="16"/>
              </w:rPr>
            </w:pPr>
            <w:r w:rsidRPr="00721958">
              <w:rPr>
                <w:rFonts w:cs="Arial"/>
                <w:b/>
                <w:color w:val="000000"/>
                <w:sz w:val="16"/>
                <w:szCs w:val="16"/>
              </w:rPr>
              <w:t>(targetedness)</w:t>
            </w:r>
          </w:p>
        </w:tc>
        <w:tc>
          <w:tcPr>
            <w:tcW w:w="1207" w:type="dxa"/>
            <w:shd w:val="clear" w:color="auto" w:fill="auto"/>
          </w:tcPr>
          <w:p w:rsidR="00EC5E10" w:rsidRDefault="00EC5E10" w:rsidP="00EC5E10">
            <w:pPr>
              <w:pStyle w:val="TableText"/>
              <w:spacing w:before="0" w:after="0" w:line="276" w:lineRule="auto"/>
              <w:jc w:val="center"/>
              <w:rPr>
                <w:b/>
                <w:sz w:val="16"/>
                <w:szCs w:val="16"/>
              </w:rPr>
            </w:pPr>
          </w:p>
          <w:p w:rsidR="0062657E" w:rsidRPr="00721958" w:rsidRDefault="0062657E" w:rsidP="00EC5E10">
            <w:pPr>
              <w:pStyle w:val="TableText"/>
              <w:spacing w:before="0" w:after="0" w:line="276" w:lineRule="auto"/>
              <w:jc w:val="center"/>
              <w:rPr>
                <w:b/>
                <w:sz w:val="16"/>
                <w:szCs w:val="16"/>
              </w:rPr>
            </w:pPr>
            <w:r w:rsidRPr="00721958">
              <w:rPr>
                <w:b/>
                <w:sz w:val="16"/>
                <w:szCs w:val="16"/>
              </w:rPr>
              <w:t>0</w:t>
            </w:r>
          </w:p>
        </w:tc>
        <w:tc>
          <w:tcPr>
            <w:tcW w:w="3685" w:type="dxa"/>
            <w:shd w:val="clear" w:color="auto" w:fill="auto"/>
          </w:tcPr>
          <w:p w:rsidR="0062657E" w:rsidRPr="00721958" w:rsidRDefault="001F0BEF" w:rsidP="00EC5E10">
            <w:pPr>
              <w:pStyle w:val="TableText"/>
              <w:spacing w:before="0" w:after="0" w:line="276" w:lineRule="auto"/>
              <w:jc w:val="center"/>
              <w:rPr>
                <w:b/>
                <w:color w:val="00B050"/>
                <w:sz w:val="16"/>
                <w:szCs w:val="16"/>
              </w:rPr>
            </w:pPr>
            <w:r w:rsidRPr="00721958">
              <w:rPr>
                <w:b/>
                <w:color w:val="00B050"/>
                <w:sz w:val="16"/>
                <w:szCs w:val="16"/>
              </w:rPr>
              <w:t>+</w:t>
            </w:r>
            <w:r w:rsidR="002B188E">
              <w:rPr>
                <w:b/>
                <w:color w:val="00B050"/>
                <w:sz w:val="16"/>
                <w:szCs w:val="16"/>
              </w:rPr>
              <w:t>+</w:t>
            </w:r>
          </w:p>
          <w:p w:rsidR="001F0BEF" w:rsidRPr="00721958" w:rsidRDefault="00990317" w:rsidP="00EC5E10">
            <w:pPr>
              <w:pStyle w:val="TableText"/>
              <w:spacing w:before="0" w:after="0" w:line="276" w:lineRule="auto"/>
              <w:rPr>
                <w:sz w:val="16"/>
                <w:szCs w:val="16"/>
              </w:rPr>
            </w:pPr>
            <w:r>
              <w:rPr>
                <w:sz w:val="16"/>
                <w:szCs w:val="16"/>
              </w:rPr>
              <w:t xml:space="preserve">Has the benefit of resolving </w:t>
            </w:r>
            <w:r w:rsidR="00CD2D1F">
              <w:rPr>
                <w:sz w:val="16"/>
                <w:szCs w:val="16"/>
              </w:rPr>
              <w:t>uncertai</w:t>
            </w:r>
            <w:r w:rsidR="00403538">
              <w:rPr>
                <w:sz w:val="16"/>
                <w:szCs w:val="16"/>
              </w:rPr>
              <w:t>n</w:t>
            </w:r>
            <w:r w:rsidR="000270DC">
              <w:rPr>
                <w:sz w:val="16"/>
                <w:szCs w:val="16"/>
              </w:rPr>
              <w:t>ty surrounding investor intent. Genuine breeders are targeted</w:t>
            </w:r>
            <w:r w:rsidR="00D3170A">
              <w:rPr>
                <w:sz w:val="16"/>
                <w:szCs w:val="16"/>
              </w:rPr>
              <w:t>,</w:t>
            </w:r>
            <w:r w:rsidR="000270DC">
              <w:rPr>
                <w:sz w:val="16"/>
                <w:szCs w:val="16"/>
              </w:rPr>
              <w:t xml:space="preserve"> as carried-forward losses can only be used when a breeding business is </w:t>
            </w:r>
            <w:r w:rsidR="00F171F9">
              <w:rPr>
                <w:sz w:val="16"/>
                <w:szCs w:val="16"/>
              </w:rPr>
              <w:t>established.</w:t>
            </w:r>
          </w:p>
        </w:tc>
        <w:tc>
          <w:tcPr>
            <w:tcW w:w="5137" w:type="dxa"/>
            <w:shd w:val="clear" w:color="auto" w:fill="auto"/>
          </w:tcPr>
          <w:p w:rsidR="0062657E" w:rsidRPr="00721958" w:rsidRDefault="006C40AD" w:rsidP="00EC5E10">
            <w:pPr>
              <w:pStyle w:val="TableText"/>
              <w:spacing w:before="0" w:after="0" w:line="276" w:lineRule="auto"/>
              <w:jc w:val="center"/>
              <w:rPr>
                <w:b/>
                <w:color w:val="00B050"/>
                <w:sz w:val="16"/>
                <w:szCs w:val="16"/>
              </w:rPr>
            </w:pPr>
            <w:r w:rsidRPr="00721958">
              <w:rPr>
                <w:b/>
                <w:color w:val="00B050"/>
                <w:sz w:val="16"/>
                <w:szCs w:val="16"/>
              </w:rPr>
              <w:t>+</w:t>
            </w:r>
          </w:p>
          <w:p w:rsidR="00AA7154" w:rsidRDefault="00841A44" w:rsidP="00EC5E10">
            <w:pPr>
              <w:pStyle w:val="TableText"/>
              <w:spacing w:before="0" w:after="0" w:line="276" w:lineRule="auto"/>
              <w:rPr>
                <w:sz w:val="16"/>
                <w:szCs w:val="16"/>
              </w:rPr>
            </w:pPr>
            <w:r>
              <w:rPr>
                <w:sz w:val="16"/>
                <w:szCs w:val="16"/>
              </w:rPr>
              <w:t xml:space="preserve">Likely to </w:t>
            </w:r>
            <w:r w:rsidR="006C40AD" w:rsidRPr="00721958">
              <w:rPr>
                <w:sz w:val="16"/>
                <w:szCs w:val="16"/>
              </w:rPr>
              <w:t>encourag</w:t>
            </w:r>
            <w:r>
              <w:rPr>
                <w:sz w:val="16"/>
                <w:szCs w:val="16"/>
              </w:rPr>
              <w:t>e</w:t>
            </w:r>
            <w:r w:rsidR="006C40AD" w:rsidRPr="00721958">
              <w:rPr>
                <w:sz w:val="16"/>
                <w:szCs w:val="16"/>
              </w:rPr>
              <w:t xml:space="preserve"> new investors into the </w:t>
            </w:r>
            <w:r>
              <w:rPr>
                <w:sz w:val="16"/>
                <w:szCs w:val="16"/>
              </w:rPr>
              <w:t xml:space="preserve">racing </w:t>
            </w:r>
            <w:r w:rsidR="006C40AD" w:rsidRPr="00721958">
              <w:rPr>
                <w:sz w:val="16"/>
                <w:szCs w:val="16"/>
              </w:rPr>
              <w:t xml:space="preserve"> industry,</w:t>
            </w:r>
            <w:r w:rsidR="00871AEA">
              <w:rPr>
                <w:sz w:val="16"/>
                <w:szCs w:val="16"/>
              </w:rPr>
              <w:t xml:space="preserve"> but </w:t>
            </w:r>
            <w:r w:rsidR="00A12432">
              <w:rPr>
                <w:sz w:val="16"/>
                <w:szCs w:val="16"/>
              </w:rPr>
              <w:t xml:space="preserve">potentially </w:t>
            </w:r>
            <w:r w:rsidR="00871AEA">
              <w:rPr>
                <w:sz w:val="16"/>
                <w:szCs w:val="16"/>
              </w:rPr>
              <w:t xml:space="preserve">less efficient than option </w:t>
            </w:r>
            <w:r w:rsidR="009520E4">
              <w:rPr>
                <w:sz w:val="16"/>
                <w:szCs w:val="16"/>
              </w:rPr>
              <w:t>4</w:t>
            </w:r>
            <w:r w:rsidR="006C40AD" w:rsidRPr="00721958">
              <w:rPr>
                <w:sz w:val="16"/>
                <w:szCs w:val="16"/>
              </w:rPr>
              <w:t xml:space="preserve"> as it doesn’t </w:t>
            </w:r>
            <w:r w:rsidR="00077937">
              <w:rPr>
                <w:sz w:val="16"/>
                <w:szCs w:val="16"/>
              </w:rPr>
              <w:t>target stand</w:t>
            </w:r>
            <w:r w:rsidR="00ED58AF">
              <w:rPr>
                <w:sz w:val="16"/>
                <w:szCs w:val="16"/>
              </w:rPr>
              <w:t>out horses, so may capture a large number of horses that were</w:t>
            </w:r>
            <w:r w:rsidR="00493547">
              <w:rPr>
                <w:sz w:val="16"/>
                <w:szCs w:val="16"/>
              </w:rPr>
              <w:t xml:space="preserve"> mainly acquired as horses to race  rather than horses that are genuinely commercial </w:t>
            </w:r>
            <w:r w:rsidR="00ED58AF">
              <w:rPr>
                <w:sz w:val="16"/>
                <w:szCs w:val="16"/>
              </w:rPr>
              <w:t>breeding prospects.</w:t>
            </w:r>
            <w:r w:rsidR="00AA7154">
              <w:rPr>
                <w:sz w:val="16"/>
                <w:szCs w:val="16"/>
              </w:rPr>
              <w:t xml:space="preserve"> </w:t>
            </w:r>
          </w:p>
          <w:p w:rsidR="006C40AD" w:rsidRPr="00721958" w:rsidRDefault="00AA7154" w:rsidP="00EC5E10">
            <w:pPr>
              <w:pStyle w:val="TableText"/>
              <w:spacing w:before="0" w:after="0" w:line="276" w:lineRule="auto"/>
              <w:rPr>
                <w:sz w:val="16"/>
                <w:szCs w:val="16"/>
              </w:rPr>
            </w:pPr>
            <w:r>
              <w:rPr>
                <w:sz w:val="16"/>
                <w:szCs w:val="16"/>
              </w:rPr>
              <w:t>Likely</w:t>
            </w:r>
            <w:r w:rsidR="00841A44">
              <w:rPr>
                <w:sz w:val="16"/>
                <w:szCs w:val="16"/>
              </w:rPr>
              <w:t xml:space="preserve"> to be reasonably expensive.  </w:t>
            </w:r>
            <w:r w:rsidR="00ED58AF">
              <w:rPr>
                <w:sz w:val="16"/>
                <w:szCs w:val="16"/>
              </w:rPr>
              <w:t xml:space="preserve"> </w:t>
            </w:r>
          </w:p>
        </w:tc>
        <w:tc>
          <w:tcPr>
            <w:tcW w:w="3827" w:type="dxa"/>
            <w:shd w:val="clear" w:color="auto" w:fill="auto"/>
          </w:tcPr>
          <w:p w:rsidR="0062657E" w:rsidRPr="00721958" w:rsidRDefault="00A5450A" w:rsidP="00EC5E10">
            <w:pPr>
              <w:spacing w:after="0" w:line="276" w:lineRule="auto"/>
              <w:jc w:val="center"/>
              <w:rPr>
                <w:rFonts w:cs="Arial"/>
                <w:b/>
                <w:color w:val="00B050"/>
                <w:sz w:val="16"/>
                <w:szCs w:val="16"/>
              </w:rPr>
            </w:pPr>
            <w:r>
              <w:rPr>
                <w:rFonts w:cs="Arial"/>
                <w:b/>
                <w:color w:val="00B050"/>
                <w:sz w:val="16"/>
                <w:szCs w:val="16"/>
              </w:rPr>
              <w:t>+</w:t>
            </w:r>
          </w:p>
          <w:p w:rsidR="0065523F" w:rsidRPr="00721958" w:rsidRDefault="00A5450A" w:rsidP="00EC5E10">
            <w:pPr>
              <w:spacing w:after="0" w:line="276" w:lineRule="auto"/>
              <w:rPr>
                <w:rFonts w:cs="Arial"/>
                <w:sz w:val="16"/>
                <w:szCs w:val="16"/>
              </w:rPr>
            </w:pPr>
            <w:r>
              <w:rPr>
                <w:rFonts w:cs="Arial"/>
                <w:sz w:val="16"/>
                <w:szCs w:val="16"/>
              </w:rPr>
              <w:t>May be more</w:t>
            </w:r>
            <w:r w:rsidR="00F60092" w:rsidRPr="00721958">
              <w:rPr>
                <w:rFonts w:cs="Arial"/>
                <w:sz w:val="16"/>
                <w:szCs w:val="16"/>
              </w:rPr>
              <w:t xml:space="preserve"> efficient</w:t>
            </w:r>
            <w:r w:rsidR="00841A44">
              <w:rPr>
                <w:rFonts w:cs="Arial"/>
                <w:sz w:val="16"/>
                <w:szCs w:val="16"/>
              </w:rPr>
              <w:t xml:space="preserve"> </w:t>
            </w:r>
            <w:r>
              <w:rPr>
                <w:rFonts w:cs="Arial"/>
                <w:sz w:val="16"/>
                <w:szCs w:val="16"/>
              </w:rPr>
              <w:t xml:space="preserve">than option 3 </w:t>
            </w:r>
            <w:r w:rsidR="00841A44">
              <w:rPr>
                <w:rFonts w:cs="Arial"/>
                <w:sz w:val="16"/>
                <w:szCs w:val="16"/>
              </w:rPr>
              <w:t xml:space="preserve">because it </w:t>
            </w:r>
            <w:r w:rsidR="00A27A2F">
              <w:rPr>
                <w:rFonts w:cs="Arial"/>
                <w:sz w:val="16"/>
                <w:szCs w:val="16"/>
              </w:rPr>
              <w:t>targets</w:t>
            </w:r>
            <w:r w:rsidR="009E5AA1" w:rsidRPr="00721958">
              <w:rPr>
                <w:rFonts w:cs="Arial"/>
                <w:sz w:val="16"/>
                <w:szCs w:val="16"/>
              </w:rPr>
              <w:t xml:space="preserve"> new investors</w:t>
            </w:r>
            <w:r w:rsidR="00F115FF" w:rsidRPr="00721958">
              <w:rPr>
                <w:rFonts w:cs="Arial"/>
                <w:sz w:val="16"/>
                <w:szCs w:val="16"/>
              </w:rPr>
              <w:t xml:space="preserve"> </w:t>
            </w:r>
            <w:r w:rsidR="00F60092" w:rsidRPr="00721958">
              <w:rPr>
                <w:rFonts w:cs="Arial"/>
                <w:sz w:val="16"/>
                <w:szCs w:val="16"/>
              </w:rPr>
              <w:t xml:space="preserve">who are buying </w:t>
            </w:r>
            <w:r w:rsidR="00665FFA" w:rsidRPr="00721958">
              <w:rPr>
                <w:rFonts w:cs="Arial"/>
                <w:sz w:val="16"/>
                <w:szCs w:val="16"/>
              </w:rPr>
              <w:t xml:space="preserve">high-quality </w:t>
            </w:r>
            <w:r w:rsidR="00493547">
              <w:rPr>
                <w:rFonts w:cs="Arial"/>
                <w:sz w:val="16"/>
                <w:szCs w:val="16"/>
              </w:rPr>
              <w:t>yearlings</w:t>
            </w:r>
            <w:r w:rsidR="00841A44">
              <w:rPr>
                <w:rFonts w:cs="Arial"/>
                <w:sz w:val="16"/>
                <w:szCs w:val="16"/>
              </w:rPr>
              <w:t xml:space="preserve"> with better commercial breeding potential</w:t>
            </w:r>
            <w:r w:rsidR="00493547">
              <w:rPr>
                <w:rFonts w:cs="Arial"/>
                <w:sz w:val="16"/>
                <w:szCs w:val="16"/>
              </w:rPr>
              <w:t xml:space="preserve"> </w:t>
            </w:r>
            <w:r w:rsidR="00D27E4B">
              <w:rPr>
                <w:rFonts w:cs="Arial"/>
                <w:sz w:val="16"/>
                <w:szCs w:val="16"/>
              </w:rPr>
              <w:t>(</w:t>
            </w:r>
            <w:r w:rsidR="0025526B">
              <w:rPr>
                <w:rFonts w:cs="Arial"/>
                <w:sz w:val="16"/>
                <w:szCs w:val="16"/>
              </w:rPr>
              <w:t xml:space="preserve">presumably </w:t>
            </w:r>
            <w:r w:rsidR="00D27E4B">
              <w:rPr>
                <w:rFonts w:cs="Arial"/>
                <w:sz w:val="16"/>
                <w:szCs w:val="16"/>
              </w:rPr>
              <w:t>reflected by high purchase price)</w:t>
            </w:r>
            <w:r w:rsidR="00841A44">
              <w:rPr>
                <w:rFonts w:cs="Arial"/>
                <w:sz w:val="16"/>
                <w:szCs w:val="16"/>
              </w:rPr>
              <w:t xml:space="preserve">.  </w:t>
            </w:r>
            <w:r w:rsidR="00665FFA" w:rsidRPr="00721958">
              <w:rPr>
                <w:rFonts w:cs="Arial"/>
                <w:sz w:val="16"/>
                <w:szCs w:val="16"/>
              </w:rPr>
              <w:t xml:space="preserve"> </w:t>
            </w:r>
          </w:p>
        </w:tc>
      </w:tr>
      <w:tr w:rsidR="00663BAA" w:rsidRPr="00DD7964" w:rsidTr="00EC5E10">
        <w:tc>
          <w:tcPr>
            <w:tcW w:w="1595" w:type="dxa"/>
            <w:shd w:val="clear" w:color="auto" w:fill="99CDDD"/>
          </w:tcPr>
          <w:p w:rsidR="0062657E" w:rsidRPr="00721958" w:rsidRDefault="006D6D58" w:rsidP="00EC5E10">
            <w:pPr>
              <w:spacing w:after="0" w:line="240" w:lineRule="auto"/>
              <w:rPr>
                <w:rFonts w:cs="Arial"/>
                <w:b/>
                <w:color w:val="000000"/>
                <w:sz w:val="16"/>
                <w:szCs w:val="16"/>
              </w:rPr>
            </w:pPr>
            <w:r w:rsidRPr="00721958">
              <w:rPr>
                <w:rFonts w:cs="Arial"/>
                <w:b/>
                <w:color w:val="000000"/>
                <w:sz w:val="16"/>
                <w:szCs w:val="16"/>
              </w:rPr>
              <w:t>Admin</w:t>
            </w:r>
            <w:r w:rsidR="00932C17">
              <w:rPr>
                <w:rFonts w:cs="Arial"/>
                <w:b/>
                <w:color w:val="000000"/>
                <w:sz w:val="16"/>
                <w:szCs w:val="16"/>
              </w:rPr>
              <w:t>istration</w:t>
            </w:r>
            <w:r w:rsidRPr="00721958">
              <w:rPr>
                <w:rFonts w:cs="Arial"/>
                <w:b/>
                <w:color w:val="000000"/>
                <w:sz w:val="16"/>
                <w:szCs w:val="16"/>
              </w:rPr>
              <w:t xml:space="preserve"> &amp; compliance costs</w:t>
            </w:r>
          </w:p>
        </w:tc>
        <w:tc>
          <w:tcPr>
            <w:tcW w:w="1207" w:type="dxa"/>
            <w:shd w:val="clear" w:color="auto" w:fill="auto"/>
          </w:tcPr>
          <w:p w:rsidR="00EC5E10" w:rsidRDefault="00EC5E10" w:rsidP="00EC5E10">
            <w:pPr>
              <w:pStyle w:val="TableText"/>
              <w:spacing w:before="0" w:after="0" w:line="276" w:lineRule="auto"/>
              <w:jc w:val="center"/>
              <w:rPr>
                <w:b/>
                <w:sz w:val="16"/>
                <w:szCs w:val="16"/>
              </w:rPr>
            </w:pPr>
          </w:p>
          <w:p w:rsidR="0062657E" w:rsidRPr="00721958" w:rsidRDefault="0062657E" w:rsidP="00EC5E10">
            <w:pPr>
              <w:pStyle w:val="TableText"/>
              <w:spacing w:before="0" w:after="0" w:line="276" w:lineRule="auto"/>
              <w:jc w:val="center"/>
              <w:rPr>
                <w:b/>
                <w:sz w:val="16"/>
                <w:szCs w:val="16"/>
              </w:rPr>
            </w:pPr>
            <w:r w:rsidRPr="00721958">
              <w:rPr>
                <w:b/>
                <w:sz w:val="16"/>
                <w:szCs w:val="16"/>
              </w:rPr>
              <w:t>0</w:t>
            </w:r>
          </w:p>
        </w:tc>
        <w:tc>
          <w:tcPr>
            <w:tcW w:w="3685" w:type="dxa"/>
            <w:shd w:val="clear" w:color="auto" w:fill="auto"/>
          </w:tcPr>
          <w:p w:rsidR="0062657E" w:rsidRPr="00A71847" w:rsidRDefault="00A71847" w:rsidP="00EC5E10">
            <w:pPr>
              <w:pStyle w:val="TableText"/>
              <w:spacing w:before="0" w:after="0" w:line="276" w:lineRule="auto"/>
              <w:jc w:val="center"/>
              <w:rPr>
                <w:b/>
                <w:sz w:val="16"/>
                <w:szCs w:val="16"/>
              </w:rPr>
            </w:pPr>
            <w:r>
              <w:rPr>
                <w:b/>
                <w:sz w:val="16"/>
                <w:szCs w:val="16"/>
              </w:rPr>
              <w:t>0</w:t>
            </w:r>
          </w:p>
          <w:p w:rsidR="00031A77" w:rsidRPr="00721958" w:rsidRDefault="007607E3" w:rsidP="00EC5E10">
            <w:pPr>
              <w:pStyle w:val="TableText"/>
              <w:spacing w:before="0" w:after="0" w:line="276" w:lineRule="auto"/>
              <w:rPr>
                <w:sz w:val="16"/>
                <w:szCs w:val="16"/>
              </w:rPr>
            </w:pPr>
            <w:r w:rsidRPr="00721958">
              <w:rPr>
                <w:sz w:val="16"/>
                <w:szCs w:val="16"/>
              </w:rPr>
              <w:t>Similar to status quo as a breeding business is still required.</w:t>
            </w:r>
            <w:r w:rsidR="00E5628D" w:rsidRPr="00721958">
              <w:rPr>
                <w:sz w:val="16"/>
                <w:szCs w:val="16"/>
              </w:rPr>
              <w:t xml:space="preserve"> </w:t>
            </w:r>
            <w:r w:rsidR="00BB2C79">
              <w:rPr>
                <w:sz w:val="16"/>
                <w:szCs w:val="16"/>
              </w:rPr>
              <w:t xml:space="preserve">There </w:t>
            </w:r>
            <w:r w:rsidR="00E5628D" w:rsidRPr="00721958">
              <w:rPr>
                <w:sz w:val="16"/>
                <w:szCs w:val="16"/>
              </w:rPr>
              <w:t xml:space="preserve">may be </w:t>
            </w:r>
            <w:r w:rsidR="00BB2C79">
              <w:rPr>
                <w:sz w:val="16"/>
                <w:szCs w:val="16"/>
              </w:rPr>
              <w:t>an</w:t>
            </w:r>
            <w:r w:rsidR="00E5628D" w:rsidRPr="00721958">
              <w:rPr>
                <w:sz w:val="16"/>
                <w:szCs w:val="16"/>
              </w:rPr>
              <w:t xml:space="preserve"> i</w:t>
            </w:r>
            <w:r w:rsidR="00BB2C79">
              <w:rPr>
                <w:sz w:val="16"/>
                <w:szCs w:val="16"/>
              </w:rPr>
              <w:t>ncreased number of applications, however administration is otherwise the same.</w:t>
            </w:r>
          </w:p>
        </w:tc>
        <w:tc>
          <w:tcPr>
            <w:tcW w:w="5137" w:type="dxa"/>
            <w:shd w:val="clear" w:color="auto" w:fill="auto"/>
          </w:tcPr>
          <w:p w:rsidR="0062657E" w:rsidRPr="00721958" w:rsidRDefault="009159CB" w:rsidP="00EC5E10">
            <w:pPr>
              <w:pStyle w:val="TableText"/>
              <w:spacing w:before="0" w:after="0" w:line="276" w:lineRule="auto"/>
              <w:jc w:val="center"/>
              <w:rPr>
                <w:b/>
                <w:color w:val="FF0000"/>
                <w:sz w:val="16"/>
                <w:szCs w:val="16"/>
              </w:rPr>
            </w:pPr>
            <w:r w:rsidRPr="00721958">
              <w:rPr>
                <w:b/>
                <w:color w:val="FF0000"/>
                <w:sz w:val="16"/>
                <w:szCs w:val="16"/>
              </w:rPr>
              <w:t>-</w:t>
            </w:r>
            <w:r w:rsidR="00CE7031" w:rsidRPr="00721958">
              <w:rPr>
                <w:b/>
                <w:color w:val="FF0000"/>
                <w:sz w:val="16"/>
                <w:szCs w:val="16"/>
              </w:rPr>
              <w:t>-</w:t>
            </w:r>
          </w:p>
          <w:p w:rsidR="006E346E" w:rsidRDefault="006E346E" w:rsidP="00EC5E10">
            <w:pPr>
              <w:pStyle w:val="TableText"/>
              <w:spacing w:before="0" w:after="0" w:line="276" w:lineRule="auto"/>
              <w:rPr>
                <w:sz w:val="16"/>
                <w:szCs w:val="16"/>
              </w:rPr>
            </w:pPr>
            <w:r>
              <w:rPr>
                <w:sz w:val="16"/>
                <w:szCs w:val="16"/>
              </w:rPr>
              <w:t xml:space="preserve">Low compliance costs as taxpayers claim an intention to breed in their tax return by including costs as deductions in the normal way.  However, these claims are subject to review by the Commissioner if there is concern whether the intent exists.    </w:t>
            </w:r>
          </w:p>
          <w:p w:rsidR="009159CB" w:rsidRPr="00721958" w:rsidRDefault="006E346E" w:rsidP="00EC5E10">
            <w:pPr>
              <w:pStyle w:val="TableText"/>
              <w:spacing w:before="0" w:after="0" w:line="276" w:lineRule="auto"/>
              <w:rPr>
                <w:sz w:val="16"/>
                <w:szCs w:val="16"/>
              </w:rPr>
            </w:pPr>
            <w:r>
              <w:rPr>
                <w:sz w:val="16"/>
                <w:szCs w:val="16"/>
              </w:rPr>
              <w:t xml:space="preserve">Potentially more </w:t>
            </w:r>
            <w:r w:rsidR="00932894" w:rsidRPr="00721958">
              <w:rPr>
                <w:sz w:val="16"/>
                <w:szCs w:val="16"/>
              </w:rPr>
              <w:t>admin</w:t>
            </w:r>
            <w:r w:rsidR="00493547">
              <w:rPr>
                <w:sz w:val="16"/>
                <w:szCs w:val="16"/>
              </w:rPr>
              <w:t>istration</w:t>
            </w:r>
            <w:r w:rsidR="00932894" w:rsidRPr="00721958">
              <w:rPr>
                <w:sz w:val="16"/>
                <w:szCs w:val="16"/>
              </w:rPr>
              <w:t xml:space="preserve"> costs </w:t>
            </w:r>
            <w:r>
              <w:rPr>
                <w:sz w:val="16"/>
                <w:szCs w:val="16"/>
              </w:rPr>
              <w:t>to review and dispute claims of intention to bre</w:t>
            </w:r>
            <w:r w:rsidR="00D60AB2">
              <w:rPr>
                <w:sz w:val="16"/>
                <w:szCs w:val="16"/>
              </w:rPr>
              <w:t xml:space="preserve">ed.  Typically, proving that an </w:t>
            </w:r>
            <w:r>
              <w:rPr>
                <w:sz w:val="16"/>
                <w:szCs w:val="16"/>
              </w:rPr>
              <w:t xml:space="preserve">intention does not exist is difficult.  </w:t>
            </w:r>
            <w:r w:rsidR="00704E1A" w:rsidRPr="00721958">
              <w:rPr>
                <w:sz w:val="16"/>
                <w:szCs w:val="16"/>
              </w:rPr>
              <w:t xml:space="preserve">Due to lack of restrictions on number of horses, </w:t>
            </w:r>
            <w:r w:rsidR="00C11EF9" w:rsidRPr="00721958">
              <w:rPr>
                <w:sz w:val="16"/>
                <w:szCs w:val="16"/>
              </w:rPr>
              <w:t xml:space="preserve">number of </w:t>
            </w:r>
            <w:r>
              <w:rPr>
                <w:sz w:val="16"/>
                <w:szCs w:val="16"/>
              </w:rPr>
              <w:t xml:space="preserve">cases to review </w:t>
            </w:r>
            <w:r w:rsidR="00C11EF9" w:rsidRPr="00721958">
              <w:rPr>
                <w:sz w:val="16"/>
                <w:szCs w:val="16"/>
              </w:rPr>
              <w:t>could be large.</w:t>
            </w:r>
          </w:p>
        </w:tc>
        <w:tc>
          <w:tcPr>
            <w:tcW w:w="3827" w:type="dxa"/>
            <w:shd w:val="clear" w:color="auto" w:fill="auto"/>
          </w:tcPr>
          <w:p w:rsidR="0062657E" w:rsidRPr="00721958" w:rsidRDefault="00CE7031" w:rsidP="00EC5E10">
            <w:pPr>
              <w:spacing w:after="0" w:line="276" w:lineRule="auto"/>
              <w:jc w:val="center"/>
              <w:rPr>
                <w:rFonts w:cs="Arial"/>
                <w:b/>
                <w:color w:val="FF0000"/>
                <w:sz w:val="16"/>
                <w:szCs w:val="16"/>
              </w:rPr>
            </w:pPr>
            <w:r w:rsidRPr="00721958">
              <w:rPr>
                <w:rFonts w:cs="Arial"/>
                <w:b/>
                <w:color w:val="FF0000"/>
                <w:sz w:val="16"/>
                <w:szCs w:val="16"/>
              </w:rPr>
              <w:t>-</w:t>
            </w:r>
          </w:p>
          <w:p w:rsidR="00CE7031" w:rsidRPr="00721958" w:rsidRDefault="00FF40AB" w:rsidP="00EC5E10">
            <w:pPr>
              <w:spacing w:after="0" w:line="276" w:lineRule="auto"/>
              <w:rPr>
                <w:rFonts w:cs="Arial"/>
                <w:sz w:val="16"/>
                <w:szCs w:val="16"/>
              </w:rPr>
            </w:pPr>
            <w:r>
              <w:rPr>
                <w:rFonts w:cs="Arial"/>
                <w:sz w:val="16"/>
                <w:szCs w:val="16"/>
              </w:rPr>
              <w:t>More</w:t>
            </w:r>
            <w:r w:rsidR="003427BE" w:rsidRPr="00721958">
              <w:rPr>
                <w:rFonts w:cs="Arial"/>
                <w:sz w:val="16"/>
                <w:szCs w:val="16"/>
              </w:rPr>
              <w:t xml:space="preserve"> compliance and admin</w:t>
            </w:r>
            <w:r w:rsidR="00493547">
              <w:rPr>
                <w:rFonts w:cs="Arial"/>
                <w:sz w:val="16"/>
                <w:szCs w:val="16"/>
              </w:rPr>
              <w:t>istration</w:t>
            </w:r>
            <w:r w:rsidR="003427BE" w:rsidRPr="00721958">
              <w:rPr>
                <w:rFonts w:cs="Arial"/>
                <w:sz w:val="16"/>
                <w:szCs w:val="16"/>
              </w:rPr>
              <w:t xml:space="preserve"> than </w:t>
            </w:r>
            <w:r w:rsidR="00B350D2">
              <w:rPr>
                <w:rFonts w:cs="Arial"/>
                <w:sz w:val="16"/>
                <w:szCs w:val="16"/>
              </w:rPr>
              <w:t>options 1 or 2</w:t>
            </w:r>
            <w:r w:rsidR="003427BE" w:rsidRPr="00721958">
              <w:rPr>
                <w:rFonts w:cs="Arial"/>
                <w:sz w:val="16"/>
                <w:szCs w:val="16"/>
              </w:rPr>
              <w:t>, as it</w:t>
            </w:r>
            <w:r w:rsidR="0069331F" w:rsidRPr="00721958">
              <w:rPr>
                <w:rFonts w:cs="Arial"/>
                <w:sz w:val="16"/>
                <w:szCs w:val="16"/>
              </w:rPr>
              <w:t xml:space="preserve"> is</w:t>
            </w:r>
            <w:r w:rsidR="003427BE" w:rsidRPr="00721958">
              <w:rPr>
                <w:rFonts w:cs="Arial"/>
                <w:sz w:val="16"/>
                <w:szCs w:val="16"/>
              </w:rPr>
              <w:t xml:space="preserve"> based on intention to breed. </w:t>
            </w:r>
            <w:r w:rsidR="004271DD">
              <w:rPr>
                <w:rFonts w:cs="Arial"/>
                <w:sz w:val="16"/>
                <w:szCs w:val="16"/>
              </w:rPr>
              <w:t>Less</w:t>
            </w:r>
            <w:r w:rsidR="000F6F8D" w:rsidRPr="00721958">
              <w:rPr>
                <w:rFonts w:cs="Arial"/>
                <w:sz w:val="16"/>
                <w:szCs w:val="16"/>
              </w:rPr>
              <w:t xml:space="preserve"> </w:t>
            </w:r>
            <w:r w:rsidR="009520E4">
              <w:rPr>
                <w:rFonts w:cs="Arial"/>
                <w:sz w:val="16"/>
                <w:szCs w:val="16"/>
              </w:rPr>
              <w:t>than option 3</w:t>
            </w:r>
            <w:r w:rsidR="001141E1" w:rsidRPr="00721958">
              <w:rPr>
                <w:rFonts w:cs="Arial"/>
                <w:sz w:val="16"/>
                <w:szCs w:val="16"/>
              </w:rPr>
              <w:t xml:space="preserve">, because </w:t>
            </w:r>
            <w:r w:rsidR="0069331F" w:rsidRPr="00721958">
              <w:rPr>
                <w:rFonts w:cs="Arial"/>
                <w:sz w:val="16"/>
                <w:szCs w:val="16"/>
              </w:rPr>
              <w:t xml:space="preserve">number of horses is </w:t>
            </w:r>
            <w:r w:rsidR="009C667B" w:rsidRPr="00721958">
              <w:rPr>
                <w:rFonts w:cs="Arial"/>
                <w:sz w:val="16"/>
                <w:szCs w:val="16"/>
              </w:rPr>
              <w:t>restricted by bright-line price floor.</w:t>
            </w:r>
          </w:p>
        </w:tc>
      </w:tr>
      <w:tr w:rsidR="00663BAA" w:rsidRPr="00DD7964" w:rsidTr="00EC5E10">
        <w:tc>
          <w:tcPr>
            <w:tcW w:w="1595" w:type="dxa"/>
            <w:shd w:val="clear" w:color="auto" w:fill="99CDDD"/>
          </w:tcPr>
          <w:p w:rsidR="0062657E" w:rsidRDefault="008544BB" w:rsidP="00EC5E10">
            <w:pPr>
              <w:spacing w:after="0" w:line="240" w:lineRule="auto"/>
              <w:rPr>
                <w:rFonts w:cs="Arial"/>
                <w:b/>
                <w:color w:val="000000"/>
                <w:sz w:val="16"/>
                <w:szCs w:val="16"/>
              </w:rPr>
            </w:pPr>
            <w:r w:rsidRPr="00721958">
              <w:rPr>
                <w:rFonts w:cs="Arial"/>
                <w:b/>
                <w:color w:val="000000"/>
                <w:sz w:val="16"/>
                <w:szCs w:val="16"/>
              </w:rPr>
              <w:t>Sustainability</w:t>
            </w:r>
          </w:p>
          <w:p w:rsidR="00595F21" w:rsidRPr="00721958" w:rsidRDefault="00595F21" w:rsidP="00EC5E10">
            <w:pPr>
              <w:spacing w:after="0" w:line="240" w:lineRule="auto"/>
              <w:rPr>
                <w:rFonts w:cs="Arial"/>
                <w:b/>
                <w:color w:val="000000"/>
                <w:sz w:val="16"/>
                <w:szCs w:val="16"/>
              </w:rPr>
            </w:pPr>
            <w:r>
              <w:rPr>
                <w:rFonts w:cs="Arial"/>
                <w:b/>
                <w:color w:val="000000"/>
                <w:sz w:val="16"/>
                <w:szCs w:val="16"/>
              </w:rPr>
              <w:t>(precedent &amp; fiscal cost)</w:t>
            </w:r>
          </w:p>
        </w:tc>
        <w:tc>
          <w:tcPr>
            <w:tcW w:w="1207" w:type="dxa"/>
            <w:shd w:val="clear" w:color="auto" w:fill="auto"/>
          </w:tcPr>
          <w:p w:rsidR="00EC5E10" w:rsidRDefault="00EC5E10" w:rsidP="00EC5E10">
            <w:pPr>
              <w:pStyle w:val="TableText"/>
              <w:spacing w:before="0" w:after="0" w:line="276" w:lineRule="auto"/>
              <w:jc w:val="center"/>
              <w:rPr>
                <w:b/>
                <w:sz w:val="16"/>
                <w:szCs w:val="16"/>
              </w:rPr>
            </w:pPr>
          </w:p>
          <w:p w:rsidR="0062657E" w:rsidRPr="00721958" w:rsidRDefault="0062657E" w:rsidP="00EC5E10">
            <w:pPr>
              <w:pStyle w:val="TableText"/>
              <w:spacing w:before="0" w:after="0" w:line="276" w:lineRule="auto"/>
              <w:jc w:val="center"/>
              <w:rPr>
                <w:b/>
                <w:sz w:val="16"/>
                <w:szCs w:val="16"/>
              </w:rPr>
            </w:pPr>
            <w:r w:rsidRPr="00721958">
              <w:rPr>
                <w:b/>
                <w:sz w:val="16"/>
                <w:szCs w:val="16"/>
              </w:rPr>
              <w:t>0</w:t>
            </w:r>
          </w:p>
        </w:tc>
        <w:tc>
          <w:tcPr>
            <w:tcW w:w="3685" w:type="dxa"/>
            <w:shd w:val="clear" w:color="auto" w:fill="auto"/>
          </w:tcPr>
          <w:p w:rsidR="0062657E" w:rsidRPr="00721958" w:rsidRDefault="00C85F4A" w:rsidP="00EC5E10">
            <w:pPr>
              <w:pStyle w:val="TableText"/>
              <w:spacing w:before="0" w:after="0" w:line="276" w:lineRule="auto"/>
              <w:jc w:val="center"/>
              <w:rPr>
                <w:rFonts w:cs="Arial"/>
                <w:b/>
                <w:color w:val="FF0000"/>
                <w:sz w:val="16"/>
                <w:szCs w:val="16"/>
              </w:rPr>
            </w:pPr>
            <w:r w:rsidRPr="00721958">
              <w:rPr>
                <w:rFonts w:cs="Arial"/>
                <w:b/>
                <w:color w:val="FF0000"/>
                <w:sz w:val="16"/>
                <w:szCs w:val="16"/>
              </w:rPr>
              <w:t>-</w:t>
            </w:r>
          </w:p>
          <w:p w:rsidR="00DD2A88" w:rsidRDefault="00C85F4A" w:rsidP="00EC5E10">
            <w:pPr>
              <w:pStyle w:val="TableText"/>
              <w:spacing w:before="0" w:after="0" w:line="276" w:lineRule="auto"/>
              <w:rPr>
                <w:rFonts w:cs="Arial"/>
                <w:sz w:val="16"/>
                <w:szCs w:val="16"/>
              </w:rPr>
            </w:pPr>
            <w:r w:rsidRPr="00721958">
              <w:rPr>
                <w:rFonts w:cs="Arial"/>
                <w:sz w:val="16"/>
                <w:szCs w:val="16"/>
              </w:rPr>
              <w:t xml:space="preserve">Slightly less sustainable than status quo, because additional incentives for </w:t>
            </w:r>
            <w:r w:rsidR="003C7BB1" w:rsidRPr="00721958">
              <w:rPr>
                <w:rFonts w:cs="Arial"/>
                <w:sz w:val="16"/>
                <w:szCs w:val="16"/>
              </w:rPr>
              <w:t xml:space="preserve">investors </w:t>
            </w:r>
            <w:r w:rsidR="004C4A24" w:rsidRPr="00721958">
              <w:rPr>
                <w:rFonts w:cs="Arial"/>
                <w:sz w:val="16"/>
                <w:szCs w:val="16"/>
              </w:rPr>
              <w:t xml:space="preserve">increase </w:t>
            </w:r>
            <w:r w:rsidR="00AC7815" w:rsidRPr="00721958">
              <w:rPr>
                <w:rFonts w:cs="Arial"/>
                <w:sz w:val="16"/>
                <w:szCs w:val="16"/>
              </w:rPr>
              <w:t>differential treatment of sector</w:t>
            </w:r>
            <w:r w:rsidR="008869D5" w:rsidRPr="00721958">
              <w:rPr>
                <w:rFonts w:cs="Arial"/>
                <w:sz w:val="16"/>
                <w:szCs w:val="16"/>
              </w:rPr>
              <w:t xml:space="preserve">, which </w:t>
            </w:r>
            <w:r w:rsidR="005A1698" w:rsidRPr="00721958">
              <w:rPr>
                <w:rFonts w:cs="Arial"/>
                <w:sz w:val="16"/>
                <w:szCs w:val="16"/>
              </w:rPr>
              <w:t xml:space="preserve">can create precedent for </w:t>
            </w:r>
            <w:r w:rsidR="0078555C" w:rsidRPr="00721958">
              <w:rPr>
                <w:rFonts w:cs="Arial"/>
                <w:sz w:val="16"/>
                <w:szCs w:val="16"/>
              </w:rPr>
              <w:t xml:space="preserve">other sectors seeking </w:t>
            </w:r>
            <w:r w:rsidR="004C5F6A" w:rsidRPr="00721958">
              <w:rPr>
                <w:rFonts w:cs="Arial"/>
                <w:sz w:val="16"/>
                <w:szCs w:val="16"/>
              </w:rPr>
              <w:t>incentives in the future.</w:t>
            </w:r>
            <w:r w:rsidR="000C16BA">
              <w:rPr>
                <w:rFonts w:cs="Arial"/>
                <w:sz w:val="16"/>
                <w:szCs w:val="16"/>
              </w:rPr>
              <w:t xml:space="preserve"> </w:t>
            </w:r>
            <w:r w:rsidR="00DD2A88">
              <w:rPr>
                <w:rFonts w:cs="Arial"/>
                <w:sz w:val="16"/>
                <w:szCs w:val="16"/>
              </w:rPr>
              <w:t xml:space="preserve">However, the </w:t>
            </w:r>
            <w:r w:rsidR="00BB2E83">
              <w:rPr>
                <w:rFonts w:cs="Arial"/>
                <w:sz w:val="16"/>
                <w:szCs w:val="16"/>
              </w:rPr>
              <w:t>option</w:t>
            </w:r>
            <w:r w:rsidR="00DD2A88">
              <w:rPr>
                <w:rFonts w:cs="Arial"/>
                <w:sz w:val="16"/>
                <w:szCs w:val="16"/>
              </w:rPr>
              <w:t xml:space="preserve"> is broadly in line with current policy settings as a breeding business is required. </w:t>
            </w:r>
          </w:p>
          <w:p w:rsidR="00C85F4A" w:rsidRPr="00721958" w:rsidRDefault="000C16BA" w:rsidP="00EC5E10">
            <w:pPr>
              <w:pStyle w:val="TableText"/>
              <w:spacing w:before="0" w:after="0" w:line="276" w:lineRule="auto"/>
              <w:rPr>
                <w:sz w:val="16"/>
                <w:szCs w:val="16"/>
              </w:rPr>
            </w:pPr>
            <w:r>
              <w:rPr>
                <w:rFonts w:cs="Arial"/>
                <w:sz w:val="16"/>
                <w:szCs w:val="16"/>
              </w:rPr>
              <w:t xml:space="preserve">Fiscal cost is </w:t>
            </w:r>
            <w:r w:rsidR="00B66F7F">
              <w:rPr>
                <w:rFonts w:cs="Arial"/>
                <w:sz w:val="16"/>
                <w:szCs w:val="16"/>
              </w:rPr>
              <w:t xml:space="preserve">significantly lower than option </w:t>
            </w:r>
            <w:r w:rsidR="00305CEB">
              <w:rPr>
                <w:rFonts w:cs="Arial"/>
                <w:sz w:val="16"/>
                <w:szCs w:val="16"/>
              </w:rPr>
              <w:t>3 and 4</w:t>
            </w:r>
            <w:r w:rsidR="00B66F7F">
              <w:rPr>
                <w:rFonts w:cs="Arial"/>
                <w:sz w:val="16"/>
                <w:szCs w:val="16"/>
              </w:rPr>
              <w:t xml:space="preserve">. </w:t>
            </w:r>
          </w:p>
        </w:tc>
        <w:tc>
          <w:tcPr>
            <w:tcW w:w="5137" w:type="dxa"/>
            <w:shd w:val="clear" w:color="auto" w:fill="auto"/>
          </w:tcPr>
          <w:p w:rsidR="00A05EB0" w:rsidRPr="00721958" w:rsidRDefault="00A05EB0" w:rsidP="00EC5E10">
            <w:pPr>
              <w:pStyle w:val="TableText"/>
              <w:spacing w:before="0" w:after="0" w:line="276" w:lineRule="auto"/>
              <w:jc w:val="center"/>
              <w:rPr>
                <w:b/>
                <w:color w:val="FF0000"/>
                <w:sz w:val="16"/>
                <w:szCs w:val="16"/>
              </w:rPr>
            </w:pPr>
            <w:r w:rsidRPr="00721958">
              <w:rPr>
                <w:b/>
                <w:color w:val="FF0000"/>
                <w:sz w:val="16"/>
                <w:szCs w:val="16"/>
              </w:rPr>
              <w:t>-</w:t>
            </w:r>
            <w:r w:rsidR="004643D1">
              <w:rPr>
                <w:b/>
                <w:color w:val="FF0000"/>
                <w:sz w:val="16"/>
                <w:szCs w:val="16"/>
              </w:rPr>
              <w:t>-</w:t>
            </w:r>
          </w:p>
          <w:p w:rsidR="0062657E" w:rsidRPr="00721958" w:rsidRDefault="00D96961" w:rsidP="00EC5E10">
            <w:pPr>
              <w:pStyle w:val="TableText"/>
              <w:spacing w:before="0" w:after="0" w:line="276" w:lineRule="auto"/>
              <w:rPr>
                <w:sz w:val="16"/>
                <w:szCs w:val="16"/>
              </w:rPr>
            </w:pPr>
            <w:r w:rsidRPr="00721958">
              <w:rPr>
                <w:sz w:val="16"/>
                <w:szCs w:val="16"/>
              </w:rPr>
              <w:t>Least sustainable</w:t>
            </w:r>
            <w:r w:rsidR="004921DE">
              <w:rPr>
                <w:sz w:val="16"/>
                <w:szCs w:val="16"/>
              </w:rPr>
              <w:t>. Offering</w:t>
            </w:r>
            <w:r w:rsidR="009545B0" w:rsidRPr="00721958">
              <w:rPr>
                <w:sz w:val="16"/>
                <w:szCs w:val="16"/>
              </w:rPr>
              <w:t xml:space="preserve"> deductions </w:t>
            </w:r>
            <w:r w:rsidR="002C5E07">
              <w:rPr>
                <w:sz w:val="16"/>
                <w:szCs w:val="16"/>
              </w:rPr>
              <w:t>to</w:t>
            </w:r>
            <w:r w:rsidR="009545B0" w:rsidRPr="00721958">
              <w:rPr>
                <w:sz w:val="16"/>
                <w:szCs w:val="16"/>
              </w:rPr>
              <w:t xml:space="preserve"> </w:t>
            </w:r>
            <w:r w:rsidR="003F1586" w:rsidRPr="00721958">
              <w:rPr>
                <w:sz w:val="16"/>
                <w:szCs w:val="16"/>
              </w:rPr>
              <w:t>any bloodstock investor</w:t>
            </w:r>
            <w:r w:rsidR="009545B0" w:rsidRPr="00721958">
              <w:rPr>
                <w:sz w:val="16"/>
                <w:szCs w:val="16"/>
              </w:rPr>
              <w:t xml:space="preserve"> who can demonstrate intention to breed </w:t>
            </w:r>
            <w:r w:rsidR="000456E8" w:rsidRPr="00721958">
              <w:rPr>
                <w:sz w:val="16"/>
                <w:szCs w:val="16"/>
              </w:rPr>
              <w:t xml:space="preserve">sets </w:t>
            </w:r>
            <w:r w:rsidR="005271A0" w:rsidRPr="00721958">
              <w:rPr>
                <w:sz w:val="16"/>
                <w:szCs w:val="16"/>
              </w:rPr>
              <w:t xml:space="preserve">wide </w:t>
            </w:r>
            <w:r w:rsidR="008C0A61" w:rsidRPr="00721958">
              <w:rPr>
                <w:sz w:val="16"/>
                <w:szCs w:val="16"/>
              </w:rPr>
              <w:t xml:space="preserve">precedent </w:t>
            </w:r>
            <w:r w:rsidR="005271A0" w:rsidRPr="00721958">
              <w:rPr>
                <w:sz w:val="16"/>
                <w:szCs w:val="16"/>
              </w:rPr>
              <w:t xml:space="preserve">if </w:t>
            </w:r>
            <w:r w:rsidR="00E22B61" w:rsidRPr="00721958">
              <w:rPr>
                <w:sz w:val="16"/>
                <w:szCs w:val="16"/>
              </w:rPr>
              <w:t>other activities are lobbied to be brought into tax net in future.</w:t>
            </w:r>
            <w:r w:rsidR="005B1A43">
              <w:rPr>
                <w:sz w:val="16"/>
                <w:szCs w:val="16"/>
              </w:rPr>
              <w:t xml:space="preserve"> </w:t>
            </w:r>
            <w:r w:rsidR="006A2D23">
              <w:rPr>
                <w:sz w:val="16"/>
                <w:szCs w:val="16"/>
              </w:rPr>
              <w:t>Potentially</w:t>
            </w:r>
            <w:r w:rsidR="00DC2F91">
              <w:rPr>
                <w:sz w:val="16"/>
                <w:szCs w:val="16"/>
              </w:rPr>
              <w:t xml:space="preserve"> very costly fiscally</w:t>
            </w:r>
            <w:r w:rsidR="0065026D">
              <w:rPr>
                <w:sz w:val="16"/>
                <w:szCs w:val="16"/>
              </w:rPr>
              <w:t xml:space="preserve">. </w:t>
            </w:r>
          </w:p>
        </w:tc>
        <w:tc>
          <w:tcPr>
            <w:tcW w:w="3827" w:type="dxa"/>
            <w:shd w:val="clear" w:color="auto" w:fill="auto"/>
          </w:tcPr>
          <w:p w:rsidR="0062657E" w:rsidRPr="00721958" w:rsidRDefault="002A46E3" w:rsidP="00EC5E10">
            <w:pPr>
              <w:tabs>
                <w:tab w:val="left" w:pos="195"/>
                <w:tab w:val="center" w:pos="1655"/>
              </w:tabs>
              <w:spacing w:after="0" w:line="276" w:lineRule="auto"/>
              <w:rPr>
                <w:rFonts w:cs="Arial"/>
                <w:b/>
                <w:color w:val="FF0000"/>
                <w:sz w:val="16"/>
                <w:szCs w:val="16"/>
              </w:rPr>
            </w:pPr>
            <w:r w:rsidRPr="00721958">
              <w:rPr>
                <w:rFonts w:cs="Arial"/>
                <w:b/>
                <w:color w:val="FF0000"/>
                <w:sz w:val="16"/>
                <w:szCs w:val="16"/>
              </w:rPr>
              <w:tab/>
            </w:r>
            <w:r w:rsidRPr="00721958">
              <w:rPr>
                <w:rFonts w:cs="Arial"/>
                <w:b/>
                <w:color w:val="FF0000"/>
                <w:sz w:val="16"/>
                <w:szCs w:val="16"/>
              </w:rPr>
              <w:tab/>
              <w:t>-</w:t>
            </w:r>
          </w:p>
          <w:p w:rsidR="002A46E3" w:rsidRPr="00721958" w:rsidRDefault="00030229" w:rsidP="00EC5E10">
            <w:pPr>
              <w:spacing w:after="0" w:line="276" w:lineRule="auto"/>
              <w:rPr>
                <w:rFonts w:cs="Arial"/>
                <w:sz w:val="16"/>
                <w:szCs w:val="16"/>
              </w:rPr>
            </w:pPr>
            <w:r w:rsidRPr="00721958">
              <w:rPr>
                <w:rFonts w:cs="Arial"/>
                <w:sz w:val="16"/>
                <w:szCs w:val="16"/>
              </w:rPr>
              <w:t>Less sustainable</w:t>
            </w:r>
            <w:r w:rsidR="00204CBC">
              <w:rPr>
                <w:rFonts w:cs="Arial"/>
                <w:sz w:val="16"/>
                <w:szCs w:val="16"/>
              </w:rPr>
              <w:t xml:space="preserve"> than option 1 or 2</w:t>
            </w:r>
            <w:r w:rsidRPr="00721958">
              <w:rPr>
                <w:rFonts w:cs="Arial"/>
                <w:sz w:val="16"/>
                <w:szCs w:val="16"/>
              </w:rPr>
              <w:t xml:space="preserve">; </w:t>
            </w:r>
            <w:r w:rsidR="00F402E5" w:rsidRPr="00721958">
              <w:rPr>
                <w:rFonts w:cs="Arial"/>
                <w:sz w:val="16"/>
                <w:szCs w:val="16"/>
              </w:rPr>
              <w:t xml:space="preserve">could set undesirable </w:t>
            </w:r>
            <w:r w:rsidR="00843461" w:rsidRPr="00721958">
              <w:rPr>
                <w:rFonts w:cs="Arial"/>
                <w:sz w:val="16"/>
                <w:szCs w:val="16"/>
              </w:rPr>
              <w:t xml:space="preserve">precedent if other activities are lobbied to be brought into tax net in future. </w:t>
            </w:r>
            <w:r w:rsidR="00294021" w:rsidRPr="00721958">
              <w:rPr>
                <w:rFonts w:cs="Arial"/>
                <w:sz w:val="16"/>
                <w:szCs w:val="16"/>
              </w:rPr>
              <w:t xml:space="preserve">But more limited than option </w:t>
            </w:r>
            <w:r w:rsidR="00C84807">
              <w:rPr>
                <w:rFonts w:cs="Arial"/>
                <w:sz w:val="16"/>
                <w:szCs w:val="16"/>
              </w:rPr>
              <w:t>3</w:t>
            </w:r>
            <w:r w:rsidR="006A208A" w:rsidRPr="00721958">
              <w:rPr>
                <w:rFonts w:cs="Arial"/>
                <w:sz w:val="16"/>
                <w:szCs w:val="16"/>
              </w:rPr>
              <w:t>,</w:t>
            </w:r>
            <w:r w:rsidR="0071045A">
              <w:rPr>
                <w:rFonts w:cs="Arial"/>
                <w:sz w:val="16"/>
                <w:szCs w:val="16"/>
              </w:rPr>
              <w:t xml:space="preserve"> so relatively more sustainable, </w:t>
            </w:r>
            <w:r w:rsidR="00EC7521">
              <w:rPr>
                <w:rFonts w:cs="Arial"/>
                <w:sz w:val="16"/>
                <w:szCs w:val="16"/>
              </w:rPr>
              <w:t>with</w:t>
            </w:r>
            <w:r w:rsidR="0071045A">
              <w:rPr>
                <w:rFonts w:cs="Arial"/>
                <w:sz w:val="16"/>
                <w:szCs w:val="16"/>
              </w:rPr>
              <w:t xml:space="preserve"> a lower fiscal impact.</w:t>
            </w:r>
          </w:p>
        </w:tc>
      </w:tr>
      <w:tr w:rsidR="00663BAA" w:rsidRPr="00DD7964" w:rsidTr="00EC5E10">
        <w:trPr>
          <w:trHeight w:val="239"/>
        </w:trPr>
        <w:tc>
          <w:tcPr>
            <w:tcW w:w="1595" w:type="dxa"/>
            <w:shd w:val="clear" w:color="auto" w:fill="99CDDD"/>
          </w:tcPr>
          <w:p w:rsidR="0062657E" w:rsidRPr="00721958" w:rsidRDefault="0062657E" w:rsidP="00384E9B">
            <w:pPr>
              <w:spacing w:before="60" w:after="60" w:line="240" w:lineRule="auto"/>
              <w:rPr>
                <w:rFonts w:cs="Arial"/>
                <w:b/>
                <w:color w:val="000000"/>
                <w:sz w:val="16"/>
                <w:szCs w:val="16"/>
              </w:rPr>
            </w:pPr>
            <w:r w:rsidRPr="00721958">
              <w:rPr>
                <w:rFonts w:cs="Arial"/>
                <w:b/>
                <w:color w:val="000000"/>
                <w:sz w:val="16"/>
                <w:szCs w:val="16"/>
              </w:rPr>
              <w:t>Overall assessment</w:t>
            </w:r>
          </w:p>
        </w:tc>
        <w:tc>
          <w:tcPr>
            <w:tcW w:w="1207" w:type="dxa"/>
            <w:shd w:val="clear" w:color="auto" w:fill="auto"/>
          </w:tcPr>
          <w:p w:rsidR="00EC5E10" w:rsidRDefault="00EC5E10" w:rsidP="00384E9B">
            <w:pPr>
              <w:pStyle w:val="TableText"/>
              <w:spacing w:line="276" w:lineRule="auto"/>
              <w:jc w:val="center"/>
              <w:rPr>
                <w:b/>
                <w:sz w:val="16"/>
                <w:szCs w:val="16"/>
              </w:rPr>
            </w:pPr>
          </w:p>
          <w:p w:rsidR="0062657E" w:rsidRPr="00721958" w:rsidRDefault="00866C6B" w:rsidP="00384E9B">
            <w:pPr>
              <w:pStyle w:val="TableText"/>
              <w:spacing w:line="276" w:lineRule="auto"/>
              <w:jc w:val="center"/>
              <w:rPr>
                <w:b/>
                <w:sz w:val="16"/>
                <w:szCs w:val="16"/>
              </w:rPr>
            </w:pPr>
            <w:r w:rsidRPr="00721958">
              <w:rPr>
                <w:b/>
                <w:sz w:val="16"/>
                <w:szCs w:val="16"/>
              </w:rPr>
              <w:t>0</w:t>
            </w:r>
          </w:p>
        </w:tc>
        <w:tc>
          <w:tcPr>
            <w:tcW w:w="3685" w:type="dxa"/>
            <w:shd w:val="clear" w:color="auto" w:fill="auto"/>
          </w:tcPr>
          <w:p w:rsidR="0062657E" w:rsidRPr="004A69FB" w:rsidRDefault="004A69FB" w:rsidP="005E1B55">
            <w:pPr>
              <w:pStyle w:val="TableText"/>
              <w:spacing w:line="276" w:lineRule="auto"/>
              <w:jc w:val="center"/>
              <w:rPr>
                <w:color w:val="00B050"/>
                <w:sz w:val="16"/>
                <w:szCs w:val="16"/>
              </w:rPr>
            </w:pPr>
            <w:r>
              <w:rPr>
                <w:b/>
                <w:color w:val="00B050"/>
                <w:sz w:val="16"/>
                <w:szCs w:val="16"/>
              </w:rPr>
              <w:t>+</w:t>
            </w:r>
          </w:p>
        </w:tc>
        <w:tc>
          <w:tcPr>
            <w:tcW w:w="5137" w:type="dxa"/>
            <w:shd w:val="clear" w:color="auto" w:fill="auto"/>
          </w:tcPr>
          <w:p w:rsidR="005E1B55" w:rsidRPr="007B45E5" w:rsidRDefault="005E1B55" w:rsidP="005E1B55">
            <w:pPr>
              <w:pStyle w:val="TableText"/>
              <w:spacing w:line="276" w:lineRule="auto"/>
              <w:jc w:val="center"/>
              <w:rPr>
                <w:rFonts w:cs="Arial"/>
                <w:b/>
                <w:color w:val="FF0000"/>
                <w:sz w:val="16"/>
                <w:szCs w:val="16"/>
              </w:rPr>
            </w:pPr>
            <w:r w:rsidRPr="00721958">
              <w:rPr>
                <w:rFonts w:cs="Arial"/>
                <w:b/>
                <w:color w:val="FF0000"/>
                <w:sz w:val="16"/>
                <w:szCs w:val="16"/>
              </w:rPr>
              <w:t>-</w:t>
            </w:r>
            <w:r w:rsidR="007B45E5">
              <w:rPr>
                <w:rFonts w:cs="Arial"/>
                <w:b/>
                <w:color w:val="FF0000"/>
                <w:sz w:val="16"/>
                <w:szCs w:val="16"/>
              </w:rPr>
              <w:t>-</w:t>
            </w:r>
          </w:p>
          <w:p w:rsidR="0062657E" w:rsidRPr="00721958" w:rsidRDefault="0062657E" w:rsidP="005E1B55">
            <w:pPr>
              <w:pStyle w:val="TableText"/>
              <w:spacing w:line="276" w:lineRule="auto"/>
              <w:jc w:val="center"/>
              <w:rPr>
                <w:sz w:val="16"/>
                <w:szCs w:val="16"/>
              </w:rPr>
            </w:pPr>
          </w:p>
        </w:tc>
        <w:tc>
          <w:tcPr>
            <w:tcW w:w="3827" w:type="dxa"/>
            <w:shd w:val="clear" w:color="auto" w:fill="auto"/>
          </w:tcPr>
          <w:p w:rsidR="0066310B" w:rsidRPr="007B45E5" w:rsidRDefault="007B45E5" w:rsidP="0066310B">
            <w:pPr>
              <w:pStyle w:val="TableText"/>
              <w:spacing w:line="276" w:lineRule="auto"/>
              <w:jc w:val="center"/>
              <w:rPr>
                <w:b/>
                <w:color w:val="FF0000"/>
                <w:sz w:val="16"/>
                <w:szCs w:val="16"/>
              </w:rPr>
            </w:pPr>
            <w:r>
              <w:rPr>
                <w:b/>
                <w:color w:val="FF0000"/>
                <w:sz w:val="16"/>
                <w:szCs w:val="16"/>
              </w:rPr>
              <w:t>-</w:t>
            </w:r>
          </w:p>
          <w:p w:rsidR="0062657E" w:rsidRPr="00721958" w:rsidRDefault="0062657E" w:rsidP="0066310B">
            <w:pPr>
              <w:spacing w:after="120" w:line="276" w:lineRule="auto"/>
              <w:jc w:val="center"/>
              <w:rPr>
                <w:rFonts w:cs="Arial"/>
                <w:b/>
                <w:color w:val="00B050"/>
                <w:sz w:val="16"/>
                <w:szCs w:val="16"/>
              </w:rPr>
            </w:pPr>
          </w:p>
        </w:tc>
      </w:tr>
    </w:tbl>
    <w:p w:rsidR="0062657E" w:rsidRPr="00721958" w:rsidRDefault="0027630F" w:rsidP="0027630F">
      <w:pPr>
        <w:spacing w:after="0" w:line="276" w:lineRule="auto"/>
        <w:rPr>
          <w:rFonts w:cs="Arial"/>
          <w:sz w:val="17"/>
          <w:szCs w:val="17"/>
        </w:rPr>
      </w:pPr>
      <w:r w:rsidRPr="00721958">
        <w:rPr>
          <w:rFonts w:cs="Arial"/>
          <w:b/>
          <w:sz w:val="17"/>
          <w:szCs w:val="17"/>
        </w:rPr>
        <w:t>Key:</w:t>
      </w:r>
      <w:r w:rsidRPr="0027630F">
        <w:rPr>
          <w:rFonts w:cs="Arial"/>
          <w:b/>
          <w:color w:val="00B050"/>
          <w:sz w:val="17"/>
          <w:szCs w:val="17"/>
        </w:rPr>
        <w:t xml:space="preserve"> </w:t>
      </w:r>
      <w:r w:rsidRPr="00721958">
        <w:rPr>
          <w:rFonts w:cs="Arial"/>
          <w:b/>
          <w:color w:val="00B050"/>
          <w:sz w:val="17"/>
          <w:szCs w:val="17"/>
        </w:rPr>
        <w:t>++</w:t>
      </w:r>
      <w:r w:rsidRPr="00721958">
        <w:rPr>
          <w:rFonts w:cs="Arial"/>
          <w:sz w:val="17"/>
          <w:szCs w:val="17"/>
        </w:rPr>
        <w:t xml:space="preserve">  </w:t>
      </w:r>
      <w:r w:rsidRPr="00721958">
        <w:rPr>
          <w:rFonts w:cs="Arial"/>
          <w:sz w:val="17"/>
          <w:szCs w:val="17"/>
        </w:rPr>
        <w:tab/>
        <w:t>much better than doing nothing/the status quo</w:t>
      </w:r>
      <w:r>
        <w:rPr>
          <w:rFonts w:cs="Arial"/>
          <w:sz w:val="17"/>
          <w:szCs w:val="17"/>
        </w:rPr>
        <w:t xml:space="preserve">; </w:t>
      </w:r>
      <w:r w:rsidRPr="00721958">
        <w:rPr>
          <w:rFonts w:cs="Arial"/>
          <w:b/>
          <w:color w:val="00B050"/>
          <w:sz w:val="17"/>
          <w:szCs w:val="17"/>
        </w:rPr>
        <w:t>+</w:t>
      </w:r>
      <w:r w:rsidRPr="00721958">
        <w:rPr>
          <w:rFonts w:cs="Arial"/>
          <w:color w:val="00B050"/>
          <w:sz w:val="17"/>
          <w:szCs w:val="17"/>
        </w:rPr>
        <w:t xml:space="preserve"> </w:t>
      </w:r>
      <w:r w:rsidRPr="00721958">
        <w:rPr>
          <w:rFonts w:cs="Arial"/>
          <w:sz w:val="17"/>
          <w:szCs w:val="17"/>
        </w:rPr>
        <w:t xml:space="preserve"> better than doing nothing/the status quo</w:t>
      </w:r>
      <w:r>
        <w:rPr>
          <w:rFonts w:cs="Arial"/>
          <w:sz w:val="17"/>
          <w:szCs w:val="17"/>
        </w:rPr>
        <w:t xml:space="preserve">; </w:t>
      </w:r>
      <w:r w:rsidRPr="00721958">
        <w:rPr>
          <w:rFonts w:cs="Arial"/>
          <w:b/>
          <w:sz w:val="17"/>
          <w:szCs w:val="17"/>
        </w:rPr>
        <w:t>0</w:t>
      </w:r>
      <w:r w:rsidRPr="00721958">
        <w:rPr>
          <w:rFonts w:cs="Arial"/>
          <w:sz w:val="17"/>
          <w:szCs w:val="17"/>
        </w:rPr>
        <w:t xml:space="preserve">  about the same as doing nothing/the status quo</w:t>
      </w:r>
      <w:r>
        <w:rPr>
          <w:rFonts w:cs="Arial"/>
          <w:sz w:val="17"/>
          <w:szCs w:val="17"/>
        </w:rPr>
        <w:t xml:space="preserve">; </w:t>
      </w:r>
      <w:r w:rsidRPr="00721958">
        <w:rPr>
          <w:rFonts w:cs="Arial"/>
          <w:b/>
          <w:color w:val="FF0000"/>
          <w:sz w:val="17"/>
          <w:szCs w:val="17"/>
        </w:rPr>
        <w:t>-</w:t>
      </w:r>
      <w:r w:rsidRPr="00721958">
        <w:rPr>
          <w:rFonts w:cs="Arial"/>
          <w:sz w:val="17"/>
          <w:szCs w:val="17"/>
        </w:rPr>
        <w:t xml:space="preserve"> </w:t>
      </w:r>
      <w:r>
        <w:rPr>
          <w:rFonts w:cs="Arial"/>
          <w:sz w:val="17"/>
          <w:szCs w:val="17"/>
        </w:rPr>
        <w:t xml:space="preserve"> </w:t>
      </w:r>
      <w:r w:rsidRPr="00721958">
        <w:rPr>
          <w:rFonts w:cs="Arial"/>
          <w:sz w:val="17"/>
          <w:szCs w:val="17"/>
        </w:rPr>
        <w:t>worse than doing nothing/the status quo</w:t>
      </w:r>
      <w:r>
        <w:rPr>
          <w:rFonts w:cs="Arial"/>
          <w:sz w:val="17"/>
          <w:szCs w:val="17"/>
        </w:rPr>
        <w:t xml:space="preserve">; </w:t>
      </w:r>
      <w:r w:rsidRPr="00721958">
        <w:rPr>
          <w:rFonts w:cs="Arial"/>
          <w:b/>
          <w:color w:val="FF0000"/>
          <w:sz w:val="17"/>
          <w:szCs w:val="17"/>
        </w:rPr>
        <w:t>- -</w:t>
      </w:r>
      <w:r w:rsidRPr="00721958">
        <w:rPr>
          <w:rFonts w:cs="Arial"/>
          <w:sz w:val="17"/>
          <w:szCs w:val="17"/>
        </w:rPr>
        <w:t xml:space="preserve"> </w:t>
      </w:r>
      <w:r>
        <w:rPr>
          <w:rFonts w:cs="Arial"/>
          <w:sz w:val="17"/>
          <w:szCs w:val="17"/>
        </w:rPr>
        <w:t xml:space="preserve"> </w:t>
      </w:r>
      <w:r w:rsidRPr="00721958">
        <w:rPr>
          <w:rFonts w:cs="Arial"/>
          <w:sz w:val="17"/>
          <w:szCs w:val="17"/>
        </w:rPr>
        <w:t>much worse than doing nothing/the status quo</w:t>
      </w:r>
    </w:p>
    <w:p w:rsidR="0062657E" w:rsidRPr="0049467D" w:rsidRDefault="0062657E" w:rsidP="0049467D">
      <w:pPr>
        <w:spacing w:after="120" w:line="276" w:lineRule="auto"/>
        <w:rPr>
          <w:rFonts w:ascii="Arial Narrow" w:hAnsi="Arial Narrow"/>
          <w:i/>
          <w:sz w:val="20"/>
        </w:rPr>
        <w:sectPr w:rsidR="0062657E" w:rsidRPr="0049467D" w:rsidSect="0027630F">
          <w:pgSz w:w="16838" w:h="11906" w:orient="landscape"/>
          <w:pgMar w:top="851" w:right="1418" w:bottom="567" w:left="1418" w:header="709" w:footer="709" w:gutter="0"/>
          <w:cols w:space="708"/>
          <w:docGrid w:linePitch="360"/>
        </w:sectPr>
      </w:pPr>
    </w:p>
    <w:p w:rsidR="0062657E" w:rsidRPr="0005691A" w:rsidRDefault="0062657E" w:rsidP="007B090A">
      <w:pPr>
        <w:tabs>
          <w:tab w:val="left" w:pos="2550"/>
        </w:tabs>
        <w:spacing w:after="120" w:line="276" w:lineRule="auto"/>
        <w:rPr>
          <w:rFonts w:cs="Arial"/>
          <w:b/>
          <w:color w:val="0082AB"/>
          <w:spacing w:val="20"/>
          <w:w w:val="90"/>
          <w:sz w:val="32"/>
          <w:szCs w:val="24"/>
        </w:rPr>
      </w:pPr>
      <w:r w:rsidRPr="0005691A">
        <w:rPr>
          <w:rFonts w:cs="Arial"/>
          <w:b/>
          <w:color w:val="0082AB"/>
          <w:spacing w:val="20"/>
          <w:w w:val="90"/>
          <w:sz w:val="32"/>
          <w:szCs w:val="24"/>
        </w:rPr>
        <w:lastRenderedPageBreak/>
        <w:t>Section 5:  Conclusions</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52"/>
      </w:tblGrid>
      <w:tr w:rsidR="0049467D" w:rsidRPr="0049467D" w:rsidTr="004A11FC">
        <w:trPr>
          <w:trHeight w:val="529"/>
        </w:trPr>
        <w:tc>
          <w:tcPr>
            <w:tcW w:w="9052" w:type="dxa"/>
            <w:shd w:val="clear" w:color="auto" w:fill="99CDDD"/>
          </w:tcPr>
          <w:p w:rsidR="0062657E" w:rsidRPr="0049467D" w:rsidRDefault="0062657E" w:rsidP="00DF2E7B">
            <w:pPr>
              <w:spacing w:before="60" w:after="60" w:line="240" w:lineRule="auto"/>
              <w:rPr>
                <w:rFonts w:cs="Arial"/>
                <w:b/>
                <w:szCs w:val="22"/>
                <w:lang w:eastAsia="en-AU"/>
              </w:rPr>
            </w:pPr>
            <w:r w:rsidRPr="0049467D">
              <w:rPr>
                <w:rFonts w:cs="Arial"/>
                <w:b/>
                <w:szCs w:val="22"/>
                <w:lang w:eastAsia="en-AU"/>
              </w:rPr>
              <w:br w:type="page"/>
              <w:t>5.1   What option, or combination of options, is likely best to address the problem, meet the policy objectives and deliver the highest net benefits?</w:t>
            </w:r>
          </w:p>
        </w:tc>
      </w:tr>
      <w:tr w:rsidR="0049467D" w:rsidRPr="0049467D" w:rsidTr="004B4FC1">
        <w:trPr>
          <w:trHeight w:val="2914"/>
        </w:trPr>
        <w:tc>
          <w:tcPr>
            <w:tcW w:w="9052" w:type="dxa"/>
            <w:shd w:val="clear" w:color="auto" w:fill="FFFFFF"/>
          </w:tcPr>
          <w:p w:rsidR="0062657E" w:rsidRPr="0049467D" w:rsidRDefault="0062657E" w:rsidP="0049467D">
            <w:pPr>
              <w:spacing w:after="0" w:line="276" w:lineRule="auto"/>
              <w:jc w:val="both"/>
              <w:rPr>
                <w:rFonts w:cs="Arial"/>
                <w:szCs w:val="22"/>
                <w:lang w:eastAsia="en-AU"/>
              </w:rPr>
            </w:pPr>
          </w:p>
          <w:p w:rsidR="00042725" w:rsidRDefault="00493547" w:rsidP="003B662C">
            <w:pPr>
              <w:spacing w:after="0" w:line="276" w:lineRule="auto"/>
              <w:jc w:val="both"/>
              <w:rPr>
                <w:rFonts w:cs="Arial"/>
                <w:szCs w:val="22"/>
                <w:lang w:eastAsia="en-AU"/>
              </w:rPr>
            </w:pPr>
            <w:r>
              <w:rPr>
                <w:rFonts w:cs="Arial"/>
                <w:szCs w:val="22"/>
                <w:lang w:eastAsia="en-AU"/>
              </w:rPr>
              <w:t>O</w:t>
            </w:r>
            <w:r w:rsidR="0017106F">
              <w:rPr>
                <w:rFonts w:cs="Arial"/>
                <w:szCs w:val="22"/>
                <w:lang w:eastAsia="en-AU"/>
              </w:rPr>
              <w:t xml:space="preserve">ption </w:t>
            </w:r>
            <w:r w:rsidR="0005329F">
              <w:rPr>
                <w:rFonts w:cs="Arial"/>
                <w:szCs w:val="22"/>
                <w:lang w:eastAsia="en-AU"/>
              </w:rPr>
              <w:t>2</w:t>
            </w:r>
            <w:r>
              <w:rPr>
                <w:rFonts w:cs="Arial"/>
                <w:szCs w:val="22"/>
                <w:lang w:eastAsia="en-AU"/>
              </w:rPr>
              <w:t xml:space="preserve"> is preferred over the other options considered</w:t>
            </w:r>
            <w:r w:rsidR="0017106F">
              <w:rPr>
                <w:rFonts w:cs="Arial"/>
                <w:szCs w:val="22"/>
                <w:lang w:eastAsia="en-AU"/>
              </w:rPr>
              <w:t xml:space="preserve">. </w:t>
            </w:r>
            <w:r w:rsidR="00230B6D">
              <w:rPr>
                <w:rFonts w:cs="Arial"/>
                <w:szCs w:val="22"/>
                <w:lang w:eastAsia="en-AU"/>
              </w:rPr>
              <w:t xml:space="preserve">Accepting that the Government’s </w:t>
            </w:r>
            <w:r w:rsidR="00AE48A9">
              <w:rPr>
                <w:rFonts w:cs="Arial"/>
                <w:szCs w:val="22"/>
                <w:lang w:eastAsia="en-AU"/>
              </w:rPr>
              <w:t>objective</w:t>
            </w:r>
            <w:r w:rsidR="009172B4">
              <w:rPr>
                <w:rFonts w:cs="Arial"/>
                <w:szCs w:val="22"/>
                <w:lang w:eastAsia="en-AU"/>
              </w:rPr>
              <w:t xml:space="preserve"> </w:t>
            </w:r>
            <w:r w:rsidR="00AE48A9">
              <w:rPr>
                <w:rFonts w:cs="Arial"/>
                <w:szCs w:val="22"/>
                <w:lang w:eastAsia="en-AU"/>
              </w:rPr>
              <w:t>carries</w:t>
            </w:r>
            <w:r w:rsidR="00253DA3">
              <w:rPr>
                <w:rFonts w:cs="Arial"/>
                <w:szCs w:val="22"/>
                <w:lang w:eastAsia="en-AU"/>
              </w:rPr>
              <w:t xml:space="preserve"> inherent</w:t>
            </w:r>
            <w:r w:rsidR="00F128A9">
              <w:rPr>
                <w:rFonts w:cs="Arial"/>
                <w:szCs w:val="22"/>
                <w:lang w:eastAsia="en-AU"/>
              </w:rPr>
              <w:t xml:space="preserve"> </w:t>
            </w:r>
            <w:r>
              <w:rPr>
                <w:rFonts w:cs="Arial"/>
                <w:szCs w:val="22"/>
                <w:lang w:eastAsia="en-AU"/>
              </w:rPr>
              <w:t xml:space="preserve">fiscal and precedential risks, </w:t>
            </w:r>
            <w:r w:rsidR="00BF36F1">
              <w:rPr>
                <w:rFonts w:cs="Arial"/>
                <w:szCs w:val="22"/>
                <w:lang w:eastAsia="en-AU"/>
              </w:rPr>
              <w:t xml:space="preserve">the preferred option </w:t>
            </w:r>
            <w:r w:rsidR="00055D49">
              <w:rPr>
                <w:rFonts w:cs="Arial"/>
                <w:szCs w:val="22"/>
                <w:lang w:eastAsia="en-AU"/>
              </w:rPr>
              <w:t>is the o</w:t>
            </w:r>
            <w:r w:rsidR="005A0F46">
              <w:rPr>
                <w:rFonts w:cs="Arial"/>
                <w:szCs w:val="22"/>
                <w:lang w:eastAsia="en-AU"/>
              </w:rPr>
              <w:t xml:space="preserve">ne that is </w:t>
            </w:r>
            <w:r w:rsidR="00DA2663">
              <w:rPr>
                <w:rFonts w:cs="Arial"/>
                <w:szCs w:val="22"/>
                <w:lang w:eastAsia="en-AU"/>
              </w:rPr>
              <w:t xml:space="preserve">potentially </w:t>
            </w:r>
            <w:r w:rsidR="0036077E">
              <w:rPr>
                <w:rFonts w:cs="Arial"/>
                <w:szCs w:val="22"/>
                <w:lang w:eastAsia="en-AU"/>
              </w:rPr>
              <w:t>most</w:t>
            </w:r>
            <w:r w:rsidR="005120DD">
              <w:rPr>
                <w:rFonts w:cs="Arial"/>
                <w:szCs w:val="22"/>
                <w:lang w:eastAsia="en-AU"/>
              </w:rPr>
              <w:t xml:space="preserve"> effective and</w:t>
            </w:r>
            <w:r w:rsidR="0036077E">
              <w:rPr>
                <w:rFonts w:cs="Arial"/>
                <w:szCs w:val="22"/>
                <w:lang w:eastAsia="en-AU"/>
              </w:rPr>
              <w:t xml:space="preserve"> efficient in achieving </w:t>
            </w:r>
            <w:r w:rsidR="00786450">
              <w:rPr>
                <w:rFonts w:cs="Arial"/>
                <w:szCs w:val="22"/>
                <w:lang w:eastAsia="en-AU"/>
              </w:rPr>
              <w:t>the objective</w:t>
            </w:r>
            <w:r w:rsidR="00A424E5">
              <w:rPr>
                <w:rFonts w:cs="Arial"/>
                <w:szCs w:val="22"/>
                <w:lang w:eastAsia="en-AU"/>
              </w:rPr>
              <w:t>,</w:t>
            </w:r>
            <w:r w:rsidR="0007313B">
              <w:rPr>
                <w:rFonts w:cs="Arial"/>
                <w:szCs w:val="22"/>
                <w:lang w:eastAsia="en-AU"/>
              </w:rPr>
              <w:t xml:space="preserve"> and least unsustainable</w:t>
            </w:r>
            <w:r w:rsidR="00B957C7">
              <w:rPr>
                <w:rFonts w:cs="Arial"/>
                <w:szCs w:val="22"/>
                <w:lang w:eastAsia="en-AU"/>
              </w:rPr>
              <w:t>, with increased compliance and admin</w:t>
            </w:r>
            <w:r w:rsidR="006D44FE">
              <w:rPr>
                <w:rFonts w:cs="Arial"/>
                <w:szCs w:val="22"/>
                <w:lang w:eastAsia="en-AU"/>
              </w:rPr>
              <w:t>istration</w:t>
            </w:r>
            <w:r w:rsidR="00B957C7">
              <w:rPr>
                <w:rFonts w:cs="Arial"/>
                <w:szCs w:val="22"/>
                <w:lang w:eastAsia="en-AU"/>
              </w:rPr>
              <w:t xml:space="preserve"> costs as a further </w:t>
            </w:r>
            <w:r w:rsidR="00BD29B3">
              <w:rPr>
                <w:rFonts w:cs="Arial"/>
                <w:szCs w:val="22"/>
                <w:lang w:eastAsia="en-AU"/>
              </w:rPr>
              <w:t>t</w:t>
            </w:r>
            <w:r w:rsidR="00B957C7">
              <w:rPr>
                <w:rFonts w:cs="Arial"/>
                <w:szCs w:val="22"/>
                <w:lang w:eastAsia="en-AU"/>
              </w:rPr>
              <w:t>rade-off.</w:t>
            </w:r>
            <w:r w:rsidR="00DF315E">
              <w:rPr>
                <w:rFonts w:cs="Arial"/>
                <w:szCs w:val="22"/>
                <w:lang w:eastAsia="en-AU"/>
              </w:rPr>
              <w:t xml:space="preserve"> However, the approach that has been chosen by the Government is option 4.</w:t>
            </w:r>
            <w:r w:rsidR="000010BD">
              <w:rPr>
                <w:rFonts w:cs="Arial"/>
                <w:szCs w:val="22"/>
                <w:lang w:eastAsia="en-AU"/>
              </w:rPr>
              <w:t xml:space="preserve"> </w:t>
            </w:r>
          </w:p>
          <w:p w:rsidR="006D3634" w:rsidRDefault="006D3634" w:rsidP="003B662C">
            <w:pPr>
              <w:spacing w:after="0" w:line="276" w:lineRule="auto"/>
              <w:jc w:val="both"/>
              <w:rPr>
                <w:rFonts w:cs="Arial"/>
                <w:szCs w:val="22"/>
                <w:lang w:eastAsia="en-AU"/>
              </w:rPr>
            </w:pPr>
          </w:p>
          <w:p w:rsidR="003C35C9" w:rsidRDefault="006D3634" w:rsidP="003B662C">
            <w:pPr>
              <w:spacing w:after="0" w:line="276" w:lineRule="auto"/>
              <w:jc w:val="both"/>
              <w:rPr>
                <w:rFonts w:cs="Arial"/>
                <w:szCs w:val="22"/>
                <w:lang w:eastAsia="en-AU"/>
              </w:rPr>
            </w:pPr>
            <w:r>
              <w:rPr>
                <w:rFonts w:cs="Arial"/>
                <w:szCs w:val="22"/>
                <w:lang w:eastAsia="en-AU"/>
              </w:rPr>
              <w:t xml:space="preserve">There is a lack of evidence to suggest that </w:t>
            </w:r>
            <w:r w:rsidR="00AF3B0B">
              <w:rPr>
                <w:rFonts w:cs="Arial"/>
                <w:szCs w:val="22"/>
                <w:lang w:eastAsia="en-AU"/>
              </w:rPr>
              <w:t xml:space="preserve">high-priced yearlings are </w:t>
            </w:r>
            <w:r w:rsidR="00A704BD">
              <w:rPr>
                <w:rFonts w:cs="Arial"/>
                <w:szCs w:val="22"/>
                <w:lang w:eastAsia="en-AU"/>
              </w:rPr>
              <w:t xml:space="preserve">more likely to </w:t>
            </w:r>
            <w:r w:rsidR="005B2583">
              <w:rPr>
                <w:rFonts w:cs="Arial"/>
                <w:szCs w:val="22"/>
                <w:lang w:eastAsia="en-AU"/>
              </w:rPr>
              <w:t xml:space="preserve">go on to breed than </w:t>
            </w:r>
            <w:r w:rsidR="008D6375">
              <w:rPr>
                <w:rFonts w:cs="Arial"/>
                <w:szCs w:val="22"/>
                <w:lang w:eastAsia="en-AU"/>
              </w:rPr>
              <w:t>lower-priced yearlings</w:t>
            </w:r>
            <w:r w:rsidR="007D3C28">
              <w:rPr>
                <w:rFonts w:cs="Arial"/>
                <w:szCs w:val="22"/>
                <w:lang w:eastAsia="en-AU"/>
              </w:rPr>
              <w:t xml:space="preserve">, which </w:t>
            </w:r>
            <w:r w:rsidR="002D156E">
              <w:rPr>
                <w:rFonts w:cs="Arial"/>
                <w:szCs w:val="22"/>
                <w:lang w:eastAsia="en-AU"/>
              </w:rPr>
              <w:t xml:space="preserve">makes it somewhat uncertain whether option 3 </w:t>
            </w:r>
            <w:r w:rsidR="006969F8">
              <w:rPr>
                <w:rFonts w:cs="Arial"/>
                <w:szCs w:val="22"/>
                <w:lang w:eastAsia="en-AU"/>
              </w:rPr>
              <w:t xml:space="preserve">or </w:t>
            </w:r>
            <w:r w:rsidR="00EA2A4B">
              <w:rPr>
                <w:rFonts w:cs="Arial"/>
                <w:szCs w:val="22"/>
                <w:lang w:eastAsia="en-AU"/>
              </w:rPr>
              <w:t xml:space="preserve">option </w:t>
            </w:r>
            <w:r w:rsidR="006969F8">
              <w:rPr>
                <w:rFonts w:cs="Arial"/>
                <w:szCs w:val="22"/>
                <w:lang w:eastAsia="en-AU"/>
              </w:rPr>
              <w:t xml:space="preserve">4 </w:t>
            </w:r>
            <w:r w:rsidR="002E74DA">
              <w:rPr>
                <w:rFonts w:cs="Arial"/>
                <w:szCs w:val="22"/>
                <w:lang w:eastAsia="en-AU"/>
              </w:rPr>
              <w:t>will be more effective</w:t>
            </w:r>
            <w:r w:rsidR="005C7EE2">
              <w:rPr>
                <w:rFonts w:cs="Arial"/>
                <w:szCs w:val="22"/>
                <w:lang w:eastAsia="en-AU"/>
              </w:rPr>
              <w:t xml:space="preserve"> or efficient</w:t>
            </w:r>
            <w:r w:rsidR="002E74DA">
              <w:rPr>
                <w:rFonts w:cs="Arial"/>
                <w:szCs w:val="22"/>
                <w:lang w:eastAsia="en-AU"/>
              </w:rPr>
              <w:t xml:space="preserve"> </w:t>
            </w:r>
            <w:r w:rsidR="006D44FE">
              <w:rPr>
                <w:rFonts w:cs="Arial"/>
                <w:szCs w:val="22"/>
                <w:lang w:eastAsia="en-AU"/>
              </w:rPr>
              <w:t>at improving the quality of New Zealand bloodstock</w:t>
            </w:r>
            <w:r w:rsidR="005C7EE2">
              <w:rPr>
                <w:rFonts w:cs="Arial"/>
                <w:szCs w:val="22"/>
                <w:lang w:eastAsia="en-AU"/>
              </w:rPr>
              <w:t xml:space="preserve">. </w:t>
            </w:r>
            <w:r w:rsidR="001C61DA">
              <w:rPr>
                <w:rFonts w:cs="Arial"/>
                <w:szCs w:val="22"/>
                <w:lang w:eastAsia="en-AU"/>
              </w:rPr>
              <w:t>Howe</w:t>
            </w:r>
            <w:r w:rsidR="006969F8">
              <w:rPr>
                <w:rFonts w:cs="Arial"/>
                <w:szCs w:val="22"/>
                <w:lang w:eastAsia="en-AU"/>
              </w:rPr>
              <w:t>ver, the fiscal cost of option 3</w:t>
            </w:r>
            <w:r w:rsidR="00662F11">
              <w:rPr>
                <w:rFonts w:cs="Arial"/>
                <w:szCs w:val="22"/>
                <w:lang w:eastAsia="en-AU"/>
              </w:rPr>
              <w:t xml:space="preserve"> is potentially very high, and </w:t>
            </w:r>
            <w:r w:rsidR="0086351B">
              <w:rPr>
                <w:rFonts w:cs="Arial"/>
                <w:szCs w:val="22"/>
                <w:lang w:eastAsia="en-AU"/>
              </w:rPr>
              <w:t xml:space="preserve">we consider that this cost is too high to </w:t>
            </w:r>
            <w:r w:rsidR="00ED7609">
              <w:rPr>
                <w:rFonts w:cs="Arial"/>
                <w:szCs w:val="22"/>
                <w:lang w:eastAsia="en-AU"/>
              </w:rPr>
              <w:t xml:space="preserve">justify </w:t>
            </w:r>
            <w:r w:rsidR="00047D65">
              <w:rPr>
                <w:rFonts w:cs="Arial"/>
                <w:szCs w:val="22"/>
                <w:lang w:eastAsia="en-AU"/>
              </w:rPr>
              <w:t>the additiona</w:t>
            </w:r>
            <w:r w:rsidR="002042F6">
              <w:rPr>
                <w:rFonts w:cs="Arial"/>
                <w:szCs w:val="22"/>
                <w:lang w:eastAsia="en-AU"/>
              </w:rPr>
              <w:t xml:space="preserve">l effectiveness it might </w:t>
            </w:r>
            <w:r w:rsidR="00895500">
              <w:rPr>
                <w:rFonts w:cs="Arial"/>
                <w:szCs w:val="22"/>
                <w:lang w:eastAsia="en-AU"/>
              </w:rPr>
              <w:t>entail</w:t>
            </w:r>
            <w:r w:rsidR="002042F6">
              <w:rPr>
                <w:rFonts w:cs="Arial"/>
                <w:szCs w:val="22"/>
                <w:lang w:eastAsia="en-AU"/>
              </w:rPr>
              <w:t>.</w:t>
            </w:r>
          </w:p>
          <w:p w:rsidR="003C35C9" w:rsidRDefault="003C35C9" w:rsidP="003B662C">
            <w:pPr>
              <w:spacing w:after="0" w:line="276" w:lineRule="auto"/>
              <w:jc w:val="both"/>
              <w:rPr>
                <w:rFonts w:cs="Arial"/>
                <w:szCs w:val="22"/>
                <w:lang w:eastAsia="en-AU"/>
              </w:rPr>
            </w:pPr>
          </w:p>
          <w:p w:rsidR="006D3634" w:rsidRDefault="00C75BB7" w:rsidP="003B662C">
            <w:pPr>
              <w:spacing w:after="0" w:line="276" w:lineRule="auto"/>
              <w:jc w:val="both"/>
              <w:rPr>
                <w:rFonts w:cs="Arial"/>
                <w:szCs w:val="22"/>
                <w:lang w:eastAsia="en-AU"/>
              </w:rPr>
            </w:pPr>
            <w:r>
              <w:rPr>
                <w:rFonts w:cs="Arial"/>
                <w:szCs w:val="22"/>
                <w:lang w:eastAsia="en-AU"/>
              </w:rPr>
              <w:t xml:space="preserve">Further, we </w:t>
            </w:r>
            <w:r w:rsidRPr="00C75BB7">
              <w:rPr>
                <w:rFonts w:cs="Arial"/>
                <w:szCs w:val="22"/>
                <w:lang w:eastAsia="en-AU"/>
              </w:rPr>
              <w:t>assume</w:t>
            </w:r>
            <w:r>
              <w:rPr>
                <w:rFonts w:cs="Arial"/>
                <w:szCs w:val="22"/>
                <w:lang w:eastAsia="en-AU"/>
              </w:rPr>
              <w:t xml:space="preserve"> </w:t>
            </w:r>
            <w:r w:rsidR="002042F6">
              <w:rPr>
                <w:rFonts w:cs="Arial"/>
                <w:szCs w:val="22"/>
                <w:lang w:eastAsia="en-AU"/>
              </w:rPr>
              <w:t xml:space="preserve">that </w:t>
            </w:r>
            <w:r w:rsidR="00D036F1">
              <w:rPr>
                <w:rFonts w:cs="Arial"/>
                <w:szCs w:val="22"/>
                <w:lang w:eastAsia="en-AU"/>
              </w:rPr>
              <w:t>a</w:t>
            </w:r>
            <w:r>
              <w:rPr>
                <w:rFonts w:cs="Arial"/>
                <w:szCs w:val="22"/>
                <w:lang w:eastAsia="en-AU"/>
              </w:rPr>
              <w:t xml:space="preserve"> </w:t>
            </w:r>
            <w:r w:rsidR="00D036F1">
              <w:rPr>
                <w:rFonts w:cs="Arial"/>
                <w:szCs w:val="22"/>
                <w:lang w:eastAsia="en-AU"/>
              </w:rPr>
              <w:t xml:space="preserve">higher </w:t>
            </w:r>
            <w:r>
              <w:rPr>
                <w:rFonts w:cs="Arial"/>
                <w:szCs w:val="22"/>
                <w:lang w:eastAsia="en-AU"/>
              </w:rPr>
              <w:t xml:space="preserve">price paid for a yearling </w:t>
            </w:r>
            <w:r w:rsidR="00A9372C">
              <w:rPr>
                <w:rFonts w:cs="Arial"/>
                <w:szCs w:val="22"/>
                <w:lang w:eastAsia="en-AU"/>
              </w:rPr>
              <w:t xml:space="preserve">reflects </w:t>
            </w:r>
            <w:r>
              <w:rPr>
                <w:rFonts w:cs="Arial"/>
                <w:szCs w:val="22"/>
                <w:lang w:eastAsia="en-AU"/>
              </w:rPr>
              <w:t xml:space="preserve">the market’s view that a </w:t>
            </w:r>
            <w:r w:rsidR="00B21DF6">
              <w:rPr>
                <w:rFonts w:cs="Arial"/>
                <w:szCs w:val="22"/>
                <w:lang w:eastAsia="en-AU"/>
              </w:rPr>
              <w:t>horse</w:t>
            </w:r>
            <w:r>
              <w:rPr>
                <w:rFonts w:cs="Arial"/>
                <w:szCs w:val="22"/>
                <w:lang w:eastAsia="en-AU"/>
              </w:rPr>
              <w:t xml:space="preserve"> has</w:t>
            </w:r>
            <w:r w:rsidR="00B21DF6">
              <w:rPr>
                <w:rFonts w:cs="Arial"/>
                <w:szCs w:val="22"/>
                <w:lang w:eastAsia="en-AU"/>
              </w:rPr>
              <w:t xml:space="preserve"> qualities</w:t>
            </w:r>
            <w:r w:rsidR="00A80482">
              <w:rPr>
                <w:rFonts w:cs="Arial"/>
                <w:szCs w:val="22"/>
                <w:lang w:eastAsia="en-AU"/>
              </w:rPr>
              <w:t xml:space="preserve"> such as physique and pedigree </w:t>
            </w:r>
            <w:r w:rsidR="000D6D4F">
              <w:rPr>
                <w:rFonts w:cs="Arial"/>
                <w:szCs w:val="22"/>
                <w:lang w:eastAsia="en-AU"/>
              </w:rPr>
              <w:t xml:space="preserve">that make it more likely to be a </w:t>
            </w:r>
            <w:r>
              <w:rPr>
                <w:rFonts w:cs="Arial"/>
                <w:szCs w:val="22"/>
                <w:lang w:eastAsia="en-AU"/>
              </w:rPr>
              <w:t xml:space="preserve">better </w:t>
            </w:r>
            <w:r w:rsidR="000D6D4F">
              <w:rPr>
                <w:rFonts w:cs="Arial"/>
                <w:szCs w:val="22"/>
                <w:lang w:eastAsia="en-AU"/>
              </w:rPr>
              <w:t xml:space="preserve">racing and </w:t>
            </w:r>
            <w:r>
              <w:rPr>
                <w:rFonts w:cs="Arial"/>
                <w:szCs w:val="22"/>
                <w:lang w:eastAsia="en-AU"/>
              </w:rPr>
              <w:t xml:space="preserve">commercial </w:t>
            </w:r>
            <w:r w:rsidR="000D6D4F">
              <w:rPr>
                <w:rFonts w:cs="Arial"/>
                <w:szCs w:val="22"/>
                <w:lang w:eastAsia="en-AU"/>
              </w:rPr>
              <w:t xml:space="preserve">breeding prospect. </w:t>
            </w:r>
            <w:r w:rsidR="007E5D07">
              <w:rPr>
                <w:rFonts w:cs="Arial"/>
                <w:szCs w:val="22"/>
                <w:lang w:eastAsia="en-AU"/>
              </w:rPr>
              <w:t>An investor</w:t>
            </w:r>
            <w:r w:rsidR="00AC2E9F">
              <w:rPr>
                <w:rFonts w:cs="Arial"/>
                <w:szCs w:val="22"/>
                <w:lang w:eastAsia="en-AU"/>
              </w:rPr>
              <w:t xml:space="preserve"> who purchases a high-priced </w:t>
            </w:r>
            <w:r w:rsidR="00726A38">
              <w:rPr>
                <w:rFonts w:cs="Arial"/>
                <w:szCs w:val="22"/>
                <w:lang w:eastAsia="en-AU"/>
              </w:rPr>
              <w:t>yearling</w:t>
            </w:r>
            <w:r w:rsidR="00AC2E9F">
              <w:rPr>
                <w:rFonts w:cs="Arial"/>
                <w:szCs w:val="22"/>
                <w:lang w:eastAsia="en-AU"/>
              </w:rPr>
              <w:t xml:space="preserve"> </w:t>
            </w:r>
            <w:r w:rsidR="00144C0E">
              <w:rPr>
                <w:rFonts w:cs="Arial"/>
                <w:szCs w:val="22"/>
                <w:lang w:eastAsia="en-AU"/>
              </w:rPr>
              <w:t xml:space="preserve">presumably judges </w:t>
            </w:r>
            <w:r w:rsidR="001B1945">
              <w:rPr>
                <w:rFonts w:cs="Arial"/>
                <w:szCs w:val="22"/>
                <w:lang w:eastAsia="en-AU"/>
              </w:rPr>
              <w:t xml:space="preserve">the horse </w:t>
            </w:r>
            <w:r w:rsidR="00C91871">
              <w:rPr>
                <w:rFonts w:cs="Arial"/>
                <w:szCs w:val="22"/>
                <w:lang w:eastAsia="en-AU"/>
              </w:rPr>
              <w:t>to have better prospects than</w:t>
            </w:r>
            <w:r w:rsidR="00726A38">
              <w:rPr>
                <w:rFonts w:cs="Arial"/>
                <w:szCs w:val="22"/>
                <w:lang w:eastAsia="en-AU"/>
              </w:rPr>
              <w:t xml:space="preserve"> </w:t>
            </w:r>
            <w:r w:rsidR="00EC474D">
              <w:rPr>
                <w:rFonts w:cs="Arial"/>
                <w:szCs w:val="22"/>
                <w:lang w:eastAsia="en-AU"/>
              </w:rPr>
              <w:t>other yearlings</w:t>
            </w:r>
            <w:r w:rsidR="00862584">
              <w:rPr>
                <w:rFonts w:cs="Arial"/>
                <w:szCs w:val="22"/>
                <w:lang w:eastAsia="en-AU"/>
              </w:rPr>
              <w:t xml:space="preserve">, otherwise they would </w:t>
            </w:r>
            <w:r w:rsidR="00884332">
              <w:rPr>
                <w:rFonts w:cs="Arial"/>
                <w:szCs w:val="22"/>
                <w:lang w:eastAsia="en-AU"/>
              </w:rPr>
              <w:t>rationally bu</w:t>
            </w:r>
            <w:r w:rsidR="00526A3E">
              <w:rPr>
                <w:rFonts w:cs="Arial"/>
                <w:szCs w:val="22"/>
                <w:lang w:eastAsia="en-AU"/>
              </w:rPr>
              <w:t xml:space="preserve">y the cheapest horse available. </w:t>
            </w:r>
            <w:r w:rsidR="00F218CF">
              <w:rPr>
                <w:rFonts w:cs="Arial"/>
                <w:szCs w:val="22"/>
                <w:lang w:eastAsia="en-AU"/>
              </w:rPr>
              <w:t xml:space="preserve">Due to officials’ concerns around the sustainability of allowing all horses </w:t>
            </w:r>
            <w:r w:rsidR="008404E6">
              <w:rPr>
                <w:rFonts w:cs="Arial"/>
                <w:szCs w:val="22"/>
                <w:lang w:eastAsia="en-AU"/>
              </w:rPr>
              <w:t>into the policy</w:t>
            </w:r>
            <w:r w:rsidR="00EF4572">
              <w:rPr>
                <w:rFonts w:cs="Arial"/>
                <w:szCs w:val="22"/>
                <w:lang w:eastAsia="en-AU"/>
              </w:rPr>
              <w:t xml:space="preserve">, </w:t>
            </w:r>
            <w:r w:rsidR="001A78FE">
              <w:rPr>
                <w:rFonts w:cs="Arial"/>
                <w:szCs w:val="22"/>
                <w:lang w:eastAsia="en-AU"/>
              </w:rPr>
              <w:t xml:space="preserve">setting a price threshold </w:t>
            </w:r>
            <w:r w:rsidR="00E64D45">
              <w:rPr>
                <w:rFonts w:cs="Arial"/>
                <w:szCs w:val="22"/>
                <w:lang w:eastAsia="en-AU"/>
              </w:rPr>
              <w:t xml:space="preserve">is considered to be the best solution. </w:t>
            </w:r>
            <w:r w:rsidR="007A09AA">
              <w:rPr>
                <w:rFonts w:cs="Arial"/>
                <w:szCs w:val="22"/>
                <w:lang w:eastAsia="en-AU"/>
              </w:rPr>
              <w:t>This leads us to prefer option 4</w:t>
            </w:r>
            <w:r w:rsidR="00462C35">
              <w:rPr>
                <w:rFonts w:cs="Arial"/>
                <w:szCs w:val="22"/>
                <w:lang w:eastAsia="en-AU"/>
              </w:rPr>
              <w:t xml:space="preserve"> over </w:t>
            </w:r>
            <w:r w:rsidR="000D6D56">
              <w:rPr>
                <w:rFonts w:cs="Arial"/>
                <w:szCs w:val="22"/>
                <w:lang w:eastAsia="en-AU"/>
              </w:rPr>
              <w:t xml:space="preserve">option 3, </w:t>
            </w:r>
            <w:r w:rsidR="00E03277">
              <w:rPr>
                <w:rFonts w:cs="Arial"/>
                <w:szCs w:val="22"/>
                <w:lang w:eastAsia="en-AU"/>
              </w:rPr>
              <w:t>acknowledging that the Government and the industry did not agree with officials’</w:t>
            </w:r>
            <w:r w:rsidR="00E41235">
              <w:rPr>
                <w:rFonts w:cs="Arial"/>
                <w:szCs w:val="22"/>
                <w:lang w:eastAsia="en-AU"/>
              </w:rPr>
              <w:t xml:space="preserve"> preferred approach of</w:t>
            </w:r>
            <w:r w:rsidR="00E03277">
              <w:rPr>
                <w:rFonts w:cs="Arial"/>
                <w:szCs w:val="22"/>
                <w:lang w:eastAsia="en-AU"/>
              </w:rPr>
              <w:t xml:space="preserve"> option 2. </w:t>
            </w:r>
          </w:p>
          <w:p w:rsidR="002E74DA" w:rsidRDefault="002E74DA" w:rsidP="003B662C">
            <w:pPr>
              <w:spacing w:after="0" w:line="276" w:lineRule="auto"/>
              <w:jc w:val="both"/>
              <w:rPr>
                <w:rFonts w:cs="Arial"/>
                <w:szCs w:val="22"/>
                <w:lang w:eastAsia="en-AU"/>
              </w:rPr>
            </w:pPr>
          </w:p>
          <w:p w:rsidR="002E74DA" w:rsidRPr="0049467D" w:rsidRDefault="002E74DA" w:rsidP="003B662C">
            <w:pPr>
              <w:spacing w:after="0" w:line="276" w:lineRule="auto"/>
              <w:jc w:val="both"/>
              <w:rPr>
                <w:rFonts w:cs="Arial"/>
                <w:szCs w:val="22"/>
                <w:lang w:eastAsia="en-AU"/>
              </w:rPr>
            </w:pPr>
          </w:p>
        </w:tc>
      </w:tr>
    </w:tbl>
    <w:p w:rsidR="0062657E" w:rsidRPr="0049467D" w:rsidRDefault="0062657E" w:rsidP="0049234F">
      <w:pPr>
        <w:pStyle w:val="spacer"/>
      </w:pP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A0" w:firstRow="1" w:lastRow="0" w:firstColumn="1" w:lastColumn="0" w:noHBand="0" w:noVBand="1"/>
      </w:tblPr>
      <w:tblGrid>
        <w:gridCol w:w="9039"/>
      </w:tblGrid>
      <w:tr w:rsidR="0049467D" w:rsidRPr="0049467D" w:rsidTr="00EE3C84">
        <w:trPr>
          <w:trHeight w:val="141"/>
        </w:trPr>
        <w:tc>
          <w:tcPr>
            <w:tcW w:w="5000" w:type="pct"/>
            <w:shd w:val="clear" w:color="auto" w:fill="99CDDD"/>
            <w:hideMark/>
          </w:tcPr>
          <w:p w:rsidR="0062657E" w:rsidRPr="0049467D" w:rsidRDefault="0062657E" w:rsidP="00DF2E7B">
            <w:pPr>
              <w:spacing w:before="60" w:after="60" w:line="240" w:lineRule="auto"/>
              <w:rPr>
                <w:rFonts w:cs="Arial"/>
                <w:b/>
                <w:szCs w:val="22"/>
                <w:lang w:eastAsia="en-AU"/>
              </w:rPr>
            </w:pPr>
            <w:r w:rsidRPr="0049467D">
              <w:rPr>
                <w:rFonts w:cs="Arial"/>
                <w:b/>
                <w:szCs w:val="22"/>
                <w:lang w:eastAsia="en-AU"/>
              </w:rPr>
              <w:t>5.2   Summary table of costs and benefits of the preferred approach</w:t>
            </w:r>
          </w:p>
        </w:tc>
      </w:tr>
    </w:tbl>
    <w:p w:rsidR="0049234F" w:rsidRPr="0049467D" w:rsidRDefault="0049234F" w:rsidP="0049234F">
      <w:pPr>
        <w:pStyle w:val="spacer"/>
      </w:pPr>
    </w:p>
    <w:tbl>
      <w:tblPr>
        <w:tblpPr w:leftFromText="180" w:rightFromText="180" w:vertAnchor="text" w:tblpX="6" w:tblpY="1"/>
        <w:tblOverlap w:val="never"/>
        <w:tblW w:w="9069" w:type="dxa"/>
        <w:tblBorders>
          <w:top w:val="single" w:sz="12" w:space="0" w:color="FFFFFF"/>
          <w:left w:val="single" w:sz="12" w:space="0" w:color="FFFFFF"/>
          <w:bottom w:val="single" w:sz="12" w:space="0" w:color="FFFFFF"/>
          <w:right w:val="single" w:sz="12" w:space="0" w:color="FFFFFF"/>
          <w:insideH w:val="single" w:sz="12" w:space="0" w:color="FFFFFF"/>
          <w:insideV w:val="single" w:sz="12" w:space="0" w:color="FFFFFF"/>
        </w:tblBorders>
        <w:tblLayout w:type="fixed"/>
        <w:tblLook w:val="04A0" w:firstRow="1" w:lastRow="0" w:firstColumn="1" w:lastColumn="0" w:noHBand="0" w:noVBand="1"/>
      </w:tblPr>
      <w:tblGrid>
        <w:gridCol w:w="1982"/>
        <w:gridCol w:w="3544"/>
        <w:gridCol w:w="2268"/>
        <w:gridCol w:w="1275"/>
      </w:tblGrid>
      <w:tr w:rsidR="0049467D" w:rsidRPr="0049467D" w:rsidTr="004A11FC">
        <w:trPr>
          <w:trHeight w:val="732"/>
        </w:trPr>
        <w:tc>
          <w:tcPr>
            <w:tcW w:w="1982" w:type="dxa"/>
            <w:tcBorders>
              <w:top w:val="single" w:sz="2" w:space="0" w:color="auto"/>
              <w:left w:val="single" w:sz="2" w:space="0" w:color="auto"/>
              <w:bottom w:val="single" w:sz="2" w:space="0" w:color="auto"/>
              <w:right w:val="single" w:sz="2" w:space="0" w:color="auto"/>
            </w:tcBorders>
            <w:shd w:val="clear" w:color="auto" w:fill="99CDDD"/>
          </w:tcPr>
          <w:p w:rsidR="0062657E" w:rsidRPr="0049467D" w:rsidRDefault="0062657E" w:rsidP="00DF2E7B">
            <w:pPr>
              <w:pStyle w:val="TableText"/>
              <w:autoSpaceDE/>
              <w:autoSpaceDN/>
              <w:adjustRightInd/>
              <w:spacing w:line="240" w:lineRule="auto"/>
              <w:rPr>
                <w:rFonts w:eastAsia="Calibri" w:cs="Arial"/>
                <w:sz w:val="22"/>
              </w:rPr>
            </w:pPr>
            <w:r w:rsidRPr="0049467D">
              <w:rPr>
                <w:rFonts w:eastAsia="Calibri" w:cs="Arial"/>
                <w:b/>
                <w:sz w:val="22"/>
              </w:rPr>
              <w:t>Affected parties</w:t>
            </w:r>
            <w:r w:rsidRPr="0049467D">
              <w:rPr>
                <w:rFonts w:eastAsia="Calibri" w:cs="Arial"/>
                <w:sz w:val="22"/>
              </w:rPr>
              <w:t xml:space="preserve"> </w:t>
            </w:r>
            <w:r w:rsidRPr="0049467D">
              <w:rPr>
                <w:rFonts w:eastAsia="Calibri" w:cs="Arial"/>
                <w:i/>
                <w:sz w:val="22"/>
              </w:rPr>
              <w:t>(identify)</w:t>
            </w:r>
          </w:p>
        </w:tc>
        <w:tc>
          <w:tcPr>
            <w:tcW w:w="3544" w:type="dxa"/>
            <w:tcBorders>
              <w:top w:val="single" w:sz="2" w:space="0" w:color="auto"/>
              <w:left w:val="single" w:sz="2" w:space="0" w:color="auto"/>
              <w:bottom w:val="single" w:sz="2" w:space="0" w:color="auto"/>
              <w:right w:val="single" w:sz="2" w:space="0" w:color="auto"/>
            </w:tcBorders>
            <w:shd w:val="clear" w:color="auto" w:fill="99CDDD"/>
          </w:tcPr>
          <w:p w:rsidR="0062657E" w:rsidRPr="0049467D" w:rsidRDefault="0062657E" w:rsidP="00DF2E7B">
            <w:pPr>
              <w:pStyle w:val="TableText"/>
              <w:autoSpaceDE/>
              <w:autoSpaceDN/>
              <w:adjustRightInd/>
              <w:spacing w:line="240" w:lineRule="auto"/>
              <w:rPr>
                <w:rFonts w:eastAsia="Calibri" w:cs="Arial"/>
                <w:sz w:val="22"/>
              </w:rPr>
            </w:pPr>
            <w:r w:rsidRPr="0049467D">
              <w:rPr>
                <w:rFonts w:eastAsia="Calibri" w:cs="Arial"/>
                <w:b/>
                <w:sz w:val="22"/>
              </w:rPr>
              <w:t>Comment</w:t>
            </w:r>
            <w:r w:rsidRPr="0049467D">
              <w:rPr>
                <w:rFonts w:eastAsia="Calibri" w:cs="Arial"/>
                <w:i/>
                <w:sz w:val="22"/>
              </w:rPr>
              <w:t>: nature of cost or benefit (eg ongoing, one-off), evidence and assumption (eg compliance rates), risks</w:t>
            </w:r>
          </w:p>
        </w:tc>
        <w:tc>
          <w:tcPr>
            <w:tcW w:w="2268" w:type="dxa"/>
            <w:tcBorders>
              <w:top w:val="single" w:sz="2" w:space="0" w:color="auto"/>
              <w:left w:val="single" w:sz="2" w:space="0" w:color="auto"/>
              <w:bottom w:val="single" w:sz="2" w:space="0" w:color="auto"/>
              <w:right w:val="single" w:sz="2" w:space="0" w:color="auto"/>
            </w:tcBorders>
            <w:shd w:val="clear" w:color="auto" w:fill="99CDDD"/>
          </w:tcPr>
          <w:p w:rsidR="0062657E" w:rsidRPr="0049467D" w:rsidRDefault="0062657E" w:rsidP="00DF2E7B">
            <w:pPr>
              <w:pStyle w:val="TableText"/>
              <w:autoSpaceDE/>
              <w:autoSpaceDN/>
              <w:adjustRightInd/>
              <w:spacing w:line="240" w:lineRule="auto"/>
              <w:rPr>
                <w:rFonts w:eastAsia="Calibri" w:cs="Arial"/>
                <w:b/>
                <w:sz w:val="22"/>
              </w:rPr>
            </w:pPr>
            <w:r w:rsidRPr="0049467D">
              <w:rPr>
                <w:rFonts w:eastAsia="Calibri" w:cs="Arial"/>
                <w:b/>
                <w:sz w:val="22"/>
              </w:rPr>
              <w:t>Impact</w:t>
            </w:r>
          </w:p>
          <w:p w:rsidR="0062657E" w:rsidRPr="0049467D" w:rsidRDefault="0062657E" w:rsidP="00DF2E7B">
            <w:pPr>
              <w:pStyle w:val="TableText"/>
              <w:autoSpaceDE/>
              <w:autoSpaceDN/>
              <w:adjustRightInd/>
              <w:spacing w:line="240" w:lineRule="auto"/>
              <w:rPr>
                <w:rFonts w:eastAsia="Calibri" w:cs="Arial"/>
                <w:i/>
                <w:sz w:val="22"/>
              </w:rPr>
            </w:pPr>
            <w:r w:rsidRPr="0049467D">
              <w:rPr>
                <w:rFonts w:eastAsia="Calibri" w:cs="Arial"/>
                <w:i/>
                <w:sz w:val="22"/>
              </w:rPr>
              <w:t xml:space="preserve">$m present value,  for monetised impacts; high, medium or low for non-monetised impacts  </w:t>
            </w:r>
          </w:p>
        </w:tc>
        <w:tc>
          <w:tcPr>
            <w:tcW w:w="1275" w:type="dxa"/>
            <w:tcBorders>
              <w:top w:val="single" w:sz="2" w:space="0" w:color="auto"/>
              <w:left w:val="single" w:sz="2" w:space="0" w:color="auto"/>
              <w:bottom w:val="single" w:sz="2" w:space="0" w:color="auto"/>
              <w:right w:val="single" w:sz="2" w:space="0" w:color="auto"/>
            </w:tcBorders>
            <w:shd w:val="clear" w:color="auto" w:fill="99CDDD"/>
          </w:tcPr>
          <w:p w:rsidR="0062657E" w:rsidRPr="0049467D" w:rsidRDefault="0062657E" w:rsidP="00DF2E7B">
            <w:pPr>
              <w:pStyle w:val="TableText"/>
              <w:autoSpaceDE/>
              <w:autoSpaceDN/>
              <w:adjustRightInd/>
              <w:spacing w:line="240" w:lineRule="auto"/>
              <w:rPr>
                <w:rFonts w:eastAsia="Calibri" w:cs="Arial"/>
                <w:sz w:val="22"/>
              </w:rPr>
            </w:pPr>
            <w:r w:rsidRPr="0049467D">
              <w:rPr>
                <w:rFonts w:eastAsia="Calibri" w:cs="Arial"/>
                <w:b/>
                <w:sz w:val="22"/>
              </w:rPr>
              <w:t>Evidence</w:t>
            </w:r>
            <w:r w:rsidRPr="0049467D">
              <w:rPr>
                <w:rFonts w:eastAsia="Calibri" w:cs="Arial"/>
                <w:sz w:val="22"/>
              </w:rPr>
              <w:t xml:space="preserve"> </w:t>
            </w:r>
            <w:r w:rsidRPr="0049467D">
              <w:rPr>
                <w:rFonts w:eastAsia="Calibri" w:cs="Arial"/>
                <w:b/>
                <w:sz w:val="22"/>
              </w:rPr>
              <w:t>certainty</w:t>
            </w:r>
            <w:r w:rsidRPr="0049467D">
              <w:rPr>
                <w:rFonts w:eastAsia="Calibri" w:cs="Arial"/>
                <w:sz w:val="22"/>
              </w:rPr>
              <w:t xml:space="preserve"> </w:t>
            </w:r>
            <w:r w:rsidRPr="0049467D">
              <w:rPr>
                <w:rFonts w:eastAsia="Calibri" w:cs="Arial"/>
                <w:i/>
                <w:sz w:val="22"/>
              </w:rPr>
              <w:t>(High, medium or low)</w:t>
            </w:r>
            <w:r w:rsidRPr="0049467D">
              <w:rPr>
                <w:rFonts w:eastAsia="Calibri" w:cs="Arial"/>
                <w:sz w:val="22"/>
              </w:rPr>
              <w:t xml:space="preserve"> </w:t>
            </w:r>
          </w:p>
        </w:tc>
      </w:tr>
      <w:tr w:rsidR="0049467D" w:rsidRPr="0049467D" w:rsidTr="00FA7EFC">
        <w:trPr>
          <w:trHeight w:val="253"/>
        </w:trPr>
        <w:tc>
          <w:tcPr>
            <w:tcW w:w="9069" w:type="dxa"/>
            <w:gridSpan w:val="4"/>
            <w:tcBorders>
              <w:top w:val="nil"/>
              <w:left w:val="nil"/>
              <w:bottom w:val="nil"/>
              <w:right w:val="nil"/>
            </w:tcBorders>
          </w:tcPr>
          <w:p w:rsidR="0062657E" w:rsidRPr="0049467D" w:rsidRDefault="0062657E" w:rsidP="0049234F">
            <w:pPr>
              <w:pStyle w:val="spacer"/>
              <w:keepNext/>
              <w:rPr>
                <w:rFonts w:eastAsia="Calibri"/>
              </w:rPr>
            </w:pPr>
          </w:p>
        </w:tc>
      </w:tr>
      <w:tr w:rsidR="0049467D" w:rsidRPr="0049467D" w:rsidTr="004A11FC">
        <w:trPr>
          <w:trHeight w:val="253"/>
        </w:trPr>
        <w:tc>
          <w:tcPr>
            <w:tcW w:w="9069" w:type="dxa"/>
            <w:gridSpan w:val="4"/>
            <w:tcBorders>
              <w:top w:val="single" w:sz="2" w:space="0" w:color="auto"/>
              <w:left w:val="single" w:sz="2" w:space="0" w:color="auto"/>
              <w:bottom w:val="single" w:sz="2" w:space="0" w:color="auto"/>
              <w:right w:val="single" w:sz="2" w:space="0" w:color="auto"/>
            </w:tcBorders>
            <w:shd w:val="clear" w:color="auto" w:fill="99CDDD"/>
          </w:tcPr>
          <w:p w:rsidR="0062657E" w:rsidRPr="0049467D" w:rsidRDefault="0062657E" w:rsidP="002C3334">
            <w:pPr>
              <w:keepNext/>
              <w:spacing w:before="40" w:after="20" w:line="276" w:lineRule="auto"/>
              <w:rPr>
                <w:rFonts w:eastAsia="Calibri" w:cs="Arial"/>
                <w:b/>
                <w:szCs w:val="22"/>
              </w:rPr>
            </w:pPr>
            <w:r w:rsidRPr="0049467D">
              <w:rPr>
                <w:rFonts w:eastAsia="Calibri" w:cs="Arial"/>
                <w:b/>
                <w:szCs w:val="22"/>
              </w:rPr>
              <w:t xml:space="preserve">Additional costs of </w:t>
            </w:r>
            <w:r w:rsidR="002C3334">
              <w:rPr>
                <w:rFonts w:eastAsia="Calibri" w:cs="Arial"/>
                <w:b/>
                <w:szCs w:val="22"/>
              </w:rPr>
              <w:t>option 4</w:t>
            </w:r>
            <w:r w:rsidRPr="0049467D">
              <w:rPr>
                <w:rFonts w:eastAsia="Calibri" w:cs="Arial"/>
                <w:b/>
                <w:szCs w:val="22"/>
              </w:rPr>
              <w:t>, compared to taking no action</w:t>
            </w:r>
          </w:p>
        </w:tc>
      </w:tr>
      <w:tr w:rsidR="0049467D" w:rsidRPr="0049467D" w:rsidTr="00FA7EFC">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rsidR="0062657E" w:rsidRPr="0049467D" w:rsidRDefault="00AF6922" w:rsidP="0049234F">
            <w:pPr>
              <w:pStyle w:val="TableText"/>
              <w:keepNext/>
              <w:spacing w:line="276" w:lineRule="auto"/>
              <w:rPr>
                <w:rFonts w:eastAsia="Calibri" w:cs="Arial"/>
                <w:sz w:val="22"/>
              </w:rPr>
            </w:pPr>
            <w:r>
              <w:rPr>
                <w:rFonts w:eastAsia="Calibri" w:cs="Arial"/>
                <w:sz w:val="22"/>
              </w:rPr>
              <w:t>New investors</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62657E" w:rsidRPr="0049467D" w:rsidRDefault="00B564D3" w:rsidP="00D80DB3">
            <w:pPr>
              <w:pStyle w:val="TableText"/>
              <w:keepNext/>
              <w:spacing w:line="276" w:lineRule="auto"/>
              <w:rPr>
                <w:rFonts w:eastAsia="Calibri" w:cs="Arial"/>
                <w:sz w:val="22"/>
              </w:rPr>
            </w:pPr>
            <w:r>
              <w:rPr>
                <w:rFonts w:eastAsia="Calibri" w:cs="Arial"/>
                <w:sz w:val="22"/>
              </w:rPr>
              <w:t xml:space="preserve">New investors </w:t>
            </w:r>
            <w:r w:rsidR="00DC3779">
              <w:rPr>
                <w:rFonts w:eastAsia="Calibri" w:cs="Arial"/>
                <w:sz w:val="22"/>
              </w:rPr>
              <w:t xml:space="preserve">(with a horse costing more than the bright-line price) </w:t>
            </w:r>
            <w:r w:rsidR="00A71F04">
              <w:rPr>
                <w:rFonts w:eastAsia="Calibri" w:cs="Arial"/>
                <w:sz w:val="22"/>
              </w:rPr>
              <w:t xml:space="preserve">intending to start a breeding business </w:t>
            </w:r>
            <w:r>
              <w:rPr>
                <w:rFonts w:eastAsia="Calibri" w:cs="Arial"/>
                <w:sz w:val="22"/>
              </w:rPr>
              <w:t>w</w:t>
            </w:r>
            <w:r w:rsidR="00B32441">
              <w:rPr>
                <w:rFonts w:eastAsia="Calibri" w:cs="Arial"/>
                <w:sz w:val="22"/>
              </w:rPr>
              <w:t>ill</w:t>
            </w:r>
            <w:r>
              <w:rPr>
                <w:rFonts w:eastAsia="Calibri" w:cs="Arial"/>
                <w:sz w:val="22"/>
              </w:rPr>
              <w:t xml:space="preserve"> need to provide evidence of a business plan</w:t>
            </w:r>
            <w:r w:rsidR="007817E8">
              <w:rPr>
                <w:rFonts w:eastAsia="Calibri" w:cs="Arial"/>
                <w:sz w:val="22"/>
              </w:rPr>
              <w:t xml:space="preserve"> to the Commissioner.</w:t>
            </w:r>
            <w:r w:rsidR="0002263E">
              <w:rPr>
                <w:rFonts w:eastAsia="Calibri" w:cs="Arial"/>
                <w:sz w:val="22"/>
              </w:rPr>
              <w:t xml:space="preserve"> The cost of some horses may also go up. </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62657E" w:rsidRPr="0049467D" w:rsidRDefault="00C75BB7" w:rsidP="0049234F">
            <w:pPr>
              <w:pStyle w:val="TableText"/>
              <w:keepNext/>
              <w:spacing w:line="276" w:lineRule="auto"/>
              <w:rPr>
                <w:rFonts w:eastAsia="Calibri" w:cs="Arial"/>
                <w:sz w:val="22"/>
              </w:rPr>
            </w:pPr>
            <w:r>
              <w:rPr>
                <w:rFonts w:eastAsia="Calibri" w:cs="Arial"/>
                <w:sz w:val="22"/>
              </w:rPr>
              <w:t xml:space="preserve">Low </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62657E" w:rsidRPr="0049467D" w:rsidRDefault="00562AE0" w:rsidP="0049234F">
            <w:pPr>
              <w:pStyle w:val="TableText"/>
              <w:keepNext/>
              <w:spacing w:line="276" w:lineRule="auto"/>
              <w:rPr>
                <w:rFonts w:eastAsia="Calibri" w:cs="Arial"/>
                <w:sz w:val="22"/>
              </w:rPr>
            </w:pPr>
            <w:r>
              <w:rPr>
                <w:rFonts w:eastAsia="Calibri" w:cs="Arial"/>
                <w:sz w:val="22"/>
              </w:rPr>
              <w:t>High</w:t>
            </w:r>
          </w:p>
        </w:tc>
      </w:tr>
      <w:tr w:rsidR="00AF6922" w:rsidRPr="0049467D" w:rsidTr="00FA7EFC">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rsidR="00AF6922" w:rsidRPr="0049467D" w:rsidRDefault="000912B4" w:rsidP="0049234F">
            <w:pPr>
              <w:pStyle w:val="TableText"/>
              <w:keepNext/>
              <w:spacing w:line="276" w:lineRule="auto"/>
              <w:rPr>
                <w:rFonts w:eastAsia="Calibri" w:cs="Arial"/>
                <w:sz w:val="22"/>
              </w:rPr>
            </w:pPr>
            <w:r>
              <w:rPr>
                <w:rFonts w:eastAsia="Calibri" w:cs="Arial"/>
                <w:sz w:val="22"/>
              </w:rPr>
              <w:t>Existing b</w:t>
            </w:r>
            <w:r w:rsidR="00AF6922">
              <w:rPr>
                <w:rFonts w:eastAsia="Calibri" w:cs="Arial"/>
                <w:sz w:val="22"/>
              </w:rPr>
              <w:t>reeders</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AF6922" w:rsidRDefault="006E1EB8" w:rsidP="00516BD8">
            <w:pPr>
              <w:pStyle w:val="TableText"/>
              <w:keepNext/>
              <w:spacing w:line="276" w:lineRule="auto"/>
              <w:rPr>
                <w:rFonts w:eastAsia="Calibri" w:cs="Arial"/>
                <w:sz w:val="22"/>
              </w:rPr>
            </w:pPr>
            <w:r>
              <w:rPr>
                <w:rFonts w:eastAsia="Calibri" w:cs="Arial"/>
                <w:sz w:val="22"/>
              </w:rPr>
              <w:t xml:space="preserve">Existing breeders may have to </w:t>
            </w:r>
            <w:r>
              <w:rPr>
                <w:rFonts w:eastAsia="Calibri" w:cs="Arial"/>
                <w:sz w:val="22"/>
              </w:rPr>
              <w:lastRenderedPageBreak/>
              <w:t>pay more for yearlings as a result of yearlings bei</w:t>
            </w:r>
            <w:r w:rsidR="001343B2">
              <w:rPr>
                <w:rFonts w:eastAsia="Calibri" w:cs="Arial"/>
                <w:sz w:val="22"/>
              </w:rPr>
              <w:t>ng bid up for the tax incentive (though they will often be selling them, and getting that benefit)</w:t>
            </w:r>
            <w:r w:rsidR="00B642FC">
              <w:rPr>
                <w:rFonts w:eastAsia="Calibri" w:cs="Arial"/>
                <w:sz w:val="22"/>
              </w:rPr>
              <w:t>.</w:t>
            </w:r>
          </w:p>
          <w:p w:rsidR="00D80B19" w:rsidRDefault="00D80B19" w:rsidP="00516BD8">
            <w:pPr>
              <w:pStyle w:val="TableText"/>
              <w:keepNext/>
              <w:spacing w:line="276" w:lineRule="auto"/>
              <w:rPr>
                <w:rFonts w:eastAsia="Calibri" w:cs="Arial"/>
                <w:sz w:val="22"/>
              </w:rPr>
            </w:pPr>
            <w:r>
              <w:rPr>
                <w:rFonts w:eastAsia="Calibri" w:cs="Arial"/>
                <w:sz w:val="22"/>
              </w:rPr>
              <w:t>Breeders</w:t>
            </w:r>
            <w:r w:rsidR="00414A2D">
              <w:rPr>
                <w:rFonts w:eastAsia="Calibri" w:cs="Arial"/>
                <w:sz w:val="22"/>
              </w:rPr>
              <w:t xml:space="preserve"> who syndicate yearlings to</w:t>
            </w:r>
            <w:r w:rsidR="0025749A">
              <w:rPr>
                <w:rFonts w:eastAsia="Calibri" w:cs="Arial"/>
                <w:sz w:val="22"/>
              </w:rPr>
              <w:t xml:space="preserve"> new investors may have to </w:t>
            </w:r>
            <w:r w:rsidR="003F4FB1">
              <w:rPr>
                <w:rFonts w:eastAsia="Calibri" w:cs="Arial"/>
                <w:sz w:val="22"/>
              </w:rPr>
              <w:t>provide the business plan to the Commissioner themselves.</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AF6922" w:rsidRDefault="001343B2" w:rsidP="0049234F">
            <w:pPr>
              <w:pStyle w:val="TableText"/>
              <w:keepNext/>
              <w:spacing w:line="276" w:lineRule="auto"/>
              <w:rPr>
                <w:rFonts w:eastAsia="Calibri" w:cs="Arial"/>
                <w:sz w:val="22"/>
              </w:rPr>
            </w:pPr>
            <w:r>
              <w:rPr>
                <w:rFonts w:eastAsia="Calibri" w:cs="Arial"/>
                <w:sz w:val="22"/>
              </w:rPr>
              <w:lastRenderedPageBreak/>
              <w:t>Low</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AF6922" w:rsidRDefault="001343B2" w:rsidP="0049234F">
            <w:pPr>
              <w:pStyle w:val="TableText"/>
              <w:keepNext/>
              <w:spacing w:line="276" w:lineRule="auto"/>
              <w:rPr>
                <w:rFonts w:eastAsia="Calibri" w:cs="Arial"/>
                <w:sz w:val="22"/>
              </w:rPr>
            </w:pPr>
            <w:r>
              <w:rPr>
                <w:rFonts w:eastAsia="Calibri" w:cs="Arial"/>
                <w:sz w:val="22"/>
              </w:rPr>
              <w:t>High</w:t>
            </w:r>
          </w:p>
        </w:tc>
      </w:tr>
      <w:tr w:rsidR="00AF6922" w:rsidRPr="0049467D" w:rsidTr="00FA7EFC">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rsidR="00AF6922" w:rsidRPr="0049467D" w:rsidRDefault="00AF6922" w:rsidP="0049234F">
            <w:pPr>
              <w:pStyle w:val="TableText"/>
              <w:keepNext/>
              <w:spacing w:line="276" w:lineRule="auto"/>
              <w:rPr>
                <w:rFonts w:eastAsia="Calibri" w:cs="Arial"/>
                <w:sz w:val="22"/>
              </w:rPr>
            </w:pPr>
            <w:r>
              <w:rPr>
                <w:rFonts w:eastAsia="Calibri" w:cs="Arial"/>
                <w:sz w:val="22"/>
              </w:rPr>
              <w:lastRenderedPageBreak/>
              <w:t>Foreign investors</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AF6922" w:rsidRDefault="00B50041" w:rsidP="00516BD8">
            <w:pPr>
              <w:pStyle w:val="TableText"/>
              <w:keepNext/>
              <w:spacing w:line="276" w:lineRule="auto"/>
              <w:rPr>
                <w:rFonts w:eastAsia="Calibri" w:cs="Arial"/>
                <w:sz w:val="22"/>
              </w:rPr>
            </w:pPr>
            <w:r>
              <w:rPr>
                <w:rFonts w:eastAsia="Calibri" w:cs="Arial"/>
                <w:sz w:val="22"/>
              </w:rPr>
              <w:t>Foreign investors may have to pay more for yearlings as a result of yearlings being bid up for the tax incentive.</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AF6922" w:rsidRDefault="00FE1452" w:rsidP="0049234F">
            <w:pPr>
              <w:pStyle w:val="TableText"/>
              <w:keepNext/>
              <w:spacing w:line="276" w:lineRule="auto"/>
              <w:rPr>
                <w:rFonts w:eastAsia="Calibri" w:cs="Arial"/>
                <w:sz w:val="22"/>
              </w:rPr>
            </w:pPr>
            <w:r>
              <w:rPr>
                <w:rFonts w:eastAsia="Calibri" w:cs="Arial"/>
                <w:sz w:val="22"/>
              </w:rPr>
              <w:t>Low</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AF6922" w:rsidRDefault="00FA34AC" w:rsidP="0049234F">
            <w:pPr>
              <w:pStyle w:val="TableText"/>
              <w:keepNext/>
              <w:spacing w:line="276" w:lineRule="auto"/>
              <w:rPr>
                <w:rFonts w:eastAsia="Calibri" w:cs="Arial"/>
                <w:sz w:val="22"/>
              </w:rPr>
            </w:pPr>
            <w:r>
              <w:rPr>
                <w:rFonts w:eastAsia="Calibri" w:cs="Arial"/>
                <w:sz w:val="22"/>
              </w:rPr>
              <w:t>High</w:t>
            </w:r>
          </w:p>
        </w:tc>
      </w:tr>
      <w:tr w:rsidR="0049467D" w:rsidRPr="0049467D" w:rsidTr="00FA7EFC">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rsidR="0062657E" w:rsidRPr="0049467D" w:rsidRDefault="00AF6922" w:rsidP="0049234F">
            <w:pPr>
              <w:pStyle w:val="TableText"/>
              <w:keepNext/>
              <w:spacing w:line="276" w:lineRule="auto"/>
              <w:rPr>
                <w:rFonts w:eastAsia="Calibri" w:cs="Arial"/>
                <w:sz w:val="22"/>
              </w:rPr>
            </w:pPr>
            <w:r>
              <w:rPr>
                <w:rFonts w:eastAsia="Calibri" w:cs="Arial"/>
                <w:sz w:val="22"/>
              </w:rPr>
              <w:t>Inland Revenue</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62657E" w:rsidRPr="0049467D" w:rsidRDefault="00437852" w:rsidP="00007C3C">
            <w:pPr>
              <w:pStyle w:val="TableText"/>
              <w:keepNext/>
              <w:spacing w:line="276" w:lineRule="auto"/>
              <w:rPr>
                <w:rFonts w:eastAsia="Calibri" w:cs="Arial"/>
                <w:sz w:val="22"/>
              </w:rPr>
            </w:pPr>
            <w:r>
              <w:rPr>
                <w:rFonts w:eastAsia="Calibri" w:cs="Arial"/>
                <w:sz w:val="22"/>
              </w:rPr>
              <w:t>The Commissioner w</w:t>
            </w:r>
            <w:r w:rsidR="00B32441">
              <w:rPr>
                <w:rFonts w:eastAsia="Calibri" w:cs="Arial"/>
                <w:sz w:val="22"/>
              </w:rPr>
              <w:t>ill</w:t>
            </w:r>
            <w:r>
              <w:rPr>
                <w:rFonts w:eastAsia="Calibri" w:cs="Arial"/>
                <w:sz w:val="22"/>
              </w:rPr>
              <w:t xml:space="preserve"> need to evaluate </w:t>
            </w:r>
            <w:r w:rsidR="00721EE6">
              <w:rPr>
                <w:rFonts w:eastAsia="Calibri" w:cs="Arial"/>
                <w:sz w:val="22"/>
              </w:rPr>
              <w:t>business plans</w:t>
            </w:r>
            <w:r w:rsidR="00CC2A68">
              <w:rPr>
                <w:rFonts w:eastAsia="Calibri" w:cs="Arial"/>
                <w:sz w:val="22"/>
              </w:rPr>
              <w:t xml:space="preserve"> submitted by bloodstock owners</w:t>
            </w:r>
            <w:r w:rsidR="003D7E7F">
              <w:rPr>
                <w:rFonts w:eastAsia="Calibri" w:cs="Arial"/>
                <w:sz w:val="22"/>
              </w:rPr>
              <w:t xml:space="preserve"> claiming</w:t>
            </w:r>
            <w:r w:rsidR="00DE5868">
              <w:rPr>
                <w:rFonts w:eastAsia="Calibri" w:cs="Arial"/>
                <w:sz w:val="22"/>
              </w:rPr>
              <w:t xml:space="preserve"> an</w:t>
            </w:r>
            <w:r w:rsidR="003D7E7F">
              <w:rPr>
                <w:rFonts w:eastAsia="Calibri" w:cs="Arial"/>
                <w:sz w:val="22"/>
              </w:rPr>
              <w:t xml:space="preserve"> intention to breed</w:t>
            </w:r>
            <w:r w:rsidR="00CC2A68">
              <w:rPr>
                <w:rFonts w:eastAsia="Calibri" w:cs="Arial"/>
                <w:sz w:val="22"/>
              </w:rPr>
              <w:t xml:space="preserve">, which </w:t>
            </w:r>
            <w:r w:rsidR="00007C3C">
              <w:rPr>
                <w:rFonts w:eastAsia="Calibri" w:cs="Arial"/>
                <w:sz w:val="22"/>
              </w:rPr>
              <w:t>may</w:t>
            </w:r>
            <w:r w:rsidR="00CC2A68">
              <w:rPr>
                <w:rFonts w:eastAsia="Calibri" w:cs="Arial"/>
                <w:sz w:val="22"/>
              </w:rPr>
              <w:t xml:space="preserve"> be more administratively intensive than simply verifying </w:t>
            </w:r>
            <w:r w:rsidR="00C02934">
              <w:rPr>
                <w:rFonts w:eastAsia="Calibri" w:cs="Arial"/>
                <w:sz w:val="22"/>
              </w:rPr>
              <w:t>the existence of a business.</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62657E" w:rsidRPr="0049467D" w:rsidRDefault="00C75BB7" w:rsidP="0049234F">
            <w:pPr>
              <w:pStyle w:val="TableText"/>
              <w:keepNext/>
              <w:spacing w:line="276" w:lineRule="auto"/>
              <w:rPr>
                <w:rFonts w:eastAsia="Calibri" w:cs="Arial"/>
                <w:sz w:val="22"/>
              </w:rPr>
            </w:pPr>
            <w:r>
              <w:rPr>
                <w:rFonts w:eastAsia="Calibri" w:cs="Arial"/>
                <w:sz w:val="22"/>
              </w:rPr>
              <w:t xml:space="preserve">Low </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62657E" w:rsidRPr="0049467D" w:rsidRDefault="00437852" w:rsidP="0049234F">
            <w:pPr>
              <w:pStyle w:val="TableText"/>
              <w:keepNext/>
              <w:spacing w:line="276" w:lineRule="auto"/>
              <w:rPr>
                <w:rFonts w:eastAsia="Calibri" w:cs="Arial"/>
                <w:sz w:val="22"/>
              </w:rPr>
            </w:pPr>
            <w:r>
              <w:rPr>
                <w:rFonts w:eastAsia="Calibri" w:cs="Arial"/>
                <w:sz w:val="22"/>
              </w:rPr>
              <w:t>High</w:t>
            </w:r>
          </w:p>
        </w:tc>
      </w:tr>
      <w:tr w:rsidR="0049467D" w:rsidRPr="0049467D" w:rsidTr="00FA7EFC">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rsidR="0062657E" w:rsidRPr="0049467D" w:rsidRDefault="0062657E" w:rsidP="0049234F">
            <w:pPr>
              <w:pStyle w:val="TableText"/>
              <w:keepNext/>
              <w:spacing w:line="276" w:lineRule="auto"/>
              <w:rPr>
                <w:rFonts w:eastAsia="Calibri" w:cs="Arial"/>
                <w:b/>
                <w:sz w:val="22"/>
              </w:rPr>
            </w:pPr>
            <w:r w:rsidRPr="0049467D">
              <w:rPr>
                <w:rFonts w:eastAsia="Calibri" w:cs="Arial"/>
                <w:b/>
                <w:sz w:val="22"/>
              </w:rPr>
              <w:t>Total Monetised Cost</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62657E" w:rsidRPr="00D80C80" w:rsidRDefault="00D80C80" w:rsidP="00E25455">
            <w:pPr>
              <w:pStyle w:val="TableText"/>
              <w:keepNext/>
              <w:spacing w:line="276" w:lineRule="auto"/>
              <w:rPr>
                <w:rFonts w:eastAsia="Calibri" w:cs="Arial"/>
                <w:sz w:val="22"/>
              </w:rPr>
            </w:pPr>
            <w:r>
              <w:rPr>
                <w:rFonts w:eastAsia="Calibri" w:cs="Arial"/>
                <w:sz w:val="22"/>
              </w:rPr>
              <w:t xml:space="preserve">Cost allocated to </w:t>
            </w:r>
            <w:r w:rsidR="00E25455">
              <w:rPr>
                <w:rFonts w:eastAsia="Calibri" w:cs="Arial"/>
                <w:sz w:val="22"/>
              </w:rPr>
              <w:t>tax expenditure</w:t>
            </w:r>
            <w:r w:rsidR="00037895">
              <w:rPr>
                <w:rFonts w:eastAsia="Calibri" w:cs="Arial"/>
                <w:sz w:val="22"/>
              </w:rPr>
              <w:t xml:space="preserve"> in B</w:t>
            </w:r>
            <w:r>
              <w:rPr>
                <w:rFonts w:eastAsia="Calibri" w:cs="Arial"/>
                <w:sz w:val="22"/>
              </w:rPr>
              <w:t>udget 2018.</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62657E" w:rsidRPr="0049467D" w:rsidRDefault="00052F42" w:rsidP="0049234F">
            <w:pPr>
              <w:pStyle w:val="TableText"/>
              <w:keepNext/>
              <w:spacing w:line="276" w:lineRule="auto"/>
              <w:rPr>
                <w:rFonts w:eastAsia="Calibri" w:cs="Arial"/>
                <w:sz w:val="22"/>
              </w:rPr>
            </w:pPr>
            <w:r>
              <w:rPr>
                <w:rFonts w:eastAsia="Calibri" w:cs="Arial"/>
                <w:sz w:val="22"/>
              </w:rPr>
              <w:t>$4.8 million</w:t>
            </w:r>
            <w:r w:rsidR="009E212B">
              <w:rPr>
                <w:rFonts w:eastAsia="Calibri" w:cs="Arial"/>
                <w:sz w:val="22"/>
              </w:rPr>
              <w:t xml:space="preserve"> over 4 years</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62657E" w:rsidRPr="0049467D" w:rsidRDefault="00C75BB7" w:rsidP="00CC0E70">
            <w:pPr>
              <w:pStyle w:val="TableText"/>
              <w:keepNext/>
              <w:spacing w:line="276" w:lineRule="auto"/>
              <w:rPr>
                <w:rFonts w:eastAsia="Calibri" w:cs="Arial"/>
                <w:sz w:val="22"/>
              </w:rPr>
            </w:pPr>
            <w:r>
              <w:rPr>
                <w:rFonts w:eastAsia="Calibri" w:cs="Arial"/>
                <w:sz w:val="22"/>
              </w:rPr>
              <w:t>High</w:t>
            </w:r>
            <w:r w:rsidR="0098433E">
              <w:rPr>
                <w:rStyle w:val="FootnoteReference"/>
                <w:rFonts w:eastAsia="Calibri" w:cs="Arial"/>
              </w:rPr>
              <w:footnoteReference w:id="2"/>
            </w:r>
            <w:r w:rsidR="00D80DB3">
              <w:rPr>
                <w:rFonts w:eastAsia="Calibri" w:cs="Arial"/>
                <w:sz w:val="22"/>
              </w:rPr>
              <w:t xml:space="preserve"> </w:t>
            </w:r>
          </w:p>
        </w:tc>
      </w:tr>
      <w:tr w:rsidR="0049467D" w:rsidRPr="0049467D" w:rsidTr="00FA7EFC">
        <w:trPr>
          <w:trHeight w:val="253"/>
        </w:trPr>
        <w:tc>
          <w:tcPr>
            <w:tcW w:w="1982" w:type="dxa"/>
            <w:tcBorders>
              <w:top w:val="single" w:sz="2" w:space="0" w:color="auto"/>
              <w:left w:val="single" w:sz="2" w:space="0" w:color="auto"/>
              <w:bottom w:val="single" w:sz="2" w:space="0" w:color="auto"/>
              <w:right w:val="single" w:sz="2" w:space="0" w:color="auto"/>
            </w:tcBorders>
            <w:shd w:val="clear" w:color="auto" w:fill="auto"/>
          </w:tcPr>
          <w:p w:rsidR="0062657E" w:rsidRPr="0049467D" w:rsidRDefault="0062657E" w:rsidP="007B090A">
            <w:pPr>
              <w:pStyle w:val="TableText"/>
              <w:keepNext/>
              <w:spacing w:line="276" w:lineRule="auto"/>
              <w:rPr>
                <w:rFonts w:eastAsia="Calibri" w:cs="Arial"/>
                <w:b/>
                <w:sz w:val="22"/>
              </w:rPr>
            </w:pPr>
            <w:r w:rsidRPr="0049467D">
              <w:rPr>
                <w:rFonts w:eastAsia="Calibri" w:cs="Arial"/>
                <w:b/>
                <w:sz w:val="22"/>
              </w:rPr>
              <w:t xml:space="preserve">Non-monetised costs </w:t>
            </w:r>
          </w:p>
        </w:tc>
        <w:tc>
          <w:tcPr>
            <w:tcW w:w="3544" w:type="dxa"/>
            <w:tcBorders>
              <w:top w:val="single" w:sz="2" w:space="0" w:color="auto"/>
              <w:left w:val="single" w:sz="2" w:space="0" w:color="auto"/>
              <w:bottom w:val="single" w:sz="2" w:space="0" w:color="auto"/>
              <w:right w:val="single" w:sz="2" w:space="0" w:color="auto"/>
            </w:tcBorders>
            <w:shd w:val="clear" w:color="auto" w:fill="auto"/>
          </w:tcPr>
          <w:p w:rsidR="0062657E" w:rsidRPr="00AB5BAA" w:rsidRDefault="008033AE" w:rsidP="0049711A">
            <w:pPr>
              <w:pStyle w:val="TableText"/>
              <w:keepNext/>
              <w:spacing w:line="276" w:lineRule="auto"/>
              <w:rPr>
                <w:rFonts w:eastAsia="Calibri" w:cs="Arial"/>
                <w:sz w:val="22"/>
              </w:rPr>
            </w:pPr>
            <w:r>
              <w:rPr>
                <w:rFonts w:eastAsia="Calibri" w:cs="Arial"/>
                <w:sz w:val="22"/>
              </w:rPr>
              <w:t xml:space="preserve">Increased </w:t>
            </w:r>
            <w:r w:rsidR="0011454C">
              <w:rPr>
                <w:rFonts w:eastAsia="Calibri" w:cs="Arial"/>
                <w:sz w:val="22"/>
              </w:rPr>
              <w:t>admin</w:t>
            </w:r>
            <w:r w:rsidR="00861467">
              <w:rPr>
                <w:rFonts w:eastAsia="Calibri" w:cs="Arial"/>
                <w:sz w:val="22"/>
              </w:rPr>
              <w:t>i</w:t>
            </w:r>
            <w:r w:rsidR="00B11CF2">
              <w:rPr>
                <w:rFonts w:eastAsia="Calibri" w:cs="Arial"/>
                <w:sz w:val="22"/>
              </w:rPr>
              <w:t>stration</w:t>
            </w:r>
            <w:r w:rsidR="0011454C">
              <w:rPr>
                <w:rFonts w:eastAsia="Calibri" w:cs="Arial"/>
                <w:sz w:val="22"/>
              </w:rPr>
              <w:t xml:space="preserve"> and compliance </w:t>
            </w:r>
            <w:r>
              <w:rPr>
                <w:rFonts w:eastAsia="Calibri" w:cs="Arial"/>
                <w:sz w:val="22"/>
              </w:rPr>
              <w:t>costs for regulators</w:t>
            </w:r>
            <w:r w:rsidR="0049711A">
              <w:rPr>
                <w:rFonts w:eastAsia="Calibri" w:cs="Arial"/>
                <w:sz w:val="22"/>
              </w:rPr>
              <w:t xml:space="preserve"> and regulated parties.</w:t>
            </w:r>
          </w:p>
        </w:tc>
        <w:tc>
          <w:tcPr>
            <w:tcW w:w="2268" w:type="dxa"/>
            <w:tcBorders>
              <w:top w:val="single" w:sz="2" w:space="0" w:color="auto"/>
              <w:left w:val="single" w:sz="2" w:space="0" w:color="auto"/>
              <w:bottom w:val="single" w:sz="2" w:space="0" w:color="auto"/>
              <w:right w:val="single" w:sz="2" w:space="0" w:color="auto"/>
            </w:tcBorders>
            <w:shd w:val="clear" w:color="auto" w:fill="auto"/>
          </w:tcPr>
          <w:p w:rsidR="0062657E" w:rsidRPr="000510EB" w:rsidRDefault="00C777F5" w:rsidP="007B090A">
            <w:pPr>
              <w:pStyle w:val="TableText"/>
              <w:keepNext/>
              <w:spacing w:line="276" w:lineRule="auto"/>
              <w:rPr>
                <w:rFonts w:eastAsia="Calibri" w:cs="Arial"/>
                <w:sz w:val="22"/>
              </w:rPr>
            </w:pPr>
            <w:r>
              <w:rPr>
                <w:rFonts w:eastAsia="Calibri" w:cs="Arial"/>
                <w:sz w:val="22"/>
              </w:rPr>
              <w:t>Low</w:t>
            </w:r>
          </w:p>
        </w:tc>
        <w:tc>
          <w:tcPr>
            <w:tcW w:w="1275" w:type="dxa"/>
            <w:tcBorders>
              <w:top w:val="single" w:sz="2" w:space="0" w:color="auto"/>
              <w:left w:val="single" w:sz="2" w:space="0" w:color="auto"/>
              <w:bottom w:val="single" w:sz="2" w:space="0" w:color="auto"/>
              <w:right w:val="single" w:sz="2" w:space="0" w:color="auto"/>
            </w:tcBorders>
            <w:shd w:val="clear" w:color="auto" w:fill="auto"/>
          </w:tcPr>
          <w:p w:rsidR="0062657E" w:rsidRPr="0049467D" w:rsidRDefault="008501D5" w:rsidP="007B090A">
            <w:pPr>
              <w:pStyle w:val="TableText"/>
              <w:keepNext/>
              <w:spacing w:line="276" w:lineRule="auto"/>
              <w:rPr>
                <w:rFonts w:eastAsia="Calibri" w:cs="Arial"/>
                <w:sz w:val="22"/>
              </w:rPr>
            </w:pPr>
            <w:r>
              <w:rPr>
                <w:rFonts w:eastAsia="Calibri" w:cs="Arial"/>
                <w:sz w:val="22"/>
              </w:rPr>
              <w:t>High</w:t>
            </w:r>
          </w:p>
        </w:tc>
      </w:tr>
    </w:tbl>
    <w:p w:rsidR="0062657E" w:rsidRPr="0049467D" w:rsidRDefault="0062657E" w:rsidP="0049234F">
      <w:pPr>
        <w:pStyle w:val="spacer"/>
      </w:pPr>
    </w:p>
    <w:tbl>
      <w:tblPr>
        <w:tblpPr w:leftFromText="180" w:rightFromText="180" w:vertAnchor="text" w:tblpX="6" w:tblpY="1"/>
        <w:tblOverlap w:val="never"/>
        <w:tblW w:w="90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982"/>
        <w:gridCol w:w="3685"/>
        <w:gridCol w:w="2127"/>
        <w:gridCol w:w="1277"/>
      </w:tblGrid>
      <w:tr w:rsidR="0049467D" w:rsidRPr="0049467D" w:rsidTr="004A11FC">
        <w:trPr>
          <w:trHeight w:val="253"/>
        </w:trPr>
        <w:tc>
          <w:tcPr>
            <w:tcW w:w="9071" w:type="dxa"/>
            <w:gridSpan w:val="4"/>
            <w:shd w:val="clear" w:color="auto" w:fill="99CDDD"/>
          </w:tcPr>
          <w:p w:rsidR="0062657E" w:rsidRPr="0049467D" w:rsidRDefault="0062657E" w:rsidP="00EF7245">
            <w:pPr>
              <w:spacing w:before="40" w:after="20" w:line="276" w:lineRule="auto"/>
              <w:rPr>
                <w:rFonts w:eastAsia="Calibri" w:cs="Arial"/>
                <w:b/>
                <w:szCs w:val="22"/>
              </w:rPr>
            </w:pPr>
            <w:r w:rsidRPr="0049467D">
              <w:rPr>
                <w:rFonts w:eastAsia="Calibri" w:cs="Arial"/>
                <w:b/>
                <w:szCs w:val="22"/>
              </w:rPr>
              <w:t xml:space="preserve">Expected benefits of </w:t>
            </w:r>
            <w:r w:rsidR="00EF7245">
              <w:rPr>
                <w:rFonts w:eastAsia="Calibri" w:cs="Arial"/>
                <w:b/>
                <w:szCs w:val="22"/>
              </w:rPr>
              <w:t>option 4</w:t>
            </w:r>
            <w:r w:rsidRPr="0049467D">
              <w:rPr>
                <w:rFonts w:eastAsia="Calibri" w:cs="Arial"/>
                <w:b/>
                <w:szCs w:val="22"/>
              </w:rPr>
              <w:t>, compared to taking no action</w:t>
            </w:r>
          </w:p>
        </w:tc>
      </w:tr>
      <w:tr w:rsidR="0049467D" w:rsidRPr="0049467D" w:rsidTr="0049467D">
        <w:trPr>
          <w:trHeight w:val="253"/>
        </w:trPr>
        <w:tc>
          <w:tcPr>
            <w:tcW w:w="1982" w:type="dxa"/>
            <w:shd w:val="clear" w:color="auto" w:fill="auto"/>
          </w:tcPr>
          <w:p w:rsidR="0062657E" w:rsidRPr="0049467D" w:rsidRDefault="00E50B93" w:rsidP="007B090A">
            <w:pPr>
              <w:pStyle w:val="TableText"/>
              <w:spacing w:line="276" w:lineRule="auto"/>
              <w:rPr>
                <w:rFonts w:eastAsia="Calibri" w:cs="Arial"/>
                <w:sz w:val="22"/>
              </w:rPr>
            </w:pPr>
            <w:r>
              <w:rPr>
                <w:rFonts w:eastAsia="Calibri" w:cs="Arial"/>
                <w:sz w:val="22"/>
              </w:rPr>
              <w:t>New investors</w:t>
            </w:r>
          </w:p>
        </w:tc>
        <w:tc>
          <w:tcPr>
            <w:tcW w:w="3685" w:type="dxa"/>
            <w:shd w:val="clear" w:color="auto" w:fill="auto"/>
          </w:tcPr>
          <w:p w:rsidR="0062657E" w:rsidRPr="0049467D" w:rsidRDefault="005F09F3" w:rsidP="00EF7245">
            <w:pPr>
              <w:pStyle w:val="TableText"/>
              <w:spacing w:line="276" w:lineRule="auto"/>
              <w:ind w:right="-78"/>
              <w:rPr>
                <w:rFonts w:eastAsia="Calibri" w:cs="Arial"/>
                <w:sz w:val="22"/>
              </w:rPr>
            </w:pPr>
            <w:r>
              <w:rPr>
                <w:rFonts w:eastAsia="Calibri" w:cs="Arial"/>
                <w:sz w:val="22"/>
              </w:rPr>
              <w:t xml:space="preserve">New investors would be encouraged to </w:t>
            </w:r>
            <w:r w:rsidR="000E2618">
              <w:rPr>
                <w:rFonts w:eastAsia="Calibri" w:cs="Arial"/>
                <w:sz w:val="22"/>
              </w:rPr>
              <w:t>enter into a breeding business</w:t>
            </w:r>
            <w:r w:rsidR="00BA0234">
              <w:rPr>
                <w:rFonts w:eastAsia="Calibri" w:cs="Arial"/>
                <w:sz w:val="22"/>
              </w:rPr>
              <w:t xml:space="preserve"> because of the concessions for stan</w:t>
            </w:r>
            <w:r w:rsidR="00FF629C">
              <w:rPr>
                <w:rFonts w:eastAsia="Calibri" w:cs="Arial"/>
                <w:sz w:val="22"/>
              </w:rPr>
              <w:t>d</w:t>
            </w:r>
            <w:r w:rsidR="00BA0234">
              <w:rPr>
                <w:rFonts w:eastAsia="Calibri" w:cs="Arial"/>
                <w:sz w:val="22"/>
              </w:rPr>
              <w:t xml:space="preserve">out horses </w:t>
            </w:r>
            <w:r w:rsidR="00FF0B5C">
              <w:rPr>
                <w:rFonts w:eastAsia="Calibri" w:cs="Arial"/>
                <w:sz w:val="22"/>
              </w:rPr>
              <w:t>where an intention to breed can be demonstrated.</w:t>
            </w:r>
          </w:p>
        </w:tc>
        <w:tc>
          <w:tcPr>
            <w:tcW w:w="2127" w:type="dxa"/>
            <w:shd w:val="clear" w:color="auto" w:fill="auto"/>
          </w:tcPr>
          <w:p w:rsidR="0062657E" w:rsidRPr="0049467D" w:rsidRDefault="00B71A61" w:rsidP="005A3625">
            <w:pPr>
              <w:pStyle w:val="TableText"/>
              <w:spacing w:line="276" w:lineRule="auto"/>
              <w:rPr>
                <w:rFonts w:eastAsia="Calibri" w:cs="Arial"/>
                <w:sz w:val="22"/>
              </w:rPr>
            </w:pPr>
            <w:r>
              <w:rPr>
                <w:rFonts w:eastAsia="Calibri" w:cs="Arial"/>
                <w:sz w:val="22"/>
              </w:rPr>
              <w:t>Medium</w:t>
            </w:r>
          </w:p>
        </w:tc>
        <w:tc>
          <w:tcPr>
            <w:tcW w:w="1277" w:type="dxa"/>
            <w:shd w:val="clear" w:color="auto" w:fill="auto"/>
          </w:tcPr>
          <w:p w:rsidR="0062657E" w:rsidRPr="0049467D" w:rsidRDefault="00C75BB7" w:rsidP="007B090A">
            <w:pPr>
              <w:pStyle w:val="TableText"/>
              <w:spacing w:line="276" w:lineRule="auto"/>
              <w:rPr>
                <w:rFonts w:eastAsia="Calibri" w:cs="Arial"/>
                <w:sz w:val="22"/>
              </w:rPr>
            </w:pPr>
            <w:r>
              <w:rPr>
                <w:rFonts w:eastAsia="Calibri" w:cs="Arial"/>
                <w:sz w:val="22"/>
              </w:rPr>
              <w:t>Low</w:t>
            </w:r>
          </w:p>
        </w:tc>
      </w:tr>
      <w:tr w:rsidR="00E07734" w:rsidRPr="0049467D" w:rsidTr="0049467D">
        <w:trPr>
          <w:trHeight w:val="253"/>
        </w:trPr>
        <w:tc>
          <w:tcPr>
            <w:tcW w:w="1982" w:type="dxa"/>
            <w:shd w:val="clear" w:color="auto" w:fill="auto"/>
          </w:tcPr>
          <w:p w:rsidR="00E07734" w:rsidRPr="0049467D" w:rsidRDefault="00E07734" w:rsidP="007B090A">
            <w:pPr>
              <w:pStyle w:val="TableText"/>
              <w:spacing w:line="276" w:lineRule="auto"/>
              <w:rPr>
                <w:rFonts w:eastAsia="Calibri" w:cs="Arial"/>
                <w:sz w:val="22"/>
              </w:rPr>
            </w:pPr>
            <w:r>
              <w:rPr>
                <w:rFonts w:eastAsia="Calibri" w:cs="Arial"/>
                <w:sz w:val="22"/>
              </w:rPr>
              <w:t>Existing breeders</w:t>
            </w:r>
          </w:p>
        </w:tc>
        <w:tc>
          <w:tcPr>
            <w:tcW w:w="3685" w:type="dxa"/>
            <w:shd w:val="clear" w:color="auto" w:fill="auto"/>
          </w:tcPr>
          <w:p w:rsidR="00E07734" w:rsidRDefault="00E07734" w:rsidP="007B090A">
            <w:pPr>
              <w:pStyle w:val="TableText"/>
              <w:spacing w:line="276" w:lineRule="auto"/>
              <w:rPr>
                <w:rFonts w:eastAsia="Calibri" w:cs="Arial"/>
                <w:sz w:val="22"/>
              </w:rPr>
            </w:pPr>
            <w:r>
              <w:rPr>
                <w:rFonts w:eastAsia="Calibri" w:cs="Arial"/>
                <w:sz w:val="22"/>
              </w:rPr>
              <w:t>Existing breeders will benefit from any increase in yearling prices as a result of new investors bidding up to get the tax concessions</w:t>
            </w:r>
            <w:r w:rsidR="00141AD3">
              <w:rPr>
                <w:rFonts w:eastAsia="Calibri" w:cs="Arial"/>
                <w:sz w:val="22"/>
              </w:rPr>
              <w:t>.</w:t>
            </w:r>
          </w:p>
        </w:tc>
        <w:tc>
          <w:tcPr>
            <w:tcW w:w="2127" w:type="dxa"/>
            <w:shd w:val="clear" w:color="auto" w:fill="auto"/>
          </w:tcPr>
          <w:p w:rsidR="00E07734" w:rsidRDefault="00011E28" w:rsidP="007B090A">
            <w:pPr>
              <w:pStyle w:val="TableText"/>
              <w:spacing w:line="276" w:lineRule="auto"/>
              <w:rPr>
                <w:rFonts w:eastAsia="Calibri" w:cs="Arial"/>
                <w:sz w:val="22"/>
              </w:rPr>
            </w:pPr>
            <w:r>
              <w:rPr>
                <w:rFonts w:eastAsia="Calibri" w:cs="Arial"/>
                <w:sz w:val="22"/>
              </w:rPr>
              <w:t>Medium</w:t>
            </w:r>
          </w:p>
        </w:tc>
        <w:tc>
          <w:tcPr>
            <w:tcW w:w="1277" w:type="dxa"/>
            <w:shd w:val="clear" w:color="auto" w:fill="auto"/>
          </w:tcPr>
          <w:p w:rsidR="00E07734" w:rsidRDefault="004F7C75" w:rsidP="007B090A">
            <w:pPr>
              <w:pStyle w:val="TableText"/>
              <w:spacing w:line="276" w:lineRule="auto"/>
              <w:rPr>
                <w:rFonts w:eastAsia="Calibri" w:cs="Arial"/>
                <w:sz w:val="22"/>
              </w:rPr>
            </w:pPr>
            <w:r>
              <w:rPr>
                <w:rFonts w:eastAsia="Calibri" w:cs="Arial"/>
                <w:sz w:val="22"/>
              </w:rPr>
              <w:t>Low</w:t>
            </w:r>
          </w:p>
        </w:tc>
      </w:tr>
      <w:tr w:rsidR="00E07734" w:rsidRPr="0049467D" w:rsidTr="0049467D">
        <w:trPr>
          <w:trHeight w:val="253"/>
        </w:trPr>
        <w:tc>
          <w:tcPr>
            <w:tcW w:w="1982" w:type="dxa"/>
            <w:shd w:val="clear" w:color="auto" w:fill="auto"/>
          </w:tcPr>
          <w:p w:rsidR="00E07734" w:rsidRPr="0049467D" w:rsidRDefault="00011556" w:rsidP="007B090A">
            <w:pPr>
              <w:pStyle w:val="TableText"/>
              <w:spacing w:line="276" w:lineRule="auto"/>
              <w:rPr>
                <w:rFonts w:eastAsia="Calibri" w:cs="Arial"/>
                <w:sz w:val="22"/>
              </w:rPr>
            </w:pPr>
            <w:r>
              <w:rPr>
                <w:rFonts w:eastAsia="Calibri" w:cs="Arial"/>
                <w:sz w:val="22"/>
              </w:rPr>
              <w:t>Foreign investors</w:t>
            </w:r>
          </w:p>
        </w:tc>
        <w:tc>
          <w:tcPr>
            <w:tcW w:w="3685" w:type="dxa"/>
            <w:shd w:val="clear" w:color="auto" w:fill="auto"/>
          </w:tcPr>
          <w:p w:rsidR="00E07734" w:rsidRDefault="00267C3D" w:rsidP="007B090A">
            <w:pPr>
              <w:pStyle w:val="TableText"/>
              <w:spacing w:line="276" w:lineRule="auto"/>
              <w:rPr>
                <w:rFonts w:eastAsia="Calibri" w:cs="Arial"/>
                <w:sz w:val="22"/>
              </w:rPr>
            </w:pPr>
            <w:r>
              <w:rPr>
                <w:rFonts w:eastAsia="Calibri" w:cs="Arial"/>
                <w:sz w:val="22"/>
              </w:rPr>
              <w:t>Foreign investors will benefit from any improvements to bloods</w:t>
            </w:r>
            <w:r w:rsidR="002D0671">
              <w:rPr>
                <w:rFonts w:eastAsia="Calibri" w:cs="Arial"/>
                <w:sz w:val="22"/>
              </w:rPr>
              <w:t>tock exported from New Zealand (though they will also pay more for it)</w:t>
            </w:r>
            <w:r w:rsidR="00E409A7">
              <w:rPr>
                <w:rFonts w:eastAsia="Calibri" w:cs="Arial"/>
                <w:sz w:val="22"/>
              </w:rPr>
              <w:t>.</w:t>
            </w:r>
          </w:p>
        </w:tc>
        <w:tc>
          <w:tcPr>
            <w:tcW w:w="2127" w:type="dxa"/>
            <w:shd w:val="clear" w:color="auto" w:fill="auto"/>
          </w:tcPr>
          <w:p w:rsidR="00E07734" w:rsidRDefault="00C63001" w:rsidP="007B090A">
            <w:pPr>
              <w:pStyle w:val="TableText"/>
              <w:spacing w:line="276" w:lineRule="auto"/>
              <w:rPr>
                <w:rFonts w:eastAsia="Calibri" w:cs="Arial"/>
                <w:sz w:val="22"/>
              </w:rPr>
            </w:pPr>
            <w:r>
              <w:rPr>
                <w:rFonts w:eastAsia="Calibri" w:cs="Arial"/>
                <w:sz w:val="22"/>
              </w:rPr>
              <w:t>Low</w:t>
            </w:r>
          </w:p>
        </w:tc>
        <w:tc>
          <w:tcPr>
            <w:tcW w:w="1277" w:type="dxa"/>
            <w:shd w:val="clear" w:color="auto" w:fill="auto"/>
          </w:tcPr>
          <w:p w:rsidR="00E07734" w:rsidRDefault="009F528D" w:rsidP="007B090A">
            <w:pPr>
              <w:pStyle w:val="TableText"/>
              <w:spacing w:line="276" w:lineRule="auto"/>
              <w:rPr>
                <w:rFonts w:eastAsia="Calibri" w:cs="Arial"/>
                <w:sz w:val="22"/>
              </w:rPr>
            </w:pPr>
            <w:r>
              <w:rPr>
                <w:rFonts w:eastAsia="Calibri" w:cs="Arial"/>
                <w:sz w:val="22"/>
              </w:rPr>
              <w:t>Low</w:t>
            </w:r>
          </w:p>
        </w:tc>
      </w:tr>
      <w:tr w:rsidR="0049467D" w:rsidRPr="0049467D" w:rsidTr="0049467D">
        <w:trPr>
          <w:trHeight w:val="253"/>
        </w:trPr>
        <w:tc>
          <w:tcPr>
            <w:tcW w:w="1982" w:type="dxa"/>
            <w:shd w:val="clear" w:color="auto" w:fill="auto"/>
          </w:tcPr>
          <w:p w:rsidR="0062657E" w:rsidRPr="0049467D" w:rsidRDefault="0062657E" w:rsidP="007B090A">
            <w:pPr>
              <w:pStyle w:val="TableText"/>
              <w:spacing w:line="276" w:lineRule="auto"/>
              <w:rPr>
                <w:rFonts w:eastAsia="Calibri" w:cs="Arial"/>
                <w:b/>
                <w:sz w:val="22"/>
              </w:rPr>
            </w:pPr>
            <w:r w:rsidRPr="0049467D">
              <w:rPr>
                <w:rFonts w:eastAsia="Calibri" w:cs="Arial"/>
                <w:b/>
                <w:sz w:val="22"/>
              </w:rPr>
              <w:lastRenderedPageBreak/>
              <w:t>Total Monetised  Benefit</w:t>
            </w:r>
          </w:p>
        </w:tc>
        <w:tc>
          <w:tcPr>
            <w:tcW w:w="3685" w:type="dxa"/>
            <w:shd w:val="clear" w:color="auto" w:fill="auto"/>
          </w:tcPr>
          <w:p w:rsidR="0062657E" w:rsidRPr="0049467D" w:rsidRDefault="00814E20" w:rsidP="00C75BB7">
            <w:pPr>
              <w:pStyle w:val="TableText"/>
              <w:spacing w:line="276" w:lineRule="auto"/>
              <w:rPr>
                <w:rFonts w:eastAsia="Calibri" w:cs="Arial"/>
                <w:sz w:val="22"/>
              </w:rPr>
            </w:pPr>
            <w:r>
              <w:rPr>
                <w:rFonts w:eastAsia="Calibri" w:cs="Arial"/>
                <w:sz w:val="22"/>
              </w:rPr>
              <w:t>Potential</w:t>
            </w:r>
            <w:r w:rsidR="0079483E">
              <w:rPr>
                <w:rFonts w:eastAsia="Calibri" w:cs="Arial"/>
                <w:sz w:val="22"/>
              </w:rPr>
              <w:t xml:space="preserve">ly significant monetary benefit for </w:t>
            </w:r>
            <w:r w:rsidR="00C75BB7">
              <w:rPr>
                <w:rFonts w:eastAsia="Calibri" w:cs="Arial"/>
                <w:sz w:val="22"/>
              </w:rPr>
              <w:t>existing bloodstock breeders</w:t>
            </w:r>
            <w:r w:rsidR="003256BB">
              <w:rPr>
                <w:rFonts w:eastAsia="Calibri" w:cs="Arial"/>
                <w:sz w:val="22"/>
              </w:rPr>
              <w:t xml:space="preserve"> and new investors</w:t>
            </w:r>
            <w:r w:rsidR="0079483E">
              <w:rPr>
                <w:rFonts w:eastAsia="Calibri" w:cs="Arial"/>
                <w:sz w:val="22"/>
              </w:rPr>
              <w:t>.</w:t>
            </w:r>
          </w:p>
        </w:tc>
        <w:tc>
          <w:tcPr>
            <w:tcW w:w="2127" w:type="dxa"/>
            <w:shd w:val="clear" w:color="auto" w:fill="auto"/>
          </w:tcPr>
          <w:p w:rsidR="0062657E" w:rsidRPr="0049467D" w:rsidRDefault="00C72F02" w:rsidP="002E1628">
            <w:pPr>
              <w:pStyle w:val="TableText"/>
              <w:spacing w:line="276" w:lineRule="auto"/>
              <w:rPr>
                <w:rFonts w:eastAsia="Calibri" w:cs="Arial"/>
                <w:sz w:val="22"/>
              </w:rPr>
            </w:pPr>
            <w:r>
              <w:rPr>
                <w:rFonts w:eastAsia="Calibri" w:cs="Arial"/>
                <w:sz w:val="22"/>
              </w:rPr>
              <w:t>$4.8 million</w:t>
            </w:r>
            <w:r w:rsidR="00371F68">
              <w:rPr>
                <w:rFonts w:eastAsia="Calibri" w:cs="Arial"/>
                <w:sz w:val="22"/>
              </w:rPr>
              <w:t xml:space="preserve"> over 4 years</w:t>
            </w:r>
          </w:p>
        </w:tc>
        <w:tc>
          <w:tcPr>
            <w:tcW w:w="1277" w:type="dxa"/>
            <w:shd w:val="clear" w:color="auto" w:fill="auto"/>
          </w:tcPr>
          <w:p w:rsidR="0062657E" w:rsidRPr="0049467D" w:rsidRDefault="00DE04B4" w:rsidP="007B090A">
            <w:pPr>
              <w:pStyle w:val="TableText"/>
              <w:spacing w:line="276" w:lineRule="auto"/>
              <w:rPr>
                <w:rFonts w:eastAsia="Calibri" w:cs="Arial"/>
                <w:sz w:val="22"/>
              </w:rPr>
            </w:pPr>
            <w:r>
              <w:rPr>
                <w:rFonts w:eastAsia="Calibri" w:cs="Arial"/>
                <w:sz w:val="22"/>
              </w:rPr>
              <w:t>Medium</w:t>
            </w:r>
          </w:p>
        </w:tc>
      </w:tr>
      <w:tr w:rsidR="0049467D" w:rsidRPr="0049467D" w:rsidTr="0049467D">
        <w:trPr>
          <w:trHeight w:val="253"/>
        </w:trPr>
        <w:tc>
          <w:tcPr>
            <w:tcW w:w="1982" w:type="dxa"/>
            <w:shd w:val="clear" w:color="auto" w:fill="auto"/>
          </w:tcPr>
          <w:p w:rsidR="0062657E" w:rsidRPr="0049467D" w:rsidRDefault="0062657E" w:rsidP="007B090A">
            <w:pPr>
              <w:pStyle w:val="TableText"/>
              <w:spacing w:line="276" w:lineRule="auto"/>
              <w:rPr>
                <w:rFonts w:eastAsia="Calibri" w:cs="Arial"/>
                <w:b/>
                <w:sz w:val="22"/>
              </w:rPr>
            </w:pPr>
            <w:r w:rsidRPr="0049467D">
              <w:rPr>
                <w:rFonts w:eastAsia="Calibri" w:cs="Arial"/>
                <w:b/>
                <w:sz w:val="22"/>
              </w:rPr>
              <w:t>Non-monetised benefits</w:t>
            </w:r>
          </w:p>
        </w:tc>
        <w:tc>
          <w:tcPr>
            <w:tcW w:w="3685" w:type="dxa"/>
            <w:shd w:val="clear" w:color="auto" w:fill="auto"/>
          </w:tcPr>
          <w:p w:rsidR="0062657E" w:rsidRPr="0049467D" w:rsidRDefault="009551FC" w:rsidP="007B090A">
            <w:pPr>
              <w:pStyle w:val="TableText"/>
              <w:spacing w:line="276" w:lineRule="auto"/>
              <w:rPr>
                <w:rFonts w:eastAsia="Calibri" w:cs="Arial"/>
                <w:sz w:val="22"/>
              </w:rPr>
            </w:pPr>
            <w:r>
              <w:rPr>
                <w:rFonts w:eastAsia="Calibri" w:cs="Arial"/>
                <w:sz w:val="22"/>
              </w:rPr>
              <w:t>More level playing field between new investors and current breeders.</w:t>
            </w:r>
          </w:p>
        </w:tc>
        <w:tc>
          <w:tcPr>
            <w:tcW w:w="2127" w:type="dxa"/>
            <w:shd w:val="clear" w:color="auto" w:fill="auto"/>
          </w:tcPr>
          <w:p w:rsidR="0062657E" w:rsidRPr="00373CD5" w:rsidRDefault="00ED3B77" w:rsidP="00D71282">
            <w:pPr>
              <w:pStyle w:val="TableText"/>
              <w:spacing w:line="276" w:lineRule="auto"/>
              <w:rPr>
                <w:rFonts w:eastAsia="Calibri" w:cs="Arial"/>
                <w:i/>
                <w:sz w:val="22"/>
              </w:rPr>
            </w:pPr>
            <w:r>
              <w:rPr>
                <w:rFonts w:eastAsia="Calibri" w:cs="Arial"/>
                <w:sz w:val="22"/>
              </w:rPr>
              <w:t>Medium</w:t>
            </w:r>
          </w:p>
        </w:tc>
        <w:tc>
          <w:tcPr>
            <w:tcW w:w="1277" w:type="dxa"/>
            <w:shd w:val="clear" w:color="auto" w:fill="auto"/>
          </w:tcPr>
          <w:p w:rsidR="0062657E" w:rsidRPr="0049467D" w:rsidRDefault="00D71282" w:rsidP="007B090A">
            <w:pPr>
              <w:pStyle w:val="TableText"/>
              <w:spacing w:line="276" w:lineRule="auto"/>
              <w:rPr>
                <w:rFonts w:eastAsia="Calibri" w:cs="Arial"/>
                <w:sz w:val="22"/>
              </w:rPr>
            </w:pPr>
            <w:r>
              <w:rPr>
                <w:rFonts w:eastAsia="Calibri" w:cs="Arial"/>
                <w:sz w:val="22"/>
              </w:rPr>
              <w:t>Medium</w:t>
            </w:r>
          </w:p>
        </w:tc>
      </w:tr>
    </w:tbl>
    <w:p w:rsidR="0062657E" w:rsidRPr="0049467D" w:rsidRDefault="0062657E" w:rsidP="0049234F">
      <w:pPr>
        <w:pStyle w:val="spac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6"/>
      </w:tblGrid>
      <w:tr w:rsidR="0049467D" w:rsidRPr="0049467D" w:rsidTr="00B6693F">
        <w:trPr>
          <w:trHeight w:val="193"/>
        </w:trPr>
        <w:tc>
          <w:tcPr>
            <w:tcW w:w="5000" w:type="pct"/>
            <w:shd w:val="clear" w:color="auto" w:fill="99CDDD"/>
            <w:hideMark/>
          </w:tcPr>
          <w:p w:rsidR="0062657E" w:rsidRPr="0049467D" w:rsidRDefault="0062657E" w:rsidP="00DF2E7B">
            <w:pPr>
              <w:pStyle w:val="spacer"/>
              <w:keepNext/>
              <w:spacing w:before="60" w:after="60"/>
              <w:rPr>
                <w:rFonts w:cs="Arial"/>
                <w:b/>
                <w:sz w:val="22"/>
                <w:lang w:val="en-NZ"/>
              </w:rPr>
            </w:pPr>
            <w:r w:rsidRPr="0049467D">
              <w:rPr>
                <w:rFonts w:cs="Arial"/>
                <w:b/>
                <w:sz w:val="22"/>
                <w:lang w:val="en-NZ"/>
              </w:rPr>
              <w:t>5.3   What other impacts is this approach likely to have?</w:t>
            </w:r>
          </w:p>
        </w:tc>
      </w:tr>
      <w:tr w:rsidR="0049467D" w:rsidRPr="0049467D" w:rsidTr="00D83483">
        <w:trPr>
          <w:trHeight w:val="3390"/>
        </w:trPr>
        <w:tc>
          <w:tcPr>
            <w:tcW w:w="5000" w:type="pct"/>
            <w:shd w:val="clear" w:color="auto" w:fill="FFFFFF"/>
          </w:tcPr>
          <w:p w:rsidR="0062657E" w:rsidRDefault="0062657E" w:rsidP="00A61FF9">
            <w:pPr>
              <w:keepNext/>
              <w:spacing w:after="0" w:line="276" w:lineRule="auto"/>
              <w:jc w:val="both"/>
              <w:rPr>
                <w:rFonts w:cs="Arial"/>
                <w:szCs w:val="22"/>
              </w:rPr>
            </w:pPr>
          </w:p>
          <w:p w:rsidR="00050B0A" w:rsidRDefault="00975F88" w:rsidP="00A61FF9">
            <w:pPr>
              <w:keepNext/>
              <w:spacing w:after="0" w:line="276" w:lineRule="auto"/>
              <w:jc w:val="both"/>
              <w:rPr>
                <w:rFonts w:cs="Arial"/>
                <w:szCs w:val="22"/>
              </w:rPr>
            </w:pPr>
            <w:r>
              <w:rPr>
                <w:rFonts w:cs="Arial"/>
                <w:szCs w:val="22"/>
              </w:rPr>
              <w:t xml:space="preserve">The proposed changes </w:t>
            </w:r>
            <w:r w:rsidR="00050B0A">
              <w:rPr>
                <w:rFonts w:cs="Arial"/>
                <w:szCs w:val="22"/>
              </w:rPr>
              <w:t xml:space="preserve">involve </w:t>
            </w:r>
            <w:r>
              <w:rPr>
                <w:rFonts w:cs="Arial"/>
                <w:szCs w:val="22"/>
              </w:rPr>
              <w:t xml:space="preserve">relaxing </w:t>
            </w:r>
            <w:r w:rsidR="00C5317F">
              <w:rPr>
                <w:rFonts w:cs="Arial"/>
                <w:szCs w:val="22"/>
              </w:rPr>
              <w:t xml:space="preserve">eligibility </w:t>
            </w:r>
            <w:r w:rsidR="001F4882">
              <w:rPr>
                <w:rFonts w:cs="Arial"/>
                <w:szCs w:val="22"/>
              </w:rPr>
              <w:t xml:space="preserve">requirements from </w:t>
            </w:r>
            <w:r w:rsidR="00303C92">
              <w:rPr>
                <w:rFonts w:cs="Arial"/>
                <w:szCs w:val="22"/>
              </w:rPr>
              <w:t>“existing breeding business” to “intention to breed.”</w:t>
            </w:r>
            <w:r w:rsidR="007D028C">
              <w:rPr>
                <w:rFonts w:cs="Arial"/>
                <w:szCs w:val="22"/>
              </w:rPr>
              <w:t xml:space="preserve"> </w:t>
            </w:r>
            <w:r w:rsidR="00876840">
              <w:rPr>
                <w:rFonts w:cs="Arial"/>
                <w:szCs w:val="22"/>
              </w:rPr>
              <w:t>This</w:t>
            </w:r>
            <w:r w:rsidR="00050B0A">
              <w:rPr>
                <w:rFonts w:cs="Arial"/>
                <w:szCs w:val="22"/>
              </w:rPr>
              <w:t xml:space="preserve"> change removes the </w:t>
            </w:r>
            <w:r w:rsidR="00640443">
              <w:rPr>
                <w:rFonts w:cs="Arial"/>
                <w:szCs w:val="22"/>
              </w:rPr>
              <w:t>requirement for</w:t>
            </w:r>
            <w:r w:rsidR="00050B0A">
              <w:rPr>
                <w:rFonts w:cs="Arial"/>
                <w:szCs w:val="22"/>
              </w:rPr>
              <w:t xml:space="preserve"> a bloodstock breeding business to exist before an investor can claim tax deductions for the costs of owning bloodstock.  </w:t>
            </w:r>
            <w:r w:rsidR="00F441C9">
              <w:rPr>
                <w:rFonts w:cs="Arial"/>
                <w:szCs w:val="22"/>
              </w:rPr>
              <w:t xml:space="preserve">The risk is that race horses are characterised as breeding prospects. </w:t>
            </w:r>
          </w:p>
          <w:p w:rsidR="00050B0A" w:rsidRDefault="00050B0A" w:rsidP="00A61FF9">
            <w:pPr>
              <w:keepNext/>
              <w:spacing w:after="0" w:line="276" w:lineRule="auto"/>
              <w:jc w:val="both"/>
              <w:rPr>
                <w:rFonts w:cs="Arial"/>
                <w:szCs w:val="22"/>
              </w:rPr>
            </w:pPr>
          </w:p>
          <w:p w:rsidR="00DB470D" w:rsidRPr="00DB470D" w:rsidRDefault="00050B0A" w:rsidP="00A61FF9">
            <w:pPr>
              <w:jc w:val="both"/>
              <w:rPr>
                <w:rFonts w:cs="Arial"/>
                <w:szCs w:val="22"/>
              </w:rPr>
            </w:pPr>
            <w:r>
              <w:rPr>
                <w:rFonts w:cs="Arial"/>
                <w:szCs w:val="22"/>
              </w:rPr>
              <w:t xml:space="preserve">Further, the success of the racing industry may encourage other sectors to </w:t>
            </w:r>
            <w:r w:rsidR="003C2C10">
              <w:rPr>
                <w:rFonts w:cs="Arial"/>
                <w:szCs w:val="22"/>
              </w:rPr>
              <w:t>approach</w:t>
            </w:r>
            <w:r w:rsidR="005F293E">
              <w:rPr>
                <w:rFonts w:cs="Arial"/>
                <w:szCs w:val="22"/>
              </w:rPr>
              <w:t xml:space="preserve"> the</w:t>
            </w:r>
            <w:r w:rsidR="003C2C10">
              <w:rPr>
                <w:rFonts w:cs="Arial"/>
                <w:szCs w:val="22"/>
              </w:rPr>
              <w:t xml:space="preserve"> government for their own </w:t>
            </w:r>
            <w:r w:rsidR="00D02461">
              <w:rPr>
                <w:rFonts w:cs="Arial"/>
                <w:szCs w:val="22"/>
              </w:rPr>
              <w:t>unique</w:t>
            </w:r>
            <w:r w:rsidR="003C2C10">
              <w:rPr>
                <w:rFonts w:cs="Arial"/>
                <w:szCs w:val="22"/>
              </w:rPr>
              <w:t xml:space="preserve"> tax rules.  </w:t>
            </w:r>
          </w:p>
          <w:p w:rsidR="00AA2FF0" w:rsidRPr="004C6AC1" w:rsidRDefault="00AA2FF0" w:rsidP="00A61FF9">
            <w:pPr>
              <w:jc w:val="both"/>
              <w:rPr>
                <w:rFonts w:cs="Arial"/>
                <w:szCs w:val="22"/>
              </w:rPr>
            </w:pPr>
          </w:p>
        </w:tc>
      </w:tr>
    </w:tbl>
    <w:p w:rsidR="0062657E" w:rsidRPr="0049234F" w:rsidRDefault="0062657E" w:rsidP="00A61FF9">
      <w:pPr>
        <w:pStyle w:val="spacer"/>
        <w:jc w:val="both"/>
      </w:pPr>
    </w:p>
    <w:tbl>
      <w:tblPr>
        <w:tblW w:w="932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CB9CA"/>
        <w:tblLook w:val="0480" w:firstRow="0" w:lastRow="0" w:firstColumn="1" w:lastColumn="0" w:noHBand="0" w:noVBand="1"/>
      </w:tblPr>
      <w:tblGrid>
        <w:gridCol w:w="9327"/>
      </w:tblGrid>
      <w:tr w:rsidR="0062657E" w:rsidRPr="000A2B04" w:rsidTr="00DB470D">
        <w:trPr>
          <w:trHeight w:val="386"/>
        </w:trPr>
        <w:tc>
          <w:tcPr>
            <w:tcW w:w="9327" w:type="dxa"/>
            <w:shd w:val="clear" w:color="auto" w:fill="99CDDD"/>
          </w:tcPr>
          <w:p w:rsidR="0062657E" w:rsidRPr="000A2B04" w:rsidRDefault="0062657E" w:rsidP="00A61FF9">
            <w:pPr>
              <w:spacing w:before="60" w:after="60" w:line="240" w:lineRule="auto"/>
              <w:jc w:val="both"/>
              <w:rPr>
                <w:rFonts w:cs="Arial"/>
                <w:b/>
                <w:color w:val="002060"/>
                <w:lang w:eastAsia="en-AU"/>
              </w:rPr>
            </w:pPr>
            <w:r w:rsidRPr="006172F1">
              <w:rPr>
                <w:rFonts w:cs="Arial"/>
                <w:b/>
                <w:lang w:eastAsia="en-AU"/>
              </w:rPr>
              <w:t>5.4   Is the preferred option compatible with the Government’s ‘Expectations for the design of regulatory systems’?</w:t>
            </w:r>
          </w:p>
        </w:tc>
      </w:tr>
      <w:tr w:rsidR="0062657E" w:rsidRPr="0049467D" w:rsidTr="00DB470D">
        <w:trPr>
          <w:trHeight w:val="1933"/>
        </w:trPr>
        <w:tc>
          <w:tcPr>
            <w:tcW w:w="9327" w:type="dxa"/>
            <w:shd w:val="clear" w:color="auto" w:fill="FFFFFF"/>
          </w:tcPr>
          <w:p w:rsidR="0062657E" w:rsidRPr="0049467D" w:rsidRDefault="0062657E" w:rsidP="00A61FF9">
            <w:pPr>
              <w:spacing w:after="0" w:line="276" w:lineRule="auto"/>
              <w:jc w:val="both"/>
              <w:rPr>
                <w:rFonts w:cs="Arial"/>
                <w:szCs w:val="22"/>
              </w:rPr>
            </w:pPr>
          </w:p>
          <w:p w:rsidR="00DB470D" w:rsidRDefault="00454709" w:rsidP="00A61FF9">
            <w:pPr>
              <w:spacing w:after="0" w:line="276" w:lineRule="auto"/>
              <w:jc w:val="both"/>
              <w:rPr>
                <w:rFonts w:cs="Arial"/>
                <w:szCs w:val="22"/>
              </w:rPr>
            </w:pPr>
            <w:r>
              <w:rPr>
                <w:rFonts w:cs="Arial"/>
                <w:szCs w:val="22"/>
              </w:rPr>
              <w:t>There are no identifiable areas of incompatibility with the Government’s ‘Expectations for the design of regulatory systems.’</w:t>
            </w:r>
          </w:p>
          <w:p w:rsidR="0062657E" w:rsidRPr="00DB470D" w:rsidRDefault="0062657E" w:rsidP="00A61FF9">
            <w:pPr>
              <w:jc w:val="both"/>
              <w:rPr>
                <w:rFonts w:cs="Arial"/>
                <w:szCs w:val="22"/>
              </w:rPr>
            </w:pPr>
          </w:p>
        </w:tc>
      </w:tr>
    </w:tbl>
    <w:p w:rsidR="0062657E" w:rsidRPr="0049467D" w:rsidRDefault="0062657E" w:rsidP="00A61FF9">
      <w:pPr>
        <w:pStyle w:val="spacer"/>
        <w:jc w:val="both"/>
      </w:pPr>
      <w:r w:rsidRPr="0049467D">
        <w:br w:type="page"/>
      </w:r>
    </w:p>
    <w:p w:rsidR="0062657E" w:rsidRPr="0005691A" w:rsidRDefault="0062657E" w:rsidP="00A61FF9">
      <w:pPr>
        <w:tabs>
          <w:tab w:val="left" w:pos="2550"/>
        </w:tabs>
        <w:spacing w:after="120" w:line="276" w:lineRule="auto"/>
        <w:jc w:val="both"/>
        <w:rPr>
          <w:rFonts w:cs="Arial"/>
          <w:b/>
          <w:color w:val="0082AB"/>
          <w:spacing w:val="20"/>
          <w:w w:val="90"/>
          <w:sz w:val="32"/>
          <w:szCs w:val="24"/>
        </w:rPr>
      </w:pPr>
      <w:r w:rsidRPr="0005691A">
        <w:rPr>
          <w:rFonts w:cs="Arial"/>
          <w:b/>
          <w:color w:val="0082AB"/>
          <w:spacing w:val="20"/>
          <w:w w:val="90"/>
          <w:sz w:val="32"/>
          <w:szCs w:val="24"/>
        </w:rPr>
        <w:lastRenderedPageBreak/>
        <w:t>Section 6:  Implementation and operation</w:t>
      </w:r>
    </w:p>
    <w:tbl>
      <w:tblPr>
        <w:tblW w:w="9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48"/>
      </w:tblGrid>
      <w:tr w:rsidR="0062657E" w:rsidRPr="000A2B04" w:rsidTr="004A11FC">
        <w:trPr>
          <w:trHeight w:val="77"/>
        </w:trPr>
        <w:tc>
          <w:tcPr>
            <w:tcW w:w="9048" w:type="dxa"/>
            <w:shd w:val="clear" w:color="auto" w:fill="99CDDD"/>
          </w:tcPr>
          <w:p w:rsidR="0062657E" w:rsidRPr="000A2B04" w:rsidRDefault="0062657E" w:rsidP="00A61FF9">
            <w:pPr>
              <w:spacing w:before="60" w:after="60" w:line="240" w:lineRule="auto"/>
              <w:jc w:val="both"/>
              <w:rPr>
                <w:rFonts w:cs="Arial"/>
                <w:b/>
                <w:color w:val="002060"/>
                <w:lang w:eastAsia="en-AU"/>
              </w:rPr>
            </w:pPr>
            <w:r w:rsidRPr="000A2B04">
              <w:rPr>
                <w:rFonts w:cs="Arial"/>
                <w:b/>
                <w:color w:val="002060"/>
                <w:lang w:eastAsia="en-AU"/>
              </w:rPr>
              <w:br w:type="page"/>
            </w:r>
            <w:r w:rsidRPr="006172F1">
              <w:rPr>
                <w:rFonts w:cs="Arial"/>
                <w:b/>
                <w:lang w:eastAsia="en-AU"/>
              </w:rPr>
              <w:t>6.1   How will the new arrangements work in practice?</w:t>
            </w:r>
          </w:p>
        </w:tc>
      </w:tr>
      <w:tr w:rsidR="0062657E" w:rsidRPr="0049467D" w:rsidTr="0049234F">
        <w:trPr>
          <w:trHeight w:val="2457"/>
        </w:trPr>
        <w:tc>
          <w:tcPr>
            <w:tcW w:w="9048" w:type="dxa"/>
            <w:shd w:val="clear" w:color="auto" w:fill="auto"/>
          </w:tcPr>
          <w:p w:rsidR="0062657E" w:rsidRPr="0049467D" w:rsidRDefault="0062657E" w:rsidP="00A61FF9">
            <w:pPr>
              <w:spacing w:after="0" w:line="276" w:lineRule="auto"/>
              <w:jc w:val="both"/>
              <w:rPr>
                <w:rFonts w:cs="Arial"/>
                <w:szCs w:val="22"/>
              </w:rPr>
            </w:pPr>
          </w:p>
          <w:p w:rsidR="001536BF" w:rsidRDefault="00E23206" w:rsidP="00A61FF9">
            <w:pPr>
              <w:spacing w:after="0" w:line="276" w:lineRule="auto"/>
              <w:jc w:val="both"/>
              <w:rPr>
                <w:rFonts w:cs="Arial"/>
                <w:szCs w:val="22"/>
              </w:rPr>
            </w:pPr>
            <w:r>
              <w:rPr>
                <w:rFonts w:cs="Arial"/>
                <w:szCs w:val="22"/>
              </w:rPr>
              <w:t xml:space="preserve">The new </w:t>
            </w:r>
            <w:r w:rsidR="00B61461">
              <w:rPr>
                <w:rFonts w:cs="Arial"/>
                <w:szCs w:val="22"/>
              </w:rPr>
              <w:t>policy</w:t>
            </w:r>
            <w:r>
              <w:rPr>
                <w:rFonts w:cs="Arial"/>
                <w:szCs w:val="22"/>
              </w:rPr>
              <w:t xml:space="preserve"> will </w:t>
            </w:r>
            <w:r w:rsidR="00AB7047">
              <w:rPr>
                <w:rFonts w:cs="Arial"/>
                <w:szCs w:val="22"/>
              </w:rPr>
              <w:t>require amendments to the Income Tax Act 2007</w:t>
            </w:r>
            <w:r w:rsidR="006A0A7A">
              <w:rPr>
                <w:rFonts w:cs="Arial"/>
                <w:szCs w:val="22"/>
              </w:rPr>
              <w:t>.</w:t>
            </w:r>
            <w:r w:rsidR="004571B2">
              <w:rPr>
                <w:rFonts w:cs="Arial"/>
                <w:szCs w:val="22"/>
              </w:rPr>
              <w:t xml:space="preserve"> Once implemented, </w:t>
            </w:r>
            <w:r w:rsidR="00EE2B40">
              <w:rPr>
                <w:rFonts w:cs="Arial"/>
                <w:szCs w:val="22"/>
              </w:rPr>
              <w:t xml:space="preserve">Inland </w:t>
            </w:r>
            <w:r w:rsidR="003C2C10">
              <w:rPr>
                <w:rFonts w:cs="Arial"/>
                <w:szCs w:val="22"/>
              </w:rPr>
              <w:t xml:space="preserve">Revenue </w:t>
            </w:r>
            <w:r w:rsidR="0030229A">
              <w:rPr>
                <w:rFonts w:cs="Arial"/>
                <w:szCs w:val="22"/>
              </w:rPr>
              <w:t>will be able to</w:t>
            </w:r>
            <w:r w:rsidR="003C2C10">
              <w:rPr>
                <w:rFonts w:cs="Arial"/>
                <w:szCs w:val="22"/>
              </w:rPr>
              <w:t xml:space="preserve"> </w:t>
            </w:r>
            <w:r w:rsidR="00DD42C2">
              <w:rPr>
                <w:rFonts w:cs="Arial"/>
                <w:szCs w:val="22"/>
              </w:rPr>
              <w:t>enforce and monitor</w:t>
            </w:r>
            <w:r w:rsidR="00F5218E">
              <w:rPr>
                <w:rFonts w:cs="Arial"/>
                <w:szCs w:val="22"/>
              </w:rPr>
              <w:t xml:space="preserve"> the arrangements</w:t>
            </w:r>
            <w:r w:rsidR="00FF66DE">
              <w:rPr>
                <w:rFonts w:cs="Arial"/>
                <w:szCs w:val="22"/>
              </w:rPr>
              <w:t>.</w:t>
            </w:r>
            <w:r w:rsidR="001536BF">
              <w:rPr>
                <w:rFonts w:cs="Arial"/>
                <w:szCs w:val="22"/>
              </w:rPr>
              <w:t xml:space="preserve"> New investors will be required to notify the Commissioner of Inland Revenue of their intention to breed, supported by information including the </w:t>
            </w:r>
            <w:r w:rsidR="00690A0F">
              <w:rPr>
                <w:rFonts w:cs="Arial"/>
                <w:szCs w:val="22"/>
              </w:rPr>
              <w:t>investor’s</w:t>
            </w:r>
            <w:r w:rsidR="001536BF">
              <w:rPr>
                <w:rFonts w:cs="Arial"/>
                <w:szCs w:val="22"/>
              </w:rPr>
              <w:t xml:space="preserve"> details, a busin</w:t>
            </w:r>
            <w:r w:rsidR="00A64ACE">
              <w:rPr>
                <w:rFonts w:cs="Arial"/>
                <w:szCs w:val="22"/>
              </w:rPr>
              <w:t>ess plan</w:t>
            </w:r>
            <w:r w:rsidR="00D2679B">
              <w:rPr>
                <w:rFonts w:cs="Arial"/>
                <w:szCs w:val="22"/>
              </w:rPr>
              <w:t>,</w:t>
            </w:r>
            <w:r w:rsidR="00A64ACE">
              <w:rPr>
                <w:rFonts w:cs="Arial"/>
                <w:szCs w:val="22"/>
              </w:rPr>
              <w:t xml:space="preserve"> and veterinary reports, which Inland Revenue will evaluate.</w:t>
            </w:r>
          </w:p>
          <w:p w:rsidR="001536BF" w:rsidRDefault="001536BF" w:rsidP="00A61FF9">
            <w:pPr>
              <w:spacing w:after="0" w:line="276" w:lineRule="auto"/>
              <w:jc w:val="both"/>
              <w:rPr>
                <w:rFonts w:cs="Arial"/>
                <w:szCs w:val="22"/>
              </w:rPr>
            </w:pPr>
          </w:p>
          <w:p w:rsidR="0062657E" w:rsidRDefault="00FF66DE" w:rsidP="00A61FF9">
            <w:pPr>
              <w:spacing w:after="0" w:line="276" w:lineRule="auto"/>
              <w:jc w:val="both"/>
              <w:rPr>
                <w:rFonts w:cs="Arial"/>
                <w:szCs w:val="22"/>
              </w:rPr>
            </w:pPr>
            <w:r>
              <w:rPr>
                <w:rFonts w:cs="Arial"/>
                <w:szCs w:val="22"/>
              </w:rPr>
              <w:t>The</w:t>
            </w:r>
            <w:r w:rsidR="008415E8">
              <w:rPr>
                <w:rFonts w:cs="Arial"/>
                <w:szCs w:val="22"/>
              </w:rPr>
              <w:t xml:space="preserve"> Commissioner will </w:t>
            </w:r>
            <w:r w:rsidR="007512B9">
              <w:rPr>
                <w:rFonts w:cs="Arial"/>
                <w:szCs w:val="22"/>
              </w:rPr>
              <w:t>publish</w:t>
            </w:r>
            <w:r w:rsidR="008415E8">
              <w:rPr>
                <w:rFonts w:cs="Arial"/>
                <w:szCs w:val="22"/>
              </w:rPr>
              <w:t xml:space="preserve"> the bright-line va</w:t>
            </w:r>
            <w:r w:rsidR="009D69DA">
              <w:rPr>
                <w:rFonts w:cs="Arial"/>
                <w:szCs w:val="22"/>
              </w:rPr>
              <w:t>lues</w:t>
            </w:r>
            <w:r w:rsidR="003C2C10">
              <w:rPr>
                <w:rFonts w:cs="Arial"/>
                <w:szCs w:val="22"/>
              </w:rPr>
              <w:t xml:space="preserve"> each year </w:t>
            </w:r>
            <w:r w:rsidR="00482A08">
              <w:rPr>
                <w:rFonts w:cs="Arial"/>
                <w:szCs w:val="22"/>
              </w:rPr>
              <w:t xml:space="preserve">and </w:t>
            </w:r>
            <w:r w:rsidR="0030229A">
              <w:rPr>
                <w:rFonts w:cs="Arial"/>
                <w:szCs w:val="22"/>
              </w:rPr>
              <w:t>will be able to</w:t>
            </w:r>
            <w:r w:rsidR="003C2C10">
              <w:rPr>
                <w:rFonts w:cs="Arial"/>
                <w:szCs w:val="22"/>
              </w:rPr>
              <w:t xml:space="preserve"> </w:t>
            </w:r>
            <w:r w:rsidR="00482A08">
              <w:rPr>
                <w:rFonts w:cs="Arial"/>
                <w:szCs w:val="22"/>
              </w:rPr>
              <w:t xml:space="preserve">monitor </w:t>
            </w:r>
            <w:r w:rsidR="006A4E76">
              <w:rPr>
                <w:rFonts w:cs="Arial"/>
                <w:szCs w:val="22"/>
              </w:rPr>
              <w:t>ho</w:t>
            </w:r>
            <w:r w:rsidR="00E80779">
              <w:rPr>
                <w:rFonts w:cs="Arial"/>
                <w:szCs w:val="22"/>
              </w:rPr>
              <w:t>w the policy is working overall using the information provided by investors.</w:t>
            </w:r>
            <w:r w:rsidR="006A4E76">
              <w:rPr>
                <w:rFonts w:cs="Arial"/>
                <w:szCs w:val="22"/>
              </w:rPr>
              <w:t xml:space="preserve"> </w:t>
            </w:r>
            <w:r w:rsidR="003C2C10">
              <w:rPr>
                <w:rFonts w:cs="Arial"/>
                <w:szCs w:val="22"/>
              </w:rPr>
              <w:t xml:space="preserve"> </w:t>
            </w:r>
          </w:p>
          <w:p w:rsidR="00D7513F" w:rsidRPr="0049467D" w:rsidRDefault="00D7513F" w:rsidP="00A61FF9">
            <w:pPr>
              <w:spacing w:after="0" w:line="276" w:lineRule="auto"/>
              <w:jc w:val="both"/>
              <w:rPr>
                <w:rFonts w:cs="Arial"/>
                <w:szCs w:val="22"/>
              </w:rPr>
            </w:pPr>
          </w:p>
        </w:tc>
      </w:tr>
    </w:tbl>
    <w:p w:rsidR="0062657E" w:rsidRPr="0049467D" w:rsidRDefault="0062657E" w:rsidP="00A61FF9">
      <w:pPr>
        <w:pStyle w:val="spacer"/>
        <w:jc w:val="both"/>
      </w:pPr>
    </w:p>
    <w:tbl>
      <w:tblPr>
        <w:tblW w:w="9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48"/>
      </w:tblGrid>
      <w:tr w:rsidR="0062657E" w:rsidRPr="000A2B04" w:rsidTr="004A11FC">
        <w:trPr>
          <w:trHeight w:val="132"/>
        </w:trPr>
        <w:tc>
          <w:tcPr>
            <w:tcW w:w="9048" w:type="dxa"/>
            <w:shd w:val="clear" w:color="auto" w:fill="99CDDD"/>
          </w:tcPr>
          <w:p w:rsidR="0062657E" w:rsidRPr="000A2B04" w:rsidRDefault="0062657E" w:rsidP="00A61FF9">
            <w:pPr>
              <w:spacing w:before="60" w:after="60" w:line="240" w:lineRule="auto"/>
              <w:jc w:val="both"/>
              <w:rPr>
                <w:rFonts w:cs="Arial"/>
                <w:b/>
                <w:color w:val="002060"/>
                <w:lang w:eastAsia="en-AU"/>
              </w:rPr>
            </w:pPr>
            <w:r w:rsidRPr="000A2B04">
              <w:rPr>
                <w:rFonts w:cs="Arial"/>
                <w:b/>
                <w:color w:val="002060"/>
                <w:lang w:eastAsia="en-AU"/>
              </w:rPr>
              <w:br w:type="page"/>
            </w:r>
            <w:r w:rsidRPr="006172F1">
              <w:rPr>
                <w:rFonts w:cs="Arial"/>
                <w:b/>
                <w:lang w:eastAsia="en-AU"/>
              </w:rPr>
              <w:t>6.2   What are the implementation risks?</w:t>
            </w:r>
          </w:p>
        </w:tc>
      </w:tr>
      <w:tr w:rsidR="0062657E" w:rsidRPr="0049467D" w:rsidTr="00384E9B">
        <w:trPr>
          <w:trHeight w:val="3174"/>
        </w:trPr>
        <w:tc>
          <w:tcPr>
            <w:tcW w:w="9048" w:type="dxa"/>
            <w:shd w:val="clear" w:color="auto" w:fill="FFFFFF"/>
          </w:tcPr>
          <w:p w:rsidR="0062657E" w:rsidRPr="0049467D" w:rsidRDefault="0062657E" w:rsidP="00A61FF9">
            <w:pPr>
              <w:spacing w:after="0" w:line="276" w:lineRule="auto"/>
              <w:jc w:val="both"/>
              <w:rPr>
                <w:rFonts w:cs="Arial"/>
                <w:szCs w:val="22"/>
              </w:rPr>
            </w:pPr>
          </w:p>
          <w:p w:rsidR="003C2C10" w:rsidRDefault="003C2C10" w:rsidP="00A61FF9">
            <w:pPr>
              <w:spacing w:after="0" w:line="276" w:lineRule="auto"/>
              <w:jc w:val="both"/>
              <w:rPr>
                <w:rFonts w:cs="Arial"/>
                <w:szCs w:val="22"/>
              </w:rPr>
            </w:pPr>
            <w:r>
              <w:rPr>
                <w:rFonts w:cs="Arial"/>
                <w:szCs w:val="22"/>
              </w:rPr>
              <w:t xml:space="preserve">During consultation with the industry, </w:t>
            </w:r>
            <w:r w:rsidR="006A0CCE">
              <w:rPr>
                <w:rFonts w:cs="Arial"/>
                <w:szCs w:val="22"/>
              </w:rPr>
              <w:t>concerns were raised about</w:t>
            </w:r>
            <w:r>
              <w:rPr>
                <w:rFonts w:cs="Arial"/>
                <w:szCs w:val="22"/>
              </w:rPr>
              <w:t xml:space="preserve"> Inland Revenue being too regimented in determining a new investors’ intention to breed from a yearling in the future.  </w:t>
            </w:r>
          </w:p>
          <w:p w:rsidR="002E2801" w:rsidRDefault="002E2801" w:rsidP="00A61FF9">
            <w:pPr>
              <w:spacing w:after="0" w:line="276" w:lineRule="auto"/>
              <w:jc w:val="both"/>
              <w:rPr>
                <w:rFonts w:cs="Arial"/>
                <w:szCs w:val="22"/>
              </w:rPr>
            </w:pPr>
          </w:p>
          <w:p w:rsidR="0062657E" w:rsidRDefault="003C2C10" w:rsidP="00A61FF9">
            <w:pPr>
              <w:spacing w:after="0" w:line="276" w:lineRule="auto"/>
              <w:jc w:val="both"/>
              <w:rPr>
                <w:rFonts w:cs="Arial"/>
                <w:szCs w:val="22"/>
              </w:rPr>
            </w:pPr>
            <w:r>
              <w:rPr>
                <w:rFonts w:cs="Arial"/>
                <w:szCs w:val="22"/>
              </w:rPr>
              <w:t>The reality is that proving intention is very difficult.  The existence of a business plan and other pieces of evidence are only indicators that an intention to breed may exist.</w:t>
            </w:r>
            <w:r w:rsidR="00E366A5">
              <w:rPr>
                <w:rFonts w:cs="Arial"/>
                <w:szCs w:val="22"/>
              </w:rPr>
              <w:t xml:space="preserve">  </w:t>
            </w:r>
            <w:r>
              <w:rPr>
                <w:rFonts w:cs="Arial"/>
                <w:szCs w:val="22"/>
              </w:rPr>
              <w:t xml:space="preserve">Officials acknowledge that </w:t>
            </w:r>
            <w:r w:rsidR="00E366A5">
              <w:rPr>
                <w:rFonts w:cs="Arial"/>
                <w:szCs w:val="22"/>
              </w:rPr>
              <w:t xml:space="preserve">establishing a breeding business with a yearling is risky.  We agreed that the Tax Information Bulletin would provide examples of the type of information and the level of detail that would be required to support a notification of intention to breed from a standout yearling.  </w:t>
            </w:r>
          </w:p>
          <w:p w:rsidR="002E2801" w:rsidRDefault="002E2801" w:rsidP="00A61FF9">
            <w:pPr>
              <w:spacing w:after="0" w:line="276" w:lineRule="auto"/>
              <w:jc w:val="both"/>
              <w:rPr>
                <w:rFonts w:cs="Arial"/>
                <w:szCs w:val="22"/>
              </w:rPr>
            </w:pPr>
          </w:p>
          <w:p w:rsidR="002E2801" w:rsidRDefault="002E2801" w:rsidP="00A61FF9">
            <w:pPr>
              <w:spacing w:after="0" w:line="276" w:lineRule="auto"/>
              <w:jc w:val="both"/>
              <w:rPr>
                <w:rFonts w:cs="Arial"/>
                <w:szCs w:val="22"/>
              </w:rPr>
            </w:pPr>
          </w:p>
          <w:p w:rsidR="00D82BBD" w:rsidRDefault="00D82BBD" w:rsidP="00A61FF9">
            <w:pPr>
              <w:spacing w:after="0" w:line="276" w:lineRule="auto"/>
              <w:jc w:val="both"/>
              <w:rPr>
                <w:rFonts w:cs="Arial"/>
                <w:szCs w:val="22"/>
              </w:rPr>
            </w:pPr>
          </w:p>
          <w:p w:rsidR="00D82BBD" w:rsidRPr="0049467D" w:rsidRDefault="00D82BBD" w:rsidP="00A61FF9">
            <w:pPr>
              <w:spacing w:after="0" w:line="276" w:lineRule="auto"/>
              <w:jc w:val="both"/>
              <w:rPr>
                <w:rFonts w:cs="Arial"/>
                <w:szCs w:val="22"/>
              </w:rPr>
            </w:pPr>
          </w:p>
        </w:tc>
      </w:tr>
    </w:tbl>
    <w:p w:rsidR="0062657E" w:rsidRPr="0005691A" w:rsidRDefault="0062657E" w:rsidP="00A61FF9">
      <w:pPr>
        <w:spacing w:line="276" w:lineRule="auto"/>
        <w:jc w:val="both"/>
        <w:rPr>
          <w:rFonts w:cs="Arial"/>
          <w:b/>
          <w:color w:val="0082AB"/>
          <w:spacing w:val="20"/>
          <w:w w:val="90"/>
          <w:sz w:val="32"/>
          <w:szCs w:val="24"/>
        </w:rPr>
      </w:pPr>
      <w:r>
        <w:rPr>
          <w:rFonts w:cs="Arial"/>
          <w:sz w:val="20"/>
          <w:lang w:eastAsia="en-AU"/>
        </w:rPr>
        <w:br w:type="page"/>
      </w:r>
      <w:r w:rsidRPr="0005691A">
        <w:rPr>
          <w:rFonts w:cs="Arial"/>
          <w:b/>
          <w:color w:val="0082AB"/>
          <w:spacing w:val="20"/>
          <w:w w:val="90"/>
          <w:sz w:val="32"/>
          <w:szCs w:val="24"/>
        </w:rPr>
        <w:lastRenderedPageBreak/>
        <w:t>Section 7:  Monitoring, evaluation and review</w:t>
      </w:r>
    </w:p>
    <w:tbl>
      <w:tblPr>
        <w:tblW w:w="9048" w:type="dxa"/>
        <w:tblInd w:w="-5" w:type="dxa"/>
        <w:tblLook w:val="0480" w:firstRow="0" w:lastRow="0" w:firstColumn="1" w:lastColumn="0" w:noHBand="0" w:noVBand="1"/>
      </w:tblPr>
      <w:tblGrid>
        <w:gridCol w:w="9048"/>
      </w:tblGrid>
      <w:tr w:rsidR="0049467D" w:rsidRPr="0049467D" w:rsidTr="004A11FC">
        <w:trPr>
          <w:trHeight w:val="206"/>
        </w:trPr>
        <w:tc>
          <w:tcPr>
            <w:tcW w:w="9048" w:type="dxa"/>
            <w:tcBorders>
              <w:top w:val="single" w:sz="4" w:space="0" w:color="auto"/>
              <w:left w:val="single" w:sz="4" w:space="0" w:color="auto"/>
              <w:bottom w:val="single" w:sz="4" w:space="0" w:color="auto"/>
              <w:right w:val="single" w:sz="4" w:space="0" w:color="auto"/>
            </w:tcBorders>
            <w:shd w:val="clear" w:color="auto" w:fill="99CDDD"/>
          </w:tcPr>
          <w:p w:rsidR="0062657E" w:rsidRPr="0049467D" w:rsidRDefault="0062657E" w:rsidP="00A61FF9">
            <w:pPr>
              <w:spacing w:before="60" w:after="60" w:line="240" w:lineRule="auto"/>
              <w:jc w:val="both"/>
              <w:rPr>
                <w:rFonts w:cs="Arial"/>
                <w:b/>
                <w:szCs w:val="22"/>
                <w:lang w:eastAsia="en-AU"/>
              </w:rPr>
            </w:pPr>
            <w:r w:rsidRPr="0049467D">
              <w:rPr>
                <w:rFonts w:cs="Arial"/>
                <w:b/>
                <w:szCs w:val="22"/>
                <w:lang w:eastAsia="en-AU"/>
              </w:rPr>
              <w:br w:type="page"/>
              <w:t>7.1   How will the impact of the new arrangements be monitored?</w:t>
            </w:r>
          </w:p>
        </w:tc>
      </w:tr>
      <w:tr w:rsidR="0049467D" w:rsidRPr="0049467D" w:rsidTr="009421EA">
        <w:trPr>
          <w:trHeight w:val="2583"/>
        </w:trPr>
        <w:tc>
          <w:tcPr>
            <w:tcW w:w="9048" w:type="dxa"/>
            <w:tcBorders>
              <w:top w:val="single" w:sz="4" w:space="0" w:color="auto"/>
              <w:left w:val="single" w:sz="4" w:space="0" w:color="auto"/>
              <w:bottom w:val="single" w:sz="4" w:space="0" w:color="auto"/>
              <w:right w:val="single" w:sz="4" w:space="0" w:color="auto"/>
            </w:tcBorders>
            <w:shd w:val="clear" w:color="auto" w:fill="FFFFFF"/>
          </w:tcPr>
          <w:p w:rsidR="0062657E" w:rsidRPr="0049467D" w:rsidRDefault="0062657E" w:rsidP="00A61FF9">
            <w:pPr>
              <w:spacing w:after="0" w:line="276" w:lineRule="auto"/>
              <w:jc w:val="both"/>
              <w:rPr>
                <w:rFonts w:cs="Arial"/>
                <w:szCs w:val="22"/>
              </w:rPr>
            </w:pPr>
          </w:p>
          <w:p w:rsidR="0062657E" w:rsidRPr="00232CB8" w:rsidRDefault="00B525DA" w:rsidP="00A61FF9">
            <w:pPr>
              <w:pStyle w:val="spacer"/>
              <w:jc w:val="both"/>
              <w:rPr>
                <w:sz w:val="22"/>
              </w:rPr>
            </w:pPr>
            <w:r>
              <w:rPr>
                <w:sz w:val="22"/>
              </w:rPr>
              <w:t>The information provided to the Commissioner by new investors claiming an intention to breed</w:t>
            </w:r>
            <w:r w:rsidR="002D7057">
              <w:rPr>
                <w:sz w:val="22"/>
              </w:rPr>
              <w:t xml:space="preserve"> will </w:t>
            </w:r>
            <w:r w:rsidR="000613FA">
              <w:rPr>
                <w:sz w:val="22"/>
              </w:rPr>
              <w:t>give</w:t>
            </w:r>
            <w:r w:rsidR="002D7057">
              <w:rPr>
                <w:sz w:val="22"/>
              </w:rPr>
              <w:t xml:space="preserve"> </w:t>
            </w:r>
            <w:r w:rsidR="00232CB8">
              <w:rPr>
                <w:sz w:val="22"/>
              </w:rPr>
              <w:t xml:space="preserve">Inland Revenue </w:t>
            </w:r>
            <w:r w:rsidR="000613FA">
              <w:rPr>
                <w:sz w:val="22"/>
              </w:rPr>
              <w:t>the</w:t>
            </w:r>
            <w:r w:rsidR="002D7057">
              <w:rPr>
                <w:sz w:val="22"/>
              </w:rPr>
              <w:t xml:space="preserve"> </w:t>
            </w:r>
            <w:r w:rsidR="000613FA">
              <w:rPr>
                <w:sz w:val="22"/>
              </w:rPr>
              <w:t>ability</w:t>
            </w:r>
            <w:r w:rsidR="002D7057">
              <w:rPr>
                <w:sz w:val="22"/>
              </w:rPr>
              <w:t xml:space="preserve"> to </w:t>
            </w:r>
            <w:r w:rsidR="00232CB8">
              <w:rPr>
                <w:sz w:val="22"/>
              </w:rPr>
              <w:t>monitor</w:t>
            </w:r>
            <w:r w:rsidR="002D7057">
              <w:rPr>
                <w:sz w:val="22"/>
              </w:rPr>
              <w:t xml:space="preserve"> ho</w:t>
            </w:r>
            <w:r w:rsidR="00D8040B">
              <w:rPr>
                <w:sz w:val="22"/>
              </w:rPr>
              <w:t>w the policy is working, who</w:t>
            </w:r>
            <w:r w:rsidR="002D7057">
              <w:rPr>
                <w:sz w:val="22"/>
              </w:rPr>
              <w:t xml:space="preserve"> the new investors</w:t>
            </w:r>
            <w:r w:rsidR="00D8040B">
              <w:rPr>
                <w:sz w:val="22"/>
              </w:rPr>
              <w:t xml:space="preserve"> are,</w:t>
            </w:r>
            <w:r w:rsidR="00DE15CF">
              <w:rPr>
                <w:sz w:val="22"/>
              </w:rPr>
              <w:t xml:space="preserve"> a</w:t>
            </w:r>
            <w:r w:rsidR="002D7057">
              <w:rPr>
                <w:sz w:val="22"/>
              </w:rPr>
              <w:t xml:space="preserve">nd whether the horse gets used for bloodstock breeding.  </w:t>
            </w:r>
            <w:r w:rsidR="00232CB8">
              <w:rPr>
                <w:sz w:val="22"/>
              </w:rPr>
              <w:t xml:space="preserve"> </w:t>
            </w:r>
          </w:p>
        </w:tc>
      </w:tr>
    </w:tbl>
    <w:p w:rsidR="0062657E" w:rsidRPr="0049467D" w:rsidRDefault="0062657E" w:rsidP="00A61FF9">
      <w:pPr>
        <w:pStyle w:val="spacer"/>
        <w:jc w:val="both"/>
      </w:pPr>
    </w:p>
    <w:tbl>
      <w:tblPr>
        <w:tblW w:w="90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9048"/>
      </w:tblGrid>
      <w:tr w:rsidR="0049467D" w:rsidRPr="0049467D" w:rsidTr="004A11FC">
        <w:trPr>
          <w:trHeight w:val="296"/>
        </w:trPr>
        <w:tc>
          <w:tcPr>
            <w:tcW w:w="9048" w:type="dxa"/>
            <w:shd w:val="clear" w:color="auto" w:fill="99CDDD"/>
          </w:tcPr>
          <w:p w:rsidR="0062657E" w:rsidRPr="0049467D" w:rsidRDefault="0062657E" w:rsidP="00A61FF9">
            <w:pPr>
              <w:spacing w:before="60" w:after="60" w:line="240" w:lineRule="auto"/>
              <w:jc w:val="both"/>
              <w:rPr>
                <w:rFonts w:cs="Arial"/>
                <w:b/>
                <w:szCs w:val="22"/>
                <w:lang w:eastAsia="en-AU"/>
              </w:rPr>
            </w:pPr>
            <w:r w:rsidRPr="0049467D">
              <w:rPr>
                <w:rFonts w:cs="Arial"/>
                <w:b/>
                <w:szCs w:val="22"/>
                <w:lang w:eastAsia="en-AU"/>
              </w:rPr>
              <w:br w:type="page"/>
              <w:t xml:space="preserve">7.2   When and how will the new arrangements be reviewed? </w:t>
            </w:r>
          </w:p>
        </w:tc>
      </w:tr>
      <w:tr w:rsidR="0049467D" w:rsidRPr="0049467D" w:rsidTr="00384E9B">
        <w:trPr>
          <w:trHeight w:val="3314"/>
        </w:trPr>
        <w:tc>
          <w:tcPr>
            <w:tcW w:w="9048" w:type="dxa"/>
            <w:shd w:val="clear" w:color="auto" w:fill="FFFFFF"/>
          </w:tcPr>
          <w:p w:rsidR="0062657E" w:rsidRPr="0049467D" w:rsidRDefault="0062657E" w:rsidP="00A61FF9">
            <w:pPr>
              <w:spacing w:after="0" w:line="276" w:lineRule="auto"/>
              <w:jc w:val="both"/>
              <w:rPr>
                <w:rFonts w:cs="Arial"/>
                <w:szCs w:val="22"/>
              </w:rPr>
            </w:pPr>
          </w:p>
          <w:p w:rsidR="0062657E" w:rsidRDefault="002D7057" w:rsidP="00A61FF9">
            <w:pPr>
              <w:spacing w:after="0" w:line="276" w:lineRule="auto"/>
              <w:jc w:val="both"/>
              <w:rPr>
                <w:rFonts w:cs="Arial"/>
                <w:szCs w:val="22"/>
              </w:rPr>
            </w:pPr>
            <w:r>
              <w:rPr>
                <w:rFonts w:cs="Arial"/>
                <w:szCs w:val="22"/>
              </w:rPr>
              <w:t xml:space="preserve">The </w:t>
            </w:r>
            <w:r w:rsidR="00FB05A1">
              <w:rPr>
                <w:rFonts w:cs="Arial"/>
                <w:szCs w:val="22"/>
              </w:rPr>
              <w:t xml:space="preserve">Commissioner </w:t>
            </w:r>
            <w:r>
              <w:rPr>
                <w:rFonts w:cs="Arial"/>
                <w:szCs w:val="22"/>
              </w:rPr>
              <w:t xml:space="preserve">will need to annually publish the </w:t>
            </w:r>
            <w:r w:rsidR="00AB76C1">
              <w:rPr>
                <w:rFonts w:cs="Arial"/>
                <w:szCs w:val="22"/>
              </w:rPr>
              <w:t>value threshold</w:t>
            </w:r>
            <w:r>
              <w:rPr>
                <w:rFonts w:cs="Arial"/>
                <w:szCs w:val="22"/>
              </w:rPr>
              <w:t xml:space="preserve">s for </w:t>
            </w:r>
            <w:r w:rsidR="005600F7">
              <w:rPr>
                <w:rFonts w:cs="Arial"/>
                <w:szCs w:val="22"/>
              </w:rPr>
              <w:t>standout</w:t>
            </w:r>
            <w:r>
              <w:rPr>
                <w:rFonts w:cs="Arial"/>
                <w:szCs w:val="22"/>
              </w:rPr>
              <w:t xml:space="preserve"> yearlings </w:t>
            </w:r>
            <w:r w:rsidR="00032EC8">
              <w:rPr>
                <w:rFonts w:cs="Arial"/>
                <w:szCs w:val="22"/>
              </w:rPr>
              <w:t xml:space="preserve">in </w:t>
            </w:r>
            <w:r w:rsidR="00321AD0">
              <w:rPr>
                <w:rFonts w:cs="Arial"/>
                <w:szCs w:val="22"/>
              </w:rPr>
              <w:t>light of</w:t>
            </w:r>
            <w:r w:rsidR="00032EC8">
              <w:rPr>
                <w:rFonts w:cs="Arial"/>
                <w:szCs w:val="22"/>
              </w:rPr>
              <w:t xml:space="preserve"> the previous year’s </w:t>
            </w:r>
            <w:r>
              <w:rPr>
                <w:rFonts w:cs="Arial"/>
                <w:szCs w:val="22"/>
              </w:rPr>
              <w:t xml:space="preserve">sales </w:t>
            </w:r>
            <w:r w:rsidR="00D10658">
              <w:rPr>
                <w:rFonts w:cs="Arial"/>
                <w:szCs w:val="22"/>
              </w:rPr>
              <w:t>prices,</w:t>
            </w:r>
            <w:r w:rsidR="00DA442B">
              <w:rPr>
                <w:rFonts w:cs="Arial"/>
                <w:szCs w:val="22"/>
              </w:rPr>
              <w:t xml:space="preserve"> and can review arrangements on an annual basis. Inland Revenue </w:t>
            </w:r>
            <w:r w:rsidR="00D10658">
              <w:rPr>
                <w:rFonts w:cs="Arial"/>
                <w:szCs w:val="22"/>
              </w:rPr>
              <w:t xml:space="preserve">will </w:t>
            </w:r>
            <w:r w:rsidR="0061752C">
              <w:rPr>
                <w:rFonts w:cs="Arial"/>
                <w:szCs w:val="22"/>
              </w:rPr>
              <w:t>be able to assess whether</w:t>
            </w:r>
            <w:r w:rsidR="00142571">
              <w:rPr>
                <w:rFonts w:cs="Arial"/>
                <w:szCs w:val="22"/>
              </w:rPr>
              <w:t xml:space="preserve"> the thresholds are allowing the desired number of yearlings into the policy</w:t>
            </w:r>
            <w:r w:rsidR="00CE009F">
              <w:rPr>
                <w:rFonts w:cs="Arial"/>
                <w:szCs w:val="22"/>
              </w:rPr>
              <w:t>,</w:t>
            </w:r>
            <w:r w:rsidR="00AF6C66">
              <w:rPr>
                <w:rFonts w:cs="Arial"/>
                <w:szCs w:val="22"/>
              </w:rPr>
              <w:t xml:space="preserve"> and whether </w:t>
            </w:r>
            <w:r w:rsidR="00DB45FE">
              <w:rPr>
                <w:rFonts w:cs="Arial"/>
                <w:szCs w:val="22"/>
              </w:rPr>
              <w:t xml:space="preserve">those yearlings are </w:t>
            </w:r>
            <w:r w:rsidR="00667F0B">
              <w:rPr>
                <w:rFonts w:cs="Arial"/>
                <w:szCs w:val="22"/>
              </w:rPr>
              <w:t>going on to breed</w:t>
            </w:r>
            <w:r w:rsidR="007162F6">
              <w:rPr>
                <w:rFonts w:cs="Arial"/>
                <w:szCs w:val="22"/>
              </w:rPr>
              <w:t xml:space="preserve">. </w:t>
            </w:r>
          </w:p>
          <w:p w:rsidR="000A2500" w:rsidRDefault="000A2500" w:rsidP="00A61FF9">
            <w:pPr>
              <w:spacing w:after="0" w:line="276" w:lineRule="auto"/>
              <w:jc w:val="both"/>
              <w:rPr>
                <w:rFonts w:cs="Arial"/>
                <w:szCs w:val="22"/>
              </w:rPr>
            </w:pPr>
          </w:p>
          <w:p w:rsidR="000A2500" w:rsidRPr="0049467D" w:rsidRDefault="000A2500" w:rsidP="00A61FF9">
            <w:pPr>
              <w:spacing w:after="0" w:line="276" w:lineRule="auto"/>
              <w:jc w:val="both"/>
              <w:rPr>
                <w:rFonts w:cs="Arial"/>
                <w:szCs w:val="22"/>
              </w:rPr>
            </w:pPr>
          </w:p>
        </w:tc>
      </w:tr>
    </w:tbl>
    <w:p w:rsidR="00397C8D" w:rsidRPr="0049467D" w:rsidRDefault="00397C8D" w:rsidP="00A61FF9">
      <w:pPr>
        <w:pStyle w:val="spacer"/>
        <w:jc w:val="both"/>
      </w:pPr>
    </w:p>
    <w:sectPr w:rsidR="00397C8D" w:rsidRPr="0049467D" w:rsidSect="0005691A">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2BC" w:rsidRDefault="00A922BC">
      <w:pPr>
        <w:spacing w:after="0" w:line="240" w:lineRule="auto"/>
      </w:pPr>
      <w:r>
        <w:separator/>
      </w:r>
    </w:p>
  </w:endnote>
  <w:endnote w:type="continuationSeparator" w:id="0">
    <w:p w:rsidR="00A922BC" w:rsidRDefault="00A9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Sans">
    <w:panose1 w:val="00000000000000000000"/>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97" w:rsidRPr="009435C4" w:rsidRDefault="00C73D97" w:rsidP="00FA7EFC">
    <w:pPr>
      <w:pStyle w:val="Footer"/>
    </w:pPr>
    <w:r>
      <w:t xml:space="preserve">Impact Statement Template   </w:t>
    </w:r>
    <w:r w:rsidRPr="009435C4">
      <w:t xml:space="preserve">|   </w:t>
    </w:r>
    <w:r w:rsidRPr="009435C4">
      <w:fldChar w:fldCharType="begin"/>
    </w:r>
    <w:r w:rsidRPr="009435C4">
      <w:instrText xml:space="preserve"> PAGE </w:instrText>
    </w:r>
    <w:r w:rsidRPr="009435C4">
      <w:fldChar w:fldCharType="separate"/>
    </w:r>
    <w:r w:rsidR="00D215A1">
      <w:t>2</w:t>
    </w:r>
    <w:r w:rsidRPr="009435C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97" w:rsidRDefault="00C73D97" w:rsidP="00FA7E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97" w:rsidRPr="00FA7EFC" w:rsidRDefault="00C73D97" w:rsidP="00FA7EFC">
    <w:pPr>
      <w:pStyle w:val="Footer"/>
    </w:pPr>
    <w:r>
      <w:t xml:space="preserve">  Impact Statement Template   </w:t>
    </w:r>
    <w:r w:rsidRPr="00FA7EFC">
      <w:t xml:space="preserve">|   </w:t>
    </w:r>
    <w:r w:rsidRPr="00FA7EFC">
      <w:fldChar w:fldCharType="begin"/>
    </w:r>
    <w:r w:rsidRPr="00FA7EFC">
      <w:instrText xml:space="preserve"> PAGE </w:instrText>
    </w:r>
    <w:r w:rsidRPr="00FA7EFC">
      <w:fldChar w:fldCharType="separate"/>
    </w:r>
    <w:r w:rsidR="00D215A1">
      <w:t>19</w:t>
    </w:r>
    <w:r w:rsidRPr="00FA7EFC">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97" w:rsidRDefault="00C73D97" w:rsidP="00FA7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2BC" w:rsidRDefault="00A922BC">
      <w:pPr>
        <w:spacing w:after="0" w:line="240" w:lineRule="auto"/>
      </w:pPr>
      <w:r>
        <w:separator/>
      </w:r>
    </w:p>
  </w:footnote>
  <w:footnote w:type="continuationSeparator" w:id="0">
    <w:p w:rsidR="00A922BC" w:rsidRDefault="00A922BC">
      <w:pPr>
        <w:spacing w:after="0" w:line="240" w:lineRule="auto"/>
      </w:pPr>
      <w:r>
        <w:continuationSeparator/>
      </w:r>
    </w:p>
  </w:footnote>
  <w:footnote w:id="1">
    <w:p w:rsidR="009C3D45" w:rsidRPr="009C3D45" w:rsidRDefault="009C3D45">
      <w:pPr>
        <w:pStyle w:val="FootnoteText"/>
        <w:rPr>
          <w:lang w:val="en-NZ"/>
        </w:rPr>
      </w:pPr>
      <w:r>
        <w:rPr>
          <w:rStyle w:val="FootnoteReference"/>
        </w:rPr>
        <w:footnoteRef/>
      </w:r>
      <w:r>
        <w:t xml:space="preserve"> A</w:t>
      </w:r>
      <w:r w:rsidRPr="009C3D45">
        <w:t xml:space="preserve"> horse</w:t>
      </w:r>
      <w:r w:rsidR="008F04AD">
        <w:t xml:space="preserve"> with stud </w:t>
      </w:r>
      <w:r>
        <w:t>founding qualities</w:t>
      </w:r>
      <w:r w:rsidR="00E55A5E">
        <w:t xml:space="preserve">, defined under the proposed policy as a horse </w:t>
      </w:r>
      <w:r w:rsidRPr="009C3D45">
        <w:t xml:space="preserve">whose </w:t>
      </w:r>
      <w:r w:rsidR="00986613">
        <w:t xml:space="preserve">purchase price </w:t>
      </w:r>
      <w:r w:rsidR="003545B0">
        <w:t xml:space="preserve">equals or </w:t>
      </w:r>
      <w:r w:rsidRPr="009C3D45">
        <w:t xml:space="preserve">exceeds a bright-line price floor </w:t>
      </w:r>
      <w:r w:rsidR="001D5B25">
        <w:t>published</w:t>
      </w:r>
      <w:r w:rsidRPr="009C3D45">
        <w:t xml:space="preserve"> by the Commissioner each year</w:t>
      </w:r>
      <w:r w:rsidR="00E55A5E">
        <w:t>.</w:t>
      </w:r>
      <w:r w:rsidR="00641E76">
        <w:t xml:space="preserve"> This threshold will be </w:t>
      </w:r>
      <w:r w:rsidR="001A2C69">
        <w:t xml:space="preserve">the average minimum value of the top 5% </w:t>
      </w:r>
      <w:r w:rsidR="006F7CFE">
        <w:t xml:space="preserve">of sales at premier yearling sales </w:t>
      </w:r>
      <w:r w:rsidR="001A2C69">
        <w:t>for the previous three years,</w:t>
      </w:r>
      <w:r w:rsidR="006F7CFE">
        <w:t xml:space="preserve"> an</w:t>
      </w:r>
      <w:r w:rsidR="009024AA">
        <w:t>d the top 3% for standardbreds, with colts and fillies treated separately.</w:t>
      </w:r>
      <w:r w:rsidR="00834DB5">
        <w:t xml:space="preserve"> In this sense it will be a rolling average and </w:t>
      </w:r>
      <w:r w:rsidR="00966592">
        <w:t xml:space="preserve">require adjustment annually. </w:t>
      </w:r>
      <w:r w:rsidR="001A2C69">
        <w:t xml:space="preserve"> </w:t>
      </w:r>
      <w:r w:rsidR="00641E76">
        <w:t xml:space="preserve"> </w:t>
      </w:r>
    </w:p>
  </w:footnote>
  <w:footnote w:id="2">
    <w:p w:rsidR="0098433E" w:rsidRPr="0098433E" w:rsidRDefault="0098433E">
      <w:pPr>
        <w:pStyle w:val="FootnoteText"/>
        <w:rPr>
          <w:lang w:val="en-NZ"/>
        </w:rPr>
      </w:pPr>
      <w:r>
        <w:rPr>
          <w:rStyle w:val="FootnoteReference"/>
        </w:rPr>
        <w:footnoteRef/>
      </w:r>
      <w:r>
        <w:t xml:space="preserve"> </w:t>
      </w:r>
      <w:r w:rsidR="008C5FBD">
        <w:rPr>
          <w:lang w:val="en-NZ"/>
        </w:rPr>
        <w:t>There</w:t>
      </w:r>
      <w:r>
        <w:rPr>
          <w:lang w:val="en-NZ"/>
        </w:rPr>
        <w:t xml:space="preserve"> is a risk that the costs could be higher due to the behavioural effect of investors bidding up yearlings at the margin to</w:t>
      </w:r>
      <w:r w:rsidR="00CC0E70">
        <w:rPr>
          <w:lang w:val="en-NZ"/>
        </w:rPr>
        <w:t xml:space="preserve"> qualify for the tax incentive. Nevertheless, data from the previous </w:t>
      </w:r>
      <w:r w:rsidR="006A631A">
        <w:rPr>
          <w:lang w:val="en-NZ"/>
        </w:rPr>
        <w:t>three</w:t>
      </w:r>
      <w:r w:rsidR="00724CE2">
        <w:rPr>
          <w:lang w:val="en-NZ"/>
        </w:rPr>
        <w:t xml:space="preserve"> </w:t>
      </w:r>
      <w:r w:rsidR="00CC0E70">
        <w:rPr>
          <w:lang w:val="en-NZ"/>
        </w:rPr>
        <w:t xml:space="preserve">years </w:t>
      </w:r>
      <w:r w:rsidR="00724CE2">
        <w:rPr>
          <w:lang w:val="en-NZ"/>
        </w:rPr>
        <w:t>of sales</w:t>
      </w:r>
      <w:r w:rsidR="003D117F">
        <w:rPr>
          <w:lang w:val="en-NZ"/>
        </w:rPr>
        <w:t xml:space="preserve"> have shown that the number of horses</w:t>
      </w:r>
      <w:r w:rsidR="00516256">
        <w:rPr>
          <w:lang w:val="en-NZ"/>
        </w:rPr>
        <w:t xml:space="preserve"> whose prices fall within this </w:t>
      </w:r>
      <w:r w:rsidR="000E5887">
        <w:rPr>
          <w:lang w:val="en-NZ"/>
        </w:rPr>
        <w:t xml:space="preserve">sensitive </w:t>
      </w:r>
      <w:r w:rsidR="00516256">
        <w:rPr>
          <w:lang w:val="en-NZ"/>
        </w:rPr>
        <w:t>margin is low</w:t>
      </w:r>
      <w:r w:rsidR="003541E5">
        <w:rPr>
          <w:lang w:val="en-NZ"/>
        </w:rPr>
        <w:t>; therefore</w:t>
      </w:r>
      <w:r w:rsidR="001E5378">
        <w:rPr>
          <w:lang w:val="en-NZ"/>
        </w:rPr>
        <w:t xml:space="preserve">, we do not expect there to be a large fiscal blowout.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97" w:rsidRPr="00EB1B21" w:rsidRDefault="00C73D97" w:rsidP="004B6F7D">
    <w:pPr>
      <w:tabs>
        <w:tab w:val="center" w:pos="4253"/>
      </w:tabs>
      <w:rPr>
        <w:b/>
      </w:rPr>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97" w:rsidRDefault="00C73D9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97" w:rsidRPr="00EB1B21" w:rsidRDefault="00C73D97" w:rsidP="004B6F7D">
    <w:pPr>
      <w:tabs>
        <w:tab w:val="center" w:pos="4253"/>
      </w:tabs>
      <w:rPr>
        <w:b/>
      </w:rP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D97" w:rsidRDefault="00C73D9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652"/>
    <w:multiLevelType w:val="hybridMultilevel"/>
    <w:tmpl w:val="5EDC9D3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268F78A0"/>
    <w:multiLevelType w:val="hybridMultilevel"/>
    <w:tmpl w:val="DE06417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30EB632A"/>
    <w:multiLevelType w:val="hybridMultilevel"/>
    <w:tmpl w:val="B3B24E7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nsid w:val="38DE5A8D"/>
    <w:multiLevelType w:val="hybridMultilevel"/>
    <w:tmpl w:val="1BE440D0"/>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nsid w:val="484670BC"/>
    <w:multiLevelType w:val="hybridMultilevel"/>
    <w:tmpl w:val="38E073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5">
    <w:nsid w:val="493D677C"/>
    <w:multiLevelType w:val="multilevel"/>
    <w:tmpl w:val="8E025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4D225B67"/>
    <w:multiLevelType w:val="hybridMultilevel"/>
    <w:tmpl w:val="D384E532"/>
    <w:lvl w:ilvl="0" w:tplc="AD1ED946">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0547292"/>
    <w:multiLevelType w:val="hybridMultilevel"/>
    <w:tmpl w:val="530410E6"/>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Courier New"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Courier New"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Courier New" w:hint="default"/>
      </w:rPr>
    </w:lvl>
    <w:lvl w:ilvl="8" w:tplc="14090005" w:tentative="1">
      <w:start w:val="1"/>
      <w:numFmt w:val="bullet"/>
      <w:lvlText w:val=""/>
      <w:lvlJc w:val="left"/>
      <w:pPr>
        <w:ind w:left="6540" w:hanging="360"/>
      </w:pPr>
      <w:rPr>
        <w:rFonts w:ascii="Wingdings" w:hAnsi="Wingdings" w:hint="default"/>
      </w:rPr>
    </w:lvl>
  </w:abstractNum>
  <w:abstractNum w:abstractNumId="8">
    <w:nsid w:val="50CD02AE"/>
    <w:multiLevelType w:val="hybridMultilevel"/>
    <w:tmpl w:val="1AD6E2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5358229B"/>
    <w:multiLevelType w:val="hybridMultilevel"/>
    <w:tmpl w:val="789203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nsid w:val="548410C0"/>
    <w:multiLevelType w:val="multilevel"/>
    <w:tmpl w:val="80D62336"/>
    <w:lvl w:ilvl="0">
      <w:start w:val="1"/>
      <w:numFmt w:val="decimal"/>
      <w:pStyle w:val="BodyText-Numbered"/>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1">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722016B"/>
    <w:multiLevelType w:val="hybridMultilevel"/>
    <w:tmpl w:val="04E05B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CCD7AAA"/>
    <w:multiLevelType w:val="hybridMultilevel"/>
    <w:tmpl w:val="2550F6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nsid w:val="656F2E0D"/>
    <w:multiLevelType w:val="hybridMultilevel"/>
    <w:tmpl w:val="B0AA0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68A373D6"/>
    <w:multiLevelType w:val="hybridMultilevel"/>
    <w:tmpl w:val="799825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6B9749ED"/>
    <w:multiLevelType w:val="hybridMultilevel"/>
    <w:tmpl w:val="B0B815A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72F9179D"/>
    <w:multiLevelType w:val="hybridMultilevel"/>
    <w:tmpl w:val="E33053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8">
    <w:nsid w:val="78245063"/>
    <w:multiLevelType w:val="hybridMultilevel"/>
    <w:tmpl w:val="407E6E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7C385568"/>
    <w:multiLevelType w:val="hybridMultilevel"/>
    <w:tmpl w:val="7B3C3F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4"/>
  </w:num>
  <w:num w:numId="4">
    <w:abstractNumId w:val="15"/>
  </w:num>
  <w:num w:numId="5">
    <w:abstractNumId w:val="8"/>
  </w:num>
  <w:num w:numId="6">
    <w:abstractNumId w:val="10"/>
  </w:num>
  <w:num w:numId="7">
    <w:abstractNumId w:val="0"/>
  </w:num>
  <w:num w:numId="8">
    <w:abstractNumId w:val="19"/>
  </w:num>
  <w:num w:numId="9">
    <w:abstractNumId w:val="5"/>
  </w:num>
  <w:num w:numId="10">
    <w:abstractNumId w:val="6"/>
  </w:num>
  <w:num w:numId="11">
    <w:abstractNumId w:val="9"/>
  </w:num>
  <w:num w:numId="12">
    <w:abstractNumId w:val="11"/>
  </w:num>
  <w:num w:numId="13">
    <w:abstractNumId w:val="3"/>
  </w:num>
  <w:num w:numId="14">
    <w:abstractNumId w:val="13"/>
  </w:num>
  <w:num w:numId="15">
    <w:abstractNumId w:val="14"/>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7"/>
  </w:num>
  <w:num w:numId="30">
    <w:abstractNumId w:val="16"/>
  </w:num>
  <w:num w:numId="31">
    <w:abstractNumId w:val="12"/>
  </w:num>
  <w:num w:numId="32">
    <w:abstractNumId w:val="1"/>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1209"/>
    <w:rsid w:val="00000C13"/>
    <w:rsid w:val="000010BD"/>
    <w:rsid w:val="000011D7"/>
    <w:rsid w:val="000012A8"/>
    <w:rsid w:val="0000438C"/>
    <w:rsid w:val="0000444C"/>
    <w:rsid w:val="00004472"/>
    <w:rsid w:val="00004522"/>
    <w:rsid w:val="00004F24"/>
    <w:rsid w:val="000055D5"/>
    <w:rsid w:val="00005B7D"/>
    <w:rsid w:val="000061EA"/>
    <w:rsid w:val="0000677F"/>
    <w:rsid w:val="00007964"/>
    <w:rsid w:val="00007C3C"/>
    <w:rsid w:val="00010BDB"/>
    <w:rsid w:val="00010BF3"/>
    <w:rsid w:val="00011556"/>
    <w:rsid w:val="00011C3C"/>
    <w:rsid w:val="00011E28"/>
    <w:rsid w:val="00012998"/>
    <w:rsid w:val="0001318E"/>
    <w:rsid w:val="00014270"/>
    <w:rsid w:val="00014396"/>
    <w:rsid w:val="00014435"/>
    <w:rsid w:val="0001495A"/>
    <w:rsid w:val="00014D00"/>
    <w:rsid w:val="000152F5"/>
    <w:rsid w:val="00015EA4"/>
    <w:rsid w:val="00016648"/>
    <w:rsid w:val="000166DB"/>
    <w:rsid w:val="00016A3B"/>
    <w:rsid w:val="00017F4E"/>
    <w:rsid w:val="000200A3"/>
    <w:rsid w:val="00021C6A"/>
    <w:rsid w:val="0002263E"/>
    <w:rsid w:val="0002340D"/>
    <w:rsid w:val="000238A5"/>
    <w:rsid w:val="00023A09"/>
    <w:rsid w:val="00024F18"/>
    <w:rsid w:val="00025567"/>
    <w:rsid w:val="00025B26"/>
    <w:rsid w:val="00026426"/>
    <w:rsid w:val="0002642A"/>
    <w:rsid w:val="00026482"/>
    <w:rsid w:val="000270DC"/>
    <w:rsid w:val="00030190"/>
    <w:rsid w:val="00030229"/>
    <w:rsid w:val="00030F05"/>
    <w:rsid w:val="00031A77"/>
    <w:rsid w:val="00031F9B"/>
    <w:rsid w:val="00032093"/>
    <w:rsid w:val="00032131"/>
    <w:rsid w:val="00032B2A"/>
    <w:rsid w:val="00032EC8"/>
    <w:rsid w:val="00033EA1"/>
    <w:rsid w:val="00034085"/>
    <w:rsid w:val="000352FA"/>
    <w:rsid w:val="000362F7"/>
    <w:rsid w:val="00037882"/>
    <w:rsid w:val="00037895"/>
    <w:rsid w:val="0004010E"/>
    <w:rsid w:val="0004090B"/>
    <w:rsid w:val="00042725"/>
    <w:rsid w:val="00042B54"/>
    <w:rsid w:val="00042E05"/>
    <w:rsid w:val="000436F0"/>
    <w:rsid w:val="00043D97"/>
    <w:rsid w:val="00044593"/>
    <w:rsid w:val="0004566F"/>
    <w:rsid w:val="000456E8"/>
    <w:rsid w:val="00045C69"/>
    <w:rsid w:val="000465C1"/>
    <w:rsid w:val="00046A04"/>
    <w:rsid w:val="00046B25"/>
    <w:rsid w:val="000471D6"/>
    <w:rsid w:val="0004784D"/>
    <w:rsid w:val="00047A0C"/>
    <w:rsid w:val="00047D65"/>
    <w:rsid w:val="00050A57"/>
    <w:rsid w:val="00050B0A"/>
    <w:rsid w:val="000510EB"/>
    <w:rsid w:val="0005195B"/>
    <w:rsid w:val="00051BA6"/>
    <w:rsid w:val="00052267"/>
    <w:rsid w:val="00052967"/>
    <w:rsid w:val="00052C68"/>
    <w:rsid w:val="00052F42"/>
    <w:rsid w:val="0005329F"/>
    <w:rsid w:val="000532BC"/>
    <w:rsid w:val="00053DDE"/>
    <w:rsid w:val="000548CE"/>
    <w:rsid w:val="00055C6E"/>
    <w:rsid w:val="00055D35"/>
    <w:rsid w:val="00055D49"/>
    <w:rsid w:val="000568D9"/>
    <w:rsid w:val="0005691A"/>
    <w:rsid w:val="00057B0D"/>
    <w:rsid w:val="000605C0"/>
    <w:rsid w:val="00060BC0"/>
    <w:rsid w:val="000613FA"/>
    <w:rsid w:val="000626D7"/>
    <w:rsid w:val="000628F3"/>
    <w:rsid w:val="000630F9"/>
    <w:rsid w:val="00064C27"/>
    <w:rsid w:val="00065148"/>
    <w:rsid w:val="00065D41"/>
    <w:rsid w:val="0006608C"/>
    <w:rsid w:val="00067104"/>
    <w:rsid w:val="000703FC"/>
    <w:rsid w:val="000709D3"/>
    <w:rsid w:val="000714ED"/>
    <w:rsid w:val="000716B3"/>
    <w:rsid w:val="000717A7"/>
    <w:rsid w:val="0007313B"/>
    <w:rsid w:val="00074AF7"/>
    <w:rsid w:val="00074D5C"/>
    <w:rsid w:val="00074D95"/>
    <w:rsid w:val="00075A0B"/>
    <w:rsid w:val="000776CA"/>
    <w:rsid w:val="000776F8"/>
    <w:rsid w:val="000777A5"/>
    <w:rsid w:val="00077937"/>
    <w:rsid w:val="00077C26"/>
    <w:rsid w:val="00077D86"/>
    <w:rsid w:val="0008041B"/>
    <w:rsid w:val="00080FED"/>
    <w:rsid w:val="000813FB"/>
    <w:rsid w:val="00081F0F"/>
    <w:rsid w:val="00081F17"/>
    <w:rsid w:val="000829B3"/>
    <w:rsid w:val="0008665A"/>
    <w:rsid w:val="0008670A"/>
    <w:rsid w:val="00086881"/>
    <w:rsid w:val="00087000"/>
    <w:rsid w:val="0008741D"/>
    <w:rsid w:val="00090B09"/>
    <w:rsid w:val="000912B4"/>
    <w:rsid w:val="000924A5"/>
    <w:rsid w:val="000932D7"/>
    <w:rsid w:val="00093D0B"/>
    <w:rsid w:val="00093D34"/>
    <w:rsid w:val="00095500"/>
    <w:rsid w:val="00095E15"/>
    <w:rsid w:val="00096631"/>
    <w:rsid w:val="000969E1"/>
    <w:rsid w:val="00096D77"/>
    <w:rsid w:val="000A13C0"/>
    <w:rsid w:val="000A20E7"/>
    <w:rsid w:val="000A223C"/>
    <w:rsid w:val="000A2500"/>
    <w:rsid w:val="000A2B04"/>
    <w:rsid w:val="000A2C9A"/>
    <w:rsid w:val="000A4038"/>
    <w:rsid w:val="000A45D4"/>
    <w:rsid w:val="000A57E7"/>
    <w:rsid w:val="000A5A1E"/>
    <w:rsid w:val="000A5F4A"/>
    <w:rsid w:val="000A6AC2"/>
    <w:rsid w:val="000A7CCF"/>
    <w:rsid w:val="000A7E2E"/>
    <w:rsid w:val="000B0772"/>
    <w:rsid w:val="000B08C4"/>
    <w:rsid w:val="000B2320"/>
    <w:rsid w:val="000B2418"/>
    <w:rsid w:val="000B2B21"/>
    <w:rsid w:val="000B3625"/>
    <w:rsid w:val="000B44FC"/>
    <w:rsid w:val="000B6C01"/>
    <w:rsid w:val="000B75EE"/>
    <w:rsid w:val="000C16BA"/>
    <w:rsid w:val="000C299F"/>
    <w:rsid w:val="000C38E2"/>
    <w:rsid w:val="000C4659"/>
    <w:rsid w:val="000C5606"/>
    <w:rsid w:val="000C5D1F"/>
    <w:rsid w:val="000C6205"/>
    <w:rsid w:val="000C67EA"/>
    <w:rsid w:val="000C735A"/>
    <w:rsid w:val="000C7496"/>
    <w:rsid w:val="000D05E0"/>
    <w:rsid w:val="000D0610"/>
    <w:rsid w:val="000D0D6D"/>
    <w:rsid w:val="000D2AC4"/>
    <w:rsid w:val="000D32BC"/>
    <w:rsid w:val="000D3AE4"/>
    <w:rsid w:val="000D40B6"/>
    <w:rsid w:val="000D414A"/>
    <w:rsid w:val="000D4369"/>
    <w:rsid w:val="000D45AD"/>
    <w:rsid w:val="000D4F55"/>
    <w:rsid w:val="000D51DC"/>
    <w:rsid w:val="000D5EF7"/>
    <w:rsid w:val="000D6D4F"/>
    <w:rsid w:val="000D6D56"/>
    <w:rsid w:val="000D7D31"/>
    <w:rsid w:val="000E00AF"/>
    <w:rsid w:val="000E073E"/>
    <w:rsid w:val="000E0984"/>
    <w:rsid w:val="000E1636"/>
    <w:rsid w:val="000E21E3"/>
    <w:rsid w:val="000E2617"/>
    <w:rsid w:val="000E2618"/>
    <w:rsid w:val="000E4134"/>
    <w:rsid w:val="000E433B"/>
    <w:rsid w:val="000E51DB"/>
    <w:rsid w:val="000E5887"/>
    <w:rsid w:val="000E5E79"/>
    <w:rsid w:val="000E60A2"/>
    <w:rsid w:val="000E6C69"/>
    <w:rsid w:val="000E76C7"/>
    <w:rsid w:val="000F02E3"/>
    <w:rsid w:val="000F114F"/>
    <w:rsid w:val="000F11B9"/>
    <w:rsid w:val="000F123E"/>
    <w:rsid w:val="000F20D7"/>
    <w:rsid w:val="000F42A8"/>
    <w:rsid w:val="000F45EC"/>
    <w:rsid w:val="000F4781"/>
    <w:rsid w:val="000F4CBA"/>
    <w:rsid w:val="000F5A25"/>
    <w:rsid w:val="000F629F"/>
    <w:rsid w:val="000F62E0"/>
    <w:rsid w:val="000F6CDE"/>
    <w:rsid w:val="000F6F8D"/>
    <w:rsid w:val="000F720E"/>
    <w:rsid w:val="000F727D"/>
    <w:rsid w:val="0010179C"/>
    <w:rsid w:val="00102FA8"/>
    <w:rsid w:val="00103AA6"/>
    <w:rsid w:val="001049D4"/>
    <w:rsid w:val="00105D83"/>
    <w:rsid w:val="00105D8F"/>
    <w:rsid w:val="00111436"/>
    <w:rsid w:val="00112C72"/>
    <w:rsid w:val="00113FD0"/>
    <w:rsid w:val="001141E1"/>
    <w:rsid w:val="0011454C"/>
    <w:rsid w:val="00116EE0"/>
    <w:rsid w:val="00120258"/>
    <w:rsid w:val="00120624"/>
    <w:rsid w:val="00120FC5"/>
    <w:rsid w:val="001220BD"/>
    <w:rsid w:val="00122626"/>
    <w:rsid w:val="0012325C"/>
    <w:rsid w:val="00123C21"/>
    <w:rsid w:val="00124FA4"/>
    <w:rsid w:val="001250D8"/>
    <w:rsid w:val="001252AA"/>
    <w:rsid w:val="0012560B"/>
    <w:rsid w:val="00125A66"/>
    <w:rsid w:val="00127A01"/>
    <w:rsid w:val="00130058"/>
    <w:rsid w:val="0013009B"/>
    <w:rsid w:val="0013027F"/>
    <w:rsid w:val="00130D8F"/>
    <w:rsid w:val="001318FB"/>
    <w:rsid w:val="0013390A"/>
    <w:rsid w:val="001341F0"/>
    <w:rsid w:val="001343B2"/>
    <w:rsid w:val="00134AE7"/>
    <w:rsid w:val="00135323"/>
    <w:rsid w:val="00135B24"/>
    <w:rsid w:val="00135C7C"/>
    <w:rsid w:val="00135DE7"/>
    <w:rsid w:val="00136946"/>
    <w:rsid w:val="00136FCC"/>
    <w:rsid w:val="001372DF"/>
    <w:rsid w:val="00137C1D"/>
    <w:rsid w:val="00137F5D"/>
    <w:rsid w:val="00141AD3"/>
    <w:rsid w:val="00142571"/>
    <w:rsid w:val="00142E9B"/>
    <w:rsid w:val="00143851"/>
    <w:rsid w:val="00143915"/>
    <w:rsid w:val="00143F7E"/>
    <w:rsid w:val="00144549"/>
    <w:rsid w:val="00144553"/>
    <w:rsid w:val="001448A9"/>
    <w:rsid w:val="00144C0E"/>
    <w:rsid w:val="00146554"/>
    <w:rsid w:val="00146870"/>
    <w:rsid w:val="00147F2A"/>
    <w:rsid w:val="001508AC"/>
    <w:rsid w:val="00150FB8"/>
    <w:rsid w:val="00151A32"/>
    <w:rsid w:val="00152E7B"/>
    <w:rsid w:val="001536BF"/>
    <w:rsid w:val="00153C5F"/>
    <w:rsid w:val="001540F3"/>
    <w:rsid w:val="00155AF9"/>
    <w:rsid w:val="001567D0"/>
    <w:rsid w:val="00156BFD"/>
    <w:rsid w:val="00157E5D"/>
    <w:rsid w:val="00160173"/>
    <w:rsid w:val="00160C73"/>
    <w:rsid w:val="001616B9"/>
    <w:rsid w:val="00162225"/>
    <w:rsid w:val="00162255"/>
    <w:rsid w:val="00162F68"/>
    <w:rsid w:val="00166415"/>
    <w:rsid w:val="00166500"/>
    <w:rsid w:val="0016652F"/>
    <w:rsid w:val="00167308"/>
    <w:rsid w:val="00167871"/>
    <w:rsid w:val="0017003B"/>
    <w:rsid w:val="0017004B"/>
    <w:rsid w:val="00170391"/>
    <w:rsid w:val="0017041D"/>
    <w:rsid w:val="00170857"/>
    <w:rsid w:val="0017106F"/>
    <w:rsid w:val="00172B0F"/>
    <w:rsid w:val="00172DC0"/>
    <w:rsid w:val="001737C3"/>
    <w:rsid w:val="00173C17"/>
    <w:rsid w:val="0017431A"/>
    <w:rsid w:val="00174B2A"/>
    <w:rsid w:val="00174F1E"/>
    <w:rsid w:val="001750A0"/>
    <w:rsid w:val="00177628"/>
    <w:rsid w:val="0017762D"/>
    <w:rsid w:val="00177DF9"/>
    <w:rsid w:val="00177FDC"/>
    <w:rsid w:val="001802E8"/>
    <w:rsid w:val="00180CA3"/>
    <w:rsid w:val="00182FAD"/>
    <w:rsid w:val="0018366A"/>
    <w:rsid w:val="00186E24"/>
    <w:rsid w:val="00191955"/>
    <w:rsid w:val="00192265"/>
    <w:rsid w:val="00192C42"/>
    <w:rsid w:val="00192CF0"/>
    <w:rsid w:val="00193917"/>
    <w:rsid w:val="00196280"/>
    <w:rsid w:val="001967D5"/>
    <w:rsid w:val="00197059"/>
    <w:rsid w:val="001972E2"/>
    <w:rsid w:val="001977D3"/>
    <w:rsid w:val="00197F6F"/>
    <w:rsid w:val="001A12FB"/>
    <w:rsid w:val="001A19FD"/>
    <w:rsid w:val="001A1A16"/>
    <w:rsid w:val="001A1F66"/>
    <w:rsid w:val="001A25B2"/>
    <w:rsid w:val="001A2C69"/>
    <w:rsid w:val="001A3B1B"/>
    <w:rsid w:val="001A459C"/>
    <w:rsid w:val="001A5026"/>
    <w:rsid w:val="001A541D"/>
    <w:rsid w:val="001A68B6"/>
    <w:rsid w:val="001A712E"/>
    <w:rsid w:val="001A76A2"/>
    <w:rsid w:val="001A78FE"/>
    <w:rsid w:val="001B0E94"/>
    <w:rsid w:val="001B1945"/>
    <w:rsid w:val="001B1BC9"/>
    <w:rsid w:val="001B1EDE"/>
    <w:rsid w:val="001B22C2"/>
    <w:rsid w:val="001B337E"/>
    <w:rsid w:val="001B378A"/>
    <w:rsid w:val="001B4228"/>
    <w:rsid w:val="001B430A"/>
    <w:rsid w:val="001B4B05"/>
    <w:rsid w:val="001B525E"/>
    <w:rsid w:val="001B5FFB"/>
    <w:rsid w:val="001B6372"/>
    <w:rsid w:val="001B6756"/>
    <w:rsid w:val="001B6B53"/>
    <w:rsid w:val="001B77A5"/>
    <w:rsid w:val="001B793B"/>
    <w:rsid w:val="001B7A16"/>
    <w:rsid w:val="001C0532"/>
    <w:rsid w:val="001C0F9E"/>
    <w:rsid w:val="001C2AF1"/>
    <w:rsid w:val="001C2B7D"/>
    <w:rsid w:val="001C385F"/>
    <w:rsid w:val="001C3900"/>
    <w:rsid w:val="001C4A29"/>
    <w:rsid w:val="001C5794"/>
    <w:rsid w:val="001C5A99"/>
    <w:rsid w:val="001C5E28"/>
    <w:rsid w:val="001C61DA"/>
    <w:rsid w:val="001C6826"/>
    <w:rsid w:val="001C7597"/>
    <w:rsid w:val="001C78C4"/>
    <w:rsid w:val="001D0159"/>
    <w:rsid w:val="001D061D"/>
    <w:rsid w:val="001D17D6"/>
    <w:rsid w:val="001D1F2B"/>
    <w:rsid w:val="001D2227"/>
    <w:rsid w:val="001D30FE"/>
    <w:rsid w:val="001D40A7"/>
    <w:rsid w:val="001D5B25"/>
    <w:rsid w:val="001D606D"/>
    <w:rsid w:val="001D6DB3"/>
    <w:rsid w:val="001D6EFC"/>
    <w:rsid w:val="001D720F"/>
    <w:rsid w:val="001D7B23"/>
    <w:rsid w:val="001E166B"/>
    <w:rsid w:val="001E2666"/>
    <w:rsid w:val="001E3742"/>
    <w:rsid w:val="001E4053"/>
    <w:rsid w:val="001E5378"/>
    <w:rsid w:val="001E54AD"/>
    <w:rsid w:val="001E64BB"/>
    <w:rsid w:val="001E6583"/>
    <w:rsid w:val="001E7443"/>
    <w:rsid w:val="001F025A"/>
    <w:rsid w:val="001F0BEF"/>
    <w:rsid w:val="001F2A16"/>
    <w:rsid w:val="001F42A0"/>
    <w:rsid w:val="001F4882"/>
    <w:rsid w:val="001F52E1"/>
    <w:rsid w:val="002007C2"/>
    <w:rsid w:val="00201735"/>
    <w:rsid w:val="002026EC"/>
    <w:rsid w:val="00203C30"/>
    <w:rsid w:val="00203E45"/>
    <w:rsid w:val="002042F6"/>
    <w:rsid w:val="00204CBC"/>
    <w:rsid w:val="00205E6D"/>
    <w:rsid w:val="002060EC"/>
    <w:rsid w:val="00206EF4"/>
    <w:rsid w:val="002075E4"/>
    <w:rsid w:val="00210C3D"/>
    <w:rsid w:val="002113A1"/>
    <w:rsid w:val="002124F1"/>
    <w:rsid w:val="002135E0"/>
    <w:rsid w:val="00213B3C"/>
    <w:rsid w:val="00214028"/>
    <w:rsid w:val="00216556"/>
    <w:rsid w:val="002166C4"/>
    <w:rsid w:val="0021757D"/>
    <w:rsid w:val="002177FA"/>
    <w:rsid w:val="0022021F"/>
    <w:rsid w:val="00220246"/>
    <w:rsid w:val="0022111A"/>
    <w:rsid w:val="00221932"/>
    <w:rsid w:val="00221F98"/>
    <w:rsid w:val="002230B4"/>
    <w:rsid w:val="0022449D"/>
    <w:rsid w:val="002248C3"/>
    <w:rsid w:val="0022557C"/>
    <w:rsid w:val="0022570D"/>
    <w:rsid w:val="00225C8D"/>
    <w:rsid w:val="0022664D"/>
    <w:rsid w:val="00226AB0"/>
    <w:rsid w:val="00227E7F"/>
    <w:rsid w:val="002308C1"/>
    <w:rsid w:val="00230B6D"/>
    <w:rsid w:val="00230BC5"/>
    <w:rsid w:val="00231044"/>
    <w:rsid w:val="00231F60"/>
    <w:rsid w:val="00232CB8"/>
    <w:rsid w:val="00233930"/>
    <w:rsid w:val="0023464F"/>
    <w:rsid w:val="00236795"/>
    <w:rsid w:val="002413F4"/>
    <w:rsid w:val="00241C02"/>
    <w:rsid w:val="00242AD0"/>
    <w:rsid w:val="00242B9D"/>
    <w:rsid w:val="00243516"/>
    <w:rsid w:val="002446DA"/>
    <w:rsid w:val="002455B3"/>
    <w:rsid w:val="00245904"/>
    <w:rsid w:val="0025042D"/>
    <w:rsid w:val="00251F36"/>
    <w:rsid w:val="00252E58"/>
    <w:rsid w:val="00253DA3"/>
    <w:rsid w:val="00253E23"/>
    <w:rsid w:val="0025448D"/>
    <w:rsid w:val="0025519C"/>
    <w:rsid w:val="0025526B"/>
    <w:rsid w:val="00255BDC"/>
    <w:rsid w:val="0025649C"/>
    <w:rsid w:val="0025688A"/>
    <w:rsid w:val="0025749A"/>
    <w:rsid w:val="00257D8E"/>
    <w:rsid w:val="00261A3A"/>
    <w:rsid w:val="00261C76"/>
    <w:rsid w:val="00262082"/>
    <w:rsid w:val="002620CE"/>
    <w:rsid w:val="00262AFF"/>
    <w:rsid w:val="00263F2E"/>
    <w:rsid w:val="00266180"/>
    <w:rsid w:val="0026664B"/>
    <w:rsid w:val="00267C3D"/>
    <w:rsid w:val="00267F7E"/>
    <w:rsid w:val="00271B17"/>
    <w:rsid w:val="0027221C"/>
    <w:rsid w:val="00273233"/>
    <w:rsid w:val="00273ABB"/>
    <w:rsid w:val="00274446"/>
    <w:rsid w:val="0027630F"/>
    <w:rsid w:val="00276B5F"/>
    <w:rsid w:val="002801F2"/>
    <w:rsid w:val="00283A59"/>
    <w:rsid w:val="00283DB5"/>
    <w:rsid w:val="002850DC"/>
    <w:rsid w:val="00286A62"/>
    <w:rsid w:val="0029028F"/>
    <w:rsid w:val="00290928"/>
    <w:rsid w:val="0029371E"/>
    <w:rsid w:val="0029393D"/>
    <w:rsid w:val="00293C3A"/>
    <w:rsid w:val="00294021"/>
    <w:rsid w:val="002964EB"/>
    <w:rsid w:val="00296EBA"/>
    <w:rsid w:val="00297C42"/>
    <w:rsid w:val="00297F5E"/>
    <w:rsid w:val="002A0BBD"/>
    <w:rsid w:val="002A1677"/>
    <w:rsid w:val="002A2B1B"/>
    <w:rsid w:val="002A38EA"/>
    <w:rsid w:val="002A3B80"/>
    <w:rsid w:val="002A3B82"/>
    <w:rsid w:val="002A3DBD"/>
    <w:rsid w:val="002A45E6"/>
    <w:rsid w:val="002A46E3"/>
    <w:rsid w:val="002A5731"/>
    <w:rsid w:val="002A5D3E"/>
    <w:rsid w:val="002A6506"/>
    <w:rsid w:val="002A6F82"/>
    <w:rsid w:val="002A7E7E"/>
    <w:rsid w:val="002B0B5D"/>
    <w:rsid w:val="002B16B4"/>
    <w:rsid w:val="002B188E"/>
    <w:rsid w:val="002B1ABE"/>
    <w:rsid w:val="002B1B6F"/>
    <w:rsid w:val="002B1E34"/>
    <w:rsid w:val="002B216A"/>
    <w:rsid w:val="002B3F2C"/>
    <w:rsid w:val="002B4435"/>
    <w:rsid w:val="002B5D08"/>
    <w:rsid w:val="002B7767"/>
    <w:rsid w:val="002C021E"/>
    <w:rsid w:val="002C1A92"/>
    <w:rsid w:val="002C3334"/>
    <w:rsid w:val="002C3399"/>
    <w:rsid w:val="002C36CB"/>
    <w:rsid w:val="002C3926"/>
    <w:rsid w:val="002C4120"/>
    <w:rsid w:val="002C44DD"/>
    <w:rsid w:val="002C488B"/>
    <w:rsid w:val="002C5E07"/>
    <w:rsid w:val="002C6906"/>
    <w:rsid w:val="002C71CD"/>
    <w:rsid w:val="002C78FB"/>
    <w:rsid w:val="002D0354"/>
    <w:rsid w:val="002D03F8"/>
    <w:rsid w:val="002D0671"/>
    <w:rsid w:val="002D156E"/>
    <w:rsid w:val="002D1C7F"/>
    <w:rsid w:val="002D2932"/>
    <w:rsid w:val="002D3C81"/>
    <w:rsid w:val="002D3CFE"/>
    <w:rsid w:val="002D42E7"/>
    <w:rsid w:val="002D5018"/>
    <w:rsid w:val="002D52C3"/>
    <w:rsid w:val="002D55BB"/>
    <w:rsid w:val="002D56A1"/>
    <w:rsid w:val="002D7057"/>
    <w:rsid w:val="002D75B5"/>
    <w:rsid w:val="002D7919"/>
    <w:rsid w:val="002E04F9"/>
    <w:rsid w:val="002E067D"/>
    <w:rsid w:val="002E1197"/>
    <w:rsid w:val="002E140F"/>
    <w:rsid w:val="002E1628"/>
    <w:rsid w:val="002E23BC"/>
    <w:rsid w:val="002E2801"/>
    <w:rsid w:val="002E3443"/>
    <w:rsid w:val="002E3773"/>
    <w:rsid w:val="002E4C30"/>
    <w:rsid w:val="002E4F36"/>
    <w:rsid w:val="002E5D66"/>
    <w:rsid w:val="002E665D"/>
    <w:rsid w:val="002E74DA"/>
    <w:rsid w:val="002F1601"/>
    <w:rsid w:val="002F2D07"/>
    <w:rsid w:val="002F3599"/>
    <w:rsid w:val="002F3D16"/>
    <w:rsid w:val="002F3DDC"/>
    <w:rsid w:val="002F65F2"/>
    <w:rsid w:val="002F6B67"/>
    <w:rsid w:val="002F79D0"/>
    <w:rsid w:val="002F7B32"/>
    <w:rsid w:val="002F7EE5"/>
    <w:rsid w:val="00300279"/>
    <w:rsid w:val="00300E83"/>
    <w:rsid w:val="0030136A"/>
    <w:rsid w:val="00301B87"/>
    <w:rsid w:val="00302029"/>
    <w:rsid w:val="0030229A"/>
    <w:rsid w:val="00302752"/>
    <w:rsid w:val="00302A03"/>
    <w:rsid w:val="0030310E"/>
    <w:rsid w:val="00303C5A"/>
    <w:rsid w:val="00303C92"/>
    <w:rsid w:val="00304229"/>
    <w:rsid w:val="003050CA"/>
    <w:rsid w:val="003053DC"/>
    <w:rsid w:val="00305CEB"/>
    <w:rsid w:val="003101F4"/>
    <w:rsid w:val="00310839"/>
    <w:rsid w:val="003110C0"/>
    <w:rsid w:val="0031253B"/>
    <w:rsid w:val="0031387C"/>
    <w:rsid w:val="00313BA9"/>
    <w:rsid w:val="00316008"/>
    <w:rsid w:val="00317D07"/>
    <w:rsid w:val="003209CA"/>
    <w:rsid w:val="00321AD0"/>
    <w:rsid w:val="00321F27"/>
    <w:rsid w:val="00322496"/>
    <w:rsid w:val="00322B67"/>
    <w:rsid w:val="003234D2"/>
    <w:rsid w:val="0032371F"/>
    <w:rsid w:val="003240D1"/>
    <w:rsid w:val="0032472E"/>
    <w:rsid w:val="003248DF"/>
    <w:rsid w:val="003256BB"/>
    <w:rsid w:val="00326692"/>
    <w:rsid w:val="0032737D"/>
    <w:rsid w:val="0032750F"/>
    <w:rsid w:val="00327A0F"/>
    <w:rsid w:val="0033231A"/>
    <w:rsid w:val="00332C5F"/>
    <w:rsid w:val="00332CD9"/>
    <w:rsid w:val="0033330D"/>
    <w:rsid w:val="00333363"/>
    <w:rsid w:val="00333804"/>
    <w:rsid w:val="00336966"/>
    <w:rsid w:val="00336A1E"/>
    <w:rsid w:val="0033712E"/>
    <w:rsid w:val="003377D4"/>
    <w:rsid w:val="0033783B"/>
    <w:rsid w:val="00340831"/>
    <w:rsid w:val="00340934"/>
    <w:rsid w:val="0034098E"/>
    <w:rsid w:val="003419D7"/>
    <w:rsid w:val="003427BE"/>
    <w:rsid w:val="00343274"/>
    <w:rsid w:val="003433B7"/>
    <w:rsid w:val="00345571"/>
    <w:rsid w:val="00346249"/>
    <w:rsid w:val="003477FC"/>
    <w:rsid w:val="00347BA1"/>
    <w:rsid w:val="00347BDE"/>
    <w:rsid w:val="00350163"/>
    <w:rsid w:val="0035028C"/>
    <w:rsid w:val="0035058A"/>
    <w:rsid w:val="00351D1F"/>
    <w:rsid w:val="00351EE0"/>
    <w:rsid w:val="0035244C"/>
    <w:rsid w:val="003534A1"/>
    <w:rsid w:val="003541E5"/>
    <w:rsid w:val="003545B0"/>
    <w:rsid w:val="003549C0"/>
    <w:rsid w:val="003550FA"/>
    <w:rsid w:val="0035579F"/>
    <w:rsid w:val="00355A7D"/>
    <w:rsid w:val="00355D88"/>
    <w:rsid w:val="00355F18"/>
    <w:rsid w:val="0035614A"/>
    <w:rsid w:val="00356499"/>
    <w:rsid w:val="00356CA5"/>
    <w:rsid w:val="0035741A"/>
    <w:rsid w:val="00360310"/>
    <w:rsid w:val="0036077E"/>
    <w:rsid w:val="003607FE"/>
    <w:rsid w:val="003615D5"/>
    <w:rsid w:val="003624FF"/>
    <w:rsid w:val="00362828"/>
    <w:rsid w:val="00362D88"/>
    <w:rsid w:val="00363A0A"/>
    <w:rsid w:val="00365903"/>
    <w:rsid w:val="003707EF"/>
    <w:rsid w:val="00371F68"/>
    <w:rsid w:val="003723EE"/>
    <w:rsid w:val="003729F2"/>
    <w:rsid w:val="00373CD5"/>
    <w:rsid w:val="00374554"/>
    <w:rsid w:val="00374A4A"/>
    <w:rsid w:val="00374CBD"/>
    <w:rsid w:val="00376265"/>
    <w:rsid w:val="00376850"/>
    <w:rsid w:val="00376D2C"/>
    <w:rsid w:val="003815A2"/>
    <w:rsid w:val="00381DE5"/>
    <w:rsid w:val="00384E9B"/>
    <w:rsid w:val="0038716D"/>
    <w:rsid w:val="00387D9F"/>
    <w:rsid w:val="00390DC2"/>
    <w:rsid w:val="003911E3"/>
    <w:rsid w:val="00391F4D"/>
    <w:rsid w:val="00392832"/>
    <w:rsid w:val="003934D0"/>
    <w:rsid w:val="003940BF"/>
    <w:rsid w:val="003940F0"/>
    <w:rsid w:val="00394B6F"/>
    <w:rsid w:val="00395444"/>
    <w:rsid w:val="0039749B"/>
    <w:rsid w:val="00397574"/>
    <w:rsid w:val="003978E3"/>
    <w:rsid w:val="00397AA9"/>
    <w:rsid w:val="00397C8D"/>
    <w:rsid w:val="003A014A"/>
    <w:rsid w:val="003A0A81"/>
    <w:rsid w:val="003A166F"/>
    <w:rsid w:val="003A1EB2"/>
    <w:rsid w:val="003A27B2"/>
    <w:rsid w:val="003A2863"/>
    <w:rsid w:val="003A29E9"/>
    <w:rsid w:val="003A3C8E"/>
    <w:rsid w:val="003A4601"/>
    <w:rsid w:val="003A6595"/>
    <w:rsid w:val="003A7381"/>
    <w:rsid w:val="003A77FD"/>
    <w:rsid w:val="003B0054"/>
    <w:rsid w:val="003B0668"/>
    <w:rsid w:val="003B0BFC"/>
    <w:rsid w:val="003B0DF6"/>
    <w:rsid w:val="003B45B6"/>
    <w:rsid w:val="003B48BC"/>
    <w:rsid w:val="003B5171"/>
    <w:rsid w:val="003B5D0B"/>
    <w:rsid w:val="003B60A7"/>
    <w:rsid w:val="003B662C"/>
    <w:rsid w:val="003B6FC8"/>
    <w:rsid w:val="003B785D"/>
    <w:rsid w:val="003B79B1"/>
    <w:rsid w:val="003C1C33"/>
    <w:rsid w:val="003C2C10"/>
    <w:rsid w:val="003C306E"/>
    <w:rsid w:val="003C35C9"/>
    <w:rsid w:val="003C4096"/>
    <w:rsid w:val="003C471C"/>
    <w:rsid w:val="003C4A1B"/>
    <w:rsid w:val="003C55A1"/>
    <w:rsid w:val="003C61B5"/>
    <w:rsid w:val="003C7BB1"/>
    <w:rsid w:val="003D01B8"/>
    <w:rsid w:val="003D117F"/>
    <w:rsid w:val="003D12C5"/>
    <w:rsid w:val="003D157A"/>
    <w:rsid w:val="003D1D65"/>
    <w:rsid w:val="003D1DCF"/>
    <w:rsid w:val="003D1F64"/>
    <w:rsid w:val="003D22EE"/>
    <w:rsid w:val="003D4BF0"/>
    <w:rsid w:val="003D4D6C"/>
    <w:rsid w:val="003D6025"/>
    <w:rsid w:val="003D69DA"/>
    <w:rsid w:val="003D6E2D"/>
    <w:rsid w:val="003D6E6E"/>
    <w:rsid w:val="003D6FBB"/>
    <w:rsid w:val="003D79B7"/>
    <w:rsid w:val="003D7D9D"/>
    <w:rsid w:val="003D7E60"/>
    <w:rsid w:val="003D7E7F"/>
    <w:rsid w:val="003E0222"/>
    <w:rsid w:val="003E1A38"/>
    <w:rsid w:val="003E246A"/>
    <w:rsid w:val="003E2B68"/>
    <w:rsid w:val="003E2E5F"/>
    <w:rsid w:val="003E2F3E"/>
    <w:rsid w:val="003E3211"/>
    <w:rsid w:val="003E5272"/>
    <w:rsid w:val="003E528F"/>
    <w:rsid w:val="003E56D0"/>
    <w:rsid w:val="003E5BA7"/>
    <w:rsid w:val="003F13C6"/>
    <w:rsid w:val="003F1586"/>
    <w:rsid w:val="003F2637"/>
    <w:rsid w:val="003F2F6F"/>
    <w:rsid w:val="003F484B"/>
    <w:rsid w:val="003F4FB1"/>
    <w:rsid w:val="003F7662"/>
    <w:rsid w:val="003F7A10"/>
    <w:rsid w:val="003F7BC4"/>
    <w:rsid w:val="00400369"/>
    <w:rsid w:val="00401E3C"/>
    <w:rsid w:val="00402405"/>
    <w:rsid w:val="00402ED7"/>
    <w:rsid w:val="00403538"/>
    <w:rsid w:val="004049AB"/>
    <w:rsid w:val="00405826"/>
    <w:rsid w:val="00405D6F"/>
    <w:rsid w:val="00405E5B"/>
    <w:rsid w:val="0041056D"/>
    <w:rsid w:val="0041075B"/>
    <w:rsid w:val="00410A37"/>
    <w:rsid w:val="00410BAD"/>
    <w:rsid w:val="00410C32"/>
    <w:rsid w:val="00411F1B"/>
    <w:rsid w:val="0041278D"/>
    <w:rsid w:val="00412EB5"/>
    <w:rsid w:val="00414651"/>
    <w:rsid w:val="0041467E"/>
    <w:rsid w:val="00414A2D"/>
    <w:rsid w:val="0041587A"/>
    <w:rsid w:val="0041590C"/>
    <w:rsid w:val="0041719A"/>
    <w:rsid w:val="0041785C"/>
    <w:rsid w:val="00420DBC"/>
    <w:rsid w:val="00420EC7"/>
    <w:rsid w:val="00421D5A"/>
    <w:rsid w:val="00421FCF"/>
    <w:rsid w:val="00422175"/>
    <w:rsid w:val="00422850"/>
    <w:rsid w:val="00423250"/>
    <w:rsid w:val="004247CD"/>
    <w:rsid w:val="00424EBE"/>
    <w:rsid w:val="004253AB"/>
    <w:rsid w:val="0042540B"/>
    <w:rsid w:val="00425E10"/>
    <w:rsid w:val="0042665D"/>
    <w:rsid w:val="004271DD"/>
    <w:rsid w:val="00427575"/>
    <w:rsid w:val="00430835"/>
    <w:rsid w:val="00430DC2"/>
    <w:rsid w:val="004321A1"/>
    <w:rsid w:val="004329CC"/>
    <w:rsid w:val="0043327A"/>
    <w:rsid w:val="00433605"/>
    <w:rsid w:val="00434211"/>
    <w:rsid w:val="00434FD0"/>
    <w:rsid w:val="004376A7"/>
    <w:rsid w:val="00437852"/>
    <w:rsid w:val="00440B71"/>
    <w:rsid w:val="00440C11"/>
    <w:rsid w:val="004411C7"/>
    <w:rsid w:val="0044238C"/>
    <w:rsid w:val="00442E66"/>
    <w:rsid w:val="004431AF"/>
    <w:rsid w:val="00443BC9"/>
    <w:rsid w:val="0044485A"/>
    <w:rsid w:val="00444BEF"/>
    <w:rsid w:val="00444CF5"/>
    <w:rsid w:val="00444E68"/>
    <w:rsid w:val="0044708D"/>
    <w:rsid w:val="00447FA9"/>
    <w:rsid w:val="00452C8C"/>
    <w:rsid w:val="004536BA"/>
    <w:rsid w:val="004540FB"/>
    <w:rsid w:val="00454151"/>
    <w:rsid w:val="0045415F"/>
    <w:rsid w:val="00454709"/>
    <w:rsid w:val="00454B33"/>
    <w:rsid w:val="00454C84"/>
    <w:rsid w:val="0045505C"/>
    <w:rsid w:val="00455309"/>
    <w:rsid w:val="00455860"/>
    <w:rsid w:val="00456CC2"/>
    <w:rsid w:val="00456EAC"/>
    <w:rsid w:val="004570C6"/>
    <w:rsid w:val="004571B2"/>
    <w:rsid w:val="00457302"/>
    <w:rsid w:val="00457EC2"/>
    <w:rsid w:val="004625B3"/>
    <w:rsid w:val="00462635"/>
    <w:rsid w:val="00462C35"/>
    <w:rsid w:val="0046370D"/>
    <w:rsid w:val="00463AE6"/>
    <w:rsid w:val="00463F84"/>
    <w:rsid w:val="004643D1"/>
    <w:rsid w:val="00465937"/>
    <w:rsid w:val="00465BE9"/>
    <w:rsid w:val="00466872"/>
    <w:rsid w:val="00467504"/>
    <w:rsid w:val="00467C07"/>
    <w:rsid w:val="0047037F"/>
    <w:rsid w:val="00470BCC"/>
    <w:rsid w:val="004715E4"/>
    <w:rsid w:val="004718AA"/>
    <w:rsid w:val="00471BE3"/>
    <w:rsid w:val="00472581"/>
    <w:rsid w:val="00472BA5"/>
    <w:rsid w:val="00473B75"/>
    <w:rsid w:val="00477BCE"/>
    <w:rsid w:val="00477DDA"/>
    <w:rsid w:val="00481BB4"/>
    <w:rsid w:val="00481EE1"/>
    <w:rsid w:val="0048235F"/>
    <w:rsid w:val="0048260F"/>
    <w:rsid w:val="00482615"/>
    <w:rsid w:val="00482A08"/>
    <w:rsid w:val="00482ABE"/>
    <w:rsid w:val="00482E99"/>
    <w:rsid w:val="004838EA"/>
    <w:rsid w:val="004867F8"/>
    <w:rsid w:val="00487611"/>
    <w:rsid w:val="00487FAD"/>
    <w:rsid w:val="00490105"/>
    <w:rsid w:val="00490BE7"/>
    <w:rsid w:val="00491078"/>
    <w:rsid w:val="00491FEE"/>
    <w:rsid w:val="004921DE"/>
    <w:rsid w:val="0049234F"/>
    <w:rsid w:val="00493547"/>
    <w:rsid w:val="00494069"/>
    <w:rsid w:val="0049467D"/>
    <w:rsid w:val="0049543B"/>
    <w:rsid w:val="00495457"/>
    <w:rsid w:val="00496D37"/>
    <w:rsid w:val="0049711A"/>
    <w:rsid w:val="00497515"/>
    <w:rsid w:val="00497721"/>
    <w:rsid w:val="004A11FC"/>
    <w:rsid w:val="004A1887"/>
    <w:rsid w:val="004A1BBE"/>
    <w:rsid w:val="004A2123"/>
    <w:rsid w:val="004A2C4C"/>
    <w:rsid w:val="004A3B41"/>
    <w:rsid w:val="004A3BA5"/>
    <w:rsid w:val="004A4084"/>
    <w:rsid w:val="004A40CC"/>
    <w:rsid w:val="004A4B27"/>
    <w:rsid w:val="004A5660"/>
    <w:rsid w:val="004A696D"/>
    <w:rsid w:val="004A69FB"/>
    <w:rsid w:val="004A7FA4"/>
    <w:rsid w:val="004B2152"/>
    <w:rsid w:val="004B316C"/>
    <w:rsid w:val="004B36E0"/>
    <w:rsid w:val="004B39BB"/>
    <w:rsid w:val="004B4FC1"/>
    <w:rsid w:val="004B5B5E"/>
    <w:rsid w:val="004B6A75"/>
    <w:rsid w:val="004B6F60"/>
    <w:rsid w:val="004B6F7D"/>
    <w:rsid w:val="004B7BD3"/>
    <w:rsid w:val="004B7C48"/>
    <w:rsid w:val="004C2013"/>
    <w:rsid w:val="004C2434"/>
    <w:rsid w:val="004C45CD"/>
    <w:rsid w:val="004C48A5"/>
    <w:rsid w:val="004C4A24"/>
    <w:rsid w:val="004C5A59"/>
    <w:rsid w:val="004C5D1A"/>
    <w:rsid w:val="004C5F6A"/>
    <w:rsid w:val="004C65E3"/>
    <w:rsid w:val="004C6AC1"/>
    <w:rsid w:val="004C7295"/>
    <w:rsid w:val="004D00DC"/>
    <w:rsid w:val="004D03B2"/>
    <w:rsid w:val="004D083C"/>
    <w:rsid w:val="004D1F88"/>
    <w:rsid w:val="004D31CE"/>
    <w:rsid w:val="004D426A"/>
    <w:rsid w:val="004D449F"/>
    <w:rsid w:val="004D5A19"/>
    <w:rsid w:val="004D5AF6"/>
    <w:rsid w:val="004D5C14"/>
    <w:rsid w:val="004D5FAB"/>
    <w:rsid w:val="004D642A"/>
    <w:rsid w:val="004D65FC"/>
    <w:rsid w:val="004D70DA"/>
    <w:rsid w:val="004E0113"/>
    <w:rsid w:val="004E05E9"/>
    <w:rsid w:val="004E0D97"/>
    <w:rsid w:val="004E171C"/>
    <w:rsid w:val="004E2C8D"/>
    <w:rsid w:val="004E3A12"/>
    <w:rsid w:val="004E5C65"/>
    <w:rsid w:val="004E5F2A"/>
    <w:rsid w:val="004E6070"/>
    <w:rsid w:val="004E6E98"/>
    <w:rsid w:val="004E6EEA"/>
    <w:rsid w:val="004F042E"/>
    <w:rsid w:val="004F139D"/>
    <w:rsid w:val="004F2BA7"/>
    <w:rsid w:val="004F2F1B"/>
    <w:rsid w:val="004F33B9"/>
    <w:rsid w:val="004F5B65"/>
    <w:rsid w:val="004F5DC0"/>
    <w:rsid w:val="004F7063"/>
    <w:rsid w:val="004F7C75"/>
    <w:rsid w:val="00500C6B"/>
    <w:rsid w:val="00502E5D"/>
    <w:rsid w:val="005032F6"/>
    <w:rsid w:val="00503EA2"/>
    <w:rsid w:val="005041FC"/>
    <w:rsid w:val="00504749"/>
    <w:rsid w:val="00507721"/>
    <w:rsid w:val="00510622"/>
    <w:rsid w:val="005114CD"/>
    <w:rsid w:val="00511796"/>
    <w:rsid w:val="005117A0"/>
    <w:rsid w:val="00511DEF"/>
    <w:rsid w:val="005120DD"/>
    <w:rsid w:val="00512669"/>
    <w:rsid w:val="00513665"/>
    <w:rsid w:val="005136B1"/>
    <w:rsid w:val="00513B78"/>
    <w:rsid w:val="00513BCF"/>
    <w:rsid w:val="00515755"/>
    <w:rsid w:val="00516256"/>
    <w:rsid w:val="005163DC"/>
    <w:rsid w:val="00516BD8"/>
    <w:rsid w:val="00516F0B"/>
    <w:rsid w:val="005173A9"/>
    <w:rsid w:val="005200F9"/>
    <w:rsid w:val="00520E63"/>
    <w:rsid w:val="00520F36"/>
    <w:rsid w:val="005212AD"/>
    <w:rsid w:val="005227BF"/>
    <w:rsid w:val="00522F26"/>
    <w:rsid w:val="00523D6A"/>
    <w:rsid w:val="005260AF"/>
    <w:rsid w:val="00526A3E"/>
    <w:rsid w:val="0052701A"/>
    <w:rsid w:val="005271A0"/>
    <w:rsid w:val="005278AD"/>
    <w:rsid w:val="005306DF"/>
    <w:rsid w:val="00530B0D"/>
    <w:rsid w:val="00531CAE"/>
    <w:rsid w:val="00533F34"/>
    <w:rsid w:val="00534E47"/>
    <w:rsid w:val="00534E76"/>
    <w:rsid w:val="005367EB"/>
    <w:rsid w:val="005379C8"/>
    <w:rsid w:val="00537EFE"/>
    <w:rsid w:val="005408A3"/>
    <w:rsid w:val="00541528"/>
    <w:rsid w:val="00543648"/>
    <w:rsid w:val="005436F2"/>
    <w:rsid w:val="005440EF"/>
    <w:rsid w:val="0054436D"/>
    <w:rsid w:val="0054458D"/>
    <w:rsid w:val="00544A70"/>
    <w:rsid w:val="00545D40"/>
    <w:rsid w:val="00546530"/>
    <w:rsid w:val="00546571"/>
    <w:rsid w:val="00546B4D"/>
    <w:rsid w:val="00550E33"/>
    <w:rsid w:val="005516B5"/>
    <w:rsid w:val="005527E5"/>
    <w:rsid w:val="005537ED"/>
    <w:rsid w:val="005539FD"/>
    <w:rsid w:val="00553B85"/>
    <w:rsid w:val="0055401E"/>
    <w:rsid w:val="005542D4"/>
    <w:rsid w:val="00554389"/>
    <w:rsid w:val="00554511"/>
    <w:rsid w:val="0055456E"/>
    <w:rsid w:val="005570BC"/>
    <w:rsid w:val="005600F7"/>
    <w:rsid w:val="00560421"/>
    <w:rsid w:val="00562116"/>
    <w:rsid w:val="00562AE0"/>
    <w:rsid w:val="00562B89"/>
    <w:rsid w:val="00562DCA"/>
    <w:rsid w:val="00563D21"/>
    <w:rsid w:val="00564708"/>
    <w:rsid w:val="005652CF"/>
    <w:rsid w:val="00565F43"/>
    <w:rsid w:val="005664F6"/>
    <w:rsid w:val="00566A99"/>
    <w:rsid w:val="005675AA"/>
    <w:rsid w:val="00570541"/>
    <w:rsid w:val="00570638"/>
    <w:rsid w:val="005714D2"/>
    <w:rsid w:val="00571E8B"/>
    <w:rsid w:val="00572374"/>
    <w:rsid w:val="00572429"/>
    <w:rsid w:val="0057290D"/>
    <w:rsid w:val="00572A62"/>
    <w:rsid w:val="0057389D"/>
    <w:rsid w:val="005739B7"/>
    <w:rsid w:val="00573DE1"/>
    <w:rsid w:val="00574996"/>
    <w:rsid w:val="00575A4F"/>
    <w:rsid w:val="00576168"/>
    <w:rsid w:val="00576CC5"/>
    <w:rsid w:val="00577C64"/>
    <w:rsid w:val="0058007F"/>
    <w:rsid w:val="005805C7"/>
    <w:rsid w:val="00580DDD"/>
    <w:rsid w:val="005833BC"/>
    <w:rsid w:val="00583421"/>
    <w:rsid w:val="00584170"/>
    <w:rsid w:val="005843AC"/>
    <w:rsid w:val="0058490A"/>
    <w:rsid w:val="00585462"/>
    <w:rsid w:val="00585BDF"/>
    <w:rsid w:val="00586018"/>
    <w:rsid w:val="00586408"/>
    <w:rsid w:val="0058640C"/>
    <w:rsid w:val="00586EFA"/>
    <w:rsid w:val="00586F82"/>
    <w:rsid w:val="005872F2"/>
    <w:rsid w:val="0059247B"/>
    <w:rsid w:val="00592E06"/>
    <w:rsid w:val="00593869"/>
    <w:rsid w:val="005943FD"/>
    <w:rsid w:val="00594724"/>
    <w:rsid w:val="005955A6"/>
    <w:rsid w:val="00595EF7"/>
    <w:rsid w:val="00595F21"/>
    <w:rsid w:val="00596262"/>
    <w:rsid w:val="00597DD4"/>
    <w:rsid w:val="005A0347"/>
    <w:rsid w:val="005A0B65"/>
    <w:rsid w:val="005A0F46"/>
    <w:rsid w:val="005A1698"/>
    <w:rsid w:val="005A2D7A"/>
    <w:rsid w:val="005A3625"/>
    <w:rsid w:val="005A39A8"/>
    <w:rsid w:val="005A3C08"/>
    <w:rsid w:val="005A4F57"/>
    <w:rsid w:val="005A5C74"/>
    <w:rsid w:val="005A6CEB"/>
    <w:rsid w:val="005A7374"/>
    <w:rsid w:val="005A7D71"/>
    <w:rsid w:val="005B12B7"/>
    <w:rsid w:val="005B16B5"/>
    <w:rsid w:val="005B1A43"/>
    <w:rsid w:val="005B2583"/>
    <w:rsid w:val="005B27FB"/>
    <w:rsid w:val="005B2D62"/>
    <w:rsid w:val="005B5FF6"/>
    <w:rsid w:val="005B6C3C"/>
    <w:rsid w:val="005B7005"/>
    <w:rsid w:val="005B74FE"/>
    <w:rsid w:val="005B79E4"/>
    <w:rsid w:val="005B7B32"/>
    <w:rsid w:val="005C0370"/>
    <w:rsid w:val="005C0A5B"/>
    <w:rsid w:val="005C0E0F"/>
    <w:rsid w:val="005C371C"/>
    <w:rsid w:val="005C5E20"/>
    <w:rsid w:val="005C6767"/>
    <w:rsid w:val="005C695A"/>
    <w:rsid w:val="005C788E"/>
    <w:rsid w:val="005C7EE2"/>
    <w:rsid w:val="005C7F71"/>
    <w:rsid w:val="005D18FD"/>
    <w:rsid w:val="005D1BC1"/>
    <w:rsid w:val="005D2981"/>
    <w:rsid w:val="005D3932"/>
    <w:rsid w:val="005D3F50"/>
    <w:rsid w:val="005D47AA"/>
    <w:rsid w:val="005D4B90"/>
    <w:rsid w:val="005D4BB8"/>
    <w:rsid w:val="005E1B55"/>
    <w:rsid w:val="005E2005"/>
    <w:rsid w:val="005E2C2D"/>
    <w:rsid w:val="005E392B"/>
    <w:rsid w:val="005E3C2B"/>
    <w:rsid w:val="005E4CA2"/>
    <w:rsid w:val="005E5629"/>
    <w:rsid w:val="005E56C4"/>
    <w:rsid w:val="005E620A"/>
    <w:rsid w:val="005E67A3"/>
    <w:rsid w:val="005E6A6A"/>
    <w:rsid w:val="005F08BF"/>
    <w:rsid w:val="005F09F3"/>
    <w:rsid w:val="005F163E"/>
    <w:rsid w:val="005F2556"/>
    <w:rsid w:val="005F293E"/>
    <w:rsid w:val="005F441D"/>
    <w:rsid w:val="005F478A"/>
    <w:rsid w:val="005F5D69"/>
    <w:rsid w:val="005F7083"/>
    <w:rsid w:val="005F79AB"/>
    <w:rsid w:val="005F7DA2"/>
    <w:rsid w:val="006001AE"/>
    <w:rsid w:val="00600EC9"/>
    <w:rsid w:val="006011F4"/>
    <w:rsid w:val="00602F35"/>
    <w:rsid w:val="00603960"/>
    <w:rsid w:val="00604933"/>
    <w:rsid w:val="00605D17"/>
    <w:rsid w:val="006068B1"/>
    <w:rsid w:val="00607637"/>
    <w:rsid w:val="00607849"/>
    <w:rsid w:val="00610B21"/>
    <w:rsid w:val="00611243"/>
    <w:rsid w:val="00612BE8"/>
    <w:rsid w:val="00613241"/>
    <w:rsid w:val="00614CF5"/>
    <w:rsid w:val="00615264"/>
    <w:rsid w:val="00615760"/>
    <w:rsid w:val="006159CE"/>
    <w:rsid w:val="00615D48"/>
    <w:rsid w:val="00616505"/>
    <w:rsid w:val="006166A7"/>
    <w:rsid w:val="006168D7"/>
    <w:rsid w:val="006172F1"/>
    <w:rsid w:val="0061752C"/>
    <w:rsid w:val="00622A90"/>
    <w:rsid w:val="0062657E"/>
    <w:rsid w:val="00627903"/>
    <w:rsid w:val="00627B76"/>
    <w:rsid w:val="00627F4F"/>
    <w:rsid w:val="00630787"/>
    <w:rsid w:val="00630AF6"/>
    <w:rsid w:val="0063138C"/>
    <w:rsid w:val="00632632"/>
    <w:rsid w:val="006333B4"/>
    <w:rsid w:val="00635845"/>
    <w:rsid w:val="00636197"/>
    <w:rsid w:val="0063630E"/>
    <w:rsid w:val="00637A96"/>
    <w:rsid w:val="00637AC0"/>
    <w:rsid w:val="0064025E"/>
    <w:rsid w:val="00640443"/>
    <w:rsid w:val="00640D6D"/>
    <w:rsid w:val="00641C79"/>
    <w:rsid w:val="00641E76"/>
    <w:rsid w:val="00642209"/>
    <w:rsid w:val="00642D45"/>
    <w:rsid w:val="00643700"/>
    <w:rsid w:val="00643B27"/>
    <w:rsid w:val="0064553B"/>
    <w:rsid w:val="006460F4"/>
    <w:rsid w:val="006476F0"/>
    <w:rsid w:val="0064794E"/>
    <w:rsid w:val="00647E9A"/>
    <w:rsid w:val="0065015A"/>
    <w:rsid w:val="0065026D"/>
    <w:rsid w:val="006505D6"/>
    <w:rsid w:val="00652174"/>
    <w:rsid w:val="00652EDC"/>
    <w:rsid w:val="0065360B"/>
    <w:rsid w:val="006550D5"/>
    <w:rsid w:val="0065523F"/>
    <w:rsid w:val="00656038"/>
    <w:rsid w:val="00656A4B"/>
    <w:rsid w:val="00657417"/>
    <w:rsid w:val="006577C3"/>
    <w:rsid w:val="00660A79"/>
    <w:rsid w:val="00661F85"/>
    <w:rsid w:val="00662F11"/>
    <w:rsid w:val="0066310B"/>
    <w:rsid w:val="00663BAA"/>
    <w:rsid w:val="0066405D"/>
    <w:rsid w:val="00664753"/>
    <w:rsid w:val="006650EF"/>
    <w:rsid w:val="00665192"/>
    <w:rsid w:val="00665FFA"/>
    <w:rsid w:val="006664BB"/>
    <w:rsid w:val="00666A3B"/>
    <w:rsid w:val="006672FD"/>
    <w:rsid w:val="00667C4E"/>
    <w:rsid w:val="00667F0B"/>
    <w:rsid w:val="00670F53"/>
    <w:rsid w:val="00671FAC"/>
    <w:rsid w:val="006727E5"/>
    <w:rsid w:val="00672F48"/>
    <w:rsid w:val="00675217"/>
    <w:rsid w:val="006767B7"/>
    <w:rsid w:val="00676BD8"/>
    <w:rsid w:val="00677B29"/>
    <w:rsid w:val="00677C8E"/>
    <w:rsid w:val="00680036"/>
    <w:rsid w:val="00680EFD"/>
    <w:rsid w:val="006811DA"/>
    <w:rsid w:val="00681382"/>
    <w:rsid w:val="00681818"/>
    <w:rsid w:val="00683461"/>
    <w:rsid w:val="006873ED"/>
    <w:rsid w:val="00690A0F"/>
    <w:rsid w:val="00691C92"/>
    <w:rsid w:val="00692F4A"/>
    <w:rsid w:val="0069331F"/>
    <w:rsid w:val="00694E05"/>
    <w:rsid w:val="00694F15"/>
    <w:rsid w:val="0069591D"/>
    <w:rsid w:val="00695B16"/>
    <w:rsid w:val="006969F8"/>
    <w:rsid w:val="006A0A7A"/>
    <w:rsid w:val="006A0CCE"/>
    <w:rsid w:val="006A19C7"/>
    <w:rsid w:val="006A1DB0"/>
    <w:rsid w:val="006A208A"/>
    <w:rsid w:val="006A2D23"/>
    <w:rsid w:val="006A3229"/>
    <w:rsid w:val="006A37E9"/>
    <w:rsid w:val="006A4AF8"/>
    <w:rsid w:val="006A4E76"/>
    <w:rsid w:val="006A55EB"/>
    <w:rsid w:val="006A631A"/>
    <w:rsid w:val="006A63BF"/>
    <w:rsid w:val="006B037E"/>
    <w:rsid w:val="006B0B54"/>
    <w:rsid w:val="006B0E6F"/>
    <w:rsid w:val="006B0F57"/>
    <w:rsid w:val="006B158A"/>
    <w:rsid w:val="006B232C"/>
    <w:rsid w:val="006B31B1"/>
    <w:rsid w:val="006B3211"/>
    <w:rsid w:val="006B35F9"/>
    <w:rsid w:val="006B4860"/>
    <w:rsid w:val="006B562A"/>
    <w:rsid w:val="006B5641"/>
    <w:rsid w:val="006B5B51"/>
    <w:rsid w:val="006B5BDF"/>
    <w:rsid w:val="006B67E9"/>
    <w:rsid w:val="006B6C24"/>
    <w:rsid w:val="006B6F7C"/>
    <w:rsid w:val="006B7213"/>
    <w:rsid w:val="006B730A"/>
    <w:rsid w:val="006B75AD"/>
    <w:rsid w:val="006C0661"/>
    <w:rsid w:val="006C1313"/>
    <w:rsid w:val="006C3248"/>
    <w:rsid w:val="006C369B"/>
    <w:rsid w:val="006C3AD9"/>
    <w:rsid w:val="006C40AD"/>
    <w:rsid w:val="006C4BC4"/>
    <w:rsid w:val="006C4FFF"/>
    <w:rsid w:val="006C537B"/>
    <w:rsid w:val="006C70FE"/>
    <w:rsid w:val="006C7630"/>
    <w:rsid w:val="006D1394"/>
    <w:rsid w:val="006D19D1"/>
    <w:rsid w:val="006D3634"/>
    <w:rsid w:val="006D44FE"/>
    <w:rsid w:val="006D465E"/>
    <w:rsid w:val="006D497F"/>
    <w:rsid w:val="006D6D58"/>
    <w:rsid w:val="006D7F25"/>
    <w:rsid w:val="006E1EB8"/>
    <w:rsid w:val="006E1EC6"/>
    <w:rsid w:val="006E2A20"/>
    <w:rsid w:val="006E2A57"/>
    <w:rsid w:val="006E346E"/>
    <w:rsid w:val="006E3806"/>
    <w:rsid w:val="006E5051"/>
    <w:rsid w:val="006E520C"/>
    <w:rsid w:val="006E52F7"/>
    <w:rsid w:val="006E62C0"/>
    <w:rsid w:val="006E664D"/>
    <w:rsid w:val="006F097D"/>
    <w:rsid w:val="006F1143"/>
    <w:rsid w:val="006F18B2"/>
    <w:rsid w:val="006F1928"/>
    <w:rsid w:val="006F19E9"/>
    <w:rsid w:val="006F2D8F"/>
    <w:rsid w:val="006F2DD7"/>
    <w:rsid w:val="006F317C"/>
    <w:rsid w:val="006F37B5"/>
    <w:rsid w:val="006F3E62"/>
    <w:rsid w:val="006F51D6"/>
    <w:rsid w:val="006F5460"/>
    <w:rsid w:val="006F561C"/>
    <w:rsid w:val="006F66B8"/>
    <w:rsid w:val="006F782F"/>
    <w:rsid w:val="006F7CFE"/>
    <w:rsid w:val="00700FDA"/>
    <w:rsid w:val="0070152F"/>
    <w:rsid w:val="007015F8"/>
    <w:rsid w:val="00701E37"/>
    <w:rsid w:val="00702F71"/>
    <w:rsid w:val="00704CD0"/>
    <w:rsid w:val="00704E1A"/>
    <w:rsid w:val="00704E1F"/>
    <w:rsid w:val="00706733"/>
    <w:rsid w:val="007077AB"/>
    <w:rsid w:val="00707F64"/>
    <w:rsid w:val="0071026D"/>
    <w:rsid w:val="0071045A"/>
    <w:rsid w:val="007107A9"/>
    <w:rsid w:val="00711041"/>
    <w:rsid w:val="007128E3"/>
    <w:rsid w:val="00712CC5"/>
    <w:rsid w:val="007130DC"/>
    <w:rsid w:val="00714229"/>
    <w:rsid w:val="00714608"/>
    <w:rsid w:val="00715A4A"/>
    <w:rsid w:val="007162F6"/>
    <w:rsid w:val="00720214"/>
    <w:rsid w:val="00721958"/>
    <w:rsid w:val="00721EE6"/>
    <w:rsid w:val="00723DE3"/>
    <w:rsid w:val="007242D0"/>
    <w:rsid w:val="007243E1"/>
    <w:rsid w:val="007245C5"/>
    <w:rsid w:val="00724BCA"/>
    <w:rsid w:val="00724CE2"/>
    <w:rsid w:val="007260BD"/>
    <w:rsid w:val="00726A38"/>
    <w:rsid w:val="00727472"/>
    <w:rsid w:val="00727E76"/>
    <w:rsid w:val="00731FAE"/>
    <w:rsid w:val="0073240C"/>
    <w:rsid w:val="00732981"/>
    <w:rsid w:val="00732B6B"/>
    <w:rsid w:val="007336D6"/>
    <w:rsid w:val="0073618B"/>
    <w:rsid w:val="00736229"/>
    <w:rsid w:val="007374D4"/>
    <w:rsid w:val="00737DA6"/>
    <w:rsid w:val="007406DE"/>
    <w:rsid w:val="00740FE8"/>
    <w:rsid w:val="007424A4"/>
    <w:rsid w:val="00743050"/>
    <w:rsid w:val="007443B8"/>
    <w:rsid w:val="007461A0"/>
    <w:rsid w:val="0074715D"/>
    <w:rsid w:val="00747A06"/>
    <w:rsid w:val="00750990"/>
    <w:rsid w:val="00751171"/>
    <w:rsid w:val="007512B9"/>
    <w:rsid w:val="00751347"/>
    <w:rsid w:val="007513C2"/>
    <w:rsid w:val="00752884"/>
    <w:rsid w:val="007534A8"/>
    <w:rsid w:val="00753AD7"/>
    <w:rsid w:val="00755920"/>
    <w:rsid w:val="00755D83"/>
    <w:rsid w:val="00756236"/>
    <w:rsid w:val="00757C91"/>
    <w:rsid w:val="0076019F"/>
    <w:rsid w:val="007607E3"/>
    <w:rsid w:val="00760E09"/>
    <w:rsid w:val="00761ADC"/>
    <w:rsid w:val="00762068"/>
    <w:rsid w:val="0076310F"/>
    <w:rsid w:val="00764471"/>
    <w:rsid w:val="00766B0F"/>
    <w:rsid w:val="00767004"/>
    <w:rsid w:val="00767BD8"/>
    <w:rsid w:val="0077062F"/>
    <w:rsid w:val="00770BB5"/>
    <w:rsid w:val="00771788"/>
    <w:rsid w:val="00774089"/>
    <w:rsid w:val="00776E9C"/>
    <w:rsid w:val="00777342"/>
    <w:rsid w:val="00780941"/>
    <w:rsid w:val="007816A6"/>
    <w:rsid w:val="007817E8"/>
    <w:rsid w:val="00781DFA"/>
    <w:rsid w:val="00782836"/>
    <w:rsid w:val="00782CF5"/>
    <w:rsid w:val="00784C8B"/>
    <w:rsid w:val="0078555C"/>
    <w:rsid w:val="00785B37"/>
    <w:rsid w:val="00786450"/>
    <w:rsid w:val="00786927"/>
    <w:rsid w:val="00786CEC"/>
    <w:rsid w:val="00786FCC"/>
    <w:rsid w:val="00790B55"/>
    <w:rsid w:val="00790F82"/>
    <w:rsid w:val="00790F9D"/>
    <w:rsid w:val="00791B71"/>
    <w:rsid w:val="00792D39"/>
    <w:rsid w:val="00792EFB"/>
    <w:rsid w:val="00793CA6"/>
    <w:rsid w:val="0079483E"/>
    <w:rsid w:val="00794EC8"/>
    <w:rsid w:val="007956FE"/>
    <w:rsid w:val="00795ECA"/>
    <w:rsid w:val="00796841"/>
    <w:rsid w:val="00797BE5"/>
    <w:rsid w:val="007A0757"/>
    <w:rsid w:val="007A09AA"/>
    <w:rsid w:val="007A1904"/>
    <w:rsid w:val="007A1A96"/>
    <w:rsid w:val="007A3F57"/>
    <w:rsid w:val="007A589E"/>
    <w:rsid w:val="007A6CE6"/>
    <w:rsid w:val="007A7715"/>
    <w:rsid w:val="007B024A"/>
    <w:rsid w:val="007B0612"/>
    <w:rsid w:val="007B090A"/>
    <w:rsid w:val="007B1AA5"/>
    <w:rsid w:val="007B1E67"/>
    <w:rsid w:val="007B2467"/>
    <w:rsid w:val="007B421F"/>
    <w:rsid w:val="007B4343"/>
    <w:rsid w:val="007B45E5"/>
    <w:rsid w:val="007B6437"/>
    <w:rsid w:val="007B77E3"/>
    <w:rsid w:val="007C1EC2"/>
    <w:rsid w:val="007C1FF8"/>
    <w:rsid w:val="007C2607"/>
    <w:rsid w:val="007C5D22"/>
    <w:rsid w:val="007C6348"/>
    <w:rsid w:val="007C699D"/>
    <w:rsid w:val="007C7182"/>
    <w:rsid w:val="007C7728"/>
    <w:rsid w:val="007C7984"/>
    <w:rsid w:val="007D028C"/>
    <w:rsid w:val="007D029F"/>
    <w:rsid w:val="007D1102"/>
    <w:rsid w:val="007D1ED4"/>
    <w:rsid w:val="007D28A6"/>
    <w:rsid w:val="007D3C28"/>
    <w:rsid w:val="007E219F"/>
    <w:rsid w:val="007E3567"/>
    <w:rsid w:val="007E392E"/>
    <w:rsid w:val="007E39DD"/>
    <w:rsid w:val="007E4589"/>
    <w:rsid w:val="007E5D07"/>
    <w:rsid w:val="007E653D"/>
    <w:rsid w:val="007E6A72"/>
    <w:rsid w:val="007E6AE3"/>
    <w:rsid w:val="007E6B0B"/>
    <w:rsid w:val="007E6D05"/>
    <w:rsid w:val="007E72F7"/>
    <w:rsid w:val="007E798B"/>
    <w:rsid w:val="007F21AB"/>
    <w:rsid w:val="007F2343"/>
    <w:rsid w:val="007F2ECF"/>
    <w:rsid w:val="007F43DA"/>
    <w:rsid w:val="007F45C8"/>
    <w:rsid w:val="007F60D6"/>
    <w:rsid w:val="00800F1A"/>
    <w:rsid w:val="00801721"/>
    <w:rsid w:val="008017DE"/>
    <w:rsid w:val="00801929"/>
    <w:rsid w:val="008032CE"/>
    <w:rsid w:val="008033AE"/>
    <w:rsid w:val="008050BD"/>
    <w:rsid w:val="008058CF"/>
    <w:rsid w:val="008061AB"/>
    <w:rsid w:val="00807054"/>
    <w:rsid w:val="00811A97"/>
    <w:rsid w:val="0081214E"/>
    <w:rsid w:val="00813540"/>
    <w:rsid w:val="00813841"/>
    <w:rsid w:val="00813D4E"/>
    <w:rsid w:val="008143A4"/>
    <w:rsid w:val="00814E20"/>
    <w:rsid w:val="008171D5"/>
    <w:rsid w:val="0081764D"/>
    <w:rsid w:val="00817BEF"/>
    <w:rsid w:val="00820628"/>
    <w:rsid w:val="00821294"/>
    <w:rsid w:val="008227DA"/>
    <w:rsid w:val="00823065"/>
    <w:rsid w:val="00823F04"/>
    <w:rsid w:val="0082413D"/>
    <w:rsid w:val="008246BA"/>
    <w:rsid w:val="0082483E"/>
    <w:rsid w:val="00824A93"/>
    <w:rsid w:val="00825F90"/>
    <w:rsid w:val="008260AD"/>
    <w:rsid w:val="008276A6"/>
    <w:rsid w:val="00827C0A"/>
    <w:rsid w:val="0083113E"/>
    <w:rsid w:val="008311E6"/>
    <w:rsid w:val="0083126C"/>
    <w:rsid w:val="008314E5"/>
    <w:rsid w:val="00832767"/>
    <w:rsid w:val="00832CF9"/>
    <w:rsid w:val="00833045"/>
    <w:rsid w:val="00833162"/>
    <w:rsid w:val="00834DB5"/>
    <w:rsid w:val="0083793A"/>
    <w:rsid w:val="00837A6F"/>
    <w:rsid w:val="008404E6"/>
    <w:rsid w:val="00841276"/>
    <w:rsid w:val="008415E8"/>
    <w:rsid w:val="00841A44"/>
    <w:rsid w:val="0084295E"/>
    <w:rsid w:val="008431A1"/>
    <w:rsid w:val="00843270"/>
    <w:rsid w:val="00843461"/>
    <w:rsid w:val="0084384E"/>
    <w:rsid w:val="0084438B"/>
    <w:rsid w:val="008445E9"/>
    <w:rsid w:val="0084508E"/>
    <w:rsid w:val="00845CE5"/>
    <w:rsid w:val="008469A8"/>
    <w:rsid w:val="00846CEF"/>
    <w:rsid w:val="00846F8D"/>
    <w:rsid w:val="008501D5"/>
    <w:rsid w:val="0085035B"/>
    <w:rsid w:val="00850BB4"/>
    <w:rsid w:val="0085212E"/>
    <w:rsid w:val="008525C4"/>
    <w:rsid w:val="00852DDA"/>
    <w:rsid w:val="008544BB"/>
    <w:rsid w:val="00854912"/>
    <w:rsid w:val="00856935"/>
    <w:rsid w:val="00857603"/>
    <w:rsid w:val="0085798C"/>
    <w:rsid w:val="00860029"/>
    <w:rsid w:val="008603C7"/>
    <w:rsid w:val="008609E4"/>
    <w:rsid w:val="00861467"/>
    <w:rsid w:val="00861A07"/>
    <w:rsid w:val="00862565"/>
    <w:rsid w:val="00862584"/>
    <w:rsid w:val="008631CA"/>
    <w:rsid w:val="0086351B"/>
    <w:rsid w:val="008636E3"/>
    <w:rsid w:val="00863AE9"/>
    <w:rsid w:val="0086493F"/>
    <w:rsid w:val="00864C75"/>
    <w:rsid w:val="00865433"/>
    <w:rsid w:val="00865707"/>
    <w:rsid w:val="0086698D"/>
    <w:rsid w:val="00866AD2"/>
    <w:rsid w:val="00866C6B"/>
    <w:rsid w:val="00866D74"/>
    <w:rsid w:val="008671E0"/>
    <w:rsid w:val="00867AB3"/>
    <w:rsid w:val="00867E99"/>
    <w:rsid w:val="00870770"/>
    <w:rsid w:val="00871AEA"/>
    <w:rsid w:val="00871D32"/>
    <w:rsid w:val="00871F80"/>
    <w:rsid w:val="008721DE"/>
    <w:rsid w:val="00872E30"/>
    <w:rsid w:val="0087361D"/>
    <w:rsid w:val="008736DE"/>
    <w:rsid w:val="00873AD5"/>
    <w:rsid w:val="00873E8F"/>
    <w:rsid w:val="00874DFF"/>
    <w:rsid w:val="00876034"/>
    <w:rsid w:val="00876840"/>
    <w:rsid w:val="00876E0F"/>
    <w:rsid w:val="0087719D"/>
    <w:rsid w:val="00881806"/>
    <w:rsid w:val="0088196B"/>
    <w:rsid w:val="00882849"/>
    <w:rsid w:val="00883526"/>
    <w:rsid w:val="00883698"/>
    <w:rsid w:val="00884332"/>
    <w:rsid w:val="0088674E"/>
    <w:rsid w:val="008869D5"/>
    <w:rsid w:val="00887053"/>
    <w:rsid w:val="008878C2"/>
    <w:rsid w:val="00890436"/>
    <w:rsid w:val="00890D67"/>
    <w:rsid w:val="00891B0A"/>
    <w:rsid w:val="00892A57"/>
    <w:rsid w:val="008948C5"/>
    <w:rsid w:val="008948F9"/>
    <w:rsid w:val="00895500"/>
    <w:rsid w:val="00895EA1"/>
    <w:rsid w:val="00896490"/>
    <w:rsid w:val="008A052B"/>
    <w:rsid w:val="008A1BDB"/>
    <w:rsid w:val="008A290A"/>
    <w:rsid w:val="008A3122"/>
    <w:rsid w:val="008A57A7"/>
    <w:rsid w:val="008A6314"/>
    <w:rsid w:val="008A6C10"/>
    <w:rsid w:val="008A79A1"/>
    <w:rsid w:val="008B09BA"/>
    <w:rsid w:val="008B0F6A"/>
    <w:rsid w:val="008B19DA"/>
    <w:rsid w:val="008B297B"/>
    <w:rsid w:val="008B3543"/>
    <w:rsid w:val="008B483D"/>
    <w:rsid w:val="008B527B"/>
    <w:rsid w:val="008B5528"/>
    <w:rsid w:val="008B6C92"/>
    <w:rsid w:val="008B75D6"/>
    <w:rsid w:val="008B78ED"/>
    <w:rsid w:val="008C033E"/>
    <w:rsid w:val="008C06A3"/>
    <w:rsid w:val="008C0A61"/>
    <w:rsid w:val="008C0CD8"/>
    <w:rsid w:val="008C12A7"/>
    <w:rsid w:val="008C1E63"/>
    <w:rsid w:val="008C44CC"/>
    <w:rsid w:val="008C4D6C"/>
    <w:rsid w:val="008C56EA"/>
    <w:rsid w:val="008C5A97"/>
    <w:rsid w:val="008C5FBD"/>
    <w:rsid w:val="008C6401"/>
    <w:rsid w:val="008C69EC"/>
    <w:rsid w:val="008C6EFE"/>
    <w:rsid w:val="008C7087"/>
    <w:rsid w:val="008C7E43"/>
    <w:rsid w:val="008D0269"/>
    <w:rsid w:val="008D0AB8"/>
    <w:rsid w:val="008D0B44"/>
    <w:rsid w:val="008D245D"/>
    <w:rsid w:val="008D265C"/>
    <w:rsid w:val="008D2FAC"/>
    <w:rsid w:val="008D4198"/>
    <w:rsid w:val="008D5E05"/>
    <w:rsid w:val="008D6375"/>
    <w:rsid w:val="008D6B2D"/>
    <w:rsid w:val="008D7604"/>
    <w:rsid w:val="008D767F"/>
    <w:rsid w:val="008D7AE6"/>
    <w:rsid w:val="008D7BF7"/>
    <w:rsid w:val="008E0824"/>
    <w:rsid w:val="008E0BD2"/>
    <w:rsid w:val="008E214D"/>
    <w:rsid w:val="008E294A"/>
    <w:rsid w:val="008E2C27"/>
    <w:rsid w:val="008E2FA0"/>
    <w:rsid w:val="008E5DFF"/>
    <w:rsid w:val="008E6520"/>
    <w:rsid w:val="008E6C84"/>
    <w:rsid w:val="008F02B0"/>
    <w:rsid w:val="008F04AD"/>
    <w:rsid w:val="008F0D17"/>
    <w:rsid w:val="008F1F26"/>
    <w:rsid w:val="008F1FD4"/>
    <w:rsid w:val="008F2ED3"/>
    <w:rsid w:val="008F3204"/>
    <w:rsid w:val="008F37D8"/>
    <w:rsid w:val="008F4D6E"/>
    <w:rsid w:val="008F6358"/>
    <w:rsid w:val="008F7AE5"/>
    <w:rsid w:val="00900567"/>
    <w:rsid w:val="00900F14"/>
    <w:rsid w:val="009023D6"/>
    <w:rsid w:val="009024AA"/>
    <w:rsid w:val="00904D74"/>
    <w:rsid w:val="0090698C"/>
    <w:rsid w:val="00907045"/>
    <w:rsid w:val="00907CE4"/>
    <w:rsid w:val="009102CB"/>
    <w:rsid w:val="00911534"/>
    <w:rsid w:val="009125FB"/>
    <w:rsid w:val="009148B7"/>
    <w:rsid w:val="009159CB"/>
    <w:rsid w:val="00916A03"/>
    <w:rsid w:val="009172B4"/>
    <w:rsid w:val="0091789B"/>
    <w:rsid w:val="009178E6"/>
    <w:rsid w:val="00917B6E"/>
    <w:rsid w:val="00920350"/>
    <w:rsid w:val="0092052D"/>
    <w:rsid w:val="009205BA"/>
    <w:rsid w:val="00920EC5"/>
    <w:rsid w:val="009221A4"/>
    <w:rsid w:val="00922483"/>
    <w:rsid w:val="00923A73"/>
    <w:rsid w:val="00924166"/>
    <w:rsid w:val="0092544B"/>
    <w:rsid w:val="00925E03"/>
    <w:rsid w:val="00926096"/>
    <w:rsid w:val="00926164"/>
    <w:rsid w:val="0092620A"/>
    <w:rsid w:val="009264B4"/>
    <w:rsid w:val="009274A4"/>
    <w:rsid w:val="00931B83"/>
    <w:rsid w:val="00931EA9"/>
    <w:rsid w:val="00932544"/>
    <w:rsid w:val="0093281D"/>
    <w:rsid w:val="00932894"/>
    <w:rsid w:val="00932C17"/>
    <w:rsid w:val="00933304"/>
    <w:rsid w:val="009335BC"/>
    <w:rsid w:val="009352D4"/>
    <w:rsid w:val="0093557B"/>
    <w:rsid w:val="009356AB"/>
    <w:rsid w:val="009372CD"/>
    <w:rsid w:val="00940AB9"/>
    <w:rsid w:val="00941687"/>
    <w:rsid w:val="00941ABF"/>
    <w:rsid w:val="009421EA"/>
    <w:rsid w:val="00942F29"/>
    <w:rsid w:val="009435C4"/>
    <w:rsid w:val="00946A8C"/>
    <w:rsid w:val="00947195"/>
    <w:rsid w:val="009507B4"/>
    <w:rsid w:val="00951F7B"/>
    <w:rsid w:val="009520E4"/>
    <w:rsid w:val="009539C5"/>
    <w:rsid w:val="00953E2D"/>
    <w:rsid w:val="009545B0"/>
    <w:rsid w:val="00954A45"/>
    <w:rsid w:val="009551FC"/>
    <w:rsid w:val="00955741"/>
    <w:rsid w:val="0095685E"/>
    <w:rsid w:val="009576FA"/>
    <w:rsid w:val="00957E9F"/>
    <w:rsid w:val="00957F85"/>
    <w:rsid w:val="00960663"/>
    <w:rsid w:val="00960D8C"/>
    <w:rsid w:val="00960F1A"/>
    <w:rsid w:val="009610E2"/>
    <w:rsid w:val="00963CA9"/>
    <w:rsid w:val="00964B27"/>
    <w:rsid w:val="00965489"/>
    <w:rsid w:val="00966592"/>
    <w:rsid w:val="00966D93"/>
    <w:rsid w:val="00967609"/>
    <w:rsid w:val="00970B59"/>
    <w:rsid w:val="00971A61"/>
    <w:rsid w:val="00972687"/>
    <w:rsid w:val="00974007"/>
    <w:rsid w:val="00975F88"/>
    <w:rsid w:val="009760EA"/>
    <w:rsid w:val="009765A0"/>
    <w:rsid w:val="00981641"/>
    <w:rsid w:val="0098228D"/>
    <w:rsid w:val="0098261D"/>
    <w:rsid w:val="009826AE"/>
    <w:rsid w:val="00982FC6"/>
    <w:rsid w:val="0098312D"/>
    <w:rsid w:val="00983BD3"/>
    <w:rsid w:val="0098433E"/>
    <w:rsid w:val="00984A4A"/>
    <w:rsid w:val="0098505E"/>
    <w:rsid w:val="009853EB"/>
    <w:rsid w:val="009862AE"/>
    <w:rsid w:val="00986613"/>
    <w:rsid w:val="00987206"/>
    <w:rsid w:val="00990317"/>
    <w:rsid w:val="0099059C"/>
    <w:rsid w:val="00991483"/>
    <w:rsid w:val="00991E5D"/>
    <w:rsid w:val="009925F2"/>
    <w:rsid w:val="009927C0"/>
    <w:rsid w:val="00993441"/>
    <w:rsid w:val="00993DD9"/>
    <w:rsid w:val="0099513A"/>
    <w:rsid w:val="009971C2"/>
    <w:rsid w:val="009A0181"/>
    <w:rsid w:val="009A11E7"/>
    <w:rsid w:val="009A1323"/>
    <w:rsid w:val="009A1504"/>
    <w:rsid w:val="009A188D"/>
    <w:rsid w:val="009A2F68"/>
    <w:rsid w:val="009A331F"/>
    <w:rsid w:val="009A391F"/>
    <w:rsid w:val="009A3DB6"/>
    <w:rsid w:val="009A3F87"/>
    <w:rsid w:val="009A3FDE"/>
    <w:rsid w:val="009A41E5"/>
    <w:rsid w:val="009A4BC3"/>
    <w:rsid w:val="009A4C88"/>
    <w:rsid w:val="009A4F76"/>
    <w:rsid w:val="009A545A"/>
    <w:rsid w:val="009A67AA"/>
    <w:rsid w:val="009A6C02"/>
    <w:rsid w:val="009A700F"/>
    <w:rsid w:val="009A799F"/>
    <w:rsid w:val="009B0796"/>
    <w:rsid w:val="009B09F7"/>
    <w:rsid w:val="009B13EA"/>
    <w:rsid w:val="009B13F6"/>
    <w:rsid w:val="009B2ECD"/>
    <w:rsid w:val="009B3252"/>
    <w:rsid w:val="009B35DB"/>
    <w:rsid w:val="009B3B53"/>
    <w:rsid w:val="009B4FF8"/>
    <w:rsid w:val="009B54A8"/>
    <w:rsid w:val="009B5F3C"/>
    <w:rsid w:val="009B610E"/>
    <w:rsid w:val="009B63BD"/>
    <w:rsid w:val="009B6A06"/>
    <w:rsid w:val="009B7E38"/>
    <w:rsid w:val="009C1B44"/>
    <w:rsid w:val="009C2397"/>
    <w:rsid w:val="009C2EF5"/>
    <w:rsid w:val="009C3D45"/>
    <w:rsid w:val="009C3EBE"/>
    <w:rsid w:val="009C4129"/>
    <w:rsid w:val="009C486C"/>
    <w:rsid w:val="009C5F84"/>
    <w:rsid w:val="009C61C5"/>
    <w:rsid w:val="009C667B"/>
    <w:rsid w:val="009C73CC"/>
    <w:rsid w:val="009C743E"/>
    <w:rsid w:val="009C7CA6"/>
    <w:rsid w:val="009D0782"/>
    <w:rsid w:val="009D0DF2"/>
    <w:rsid w:val="009D1C07"/>
    <w:rsid w:val="009D2231"/>
    <w:rsid w:val="009D3CE8"/>
    <w:rsid w:val="009D4A63"/>
    <w:rsid w:val="009D659B"/>
    <w:rsid w:val="009D685D"/>
    <w:rsid w:val="009D69DA"/>
    <w:rsid w:val="009D6DE7"/>
    <w:rsid w:val="009E0072"/>
    <w:rsid w:val="009E090B"/>
    <w:rsid w:val="009E0FC7"/>
    <w:rsid w:val="009E101A"/>
    <w:rsid w:val="009E1076"/>
    <w:rsid w:val="009E1DC7"/>
    <w:rsid w:val="009E20FB"/>
    <w:rsid w:val="009E212B"/>
    <w:rsid w:val="009E3433"/>
    <w:rsid w:val="009E4A82"/>
    <w:rsid w:val="009E4C80"/>
    <w:rsid w:val="009E524F"/>
    <w:rsid w:val="009E5AA1"/>
    <w:rsid w:val="009E74E8"/>
    <w:rsid w:val="009F0E64"/>
    <w:rsid w:val="009F1E9E"/>
    <w:rsid w:val="009F222B"/>
    <w:rsid w:val="009F25FE"/>
    <w:rsid w:val="009F2669"/>
    <w:rsid w:val="009F3BA4"/>
    <w:rsid w:val="009F4116"/>
    <w:rsid w:val="009F481F"/>
    <w:rsid w:val="009F4D71"/>
    <w:rsid w:val="009F528D"/>
    <w:rsid w:val="009F74BC"/>
    <w:rsid w:val="009F7C7C"/>
    <w:rsid w:val="009F7E25"/>
    <w:rsid w:val="00A00C6C"/>
    <w:rsid w:val="00A00F5B"/>
    <w:rsid w:val="00A02FCE"/>
    <w:rsid w:val="00A037AA"/>
    <w:rsid w:val="00A037BA"/>
    <w:rsid w:val="00A038E4"/>
    <w:rsid w:val="00A03B0F"/>
    <w:rsid w:val="00A03E72"/>
    <w:rsid w:val="00A0459D"/>
    <w:rsid w:val="00A05065"/>
    <w:rsid w:val="00A05837"/>
    <w:rsid w:val="00A0589F"/>
    <w:rsid w:val="00A059AD"/>
    <w:rsid w:val="00A05EB0"/>
    <w:rsid w:val="00A07136"/>
    <w:rsid w:val="00A071BD"/>
    <w:rsid w:val="00A07E49"/>
    <w:rsid w:val="00A10974"/>
    <w:rsid w:val="00A12432"/>
    <w:rsid w:val="00A129F8"/>
    <w:rsid w:val="00A13221"/>
    <w:rsid w:val="00A13E89"/>
    <w:rsid w:val="00A148AA"/>
    <w:rsid w:val="00A14C52"/>
    <w:rsid w:val="00A16578"/>
    <w:rsid w:val="00A1757E"/>
    <w:rsid w:val="00A176AC"/>
    <w:rsid w:val="00A20BA4"/>
    <w:rsid w:val="00A21158"/>
    <w:rsid w:val="00A22B5C"/>
    <w:rsid w:val="00A240B7"/>
    <w:rsid w:val="00A254E2"/>
    <w:rsid w:val="00A25D95"/>
    <w:rsid w:val="00A26E77"/>
    <w:rsid w:val="00A26FBC"/>
    <w:rsid w:val="00A273B6"/>
    <w:rsid w:val="00A27611"/>
    <w:rsid w:val="00A27A2F"/>
    <w:rsid w:val="00A27C78"/>
    <w:rsid w:val="00A314DA"/>
    <w:rsid w:val="00A31DAF"/>
    <w:rsid w:val="00A355C6"/>
    <w:rsid w:val="00A3637B"/>
    <w:rsid w:val="00A36AD8"/>
    <w:rsid w:val="00A3774A"/>
    <w:rsid w:val="00A37FDC"/>
    <w:rsid w:val="00A41A4F"/>
    <w:rsid w:val="00A41AB4"/>
    <w:rsid w:val="00A41E1A"/>
    <w:rsid w:val="00A424E5"/>
    <w:rsid w:val="00A428E6"/>
    <w:rsid w:val="00A42E99"/>
    <w:rsid w:val="00A42FB3"/>
    <w:rsid w:val="00A452F5"/>
    <w:rsid w:val="00A504B2"/>
    <w:rsid w:val="00A507CA"/>
    <w:rsid w:val="00A5095A"/>
    <w:rsid w:val="00A510F0"/>
    <w:rsid w:val="00A52886"/>
    <w:rsid w:val="00A52F68"/>
    <w:rsid w:val="00A53430"/>
    <w:rsid w:val="00A5450A"/>
    <w:rsid w:val="00A56368"/>
    <w:rsid w:val="00A6021B"/>
    <w:rsid w:val="00A61A34"/>
    <w:rsid w:val="00A61FF9"/>
    <w:rsid w:val="00A634E4"/>
    <w:rsid w:val="00A64ACE"/>
    <w:rsid w:val="00A65AA1"/>
    <w:rsid w:val="00A66CBC"/>
    <w:rsid w:val="00A70356"/>
    <w:rsid w:val="00A704BD"/>
    <w:rsid w:val="00A71847"/>
    <w:rsid w:val="00A71F04"/>
    <w:rsid w:val="00A71F94"/>
    <w:rsid w:val="00A73284"/>
    <w:rsid w:val="00A759A9"/>
    <w:rsid w:val="00A75C98"/>
    <w:rsid w:val="00A775ED"/>
    <w:rsid w:val="00A77F11"/>
    <w:rsid w:val="00A80392"/>
    <w:rsid w:val="00A80482"/>
    <w:rsid w:val="00A80FD3"/>
    <w:rsid w:val="00A812A2"/>
    <w:rsid w:val="00A81541"/>
    <w:rsid w:val="00A81B26"/>
    <w:rsid w:val="00A82883"/>
    <w:rsid w:val="00A82927"/>
    <w:rsid w:val="00A829AC"/>
    <w:rsid w:val="00A834BF"/>
    <w:rsid w:val="00A83AB2"/>
    <w:rsid w:val="00A83C11"/>
    <w:rsid w:val="00A853A8"/>
    <w:rsid w:val="00A86516"/>
    <w:rsid w:val="00A87C1E"/>
    <w:rsid w:val="00A9006A"/>
    <w:rsid w:val="00A90416"/>
    <w:rsid w:val="00A90DB0"/>
    <w:rsid w:val="00A91104"/>
    <w:rsid w:val="00A91CB9"/>
    <w:rsid w:val="00A922BC"/>
    <w:rsid w:val="00A9271B"/>
    <w:rsid w:val="00A92AF9"/>
    <w:rsid w:val="00A92CA8"/>
    <w:rsid w:val="00A93461"/>
    <w:rsid w:val="00A9372C"/>
    <w:rsid w:val="00A941D9"/>
    <w:rsid w:val="00A941FD"/>
    <w:rsid w:val="00A97089"/>
    <w:rsid w:val="00A97F65"/>
    <w:rsid w:val="00AA13E1"/>
    <w:rsid w:val="00AA23C3"/>
    <w:rsid w:val="00AA2FF0"/>
    <w:rsid w:val="00AA300F"/>
    <w:rsid w:val="00AA59F9"/>
    <w:rsid w:val="00AA5E28"/>
    <w:rsid w:val="00AA63B7"/>
    <w:rsid w:val="00AA6A54"/>
    <w:rsid w:val="00AA7151"/>
    <w:rsid w:val="00AA7154"/>
    <w:rsid w:val="00AB0061"/>
    <w:rsid w:val="00AB0AF2"/>
    <w:rsid w:val="00AB0DE6"/>
    <w:rsid w:val="00AB0F6A"/>
    <w:rsid w:val="00AB1B85"/>
    <w:rsid w:val="00AB2580"/>
    <w:rsid w:val="00AB3206"/>
    <w:rsid w:val="00AB3263"/>
    <w:rsid w:val="00AB4318"/>
    <w:rsid w:val="00AB4684"/>
    <w:rsid w:val="00AB499E"/>
    <w:rsid w:val="00AB52A0"/>
    <w:rsid w:val="00AB5BAA"/>
    <w:rsid w:val="00AB6290"/>
    <w:rsid w:val="00AB680D"/>
    <w:rsid w:val="00AB7047"/>
    <w:rsid w:val="00AB76C1"/>
    <w:rsid w:val="00AC0B1E"/>
    <w:rsid w:val="00AC1727"/>
    <w:rsid w:val="00AC1969"/>
    <w:rsid w:val="00AC1CB1"/>
    <w:rsid w:val="00AC1CB5"/>
    <w:rsid w:val="00AC1E18"/>
    <w:rsid w:val="00AC2D9E"/>
    <w:rsid w:val="00AC2E9F"/>
    <w:rsid w:val="00AC33FF"/>
    <w:rsid w:val="00AC3D62"/>
    <w:rsid w:val="00AC4842"/>
    <w:rsid w:val="00AC49E1"/>
    <w:rsid w:val="00AC5320"/>
    <w:rsid w:val="00AC692B"/>
    <w:rsid w:val="00AC6B39"/>
    <w:rsid w:val="00AC7488"/>
    <w:rsid w:val="00AC7815"/>
    <w:rsid w:val="00AD01A9"/>
    <w:rsid w:val="00AD1991"/>
    <w:rsid w:val="00AD361A"/>
    <w:rsid w:val="00AD6759"/>
    <w:rsid w:val="00AE1641"/>
    <w:rsid w:val="00AE1B89"/>
    <w:rsid w:val="00AE2653"/>
    <w:rsid w:val="00AE314D"/>
    <w:rsid w:val="00AE3C11"/>
    <w:rsid w:val="00AE48A9"/>
    <w:rsid w:val="00AE49CB"/>
    <w:rsid w:val="00AE4AA7"/>
    <w:rsid w:val="00AE4AB9"/>
    <w:rsid w:val="00AE4E25"/>
    <w:rsid w:val="00AE5142"/>
    <w:rsid w:val="00AE6990"/>
    <w:rsid w:val="00AE75EA"/>
    <w:rsid w:val="00AE7791"/>
    <w:rsid w:val="00AF0767"/>
    <w:rsid w:val="00AF0C35"/>
    <w:rsid w:val="00AF1085"/>
    <w:rsid w:val="00AF23D3"/>
    <w:rsid w:val="00AF2513"/>
    <w:rsid w:val="00AF2C88"/>
    <w:rsid w:val="00AF3B0B"/>
    <w:rsid w:val="00AF451E"/>
    <w:rsid w:val="00AF5455"/>
    <w:rsid w:val="00AF558C"/>
    <w:rsid w:val="00AF6922"/>
    <w:rsid w:val="00AF6C66"/>
    <w:rsid w:val="00B008B0"/>
    <w:rsid w:val="00B01B59"/>
    <w:rsid w:val="00B01F11"/>
    <w:rsid w:val="00B01F24"/>
    <w:rsid w:val="00B03883"/>
    <w:rsid w:val="00B04482"/>
    <w:rsid w:val="00B045E5"/>
    <w:rsid w:val="00B04B1A"/>
    <w:rsid w:val="00B06CA1"/>
    <w:rsid w:val="00B06D30"/>
    <w:rsid w:val="00B078F5"/>
    <w:rsid w:val="00B11378"/>
    <w:rsid w:val="00B11CF2"/>
    <w:rsid w:val="00B11E91"/>
    <w:rsid w:val="00B12420"/>
    <w:rsid w:val="00B1378F"/>
    <w:rsid w:val="00B13F15"/>
    <w:rsid w:val="00B20778"/>
    <w:rsid w:val="00B20A75"/>
    <w:rsid w:val="00B21DF6"/>
    <w:rsid w:val="00B22182"/>
    <w:rsid w:val="00B222E9"/>
    <w:rsid w:val="00B2239E"/>
    <w:rsid w:val="00B224BB"/>
    <w:rsid w:val="00B23D65"/>
    <w:rsid w:val="00B23ECA"/>
    <w:rsid w:val="00B2443E"/>
    <w:rsid w:val="00B24C42"/>
    <w:rsid w:val="00B25951"/>
    <w:rsid w:val="00B2618B"/>
    <w:rsid w:val="00B265D5"/>
    <w:rsid w:val="00B272D6"/>
    <w:rsid w:val="00B30233"/>
    <w:rsid w:val="00B30337"/>
    <w:rsid w:val="00B30E36"/>
    <w:rsid w:val="00B32441"/>
    <w:rsid w:val="00B32884"/>
    <w:rsid w:val="00B33B3B"/>
    <w:rsid w:val="00B3469B"/>
    <w:rsid w:val="00B350D2"/>
    <w:rsid w:val="00B358BE"/>
    <w:rsid w:val="00B36513"/>
    <w:rsid w:val="00B41DEE"/>
    <w:rsid w:val="00B427A8"/>
    <w:rsid w:val="00B438CB"/>
    <w:rsid w:val="00B4436D"/>
    <w:rsid w:val="00B44C5C"/>
    <w:rsid w:val="00B50041"/>
    <w:rsid w:val="00B51684"/>
    <w:rsid w:val="00B51FE8"/>
    <w:rsid w:val="00B525DA"/>
    <w:rsid w:val="00B527AE"/>
    <w:rsid w:val="00B52FA6"/>
    <w:rsid w:val="00B5446F"/>
    <w:rsid w:val="00B544C2"/>
    <w:rsid w:val="00B55BF2"/>
    <w:rsid w:val="00B55D14"/>
    <w:rsid w:val="00B5625B"/>
    <w:rsid w:val="00B564D3"/>
    <w:rsid w:val="00B572D3"/>
    <w:rsid w:val="00B57DE6"/>
    <w:rsid w:val="00B6126A"/>
    <w:rsid w:val="00B61461"/>
    <w:rsid w:val="00B642FC"/>
    <w:rsid w:val="00B644D0"/>
    <w:rsid w:val="00B64614"/>
    <w:rsid w:val="00B64915"/>
    <w:rsid w:val="00B64AFC"/>
    <w:rsid w:val="00B65FFA"/>
    <w:rsid w:val="00B6693F"/>
    <w:rsid w:val="00B66F7F"/>
    <w:rsid w:val="00B71A61"/>
    <w:rsid w:val="00B728F8"/>
    <w:rsid w:val="00B7352F"/>
    <w:rsid w:val="00B748B1"/>
    <w:rsid w:val="00B74B10"/>
    <w:rsid w:val="00B7515A"/>
    <w:rsid w:val="00B75C51"/>
    <w:rsid w:val="00B75D2E"/>
    <w:rsid w:val="00B7638F"/>
    <w:rsid w:val="00B77025"/>
    <w:rsid w:val="00B77113"/>
    <w:rsid w:val="00B8145E"/>
    <w:rsid w:val="00B819F6"/>
    <w:rsid w:val="00B8360C"/>
    <w:rsid w:val="00B83C67"/>
    <w:rsid w:val="00B8492F"/>
    <w:rsid w:val="00B862DE"/>
    <w:rsid w:val="00B86872"/>
    <w:rsid w:val="00B86E4A"/>
    <w:rsid w:val="00B86F62"/>
    <w:rsid w:val="00B909CB"/>
    <w:rsid w:val="00B93298"/>
    <w:rsid w:val="00B933AB"/>
    <w:rsid w:val="00B93E8A"/>
    <w:rsid w:val="00B946C0"/>
    <w:rsid w:val="00B957C7"/>
    <w:rsid w:val="00B95A67"/>
    <w:rsid w:val="00B96B48"/>
    <w:rsid w:val="00B96B83"/>
    <w:rsid w:val="00B96D69"/>
    <w:rsid w:val="00BA0234"/>
    <w:rsid w:val="00BA03AF"/>
    <w:rsid w:val="00BA0693"/>
    <w:rsid w:val="00BA0BFF"/>
    <w:rsid w:val="00BA0FE4"/>
    <w:rsid w:val="00BA17A9"/>
    <w:rsid w:val="00BA2407"/>
    <w:rsid w:val="00BA4D43"/>
    <w:rsid w:val="00BA65EF"/>
    <w:rsid w:val="00BA7788"/>
    <w:rsid w:val="00BA7D63"/>
    <w:rsid w:val="00BB04B4"/>
    <w:rsid w:val="00BB0EE0"/>
    <w:rsid w:val="00BB131A"/>
    <w:rsid w:val="00BB2501"/>
    <w:rsid w:val="00BB2C79"/>
    <w:rsid w:val="00BB2E83"/>
    <w:rsid w:val="00BB3569"/>
    <w:rsid w:val="00BB371F"/>
    <w:rsid w:val="00BB3B65"/>
    <w:rsid w:val="00BB45FE"/>
    <w:rsid w:val="00BC172A"/>
    <w:rsid w:val="00BC2253"/>
    <w:rsid w:val="00BC38A9"/>
    <w:rsid w:val="00BC3EA0"/>
    <w:rsid w:val="00BC530E"/>
    <w:rsid w:val="00BC53FC"/>
    <w:rsid w:val="00BC5907"/>
    <w:rsid w:val="00BC7B8C"/>
    <w:rsid w:val="00BD14E0"/>
    <w:rsid w:val="00BD29B3"/>
    <w:rsid w:val="00BD30F8"/>
    <w:rsid w:val="00BD585A"/>
    <w:rsid w:val="00BD5E41"/>
    <w:rsid w:val="00BD61D3"/>
    <w:rsid w:val="00BD624A"/>
    <w:rsid w:val="00BE06CB"/>
    <w:rsid w:val="00BE0E6E"/>
    <w:rsid w:val="00BE2119"/>
    <w:rsid w:val="00BE222A"/>
    <w:rsid w:val="00BE2749"/>
    <w:rsid w:val="00BE2772"/>
    <w:rsid w:val="00BE2A6D"/>
    <w:rsid w:val="00BE2F44"/>
    <w:rsid w:val="00BE36E3"/>
    <w:rsid w:val="00BE3D5F"/>
    <w:rsid w:val="00BE49B8"/>
    <w:rsid w:val="00BE4B54"/>
    <w:rsid w:val="00BE4CC0"/>
    <w:rsid w:val="00BE5392"/>
    <w:rsid w:val="00BE634D"/>
    <w:rsid w:val="00BE64C5"/>
    <w:rsid w:val="00BE66FD"/>
    <w:rsid w:val="00BE6A29"/>
    <w:rsid w:val="00BE6B34"/>
    <w:rsid w:val="00BE7737"/>
    <w:rsid w:val="00BE77FD"/>
    <w:rsid w:val="00BF0898"/>
    <w:rsid w:val="00BF195F"/>
    <w:rsid w:val="00BF341C"/>
    <w:rsid w:val="00BF36F1"/>
    <w:rsid w:val="00BF475E"/>
    <w:rsid w:val="00BF4C56"/>
    <w:rsid w:val="00BF5AA0"/>
    <w:rsid w:val="00BF5DD8"/>
    <w:rsid w:val="00BF710D"/>
    <w:rsid w:val="00BF7C19"/>
    <w:rsid w:val="00C00A23"/>
    <w:rsid w:val="00C0124E"/>
    <w:rsid w:val="00C01428"/>
    <w:rsid w:val="00C0195E"/>
    <w:rsid w:val="00C01EFC"/>
    <w:rsid w:val="00C02934"/>
    <w:rsid w:val="00C0420A"/>
    <w:rsid w:val="00C04834"/>
    <w:rsid w:val="00C06470"/>
    <w:rsid w:val="00C06CDA"/>
    <w:rsid w:val="00C07402"/>
    <w:rsid w:val="00C0785D"/>
    <w:rsid w:val="00C1025A"/>
    <w:rsid w:val="00C10516"/>
    <w:rsid w:val="00C10EFA"/>
    <w:rsid w:val="00C11038"/>
    <w:rsid w:val="00C11EF9"/>
    <w:rsid w:val="00C124BF"/>
    <w:rsid w:val="00C12CAE"/>
    <w:rsid w:val="00C1333B"/>
    <w:rsid w:val="00C13C3C"/>
    <w:rsid w:val="00C14328"/>
    <w:rsid w:val="00C143F2"/>
    <w:rsid w:val="00C14FC2"/>
    <w:rsid w:val="00C1524C"/>
    <w:rsid w:val="00C15667"/>
    <w:rsid w:val="00C156C6"/>
    <w:rsid w:val="00C16AAA"/>
    <w:rsid w:val="00C17661"/>
    <w:rsid w:val="00C17E1C"/>
    <w:rsid w:val="00C21360"/>
    <w:rsid w:val="00C21416"/>
    <w:rsid w:val="00C216A7"/>
    <w:rsid w:val="00C21B8A"/>
    <w:rsid w:val="00C22F47"/>
    <w:rsid w:val="00C24970"/>
    <w:rsid w:val="00C24B5A"/>
    <w:rsid w:val="00C24EE9"/>
    <w:rsid w:val="00C25C48"/>
    <w:rsid w:val="00C2632E"/>
    <w:rsid w:val="00C268EF"/>
    <w:rsid w:val="00C2791E"/>
    <w:rsid w:val="00C279F5"/>
    <w:rsid w:val="00C313E2"/>
    <w:rsid w:val="00C3175C"/>
    <w:rsid w:val="00C32311"/>
    <w:rsid w:val="00C3263C"/>
    <w:rsid w:val="00C33036"/>
    <w:rsid w:val="00C337A9"/>
    <w:rsid w:val="00C346EA"/>
    <w:rsid w:val="00C360C2"/>
    <w:rsid w:val="00C36449"/>
    <w:rsid w:val="00C37A46"/>
    <w:rsid w:val="00C42E8B"/>
    <w:rsid w:val="00C43F34"/>
    <w:rsid w:val="00C45F9D"/>
    <w:rsid w:val="00C46920"/>
    <w:rsid w:val="00C469AA"/>
    <w:rsid w:val="00C528FF"/>
    <w:rsid w:val="00C52AB2"/>
    <w:rsid w:val="00C5317F"/>
    <w:rsid w:val="00C541FC"/>
    <w:rsid w:val="00C548C9"/>
    <w:rsid w:val="00C57710"/>
    <w:rsid w:val="00C61B00"/>
    <w:rsid w:val="00C62283"/>
    <w:rsid w:val="00C62B89"/>
    <w:rsid w:val="00C62C13"/>
    <w:rsid w:val="00C63001"/>
    <w:rsid w:val="00C638C9"/>
    <w:rsid w:val="00C64E32"/>
    <w:rsid w:val="00C6612A"/>
    <w:rsid w:val="00C6674A"/>
    <w:rsid w:val="00C67903"/>
    <w:rsid w:val="00C6796C"/>
    <w:rsid w:val="00C70D64"/>
    <w:rsid w:val="00C70F48"/>
    <w:rsid w:val="00C71867"/>
    <w:rsid w:val="00C71A3F"/>
    <w:rsid w:val="00C72AAD"/>
    <w:rsid w:val="00C72F02"/>
    <w:rsid w:val="00C73D97"/>
    <w:rsid w:val="00C74C33"/>
    <w:rsid w:val="00C75BB7"/>
    <w:rsid w:val="00C760A3"/>
    <w:rsid w:val="00C76F5C"/>
    <w:rsid w:val="00C76F6D"/>
    <w:rsid w:val="00C777F5"/>
    <w:rsid w:val="00C80AD4"/>
    <w:rsid w:val="00C81209"/>
    <w:rsid w:val="00C812BF"/>
    <w:rsid w:val="00C81E0E"/>
    <w:rsid w:val="00C832BB"/>
    <w:rsid w:val="00C83619"/>
    <w:rsid w:val="00C8362F"/>
    <w:rsid w:val="00C84453"/>
    <w:rsid w:val="00C845A8"/>
    <w:rsid w:val="00C84807"/>
    <w:rsid w:val="00C84FF1"/>
    <w:rsid w:val="00C85C83"/>
    <w:rsid w:val="00C85F4A"/>
    <w:rsid w:val="00C86673"/>
    <w:rsid w:val="00C86EDE"/>
    <w:rsid w:val="00C91871"/>
    <w:rsid w:val="00C93DF6"/>
    <w:rsid w:val="00C942AE"/>
    <w:rsid w:val="00C94717"/>
    <w:rsid w:val="00C9608B"/>
    <w:rsid w:val="00C962D3"/>
    <w:rsid w:val="00C971A9"/>
    <w:rsid w:val="00C975A2"/>
    <w:rsid w:val="00C976B0"/>
    <w:rsid w:val="00CA1234"/>
    <w:rsid w:val="00CA1AA2"/>
    <w:rsid w:val="00CA21B6"/>
    <w:rsid w:val="00CA2259"/>
    <w:rsid w:val="00CA2521"/>
    <w:rsid w:val="00CA26D3"/>
    <w:rsid w:val="00CA3509"/>
    <w:rsid w:val="00CA3EFC"/>
    <w:rsid w:val="00CA402A"/>
    <w:rsid w:val="00CA4E90"/>
    <w:rsid w:val="00CA5150"/>
    <w:rsid w:val="00CA5845"/>
    <w:rsid w:val="00CA6926"/>
    <w:rsid w:val="00CA6C82"/>
    <w:rsid w:val="00CA6F54"/>
    <w:rsid w:val="00CA7947"/>
    <w:rsid w:val="00CB0DD6"/>
    <w:rsid w:val="00CB1AA5"/>
    <w:rsid w:val="00CB36FD"/>
    <w:rsid w:val="00CB372A"/>
    <w:rsid w:val="00CB39EF"/>
    <w:rsid w:val="00CB4295"/>
    <w:rsid w:val="00CB51C5"/>
    <w:rsid w:val="00CB65F0"/>
    <w:rsid w:val="00CB774B"/>
    <w:rsid w:val="00CC0E70"/>
    <w:rsid w:val="00CC2301"/>
    <w:rsid w:val="00CC2A68"/>
    <w:rsid w:val="00CC31BA"/>
    <w:rsid w:val="00CC4C7F"/>
    <w:rsid w:val="00CC69F3"/>
    <w:rsid w:val="00CC7A2C"/>
    <w:rsid w:val="00CD0B04"/>
    <w:rsid w:val="00CD1377"/>
    <w:rsid w:val="00CD1F39"/>
    <w:rsid w:val="00CD222E"/>
    <w:rsid w:val="00CD2D1F"/>
    <w:rsid w:val="00CD3C85"/>
    <w:rsid w:val="00CD4536"/>
    <w:rsid w:val="00CD4CF3"/>
    <w:rsid w:val="00CE009F"/>
    <w:rsid w:val="00CE2F5D"/>
    <w:rsid w:val="00CE3A6A"/>
    <w:rsid w:val="00CE3F0F"/>
    <w:rsid w:val="00CE4D3B"/>
    <w:rsid w:val="00CE5474"/>
    <w:rsid w:val="00CE59C8"/>
    <w:rsid w:val="00CE7031"/>
    <w:rsid w:val="00CE7A91"/>
    <w:rsid w:val="00CF078B"/>
    <w:rsid w:val="00CF20E1"/>
    <w:rsid w:val="00CF3F65"/>
    <w:rsid w:val="00CF52D7"/>
    <w:rsid w:val="00CF5A6E"/>
    <w:rsid w:val="00CF6571"/>
    <w:rsid w:val="00CF669A"/>
    <w:rsid w:val="00CF6CD9"/>
    <w:rsid w:val="00CF6F9B"/>
    <w:rsid w:val="00CF75E8"/>
    <w:rsid w:val="00D02461"/>
    <w:rsid w:val="00D0308D"/>
    <w:rsid w:val="00D030E8"/>
    <w:rsid w:val="00D036D8"/>
    <w:rsid w:val="00D036F1"/>
    <w:rsid w:val="00D0413F"/>
    <w:rsid w:val="00D048FA"/>
    <w:rsid w:val="00D06460"/>
    <w:rsid w:val="00D0678F"/>
    <w:rsid w:val="00D07942"/>
    <w:rsid w:val="00D10658"/>
    <w:rsid w:val="00D10A5D"/>
    <w:rsid w:val="00D10C15"/>
    <w:rsid w:val="00D15532"/>
    <w:rsid w:val="00D15778"/>
    <w:rsid w:val="00D15984"/>
    <w:rsid w:val="00D16098"/>
    <w:rsid w:val="00D17449"/>
    <w:rsid w:val="00D20A54"/>
    <w:rsid w:val="00D20C6A"/>
    <w:rsid w:val="00D21083"/>
    <w:rsid w:val="00D21265"/>
    <w:rsid w:val="00D215A1"/>
    <w:rsid w:val="00D23766"/>
    <w:rsid w:val="00D23FDB"/>
    <w:rsid w:val="00D24A15"/>
    <w:rsid w:val="00D253C3"/>
    <w:rsid w:val="00D255BE"/>
    <w:rsid w:val="00D266B9"/>
    <w:rsid w:val="00D2679B"/>
    <w:rsid w:val="00D26ECE"/>
    <w:rsid w:val="00D278AA"/>
    <w:rsid w:val="00D27E4B"/>
    <w:rsid w:val="00D3170A"/>
    <w:rsid w:val="00D31C8B"/>
    <w:rsid w:val="00D33029"/>
    <w:rsid w:val="00D33D19"/>
    <w:rsid w:val="00D35DE4"/>
    <w:rsid w:val="00D366CA"/>
    <w:rsid w:val="00D36FB8"/>
    <w:rsid w:val="00D406F9"/>
    <w:rsid w:val="00D4095F"/>
    <w:rsid w:val="00D4125C"/>
    <w:rsid w:val="00D41775"/>
    <w:rsid w:val="00D41B93"/>
    <w:rsid w:val="00D42EAA"/>
    <w:rsid w:val="00D43DD6"/>
    <w:rsid w:val="00D44B52"/>
    <w:rsid w:val="00D4584B"/>
    <w:rsid w:val="00D4696C"/>
    <w:rsid w:val="00D470F9"/>
    <w:rsid w:val="00D4747E"/>
    <w:rsid w:val="00D479EF"/>
    <w:rsid w:val="00D47E19"/>
    <w:rsid w:val="00D5134C"/>
    <w:rsid w:val="00D51996"/>
    <w:rsid w:val="00D522C0"/>
    <w:rsid w:val="00D53255"/>
    <w:rsid w:val="00D5480F"/>
    <w:rsid w:val="00D562B1"/>
    <w:rsid w:val="00D56836"/>
    <w:rsid w:val="00D56B66"/>
    <w:rsid w:val="00D57482"/>
    <w:rsid w:val="00D575FC"/>
    <w:rsid w:val="00D60AB2"/>
    <w:rsid w:val="00D60F74"/>
    <w:rsid w:val="00D6184C"/>
    <w:rsid w:val="00D62A75"/>
    <w:rsid w:val="00D62C49"/>
    <w:rsid w:val="00D63053"/>
    <w:rsid w:val="00D63692"/>
    <w:rsid w:val="00D64309"/>
    <w:rsid w:val="00D65A9E"/>
    <w:rsid w:val="00D65F4C"/>
    <w:rsid w:val="00D67FB6"/>
    <w:rsid w:val="00D70C10"/>
    <w:rsid w:val="00D70FE2"/>
    <w:rsid w:val="00D71282"/>
    <w:rsid w:val="00D7161E"/>
    <w:rsid w:val="00D71947"/>
    <w:rsid w:val="00D7293C"/>
    <w:rsid w:val="00D73B7D"/>
    <w:rsid w:val="00D74BBB"/>
    <w:rsid w:val="00D7513F"/>
    <w:rsid w:val="00D75A1C"/>
    <w:rsid w:val="00D77590"/>
    <w:rsid w:val="00D80046"/>
    <w:rsid w:val="00D8040B"/>
    <w:rsid w:val="00D80B19"/>
    <w:rsid w:val="00D80C80"/>
    <w:rsid w:val="00D80DB3"/>
    <w:rsid w:val="00D81289"/>
    <w:rsid w:val="00D81E3B"/>
    <w:rsid w:val="00D82B0B"/>
    <w:rsid w:val="00D82BBD"/>
    <w:rsid w:val="00D82F88"/>
    <w:rsid w:val="00D83483"/>
    <w:rsid w:val="00D8614D"/>
    <w:rsid w:val="00D86B64"/>
    <w:rsid w:val="00D900B5"/>
    <w:rsid w:val="00D902EE"/>
    <w:rsid w:val="00D910B2"/>
    <w:rsid w:val="00D9181A"/>
    <w:rsid w:val="00D91997"/>
    <w:rsid w:val="00D923B2"/>
    <w:rsid w:val="00D92C02"/>
    <w:rsid w:val="00D92CC8"/>
    <w:rsid w:val="00D93581"/>
    <w:rsid w:val="00D93E2A"/>
    <w:rsid w:val="00D951BE"/>
    <w:rsid w:val="00D95253"/>
    <w:rsid w:val="00D9560A"/>
    <w:rsid w:val="00D95C10"/>
    <w:rsid w:val="00D9651B"/>
    <w:rsid w:val="00D96961"/>
    <w:rsid w:val="00D975E2"/>
    <w:rsid w:val="00DA043D"/>
    <w:rsid w:val="00DA0D67"/>
    <w:rsid w:val="00DA2663"/>
    <w:rsid w:val="00DA2762"/>
    <w:rsid w:val="00DA31D2"/>
    <w:rsid w:val="00DA37AD"/>
    <w:rsid w:val="00DA3E60"/>
    <w:rsid w:val="00DA442B"/>
    <w:rsid w:val="00DA474A"/>
    <w:rsid w:val="00DA5EA9"/>
    <w:rsid w:val="00DA6250"/>
    <w:rsid w:val="00DA6EEF"/>
    <w:rsid w:val="00DA78D9"/>
    <w:rsid w:val="00DB1777"/>
    <w:rsid w:val="00DB25ED"/>
    <w:rsid w:val="00DB2698"/>
    <w:rsid w:val="00DB303C"/>
    <w:rsid w:val="00DB3C0D"/>
    <w:rsid w:val="00DB3CEC"/>
    <w:rsid w:val="00DB45FE"/>
    <w:rsid w:val="00DB470D"/>
    <w:rsid w:val="00DB49DE"/>
    <w:rsid w:val="00DC0121"/>
    <w:rsid w:val="00DC0395"/>
    <w:rsid w:val="00DC04F9"/>
    <w:rsid w:val="00DC0CB8"/>
    <w:rsid w:val="00DC0FAC"/>
    <w:rsid w:val="00DC10CA"/>
    <w:rsid w:val="00DC1D14"/>
    <w:rsid w:val="00DC2A98"/>
    <w:rsid w:val="00DC2B5F"/>
    <w:rsid w:val="00DC2CCF"/>
    <w:rsid w:val="00DC2F3E"/>
    <w:rsid w:val="00DC2F91"/>
    <w:rsid w:val="00DC341E"/>
    <w:rsid w:val="00DC3779"/>
    <w:rsid w:val="00DC437C"/>
    <w:rsid w:val="00DC4610"/>
    <w:rsid w:val="00DC570A"/>
    <w:rsid w:val="00DC5D50"/>
    <w:rsid w:val="00DC736C"/>
    <w:rsid w:val="00DC7376"/>
    <w:rsid w:val="00DC745C"/>
    <w:rsid w:val="00DD0593"/>
    <w:rsid w:val="00DD2A88"/>
    <w:rsid w:val="00DD3B9C"/>
    <w:rsid w:val="00DD42C2"/>
    <w:rsid w:val="00DD522D"/>
    <w:rsid w:val="00DD5CEB"/>
    <w:rsid w:val="00DD7964"/>
    <w:rsid w:val="00DD7FC2"/>
    <w:rsid w:val="00DE0023"/>
    <w:rsid w:val="00DE04B4"/>
    <w:rsid w:val="00DE0A47"/>
    <w:rsid w:val="00DE130E"/>
    <w:rsid w:val="00DE15CF"/>
    <w:rsid w:val="00DE1C0E"/>
    <w:rsid w:val="00DE2458"/>
    <w:rsid w:val="00DE42B7"/>
    <w:rsid w:val="00DE5353"/>
    <w:rsid w:val="00DE57DE"/>
    <w:rsid w:val="00DE5868"/>
    <w:rsid w:val="00DE5928"/>
    <w:rsid w:val="00DE5D3B"/>
    <w:rsid w:val="00DF051D"/>
    <w:rsid w:val="00DF0AF3"/>
    <w:rsid w:val="00DF2351"/>
    <w:rsid w:val="00DF2A7F"/>
    <w:rsid w:val="00DF2E7B"/>
    <w:rsid w:val="00DF315E"/>
    <w:rsid w:val="00DF408A"/>
    <w:rsid w:val="00DF7008"/>
    <w:rsid w:val="00DF71C6"/>
    <w:rsid w:val="00DF7629"/>
    <w:rsid w:val="00DF7972"/>
    <w:rsid w:val="00E0037E"/>
    <w:rsid w:val="00E003DF"/>
    <w:rsid w:val="00E0157E"/>
    <w:rsid w:val="00E01E4A"/>
    <w:rsid w:val="00E021F0"/>
    <w:rsid w:val="00E02683"/>
    <w:rsid w:val="00E03277"/>
    <w:rsid w:val="00E046AE"/>
    <w:rsid w:val="00E05FE8"/>
    <w:rsid w:val="00E06082"/>
    <w:rsid w:val="00E07734"/>
    <w:rsid w:val="00E12EEF"/>
    <w:rsid w:val="00E13ED5"/>
    <w:rsid w:val="00E14D48"/>
    <w:rsid w:val="00E14DD3"/>
    <w:rsid w:val="00E15269"/>
    <w:rsid w:val="00E169AA"/>
    <w:rsid w:val="00E16AC7"/>
    <w:rsid w:val="00E17220"/>
    <w:rsid w:val="00E17F6F"/>
    <w:rsid w:val="00E20260"/>
    <w:rsid w:val="00E2088F"/>
    <w:rsid w:val="00E20981"/>
    <w:rsid w:val="00E214A6"/>
    <w:rsid w:val="00E22455"/>
    <w:rsid w:val="00E22B61"/>
    <w:rsid w:val="00E23206"/>
    <w:rsid w:val="00E24879"/>
    <w:rsid w:val="00E249B5"/>
    <w:rsid w:val="00E24BEA"/>
    <w:rsid w:val="00E24CA4"/>
    <w:rsid w:val="00E250EF"/>
    <w:rsid w:val="00E25455"/>
    <w:rsid w:val="00E25BB0"/>
    <w:rsid w:val="00E25E3F"/>
    <w:rsid w:val="00E25FA4"/>
    <w:rsid w:val="00E26128"/>
    <w:rsid w:val="00E26523"/>
    <w:rsid w:val="00E276C9"/>
    <w:rsid w:val="00E31041"/>
    <w:rsid w:val="00E3146C"/>
    <w:rsid w:val="00E31A1E"/>
    <w:rsid w:val="00E31D97"/>
    <w:rsid w:val="00E31D9F"/>
    <w:rsid w:val="00E323BE"/>
    <w:rsid w:val="00E327FD"/>
    <w:rsid w:val="00E33D2C"/>
    <w:rsid w:val="00E33D8B"/>
    <w:rsid w:val="00E344B4"/>
    <w:rsid w:val="00E345C3"/>
    <w:rsid w:val="00E354B9"/>
    <w:rsid w:val="00E35F77"/>
    <w:rsid w:val="00E366A5"/>
    <w:rsid w:val="00E37541"/>
    <w:rsid w:val="00E375D9"/>
    <w:rsid w:val="00E409A7"/>
    <w:rsid w:val="00E41235"/>
    <w:rsid w:val="00E41C36"/>
    <w:rsid w:val="00E41FA0"/>
    <w:rsid w:val="00E420AD"/>
    <w:rsid w:val="00E42BC8"/>
    <w:rsid w:val="00E42F92"/>
    <w:rsid w:val="00E43108"/>
    <w:rsid w:val="00E43E9E"/>
    <w:rsid w:val="00E4400C"/>
    <w:rsid w:val="00E44CD3"/>
    <w:rsid w:val="00E45975"/>
    <w:rsid w:val="00E45F60"/>
    <w:rsid w:val="00E46606"/>
    <w:rsid w:val="00E50B93"/>
    <w:rsid w:val="00E525B6"/>
    <w:rsid w:val="00E5460C"/>
    <w:rsid w:val="00E553AC"/>
    <w:rsid w:val="00E55770"/>
    <w:rsid w:val="00E55A5E"/>
    <w:rsid w:val="00E5628D"/>
    <w:rsid w:val="00E56603"/>
    <w:rsid w:val="00E56EEB"/>
    <w:rsid w:val="00E6051C"/>
    <w:rsid w:val="00E61B4F"/>
    <w:rsid w:val="00E6261D"/>
    <w:rsid w:val="00E6294B"/>
    <w:rsid w:val="00E62AEC"/>
    <w:rsid w:val="00E63B1F"/>
    <w:rsid w:val="00E64D45"/>
    <w:rsid w:val="00E652BF"/>
    <w:rsid w:val="00E6582D"/>
    <w:rsid w:val="00E67721"/>
    <w:rsid w:val="00E679A8"/>
    <w:rsid w:val="00E72489"/>
    <w:rsid w:val="00E73128"/>
    <w:rsid w:val="00E74E3A"/>
    <w:rsid w:val="00E74FC2"/>
    <w:rsid w:val="00E76317"/>
    <w:rsid w:val="00E76714"/>
    <w:rsid w:val="00E77E8C"/>
    <w:rsid w:val="00E80779"/>
    <w:rsid w:val="00E8176C"/>
    <w:rsid w:val="00E82E83"/>
    <w:rsid w:val="00E8439C"/>
    <w:rsid w:val="00E85C2E"/>
    <w:rsid w:val="00E86284"/>
    <w:rsid w:val="00E86893"/>
    <w:rsid w:val="00E86ABB"/>
    <w:rsid w:val="00E87E80"/>
    <w:rsid w:val="00E90172"/>
    <w:rsid w:val="00E9035A"/>
    <w:rsid w:val="00E9053C"/>
    <w:rsid w:val="00E9165D"/>
    <w:rsid w:val="00E91A44"/>
    <w:rsid w:val="00E9235C"/>
    <w:rsid w:val="00E934D8"/>
    <w:rsid w:val="00E93862"/>
    <w:rsid w:val="00E93C33"/>
    <w:rsid w:val="00E952F4"/>
    <w:rsid w:val="00E95611"/>
    <w:rsid w:val="00E97331"/>
    <w:rsid w:val="00E9748E"/>
    <w:rsid w:val="00E976A3"/>
    <w:rsid w:val="00EA2A4B"/>
    <w:rsid w:val="00EA2F2D"/>
    <w:rsid w:val="00EA3DE6"/>
    <w:rsid w:val="00EA514F"/>
    <w:rsid w:val="00EA5947"/>
    <w:rsid w:val="00EA73FB"/>
    <w:rsid w:val="00EA7CB9"/>
    <w:rsid w:val="00EB0A28"/>
    <w:rsid w:val="00EB0DD9"/>
    <w:rsid w:val="00EB1220"/>
    <w:rsid w:val="00EB22DD"/>
    <w:rsid w:val="00EB3C9F"/>
    <w:rsid w:val="00EB4128"/>
    <w:rsid w:val="00EB47F0"/>
    <w:rsid w:val="00EB4C34"/>
    <w:rsid w:val="00EB52BB"/>
    <w:rsid w:val="00EB71D1"/>
    <w:rsid w:val="00EB76BF"/>
    <w:rsid w:val="00EC06EF"/>
    <w:rsid w:val="00EC4399"/>
    <w:rsid w:val="00EC474D"/>
    <w:rsid w:val="00EC5C97"/>
    <w:rsid w:val="00EC5E10"/>
    <w:rsid w:val="00EC66D3"/>
    <w:rsid w:val="00EC7453"/>
    <w:rsid w:val="00EC7521"/>
    <w:rsid w:val="00EC7DE8"/>
    <w:rsid w:val="00ED03F8"/>
    <w:rsid w:val="00ED13E4"/>
    <w:rsid w:val="00ED1451"/>
    <w:rsid w:val="00ED2372"/>
    <w:rsid w:val="00ED248B"/>
    <w:rsid w:val="00ED2542"/>
    <w:rsid w:val="00ED2E63"/>
    <w:rsid w:val="00ED36BB"/>
    <w:rsid w:val="00ED3B77"/>
    <w:rsid w:val="00ED4EA1"/>
    <w:rsid w:val="00ED58AF"/>
    <w:rsid w:val="00ED5F3E"/>
    <w:rsid w:val="00ED7609"/>
    <w:rsid w:val="00ED7B5A"/>
    <w:rsid w:val="00ED7D19"/>
    <w:rsid w:val="00ED7DFB"/>
    <w:rsid w:val="00ED7F85"/>
    <w:rsid w:val="00EE0973"/>
    <w:rsid w:val="00EE133D"/>
    <w:rsid w:val="00EE28F7"/>
    <w:rsid w:val="00EE2B40"/>
    <w:rsid w:val="00EE31BB"/>
    <w:rsid w:val="00EE3214"/>
    <w:rsid w:val="00EE3C84"/>
    <w:rsid w:val="00EE3CDC"/>
    <w:rsid w:val="00EE3EFB"/>
    <w:rsid w:val="00EE40A5"/>
    <w:rsid w:val="00EE42F8"/>
    <w:rsid w:val="00EE50C3"/>
    <w:rsid w:val="00EE5329"/>
    <w:rsid w:val="00EE5FC5"/>
    <w:rsid w:val="00EE77E0"/>
    <w:rsid w:val="00EF3AD1"/>
    <w:rsid w:val="00EF420E"/>
    <w:rsid w:val="00EF4572"/>
    <w:rsid w:val="00EF4F2A"/>
    <w:rsid w:val="00EF6296"/>
    <w:rsid w:val="00EF7052"/>
    <w:rsid w:val="00EF7245"/>
    <w:rsid w:val="00F02388"/>
    <w:rsid w:val="00F03D3E"/>
    <w:rsid w:val="00F04700"/>
    <w:rsid w:val="00F062E2"/>
    <w:rsid w:val="00F06CC5"/>
    <w:rsid w:val="00F07197"/>
    <w:rsid w:val="00F115FF"/>
    <w:rsid w:val="00F128A9"/>
    <w:rsid w:val="00F13A00"/>
    <w:rsid w:val="00F14ACC"/>
    <w:rsid w:val="00F15498"/>
    <w:rsid w:val="00F1568B"/>
    <w:rsid w:val="00F16D08"/>
    <w:rsid w:val="00F171F9"/>
    <w:rsid w:val="00F17F0D"/>
    <w:rsid w:val="00F20926"/>
    <w:rsid w:val="00F21110"/>
    <w:rsid w:val="00F218CF"/>
    <w:rsid w:val="00F21903"/>
    <w:rsid w:val="00F225AA"/>
    <w:rsid w:val="00F22B08"/>
    <w:rsid w:val="00F230BC"/>
    <w:rsid w:val="00F23650"/>
    <w:rsid w:val="00F246FA"/>
    <w:rsid w:val="00F24CAC"/>
    <w:rsid w:val="00F26E99"/>
    <w:rsid w:val="00F27C87"/>
    <w:rsid w:val="00F30699"/>
    <w:rsid w:val="00F30B5D"/>
    <w:rsid w:val="00F32D41"/>
    <w:rsid w:val="00F34110"/>
    <w:rsid w:val="00F34349"/>
    <w:rsid w:val="00F34564"/>
    <w:rsid w:val="00F34B7C"/>
    <w:rsid w:val="00F35666"/>
    <w:rsid w:val="00F35957"/>
    <w:rsid w:val="00F359BD"/>
    <w:rsid w:val="00F36560"/>
    <w:rsid w:val="00F36C92"/>
    <w:rsid w:val="00F37A75"/>
    <w:rsid w:val="00F40154"/>
    <w:rsid w:val="00F402E5"/>
    <w:rsid w:val="00F40F0B"/>
    <w:rsid w:val="00F41559"/>
    <w:rsid w:val="00F42C20"/>
    <w:rsid w:val="00F42C71"/>
    <w:rsid w:val="00F42D05"/>
    <w:rsid w:val="00F440FB"/>
    <w:rsid w:val="00F441C9"/>
    <w:rsid w:val="00F44AEC"/>
    <w:rsid w:val="00F45B9A"/>
    <w:rsid w:val="00F46857"/>
    <w:rsid w:val="00F47084"/>
    <w:rsid w:val="00F50B30"/>
    <w:rsid w:val="00F51D33"/>
    <w:rsid w:val="00F5218E"/>
    <w:rsid w:val="00F52299"/>
    <w:rsid w:val="00F52922"/>
    <w:rsid w:val="00F5461B"/>
    <w:rsid w:val="00F5559F"/>
    <w:rsid w:val="00F55623"/>
    <w:rsid w:val="00F55D7F"/>
    <w:rsid w:val="00F565C7"/>
    <w:rsid w:val="00F60092"/>
    <w:rsid w:val="00F61AD4"/>
    <w:rsid w:val="00F61C12"/>
    <w:rsid w:val="00F61C90"/>
    <w:rsid w:val="00F61EA7"/>
    <w:rsid w:val="00F6305F"/>
    <w:rsid w:val="00F637B2"/>
    <w:rsid w:val="00F63BD6"/>
    <w:rsid w:val="00F63CDA"/>
    <w:rsid w:val="00F644C4"/>
    <w:rsid w:val="00F65CE4"/>
    <w:rsid w:val="00F65DA3"/>
    <w:rsid w:val="00F66A13"/>
    <w:rsid w:val="00F66A91"/>
    <w:rsid w:val="00F73AB4"/>
    <w:rsid w:val="00F73C51"/>
    <w:rsid w:val="00F73E83"/>
    <w:rsid w:val="00F74620"/>
    <w:rsid w:val="00F74D0A"/>
    <w:rsid w:val="00F7515B"/>
    <w:rsid w:val="00F751F8"/>
    <w:rsid w:val="00F765F0"/>
    <w:rsid w:val="00F774D8"/>
    <w:rsid w:val="00F80096"/>
    <w:rsid w:val="00F800A2"/>
    <w:rsid w:val="00F808DB"/>
    <w:rsid w:val="00F81143"/>
    <w:rsid w:val="00F81C3E"/>
    <w:rsid w:val="00F81EA4"/>
    <w:rsid w:val="00F83385"/>
    <w:rsid w:val="00F83397"/>
    <w:rsid w:val="00F83F90"/>
    <w:rsid w:val="00F8438A"/>
    <w:rsid w:val="00F856BC"/>
    <w:rsid w:val="00F86538"/>
    <w:rsid w:val="00F86DB7"/>
    <w:rsid w:val="00F86DD4"/>
    <w:rsid w:val="00F91B9E"/>
    <w:rsid w:val="00F927B5"/>
    <w:rsid w:val="00F939C2"/>
    <w:rsid w:val="00F957DD"/>
    <w:rsid w:val="00F9620B"/>
    <w:rsid w:val="00F96BB8"/>
    <w:rsid w:val="00F97903"/>
    <w:rsid w:val="00FA015C"/>
    <w:rsid w:val="00FA016E"/>
    <w:rsid w:val="00FA02FA"/>
    <w:rsid w:val="00FA0582"/>
    <w:rsid w:val="00FA0595"/>
    <w:rsid w:val="00FA1102"/>
    <w:rsid w:val="00FA1A5E"/>
    <w:rsid w:val="00FA1E69"/>
    <w:rsid w:val="00FA21C8"/>
    <w:rsid w:val="00FA34AC"/>
    <w:rsid w:val="00FA60B6"/>
    <w:rsid w:val="00FA628E"/>
    <w:rsid w:val="00FA7EFC"/>
    <w:rsid w:val="00FB05A1"/>
    <w:rsid w:val="00FB0E40"/>
    <w:rsid w:val="00FB18F1"/>
    <w:rsid w:val="00FB47AA"/>
    <w:rsid w:val="00FB4D1F"/>
    <w:rsid w:val="00FB5C06"/>
    <w:rsid w:val="00FB6A45"/>
    <w:rsid w:val="00FB78B3"/>
    <w:rsid w:val="00FC0951"/>
    <w:rsid w:val="00FC1001"/>
    <w:rsid w:val="00FC23F3"/>
    <w:rsid w:val="00FC25E0"/>
    <w:rsid w:val="00FC2A6F"/>
    <w:rsid w:val="00FC3038"/>
    <w:rsid w:val="00FC3DF5"/>
    <w:rsid w:val="00FC4248"/>
    <w:rsid w:val="00FC5252"/>
    <w:rsid w:val="00FC610F"/>
    <w:rsid w:val="00FC6B09"/>
    <w:rsid w:val="00FC74DE"/>
    <w:rsid w:val="00FC7891"/>
    <w:rsid w:val="00FD020E"/>
    <w:rsid w:val="00FD2D8E"/>
    <w:rsid w:val="00FD397A"/>
    <w:rsid w:val="00FD3C75"/>
    <w:rsid w:val="00FD4C7A"/>
    <w:rsid w:val="00FD5822"/>
    <w:rsid w:val="00FD5C20"/>
    <w:rsid w:val="00FD5DAA"/>
    <w:rsid w:val="00FD62DA"/>
    <w:rsid w:val="00FD6998"/>
    <w:rsid w:val="00FD770D"/>
    <w:rsid w:val="00FD7B6F"/>
    <w:rsid w:val="00FE02B6"/>
    <w:rsid w:val="00FE1452"/>
    <w:rsid w:val="00FE1832"/>
    <w:rsid w:val="00FE1F76"/>
    <w:rsid w:val="00FE28B2"/>
    <w:rsid w:val="00FE2D33"/>
    <w:rsid w:val="00FE35B3"/>
    <w:rsid w:val="00FE5D4F"/>
    <w:rsid w:val="00FE6B2E"/>
    <w:rsid w:val="00FE6D11"/>
    <w:rsid w:val="00FE7713"/>
    <w:rsid w:val="00FE7927"/>
    <w:rsid w:val="00FE7A5D"/>
    <w:rsid w:val="00FF02FD"/>
    <w:rsid w:val="00FF0B5C"/>
    <w:rsid w:val="00FF0F0E"/>
    <w:rsid w:val="00FF143B"/>
    <w:rsid w:val="00FF1C4D"/>
    <w:rsid w:val="00FF295F"/>
    <w:rsid w:val="00FF2DE9"/>
    <w:rsid w:val="00FF30F9"/>
    <w:rsid w:val="00FF40AB"/>
    <w:rsid w:val="00FF48A4"/>
    <w:rsid w:val="00FF5E09"/>
    <w:rsid w:val="00FF629C"/>
    <w:rsid w:val="00FF66DE"/>
    <w:rsid w:val="00FF680D"/>
    <w:rsid w:val="00FF7736"/>
    <w:rsid w:val="00FF7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EA0"/>
    <w:pPr>
      <w:spacing w:after="240" w:line="280" w:lineRule="atLeast"/>
    </w:pPr>
    <w:rPr>
      <w:rFonts w:ascii="Arial" w:eastAsia="Times New Roman" w:hAnsi="Arial"/>
      <w:sz w:val="22"/>
    </w:rPr>
  </w:style>
  <w:style w:type="paragraph" w:styleId="Heading1">
    <w:name w:val="heading 1"/>
    <w:basedOn w:val="Normal"/>
    <w:next w:val="Normal"/>
    <w:link w:val="Heading1Char"/>
    <w:qFormat/>
    <w:rsid w:val="00BC3EA0"/>
    <w:pPr>
      <w:spacing w:before="120" w:line="240" w:lineRule="auto"/>
      <w:outlineLvl w:val="0"/>
    </w:pPr>
    <w:rPr>
      <w:b/>
      <w:color w:val="002469"/>
      <w:spacing w:val="20"/>
      <w:w w:val="90"/>
      <w:sz w:val="44"/>
      <w:szCs w:val="44"/>
    </w:rPr>
  </w:style>
  <w:style w:type="paragraph" w:styleId="Heading2">
    <w:name w:val="heading 2"/>
    <w:basedOn w:val="Normal"/>
    <w:next w:val="Normal"/>
    <w:link w:val="Heading2Char"/>
    <w:autoRedefine/>
    <w:qFormat/>
    <w:rsid w:val="0005691A"/>
    <w:pPr>
      <w:keepNext/>
      <w:spacing w:before="120" w:after="180" w:line="240" w:lineRule="auto"/>
      <w:outlineLvl w:val="1"/>
    </w:pPr>
    <w:rPr>
      <w:b/>
      <w:color w:val="0082AB"/>
      <w:spacing w:val="20"/>
      <w:w w:val="90"/>
      <w:sz w:val="32"/>
      <w:szCs w:val="24"/>
    </w:rPr>
  </w:style>
  <w:style w:type="paragraph" w:styleId="Heading3">
    <w:name w:val="heading 3"/>
    <w:basedOn w:val="Heading2"/>
    <w:next w:val="Normal"/>
    <w:link w:val="Heading3Char"/>
    <w:qFormat/>
    <w:rsid w:val="00BC3EA0"/>
    <w:pPr>
      <w:spacing w:before="200"/>
      <w:outlineLvl w:val="2"/>
    </w:pPr>
    <w:rPr>
      <w:sz w:val="24"/>
      <w:szCs w:val="22"/>
    </w:rPr>
  </w:style>
  <w:style w:type="paragraph" w:styleId="Heading4">
    <w:name w:val="heading 4"/>
    <w:basedOn w:val="Normal"/>
    <w:next w:val="Normal"/>
    <w:link w:val="Heading4Char"/>
    <w:qFormat/>
    <w:rsid w:val="00BC3EA0"/>
    <w:pPr>
      <w:spacing w:before="120" w:after="200" w:line="240" w:lineRule="auto"/>
      <w:outlineLvl w:val="3"/>
    </w:pPr>
    <w:rPr>
      <w:b/>
      <w:bCs/>
      <w:color w:val="335087"/>
      <w:sz w:val="20"/>
    </w:rPr>
  </w:style>
  <w:style w:type="paragraph" w:styleId="Heading5">
    <w:name w:val="heading 5"/>
    <w:basedOn w:val="Normal"/>
    <w:next w:val="Normal"/>
    <w:link w:val="Heading5Char"/>
    <w:rsid w:val="00BC3EA0"/>
    <w:pPr>
      <w:keepNext/>
      <w:widowControl w:val="0"/>
      <w:spacing w:before="80" w:after="120"/>
      <w:outlineLvl w:val="4"/>
    </w:pPr>
    <w:rPr>
      <w:color w:val="000000"/>
      <w:szCs w:val="22"/>
    </w:rPr>
  </w:style>
  <w:style w:type="paragraph" w:styleId="Heading6">
    <w:name w:val="heading 6"/>
    <w:basedOn w:val="Normal"/>
    <w:next w:val="Normal"/>
    <w:link w:val="Heading6Char"/>
    <w:rsid w:val="00BC3EA0"/>
    <w:pPr>
      <w:spacing w:before="240"/>
      <w:outlineLvl w:val="5"/>
    </w:pPr>
    <w:rPr>
      <w:i/>
      <w:sz w:val="20"/>
    </w:rPr>
  </w:style>
  <w:style w:type="paragraph" w:styleId="Heading7">
    <w:name w:val="heading 7"/>
    <w:basedOn w:val="Normal"/>
    <w:next w:val="Normal"/>
    <w:link w:val="Heading7Char"/>
    <w:rsid w:val="00BC3EA0"/>
    <w:pPr>
      <w:spacing w:before="240"/>
      <w:outlineLvl w:val="6"/>
    </w:pPr>
    <w:rPr>
      <w:sz w:val="20"/>
    </w:rPr>
  </w:style>
  <w:style w:type="paragraph" w:styleId="Heading8">
    <w:name w:val="heading 8"/>
    <w:basedOn w:val="Normal"/>
    <w:next w:val="Normal"/>
    <w:link w:val="Heading8Char"/>
    <w:rsid w:val="00BC3EA0"/>
    <w:pPr>
      <w:spacing w:before="80" w:after="80"/>
      <w:outlineLvl w:val="7"/>
    </w:pPr>
    <w:rPr>
      <w:sz w:val="20"/>
    </w:rPr>
  </w:style>
  <w:style w:type="paragraph" w:styleId="Heading9">
    <w:name w:val="heading 9"/>
    <w:next w:val="Normal"/>
    <w:link w:val="Heading9Char"/>
    <w:rsid w:val="00BC3EA0"/>
    <w:pPr>
      <w:keepNext/>
      <w:spacing w:before="160" w:line="260" w:lineRule="exact"/>
      <w:outlineLvl w:val="8"/>
    </w:pPr>
    <w:rPr>
      <w:rFonts w:ascii="Arial" w:eastAsia="Times New Roman"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rsid w:val="00FA7EFC"/>
    <w:pPr>
      <w:spacing w:after="0" w:line="240" w:lineRule="auto"/>
      <w:ind w:left="-1985"/>
      <w:jc w:val="right"/>
    </w:pPr>
    <w:rPr>
      <w:noProof/>
      <w:color w:val="0082AB"/>
      <w:spacing w:val="6"/>
      <w:sz w:val="16"/>
      <w:szCs w:val="16"/>
    </w:rPr>
  </w:style>
  <w:style w:type="character" w:customStyle="1" w:styleId="FooterChar">
    <w:name w:val="Footer Char"/>
    <w:link w:val="Footer"/>
    <w:rsid w:val="00FA7EFC"/>
    <w:rPr>
      <w:rFonts w:ascii="Arial" w:eastAsia="Times New Roman" w:hAnsi="Arial" w:cs="Times New Roman"/>
      <w:noProof/>
      <w:color w:val="0082AB"/>
      <w:spacing w:val="6"/>
      <w:sz w:val="16"/>
      <w:szCs w:val="16"/>
      <w:lang w:val="en-GB" w:eastAsia="en-GB"/>
    </w:rPr>
  </w:style>
  <w:style w:type="table" w:styleId="TableGrid">
    <w:name w:val="Table Grid"/>
    <w:basedOn w:val="TableNormal"/>
    <w:rsid w:val="00BC3EA0"/>
    <w:pPr>
      <w:jc w:val="both"/>
    </w:pPr>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C3EA0"/>
    <w:rPr>
      <w:rFonts w:ascii="Tahoma" w:hAnsi="Tahoma" w:cs="Tahoma"/>
      <w:sz w:val="16"/>
      <w:szCs w:val="16"/>
    </w:rPr>
  </w:style>
  <w:style w:type="character" w:customStyle="1" w:styleId="BalloonTextChar">
    <w:name w:val="Balloon Text Char"/>
    <w:link w:val="BalloonText"/>
    <w:semiHidden/>
    <w:rsid w:val="00487FAD"/>
    <w:rPr>
      <w:rFonts w:ascii="Tahoma" w:eastAsia="Times New Roman" w:hAnsi="Tahoma" w:cs="Tahoma"/>
      <w:sz w:val="16"/>
      <w:szCs w:val="16"/>
      <w:lang w:val="en-GB" w:eastAsia="en-GB"/>
    </w:rPr>
  </w:style>
  <w:style w:type="paragraph" w:styleId="ListParagraph">
    <w:name w:val="List Paragraph"/>
    <w:basedOn w:val="Normal"/>
    <w:uiPriority w:val="34"/>
    <w:qFormat/>
    <w:rsid w:val="00D278AA"/>
    <w:pPr>
      <w:ind w:left="720"/>
      <w:contextualSpacing/>
    </w:pPr>
  </w:style>
  <w:style w:type="character" w:styleId="Hyperlink">
    <w:name w:val="Hyperlink"/>
    <w:uiPriority w:val="99"/>
    <w:rsid w:val="00537EFE"/>
    <w:rPr>
      <w:color w:val="0082AB"/>
      <w:u w:val="single"/>
    </w:rPr>
  </w:style>
  <w:style w:type="character" w:styleId="CommentReference">
    <w:name w:val="annotation reference"/>
    <w:semiHidden/>
    <w:rsid w:val="00BC3EA0"/>
    <w:rPr>
      <w:sz w:val="16"/>
      <w:szCs w:val="16"/>
    </w:rPr>
  </w:style>
  <w:style w:type="paragraph" w:styleId="CommentText">
    <w:name w:val="annotation text"/>
    <w:basedOn w:val="Normal"/>
    <w:link w:val="CommentTextChar"/>
    <w:semiHidden/>
    <w:rsid w:val="00BC3EA0"/>
    <w:rPr>
      <w:sz w:val="20"/>
    </w:rPr>
  </w:style>
  <w:style w:type="character" w:customStyle="1" w:styleId="CommentTextChar">
    <w:name w:val="Comment Text Char"/>
    <w:link w:val="CommentText"/>
    <w:semiHidden/>
    <w:rsid w:val="004A4084"/>
    <w:rPr>
      <w:rFonts w:ascii="Arial" w:eastAsia="Times New Roman" w:hAnsi="Arial" w:cs="Times New Roman"/>
      <w:sz w:val="20"/>
      <w:szCs w:val="20"/>
      <w:lang w:val="en-GB" w:eastAsia="en-GB"/>
    </w:rPr>
  </w:style>
  <w:style w:type="paragraph" w:customStyle="1" w:styleId="BodyText-Numbered">
    <w:name w:val="Body Text - Numbered"/>
    <w:basedOn w:val="BodyText"/>
    <w:link w:val="BodyText-NumberedChar"/>
    <w:qFormat/>
    <w:rsid w:val="004A4084"/>
    <w:pPr>
      <w:keepNext/>
      <w:numPr>
        <w:numId w:val="6"/>
      </w:numPr>
      <w:spacing w:before="60" w:line="240" w:lineRule="auto"/>
    </w:pPr>
    <w:rPr>
      <w:rFonts w:cs="Arial"/>
    </w:rPr>
  </w:style>
  <w:style w:type="character" w:customStyle="1" w:styleId="BodyText-NumberedChar">
    <w:name w:val="Body Text - Numbered Char"/>
    <w:link w:val="BodyText-Numbered"/>
    <w:rsid w:val="004A4084"/>
    <w:rPr>
      <w:rFonts w:ascii="Arial" w:eastAsia="Times New Roman" w:hAnsi="Arial" w:cs="Arial"/>
      <w:szCs w:val="20"/>
      <w:lang w:eastAsia="en-GB"/>
    </w:rPr>
  </w:style>
  <w:style w:type="paragraph" w:styleId="BodyText">
    <w:name w:val="Body Text"/>
    <w:basedOn w:val="Normal"/>
    <w:link w:val="BodyTextChar"/>
    <w:uiPriority w:val="99"/>
    <w:semiHidden/>
    <w:unhideWhenUsed/>
    <w:rsid w:val="004A4084"/>
    <w:pPr>
      <w:spacing w:after="120"/>
    </w:pPr>
  </w:style>
  <w:style w:type="character" w:customStyle="1" w:styleId="BodyTextChar">
    <w:name w:val="Body Text Char"/>
    <w:basedOn w:val="DefaultParagraphFont"/>
    <w:link w:val="BodyText"/>
    <w:uiPriority w:val="99"/>
    <w:semiHidden/>
    <w:rsid w:val="004A4084"/>
  </w:style>
  <w:style w:type="paragraph" w:customStyle="1" w:styleId="spacer">
    <w:name w:val="spacer"/>
    <w:basedOn w:val="Normal"/>
    <w:qFormat/>
    <w:rsid w:val="00BC3EA0"/>
    <w:pPr>
      <w:spacing w:after="0" w:line="240" w:lineRule="auto"/>
    </w:pPr>
    <w:rPr>
      <w:sz w:val="16"/>
      <w:szCs w:val="22"/>
      <w:lang w:eastAsia="en-AU"/>
    </w:rPr>
  </w:style>
  <w:style w:type="paragraph" w:styleId="CommentSubject">
    <w:name w:val="annotation subject"/>
    <w:basedOn w:val="CommentText"/>
    <w:next w:val="CommentText"/>
    <w:link w:val="CommentSubjectChar"/>
    <w:semiHidden/>
    <w:rsid w:val="00BC3EA0"/>
    <w:rPr>
      <w:b/>
      <w:bCs/>
    </w:rPr>
  </w:style>
  <w:style w:type="character" w:customStyle="1" w:styleId="CommentSubjectChar">
    <w:name w:val="Comment Subject Char"/>
    <w:link w:val="CommentSubject"/>
    <w:semiHidden/>
    <w:rsid w:val="000C4659"/>
    <w:rPr>
      <w:rFonts w:ascii="Arial" w:eastAsia="Times New Roman" w:hAnsi="Arial" w:cs="Times New Roman"/>
      <w:b/>
      <w:bCs/>
      <w:sz w:val="20"/>
      <w:szCs w:val="20"/>
      <w:lang w:val="en-GB" w:eastAsia="en-GB"/>
    </w:rPr>
  </w:style>
  <w:style w:type="paragraph" w:styleId="Header">
    <w:name w:val="header"/>
    <w:basedOn w:val="Normal"/>
    <w:link w:val="HeaderChar"/>
    <w:rsid w:val="00BC3EA0"/>
    <w:pPr>
      <w:tabs>
        <w:tab w:val="center" w:pos="4153"/>
        <w:tab w:val="right" w:pos="8306"/>
      </w:tabs>
    </w:pPr>
  </w:style>
  <w:style w:type="character" w:customStyle="1" w:styleId="HeaderChar">
    <w:name w:val="Header Char"/>
    <w:link w:val="Header"/>
    <w:rsid w:val="008D265C"/>
    <w:rPr>
      <w:rFonts w:ascii="Arial" w:eastAsia="Times New Roman" w:hAnsi="Arial" w:cs="Times New Roman"/>
      <w:szCs w:val="20"/>
      <w:lang w:val="en-GB" w:eastAsia="en-GB"/>
    </w:rPr>
  </w:style>
  <w:style w:type="character" w:styleId="FollowedHyperlink">
    <w:name w:val="FollowedHyperlink"/>
    <w:rsid w:val="00BC3EA0"/>
    <w:rPr>
      <w:color w:val="800080"/>
      <w:u w:val="single"/>
    </w:rPr>
  </w:style>
  <w:style w:type="paragraph" w:styleId="Revision">
    <w:name w:val="Revision"/>
    <w:hidden/>
    <w:uiPriority w:val="99"/>
    <w:semiHidden/>
    <w:rsid w:val="0082413D"/>
    <w:rPr>
      <w:sz w:val="22"/>
      <w:szCs w:val="22"/>
      <w:lang w:val="en-NZ" w:eastAsia="en-US"/>
    </w:rPr>
  </w:style>
  <w:style w:type="paragraph" w:customStyle="1" w:styleId="Author">
    <w:name w:val="Author"/>
    <w:basedOn w:val="Normal"/>
    <w:semiHidden/>
    <w:rsid w:val="00BC3EA0"/>
    <w:pPr>
      <w:spacing w:before="240" w:after="1200"/>
      <w:ind w:left="-181"/>
      <w:jc w:val="right"/>
    </w:pPr>
    <w:rPr>
      <w:rFonts w:cs="Arial"/>
      <w:i/>
      <w:sz w:val="40"/>
      <w:szCs w:val="22"/>
    </w:rPr>
  </w:style>
  <w:style w:type="paragraph" w:customStyle="1" w:styleId="Boxtext">
    <w:name w:val="Box text"/>
    <w:basedOn w:val="Normal"/>
    <w:rsid w:val="00FA7EFC"/>
    <w:pPr>
      <w:pBdr>
        <w:top w:val="single" w:sz="4" w:space="10" w:color="EBF5F8"/>
        <w:left w:val="single" w:sz="4" w:space="4" w:color="EBF5F8"/>
        <w:bottom w:val="single" w:sz="4" w:space="10" w:color="EBF5F8"/>
        <w:right w:val="single" w:sz="4" w:space="4" w:color="EBF5F8"/>
      </w:pBdr>
      <w:shd w:val="clear" w:color="auto" w:fill="EBF5F8"/>
      <w:spacing w:after="80"/>
      <w:ind w:left="142" w:right="142"/>
    </w:pPr>
    <w:rPr>
      <w:i/>
    </w:rPr>
  </w:style>
  <w:style w:type="paragraph" w:customStyle="1" w:styleId="Boxbullet">
    <w:name w:val="Box bullet"/>
    <w:basedOn w:val="Boxtext"/>
    <w:rsid w:val="00BC3EA0"/>
    <w:pPr>
      <w:numPr>
        <w:numId w:val="12"/>
      </w:numPr>
      <w:tabs>
        <w:tab w:val="clear" w:pos="644"/>
        <w:tab w:val="num" w:pos="426"/>
      </w:tabs>
      <w:spacing w:before="80"/>
    </w:pPr>
  </w:style>
  <w:style w:type="paragraph" w:customStyle="1" w:styleId="Boxheading">
    <w:name w:val="Box heading"/>
    <w:basedOn w:val="Normal"/>
    <w:next w:val="Boxtext"/>
    <w:autoRedefine/>
    <w:rsid w:val="00BC3EA0"/>
    <w:pPr>
      <w:spacing w:before="180" w:after="60" w:line="240" w:lineRule="auto"/>
      <w:ind w:left="284" w:right="284"/>
    </w:pPr>
    <w:rPr>
      <w:rFonts w:ascii="Arial Narrow" w:hAnsi="Arial Narrow"/>
      <w:b/>
      <w:bCs/>
      <w:color w:val="335087"/>
      <w:spacing w:val="10"/>
      <w:szCs w:val="22"/>
    </w:rPr>
  </w:style>
  <w:style w:type="paragraph" w:customStyle="1" w:styleId="Boxindent">
    <w:name w:val="Box indent"/>
    <w:basedOn w:val="Boxtext"/>
    <w:rsid w:val="00BC3EA0"/>
    <w:pPr>
      <w:tabs>
        <w:tab w:val="left" w:pos="426"/>
      </w:tabs>
      <w:ind w:left="426" w:hanging="284"/>
    </w:pPr>
  </w:style>
  <w:style w:type="paragraph" w:customStyle="1" w:styleId="Bullet-list">
    <w:name w:val="Bullet-list"/>
    <w:qFormat/>
    <w:rsid w:val="00BC3EA0"/>
    <w:pPr>
      <w:numPr>
        <w:numId w:val="13"/>
      </w:numPr>
      <w:spacing w:after="180" w:line="280" w:lineRule="exact"/>
    </w:pPr>
    <w:rPr>
      <w:rFonts w:ascii="Arial" w:eastAsia="Times New Roman" w:hAnsi="Arial"/>
      <w:sz w:val="22"/>
      <w:lang w:val="en-AU" w:eastAsia="en-US"/>
    </w:rPr>
  </w:style>
  <w:style w:type="paragraph" w:styleId="Caption">
    <w:name w:val="caption"/>
    <w:basedOn w:val="Normal"/>
    <w:next w:val="Normal"/>
    <w:rsid w:val="00BC3EA0"/>
    <w:rPr>
      <w:b/>
      <w:bCs/>
      <w:sz w:val="20"/>
    </w:rPr>
  </w:style>
  <w:style w:type="paragraph" w:styleId="DocumentMap">
    <w:name w:val="Document Map"/>
    <w:basedOn w:val="Normal"/>
    <w:link w:val="DocumentMapChar"/>
    <w:semiHidden/>
    <w:rsid w:val="00BC3EA0"/>
    <w:pPr>
      <w:shd w:val="clear" w:color="auto" w:fill="000080"/>
    </w:pPr>
    <w:rPr>
      <w:rFonts w:ascii="Tahoma" w:hAnsi="Tahoma" w:cs="Tahoma"/>
      <w:sz w:val="20"/>
    </w:rPr>
  </w:style>
  <w:style w:type="character" w:customStyle="1" w:styleId="DocumentMapChar">
    <w:name w:val="Document Map Char"/>
    <w:link w:val="DocumentMap"/>
    <w:semiHidden/>
    <w:rsid w:val="00BC3EA0"/>
    <w:rPr>
      <w:rFonts w:ascii="Tahoma" w:eastAsia="Times New Roman" w:hAnsi="Tahoma" w:cs="Tahoma"/>
      <w:sz w:val="20"/>
      <w:szCs w:val="20"/>
      <w:shd w:val="clear" w:color="auto" w:fill="000080"/>
      <w:lang w:val="en-GB" w:eastAsia="en-GB"/>
    </w:rPr>
  </w:style>
  <w:style w:type="paragraph" w:customStyle="1" w:styleId="EvenFooter">
    <w:name w:val="Even Footer"/>
    <w:basedOn w:val="Footer"/>
    <w:rsid w:val="00BC3EA0"/>
    <w:pPr>
      <w:jc w:val="left"/>
    </w:pPr>
  </w:style>
  <w:style w:type="paragraph" w:customStyle="1" w:styleId="Evenfooter-wide">
    <w:name w:val="Even footer-wide"/>
    <w:basedOn w:val="EvenFooter"/>
    <w:rsid w:val="00BC3EA0"/>
  </w:style>
  <w:style w:type="character" w:styleId="FootnoteReference">
    <w:name w:val="footnote reference"/>
    <w:semiHidden/>
    <w:rsid w:val="00BC3EA0"/>
    <w:rPr>
      <w:rFonts w:ascii="Arial" w:hAnsi="Arial"/>
      <w:color w:val="auto"/>
      <w:position w:val="8"/>
      <w:sz w:val="16"/>
    </w:rPr>
  </w:style>
  <w:style w:type="paragraph" w:styleId="FootnoteText">
    <w:name w:val="footnote text"/>
    <w:basedOn w:val="Normal"/>
    <w:link w:val="FootnoteTextChar"/>
    <w:semiHidden/>
    <w:rsid w:val="00BC3EA0"/>
    <w:pPr>
      <w:tabs>
        <w:tab w:val="left" w:pos="425"/>
      </w:tabs>
      <w:spacing w:after="60" w:line="240" w:lineRule="auto"/>
      <w:ind w:left="425" w:hanging="425"/>
    </w:pPr>
    <w:rPr>
      <w:sz w:val="18"/>
    </w:rPr>
  </w:style>
  <w:style w:type="character" w:customStyle="1" w:styleId="FootnoteTextChar">
    <w:name w:val="Footnote Text Char"/>
    <w:link w:val="FootnoteText"/>
    <w:semiHidden/>
    <w:rsid w:val="00BC3EA0"/>
    <w:rPr>
      <w:rFonts w:ascii="Arial" w:eastAsia="Times New Roman" w:hAnsi="Arial" w:cs="Times New Roman"/>
      <w:sz w:val="18"/>
      <w:szCs w:val="20"/>
      <w:lang w:val="en-GB" w:eastAsia="en-GB"/>
    </w:rPr>
  </w:style>
  <w:style w:type="character" w:customStyle="1" w:styleId="Heading1Char">
    <w:name w:val="Heading 1 Char"/>
    <w:link w:val="Heading1"/>
    <w:rsid w:val="00BC3EA0"/>
    <w:rPr>
      <w:rFonts w:ascii="Arial" w:eastAsia="Times New Roman" w:hAnsi="Arial" w:cs="Times New Roman"/>
      <w:b/>
      <w:color w:val="002469"/>
      <w:spacing w:val="20"/>
      <w:w w:val="90"/>
      <w:sz w:val="44"/>
      <w:szCs w:val="44"/>
      <w:lang w:val="en-GB" w:eastAsia="en-GB"/>
    </w:rPr>
  </w:style>
  <w:style w:type="character" w:customStyle="1" w:styleId="Heading2Char">
    <w:name w:val="Heading 2 Char"/>
    <w:link w:val="Heading2"/>
    <w:rsid w:val="0005691A"/>
    <w:rPr>
      <w:rFonts w:ascii="Arial" w:eastAsia="Times New Roman" w:hAnsi="Arial" w:cs="Times New Roman"/>
      <w:b/>
      <w:color w:val="0082AB"/>
      <w:spacing w:val="20"/>
      <w:w w:val="90"/>
      <w:sz w:val="32"/>
      <w:szCs w:val="24"/>
      <w:lang w:val="en-GB" w:eastAsia="en-GB"/>
    </w:rPr>
  </w:style>
  <w:style w:type="character" w:customStyle="1" w:styleId="Heading3Char">
    <w:name w:val="Heading 3 Char"/>
    <w:link w:val="Heading3"/>
    <w:rsid w:val="00BC3EA0"/>
    <w:rPr>
      <w:rFonts w:ascii="Arial" w:eastAsia="Times New Roman" w:hAnsi="Arial" w:cs="Times New Roman"/>
      <w:b/>
      <w:color w:val="335087"/>
      <w:spacing w:val="20"/>
      <w:w w:val="90"/>
      <w:sz w:val="24"/>
      <w:lang w:val="en-GB" w:eastAsia="en-GB"/>
    </w:rPr>
  </w:style>
  <w:style w:type="character" w:customStyle="1" w:styleId="Heading4Char">
    <w:name w:val="Heading 4 Char"/>
    <w:link w:val="Heading4"/>
    <w:rsid w:val="00BC3EA0"/>
    <w:rPr>
      <w:rFonts w:ascii="Arial" w:eastAsia="Times New Roman" w:hAnsi="Arial" w:cs="Times New Roman"/>
      <w:b/>
      <w:bCs/>
      <w:color w:val="335087"/>
      <w:sz w:val="20"/>
      <w:szCs w:val="20"/>
      <w:lang w:val="en-GB" w:eastAsia="en-GB"/>
    </w:rPr>
  </w:style>
  <w:style w:type="character" w:customStyle="1" w:styleId="Heading5Char">
    <w:name w:val="Heading 5 Char"/>
    <w:link w:val="Heading5"/>
    <w:rsid w:val="00BC3EA0"/>
    <w:rPr>
      <w:rFonts w:ascii="Arial" w:eastAsia="Times New Roman" w:hAnsi="Arial" w:cs="Times New Roman"/>
      <w:color w:val="000000"/>
      <w:lang w:val="en-GB" w:eastAsia="en-GB"/>
    </w:rPr>
  </w:style>
  <w:style w:type="character" w:customStyle="1" w:styleId="Heading6Char">
    <w:name w:val="Heading 6 Char"/>
    <w:link w:val="Heading6"/>
    <w:rsid w:val="00BC3EA0"/>
    <w:rPr>
      <w:rFonts w:ascii="Arial" w:eastAsia="Times New Roman" w:hAnsi="Arial" w:cs="Times New Roman"/>
      <w:i/>
      <w:sz w:val="20"/>
      <w:szCs w:val="20"/>
      <w:lang w:val="en-GB" w:eastAsia="en-GB"/>
    </w:rPr>
  </w:style>
  <w:style w:type="character" w:customStyle="1" w:styleId="Heading7Char">
    <w:name w:val="Heading 7 Char"/>
    <w:link w:val="Heading7"/>
    <w:rsid w:val="00BC3EA0"/>
    <w:rPr>
      <w:rFonts w:ascii="Arial" w:eastAsia="Times New Roman" w:hAnsi="Arial" w:cs="Times New Roman"/>
      <w:sz w:val="20"/>
      <w:szCs w:val="20"/>
      <w:lang w:val="en-GB" w:eastAsia="en-GB"/>
    </w:rPr>
  </w:style>
  <w:style w:type="character" w:customStyle="1" w:styleId="Heading8Char">
    <w:name w:val="Heading 8 Char"/>
    <w:link w:val="Heading8"/>
    <w:rsid w:val="00BC3EA0"/>
    <w:rPr>
      <w:rFonts w:ascii="Arial" w:eastAsia="Times New Roman" w:hAnsi="Arial" w:cs="Times New Roman"/>
      <w:sz w:val="20"/>
      <w:szCs w:val="20"/>
      <w:lang w:val="en-GB" w:eastAsia="en-GB"/>
    </w:rPr>
  </w:style>
  <w:style w:type="character" w:customStyle="1" w:styleId="Heading9Char">
    <w:name w:val="Heading 9 Char"/>
    <w:link w:val="Heading9"/>
    <w:rsid w:val="00BC3EA0"/>
    <w:rPr>
      <w:rFonts w:ascii="Arial" w:eastAsia="Times New Roman" w:hAnsi="Arial" w:cs="Times New Roman"/>
      <w:b/>
      <w:i/>
      <w:sz w:val="20"/>
      <w:szCs w:val="20"/>
      <w:lang w:val="en-AU"/>
    </w:rPr>
  </w:style>
  <w:style w:type="paragraph" w:styleId="List">
    <w:name w:val="List"/>
    <w:basedOn w:val="Normal"/>
    <w:rsid w:val="00BC3EA0"/>
    <w:pPr>
      <w:ind w:left="283" w:hanging="283"/>
    </w:pPr>
  </w:style>
  <w:style w:type="paragraph" w:styleId="Title">
    <w:name w:val="Title"/>
    <w:basedOn w:val="Normal"/>
    <w:link w:val="TitleChar"/>
    <w:rsid w:val="00BC3EA0"/>
    <w:pPr>
      <w:widowControl w:val="0"/>
      <w:autoSpaceDE w:val="0"/>
      <w:autoSpaceDN w:val="0"/>
      <w:adjustRightInd w:val="0"/>
      <w:spacing w:before="1560" w:after="720" w:line="240" w:lineRule="atLeast"/>
    </w:pPr>
    <w:rPr>
      <w:rFonts w:cs="Arial"/>
      <w:color w:val="002469"/>
      <w:spacing w:val="40"/>
      <w:w w:val="90"/>
      <w:sz w:val="48"/>
      <w:szCs w:val="48"/>
    </w:rPr>
  </w:style>
  <w:style w:type="character" w:customStyle="1" w:styleId="TitleChar">
    <w:name w:val="Title Char"/>
    <w:link w:val="Title"/>
    <w:rsid w:val="00BC3EA0"/>
    <w:rPr>
      <w:rFonts w:ascii="Arial" w:eastAsia="Times New Roman" w:hAnsi="Arial" w:cs="Arial"/>
      <w:color w:val="002469"/>
      <w:spacing w:val="40"/>
      <w:w w:val="90"/>
      <w:sz w:val="48"/>
      <w:szCs w:val="48"/>
      <w:lang w:val="en-GB" w:eastAsia="en-GB"/>
    </w:rPr>
  </w:style>
  <w:style w:type="paragraph" w:styleId="Subtitle">
    <w:name w:val="Subtitle"/>
    <w:basedOn w:val="Title"/>
    <w:next w:val="Normal"/>
    <w:link w:val="SubtitleChar"/>
    <w:rsid w:val="00BC3EA0"/>
    <w:pPr>
      <w:spacing w:before="360" w:line="600" w:lineRule="atLeast"/>
    </w:pPr>
    <w:rPr>
      <w:sz w:val="36"/>
      <w:szCs w:val="36"/>
    </w:rPr>
  </w:style>
  <w:style w:type="character" w:customStyle="1" w:styleId="SubtitleChar">
    <w:name w:val="Subtitle Char"/>
    <w:link w:val="Subtitle"/>
    <w:rsid w:val="00BC3EA0"/>
    <w:rPr>
      <w:rFonts w:ascii="Arial" w:eastAsia="Times New Roman" w:hAnsi="Arial" w:cs="Arial"/>
      <w:color w:val="002469"/>
      <w:spacing w:val="40"/>
      <w:w w:val="90"/>
      <w:sz w:val="36"/>
      <w:szCs w:val="36"/>
      <w:lang w:val="en-GB" w:eastAsia="en-GB"/>
    </w:rPr>
  </w:style>
  <w:style w:type="paragraph" w:customStyle="1" w:styleId="TableText">
    <w:name w:val="Table Text"/>
    <w:basedOn w:val="Normal"/>
    <w:rsid w:val="00BC3EA0"/>
    <w:pPr>
      <w:autoSpaceDE w:val="0"/>
      <w:autoSpaceDN w:val="0"/>
      <w:adjustRightInd w:val="0"/>
      <w:spacing w:before="60" w:after="60" w:line="240" w:lineRule="atLeast"/>
    </w:pPr>
    <w:rPr>
      <w:rFonts w:cs="GillSans"/>
      <w:sz w:val="20"/>
      <w:szCs w:val="22"/>
      <w:lang w:eastAsia="en-AU"/>
    </w:rPr>
  </w:style>
  <w:style w:type="paragraph" w:customStyle="1" w:styleId="tablespacer">
    <w:name w:val="table_spacer"/>
    <w:basedOn w:val="Normal"/>
    <w:next w:val="Normal"/>
    <w:rsid w:val="00BC3EA0"/>
    <w:pPr>
      <w:keepNext/>
      <w:spacing w:after="0" w:line="240" w:lineRule="auto"/>
    </w:pPr>
    <w:rPr>
      <w:sz w:val="20"/>
    </w:rPr>
  </w:style>
  <w:style w:type="paragraph" w:styleId="TOC1">
    <w:name w:val="toc 1"/>
    <w:basedOn w:val="Normal"/>
    <w:next w:val="Normal"/>
    <w:uiPriority w:val="39"/>
    <w:rsid w:val="00BC3EA0"/>
    <w:pPr>
      <w:tabs>
        <w:tab w:val="right" w:leader="dot" w:pos="9214"/>
      </w:tabs>
      <w:spacing w:before="240" w:after="120"/>
      <w:ind w:left="284" w:right="284"/>
    </w:pPr>
    <w:rPr>
      <w:bCs/>
      <w:noProof/>
      <w:sz w:val="24"/>
      <w:szCs w:val="44"/>
    </w:rPr>
  </w:style>
  <w:style w:type="paragraph" w:styleId="TOC2">
    <w:name w:val="toc 2"/>
    <w:basedOn w:val="Normal"/>
    <w:next w:val="Normal"/>
    <w:uiPriority w:val="39"/>
    <w:rsid w:val="00BC3EA0"/>
    <w:pPr>
      <w:tabs>
        <w:tab w:val="right" w:leader="dot" w:pos="9214"/>
      </w:tabs>
      <w:spacing w:before="100" w:after="100"/>
      <w:ind w:left="709" w:right="284"/>
    </w:pPr>
    <w:rPr>
      <w:noProof/>
      <w:sz w:val="24"/>
    </w:rPr>
  </w:style>
  <w:style w:type="paragraph" w:styleId="TOC3">
    <w:name w:val="toc 3"/>
    <w:basedOn w:val="Normal"/>
    <w:next w:val="Normal"/>
    <w:semiHidden/>
    <w:rsid w:val="00BC3EA0"/>
    <w:pPr>
      <w:tabs>
        <w:tab w:val="left" w:leader="dot" w:pos="8646"/>
        <w:tab w:val="right" w:pos="9072"/>
      </w:tabs>
      <w:ind w:left="1418" w:right="850"/>
    </w:pPr>
  </w:style>
  <w:style w:type="paragraph" w:customStyle="1" w:styleId="Tier2Bullet-list">
    <w:name w:val="Tier 2 Bullet-list"/>
    <w:qFormat/>
    <w:rsid w:val="0062657E"/>
    <w:pPr>
      <w:spacing w:after="160" w:line="259" w:lineRule="auto"/>
      <w:ind w:left="568" w:hanging="284"/>
    </w:pPr>
    <w:rPr>
      <w:rFonts w:ascii="Arial" w:eastAsia="Times New Roman" w:hAnsi="Arial"/>
      <w:sz w:val="22"/>
      <w:lang w:val="en-AU" w:eastAsia="en-US"/>
    </w:rPr>
  </w:style>
  <w:style w:type="paragraph" w:customStyle="1" w:styleId="TableHeading2">
    <w:name w:val="Table Heading 2"/>
    <w:basedOn w:val="Normal"/>
    <w:qFormat/>
    <w:rsid w:val="00DF2E7B"/>
    <w:pPr>
      <w:spacing w:before="60" w:after="60" w:line="276" w:lineRule="auto"/>
    </w:pPr>
    <w:rPr>
      <w: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List" w:uiPriority="0"/>
    <w:lsdException w:name="Title" w:semiHidden="0" w:uiPriority="0" w:unhideWhenUsed="0" w:qFormat="1"/>
    <w:lsdException w:name="Default Paragraph Font" w:uiPriority="1"/>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EA0"/>
    <w:pPr>
      <w:spacing w:after="240" w:line="280" w:lineRule="atLeast"/>
    </w:pPr>
    <w:rPr>
      <w:rFonts w:ascii="Arial" w:eastAsia="Times New Roman" w:hAnsi="Arial"/>
      <w:sz w:val="22"/>
    </w:rPr>
  </w:style>
  <w:style w:type="paragraph" w:styleId="Heading1">
    <w:name w:val="heading 1"/>
    <w:basedOn w:val="Normal"/>
    <w:next w:val="Normal"/>
    <w:link w:val="Heading1Char"/>
    <w:qFormat/>
    <w:rsid w:val="00BC3EA0"/>
    <w:pPr>
      <w:spacing w:before="120" w:line="240" w:lineRule="auto"/>
      <w:outlineLvl w:val="0"/>
    </w:pPr>
    <w:rPr>
      <w:b/>
      <w:color w:val="002469"/>
      <w:spacing w:val="20"/>
      <w:w w:val="90"/>
      <w:sz w:val="44"/>
      <w:szCs w:val="44"/>
    </w:rPr>
  </w:style>
  <w:style w:type="paragraph" w:styleId="Heading2">
    <w:name w:val="heading 2"/>
    <w:basedOn w:val="Normal"/>
    <w:next w:val="Normal"/>
    <w:link w:val="Heading2Char"/>
    <w:autoRedefine/>
    <w:qFormat/>
    <w:rsid w:val="0005691A"/>
    <w:pPr>
      <w:keepNext/>
      <w:spacing w:before="120" w:after="180" w:line="240" w:lineRule="auto"/>
      <w:outlineLvl w:val="1"/>
    </w:pPr>
    <w:rPr>
      <w:b/>
      <w:color w:val="0082AB"/>
      <w:spacing w:val="20"/>
      <w:w w:val="90"/>
      <w:sz w:val="32"/>
      <w:szCs w:val="24"/>
    </w:rPr>
  </w:style>
  <w:style w:type="paragraph" w:styleId="Heading3">
    <w:name w:val="heading 3"/>
    <w:basedOn w:val="Heading2"/>
    <w:next w:val="Normal"/>
    <w:link w:val="Heading3Char"/>
    <w:qFormat/>
    <w:rsid w:val="00BC3EA0"/>
    <w:pPr>
      <w:spacing w:before="200"/>
      <w:outlineLvl w:val="2"/>
    </w:pPr>
    <w:rPr>
      <w:sz w:val="24"/>
      <w:szCs w:val="22"/>
    </w:rPr>
  </w:style>
  <w:style w:type="paragraph" w:styleId="Heading4">
    <w:name w:val="heading 4"/>
    <w:basedOn w:val="Normal"/>
    <w:next w:val="Normal"/>
    <w:link w:val="Heading4Char"/>
    <w:qFormat/>
    <w:rsid w:val="00BC3EA0"/>
    <w:pPr>
      <w:spacing w:before="120" w:after="200" w:line="240" w:lineRule="auto"/>
      <w:outlineLvl w:val="3"/>
    </w:pPr>
    <w:rPr>
      <w:b/>
      <w:bCs/>
      <w:color w:val="335087"/>
      <w:sz w:val="20"/>
    </w:rPr>
  </w:style>
  <w:style w:type="paragraph" w:styleId="Heading5">
    <w:name w:val="heading 5"/>
    <w:basedOn w:val="Normal"/>
    <w:next w:val="Normal"/>
    <w:link w:val="Heading5Char"/>
    <w:rsid w:val="00BC3EA0"/>
    <w:pPr>
      <w:keepNext/>
      <w:widowControl w:val="0"/>
      <w:spacing w:before="80" w:after="120"/>
      <w:outlineLvl w:val="4"/>
    </w:pPr>
    <w:rPr>
      <w:color w:val="000000"/>
      <w:szCs w:val="22"/>
    </w:rPr>
  </w:style>
  <w:style w:type="paragraph" w:styleId="Heading6">
    <w:name w:val="heading 6"/>
    <w:basedOn w:val="Normal"/>
    <w:next w:val="Normal"/>
    <w:link w:val="Heading6Char"/>
    <w:rsid w:val="00BC3EA0"/>
    <w:pPr>
      <w:spacing w:before="240"/>
      <w:outlineLvl w:val="5"/>
    </w:pPr>
    <w:rPr>
      <w:i/>
      <w:sz w:val="20"/>
    </w:rPr>
  </w:style>
  <w:style w:type="paragraph" w:styleId="Heading7">
    <w:name w:val="heading 7"/>
    <w:basedOn w:val="Normal"/>
    <w:next w:val="Normal"/>
    <w:link w:val="Heading7Char"/>
    <w:rsid w:val="00BC3EA0"/>
    <w:pPr>
      <w:spacing w:before="240"/>
      <w:outlineLvl w:val="6"/>
    </w:pPr>
    <w:rPr>
      <w:sz w:val="20"/>
    </w:rPr>
  </w:style>
  <w:style w:type="paragraph" w:styleId="Heading8">
    <w:name w:val="heading 8"/>
    <w:basedOn w:val="Normal"/>
    <w:next w:val="Normal"/>
    <w:link w:val="Heading8Char"/>
    <w:rsid w:val="00BC3EA0"/>
    <w:pPr>
      <w:spacing w:before="80" w:after="80"/>
      <w:outlineLvl w:val="7"/>
    </w:pPr>
    <w:rPr>
      <w:sz w:val="20"/>
    </w:rPr>
  </w:style>
  <w:style w:type="paragraph" w:styleId="Heading9">
    <w:name w:val="heading 9"/>
    <w:next w:val="Normal"/>
    <w:link w:val="Heading9Char"/>
    <w:rsid w:val="00BC3EA0"/>
    <w:pPr>
      <w:keepNext/>
      <w:spacing w:before="160" w:line="260" w:lineRule="exact"/>
      <w:outlineLvl w:val="8"/>
    </w:pPr>
    <w:rPr>
      <w:rFonts w:ascii="Arial" w:eastAsia="Times New Roman"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rsid w:val="00FA7EFC"/>
    <w:pPr>
      <w:spacing w:after="0" w:line="240" w:lineRule="auto"/>
      <w:ind w:left="-1985"/>
      <w:jc w:val="right"/>
    </w:pPr>
    <w:rPr>
      <w:noProof/>
      <w:color w:val="0082AB"/>
      <w:spacing w:val="6"/>
      <w:sz w:val="16"/>
      <w:szCs w:val="16"/>
    </w:rPr>
  </w:style>
  <w:style w:type="character" w:customStyle="1" w:styleId="FooterChar">
    <w:name w:val="Footer Char"/>
    <w:link w:val="Footer"/>
    <w:rsid w:val="00FA7EFC"/>
    <w:rPr>
      <w:rFonts w:ascii="Arial" w:eastAsia="Times New Roman" w:hAnsi="Arial" w:cs="Times New Roman"/>
      <w:noProof/>
      <w:color w:val="0082AB"/>
      <w:spacing w:val="6"/>
      <w:sz w:val="16"/>
      <w:szCs w:val="16"/>
      <w:lang w:val="en-GB" w:eastAsia="en-GB"/>
    </w:rPr>
  </w:style>
  <w:style w:type="table" w:styleId="TableGrid">
    <w:name w:val="Table Grid"/>
    <w:basedOn w:val="TableNormal"/>
    <w:rsid w:val="00BC3EA0"/>
    <w:pPr>
      <w:jc w:val="both"/>
    </w:pPr>
    <w:rPr>
      <w:rFonts w:ascii="Times New Roman" w:eastAsia="Times New Roman" w:hAnsi="Times New Roman"/>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C3EA0"/>
    <w:rPr>
      <w:rFonts w:ascii="Tahoma" w:hAnsi="Tahoma" w:cs="Tahoma"/>
      <w:sz w:val="16"/>
      <w:szCs w:val="16"/>
    </w:rPr>
  </w:style>
  <w:style w:type="character" w:customStyle="1" w:styleId="BalloonTextChar">
    <w:name w:val="Balloon Text Char"/>
    <w:link w:val="BalloonText"/>
    <w:semiHidden/>
    <w:rsid w:val="00487FAD"/>
    <w:rPr>
      <w:rFonts w:ascii="Tahoma" w:eastAsia="Times New Roman" w:hAnsi="Tahoma" w:cs="Tahoma"/>
      <w:sz w:val="16"/>
      <w:szCs w:val="16"/>
      <w:lang w:val="en-GB" w:eastAsia="en-GB"/>
    </w:rPr>
  </w:style>
  <w:style w:type="paragraph" w:styleId="ListParagraph">
    <w:name w:val="List Paragraph"/>
    <w:basedOn w:val="Normal"/>
    <w:uiPriority w:val="34"/>
    <w:qFormat/>
    <w:rsid w:val="00D278AA"/>
    <w:pPr>
      <w:ind w:left="720"/>
      <w:contextualSpacing/>
    </w:pPr>
  </w:style>
  <w:style w:type="character" w:styleId="Hyperlink">
    <w:name w:val="Hyperlink"/>
    <w:uiPriority w:val="99"/>
    <w:rsid w:val="00537EFE"/>
    <w:rPr>
      <w:color w:val="0082AB"/>
      <w:u w:val="single"/>
    </w:rPr>
  </w:style>
  <w:style w:type="character" w:styleId="CommentReference">
    <w:name w:val="annotation reference"/>
    <w:semiHidden/>
    <w:rsid w:val="00BC3EA0"/>
    <w:rPr>
      <w:sz w:val="16"/>
      <w:szCs w:val="16"/>
    </w:rPr>
  </w:style>
  <w:style w:type="paragraph" w:styleId="CommentText">
    <w:name w:val="annotation text"/>
    <w:basedOn w:val="Normal"/>
    <w:link w:val="CommentTextChar"/>
    <w:semiHidden/>
    <w:rsid w:val="00BC3EA0"/>
    <w:rPr>
      <w:sz w:val="20"/>
    </w:rPr>
  </w:style>
  <w:style w:type="character" w:customStyle="1" w:styleId="CommentTextChar">
    <w:name w:val="Comment Text Char"/>
    <w:link w:val="CommentText"/>
    <w:semiHidden/>
    <w:rsid w:val="004A4084"/>
    <w:rPr>
      <w:rFonts w:ascii="Arial" w:eastAsia="Times New Roman" w:hAnsi="Arial" w:cs="Times New Roman"/>
      <w:sz w:val="20"/>
      <w:szCs w:val="20"/>
      <w:lang w:val="en-GB" w:eastAsia="en-GB"/>
    </w:rPr>
  </w:style>
  <w:style w:type="paragraph" w:customStyle="1" w:styleId="BodyText-Numbered">
    <w:name w:val="Body Text - Numbered"/>
    <w:basedOn w:val="BodyText"/>
    <w:link w:val="BodyText-NumberedChar"/>
    <w:qFormat/>
    <w:rsid w:val="004A4084"/>
    <w:pPr>
      <w:keepNext/>
      <w:numPr>
        <w:numId w:val="6"/>
      </w:numPr>
      <w:spacing w:before="60" w:line="240" w:lineRule="auto"/>
    </w:pPr>
    <w:rPr>
      <w:rFonts w:cs="Arial"/>
    </w:rPr>
  </w:style>
  <w:style w:type="character" w:customStyle="1" w:styleId="BodyText-NumberedChar">
    <w:name w:val="Body Text - Numbered Char"/>
    <w:link w:val="BodyText-Numbered"/>
    <w:rsid w:val="004A4084"/>
    <w:rPr>
      <w:rFonts w:ascii="Arial" w:eastAsia="Times New Roman" w:hAnsi="Arial" w:cs="Arial"/>
      <w:szCs w:val="20"/>
      <w:lang w:eastAsia="en-GB"/>
    </w:rPr>
  </w:style>
  <w:style w:type="paragraph" w:styleId="BodyText">
    <w:name w:val="Body Text"/>
    <w:basedOn w:val="Normal"/>
    <w:link w:val="BodyTextChar"/>
    <w:uiPriority w:val="99"/>
    <w:semiHidden/>
    <w:unhideWhenUsed/>
    <w:rsid w:val="004A4084"/>
    <w:pPr>
      <w:spacing w:after="120"/>
    </w:pPr>
  </w:style>
  <w:style w:type="character" w:customStyle="1" w:styleId="BodyTextChar">
    <w:name w:val="Body Text Char"/>
    <w:basedOn w:val="DefaultParagraphFont"/>
    <w:link w:val="BodyText"/>
    <w:uiPriority w:val="99"/>
    <w:semiHidden/>
    <w:rsid w:val="004A4084"/>
  </w:style>
  <w:style w:type="paragraph" w:customStyle="1" w:styleId="spacer">
    <w:name w:val="spacer"/>
    <w:basedOn w:val="Normal"/>
    <w:qFormat/>
    <w:rsid w:val="00BC3EA0"/>
    <w:pPr>
      <w:spacing w:after="0" w:line="240" w:lineRule="auto"/>
    </w:pPr>
    <w:rPr>
      <w:sz w:val="16"/>
      <w:szCs w:val="22"/>
      <w:lang w:eastAsia="en-AU"/>
    </w:rPr>
  </w:style>
  <w:style w:type="paragraph" w:styleId="CommentSubject">
    <w:name w:val="annotation subject"/>
    <w:basedOn w:val="CommentText"/>
    <w:next w:val="CommentText"/>
    <w:link w:val="CommentSubjectChar"/>
    <w:semiHidden/>
    <w:rsid w:val="00BC3EA0"/>
    <w:rPr>
      <w:b/>
      <w:bCs/>
    </w:rPr>
  </w:style>
  <w:style w:type="character" w:customStyle="1" w:styleId="CommentSubjectChar">
    <w:name w:val="Comment Subject Char"/>
    <w:link w:val="CommentSubject"/>
    <w:semiHidden/>
    <w:rsid w:val="000C4659"/>
    <w:rPr>
      <w:rFonts w:ascii="Arial" w:eastAsia="Times New Roman" w:hAnsi="Arial" w:cs="Times New Roman"/>
      <w:b/>
      <w:bCs/>
      <w:sz w:val="20"/>
      <w:szCs w:val="20"/>
      <w:lang w:val="en-GB" w:eastAsia="en-GB"/>
    </w:rPr>
  </w:style>
  <w:style w:type="paragraph" w:styleId="Header">
    <w:name w:val="header"/>
    <w:basedOn w:val="Normal"/>
    <w:link w:val="HeaderChar"/>
    <w:rsid w:val="00BC3EA0"/>
    <w:pPr>
      <w:tabs>
        <w:tab w:val="center" w:pos="4153"/>
        <w:tab w:val="right" w:pos="8306"/>
      </w:tabs>
    </w:pPr>
  </w:style>
  <w:style w:type="character" w:customStyle="1" w:styleId="HeaderChar">
    <w:name w:val="Header Char"/>
    <w:link w:val="Header"/>
    <w:rsid w:val="008D265C"/>
    <w:rPr>
      <w:rFonts w:ascii="Arial" w:eastAsia="Times New Roman" w:hAnsi="Arial" w:cs="Times New Roman"/>
      <w:szCs w:val="20"/>
      <w:lang w:val="en-GB" w:eastAsia="en-GB"/>
    </w:rPr>
  </w:style>
  <w:style w:type="character" w:styleId="FollowedHyperlink">
    <w:name w:val="FollowedHyperlink"/>
    <w:rsid w:val="00BC3EA0"/>
    <w:rPr>
      <w:color w:val="800080"/>
      <w:u w:val="single"/>
    </w:rPr>
  </w:style>
  <w:style w:type="paragraph" w:styleId="Revision">
    <w:name w:val="Revision"/>
    <w:hidden/>
    <w:uiPriority w:val="99"/>
    <w:semiHidden/>
    <w:rsid w:val="0082413D"/>
    <w:rPr>
      <w:sz w:val="22"/>
      <w:szCs w:val="22"/>
      <w:lang w:val="en-NZ" w:eastAsia="en-US"/>
    </w:rPr>
  </w:style>
  <w:style w:type="paragraph" w:customStyle="1" w:styleId="Author">
    <w:name w:val="Author"/>
    <w:basedOn w:val="Normal"/>
    <w:semiHidden/>
    <w:rsid w:val="00BC3EA0"/>
    <w:pPr>
      <w:spacing w:before="240" w:after="1200"/>
      <w:ind w:left="-181"/>
      <w:jc w:val="right"/>
    </w:pPr>
    <w:rPr>
      <w:rFonts w:cs="Arial"/>
      <w:i/>
      <w:sz w:val="40"/>
      <w:szCs w:val="22"/>
    </w:rPr>
  </w:style>
  <w:style w:type="paragraph" w:customStyle="1" w:styleId="Boxtext">
    <w:name w:val="Box text"/>
    <w:basedOn w:val="Normal"/>
    <w:rsid w:val="00FA7EFC"/>
    <w:pPr>
      <w:pBdr>
        <w:top w:val="single" w:sz="4" w:space="10" w:color="EBF5F8"/>
        <w:left w:val="single" w:sz="4" w:space="4" w:color="EBF5F8"/>
        <w:bottom w:val="single" w:sz="4" w:space="10" w:color="EBF5F8"/>
        <w:right w:val="single" w:sz="4" w:space="4" w:color="EBF5F8"/>
      </w:pBdr>
      <w:shd w:val="clear" w:color="auto" w:fill="EBF5F8"/>
      <w:spacing w:after="80"/>
      <w:ind w:left="142" w:right="142"/>
    </w:pPr>
    <w:rPr>
      <w:i/>
    </w:rPr>
  </w:style>
  <w:style w:type="paragraph" w:customStyle="1" w:styleId="Boxbullet">
    <w:name w:val="Box bullet"/>
    <w:basedOn w:val="Boxtext"/>
    <w:rsid w:val="00BC3EA0"/>
    <w:pPr>
      <w:numPr>
        <w:numId w:val="12"/>
      </w:numPr>
      <w:tabs>
        <w:tab w:val="clear" w:pos="644"/>
        <w:tab w:val="num" w:pos="426"/>
      </w:tabs>
      <w:spacing w:before="80"/>
    </w:pPr>
  </w:style>
  <w:style w:type="paragraph" w:customStyle="1" w:styleId="Boxheading">
    <w:name w:val="Box heading"/>
    <w:basedOn w:val="Normal"/>
    <w:next w:val="Boxtext"/>
    <w:autoRedefine/>
    <w:rsid w:val="00BC3EA0"/>
    <w:pPr>
      <w:spacing w:before="180" w:after="60" w:line="240" w:lineRule="auto"/>
      <w:ind w:left="284" w:right="284"/>
    </w:pPr>
    <w:rPr>
      <w:rFonts w:ascii="Arial Narrow" w:hAnsi="Arial Narrow"/>
      <w:b/>
      <w:bCs/>
      <w:color w:val="335087"/>
      <w:spacing w:val="10"/>
      <w:szCs w:val="22"/>
    </w:rPr>
  </w:style>
  <w:style w:type="paragraph" w:customStyle="1" w:styleId="Boxindent">
    <w:name w:val="Box indent"/>
    <w:basedOn w:val="Boxtext"/>
    <w:rsid w:val="00BC3EA0"/>
    <w:pPr>
      <w:tabs>
        <w:tab w:val="left" w:pos="426"/>
      </w:tabs>
      <w:ind w:left="426" w:hanging="284"/>
    </w:pPr>
  </w:style>
  <w:style w:type="paragraph" w:customStyle="1" w:styleId="Bullet-list">
    <w:name w:val="Bullet-list"/>
    <w:qFormat/>
    <w:rsid w:val="00BC3EA0"/>
    <w:pPr>
      <w:numPr>
        <w:numId w:val="13"/>
      </w:numPr>
      <w:spacing w:after="180" w:line="280" w:lineRule="exact"/>
    </w:pPr>
    <w:rPr>
      <w:rFonts w:ascii="Arial" w:eastAsia="Times New Roman" w:hAnsi="Arial"/>
      <w:sz w:val="22"/>
      <w:lang w:val="en-AU" w:eastAsia="en-US"/>
    </w:rPr>
  </w:style>
  <w:style w:type="paragraph" w:styleId="Caption">
    <w:name w:val="caption"/>
    <w:basedOn w:val="Normal"/>
    <w:next w:val="Normal"/>
    <w:rsid w:val="00BC3EA0"/>
    <w:rPr>
      <w:b/>
      <w:bCs/>
      <w:sz w:val="20"/>
    </w:rPr>
  </w:style>
  <w:style w:type="paragraph" w:styleId="DocumentMap">
    <w:name w:val="Document Map"/>
    <w:basedOn w:val="Normal"/>
    <w:link w:val="DocumentMapChar"/>
    <w:semiHidden/>
    <w:rsid w:val="00BC3EA0"/>
    <w:pPr>
      <w:shd w:val="clear" w:color="auto" w:fill="000080"/>
    </w:pPr>
    <w:rPr>
      <w:rFonts w:ascii="Tahoma" w:hAnsi="Tahoma" w:cs="Tahoma"/>
      <w:sz w:val="20"/>
    </w:rPr>
  </w:style>
  <w:style w:type="character" w:customStyle="1" w:styleId="DocumentMapChar">
    <w:name w:val="Document Map Char"/>
    <w:link w:val="DocumentMap"/>
    <w:semiHidden/>
    <w:rsid w:val="00BC3EA0"/>
    <w:rPr>
      <w:rFonts w:ascii="Tahoma" w:eastAsia="Times New Roman" w:hAnsi="Tahoma" w:cs="Tahoma"/>
      <w:sz w:val="20"/>
      <w:szCs w:val="20"/>
      <w:shd w:val="clear" w:color="auto" w:fill="000080"/>
      <w:lang w:val="en-GB" w:eastAsia="en-GB"/>
    </w:rPr>
  </w:style>
  <w:style w:type="paragraph" w:customStyle="1" w:styleId="EvenFooter">
    <w:name w:val="Even Footer"/>
    <w:basedOn w:val="Footer"/>
    <w:rsid w:val="00BC3EA0"/>
    <w:pPr>
      <w:jc w:val="left"/>
    </w:pPr>
  </w:style>
  <w:style w:type="paragraph" w:customStyle="1" w:styleId="Evenfooter-wide">
    <w:name w:val="Even footer-wide"/>
    <w:basedOn w:val="EvenFooter"/>
    <w:rsid w:val="00BC3EA0"/>
  </w:style>
  <w:style w:type="character" w:styleId="FootnoteReference">
    <w:name w:val="footnote reference"/>
    <w:semiHidden/>
    <w:rsid w:val="00BC3EA0"/>
    <w:rPr>
      <w:rFonts w:ascii="Arial" w:hAnsi="Arial"/>
      <w:color w:val="auto"/>
      <w:position w:val="8"/>
      <w:sz w:val="16"/>
    </w:rPr>
  </w:style>
  <w:style w:type="paragraph" w:styleId="FootnoteText">
    <w:name w:val="footnote text"/>
    <w:basedOn w:val="Normal"/>
    <w:link w:val="FootnoteTextChar"/>
    <w:semiHidden/>
    <w:rsid w:val="00BC3EA0"/>
    <w:pPr>
      <w:tabs>
        <w:tab w:val="left" w:pos="425"/>
      </w:tabs>
      <w:spacing w:after="60" w:line="240" w:lineRule="auto"/>
      <w:ind w:left="425" w:hanging="425"/>
    </w:pPr>
    <w:rPr>
      <w:sz w:val="18"/>
    </w:rPr>
  </w:style>
  <w:style w:type="character" w:customStyle="1" w:styleId="FootnoteTextChar">
    <w:name w:val="Footnote Text Char"/>
    <w:link w:val="FootnoteText"/>
    <w:semiHidden/>
    <w:rsid w:val="00BC3EA0"/>
    <w:rPr>
      <w:rFonts w:ascii="Arial" w:eastAsia="Times New Roman" w:hAnsi="Arial" w:cs="Times New Roman"/>
      <w:sz w:val="18"/>
      <w:szCs w:val="20"/>
      <w:lang w:val="en-GB" w:eastAsia="en-GB"/>
    </w:rPr>
  </w:style>
  <w:style w:type="character" w:customStyle="1" w:styleId="Heading1Char">
    <w:name w:val="Heading 1 Char"/>
    <w:link w:val="Heading1"/>
    <w:rsid w:val="00BC3EA0"/>
    <w:rPr>
      <w:rFonts w:ascii="Arial" w:eastAsia="Times New Roman" w:hAnsi="Arial" w:cs="Times New Roman"/>
      <w:b/>
      <w:color w:val="002469"/>
      <w:spacing w:val="20"/>
      <w:w w:val="90"/>
      <w:sz w:val="44"/>
      <w:szCs w:val="44"/>
      <w:lang w:val="en-GB" w:eastAsia="en-GB"/>
    </w:rPr>
  </w:style>
  <w:style w:type="character" w:customStyle="1" w:styleId="Heading2Char">
    <w:name w:val="Heading 2 Char"/>
    <w:link w:val="Heading2"/>
    <w:rsid w:val="0005691A"/>
    <w:rPr>
      <w:rFonts w:ascii="Arial" w:eastAsia="Times New Roman" w:hAnsi="Arial" w:cs="Times New Roman"/>
      <w:b/>
      <w:color w:val="0082AB"/>
      <w:spacing w:val="20"/>
      <w:w w:val="90"/>
      <w:sz w:val="32"/>
      <w:szCs w:val="24"/>
      <w:lang w:val="en-GB" w:eastAsia="en-GB"/>
    </w:rPr>
  </w:style>
  <w:style w:type="character" w:customStyle="1" w:styleId="Heading3Char">
    <w:name w:val="Heading 3 Char"/>
    <w:link w:val="Heading3"/>
    <w:rsid w:val="00BC3EA0"/>
    <w:rPr>
      <w:rFonts w:ascii="Arial" w:eastAsia="Times New Roman" w:hAnsi="Arial" w:cs="Times New Roman"/>
      <w:b/>
      <w:color w:val="335087"/>
      <w:spacing w:val="20"/>
      <w:w w:val="90"/>
      <w:sz w:val="24"/>
      <w:lang w:val="en-GB" w:eastAsia="en-GB"/>
    </w:rPr>
  </w:style>
  <w:style w:type="character" w:customStyle="1" w:styleId="Heading4Char">
    <w:name w:val="Heading 4 Char"/>
    <w:link w:val="Heading4"/>
    <w:rsid w:val="00BC3EA0"/>
    <w:rPr>
      <w:rFonts w:ascii="Arial" w:eastAsia="Times New Roman" w:hAnsi="Arial" w:cs="Times New Roman"/>
      <w:b/>
      <w:bCs/>
      <w:color w:val="335087"/>
      <w:sz w:val="20"/>
      <w:szCs w:val="20"/>
      <w:lang w:val="en-GB" w:eastAsia="en-GB"/>
    </w:rPr>
  </w:style>
  <w:style w:type="character" w:customStyle="1" w:styleId="Heading5Char">
    <w:name w:val="Heading 5 Char"/>
    <w:link w:val="Heading5"/>
    <w:rsid w:val="00BC3EA0"/>
    <w:rPr>
      <w:rFonts w:ascii="Arial" w:eastAsia="Times New Roman" w:hAnsi="Arial" w:cs="Times New Roman"/>
      <w:color w:val="000000"/>
      <w:lang w:val="en-GB" w:eastAsia="en-GB"/>
    </w:rPr>
  </w:style>
  <w:style w:type="character" w:customStyle="1" w:styleId="Heading6Char">
    <w:name w:val="Heading 6 Char"/>
    <w:link w:val="Heading6"/>
    <w:rsid w:val="00BC3EA0"/>
    <w:rPr>
      <w:rFonts w:ascii="Arial" w:eastAsia="Times New Roman" w:hAnsi="Arial" w:cs="Times New Roman"/>
      <w:i/>
      <w:sz w:val="20"/>
      <w:szCs w:val="20"/>
      <w:lang w:val="en-GB" w:eastAsia="en-GB"/>
    </w:rPr>
  </w:style>
  <w:style w:type="character" w:customStyle="1" w:styleId="Heading7Char">
    <w:name w:val="Heading 7 Char"/>
    <w:link w:val="Heading7"/>
    <w:rsid w:val="00BC3EA0"/>
    <w:rPr>
      <w:rFonts w:ascii="Arial" w:eastAsia="Times New Roman" w:hAnsi="Arial" w:cs="Times New Roman"/>
      <w:sz w:val="20"/>
      <w:szCs w:val="20"/>
      <w:lang w:val="en-GB" w:eastAsia="en-GB"/>
    </w:rPr>
  </w:style>
  <w:style w:type="character" w:customStyle="1" w:styleId="Heading8Char">
    <w:name w:val="Heading 8 Char"/>
    <w:link w:val="Heading8"/>
    <w:rsid w:val="00BC3EA0"/>
    <w:rPr>
      <w:rFonts w:ascii="Arial" w:eastAsia="Times New Roman" w:hAnsi="Arial" w:cs="Times New Roman"/>
      <w:sz w:val="20"/>
      <w:szCs w:val="20"/>
      <w:lang w:val="en-GB" w:eastAsia="en-GB"/>
    </w:rPr>
  </w:style>
  <w:style w:type="character" w:customStyle="1" w:styleId="Heading9Char">
    <w:name w:val="Heading 9 Char"/>
    <w:link w:val="Heading9"/>
    <w:rsid w:val="00BC3EA0"/>
    <w:rPr>
      <w:rFonts w:ascii="Arial" w:eastAsia="Times New Roman" w:hAnsi="Arial" w:cs="Times New Roman"/>
      <w:b/>
      <w:i/>
      <w:sz w:val="20"/>
      <w:szCs w:val="20"/>
      <w:lang w:val="en-AU"/>
    </w:rPr>
  </w:style>
  <w:style w:type="paragraph" w:styleId="List">
    <w:name w:val="List"/>
    <w:basedOn w:val="Normal"/>
    <w:rsid w:val="00BC3EA0"/>
    <w:pPr>
      <w:ind w:left="283" w:hanging="283"/>
    </w:pPr>
  </w:style>
  <w:style w:type="paragraph" w:styleId="Title">
    <w:name w:val="Title"/>
    <w:basedOn w:val="Normal"/>
    <w:link w:val="TitleChar"/>
    <w:rsid w:val="00BC3EA0"/>
    <w:pPr>
      <w:widowControl w:val="0"/>
      <w:autoSpaceDE w:val="0"/>
      <w:autoSpaceDN w:val="0"/>
      <w:adjustRightInd w:val="0"/>
      <w:spacing w:before="1560" w:after="720" w:line="240" w:lineRule="atLeast"/>
    </w:pPr>
    <w:rPr>
      <w:rFonts w:cs="Arial"/>
      <w:color w:val="002469"/>
      <w:spacing w:val="40"/>
      <w:w w:val="90"/>
      <w:sz w:val="48"/>
      <w:szCs w:val="48"/>
    </w:rPr>
  </w:style>
  <w:style w:type="character" w:customStyle="1" w:styleId="TitleChar">
    <w:name w:val="Title Char"/>
    <w:link w:val="Title"/>
    <w:rsid w:val="00BC3EA0"/>
    <w:rPr>
      <w:rFonts w:ascii="Arial" w:eastAsia="Times New Roman" w:hAnsi="Arial" w:cs="Arial"/>
      <w:color w:val="002469"/>
      <w:spacing w:val="40"/>
      <w:w w:val="90"/>
      <w:sz w:val="48"/>
      <w:szCs w:val="48"/>
      <w:lang w:val="en-GB" w:eastAsia="en-GB"/>
    </w:rPr>
  </w:style>
  <w:style w:type="paragraph" w:styleId="Subtitle">
    <w:name w:val="Subtitle"/>
    <w:basedOn w:val="Title"/>
    <w:next w:val="Normal"/>
    <w:link w:val="SubtitleChar"/>
    <w:rsid w:val="00BC3EA0"/>
    <w:pPr>
      <w:spacing w:before="360" w:line="600" w:lineRule="atLeast"/>
    </w:pPr>
    <w:rPr>
      <w:sz w:val="36"/>
      <w:szCs w:val="36"/>
    </w:rPr>
  </w:style>
  <w:style w:type="character" w:customStyle="1" w:styleId="SubtitleChar">
    <w:name w:val="Subtitle Char"/>
    <w:link w:val="Subtitle"/>
    <w:rsid w:val="00BC3EA0"/>
    <w:rPr>
      <w:rFonts w:ascii="Arial" w:eastAsia="Times New Roman" w:hAnsi="Arial" w:cs="Arial"/>
      <w:color w:val="002469"/>
      <w:spacing w:val="40"/>
      <w:w w:val="90"/>
      <w:sz w:val="36"/>
      <w:szCs w:val="36"/>
      <w:lang w:val="en-GB" w:eastAsia="en-GB"/>
    </w:rPr>
  </w:style>
  <w:style w:type="paragraph" w:customStyle="1" w:styleId="TableText">
    <w:name w:val="Table Text"/>
    <w:basedOn w:val="Normal"/>
    <w:rsid w:val="00BC3EA0"/>
    <w:pPr>
      <w:autoSpaceDE w:val="0"/>
      <w:autoSpaceDN w:val="0"/>
      <w:adjustRightInd w:val="0"/>
      <w:spacing w:before="60" w:after="60" w:line="240" w:lineRule="atLeast"/>
    </w:pPr>
    <w:rPr>
      <w:rFonts w:cs="GillSans"/>
      <w:sz w:val="20"/>
      <w:szCs w:val="22"/>
      <w:lang w:eastAsia="en-AU"/>
    </w:rPr>
  </w:style>
  <w:style w:type="paragraph" w:customStyle="1" w:styleId="tablespacer">
    <w:name w:val="table_spacer"/>
    <w:basedOn w:val="Normal"/>
    <w:next w:val="Normal"/>
    <w:rsid w:val="00BC3EA0"/>
    <w:pPr>
      <w:keepNext/>
      <w:spacing w:after="0" w:line="240" w:lineRule="auto"/>
    </w:pPr>
    <w:rPr>
      <w:sz w:val="20"/>
    </w:rPr>
  </w:style>
  <w:style w:type="paragraph" w:styleId="TOC1">
    <w:name w:val="toc 1"/>
    <w:basedOn w:val="Normal"/>
    <w:next w:val="Normal"/>
    <w:uiPriority w:val="39"/>
    <w:rsid w:val="00BC3EA0"/>
    <w:pPr>
      <w:tabs>
        <w:tab w:val="right" w:leader="dot" w:pos="9214"/>
      </w:tabs>
      <w:spacing w:before="240" w:after="120"/>
      <w:ind w:left="284" w:right="284"/>
    </w:pPr>
    <w:rPr>
      <w:bCs/>
      <w:noProof/>
      <w:sz w:val="24"/>
      <w:szCs w:val="44"/>
    </w:rPr>
  </w:style>
  <w:style w:type="paragraph" w:styleId="TOC2">
    <w:name w:val="toc 2"/>
    <w:basedOn w:val="Normal"/>
    <w:next w:val="Normal"/>
    <w:uiPriority w:val="39"/>
    <w:rsid w:val="00BC3EA0"/>
    <w:pPr>
      <w:tabs>
        <w:tab w:val="right" w:leader="dot" w:pos="9214"/>
      </w:tabs>
      <w:spacing w:before="100" w:after="100"/>
      <w:ind w:left="709" w:right="284"/>
    </w:pPr>
    <w:rPr>
      <w:noProof/>
      <w:sz w:val="24"/>
    </w:rPr>
  </w:style>
  <w:style w:type="paragraph" w:styleId="TOC3">
    <w:name w:val="toc 3"/>
    <w:basedOn w:val="Normal"/>
    <w:next w:val="Normal"/>
    <w:semiHidden/>
    <w:rsid w:val="00BC3EA0"/>
    <w:pPr>
      <w:tabs>
        <w:tab w:val="left" w:leader="dot" w:pos="8646"/>
        <w:tab w:val="right" w:pos="9072"/>
      </w:tabs>
      <w:ind w:left="1418" w:right="850"/>
    </w:pPr>
  </w:style>
  <w:style w:type="paragraph" w:customStyle="1" w:styleId="Tier2Bullet-list">
    <w:name w:val="Tier 2 Bullet-list"/>
    <w:qFormat/>
    <w:rsid w:val="0062657E"/>
    <w:pPr>
      <w:spacing w:after="160" w:line="259" w:lineRule="auto"/>
      <w:ind w:left="568" w:hanging="284"/>
    </w:pPr>
    <w:rPr>
      <w:rFonts w:ascii="Arial" w:eastAsia="Times New Roman" w:hAnsi="Arial"/>
      <w:sz w:val="22"/>
      <w:lang w:val="en-AU" w:eastAsia="en-US"/>
    </w:rPr>
  </w:style>
  <w:style w:type="paragraph" w:customStyle="1" w:styleId="TableHeading2">
    <w:name w:val="Table Heading 2"/>
    <w:basedOn w:val="Normal"/>
    <w:qFormat/>
    <w:rsid w:val="00DF2E7B"/>
    <w:pPr>
      <w:spacing w:before="60" w:after="60" w:line="276" w:lineRule="auto"/>
    </w:pPr>
    <w:rPr>
      <w: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9621712">
      <w:bodyDiv w:val="1"/>
      <w:marLeft w:val="0"/>
      <w:marRight w:val="0"/>
      <w:marTop w:val="0"/>
      <w:marBottom w:val="0"/>
      <w:divBdr>
        <w:top w:val="none" w:sz="0" w:space="0" w:color="auto"/>
        <w:left w:val="none" w:sz="0" w:space="0" w:color="auto"/>
        <w:bottom w:val="none" w:sz="0" w:space="0" w:color="auto"/>
        <w:right w:val="none" w:sz="0" w:space="0" w:color="auto"/>
      </w:divBdr>
      <w:divsChild>
        <w:div w:id="228276272">
          <w:marLeft w:val="0"/>
          <w:marRight w:val="0"/>
          <w:marTop w:val="0"/>
          <w:marBottom w:val="0"/>
          <w:divBdr>
            <w:top w:val="none" w:sz="0" w:space="0" w:color="auto"/>
            <w:left w:val="none" w:sz="0" w:space="0" w:color="auto"/>
            <w:bottom w:val="none" w:sz="0" w:space="0" w:color="auto"/>
            <w:right w:val="none" w:sz="0" w:space="0" w:color="auto"/>
          </w:divBdr>
          <w:divsChild>
            <w:div w:id="919565093">
              <w:marLeft w:val="0"/>
              <w:marRight w:val="0"/>
              <w:marTop w:val="0"/>
              <w:marBottom w:val="0"/>
              <w:divBdr>
                <w:top w:val="none" w:sz="0" w:space="0" w:color="auto"/>
                <w:left w:val="none" w:sz="0" w:space="0" w:color="auto"/>
                <w:bottom w:val="none" w:sz="0" w:space="0" w:color="auto"/>
                <w:right w:val="none" w:sz="0" w:space="0" w:color="auto"/>
              </w:divBdr>
              <w:divsChild>
                <w:div w:id="659040420">
                  <w:marLeft w:val="0"/>
                  <w:marRight w:val="0"/>
                  <w:marTop w:val="0"/>
                  <w:marBottom w:val="0"/>
                  <w:divBdr>
                    <w:top w:val="none" w:sz="0" w:space="0" w:color="auto"/>
                    <w:left w:val="none" w:sz="0" w:space="0" w:color="auto"/>
                    <w:bottom w:val="none" w:sz="0" w:space="0" w:color="auto"/>
                    <w:right w:val="none" w:sz="0" w:space="0" w:color="auto"/>
                  </w:divBdr>
                  <w:divsChild>
                    <w:div w:id="1827627816">
                      <w:marLeft w:val="0"/>
                      <w:marRight w:val="0"/>
                      <w:marTop w:val="0"/>
                      <w:marBottom w:val="0"/>
                      <w:divBdr>
                        <w:top w:val="none" w:sz="0" w:space="0" w:color="auto"/>
                        <w:left w:val="none" w:sz="0" w:space="0" w:color="auto"/>
                        <w:bottom w:val="none" w:sz="0" w:space="0" w:color="auto"/>
                        <w:right w:val="none" w:sz="0" w:space="0" w:color="auto"/>
                      </w:divBdr>
                      <w:divsChild>
                        <w:div w:id="1105275136">
                          <w:marLeft w:val="0"/>
                          <w:marRight w:val="0"/>
                          <w:marTop w:val="0"/>
                          <w:marBottom w:val="0"/>
                          <w:divBdr>
                            <w:top w:val="none" w:sz="0" w:space="0" w:color="auto"/>
                            <w:left w:val="none" w:sz="0" w:space="0" w:color="auto"/>
                            <w:bottom w:val="none" w:sz="0" w:space="0" w:color="auto"/>
                            <w:right w:val="none" w:sz="0" w:space="0" w:color="auto"/>
                          </w:divBdr>
                          <w:divsChild>
                            <w:div w:id="903836348">
                              <w:marLeft w:val="0"/>
                              <w:marRight w:val="0"/>
                              <w:marTop w:val="0"/>
                              <w:marBottom w:val="0"/>
                              <w:divBdr>
                                <w:top w:val="none" w:sz="0" w:space="0" w:color="auto"/>
                                <w:left w:val="none" w:sz="0" w:space="0" w:color="auto"/>
                                <w:bottom w:val="none" w:sz="0" w:space="0" w:color="auto"/>
                                <w:right w:val="none" w:sz="0" w:space="0" w:color="auto"/>
                              </w:divBdr>
                              <w:divsChild>
                                <w:div w:id="256443807">
                                  <w:marLeft w:val="0"/>
                                  <w:marRight w:val="0"/>
                                  <w:marTop w:val="0"/>
                                  <w:marBottom w:val="0"/>
                                  <w:divBdr>
                                    <w:top w:val="none" w:sz="0" w:space="0" w:color="auto"/>
                                    <w:left w:val="none" w:sz="0" w:space="0" w:color="auto"/>
                                    <w:bottom w:val="none" w:sz="0" w:space="0" w:color="auto"/>
                                    <w:right w:val="none" w:sz="0" w:space="0" w:color="auto"/>
                                  </w:divBdr>
                                  <w:divsChild>
                                    <w:div w:id="1028684135">
                                      <w:marLeft w:val="0"/>
                                      <w:marRight w:val="0"/>
                                      <w:marTop w:val="0"/>
                                      <w:marBottom w:val="0"/>
                                      <w:divBdr>
                                        <w:top w:val="none" w:sz="0" w:space="0" w:color="auto"/>
                                        <w:left w:val="none" w:sz="0" w:space="0" w:color="auto"/>
                                        <w:bottom w:val="none" w:sz="0" w:space="0" w:color="auto"/>
                                        <w:right w:val="none" w:sz="0" w:space="0" w:color="auto"/>
                                      </w:divBdr>
                                      <w:divsChild>
                                        <w:div w:id="2033609337">
                                          <w:marLeft w:val="0"/>
                                          <w:marRight w:val="0"/>
                                          <w:marTop w:val="0"/>
                                          <w:marBottom w:val="0"/>
                                          <w:divBdr>
                                            <w:top w:val="none" w:sz="0" w:space="0" w:color="auto"/>
                                            <w:left w:val="none" w:sz="0" w:space="0" w:color="auto"/>
                                            <w:bottom w:val="none" w:sz="0" w:space="0" w:color="auto"/>
                                            <w:right w:val="none" w:sz="0" w:space="0" w:color="auto"/>
                                          </w:divBdr>
                                          <w:divsChild>
                                            <w:div w:id="1677809556">
                                              <w:marLeft w:val="0"/>
                                              <w:marRight w:val="0"/>
                                              <w:marTop w:val="0"/>
                                              <w:marBottom w:val="0"/>
                                              <w:divBdr>
                                                <w:top w:val="none" w:sz="0" w:space="0" w:color="auto"/>
                                                <w:left w:val="none" w:sz="0" w:space="0" w:color="auto"/>
                                                <w:bottom w:val="none" w:sz="0" w:space="0" w:color="auto"/>
                                                <w:right w:val="none" w:sz="0" w:space="0" w:color="auto"/>
                                              </w:divBdr>
                                              <w:divsChild>
                                                <w:div w:id="1889104773">
                                                  <w:marLeft w:val="0"/>
                                                  <w:marRight w:val="0"/>
                                                  <w:marTop w:val="0"/>
                                                  <w:marBottom w:val="0"/>
                                                  <w:divBdr>
                                                    <w:top w:val="none" w:sz="0" w:space="0" w:color="auto"/>
                                                    <w:left w:val="none" w:sz="0" w:space="0" w:color="auto"/>
                                                    <w:bottom w:val="none" w:sz="0" w:space="0" w:color="auto"/>
                                                    <w:right w:val="none" w:sz="0" w:space="0" w:color="auto"/>
                                                  </w:divBdr>
                                                  <w:divsChild>
                                                    <w:div w:id="58472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0604613">
      <w:bodyDiv w:val="1"/>
      <w:marLeft w:val="0"/>
      <w:marRight w:val="0"/>
      <w:marTop w:val="0"/>
      <w:marBottom w:val="0"/>
      <w:divBdr>
        <w:top w:val="none" w:sz="0" w:space="0" w:color="auto"/>
        <w:left w:val="none" w:sz="0" w:space="0" w:color="auto"/>
        <w:bottom w:val="none" w:sz="0" w:space="0" w:color="auto"/>
        <w:right w:val="none" w:sz="0" w:space="0" w:color="auto"/>
      </w:divBdr>
    </w:div>
    <w:div w:id="1320767513">
      <w:bodyDiv w:val="1"/>
      <w:marLeft w:val="0"/>
      <w:marRight w:val="0"/>
      <w:marTop w:val="0"/>
      <w:marBottom w:val="0"/>
      <w:divBdr>
        <w:top w:val="none" w:sz="0" w:space="0" w:color="auto"/>
        <w:left w:val="none" w:sz="0" w:space="0" w:color="auto"/>
        <w:bottom w:val="none" w:sz="0" w:space="0" w:color="auto"/>
        <w:right w:val="none" w:sz="0" w:space="0" w:color="auto"/>
      </w:divBdr>
    </w:div>
    <w:div w:id="1624992509">
      <w:bodyDiv w:val="1"/>
      <w:marLeft w:val="0"/>
      <w:marRight w:val="0"/>
      <w:marTop w:val="0"/>
      <w:marBottom w:val="0"/>
      <w:divBdr>
        <w:top w:val="none" w:sz="0" w:space="0" w:color="auto"/>
        <w:left w:val="none" w:sz="0" w:space="0" w:color="auto"/>
        <w:bottom w:val="none" w:sz="0" w:space="0" w:color="auto"/>
        <w:right w:val="none" w:sz="0" w:space="0" w:color="auto"/>
      </w:divBdr>
    </w:div>
    <w:div w:id="1701081625">
      <w:bodyDiv w:val="1"/>
      <w:marLeft w:val="0"/>
      <w:marRight w:val="0"/>
      <w:marTop w:val="0"/>
      <w:marBottom w:val="0"/>
      <w:divBdr>
        <w:top w:val="none" w:sz="0" w:space="0" w:color="auto"/>
        <w:left w:val="none" w:sz="0" w:space="0" w:color="auto"/>
        <w:bottom w:val="none" w:sz="0" w:space="0" w:color="auto"/>
        <w:right w:val="none" w:sz="0" w:space="0" w:color="auto"/>
      </w:divBdr>
    </w:div>
    <w:div w:id="17374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24F0EC-4BFC-4158-BD6C-0F7AE738B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6010</Words>
  <Characters>31914</Characters>
  <Application>Microsoft Office Word</Application>
  <DocSecurity>0</DocSecurity>
  <Lines>886</Lines>
  <Paragraphs>298</Paragraphs>
  <ScaleCrop>false</ScaleCrop>
  <HeadingPairs>
    <vt:vector size="2" baseType="variant">
      <vt:variant>
        <vt:lpstr>Title</vt:lpstr>
      </vt:variant>
      <vt:variant>
        <vt:i4>1</vt:i4>
      </vt:variant>
    </vt:vector>
  </HeadingPairs>
  <TitlesOfParts>
    <vt:vector size="1" baseType="lpstr">
      <vt:lpstr>Regulatory impact assessment - Proposed changes to bloodstock tax rules (11 September 2018)</vt:lpstr>
    </vt:vector>
  </TitlesOfParts>
  <Company>Inland Revenue</Company>
  <LinksUpToDate>false</LinksUpToDate>
  <CharactersWithSpaces>37626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assessment - Proposed changes to bloodstock tax rules (11 September 2018)</dc:title>
  <dc:creator>Policy and Strategy</dc:creator>
  <cp:lastModifiedBy>Sharon Andrews</cp:lastModifiedBy>
  <cp:revision>2</cp:revision>
  <dcterms:created xsi:type="dcterms:W3CDTF">2018-10-03T01:20:00Z</dcterms:created>
  <dcterms:modified xsi:type="dcterms:W3CDTF">2018-10-03T01:22:00Z</dcterms:modified>
</cp:coreProperties>
</file>