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7E" w:rsidRPr="00EE6FAC" w:rsidRDefault="0062657E" w:rsidP="00A537E7">
      <w:pPr>
        <w:pStyle w:val="Heading1"/>
      </w:pPr>
      <w:bookmarkStart w:id="0" w:name="_GoBack"/>
      <w:bookmarkEnd w:id="0"/>
      <w:r w:rsidRPr="00EE6FAC">
        <w:t>Coversheet</w:t>
      </w:r>
      <w:r w:rsidR="009435C4" w:rsidRPr="00EE6FAC">
        <w:t>:</w:t>
      </w:r>
      <w:r w:rsidRPr="00EE6FAC">
        <w:t xml:space="preserve"> </w:t>
      </w:r>
      <w:r w:rsidR="001F0433" w:rsidRPr="00EE6FAC">
        <w:t>R</w:t>
      </w:r>
      <w:r w:rsidR="00314A08" w:rsidRPr="00EE6FAC">
        <w:t xml:space="preserve">esearch </w:t>
      </w:r>
      <w:r w:rsidR="001F0433" w:rsidRPr="00EE6FAC">
        <w:t>&amp;</w:t>
      </w:r>
      <w:r w:rsidR="00314A08" w:rsidRPr="00EE6FAC">
        <w:t xml:space="preserve"> </w:t>
      </w:r>
      <w:r w:rsidR="001F0433" w:rsidRPr="00EE6FAC">
        <w:t>D</w:t>
      </w:r>
      <w:r w:rsidR="00314A08" w:rsidRPr="00EE6FAC">
        <w:t>evelopment</w:t>
      </w:r>
      <w:r w:rsidR="001F0433" w:rsidRPr="00EE6FAC">
        <w:t xml:space="preserve"> Tax </w:t>
      </w:r>
      <w:r w:rsidR="00CC1AB1" w:rsidRPr="00EE6FAC">
        <w:t>Incentive</w:t>
      </w:r>
    </w:p>
    <w:p w:rsidR="009C4129" w:rsidRPr="00EE6FAC" w:rsidRDefault="009C4129" w:rsidP="007B090A">
      <w:pPr>
        <w:pStyle w:val="spacer"/>
        <w:spacing w:line="276" w:lineRule="auto"/>
        <w:rPr>
          <w:rFonts w:cs="Arial"/>
          <w:sz w:val="22"/>
          <w:lang w:val="en-NZ"/>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822"/>
      </w:tblGrid>
      <w:tr w:rsidR="0062657E" w:rsidRPr="00EE6FAC" w:rsidTr="001E23E2">
        <w:tc>
          <w:tcPr>
            <w:tcW w:w="2271" w:type="dxa"/>
            <w:shd w:val="clear" w:color="auto" w:fill="EBF5F8"/>
          </w:tcPr>
          <w:p w:rsidR="0062657E" w:rsidRPr="00EE6FAC" w:rsidRDefault="0062657E" w:rsidP="007B090A">
            <w:pPr>
              <w:pStyle w:val="TableText"/>
              <w:spacing w:line="276" w:lineRule="auto"/>
              <w:rPr>
                <w:rFonts w:cs="Arial"/>
                <w:lang w:val="en-NZ"/>
              </w:rPr>
            </w:pPr>
            <w:r w:rsidRPr="00EE6FAC">
              <w:rPr>
                <w:rFonts w:cs="Arial"/>
                <w:lang w:val="en-NZ"/>
              </w:rPr>
              <w:t>Advising agencies</w:t>
            </w:r>
          </w:p>
        </w:tc>
        <w:tc>
          <w:tcPr>
            <w:tcW w:w="6926" w:type="dxa"/>
            <w:shd w:val="clear" w:color="auto" w:fill="auto"/>
          </w:tcPr>
          <w:p w:rsidR="0062657E" w:rsidRPr="00EE6FAC" w:rsidRDefault="001F0433" w:rsidP="007B090A">
            <w:pPr>
              <w:spacing w:before="20" w:after="20" w:line="276" w:lineRule="auto"/>
              <w:rPr>
                <w:rFonts w:cs="Arial"/>
                <w:szCs w:val="22"/>
                <w:lang w:val="en-NZ"/>
              </w:rPr>
            </w:pPr>
            <w:r w:rsidRPr="00EE6FAC">
              <w:rPr>
                <w:rFonts w:cs="Arial"/>
                <w:szCs w:val="22"/>
                <w:lang w:val="en-NZ"/>
              </w:rPr>
              <w:t>Ministry of Business, Innovation and Employment</w:t>
            </w:r>
            <w:r w:rsidR="0008188C" w:rsidRPr="00EE6FAC">
              <w:rPr>
                <w:rFonts w:cs="Arial"/>
                <w:szCs w:val="22"/>
                <w:lang w:val="en-NZ"/>
              </w:rPr>
              <w:t xml:space="preserve"> (MBIE)</w:t>
            </w:r>
          </w:p>
          <w:p w:rsidR="001F0433" w:rsidRPr="00EE6FAC" w:rsidRDefault="001F0433" w:rsidP="007B090A">
            <w:pPr>
              <w:spacing w:before="20" w:after="20" w:line="276" w:lineRule="auto"/>
              <w:rPr>
                <w:rFonts w:cs="Arial"/>
                <w:szCs w:val="22"/>
                <w:lang w:val="en-NZ"/>
              </w:rPr>
            </w:pPr>
            <w:r w:rsidRPr="00EE6FAC">
              <w:rPr>
                <w:rFonts w:cs="Arial"/>
                <w:szCs w:val="22"/>
                <w:lang w:val="en-NZ"/>
              </w:rPr>
              <w:t>Inland Revenue</w:t>
            </w:r>
            <w:r w:rsidR="00143BA3" w:rsidRPr="00EE6FAC">
              <w:rPr>
                <w:rFonts w:cs="Arial"/>
                <w:szCs w:val="22"/>
                <w:lang w:val="en-NZ"/>
              </w:rPr>
              <w:t xml:space="preserve"> (IR)</w:t>
            </w:r>
          </w:p>
          <w:p w:rsidR="00DB008B" w:rsidRPr="00EE6FAC" w:rsidRDefault="00DB008B" w:rsidP="007B090A">
            <w:pPr>
              <w:spacing w:before="20" w:after="20" w:line="276" w:lineRule="auto"/>
              <w:rPr>
                <w:rFonts w:cs="Arial"/>
                <w:szCs w:val="22"/>
                <w:lang w:val="en-NZ"/>
              </w:rPr>
            </w:pPr>
            <w:r w:rsidRPr="00EE6FAC">
              <w:rPr>
                <w:rFonts w:cs="Arial"/>
                <w:szCs w:val="22"/>
                <w:lang w:val="en-NZ"/>
              </w:rPr>
              <w:t>The Treasury</w:t>
            </w:r>
          </w:p>
          <w:p w:rsidR="00894B25" w:rsidRPr="00EE6FAC" w:rsidRDefault="00894B25" w:rsidP="00B404DD">
            <w:pPr>
              <w:spacing w:before="20" w:after="20" w:line="276" w:lineRule="auto"/>
              <w:rPr>
                <w:rFonts w:cs="Arial"/>
                <w:szCs w:val="22"/>
                <w:lang w:val="en-NZ"/>
              </w:rPr>
            </w:pPr>
            <w:r w:rsidRPr="00EE6FAC">
              <w:rPr>
                <w:rFonts w:cs="Arial"/>
                <w:szCs w:val="22"/>
                <w:lang w:val="en-NZ"/>
              </w:rPr>
              <w:t xml:space="preserve">Callaghan Innovation </w:t>
            </w:r>
          </w:p>
        </w:tc>
      </w:tr>
      <w:tr w:rsidR="0062657E" w:rsidRPr="00EE6FAC" w:rsidTr="001E23E2">
        <w:tc>
          <w:tcPr>
            <w:tcW w:w="2271" w:type="dxa"/>
            <w:shd w:val="clear" w:color="auto" w:fill="EBF5F8"/>
          </w:tcPr>
          <w:p w:rsidR="0062657E" w:rsidRPr="00EE6FAC" w:rsidRDefault="0062657E" w:rsidP="00EE6FAC">
            <w:pPr>
              <w:pStyle w:val="TableText"/>
              <w:spacing w:line="276" w:lineRule="auto"/>
              <w:rPr>
                <w:rFonts w:cs="Arial"/>
                <w:lang w:val="en-NZ"/>
              </w:rPr>
            </w:pPr>
            <w:r w:rsidRPr="00EE6FAC">
              <w:rPr>
                <w:rFonts w:cs="Arial"/>
                <w:lang w:val="en-NZ"/>
              </w:rPr>
              <w:t>Decision sought</w:t>
            </w:r>
          </w:p>
        </w:tc>
        <w:tc>
          <w:tcPr>
            <w:tcW w:w="6926" w:type="dxa"/>
            <w:shd w:val="clear" w:color="auto" w:fill="auto"/>
          </w:tcPr>
          <w:p w:rsidR="001F0433" w:rsidRPr="00EE6FAC" w:rsidRDefault="001F0433" w:rsidP="00EE6FAC">
            <w:pPr>
              <w:spacing w:before="120" w:after="120" w:line="276" w:lineRule="auto"/>
              <w:rPr>
                <w:rFonts w:cs="Arial"/>
                <w:szCs w:val="22"/>
                <w:lang w:val="en-NZ"/>
              </w:rPr>
            </w:pPr>
            <w:r w:rsidRPr="00EE6FAC">
              <w:rPr>
                <w:rFonts w:cs="Arial"/>
                <w:szCs w:val="22"/>
                <w:lang w:val="en-NZ"/>
              </w:rPr>
              <w:t>Implement</w:t>
            </w:r>
            <w:r w:rsidR="007754B5" w:rsidRPr="00EE6FAC">
              <w:rPr>
                <w:rFonts w:cs="Arial"/>
                <w:szCs w:val="22"/>
                <w:lang w:val="en-NZ"/>
              </w:rPr>
              <w:t>ation of</w:t>
            </w:r>
            <w:r w:rsidRPr="00EE6FAC">
              <w:rPr>
                <w:rFonts w:cs="Arial"/>
                <w:szCs w:val="22"/>
                <w:lang w:val="en-NZ"/>
              </w:rPr>
              <w:t xml:space="preserve"> </w:t>
            </w:r>
            <w:r w:rsidR="002A0CA4">
              <w:rPr>
                <w:rFonts w:cs="Arial"/>
                <w:szCs w:val="22"/>
                <w:lang w:val="en-NZ"/>
              </w:rPr>
              <w:t>a R&amp;D</w:t>
            </w:r>
            <w:r w:rsidRPr="00EE6FAC">
              <w:rPr>
                <w:rFonts w:cs="Arial"/>
                <w:szCs w:val="22"/>
                <w:lang w:val="en-NZ"/>
              </w:rPr>
              <w:t xml:space="preserve"> Tax </w:t>
            </w:r>
            <w:r w:rsidR="00894B25" w:rsidRPr="00EE6FAC">
              <w:rPr>
                <w:rFonts w:cs="Arial"/>
                <w:szCs w:val="22"/>
                <w:lang w:val="en-NZ"/>
              </w:rPr>
              <w:t>Incentive</w:t>
            </w:r>
          </w:p>
        </w:tc>
      </w:tr>
      <w:tr w:rsidR="0062657E" w:rsidRPr="00EE6FAC" w:rsidTr="001E23E2">
        <w:tc>
          <w:tcPr>
            <w:tcW w:w="2271" w:type="dxa"/>
            <w:shd w:val="clear" w:color="auto" w:fill="EBF5F8"/>
          </w:tcPr>
          <w:p w:rsidR="0062657E" w:rsidRPr="00EE6FAC" w:rsidRDefault="0062657E" w:rsidP="007B090A">
            <w:pPr>
              <w:pStyle w:val="TableText"/>
              <w:spacing w:line="276" w:lineRule="auto"/>
              <w:rPr>
                <w:rFonts w:cs="Arial"/>
                <w:lang w:val="en-NZ"/>
              </w:rPr>
            </w:pPr>
            <w:r w:rsidRPr="00EE6FAC">
              <w:rPr>
                <w:rFonts w:cs="Arial"/>
                <w:lang w:val="en-NZ"/>
              </w:rPr>
              <w:t>Proposing Ministers</w:t>
            </w:r>
          </w:p>
        </w:tc>
        <w:tc>
          <w:tcPr>
            <w:tcW w:w="6926" w:type="dxa"/>
            <w:shd w:val="clear" w:color="auto" w:fill="auto"/>
          </w:tcPr>
          <w:p w:rsidR="0062657E" w:rsidRPr="00EE6FAC" w:rsidRDefault="00290092" w:rsidP="007B090A">
            <w:pPr>
              <w:spacing w:before="20" w:after="20" w:line="276" w:lineRule="auto"/>
              <w:rPr>
                <w:rFonts w:cs="Arial"/>
                <w:szCs w:val="22"/>
                <w:lang w:val="en-NZ"/>
              </w:rPr>
            </w:pPr>
            <w:r w:rsidRPr="00EE6FAC">
              <w:rPr>
                <w:rFonts w:cs="Arial"/>
                <w:szCs w:val="22"/>
                <w:lang w:val="en-NZ"/>
              </w:rPr>
              <w:t xml:space="preserve">Hon </w:t>
            </w:r>
            <w:r w:rsidR="00A90F04" w:rsidRPr="00EE6FAC">
              <w:rPr>
                <w:rFonts w:cs="Arial"/>
                <w:szCs w:val="22"/>
                <w:lang w:val="en-NZ"/>
              </w:rPr>
              <w:t xml:space="preserve">Dr </w:t>
            </w:r>
            <w:r w:rsidRPr="00EE6FAC">
              <w:rPr>
                <w:rFonts w:cs="Arial"/>
                <w:szCs w:val="22"/>
                <w:lang w:val="en-NZ"/>
              </w:rPr>
              <w:t>Megan Woods (</w:t>
            </w:r>
            <w:r w:rsidR="001F0433" w:rsidRPr="00EE6FAC">
              <w:rPr>
                <w:rFonts w:cs="Arial"/>
                <w:szCs w:val="22"/>
                <w:lang w:val="en-NZ"/>
              </w:rPr>
              <w:t>Minister for Research, Science and Innovation</w:t>
            </w:r>
            <w:r w:rsidRPr="00EE6FAC">
              <w:rPr>
                <w:rFonts w:cs="Arial"/>
                <w:szCs w:val="22"/>
                <w:lang w:val="en-NZ"/>
              </w:rPr>
              <w:t>)</w:t>
            </w:r>
          </w:p>
          <w:p w:rsidR="00DB008B" w:rsidRPr="00EE6FAC" w:rsidRDefault="00290092" w:rsidP="00290092">
            <w:pPr>
              <w:spacing w:before="20" w:after="20" w:line="276" w:lineRule="auto"/>
              <w:rPr>
                <w:rFonts w:cs="Arial"/>
                <w:szCs w:val="22"/>
                <w:lang w:val="en-NZ"/>
              </w:rPr>
            </w:pPr>
            <w:r w:rsidRPr="00EE6FAC">
              <w:rPr>
                <w:rFonts w:cs="Arial"/>
                <w:szCs w:val="22"/>
                <w:lang w:val="en-NZ"/>
              </w:rPr>
              <w:t>Hon Stuart Nash (</w:t>
            </w:r>
            <w:r w:rsidR="001F0433" w:rsidRPr="00EE6FAC">
              <w:rPr>
                <w:rFonts w:cs="Arial"/>
                <w:szCs w:val="22"/>
                <w:lang w:val="en-NZ"/>
              </w:rPr>
              <w:t xml:space="preserve">Minister </w:t>
            </w:r>
            <w:r w:rsidRPr="00EE6FAC">
              <w:rPr>
                <w:rFonts w:cs="Arial"/>
                <w:szCs w:val="22"/>
                <w:lang w:val="en-NZ"/>
              </w:rPr>
              <w:t xml:space="preserve">of </w:t>
            </w:r>
            <w:r w:rsidR="001F0433" w:rsidRPr="00EE6FAC">
              <w:rPr>
                <w:rFonts w:cs="Arial"/>
                <w:szCs w:val="22"/>
                <w:lang w:val="en-NZ"/>
              </w:rPr>
              <w:t>Revenue</w:t>
            </w:r>
            <w:r w:rsidRPr="00EE6FAC">
              <w:rPr>
                <w:rFonts w:cs="Arial"/>
                <w:szCs w:val="22"/>
                <w:lang w:val="en-NZ"/>
              </w:rPr>
              <w:t>)</w:t>
            </w:r>
          </w:p>
        </w:tc>
      </w:tr>
    </w:tbl>
    <w:p w:rsidR="0062657E" w:rsidRPr="00EE6FAC" w:rsidRDefault="0062657E" w:rsidP="007B090A">
      <w:pPr>
        <w:pStyle w:val="spacer"/>
        <w:spacing w:line="276" w:lineRule="auto"/>
        <w:rPr>
          <w:rFonts w:cs="Arial"/>
          <w:sz w:val="22"/>
          <w:lang w:val="en-NZ"/>
        </w:rPr>
      </w:pPr>
    </w:p>
    <w:p w:rsidR="0062657E" w:rsidRPr="00EE6FAC" w:rsidRDefault="0062657E" w:rsidP="00B9498A">
      <w:pPr>
        <w:pStyle w:val="Heading4"/>
        <w:rPr>
          <w:bCs w:val="0"/>
          <w:color w:val="0082AB"/>
          <w:spacing w:val="20"/>
          <w:w w:val="90"/>
          <w:sz w:val="24"/>
          <w:szCs w:val="24"/>
          <w:lang w:val="en-NZ"/>
        </w:rPr>
      </w:pPr>
      <w:r w:rsidRPr="00EE6FAC">
        <w:rPr>
          <w:bCs w:val="0"/>
          <w:color w:val="0082AB"/>
          <w:spacing w:val="20"/>
          <w:w w:val="90"/>
          <w:sz w:val="24"/>
          <w:szCs w:val="24"/>
          <w:lang w:val="en-NZ"/>
        </w:rPr>
        <w:t>Summary:</w:t>
      </w:r>
      <w:r w:rsidR="00A514AC" w:rsidRPr="00EE6FAC">
        <w:rPr>
          <w:bCs w:val="0"/>
          <w:color w:val="0082AB"/>
          <w:spacing w:val="20"/>
          <w:w w:val="90"/>
          <w:sz w:val="24"/>
          <w:szCs w:val="24"/>
          <w:lang w:val="en-NZ"/>
        </w:rPr>
        <w:t xml:space="preserve"> </w:t>
      </w:r>
      <w:r w:rsidRPr="00EE6FAC">
        <w:rPr>
          <w:bCs w:val="0"/>
          <w:color w:val="0082AB"/>
          <w:spacing w:val="20"/>
          <w:w w:val="90"/>
          <w:sz w:val="24"/>
          <w:szCs w:val="24"/>
          <w:lang w:val="en-NZ"/>
        </w:rPr>
        <w:t xml:space="preserve">Problem and Proposed Approach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2657E" w:rsidRPr="00EE6FAC" w:rsidTr="00663BAA">
        <w:trPr>
          <w:trHeight w:val="214"/>
        </w:trPr>
        <w:tc>
          <w:tcPr>
            <w:tcW w:w="9039" w:type="dxa"/>
            <w:shd w:val="clear" w:color="auto" w:fill="99CDDD"/>
          </w:tcPr>
          <w:p w:rsidR="0062657E" w:rsidRPr="00EE6FAC" w:rsidRDefault="0062657E" w:rsidP="00FA7EFC">
            <w:pPr>
              <w:keepNext/>
              <w:spacing w:before="60" w:after="60" w:line="276" w:lineRule="auto"/>
              <w:rPr>
                <w:b/>
                <w:szCs w:val="22"/>
                <w:lang w:val="en-NZ"/>
              </w:rPr>
            </w:pPr>
            <w:r w:rsidRPr="00EE6FAC">
              <w:rPr>
                <w:b/>
                <w:szCs w:val="22"/>
                <w:lang w:val="en-NZ"/>
              </w:rPr>
              <w:t>Problem Definition</w:t>
            </w:r>
          </w:p>
          <w:p w:rsidR="0062657E" w:rsidRPr="00EE6FAC" w:rsidRDefault="0062657E" w:rsidP="00DF2E7B">
            <w:pPr>
              <w:spacing w:before="60" w:after="60" w:line="240" w:lineRule="auto"/>
              <w:rPr>
                <w:b/>
                <w:szCs w:val="22"/>
                <w:lang w:val="en-NZ"/>
              </w:rPr>
            </w:pPr>
            <w:r w:rsidRPr="00EE6FAC">
              <w:rPr>
                <w:b/>
                <w:szCs w:val="22"/>
                <w:lang w:val="en-NZ"/>
              </w:rPr>
              <w:t>What problem or opportunity does this proposal seek to address?</w:t>
            </w:r>
            <w:r w:rsidR="00A514AC" w:rsidRPr="00EE6FAC">
              <w:rPr>
                <w:b/>
                <w:szCs w:val="22"/>
                <w:lang w:val="en-NZ"/>
              </w:rPr>
              <w:t xml:space="preserve"> </w:t>
            </w:r>
            <w:r w:rsidRPr="00EE6FAC">
              <w:rPr>
                <w:b/>
                <w:szCs w:val="22"/>
                <w:lang w:val="en-NZ"/>
              </w:rPr>
              <w:t>Why is Government intervention required?</w:t>
            </w:r>
          </w:p>
        </w:tc>
      </w:tr>
      <w:tr w:rsidR="0062657E" w:rsidRPr="00EE6FAC" w:rsidTr="00F57E0A">
        <w:trPr>
          <w:trHeight w:val="789"/>
        </w:trPr>
        <w:tc>
          <w:tcPr>
            <w:tcW w:w="9039" w:type="dxa"/>
            <w:shd w:val="clear" w:color="auto" w:fill="FFFFFF"/>
          </w:tcPr>
          <w:p w:rsidR="008B2F56" w:rsidRPr="00EE6FAC" w:rsidRDefault="00A90F04" w:rsidP="008B2F56">
            <w:pPr>
              <w:pStyle w:val="TableText"/>
              <w:spacing w:after="0" w:line="276" w:lineRule="auto"/>
              <w:rPr>
                <w:lang w:val="en-NZ"/>
              </w:rPr>
            </w:pPr>
            <w:r w:rsidRPr="00EE6FAC">
              <w:rPr>
                <w:lang w:val="en-NZ"/>
              </w:rPr>
              <w:t xml:space="preserve">As </w:t>
            </w:r>
            <w:r w:rsidR="008B2F56" w:rsidRPr="00EE6FAC">
              <w:rPr>
                <w:lang w:val="en-NZ"/>
              </w:rPr>
              <w:t>the OECD (2017) outlined, New Zealand’s economic productivity has been below average for OECD countries for several decades, and this is a key explanation behind New Zealand’s relatively low p</w:t>
            </w:r>
            <w:r w:rsidR="00297ACA" w:rsidRPr="00EE6FAC">
              <w:rPr>
                <w:lang w:val="en-NZ"/>
              </w:rPr>
              <w:t>er</w:t>
            </w:r>
            <w:r w:rsidR="008B2F56" w:rsidRPr="00EE6FAC">
              <w:rPr>
                <w:lang w:val="en-NZ"/>
              </w:rPr>
              <w:t>-capita Gross Domestic Product (GDP). It has been argued that New Zealand’s relatively low investment in knowledge-based capital may explain as much as 40</w:t>
            </w:r>
            <w:r w:rsidR="00F00C86">
              <w:rPr>
                <w:lang w:val="en-NZ"/>
              </w:rPr>
              <w:t xml:space="preserve"> per cent</w:t>
            </w:r>
            <w:r w:rsidR="008B2F56" w:rsidRPr="00EE6FAC">
              <w:rPr>
                <w:lang w:val="en-NZ"/>
              </w:rPr>
              <w:t xml:space="preserve"> of New Zealand’s productivity gap relative to the OECD average (de Serres, Yashiro &amp; Boulhol, 2014).</w:t>
            </w:r>
          </w:p>
          <w:p w:rsidR="008B2F56" w:rsidRPr="00EE6FAC" w:rsidRDefault="008B2F56" w:rsidP="008B2F56">
            <w:pPr>
              <w:pStyle w:val="TableText"/>
              <w:rPr>
                <w:lang w:val="en-NZ"/>
              </w:rPr>
            </w:pPr>
            <w:r w:rsidRPr="00EE6FAC">
              <w:rPr>
                <w:lang w:val="en-NZ"/>
              </w:rPr>
              <w:t xml:space="preserve">New Zealand expenditure on Research and Development (R&amp;D) as a </w:t>
            </w:r>
            <w:r w:rsidR="00A90F04" w:rsidRPr="00EE6FAC">
              <w:rPr>
                <w:lang w:val="en-NZ"/>
              </w:rPr>
              <w:t>per</w:t>
            </w:r>
            <w:r w:rsidR="00B0355C" w:rsidRPr="00EE6FAC">
              <w:rPr>
                <w:lang w:val="en-NZ"/>
              </w:rPr>
              <w:t>cent</w:t>
            </w:r>
            <w:r w:rsidRPr="00EE6FAC">
              <w:rPr>
                <w:lang w:val="en-NZ"/>
              </w:rPr>
              <w:t xml:space="preserve">age of GDP is relatively low – currently 1.25 </w:t>
            </w:r>
            <w:r w:rsidR="00B0355C" w:rsidRPr="00EE6FAC">
              <w:rPr>
                <w:lang w:val="en-NZ"/>
              </w:rPr>
              <w:t>per cent</w:t>
            </w:r>
            <w:r w:rsidRPr="00EE6FAC">
              <w:rPr>
                <w:lang w:val="en-NZ"/>
              </w:rPr>
              <w:t xml:space="preserve">, as compared to 2.40 </w:t>
            </w:r>
            <w:r w:rsidR="00DF7CED" w:rsidRPr="00EE6FAC">
              <w:rPr>
                <w:lang w:val="en-NZ"/>
              </w:rPr>
              <w:t xml:space="preserve">per cent </w:t>
            </w:r>
            <w:r w:rsidRPr="00EE6FAC">
              <w:rPr>
                <w:lang w:val="en-NZ"/>
              </w:rPr>
              <w:t>in the OECD as a whole</w:t>
            </w:r>
            <w:r w:rsidR="00527D21" w:rsidRPr="00EE6FAC">
              <w:rPr>
                <w:lang w:val="en-NZ"/>
              </w:rPr>
              <w:t>,</w:t>
            </w:r>
            <w:r w:rsidRPr="00EE6FAC">
              <w:rPr>
                <w:lang w:val="en-NZ"/>
              </w:rPr>
              <w:t xml:space="preserve"> and the primary reason is low business investment in R&amp;D. </w:t>
            </w:r>
            <w:r w:rsidR="00527D21" w:rsidRPr="00EE6FAC">
              <w:rPr>
                <w:lang w:val="en-NZ"/>
              </w:rPr>
              <w:t xml:space="preserve">As a subset of this, </w:t>
            </w:r>
            <w:r w:rsidRPr="00EE6FAC">
              <w:rPr>
                <w:lang w:val="en-NZ"/>
              </w:rPr>
              <w:t>New Zealand business expenditure on R&amp;D (BERD) was 0.64</w:t>
            </w:r>
            <w:r w:rsidR="00F00C86">
              <w:rPr>
                <w:lang w:val="en-NZ"/>
              </w:rPr>
              <w:t xml:space="preserve"> per cent</w:t>
            </w:r>
            <w:r w:rsidRPr="00EE6FAC">
              <w:rPr>
                <w:lang w:val="en-NZ"/>
              </w:rPr>
              <w:t xml:space="preserve"> of GDP in 2016 (Statistics New Zealand, 2017), compared to 1.64</w:t>
            </w:r>
            <w:r w:rsidR="00F00C86">
              <w:rPr>
                <w:lang w:val="en-NZ"/>
              </w:rPr>
              <w:t xml:space="preserve"> per cent</w:t>
            </w:r>
            <w:r w:rsidRPr="00EE6FAC">
              <w:rPr>
                <w:lang w:val="en-NZ"/>
              </w:rPr>
              <w:t xml:space="preserve"> in the OECD as a whole</w:t>
            </w:r>
            <w:r w:rsidR="00527D21" w:rsidRPr="00EE6FAC">
              <w:rPr>
                <w:lang w:val="en-NZ"/>
              </w:rPr>
              <w:t>.</w:t>
            </w:r>
          </w:p>
          <w:p w:rsidR="002E316D" w:rsidRPr="00EE6FAC" w:rsidRDefault="002E316D" w:rsidP="00290410">
            <w:pPr>
              <w:pStyle w:val="TableText"/>
              <w:spacing w:after="0" w:line="276" w:lineRule="auto"/>
              <w:rPr>
                <w:lang w:val="en-NZ"/>
              </w:rPr>
            </w:pPr>
            <w:r w:rsidRPr="00EE6FAC">
              <w:rPr>
                <w:lang w:val="en-NZ"/>
              </w:rPr>
              <w:t>The Government</w:t>
            </w:r>
            <w:r w:rsidR="00681DAB" w:rsidRPr="00EE6FAC">
              <w:rPr>
                <w:lang w:val="en-NZ"/>
              </w:rPr>
              <w:t xml:space="preserve"> has announced </w:t>
            </w:r>
            <w:r w:rsidR="00831911" w:rsidRPr="00EE6FAC">
              <w:rPr>
                <w:lang w:val="en-NZ"/>
              </w:rPr>
              <w:t xml:space="preserve">a goal of increasing </w:t>
            </w:r>
            <w:r w:rsidR="00DF7CED" w:rsidRPr="00EE6FAC">
              <w:rPr>
                <w:lang w:val="en-NZ"/>
              </w:rPr>
              <w:t xml:space="preserve">total </w:t>
            </w:r>
            <w:r w:rsidR="00527D21" w:rsidRPr="00EE6FAC">
              <w:rPr>
                <w:lang w:val="en-NZ"/>
              </w:rPr>
              <w:t>R&amp;D as a percentage of GDP</w:t>
            </w:r>
            <w:r w:rsidRPr="00EE6FAC">
              <w:rPr>
                <w:lang w:val="en-NZ"/>
              </w:rPr>
              <w:t xml:space="preserve"> to</w:t>
            </w:r>
            <w:r w:rsidR="00A90F04" w:rsidRPr="00EE6FAC">
              <w:rPr>
                <w:lang w:val="en-NZ"/>
              </w:rPr>
              <w:t xml:space="preserve"> </w:t>
            </w:r>
            <w:r w:rsidR="00297ACA" w:rsidRPr="00EE6FAC">
              <w:rPr>
                <w:lang w:val="en-NZ"/>
              </w:rPr>
              <w:t xml:space="preserve">2 </w:t>
            </w:r>
            <w:r w:rsidR="00B0355C" w:rsidRPr="00EE6FAC">
              <w:rPr>
                <w:lang w:val="en-NZ"/>
              </w:rPr>
              <w:t>per cent</w:t>
            </w:r>
            <w:r w:rsidR="00095420" w:rsidRPr="00EE6FAC">
              <w:rPr>
                <w:lang w:val="en-NZ"/>
              </w:rPr>
              <w:t>, and t</w:t>
            </w:r>
            <w:r w:rsidR="00207B1D" w:rsidRPr="00EE6FAC">
              <w:rPr>
                <w:lang w:val="en-NZ"/>
              </w:rPr>
              <w:t xml:space="preserve">o reach this target a significant amount of growth is expected to come from </w:t>
            </w:r>
            <w:r w:rsidR="00527D21" w:rsidRPr="00EE6FAC">
              <w:rPr>
                <w:lang w:val="en-NZ"/>
              </w:rPr>
              <w:t>BERD</w:t>
            </w:r>
            <w:r w:rsidR="00095420" w:rsidRPr="00EE6FAC">
              <w:rPr>
                <w:lang w:val="en-NZ"/>
              </w:rPr>
              <w:t>. T</w:t>
            </w:r>
            <w:r w:rsidR="0000534A" w:rsidRPr="00EE6FAC">
              <w:rPr>
                <w:lang w:val="en-NZ"/>
              </w:rPr>
              <w:t xml:space="preserve">he R&amp;D Tax Incentive is the </w:t>
            </w:r>
            <w:r w:rsidR="000F7DE6" w:rsidRPr="00EE6FAC">
              <w:rPr>
                <w:lang w:val="en-NZ"/>
              </w:rPr>
              <w:t xml:space="preserve">Government’s </w:t>
            </w:r>
            <w:r w:rsidR="0000534A" w:rsidRPr="00EE6FAC">
              <w:rPr>
                <w:lang w:val="en-NZ"/>
              </w:rPr>
              <w:t>primary mec</w:t>
            </w:r>
            <w:r w:rsidR="000F7DE6" w:rsidRPr="00EE6FAC">
              <w:rPr>
                <w:lang w:val="en-NZ"/>
              </w:rPr>
              <w:t>hanism for achieving this</w:t>
            </w:r>
            <w:r w:rsidR="00207B1D" w:rsidRPr="00EE6FAC">
              <w:rPr>
                <w:lang w:val="en-NZ"/>
              </w:rPr>
              <w:t xml:space="preserve">. </w:t>
            </w:r>
          </w:p>
          <w:p w:rsidR="0062657E" w:rsidRPr="00EE6FAC" w:rsidRDefault="00481003" w:rsidP="00290410">
            <w:pPr>
              <w:pStyle w:val="TableText"/>
              <w:spacing w:after="0" w:line="276" w:lineRule="auto"/>
              <w:rPr>
                <w:lang w:val="en-NZ"/>
              </w:rPr>
            </w:pPr>
            <w:r w:rsidRPr="00EE6FAC">
              <w:rPr>
                <w:lang w:val="en-NZ"/>
              </w:rPr>
              <w:t>It is common for governments to support BERD. Without government support, businesses tend to invest in less R&amp;D than is optimal for the country as a whole as they are unable to capture the full benefits of their investment. The knowledge created through R&amp;D spreads across the economy in various ways, including product imitation, reverse engineering, and worker mobility. While this generates wider societal gains, the business that generated it does not receive those benefits. Government support for business R&amp;D compensates businesses for those benefits that they are unable to capture in full</w:t>
            </w:r>
            <w:r w:rsidR="00290410" w:rsidRPr="00EE6FAC">
              <w:rPr>
                <w:lang w:val="en-NZ"/>
              </w:rPr>
              <w:t>, and thereby provides them with more appropriate incentives</w:t>
            </w:r>
            <w:r w:rsidRPr="00EE6FAC">
              <w:rPr>
                <w:lang w:val="en-NZ"/>
              </w:rPr>
              <w:t>.</w:t>
            </w:r>
          </w:p>
        </w:tc>
      </w:tr>
    </w:tbl>
    <w:p w:rsidR="0062657E" w:rsidRPr="00EE6FAC" w:rsidRDefault="0062657E" w:rsidP="00AA6A54">
      <w:pPr>
        <w:pStyle w:val="spacer"/>
        <w:rPr>
          <w:lang w:val="en-NZ"/>
        </w:rPr>
      </w:pPr>
    </w:p>
    <w:p w:rsidR="00527D21" w:rsidRPr="00EE6FAC" w:rsidRDefault="00527D21" w:rsidP="00AA6A54">
      <w:pPr>
        <w:pStyle w:val="spacer"/>
        <w:rPr>
          <w:lang w:val="en-NZ"/>
        </w:rPr>
      </w:pPr>
    </w:p>
    <w:p w:rsidR="001E145D" w:rsidRPr="00EE6FAC" w:rsidRDefault="001E145D" w:rsidP="00AA6A54">
      <w:pPr>
        <w:pStyle w:val="spacer"/>
        <w:rPr>
          <w:lang w:val="en-NZ"/>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2657E" w:rsidRPr="00EE6FAC" w:rsidTr="004A11FC">
        <w:trPr>
          <w:trHeight w:val="585"/>
        </w:trPr>
        <w:tc>
          <w:tcPr>
            <w:tcW w:w="9067" w:type="dxa"/>
            <w:shd w:val="clear" w:color="auto" w:fill="99CDDD"/>
          </w:tcPr>
          <w:p w:rsidR="0062657E" w:rsidRPr="00EE6FAC" w:rsidRDefault="0062657E" w:rsidP="007B090A">
            <w:pPr>
              <w:spacing w:before="60" w:after="60" w:line="276" w:lineRule="auto"/>
              <w:rPr>
                <w:b/>
                <w:szCs w:val="22"/>
                <w:lang w:val="en-NZ"/>
              </w:rPr>
            </w:pPr>
            <w:r w:rsidRPr="00EE6FAC">
              <w:rPr>
                <w:b/>
                <w:szCs w:val="22"/>
                <w:lang w:val="en-NZ"/>
              </w:rPr>
              <w:lastRenderedPageBreak/>
              <w:t>Proposed Approach</w:t>
            </w:r>
            <w:r w:rsidR="00A514AC" w:rsidRPr="00EE6FAC">
              <w:rPr>
                <w:b/>
                <w:szCs w:val="22"/>
                <w:lang w:val="en-NZ"/>
              </w:rPr>
              <w:t xml:space="preserve"> </w:t>
            </w:r>
          </w:p>
          <w:p w:rsidR="0062657E" w:rsidRPr="00EE6FAC" w:rsidRDefault="0062657E" w:rsidP="00B404DD">
            <w:pPr>
              <w:spacing w:before="60" w:after="60" w:line="240" w:lineRule="auto"/>
              <w:rPr>
                <w:b/>
                <w:szCs w:val="22"/>
                <w:lang w:val="en-NZ"/>
              </w:rPr>
            </w:pPr>
            <w:r w:rsidRPr="00EE6FAC">
              <w:rPr>
                <w:b/>
                <w:szCs w:val="22"/>
                <w:lang w:val="en-NZ"/>
              </w:rPr>
              <w:t>How will Government intervention work to bring about the desired change? How is this</w:t>
            </w:r>
            <w:r w:rsidR="00314A08" w:rsidRPr="00EE6FAC">
              <w:rPr>
                <w:b/>
                <w:szCs w:val="22"/>
                <w:lang w:val="en-NZ"/>
              </w:rPr>
              <w:t xml:space="preserve"> </w:t>
            </w:r>
            <w:r w:rsidRPr="00EE6FAC">
              <w:rPr>
                <w:b/>
                <w:szCs w:val="22"/>
                <w:lang w:val="en-NZ"/>
              </w:rPr>
              <w:t>the best option?</w:t>
            </w:r>
          </w:p>
        </w:tc>
      </w:tr>
      <w:tr w:rsidR="0062657E" w:rsidRPr="00EE6FAC" w:rsidTr="00384E9B">
        <w:trPr>
          <w:trHeight w:val="1014"/>
        </w:trPr>
        <w:tc>
          <w:tcPr>
            <w:tcW w:w="9067" w:type="dxa"/>
            <w:shd w:val="clear" w:color="auto" w:fill="FFFFFF"/>
          </w:tcPr>
          <w:p w:rsidR="004F3BB5" w:rsidRPr="00EE6FAC" w:rsidRDefault="004F3BB5" w:rsidP="007C5A21">
            <w:pPr>
              <w:pStyle w:val="TableText"/>
              <w:spacing w:after="0" w:line="276" w:lineRule="auto"/>
              <w:rPr>
                <w:lang w:val="en-NZ"/>
              </w:rPr>
            </w:pPr>
            <w:r w:rsidRPr="00EE6FAC">
              <w:rPr>
                <w:lang w:val="en-NZ"/>
              </w:rPr>
              <w:t xml:space="preserve">The </w:t>
            </w:r>
            <w:r w:rsidR="00810148" w:rsidRPr="00EE6FAC">
              <w:rPr>
                <w:lang w:val="en-NZ"/>
              </w:rPr>
              <w:t>R&amp;D Tax Incentive</w:t>
            </w:r>
            <w:r w:rsidRPr="00EE6FAC">
              <w:rPr>
                <w:lang w:val="en-NZ"/>
              </w:rPr>
              <w:t xml:space="preserve"> will lower the cost of undertaking R&amp;D for firms. The subsidy will incentivise </w:t>
            </w:r>
            <w:r w:rsidR="001B551E" w:rsidRPr="00EE6FAC">
              <w:rPr>
                <w:lang w:val="en-NZ"/>
              </w:rPr>
              <w:t xml:space="preserve">those </w:t>
            </w:r>
            <w:r w:rsidRPr="00EE6FAC">
              <w:rPr>
                <w:lang w:val="en-NZ"/>
              </w:rPr>
              <w:t>firms already doing R&amp;D to do more, while encouraging other firms to start</w:t>
            </w:r>
            <w:r w:rsidR="001E3521" w:rsidRPr="00EE6FAC">
              <w:rPr>
                <w:lang w:val="en-NZ"/>
              </w:rPr>
              <w:t xml:space="preserve"> R&amp;D activities</w:t>
            </w:r>
            <w:r w:rsidRPr="00EE6FAC">
              <w:rPr>
                <w:lang w:val="en-NZ"/>
              </w:rPr>
              <w:t>.</w:t>
            </w:r>
          </w:p>
          <w:p w:rsidR="00562CEA" w:rsidRDefault="00F57E0A" w:rsidP="00F00C86">
            <w:pPr>
              <w:pStyle w:val="TableText"/>
              <w:spacing w:after="0" w:line="276" w:lineRule="auto"/>
              <w:rPr>
                <w:lang w:val="en-NZ"/>
              </w:rPr>
            </w:pPr>
            <w:r w:rsidRPr="00EE6FAC">
              <w:rPr>
                <w:lang w:val="en-NZ"/>
              </w:rPr>
              <w:t xml:space="preserve">New Zealand currently delivers </w:t>
            </w:r>
            <w:r w:rsidR="00481003" w:rsidRPr="00EE6FAC">
              <w:rPr>
                <w:lang w:val="en-NZ"/>
              </w:rPr>
              <w:t xml:space="preserve">R&amp;D </w:t>
            </w:r>
            <w:r w:rsidRPr="00EE6FAC">
              <w:rPr>
                <w:lang w:val="en-NZ"/>
              </w:rPr>
              <w:t xml:space="preserve">subsidies </w:t>
            </w:r>
            <w:r w:rsidR="00481003" w:rsidRPr="00EE6FAC">
              <w:rPr>
                <w:lang w:val="en-NZ"/>
              </w:rPr>
              <w:t xml:space="preserve">to businesses </w:t>
            </w:r>
            <w:r w:rsidRPr="00EE6FAC">
              <w:rPr>
                <w:lang w:val="en-NZ"/>
              </w:rPr>
              <w:t xml:space="preserve">through </w:t>
            </w:r>
            <w:r w:rsidR="00314A08" w:rsidRPr="00EE6FAC">
              <w:rPr>
                <w:lang w:val="en-NZ"/>
              </w:rPr>
              <w:t>Callaghan Innovation</w:t>
            </w:r>
            <w:r w:rsidR="0002153A" w:rsidRPr="00EE6FAC">
              <w:rPr>
                <w:lang w:val="en-NZ"/>
              </w:rPr>
              <w:t>. T</w:t>
            </w:r>
            <w:r w:rsidR="0047203B" w:rsidRPr="00EE6FAC">
              <w:rPr>
                <w:lang w:val="en-NZ"/>
              </w:rPr>
              <w:t xml:space="preserve">he </w:t>
            </w:r>
            <w:r w:rsidR="0002153A" w:rsidRPr="00EE6FAC">
              <w:rPr>
                <w:lang w:val="en-NZ"/>
              </w:rPr>
              <w:t xml:space="preserve">bulk of these subsidies are delivered </w:t>
            </w:r>
            <w:r w:rsidR="0047203B" w:rsidRPr="00EE6FAC">
              <w:rPr>
                <w:lang w:val="en-NZ"/>
              </w:rPr>
              <w:t>through</w:t>
            </w:r>
            <w:r w:rsidR="00314A08" w:rsidRPr="00EE6FAC">
              <w:rPr>
                <w:lang w:val="en-NZ"/>
              </w:rPr>
              <w:t xml:space="preserve"> Growth Grants</w:t>
            </w:r>
            <w:r w:rsidR="00481003" w:rsidRPr="00EE6FAC">
              <w:rPr>
                <w:lang w:val="en-NZ"/>
              </w:rPr>
              <w:t xml:space="preserve"> to </w:t>
            </w:r>
            <w:r w:rsidR="0002153A" w:rsidRPr="00EE6FAC">
              <w:rPr>
                <w:lang w:val="en-NZ"/>
              </w:rPr>
              <w:t xml:space="preserve">firms that </w:t>
            </w:r>
            <w:r w:rsidR="00CE1ADA" w:rsidRPr="00EE6FAC">
              <w:rPr>
                <w:lang w:val="en-NZ"/>
              </w:rPr>
              <w:t xml:space="preserve">have </w:t>
            </w:r>
            <w:r w:rsidR="0002153A" w:rsidRPr="00EE6FAC">
              <w:rPr>
                <w:lang w:val="en-NZ"/>
              </w:rPr>
              <w:t>stable, high-intensity R&amp;D</w:t>
            </w:r>
            <w:r w:rsidR="00CE1ADA" w:rsidRPr="00EE6FAC">
              <w:rPr>
                <w:lang w:val="en-NZ"/>
              </w:rPr>
              <w:t xml:space="preserve"> programmes</w:t>
            </w:r>
            <w:r w:rsidR="00E63982" w:rsidRPr="00EE6FAC">
              <w:rPr>
                <w:lang w:val="en-NZ"/>
              </w:rPr>
              <w:t>. However,</w:t>
            </w:r>
            <w:r w:rsidR="00481003" w:rsidRPr="00EE6FAC">
              <w:rPr>
                <w:lang w:val="en-NZ"/>
              </w:rPr>
              <w:t xml:space="preserve"> the</w:t>
            </w:r>
            <w:r w:rsidR="00CE1ADA" w:rsidRPr="00EE6FAC">
              <w:rPr>
                <w:lang w:val="en-NZ"/>
              </w:rPr>
              <w:t>se grants</w:t>
            </w:r>
            <w:r w:rsidR="00481003" w:rsidRPr="00EE6FAC">
              <w:rPr>
                <w:lang w:val="en-NZ"/>
              </w:rPr>
              <w:t xml:space="preserve"> are unavailable to the large majority of firms</w:t>
            </w:r>
            <w:r w:rsidR="0002153A" w:rsidRPr="00EE6FAC">
              <w:rPr>
                <w:lang w:val="en-NZ"/>
              </w:rPr>
              <w:t xml:space="preserve"> that </w:t>
            </w:r>
            <w:r w:rsidR="00CE1ADA" w:rsidRPr="00EE6FAC">
              <w:rPr>
                <w:lang w:val="en-NZ"/>
              </w:rPr>
              <w:t>are currently undertaking R&amp;D or may undertake R&amp;D in the future</w:t>
            </w:r>
            <w:r w:rsidR="0002153A" w:rsidRPr="00EE6FAC">
              <w:rPr>
                <w:lang w:val="en-NZ"/>
              </w:rPr>
              <w:t>. W</w:t>
            </w:r>
            <w:r w:rsidR="00E63982" w:rsidRPr="00EE6FAC">
              <w:rPr>
                <w:lang w:val="en-NZ"/>
              </w:rPr>
              <w:t xml:space="preserve">hile </w:t>
            </w:r>
            <w:r w:rsidR="00CE1ADA" w:rsidRPr="00EE6FAC">
              <w:rPr>
                <w:lang w:val="en-NZ"/>
              </w:rPr>
              <w:t xml:space="preserve">these remaining firms can obtain </w:t>
            </w:r>
            <w:r w:rsidR="00481003" w:rsidRPr="00EE6FAC">
              <w:rPr>
                <w:lang w:val="en-NZ"/>
              </w:rPr>
              <w:t xml:space="preserve">Project </w:t>
            </w:r>
            <w:r w:rsidR="00CE1ADA" w:rsidRPr="00EE6FAC">
              <w:rPr>
                <w:lang w:val="en-NZ"/>
              </w:rPr>
              <w:t>G</w:t>
            </w:r>
            <w:r w:rsidR="00481003" w:rsidRPr="00EE6FAC">
              <w:rPr>
                <w:lang w:val="en-NZ"/>
              </w:rPr>
              <w:t xml:space="preserve">rants, </w:t>
            </w:r>
            <w:r w:rsidR="00CE1ADA" w:rsidRPr="00EE6FAC">
              <w:rPr>
                <w:lang w:val="en-NZ"/>
              </w:rPr>
              <w:t>th</w:t>
            </w:r>
            <w:r w:rsidR="00527D21" w:rsidRPr="00EE6FAC">
              <w:rPr>
                <w:lang w:val="en-NZ"/>
              </w:rPr>
              <w:t>e</w:t>
            </w:r>
            <w:r w:rsidR="00CE1ADA" w:rsidRPr="00EE6FAC">
              <w:rPr>
                <w:lang w:val="en-NZ"/>
              </w:rPr>
              <w:t xml:space="preserve">se </w:t>
            </w:r>
            <w:r w:rsidR="00481003" w:rsidRPr="00EE6FAC">
              <w:rPr>
                <w:lang w:val="en-NZ"/>
              </w:rPr>
              <w:t>are targeted at a specific type of R&amp;D expenditure and involve significant compliance</w:t>
            </w:r>
            <w:r w:rsidR="00CE1ADA" w:rsidRPr="00EE6FAC">
              <w:rPr>
                <w:lang w:val="en-NZ"/>
              </w:rPr>
              <w:t>/transaction</w:t>
            </w:r>
            <w:r w:rsidR="00481003" w:rsidRPr="00EE6FAC">
              <w:rPr>
                <w:lang w:val="en-NZ"/>
              </w:rPr>
              <w:t xml:space="preserve"> costs (ie, expenditure of time and resources) for firms.</w:t>
            </w:r>
            <w:r w:rsidR="00A514AC" w:rsidRPr="00EE6FAC">
              <w:rPr>
                <w:lang w:val="en-NZ"/>
              </w:rPr>
              <w:t xml:space="preserve"> </w:t>
            </w:r>
          </w:p>
          <w:p w:rsidR="00DE64D6" w:rsidRPr="00EE6FAC" w:rsidRDefault="00DE64D6" w:rsidP="00E312AB">
            <w:pPr>
              <w:pStyle w:val="TableText"/>
              <w:spacing w:after="0" w:line="276" w:lineRule="auto"/>
              <w:rPr>
                <w:lang w:val="en-NZ"/>
              </w:rPr>
            </w:pPr>
            <w:r>
              <w:rPr>
                <w:lang w:val="en-NZ"/>
              </w:rPr>
              <w:t xml:space="preserve">It </w:t>
            </w:r>
            <w:r w:rsidR="004433BE" w:rsidRPr="004433BE">
              <w:rPr>
                <w:lang w:val="en-NZ"/>
              </w:rPr>
              <w:t>is only one part of the policy approach to lift BERD and innovation</w:t>
            </w:r>
            <w:r w:rsidRPr="00EE6FAC">
              <w:rPr>
                <w:lang w:val="en-NZ"/>
              </w:rPr>
              <w:t xml:space="preserve">. </w:t>
            </w:r>
            <w:r>
              <w:rPr>
                <w:lang w:val="en-NZ"/>
              </w:rPr>
              <w:t>I</w:t>
            </w:r>
            <w:r w:rsidRPr="00EE6FAC">
              <w:rPr>
                <w:lang w:val="en-NZ"/>
              </w:rPr>
              <w:t xml:space="preserve">t is </w:t>
            </w:r>
            <w:r>
              <w:rPr>
                <w:lang w:val="en-NZ"/>
              </w:rPr>
              <w:t xml:space="preserve">also </w:t>
            </w:r>
            <w:r w:rsidRPr="00EE6FAC">
              <w:rPr>
                <w:lang w:val="en-NZ"/>
              </w:rPr>
              <w:t>part of a system of wider government support for New Zealand Science and Innovation covering both public and private R&amp;D.</w:t>
            </w:r>
          </w:p>
        </w:tc>
      </w:tr>
    </w:tbl>
    <w:p w:rsidR="0062657E" w:rsidRPr="00EE6FAC" w:rsidRDefault="0062657E" w:rsidP="00AA6A54">
      <w:pPr>
        <w:pStyle w:val="spacer"/>
        <w:rPr>
          <w:lang w:val="en-NZ"/>
        </w:rPr>
      </w:pPr>
    </w:p>
    <w:p w:rsidR="0062657E" w:rsidRPr="00EE6FAC" w:rsidRDefault="0062657E" w:rsidP="00B9498A">
      <w:pPr>
        <w:pStyle w:val="Heading4"/>
        <w:rPr>
          <w:bCs w:val="0"/>
          <w:color w:val="0082AB"/>
          <w:spacing w:val="20"/>
          <w:w w:val="90"/>
          <w:sz w:val="24"/>
          <w:szCs w:val="24"/>
          <w:lang w:val="en-NZ"/>
        </w:rPr>
      </w:pPr>
      <w:r w:rsidRPr="00EE6FAC">
        <w:rPr>
          <w:bCs w:val="0"/>
          <w:color w:val="0082AB"/>
          <w:spacing w:val="20"/>
          <w:w w:val="90"/>
          <w:sz w:val="24"/>
          <w:szCs w:val="24"/>
          <w:lang w:val="en-NZ"/>
        </w:rPr>
        <w:t>Section B</w:t>
      </w:r>
      <w:r w:rsidR="00B2239E" w:rsidRPr="00EE6FAC">
        <w:rPr>
          <w:bCs w:val="0"/>
          <w:color w:val="0082AB"/>
          <w:spacing w:val="20"/>
          <w:w w:val="90"/>
          <w:sz w:val="24"/>
          <w:szCs w:val="24"/>
          <w:lang w:val="en-NZ"/>
        </w:rPr>
        <w:t xml:space="preserve">: </w:t>
      </w:r>
      <w:r w:rsidRPr="00EE6FAC">
        <w:rPr>
          <w:bCs w:val="0"/>
          <w:color w:val="0082AB"/>
          <w:spacing w:val="20"/>
          <w:w w:val="90"/>
          <w:sz w:val="24"/>
          <w:szCs w:val="24"/>
          <w:lang w:val="en-NZ"/>
        </w:rPr>
        <w:t xml:space="preserve">Summary Impacts: Benefits and costs </w:t>
      </w: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039"/>
      </w:tblGrid>
      <w:tr w:rsidR="00210C3D" w:rsidRPr="00EE6FAC" w:rsidTr="00663BAA">
        <w:trPr>
          <w:trHeight w:val="197"/>
        </w:trPr>
        <w:tc>
          <w:tcPr>
            <w:tcW w:w="9039" w:type="dxa"/>
            <w:tcBorders>
              <w:top w:val="single" w:sz="4" w:space="0" w:color="auto"/>
              <w:left w:val="single" w:sz="4" w:space="0" w:color="auto"/>
              <w:bottom w:val="single" w:sz="4" w:space="0" w:color="auto"/>
              <w:right w:val="single" w:sz="4" w:space="0" w:color="auto"/>
            </w:tcBorders>
            <w:shd w:val="clear" w:color="auto" w:fill="99CDDD"/>
          </w:tcPr>
          <w:p w:rsidR="0062657E" w:rsidRPr="00EE6FAC" w:rsidRDefault="0062657E" w:rsidP="00DF2E7B">
            <w:pPr>
              <w:spacing w:before="60" w:after="60" w:line="240" w:lineRule="auto"/>
              <w:rPr>
                <w:rFonts w:ascii="Arial Narrow" w:hAnsi="Arial Narrow"/>
                <w:b/>
                <w:i/>
                <w:szCs w:val="22"/>
                <w:lang w:val="en-NZ"/>
              </w:rPr>
            </w:pPr>
            <w:r w:rsidRPr="00EE6FAC">
              <w:rPr>
                <w:b/>
                <w:szCs w:val="22"/>
                <w:lang w:val="en-NZ"/>
              </w:rPr>
              <w:t>Who are the main expected beneficiaries and what is the nature of the expected benefit?</w:t>
            </w:r>
          </w:p>
        </w:tc>
      </w:tr>
      <w:tr w:rsidR="00210C3D" w:rsidRPr="00EE6FAC" w:rsidTr="00663BAA">
        <w:trPr>
          <w:trHeight w:val="699"/>
        </w:trPr>
        <w:tc>
          <w:tcPr>
            <w:tcW w:w="9039" w:type="dxa"/>
            <w:tcBorders>
              <w:top w:val="single" w:sz="4" w:space="0" w:color="auto"/>
              <w:left w:val="single" w:sz="4" w:space="0" w:color="auto"/>
              <w:bottom w:val="single" w:sz="4" w:space="0" w:color="auto"/>
              <w:right w:val="single" w:sz="4" w:space="0" w:color="auto"/>
            </w:tcBorders>
            <w:shd w:val="clear" w:color="auto" w:fill="FFFFFF"/>
          </w:tcPr>
          <w:p w:rsidR="00E63830" w:rsidRPr="00EE6FAC" w:rsidRDefault="00314A08" w:rsidP="00B20BC2">
            <w:pPr>
              <w:pStyle w:val="TableText"/>
              <w:spacing w:after="0" w:line="276" w:lineRule="auto"/>
              <w:rPr>
                <w:lang w:val="en-NZ"/>
              </w:rPr>
            </w:pPr>
            <w:r w:rsidRPr="00EE6FAC">
              <w:rPr>
                <w:lang w:val="en-NZ"/>
              </w:rPr>
              <w:t xml:space="preserve">The main expected beneficiaries </w:t>
            </w:r>
            <w:r w:rsidR="00F467CB" w:rsidRPr="00EE6FAC">
              <w:rPr>
                <w:lang w:val="en-NZ"/>
              </w:rPr>
              <w:t xml:space="preserve">of the R&amp;D Tax Incentive </w:t>
            </w:r>
            <w:r w:rsidRPr="00EE6FAC">
              <w:rPr>
                <w:lang w:val="en-NZ"/>
              </w:rPr>
              <w:t xml:space="preserve">are businesses </w:t>
            </w:r>
            <w:r w:rsidR="00E82E14" w:rsidRPr="00EE6FAC">
              <w:rPr>
                <w:lang w:val="en-NZ"/>
              </w:rPr>
              <w:t xml:space="preserve">that are </w:t>
            </w:r>
            <w:r w:rsidR="00CB060B" w:rsidRPr="00EE6FAC">
              <w:rPr>
                <w:lang w:val="en-NZ"/>
              </w:rPr>
              <w:t xml:space="preserve">currently </w:t>
            </w:r>
            <w:r w:rsidRPr="00EE6FAC">
              <w:rPr>
                <w:lang w:val="en-NZ"/>
              </w:rPr>
              <w:t xml:space="preserve">undertaking </w:t>
            </w:r>
            <w:r w:rsidR="00CB060B" w:rsidRPr="00EE6FAC">
              <w:rPr>
                <w:lang w:val="en-NZ"/>
              </w:rPr>
              <w:t xml:space="preserve">R&amp;D or </w:t>
            </w:r>
            <w:r w:rsidR="00E82E14" w:rsidRPr="00EE6FAC">
              <w:rPr>
                <w:lang w:val="en-NZ"/>
              </w:rPr>
              <w:t xml:space="preserve">will be </w:t>
            </w:r>
            <w:r w:rsidR="00CB060B" w:rsidRPr="00EE6FAC">
              <w:rPr>
                <w:lang w:val="en-NZ"/>
              </w:rPr>
              <w:t xml:space="preserve">undertaking R&amp;D in future. </w:t>
            </w:r>
            <w:r w:rsidR="00CE1ADA" w:rsidRPr="00EE6FAC">
              <w:rPr>
                <w:lang w:val="en-NZ"/>
              </w:rPr>
              <w:t>The</w:t>
            </w:r>
            <w:r w:rsidR="00CB060B" w:rsidRPr="00EE6FAC">
              <w:rPr>
                <w:lang w:val="en-NZ"/>
              </w:rPr>
              <w:t xml:space="preserve"> evidence </w:t>
            </w:r>
            <w:r w:rsidR="00F467CB" w:rsidRPr="00EE6FAC">
              <w:rPr>
                <w:lang w:val="en-NZ"/>
              </w:rPr>
              <w:t>suggests</w:t>
            </w:r>
            <w:r w:rsidR="00CE1ADA" w:rsidRPr="00EE6FAC">
              <w:rPr>
                <w:lang w:val="en-NZ"/>
              </w:rPr>
              <w:t xml:space="preserve"> </w:t>
            </w:r>
            <w:r w:rsidR="00B072AD" w:rsidRPr="00EE6FAC">
              <w:rPr>
                <w:lang w:val="en-NZ"/>
              </w:rPr>
              <w:t xml:space="preserve">that </w:t>
            </w:r>
            <w:r w:rsidR="00CB060B" w:rsidRPr="00EE6FAC">
              <w:rPr>
                <w:lang w:val="en-NZ"/>
              </w:rPr>
              <w:t xml:space="preserve">around </w:t>
            </w:r>
            <w:r w:rsidR="00B072AD" w:rsidRPr="00EE6FAC">
              <w:rPr>
                <w:lang w:val="en-NZ"/>
              </w:rPr>
              <w:t>1</w:t>
            </w:r>
            <w:r w:rsidR="00F467CB" w:rsidRPr="00EE6FAC">
              <w:rPr>
                <w:lang w:val="en-NZ"/>
              </w:rPr>
              <w:t>,</w:t>
            </w:r>
            <w:r w:rsidR="00B072AD" w:rsidRPr="00EE6FAC">
              <w:rPr>
                <w:lang w:val="en-NZ"/>
              </w:rPr>
              <w:t>500-</w:t>
            </w:r>
            <w:r w:rsidR="00CB060B" w:rsidRPr="00EE6FAC">
              <w:rPr>
                <w:lang w:val="en-NZ"/>
              </w:rPr>
              <w:t>2</w:t>
            </w:r>
            <w:r w:rsidR="00F467CB" w:rsidRPr="00EE6FAC">
              <w:rPr>
                <w:lang w:val="en-NZ"/>
              </w:rPr>
              <w:t>,</w:t>
            </w:r>
            <w:r w:rsidR="00CB060B" w:rsidRPr="00EE6FAC">
              <w:rPr>
                <w:lang w:val="en-NZ"/>
              </w:rPr>
              <w:t xml:space="preserve">000 businesses </w:t>
            </w:r>
            <w:r w:rsidR="00B072AD" w:rsidRPr="00EE6FAC">
              <w:rPr>
                <w:lang w:val="en-NZ"/>
              </w:rPr>
              <w:t xml:space="preserve">will be eligible </w:t>
            </w:r>
            <w:r w:rsidR="001E3521" w:rsidRPr="00EE6FAC">
              <w:rPr>
                <w:lang w:val="en-NZ"/>
              </w:rPr>
              <w:t xml:space="preserve">for the R&amp;D Tax Incentive </w:t>
            </w:r>
            <w:r w:rsidR="00CB060B" w:rsidRPr="00EE6FAC">
              <w:rPr>
                <w:lang w:val="en-NZ"/>
              </w:rPr>
              <w:t xml:space="preserve">in 2019, with this number rising as business R&amp;D becomes more attractive. </w:t>
            </w:r>
          </w:p>
          <w:p w:rsidR="00E63830" w:rsidRPr="00EE6FAC" w:rsidRDefault="00E63830" w:rsidP="00B20BC2">
            <w:pPr>
              <w:pStyle w:val="TableText"/>
              <w:spacing w:after="0" w:line="276" w:lineRule="auto"/>
              <w:rPr>
                <w:lang w:val="en-NZ"/>
              </w:rPr>
            </w:pPr>
            <w:r w:rsidRPr="00EE6FAC">
              <w:rPr>
                <w:lang w:val="en-NZ"/>
              </w:rPr>
              <w:t xml:space="preserve">A </w:t>
            </w:r>
            <w:r w:rsidR="000F7DE6" w:rsidRPr="00EE6FAC">
              <w:rPr>
                <w:lang w:val="en-NZ"/>
              </w:rPr>
              <w:t xml:space="preserve">relatively small set of firms </w:t>
            </w:r>
            <w:r w:rsidR="00BA31BA" w:rsidRPr="00EE6FAC">
              <w:rPr>
                <w:lang w:val="en-NZ"/>
              </w:rPr>
              <w:t>perform the vast majority of R&amp;D</w:t>
            </w:r>
            <w:r w:rsidRPr="00EE6FAC">
              <w:rPr>
                <w:lang w:val="en-NZ"/>
              </w:rPr>
              <w:t>. A</w:t>
            </w:r>
            <w:r w:rsidR="00BA31BA" w:rsidRPr="00EE6FAC">
              <w:rPr>
                <w:lang w:val="en-NZ"/>
              </w:rPr>
              <w:t xml:space="preserve">ccording to the R&amp;D survey, </w:t>
            </w:r>
            <w:r w:rsidR="002D7E4D" w:rsidRPr="00EE6FAC">
              <w:rPr>
                <w:lang w:val="en-NZ"/>
              </w:rPr>
              <w:t xml:space="preserve">in 2016 </w:t>
            </w:r>
            <w:r w:rsidR="00BA31BA" w:rsidRPr="00EE6FAC">
              <w:rPr>
                <w:lang w:val="en-NZ"/>
              </w:rPr>
              <w:t xml:space="preserve">approx. </w:t>
            </w:r>
            <w:r w:rsidR="000F7DE6" w:rsidRPr="00EE6FAC">
              <w:rPr>
                <w:lang w:val="en-NZ"/>
              </w:rPr>
              <w:t>8</w:t>
            </w:r>
            <w:r w:rsidR="00BA31BA" w:rsidRPr="00EE6FAC">
              <w:rPr>
                <w:lang w:val="en-NZ"/>
              </w:rPr>
              <w:t>5</w:t>
            </w:r>
            <w:r w:rsidR="00F00C86">
              <w:rPr>
                <w:lang w:val="en-NZ"/>
              </w:rPr>
              <w:t xml:space="preserve"> per cent</w:t>
            </w:r>
            <w:r w:rsidR="00BA31BA" w:rsidRPr="00EE6FAC">
              <w:rPr>
                <w:lang w:val="en-NZ"/>
              </w:rPr>
              <w:t xml:space="preserve"> of BERD is performed by around 330 firms that spend over $1M </w:t>
            </w:r>
            <w:r w:rsidR="002D7E4D" w:rsidRPr="00EE6FAC">
              <w:rPr>
                <w:lang w:val="en-NZ"/>
              </w:rPr>
              <w:t>(Statistics New Zealand, 2017)</w:t>
            </w:r>
            <w:r w:rsidRPr="00EE6FAC">
              <w:rPr>
                <w:lang w:val="en-NZ"/>
              </w:rPr>
              <w:t>. Accordingly, t</w:t>
            </w:r>
            <w:r w:rsidR="00BA31BA" w:rsidRPr="00EE6FAC">
              <w:rPr>
                <w:lang w:val="en-NZ"/>
              </w:rPr>
              <w:t xml:space="preserve">he </w:t>
            </w:r>
            <w:r w:rsidR="00291E89" w:rsidRPr="00EE6FAC">
              <w:rPr>
                <w:lang w:val="en-NZ"/>
              </w:rPr>
              <w:t xml:space="preserve">financial </w:t>
            </w:r>
            <w:r w:rsidR="00BA31BA" w:rsidRPr="00EE6FAC">
              <w:rPr>
                <w:lang w:val="en-NZ"/>
              </w:rPr>
              <w:t>benefits will be concentrated among the largest R&amp;D performers.</w:t>
            </w:r>
            <w:r w:rsidR="00291E89" w:rsidRPr="00EE6FAC">
              <w:rPr>
                <w:lang w:val="en-NZ"/>
              </w:rPr>
              <w:t xml:space="preserve"> </w:t>
            </w:r>
            <w:r w:rsidRPr="00EE6FAC">
              <w:rPr>
                <w:lang w:val="en-NZ"/>
              </w:rPr>
              <w:t>B</w:t>
            </w:r>
            <w:r w:rsidR="00291E89" w:rsidRPr="00EE6FAC">
              <w:rPr>
                <w:lang w:val="en-NZ"/>
              </w:rPr>
              <w:t xml:space="preserve">y </w:t>
            </w:r>
            <w:r w:rsidR="00772D5D" w:rsidRPr="00EE6FAC">
              <w:rPr>
                <w:lang w:val="en-NZ"/>
              </w:rPr>
              <w:t xml:space="preserve">significantly lowering the threshold for non-discretionary support of R&amp;D, from $300,000 to $50,000, the R&amp;D Tax Incentive </w:t>
            </w:r>
            <w:r w:rsidR="00CA5946" w:rsidRPr="00EE6FAC">
              <w:rPr>
                <w:lang w:val="en-NZ"/>
              </w:rPr>
              <w:t>will be available to a large number of firms that previously had no support.</w:t>
            </w:r>
            <w:r w:rsidR="00772D5D" w:rsidRPr="00EE6FAC">
              <w:rPr>
                <w:lang w:val="en-NZ"/>
              </w:rPr>
              <w:t xml:space="preserve"> </w:t>
            </w:r>
          </w:p>
          <w:p w:rsidR="00314A08" w:rsidRPr="00EE6FAC" w:rsidRDefault="00CB060B" w:rsidP="00B20BC2">
            <w:pPr>
              <w:pStyle w:val="TableText"/>
              <w:spacing w:after="0" w:line="276" w:lineRule="auto"/>
              <w:rPr>
                <w:lang w:val="en-NZ"/>
              </w:rPr>
            </w:pPr>
            <w:r w:rsidRPr="00EE6FAC">
              <w:rPr>
                <w:lang w:val="en-NZ"/>
              </w:rPr>
              <w:t xml:space="preserve">The direct benefit to business </w:t>
            </w:r>
            <w:r w:rsidR="00F467CB" w:rsidRPr="00EE6FAC">
              <w:rPr>
                <w:lang w:val="en-NZ"/>
              </w:rPr>
              <w:t xml:space="preserve">of the R&amp;D Tax Incentive </w:t>
            </w:r>
            <w:r w:rsidRPr="00EE6FAC">
              <w:rPr>
                <w:lang w:val="en-NZ"/>
              </w:rPr>
              <w:t xml:space="preserve">is </w:t>
            </w:r>
            <w:r w:rsidR="00CE1ADA" w:rsidRPr="00EE6FAC">
              <w:rPr>
                <w:lang w:val="en-NZ"/>
              </w:rPr>
              <w:t xml:space="preserve">higher returns </w:t>
            </w:r>
            <w:r w:rsidR="00F020FF" w:rsidRPr="00EE6FAC">
              <w:rPr>
                <w:lang w:val="en-NZ"/>
              </w:rPr>
              <w:t xml:space="preserve">after tax </w:t>
            </w:r>
            <w:r w:rsidR="001B551E" w:rsidRPr="00EE6FAC">
              <w:rPr>
                <w:lang w:val="en-NZ"/>
              </w:rPr>
              <w:t xml:space="preserve">for </w:t>
            </w:r>
            <w:r w:rsidR="00CE1ADA" w:rsidRPr="00EE6FAC">
              <w:rPr>
                <w:lang w:val="en-NZ"/>
              </w:rPr>
              <w:t xml:space="preserve">performing </w:t>
            </w:r>
            <w:r w:rsidRPr="00EE6FAC">
              <w:rPr>
                <w:lang w:val="en-NZ"/>
              </w:rPr>
              <w:t>R&amp;D</w:t>
            </w:r>
            <w:r w:rsidR="00956BF7" w:rsidRPr="00EE6FAC">
              <w:rPr>
                <w:lang w:val="en-NZ"/>
              </w:rPr>
              <w:t xml:space="preserve">, </w:t>
            </w:r>
            <w:r w:rsidR="00BC5089" w:rsidRPr="00EE6FAC">
              <w:rPr>
                <w:lang w:val="en-NZ"/>
              </w:rPr>
              <w:t xml:space="preserve">as </w:t>
            </w:r>
            <w:r w:rsidR="00956BF7" w:rsidRPr="00EE6FAC">
              <w:rPr>
                <w:lang w:val="en-NZ"/>
              </w:rPr>
              <w:t xml:space="preserve">compared to other </w:t>
            </w:r>
            <w:r w:rsidR="00BC5089" w:rsidRPr="00EE6FAC">
              <w:rPr>
                <w:lang w:val="en-NZ"/>
              </w:rPr>
              <w:t>types of activity</w:t>
            </w:r>
            <w:r w:rsidR="00E82E14" w:rsidRPr="00EE6FAC">
              <w:rPr>
                <w:lang w:val="en-NZ"/>
              </w:rPr>
              <w:t>.</w:t>
            </w:r>
            <w:r w:rsidR="00BA5510" w:rsidRPr="00EE6FAC">
              <w:rPr>
                <w:lang w:val="en-NZ"/>
              </w:rPr>
              <w:t xml:space="preserve"> </w:t>
            </w:r>
            <w:r w:rsidR="00F467CB" w:rsidRPr="00EE6FAC">
              <w:rPr>
                <w:lang w:val="en-NZ"/>
              </w:rPr>
              <w:t>While i</w:t>
            </w:r>
            <w:r w:rsidR="000D6D8C" w:rsidRPr="00EE6FAC">
              <w:rPr>
                <w:lang w:val="en-NZ"/>
              </w:rPr>
              <w:t>nternational evidence suggests that t</w:t>
            </w:r>
            <w:r w:rsidR="00956BF7" w:rsidRPr="00EE6FAC">
              <w:rPr>
                <w:lang w:val="en-NZ"/>
              </w:rPr>
              <w:t>he returns on R&amp;D expenditure</w:t>
            </w:r>
            <w:r w:rsidR="00F60BF3" w:rsidRPr="00EE6FAC">
              <w:rPr>
                <w:lang w:val="en-NZ"/>
              </w:rPr>
              <w:t xml:space="preserve"> by businesses</w:t>
            </w:r>
            <w:r w:rsidR="00956BF7" w:rsidRPr="00EE6FAC">
              <w:rPr>
                <w:lang w:val="en-NZ"/>
              </w:rPr>
              <w:t xml:space="preserve"> are generally high</w:t>
            </w:r>
            <w:r w:rsidR="000D6D8C" w:rsidRPr="00EE6FAC">
              <w:rPr>
                <w:lang w:val="en-NZ"/>
              </w:rPr>
              <w:t xml:space="preserve">, </w:t>
            </w:r>
            <w:r w:rsidR="00956BF7" w:rsidRPr="00EE6FAC">
              <w:rPr>
                <w:lang w:val="en-NZ"/>
              </w:rPr>
              <w:t>often 20-30</w:t>
            </w:r>
            <w:r w:rsidR="00F00C86">
              <w:rPr>
                <w:lang w:val="en-NZ"/>
              </w:rPr>
              <w:t xml:space="preserve"> per cent</w:t>
            </w:r>
            <w:r w:rsidR="000D6D8C" w:rsidRPr="00EE6FAC">
              <w:rPr>
                <w:lang w:val="en-NZ"/>
              </w:rPr>
              <w:t xml:space="preserve"> </w:t>
            </w:r>
            <w:r w:rsidR="00B072AD" w:rsidRPr="00EE6FAC">
              <w:rPr>
                <w:lang w:val="en-NZ"/>
              </w:rPr>
              <w:t>(</w:t>
            </w:r>
            <w:r w:rsidR="000D6D8C" w:rsidRPr="00EE6FAC">
              <w:rPr>
                <w:lang w:val="en-NZ"/>
              </w:rPr>
              <w:t>Hall, Mairesse &amp; Mohnen, 20</w:t>
            </w:r>
            <w:r w:rsidR="00A22D04" w:rsidRPr="00EE6FAC">
              <w:rPr>
                <w:lang w:val="en-NZ"/>
              </w:rPr>
              <w:t>09</w:t>
            </w:r>
            <w:r w:rsidR="000D6D8C" w:rsidRPr="00EE6FAC">
              <w:rPr>
                <w:lang w:val="en-NZ"/>
              </w:rPr>
              <w:t>)</w:t>
            </w:r>
            <w:r w:rsidR="001E3521" w:rsidRPr="00EE6FAC">
              <w:rPr>
                <w:lang w:val="en-NZ"/>
              </w:rPr>
              <w:t>,</w:t>
            </w:r>
            <w:r w:rsidR="00B072AD" w:rsidRPr="00EE6FAC">
              <w:rPr>
                <w:lang w:val="en-NZ"/>
              </w:rPr>
              <w:t xml:space="preserve"> the </w:t>
            </w:r>
            <w:r w:rsidR="000D6D8C" w:rsidRPr="00EE6FAC">
              <w:rPr>
                <w:lang w:val="en-NZ"/>
              </w:rPr>
              <w:t>evidence available for New Zealand (Wakeman &amp; Conway, 2017) suggests that the private returns for New Zealand firms may be considerably lower</w:t>
            </w:r>
            <w:r w:rsidR="00F60BF3" w:rsidRPr="00EE6FAC">
              <w:rPr>
                <w:lang w:val="en-NZ"/>
              </w:rPr>
              <w:t>.</w:t>
            </w:r>
            <w:r w:rsidR="009E3B53" w:rsidRPr="00EE6FAC">
              <w:rPr>
                <w:lang w:val="en-NZ"/>
              </w:rPr>
              <w:t xml:space="preserve"> </w:t>
            </w:r>
            <w:r w:rsidR="001E3521" w:rsidRPr="00EE6FAC">
              <w:rPr>
                <w:lang w:val="en-NZ"/>
              </w:rPr>
              <w:t>Raising</w:t>
            </w:r>
            <w:r w:rsidR="00F467CB" w:rsidRPr="00EE6FAC">
              <w:rPr>
                <w:lang w:val="en-NZ"/>
              </w:rPr>
              <w:t xml:space="preserve"> the returns </w:t>
            </w:r>
            <w:r w:rsidR="001E3521" w:rsidRPr="00EE6FAC">
              <w:rPr>
                <w:lang w:val="en-NZ"/>
              </w:rPr>
              <w:t>for</w:t>
            </w:r>
            <w:r w:rsidR="00F467CB" w:rsidRPr="00EE6FAC">
              <w:rPr>
                <w:lang w:val="en-NZ"/>
              </w:rPr>
              <w:t xml:space="preserve"> performing R&amp;D</w:t>
            </w:r>
            <w:r w:rsidR="001E3521" w:rsidRPr="00EE6FAC">
              <w:rPr>
                <w:lang w:val="en-NZ"/>
              </w:rPr>
              <w:t xml:space="preserve"> through the R&amp;D Tax Incentive </w:t>
            </w:r>
            <w:r w:rsidR="00F467CB" w:rsidRPr="00EE6FAC">
              <w:rPr>
                <w:lang w:val="en-NZ"/>
              </w:rPr>
              <w:t>is likely to increase the amount and number of firms engaging in R&amp;D.</w:t>
            </w:r>
          </w:p>
          <w:p w:rsidR="001163EF" w:rsidRPr="00EE6FAC" w:rsidRDefault="00B20BC2" w:rsidP="001E3521">
            <w:pPr>
              <w:pStyle w:val="TableText"/>
              <w:spacing w:after="0" w:line="276" w:lineRule="auto"/>
              <w:rPr>
                <w:lang w:val="en-NZ"/>
              </w:rPr>
            </w:pPr>
            <w:r w:rsidRPr="00EE6FAC">
              <w:rPr>
                <w:lang w:val="en-NZ"/>
              </w:rPr>
              <w:t xml:space="preserve">Business R&amp;D </w:t>
            </w:r>
            <w:r w:rsidR="00CB060B" w:rsidRPr="00EE6FAC">
              <w:rPr>
                <w:lang w:val="en-NZ"/>
              </w:rPr>
              <w:t xml:space="preserve">also </w:t>
            </w:r>
            <w:r w:rsidRPr="00EE6FAC">
              <w:rPr>
                <w:lang w:val="en-NZ"/>
              </w:rPr>
              <w:t xml:space="preserve">creates significant spillover benefits for other firms </w:t>
            </w:r>
            <w:r w:rsidR="000766E9" w:rsidRPr="00EE6FAC">
              <w:rPr>
                <w:lang w:val="en-NZ"/>
              </w:rPr>
              <w:t xml:space="preserve">and people </w:t>
            </w:r>
            <w:r w:rsidRPr="00EE6FAC">
              <w:rPr>
                <w:lang w:val="en-NZ"/>
              </w:rPr>
              <w:t xml:space="preserve">within an economy through movement of people, transfer of knowledge between firms, creation of demand for complementary goods, and consumer benefits not captured within the price of the goods. </w:t>
            </w:r>
            <w:r w:rsidR="001E3521" w:rsidRPr="00EE6FAC">
              <w:rPr>
                <w:lang w:val="en-NZ"/>
              </w:rPr>
              <w:t>I</w:t>
            </w:r>
            <w:r w:rsidR="0073777B" w:rsidRPr="00EE6FAC">
              <w:rPr>
                <w:lang w:val="en-NZ"/>
              </w:rPr>
              <w:t>nternational literature indicates that the</w:t>
            </w:r>
            <w:r w:rsidR="00F467CB" w:rsidRPr="00EE6FAC">
              <w:rPr>
                <w:lang w:val="en-NZ"/>
              </w:rPr>
              <w:t xml:space="preserve"> benefits to the economy as a whole from R&amp;D (ie, the</w:t>
            </w:r>
            <w:r w:rsidR="0073777B" w:rsidRPr="00EE6FAC">
              <w:rPr>
                <w:lang w:val="en-NZ"/>
              </w:rPr>
              <w:t xml:space="preserve"> social R&amp;D rates of return</w:t>
            </w:r>
            <w:r w:rsidR="00F467CB" w:rsidRPr="00EE6FAC">
              <w:rPr>
                <w:lang w:val="en-NZ"/>
              </w:rPr>
              <w:t>)</w:t>
            </w:r>
            <w:r w:rsidR="0073777B" w:rsidRPr="00EE6FAC">
              <w:rPr>
                <w:lang w:val="en-NZ"/>
              </w:rPr>
              <w:t xml:space="preserve"> </w:t>
            </w:r>
            <w:r w:rsidR="00F467CB" w:rsidRPr="00EE6FAC">
              <w:rPr>
                <w:lang w:val="en-NZ"/>
              </w:rPr>
              <w:t xml:space="preserve">may be up to </w:t>
            </w:r>
            <w:r w:rsidR="0073777B" w:rsidRPr="00EE6FAC">
              <w:rPr>
                <w:lang w:val="en-NZ"/>
              </w:rPr>
              <w:t>100</w:t>
            </w:r>
            <w:r w:rsidR="00F00C86">
              <w:rPr>
                <w:lang w:val="en-NZ"/>
              </w:rPr>
              <w:t xml:space="preserve"> per cent</w:t>
            </w:r>
            <w:r w:rsidR="0073777B" w:rsidRPr="00EE6FAC">
              <w:rPr>
                <w:lang w:val="en-NZ"/>
              </w:rPr>
              <w:t xml:space="preserve"> (Hall, Mairesse &amp; Mohnen, </w:t>
            </w:r>
            <w:r w:rsidR="00A22D04" w:rsidRPr="00EE6FAC">
              <w:rPr>
                <w:lang w:val="en-NZ"/>
              </w:rPr>
              <w:t>2009</w:t>
            </w:r>
            <w:r w:rsidR="0073777B" w:rsidRPr="00EE6FAC">
              <w:rPr>
                <w:lang w:val="en-NZ"/>
              </w:rPr>
              <w:t>)</w:t>
            </w:r>
            <w:r w:rsidR="007A7ABC" w:rsidRPr="00EE6FAC">
              <w:rPr>
                <w:lang w:val="en-NZ"/>
              </w:rPr>
              <w:t xml:space="preserve">, so the </w:t>
            </w:r>
            <w:r w:rsidR="00F467CB" w:rsidRPr="00EE6FAC">
              <w:rPr>
                <w:lang w:val="en-NZ"/>
              </w:rPr>
              <w:t>additional benefits</w:t>
            </w:r>
            <w:r w:rsidR="001E3521" w:rsidRPr="00EE6FAC">
              <w:rPr>
                <w:lang w:val="en-NZ"/>
              </w:rPr>
              <w:t xml:space="preserve"> tha</w:t>
            </w:r>
            <w:r w:rsidR="001B1999" w:rsidRPr="00EE6FAC">
              <w:rPr>
                <w:lang w:val="en-NZ"/>
              </w:rPr>
              <w:t>t</w:t>
            </w:r>
            <w:r w:rsidR="00F467CB" w:rsidRPr="00EE6FAC">
              <w:rPr>
                <w:lang w:val="en-NZ"/>
              </w:rPr>
              <w:t xml:space="preserve"> </w:t>
            </w:r>
            <w:r w:rsidR="007A7ABC" w:rsidRPr="00EE6FAC">
              <w:rPr>
                <w:lang w:val="en-NZ"/>
              </w:rPr>
              <w:t xml:space="preserve">are likely to </w:t>
            </w:r>
            <w:r w:rsidR="00F467CB" w:rsidRPr="00EE6FAC">
              <w:rPr>
                <w:lang w:val="en-NZ"/>
              </w:rPr>
              <w:t>flow to other participants in the economy</w:t>
            </w:r>
            <w:r w:rsidR="007A7ABC" w:rsidRPr="00EE6FAC">
              <w:rPr>
                <w:lang w:val="en-NZ"/>
              </w:rPr>
              <w:t xml:space="preserve"> are significant</w:t>
            </w:r>
            <w:r w:rsidR="00F467CB" w:rsidRPr="00EE6FAC">
              <w:rPr>
                <w:lang w:val="en-NZ"/>
              </w:rPr>
              <w:t>.</w:t>
            </w:r>
          </w:p>
        </w:tc>
      </w:tr>
    </w:tbl>
    <w:p w:rsidR="0062657E" w:rsidRPr="00EE6FAC" w:rsidRDefault="0062657E" w:rsidP="00AA6A54">
      <w:pPr>
        <w:pStyle w:val="spacer"/>
        <w:rPr>
          <w:lang w:val="en-NZ"/>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039"/>
      </w:tblGrid>
      <w:tr w:rsidR="00210C3D" w:rsidRPr="00EE6FAC" w:rsidTr="00663BAA">
        <w:trPr>
          <w:trHeight w:val="224"/>
        </w:trPr>
        <w:tc>
          <w:tcPr>
            <w:tcW w:w="9039" w:type="dxa"/>
            <w:tcBorders>
              <w:top w:val="single" w:sz="4" w:space="0" w:color="auto"/>
              <w:left w:val="single" w:sz="4" w:space="0" w:color="auto"/>
              <w:bottom w:val="single" w:sz="4" w:space="0" w:color="auto"/>
              <w:right w:val="single" w:sz="4" w:space="0" w:color="auto"/>
            </w:tcBorders>
            <w:shd w:val="clear" w:color="auto" w:fill="99CDDD"/>
          </w:tcPr>
          <w:p w:rsidR="0062657E" w:rsidRPr="00EE6FAC" w:rsidRDefault="0062657E" w:rsidP="003C59CE">
            <w:pPr>
              <w:pStyle w:val="Heading3"/>
            </w:pPr>
            <w:r w:rsidRPr="00EE6FAC">
              <w:lastRenderedPageBreak/>
              <w:t>Where do the costs fall?</w:t>
            </w:r>
            <w:r w:rsidR="00A514AC" w:rsidRPr="00EE6FAC">
              <w:t xml:space="preserve"> </w:t>
            </w:r>
          </w:p>
        </w:tc>
      </w:tr>
      <w:tr w:rsidR="00210C3D" w:rsidRPr="00EE6FAC" w:rsidTr="00CA5946">
        <w:trPr>
          <w:trHeight w:val="884"/>
        </w:trPr>
        <w:tc>
          <w:tcPr>
            <w:tcW w:w="9039" w:type="dxa"/>
            <w:tcBorders>
              <w:top w:val="single" w:sz="4" w:space="0" w:color="auto"/>
              <w:left w:val="single" w:sz="4" w:space="0" w:color="auto"/>
              <w:bottom w:val="single" w:sz="4" w:space="0" w:color="auto"/>
              <w:right w:val="single" w:sz="4" w:space="0" w:color="auto"/>
            </w:tcBorders>
            <w:shd w:val="clear" w:color="auto" w:fill="FFFFFF"/>
          </w:tcPr>
          <w:p w:rsidR="00503CA8" w:rsidRPr="00EE6FAC" w:rsidRDefault="00BF6039" w:rsidP="000C62CF">
            <w:pPr>
              <w:pStyle w:val="TableText"/>
              <w:spacing w:after="0" w:line="276" w:lineRule="auto"/>
              <w:rPr>
                <w:lang w:val="en-NZ"/>
              </w:rPr>
            </w:pPr>
            <w:r w:rsidRPr="00EE6FAC">
              <w:rPr>
                <w:lang w:val="en-NZ"/>
              </w:rPr>
              <w:t>The</w:t>
            </w:r>
            <w:r w:rsidR="00BF09DE" w:rsidRPr="00EE6FAC">
              <w:rPr>
                <w:lang w:val="en-NZ"/>
              </w:rPr>
              <w:t xml:space="preserve"> </w:t>
            </w:r>
            <w:r w:rsidR="0011417D" w:rsidRPr="00EE6FAC">
              <w:rPr>
                <w:lang w:val="en-NZ"/>
              </w:rPr>
              <w:t xml:space="preserve">primary cost of the </w:t>
            </w:r>
            <w:r w:rsidR="00BF09DE" w:rsidRPr="00EE6FAC">
              <w:rPr>
                <w:lang w:val="en-NZ"/>
              </w:rPr>
              <w:t xml:space="preserve">R&amp;D </w:t>
            </w:r>
            <w:r w:rsidR="0011417D" w:rsidRPr="00EE6FAC">
              <w:rPr>
                <w:lang w:val="en-NZ"/>
              </w:rPr>
              <w:t>T</w:t>
            </w:r>
            <w:r w:rsidR="00BF09DE" w:rsidRPr="00EE6FAC">
              <w:rPr>
                <w:lang w:val="en-NZ"/>
              </w:rPr>
              <w:t xml:space="preserve">ax </w:t>
            </w:r>
            <w:r w:rsidR="0011417D" w:rsidRPr="00EE6FAC">
              <w:rPr>
                <w:lang w:val="en-NZ"/>
              </w:rPr>
              <w:t xml:space="preserve">Incentive </w:t>
            </w:r>
            <w:r w:rsidR="00BF09DE" w:rsidRPr="00EE6FAC">
              <w:rPr>
                <w:lang w:val="en-NZ"/>
              </w:rPr>
              <w:t xml:space="preserve">will be a </w:t>
            </w:r>
            <w:r w:rsidR="0011417D" w:rsidRPr="00EE6FAC">
              <w:rPr>
                <w:lang w:val="en-NZ"/>
              </w:rPr>
              <w:t xml:space="preserve">fiscal </w:t>
            </w:r>
            <w:r w:rsidR="00BF09DE" w:rsidRPr="00EE6FAC">
              <w:rPr>
                <w:lang w:val="en-NZ"/>
              </w:rPr>
              <w:t xml:space="preserve">cost to the Government. </w:t>
            </w:r>
            <w:r w:rsidR="00243A81">
              <w:rPr>
                <w:lang w:val="en-NZ"/>
              </w:rPr>
              <w:t>In Budget 2018 t</w:t>
            </w:r>
            <w:r w:rsidR="00BF09DE" w:rsidRPr="00EE6FAC">
              <w:rPr>
                <w:lang w:val="en-NZ"/>
              </w:rPr>
              <w:t>he Government appropriated $1</w:t>
            </w:r>
            <w:r w:rsidR="00503CA8" w:rsidRPr="00EE6FAC">
              <w:rPr>
                <w:lang w:val="en-NZ"/>
              </w:rPr>
              <w:t>,</w:t>
            </w:r>
            <w:r w:rsidR="00BF09DE" w:rsidRPr="00EE6FAC">
              <w:rPr>
                <w:lang w:val="en-NZ"/>
              </w:rPr>
              <w:t>020</w:t>
            </w:r>
            <w:r w:rsidR="00503CA8" w:rsidRPr="00EE6FAC">
              <w:rPr>
                <w:lang w:val="en-NZ"/>
              </w:rPr>
              <w:t>M</w:t>
            </w:r>
            <w:r w:rsidRPr="00EE6FAC">
              <w:rPr>
                <w:lang w:val="en-NZ"/>
              </w:rPr>
              <w:t xml:space="preserve"> </w:t>
            </w:r>
            <w:r w:rsidR="00BF09DE" w:rsidRPr="00EE6FAC">
              <w:rPr>
                <w:lang w:val="en-NZ"/>
              </w:rPr>
              <w:t xml:space="preserve">over four years </w:t>
            </w:r>
            <w:r w:rsidR="00503CA8" w:rsidRPr="00EE6FAC">
              <w:rPr>
                <w:lang w:val="en-NZ"/>
              </w:rPr>
              <w:t>for</w:t>
            </w:r>
            <w:r w:rsidR="001E23A7" w:rsidRPr="00EE6FAC">
              <w:rPr>
                <w:lang w:val="en-NZ"/>
              </w:rPr>
              <w:t xml:space="preserve"> the </w:t>
            </w:r>
            <w:r w:rsidR="00810148" w:rsidRPr="00EE6FAC">
              <w:rPr>
                <w:lang w:val="en-NZ"/>
              </w:rPr>
              <w:t>R&amp;D Tax Incentive</w:t>
            </w:r>
            <w:r w:rsidR="00243A81">
              <w:rPr>
                <w:lang w:val="en-NZ"/>
              </w:rPr>
              <w:t>. This is</w:t>
            </w:r>
            <w:r w:rsidR="00F020FF" w:rsidRPr="00EE6FAC">
              <w:rPr>
                <w:lang w:val="en-NZ"/>
              </w:rPr>
              <w:t xml:space="preserve"> in addition </w:t>
            </w:r>
            <w:r w:rsidR="00DF7CED" w:rsidRPr="00EE6FAC">
              <w:rPr>
                <w:lang w:val="en-NZ"/>
              </w:rPr>
              <w:t xml:space="preserve">to </w:t>
            </w:r>
            <w:r w:rsidR="00F020FF" w:rsidRPr="00EE6FAC">
              <w:rPr>
                <w:lang w:val="en-NZ"/>
              </w:rPr>
              <w:t xml:space="preserve">the </w:t>
            </w:r>
            <w:r w:rsidR="00243A81">
              <w:rPr>
                <w:lang w:val="en-NZ"/>
              </w:rPr>
              <w:t>$528M</w:t>
            </w:r>
            <w:r w:rsidR="00F020FF" w:rsidRPr="00EE6FAC">
              <w:rPr>
                <w:lang w:val="en-NZ"/>
              </w:rPr>
              <w:t xml:space="preserve"> already allocated for Growth Grants </w:t>
            </w:r>
            <w:r w:rsidR="00243A81">
              <w:rPr>
                <w:lang w:val="en-NZ"/>
              </w:rPr>
              <w:t>over the same period</w:t>
            </w:r>
            <w:r w:rsidR="001E23A7" w:rsidRPr="00EE6FAC">
              <w:rPr>
                <w:lang w:val="en-NZ"/>
              </w:rPr>
              <w:t>.</w:t>
            </w:r>
            <w:r w:rsidR="00A514AC" w:rsidRPr="00EE6FAC">
              <w:rPr>
                <w:lang w:val="en-NZ"/>
              </w:rPr>
              <w:t xml:space="preserve"> </w:t>
            </w:r>
            <w:r w:rsidR="00503CA8" w:rsidRPr="00EE6FAC">
              <w:rPr>
                <w:lang w:val="en-NZ"/>
              </w:rPr>
              <w:t xml:space="preserve">Most of this is the costs of the </w:t>
            </w:r>
            <w:r w:rsidR="00243A81">
              <w:rPr>
                <w:lang w:val="en-NZ"/>
              </w:rPr>
              <w:t>payments</w:t>
            </w:r>
            <w:r w:rsidR="00503CA8" w:rsidRPr="00EE6FAC">
              <w:rPr>
                <w:lang w:val="en-NZ"/>
              </w:rPr>
              <w:t xml:space="preserve"> to R&amp;D-performing firms, but it </w:t>
            </w:r>
            <w:r w:rsidR="00E46A4C" w:rsidRPr="00EE6FAC">
              <w:rPr>
                <w:lang w:val="en-NZ"/>
              </w:rPr>
              <w:t xml:space="preserve">is </w:t>
            </w:r>
            <w:r w:rsidR="00503CA8" w:rsidRPr="00EE6FAC">
              <w:rPr>
                <w:lang w:val="en-NZ"/>
              </w:rPr>
              <w:t>forecast</w:t>
            </w:r>
            <w:r w:rsidR="00E46A4C" w:rsidRPr="00EE6FAC">
              <w:rPr>
                <w:lang w:val="en-NZ"/>
              </w:rPr>
              <w:t xml:space="preserve"> that up to $6</w:t>
            </w:r>
            <w:r w:rsidR="00503CA8" w:rsidRPr="00EE6FAC">
              <w:rPr>
                <w:lang w:val="en-NZ"/>
              </w:rPr>
              <w:t>M</w:t>
            </w:r>
            <w:r w:rsidR="00E46A4C" w:rsidRPr="00EE6FAC">
              <w:rPr>
                <w:lang w:val="en-NZ"/>
              </w:rPr>
              <w:t xml:space="preserve"> </w:t>
            </w:r>
            <w:r w:rsidR="00503CA8" w:rsidRPr="00EE6FAC">
              <w:rPr>
                <w:lang w:val="en-NZ"/>
              </w:rPr>
              <w:t xml:space="preserve">per annum in </w:t>
            </w:r>
            <w:r w:rsidR="00F60BF3" w:rsidRPr="00EE6FAC">
              <w:rPr>
                <w:lang w:val="en-NZ"/>
              </w:rPr>
              <w:t xml:space="preserve">administration costs </w:t>
            </w:r>
            <w:r w:rsidR="0011417D" w:rsidRPr="00EE6FAC">
              <w:rPr>
                <w:lang w:val="en-NZ"/>
              </w:rPr>
              <w:t xml:space="preserve">will be required </w:t>
            </w:r>
            <w:r w:rsidR="00F60BF3" w:rsidRPr="00EE6FAC">
              <w:rPr>
                <w:lang w:val="en-NZ"/>
              </w:rPr>
              <w:t>to support the incentive.</w:t>
            </w:r>
          </w:p>
          <w:p w:rsidR="0062657E" w:rsidRPr="00EE6FAC" w:rsidRDefault="001F0F21" w:rsidP="000C62CF">
            <w:pPr>
              <w:pStyle w:val="TableText"/>
              <w:spacing w:after="0" w:line="276" w:lineRule="auto"/>
              <w:rPr>
                <w:lang w:val="en-NZ"/>
              </w:rPr>
            </w:pPr>
            <w:r w:rsidRPr="00EE6FAC">
              <w:rPr>
                <w:lang w:val="en-NZ"/>
              </w:rPr>
              <w:t>Businesses will incur costs of complying with the requirements to receive a tax incentive. These have not been monetised but based on the Australian experience are expected to be around $</w:t>
            </w:r>
            <w:r w:rsidR="00F020FF" w:rsidRPr="00EE6FAC">
              <w:rPr>
                <w:lang w:val="en-NZ"/>
              </w:rPr>
              <w:t>35</w:t>
            </w:r>
            <w:r w:rsidR="00194ECE">
              <w:rPr>
                <w:lang w:val="en-NZ"/>
              </w:rPr>
              <w:t>,000</w:t>
            </w:r>
            <w:r w:rsidR="00F020FF" w:rsidRPr="00EE6FAC">
              <w:rPr>
                <w:lang w:val="en-NZ"/>
              </w:rPr>
              <w:t>-40</w:t>
            </w:r>
            <w:r w:rsidRPr="00EE6FAC">
              <w:rPr>
                <w:lang w:val="en-NZ"/>
              </w:rPr>
              <w:t>,000 per claimant.</w:t>
            </w:r>
            <w:r w:rsidR="00503CA8" w:rsidRPr="00EE6FAC">
              <w:rPr>
                <w:lang w:val="en-NZ"/>
              </w:rPr>
              <w:t xml:space="preserve"> The current Growth Grant recipients bear the cost of the foregone grants, but most if not all will receive a tax credit of an equivalent or greater amount.</w:t>
            </w:r>
            <w:r w:rsidR="00DB63A6" w:rsidRPr="00EE6FAC">
              <w:rPr>
                <w:lang w:val="en-NZ"/>
              </w:rPr>
              <w:t xml:space="preserve"> They also will receive a reduction in compliance costs of complying with the Growth Grant criteria that will offset the costs associated with the Tax Incentive.</w:t>
            </w:r>
            <w:r w:rsidR="00243A81">
              <w:rPr>
                <w:lang w:val="en-NZ"/>
              </w:rPr>
              <w:t xml:space="preserve"> </w:t>
            </w:r>
            <w:r w:rsidR="00243A81" w:rsidRPr="00243A81">
              <w:rPr>
                <w:lang w:val="en-NZ"/>
              </w:rPr>
              <w:t xml:space="preserve">Participation in the system is voluntary and </w:t>
            </w:r>
            <w:r w:rsidR="00243A81">
              <w:rPr>
                <w:lang w:val="en-NZ"/>
              </w:rPr>
              <w:t xml:space="preserve">the compliance costs </w:t>
            </w:r>
            <w:r w:rsidR="00243A81" w:rsidRPr="00243A81">
              <w:rPr>
                <w:lang w:val="en-NZ"/>
              </w:rPr>
              <w:t>should be outweighed by the subsidy.</w:t>
            </w:r>
          </w:p>
        </w:tc>
      </w:tr>
    </w:tbl>
    <w:p w:rsidR="0062657E" w:rsidRPr="00EE6FAC" w:rsidRDefault="0062657E" w:rsidP="00AA6A54">
      <w:pPr>
        <w:pStyle w:val="spacer"/>
        <w:rPr>
          <w:lang w:val="en-NZ"/>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10C3D" w:rsidRPr="00EE6FAC" w:rsidTr="004A11FC">
        <w:tc>
          <w:tcPr>
            <w:tcW w:w="9067" w:type="dxa"/>
            <w:shd w:val="clear" w:color="auto" w:fill="99CDDD"/>
          </w:tcPr>
          <w:p w:rsidR="0062657E" w:rsidRPr="00EE6FAC" w:rsidRDefault="0062657E" w:rsidP="00DF2E7B">
            <w:pPr>
              <w:spacing w:before="60" w:after="60" w:line="240" w:lineRule="auto"/>
              <w:rPr>
                <w:b/>
                <w:i/>
                <w:szCs w:val="22"/>
                <w:lang w:val="en-NZ"/>
              </w:rPr>
            </w:pPr>
            <w:r w:rsidRPr="00EE6FAC">
              <w:rPr>
                <w:b/>
                <w:szCs w:val="22"/>
                <w:lang w:val="en-NZ"/>
              </w:rPr>
              <w:t xml:space="preserve">What are the likely risks and unintended impacts, how significant are they and how will they be minimised or mitigated? </w:t>
            </w:r>
          </w:p>
        </w:tc>
      </w:tr>
      <w:tr w:rsidR="00210C3D" w:rsidRPr="00EE6FAC" w:rsidTr="00384E9B">
        <w:tc>
          <w:tcPr>
            <w:tcW w:w="9067" w:type="dxa"/>
            <w:shd w:val="clear" w:color="auto" w:fill="FFFFFF"/>
          </w:tcPr>
          <w:p w:rsidR="0094696C" w:rsidRPr="00EE6FAC" w:rsidRDefault="00B81733" w:rsidP="00D94BEA">
            <w:pPr>
              <w:pStyle w:val="TableText"/>
              <w:rPr>
                <w:lang w:val="en-NZ"/>
              </w:rPr>
            </w:pPr>
            <w:r w:rsidRPr="00EE6FAC">
              <w:rPr>
                <w:lang w:val="en-NZ"/>
              </w:rPr>
              <w:t xml:space="preserve">R&amp;D Growth Grants (the current funding mechanism) for business R&amp;D will be phased out with the introduction of the </w:t>
            </w:r>
            <w:r w:rsidR="00810148" w:rsidRPr="00EE6FAC">
              <w:rPr>
                <w:lang w:val="en-NZ"/>
              </w:rPr>
              <w:t>R&amp;D Tax Incentive</w:t>
            </w:r>
            <w:r w:rsidRPr="00EE6FAC">
              <w:rPr>
                <w:lang w:val="en-NZ"/>
              </w:rPr>
              <w:t xml:space="preserve">. </w:t>
            </w:r>
            <w:r w:rsidR="00E3367B" w:rsidRPr="00EE6FAC">
              <w:rPr>
                <w:lang w:val="en-NZ"/>
              </w:rPr>
              <w:t>There is a risk that</w:t>
            </w:r>
            <w:r w:rsidR="001E23A7" w:rsidRPr="00EE6FAC">
              <w:rPr>
                <w:lang w:val="en-NZ"/>
              </w:rPr>
              <w:t xml:space="preserve"> </w:t>
            </w:r>
            <w:r w:rsidR="00E3367B" w:rsidRPr="00EE6FAC">
              <w:rPr>
                <w:lang w:val="en-NZ"/>
              </w:rPr>
              <w:t xml:space="preserve">business expenditure on R&amp;D declines </w:t>
            </w:r>
            <w:r w:rsidRPr="00EE6FAC">
              <w:rPr>
                <w:lang w:val="en-NZ"/>
              </w:rPr>
              <w:t xml:space="preserve">during the transition period from the R&amp;D Growth Grants to the R&amp;D </w:t>
            </w:r>
            <w:r w:rsidR="001F0F21" w:rsidRPr="00EE6FAC">
              <w:rPr>
                <w:lang w:val="en-NZ"/>
              </w:rPr>
              <w:t>T</w:t>
            </w:r>
            <w:r w:rsidRPr="00EE6FAC">
              <w:rPr>
                <w:lang w:val="en-NZ"/>
              </w:rPr>
              <w:t xml:space="preserve">ax </w:t>
            </w:r>
            <w:r w:rsidR="001F0F21" w:rsidRPr="00EE6FAC">
              <w:rPr>
                <w:lang w:val="en-NZ"/>
              </w:rPr>
              <w:t>I</w:t>
            </w:r>
            <w:r w:rsidRPr="00EE6FAC">
              <w:rPr>
                <w:lang w:val="en-NZ"/>
              </w:rPr>
              <w:t xml:space="preserve">ncentive </w:t>
            </w:r>
            <w:r w:rsidR="005F6EDE" w:rsidRPr="00EE6FAC">
              <w:rPr>
                <w:lang w:val="en-NZ"/>
              </w:rPr>
              <w:t>as firms</w:t>
            </w:r>
            <w:r w:rsidR="008A64D4" w:rsidRPr="00EE6FAC">
              <w:rPr>
                <w:lang w:val="en-NZ"/>
              </w:rPr>
              <w:t xml:space="preserve"> </w:t>
            </w:r>
            <w:r w:rsidR="001F0F21" w:rsidRPr="00EE6FAC">
              <w:rPr>
                <w:lang w:val="en-NZ"/>
              </w:rPr>
              <w:t xml:space="preserve">adjust their R&amp;D programmes to </w:t>
            </w:r>
            <w:r w:rsidR="00B930E0" w:rsidRPr="00EE6FAC">
              <w:rPr>
                <w:lang w:val="en-NZ"/>
              </w:rPr>
              <w:t>the new source</w:t>
            </w:r>
            <w:r w:rsidR="001F0F21" w:rsidRPr="00EE6FAC">
              <w:rPr>
                <w:lang w:val="en-NZ"/>
              </w:rPr>
              <w:t xml:space="preserve"> of funding</w:t>
            </w:r>
            <w:r w:rsidR="005F6EDE" w:rsidRPr="00EE6FAC">
              <w:rPr>
                <w:lang w:val="en-NZ"/>
              </w:rPr>
              <w:t>.</w:t>
            </w:r>
            <w:r w:rsidR="00BA7B9F" w:rsidRPr="00EE6FAC">
              <w:rPr>
                <w:lang w:val="en-NZ"/>
              </w:rPr>
              <w:t xml:space="preserve"> </w:t>
            </w:r>
            <w:r w:rsidR="001B1999" w:rsidRPr="00EE6FAC">
              <w:rPr>
                <w:lang w:val="en-NZ"/>
              </w:rPr>
              <w:t>T</w:t>
            </w:r>
            <w:r w:rsidR="00BA7B9F" w:rsidRPr="00EE6FAC">
              <w:rPr>
                <w:lang w:val="en-NZ"/>
              </w:rPr>
              <w:t xml:space="preserve">he broader eligibility criteria of the R&amp;D </w:t>
            </w:r>
            <w:r w:rsidR="00B930E0" w:rsidRPr="00EE6FAC">
              <w:rPr>
                <w:lang w:val="en-NZ"/>
              </w:rPr>
              <w:t>T</w:t>
            </w:r>
            <w:r w:rsidR="00BA7B9F" w:rsidRPr="00EE6FAC">
              <w:rPr>
                <w:lang w:val="en-NZ"/>
              </w:rPr>
              <w:t xml:space="preserve">ax </w:t>
            </w:r>
            <w:r w:rsidR="00B930E0" w:rsidRPr="00EE6FAC">
              <w:rPr>
                <w:lang w:val="en-NZ"/>
              </w:rPr>
              <w:t>I</w:t>
            </w:r>
            <w:r w:rsidR="00BA7B9F" w:rsidRPr="00EE6FAC">
              <w:rPr>
                <w:lang w:val="en-NZ"/>
              </w:rPr>
              <w:t>ncentive compared to the Growth Grants means that overall business R&amp;D expenditure is likely to rise over the short and long</w:t>
            </w:r>
            <w:r w:rsidR="00B930E0" w:rsidRPr="00EE6FAC">
              <w:rPr>
                <w:lang w:val="en-NZ"/>
              </w:rPr>
              <w:t xml:space="preserve"> </w:t>
            </w:r>
            <w:r w:rsidR="00BA7B9F" w:rsidRPr="00EE6FAC">
              <w:rPr>
                <w:lang w:val="en-NZ"/>
              </w:rPr>
              <w:t>term</w:t>
            </w:r>
            <w:r w:rsidR="00B930E0" w:rsidRPr="00EE6FAC">
              <w:rPr>
                <w:lang w:val="en-NZ"/>
              </w:rPr>
              <w:t>.</w:t>
            </w:r>
            <w:r w:rsidR="00A514AC" w:rsidRPr="00EE6FAC">
              <w:rPr>
                <w:lang w:val="en-NZ"/>
              </w:rPr>
              <w:t xml:space="preserve"> </w:t>
            </w:r>
          </w:p>
          <w:p w:rsidR="00B20BC2" w:rsidRPr="00EE6FAC" w:rsidRDefault="009B45C5" w:rsidP="00D94BEA">
            <w:pPr>
              <w:pStyle w:val="TableText"/>
              <w:rPr>
                <w:lang w:val="en-NZ"/>
              </w:rPr>
            </w:pPr>
            <w:r w:rsidRPr="00EE6FAC">
              <w:rPr>
                <w:lang w:val="en-NZ"/>
              </w:rPr>
              <w:t xml:space="preserve">To reduce the risk of </w:t>
            </w:r>
            <w:r w:rsidR="00A362D5" w:rsidRPr="00EE6FAC">
              <w:rPr>
                <w:lang w:val="en-NZ"/>
              </w:rPr>
              <w:t xml:space="preserve">uncertainty </w:t>
            </w:r>
            <w:r w:rsidR="00AA58D0" w:rsidRPr="00EE6FAC">
              <w:rPr>
                <w:lang w:val="en-NZ"/>
              </w:rPr>
              <w:t>and reduction</w:t>
            </w:r>
            <w:r w:rsidR="00B20BC2" w:rsidRPr="00EE6FAC">
              <w:rPr>
                <w:lang w:val="en-NZ"/>
              </w:rPr>
              <w:t xml:space="preserve"> in BERD </w:t>
            </w:r>
            <w:r w:rsidR="00A362D5" w:rsidRPr="00EE6FAC">
              <w:rPr>
                <w:lang w:val="en-NZ"/>
              </w:rPr>
              <w:t>we will</w:t>
            </w:r>
            <w:r w:rsidR="001C3C53" w:rsidRPr="00EE6FAC">
              <w:rPr>
                <w:lang w:val="en-NZ"/>
              </w:rPr>
              <w:t>:</w:t>
            </w:r>
          </w:p>
          <w:p w:rsidR="00145761" w:rsidRPr="00EE6FAC" w:rsidRDefault="00A362D5" w:rsidP="00D94BEA">
            <w:pPr>
              <w:pStyle w:val="ListBullet"/>
              <w:rPr>
                <w:lang w:val="en-NZ"/>
              </w:rPr>
            </w:pPr>
            <w:r w:rsidRPr="00EE6FAC">
              <w:rPr>
                <w:lang w:val="en-NZ"/>
              </w:rPr>
              <w:t xml:space="preserve">Educate and develop appropriate guidelines so businesses understand how to claim the </w:t>
            </w:r>
            <w:r w:rsidR="00810148" w:rsidRPr="00EE6FAC">
              <w:rPr>
                <w:lang w:val="en-NZ"/>
              </w:rPr>
              <w:t>R&amp;D Tax Incentive</w:t>
            </w:r>
            <w:r w:rsidR="00BA7B9F" w:rsidRPr="00EE6FAC">
              <w:rPr>
                <w:lang w:val="en-NZ"/>
              </w:rPr>
              <w:t>.</w:t>
            </w:r>
          </w:p>
          <w:p w:rsidR="00B930E0" w:rsidRPr="00EE6FAC" w:rsidRDefault="00163583" w:rsidP="00D94BEA">
            <w:pPr>
              <w:pStyle w:val="ListBullet"/>
              <w:rPr>
                <w:lang w:val="en-NZ"/>
              </w:rPr>
            </w:pPr>
            <w:r w:rsidRPr="00EE6FAC">
              <w:rPr>
                <w:lang w:val="en-NZ"/>
              </w:rPr>
              <w:t>Allow</w:t>
            </w:r>
            <w:r w:rsidR="00B930E0" w:rsidRPr="00EE6FAC">
              <w:rPr>
                <w:lang w:val="en-NZ"/>
              </w:rPr>
              <w:t xml:space="preserve"> a transition period of 2 years during which existing Growth Grant recipients may continue to claim a Growth Grant (instead of </w:t>
            </w:r>
            <w:r w:rsidR="00A41FAC" w:rsidRPr="00EE6FAC">
              <w:rPr>
                <w:lang w:val="en-NZ"/>
              </w:rPr>
              <w:t>the</w:t>
            </w:r>
            <w:r w:rsidR="00B930E0" w:rsidRPr="00EE6FAC">
              <w:rPr>
                <w:lang w:val="en-NZ"/>
              </w:rPr>
              <w:t xml:space="preserve"> Tax Incentive).</w:t>
            </w:r>
          </w:p>
          <w:p w:rsidR="00145761" w:rsidRPr="00EE6FAC" w:rsidRDefault="00145761" w:rsidP="00D94BEA">
            <w:pPr>
              <w:pStyle w:val="ListBullet"/>
              <w:rPr>
                <w:lang w:val="en-NZ"/>
              </w:rPr>
            </w:pPr>
            <w:r w:rsidRPr="00EE6FAC">
              <w:rPr>
                <w:lang w:val="en-NZ"/>
              </w:rPr>
              <w:t xml:space="preserve">Provide clear information on transition arrangements for Growth Grant recipients to ensure a smooth transition to the </w:t>
            </w:r>
            <w:r w:rsidR="00A41FAC" w:rsidRPr="00EE6FAC">
              <w:rPr>
                <w:lang w:val="en-NZ"/>
              </w:rPr>
              <w:t>T</w:t>
            </w:r>
            <w:r w:rsidRPr="00EE6FAC">
              <w:rPr>
                <w:lang w:val="en-NZ"/>
              </w:rPr>
              <w:t xml:space="preserve">ax </w:t>
            </w:r>
            <w:r w:rsidR="00A41FAC" w:rsidRPr="00EE6FAC">
              <w:rPr>
                <w:lang w:val="en-NZ"/>
              </w:rPr>
              <w:t>I</w:t>
            </w:r>
            <w:r w:rsidRPr="00EE6FAC">
              <w:rPr>
                <w:lang w:val="en-NZ"/>
              </w:rPr>
              <w:t>ncentive that</w:t>
            </w:r>
            <w:r w:rsidR="00955358" w:rsidRPr="00EE6FAC">
              <w:rPr>
                <w:lang w:val="en-NZ"/>
              </w:rPr>
              <w:t xml:space="preserve"> supports </w:t>
            </w:r>
            <w:r w:rsidR="00BA7B9F" w:rsidRPr="00EE6FAC">
              <w:rPr>
                <w:lang w:val="en-NZ"/>
              </w:rPr>
              <w:t xml:space="preserve">businesses to maintain and grow their </w:t>
            </w:r>
            <w:r w:rsidRPr="00EE6FAC">
              <w:rPr>
                <w:lang w:val="en-NZ"/>
              </w:rPr>
              <w:t>R&amp;D</w:t>
            </w:r>
            <w:r w:rsidR="00BA7B9F" w:rsidRPr="00EE6FAC">
              <w:rPr>
                <w:lang w:val="en-NZ"/>
              </w:rPr>
              <w:t xml:space="preserve"> over time.</w:t>
            </w:r>
          </w:p>
          <w:p w:rsidR="00A362D5" w:rsidRPr="00EE6FAC" w:rsidRDefault="00A362D5" w:rsidP="00D94BEA">
            <w:pPr>
              <w:pStyle w:val="ListBullet"/>
              <w:rPr>
                <w:lang w:val="en-NZ"/>
              </w:rPr>
            </w:pPr>
            <w:r w:rsidRPr="00EE6FAC">
              <w:rPr>
                <w:lang w:val="en-NZ"/>
              </w:rPr>
              <w:t xml:space="preserve">Develop an appropriate implementation strategy to ensure the successful uptake of the </w:t>
            </w:r>
            <w:r w:rsidR="00810148" w:rsidRPr="00EE6FAC">
              <w:rPr>
                <w:lang w:val="en-NZ"/>
              </w:rPr>
              <w:t>R&amp;D Tax Incentive</w:t>
            </w:r>
            <w:r w:rsidR="00F00C86">
              <w:rPr>
                <w:lang w:val="en-NZ"/>
              </w:rPr>
              <w:t>.</w:t>
            </w:r>
          </w:p>
          <w:p w:rsidR="00093D25" w:rsidRPr="00EE6FAC" w:rsidRDefault="00093D25" w:rsidP="00093D25">
            <w:pPr>
              <w:pStyle w:val="TableText"/>
              <w:spacing w:before="0" w:after="0" w:line="276" w:lineRule="auto"/>
              <w:rPr>
                <w:lang w:val="en-NZ"/>
              </w:rPr>
            </w:pPr>
            <w:r w:rsidRPr="00EE6FAC">
              <w:rPr>
                <w:lang w:val="en-NZ"/>
              </w:rPr>
              <w:t xml:space="preserve">The other risk of the </w:t>
            </w:r>
            <w:r w:rsidR="00810148" w:rsidRPr="00EE6FAC">
              <w:rPr>
                <w:lang w:val="en-NZ"/>
              </w:rPr>
              <w:t>R&amp;D Tax Incentive</w:t>
            </w:r>
            <w:r w:rsidRPr="00EE6FAC">
              <w:rPr>
                <w:lang w:val="en-NZ"/>
              </w:rPr>
              <w:t xml:space="preserve"> is re</w:t>
            </w:r>
            <w:r w:rsidR="008A64D4" w:rsidRPr="00EE6FAC">
              <w:rPr>
                <w:lang w:val="en-NZ"/>
              </w:rPr>
              <w:t>-</w:t>
            </w:r>
            <w:r w:rsidRPr="00EE6FAC">
              <w:rPr>
                <w:lang w:val="en-NZ"/>
              </w:rPr>
              <w:t>characterisation of business-as-usual expenditure. This risk will be managed by:</w:t>
            </w:r>
          </w:p>
          <w:p w:rsidR="00093D25" w:rsidRPr="00EE6FAC" w:rsidRDefault="00093D25" w:rsidP="008A7592">
            <w:pPr>
              <w:pStyle w:val="ListBullet"/>
              <w:rPr>
                <w:lang w:val="en-NZ"/>
              </w:rPr>
            </w:pPr>
            <w:r w:rsidRPr="00EE6FAC">
              <w:rPr>
                <w:lang w:val="en-NZ"/>
              </w:rPr>
              <w:t>A robust definition of eligible R&amp;D to create a clear boundary between R&amp;D and non-R&amp;D</w:t>
            </w:r>
            <w:r w:rsidR="00F00C86">
              <w:rPr>
                <w:lang w:val="en-NZ"/>
              </w:rPr>
              <w:t>.</w:t>
            </w:r>
          </w:p>
          <w:p w:rsidR="0062657E" w:rsidRPr="00EE6FAC" w:rsidRDefault="00093D25" w:rsidP="008A7592">
            <w:pPr>
              <w:pStyle w:val="ListBullet"/>
              <w:rPr>
                <w:lang w:val="en-NZ"/>
              </w:rPr>
            </w:pPr>
            <w:r w:rsidRPr="00EE6FAC">
              <w:rPr>
                <w:lang w:val="en-NZ"/>
              </w:rPr>
              <w:t>Audit of claims, including in year approval of the R&amp;D</w:t>
            </w:r>
            <w:r w:rsidR="00297ACA" w:rsidRPr="00EE6FAC">
              <w:rPr>
                <w:lang w:val="en-NZ"/>
              </w:rPr>
              <w:t>.</w:t>
            </w:r>
          </w:p>
        </w:tc>
      </w:tr>
    </w:tbl>
    <w:p w:rsidR="0062657E" w:rsidRPr="00EE6FAC" w:rsidRDefault="0062657E" w:rsidP="00AA6A54">
      <w:pPr>
        <w:pStyle w:val="spacer"/>
        <w:rPr>
          <w:lang w:val="en-NZ"/>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10C3D" w:rsidRPr="00EE6FAC" w:rsidTr="004A11FC">
        <w:tc>
          <w:tcPr>
            <w:tcW w:w="9067" w:type="dxa"/>
            <w:shd w:val="clear" w:color="auto" w:fill="99CDDD"/>
          </w:tcPr>
          <w:p w:rsidR="0062657E" w:rsidRPr="00EE6FAC" w:rsidRDefault="0062657E" w:rsidP="00DF2E7B">
            <w:pPr>
              <w:spacing w:before="60" w:after="60" w:line="240" w:lineRule="auto"/>
              <w:rPr>
                <w:b/>
                <w:i/>
                <w:szCs w:val="22"/>
                <w:lang w:val="en-NZ"/>
              </w:rPr>
            </w:pPr>
            <w:r w:rsidRPr="00EE6FAC">
              <w:rPr>
                <w:b/>
                <w:szCs w:val="22"/>
                <w:lang w:val="en-NZ"/>
              </w:rPr>
              <w:t>Identify any significant incompatibility with the Government’s ‘Expectations for the design of regulatory systems’.</w:t>
            </w:r>
            <w:r w:rsidR="00A514AC" w:rsidRPr="00EE6FAC">
              <w:rPr>
                <w:b/>
                <w:szCs w:val="22"/>
                <w:lang w:val="en-NZ"/>
              </w:rPr>
              <w:t xml:space="preserve"> </w:t>
            </w:r>
          </w:p>
        </w:tc>
      </w:tr>
      <w:tr w:rsidR="00210C3D" w:rsidRPr="00EE6FAC" w:rsidTr="00384E9B">
        <w:tc>
          <w:tcPr>
            <w:tcW w:w="9067" w:type="dxa"/>
            <w:shd w:val="clear" w:color="auto" w:fill="FFFFFF"/>
          </w:tcPr>
          <w:p w:rsidR="0062657E" w:rsidRPr="00EE6FAC" w:rsidRDefault="00132B21" w:rsidP="00D94BEA">
            <w:pPr>
              <w:pStyle w:val="TableText"/>
              <w:rPr>
                <w:lang w:val="en-NZ"/>
              </w:rPr>
            </w:pPr>
            <w:r w:rsidRPr="00EE6FAC">
              <w:rPr>
                <w:lang w:val="en-NZ"/>
              </w:rPr>
              <w:t>There is no incompatibility between this regulatory proposal and the Government’s ‘Expectations for the design of regulatory systems</w:t>
            </w:r>
            <w:r w:rsidR="00163583" w:rsidRPr="00EE6FAC">
              <w:rPr>
                <w:lang w:val="en-NZ"/>
              </w:rPr>
              <w:t>’</w:t>
            </w:r>
            <w:r w:rsidR="001B1999" w:rsidRPr="00EE6FAC">
              <w:rPr>
                <w:lang w:val="en-NZ"/>
              </w:rPr>
              <w:t>.</w:t>
            </w:r>
          </w:p>
        </w:tc>
      </w:tr>
    </w:tbl>
    <w:p w:rsidR="0062657E" w:rsidRPr="00EE6FAC" w:rsidRDefault="0062657E" w:rsidP="007B090A">
      <w:pPr>
        <w:pStyle w:val="spacer"/>
        <w:spacing w:line="276" w:lineRule="auto"/>
        <w:rPr>
          <w:sz w:val="22"/>
          <w:lang w:val="en-NZ"/>
        </w:rPr>
      </w:pPr>
    </w:p>
    <w:p w:rsidR="0062657E" w:rsidRPr="00EE6FAC" w:rsidRDefault="0062657E" w:rsidP="00B9498A">
      <w:pPr>
        <w:pStyle w:val="Heading4"/>
        <w:rPr>
          <w:bCs w:val="0"/>
          <w:color w:val="0082AB"/>
          <w:spacing w:val="20"/>
          <w:w w:val="90"/>
          <w:sz w:val="24"/>
          <w:szCs w:val="24"/>
          <w:lang w:val="en-NZ"/>
        </w:rPr>
      </w:pPr>
      <w:r w:rsidRPr="00EE6FAC">
        <w:rPr>
          <w:bCs w:val="0"/>
          <w:color w:val="0082AB"/>
          <w:spacing w:val="20"/>
          <w:w w:val="90"/>
          <w:sz w:val="24"/>
          <w:szCs w:val="24"/>
          <w:lang w:val="en-NZ"/>
        </w:rPr>
        <w:lastRenderedPageBreak/>
        <w:t>Section C</w:t>
      </w:r>
      <w:r w:rsidR="0005691A" w:rsidRPr="00EE6FAC">
        <w:rPr>
          <w:bCs w:val="0"/>
          <w:color w:val="0082AB"/>
          <w:spacing w:val="20"/>
          <w:w w:val="90"/>
          <w:sz w:val="24"/>
          <w:szCs w:val="24"/>
          <w:lang w:val="en-NZ"/>
        </w:rPr>
        <w:t xml:space="preserve">: </w:t>
      </w:r>
      <w:r w:rsidRPr="00EE6FAC">
        <w:rPr>
          <w:bCs w:val="0"/>
          <w:color w:val="0082AB"/>
          <w:spacing w:val="20"/>
          <w:w w:val="90"/>
          <w:sz w:val="24"/>
          <w:szCs w:val="24"/>
          <w:lang w:val="en-NZ"/>
        </w:rPr>
        <w:t xml:space="preserve">Evidence certainty and quality assurance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10C3D" w:rsidRPr="00EE6FAC" w:rsidTr="00663BAA">
        <w:trPr>
          <w:trHeight w:val="339"/>
        </w:trPr>
        <w:tc>
          <w:tcPr>
            <w:tcW w:w="9039" w:type="dxa"/>
            <w:shd w:val="clear" w:color="auto" w:fill="99CDDD"/>
          </w:tcPr>
          <w:p w:rsidR="0062657E" w:rsidRPr="00EE6FAC" w:rsidRDefault="0062657E" w:rsidP="00DE64D6">
            <w:pPr>
              <w:keepNext/>
              <w:spacing w:before="60" w:after="60" w:line="240" w:lineRule="auto"/>
              <w:rPr>
                <w:b/>
                <w:szCs w:val="22"/>
                <w:lang w:val="en-NZ"/>
              </w:rPr>
            </w:pPr>
            <w:r w:rsidRPr="00EE6FAC">
              <w:rPr>
                <w:b/>
                <w:szCs w:val="22"/>
                <w:lang w:val="en-NZ"/>
              </w:rPr>
              <w:t>Agency rating of evidence certainty?</w:t>
            </w:r>
            <w:r w:rsidR="00A514AC" w:rsidRPr="00EE6FAC">
              <w:rPr>
                <w:b/>
                <w:szCs w:val="22"/>
                <w:lang w:val="en-NZ"/>
              </w:rPr>
              <w:t xml:space="preserve"> </w:t>
            </w:r>
          </w:p>
        </w:tc>
      </w:tr>
      <w:tr w:rsidR="00210C3D" w:rsidRPr="00EE6FAC" w:rsidTr="008B2F56">
        <w:trPr>
          <w:trHeight w:val="459"/>
        </w:trPr>
        <w:tc>
          <w:tcPr>
            <w:tcW w:w="9039" w:type="dxa"/>
            <w:shd w:val="clear" w:color="auto" w:fill="FFFFFF"/>
          </w:tcPr>
          <w:p w:rsidR="000C62CF" w:rsidRPr="00EE6FAC" w:rsidRDefault="00122571" w:rsidP="000C62CF">
            <w:pPr>
              <w:pStyle w:val="TableText"/>
              <w:rPr>
                <w:lang w:val="en-NZ"/>
              </w:rPr>
            </w:pPr>
            <w:r w:rsidRPr="00EE6FAC">
              <w:rPr>
                <w:lang w:val="en-NZ"/>
              </w:rPr>
              <w:t xml:space="preserve">We are confident of the evidence </w:t>
            </w:r>
            <w:r w:rsidR="00BA7B9F" w:rsidRPr="00EE6FAC">
              <w:rPr>
                <w:lang w:val="en-NZ"/>
              </w:rPr>
              <w:t xml:space="preserve">that </w:t>
            </w:r>
            <w:r w:rsidR="00810148" w:rsidRPr="00EE6FAC">
              <w:rPr>
                <w:lang w:val="en-NZ"/>
              </w:rPr>
              <w:t>R&amp;D Tax Incentive</w:t>
            </w:r>
            <w:r w:rsidR="00BA7B9F" w:rsidRPr="00EE6FAC">
              <w:rPr>
                <w:lang w:val="en-NZ"/>
              </w:rPr>
              <w:t>s are effective at increasing business R&amp;D</w:t>
            </w:r>
            <w:r w:rsidR="005034E2" w:rsidRPr="00EE6FAC">
              <w:rPr>
                <w:lang w:val="en-NZ"/>
              </w:rPr>
              <w:t>, which is based on a range of international studies</w:t>
            </w:r>
            <w:r w:rsidR="00067E3C" w:rsidRPr="00EE6FAC">
              <w:rPr>
                <w:lang w:val="en-NZ"/>
              </w:rPr>
              <w:t xml:space="preserve">. There is also strong evidence that business R&amp;D leads to social returns </w:t>
            </w:r>
            <w:r w:rsidR="005034E2" w:rsidRPr="00EE6FAC">
              <w:rPr>
                <w:lang w:val="en-NZ"/>
              </w:rPr>
              <w:t xml:space="preserve">that </w:t>
            </w:r>
            <w:r w:rsidR="00067E3C" w:rsidRPr="00EE6FAC">
              <w:rPr>
                <w:lang w:val="en-NZ"/>
              </w:rPr>
              <w:t>are higher than the private returns</w:t>
            </w:r>
            <w:r w:rsidR="005034E2" w:rsidRPr="00EE6FAC">
              <w:rPr>
                <w:lang w:val="en-NZ"/>
              </w:rPr>
              <w:t xml:space="preserve"> so the economy as a whole will benefit</w:t>
            </w:r>
            <w:r w:rsidR="00D94BEA" w:rsidRPr="00EE6FAC">
              <w:rPr>
                <w:lang w:val="en-NZ"/>
              </w:rPr>
              <w:t>.</w:t>
            </w:r>
            <w:r w:rsidR="000C62CF" w:rsidRPr="00EE6FAC">
              <w:rPr>
                <w:lang w:val="en-NZ"/>
              </w:rPr>
              <w:t xml:space="preserve"> </w:t>
            </w:r>
          </w:p>
          <w:p w:rsidR="0062657E" w:rsidRPr="00EE6FAC" w:rsidRDefault="000C62CF" w:rsidP="00037754">
            <w:pPr>
              <w:pStyle w:val="TableText"/>
              <w:rPr>
                <w:lang w:val="en-NZ"/>
              </w:rPr>
            </w:pPr>
            <w:r w:rsidRPr="00EE6FAC">
              <w:rPr>
                <w:lang w:val="en-NZ"/>
              </w:rPr>
              <w:t xml:space="preserve">It is more difficult to predict </w:t>
            </w:r>
            <w:r w:rsidR="005034E2" w:rsidRPr="00EE6FAC">
              <w:rPr>
                <w:lang w:val="en-NZ"/>
              </w:rPr>
              <w:t xml:space="preserve">the actual level by which R&amp;D will increase as a result of the </w:t>
            </w:r>
            <w:r w:rsidR="00A41FAC" w:rsidRPr="00EE6FAC">
              <w:rPr>
                <w:lang w:val="en-NZ"/>
              </w:rPr>
              <w:t>T</w:t>
            </w:r>
            <w:r w:rsidR="005034E2" w:rsidRPr="00EE6FAC">
              <w:rPr>
                <w:lang w:val="en-NZ"/>
              </w:rPr>
              <w:t xml:space="preserve">ax </w:t>
            </w:r>
            <w:r w:rsidR="00A41FAC" w:rsidRPr="00EE6FAC">
              <w:rPr>
                <w:lang w:val="en-NZ"/>
              </w:rPr>
              <w:t>I</w:t>
            </w:r>
            <w:r w:rsidR="005034E2" w:rsidRPr="00EE6FAC">
              <w:rPr>
                <w:lang w:val="en-NZ"/>
              </w:rPr>
              <w:t>ncentive</w:t>
            </w:r>
            <w:r w:rsidRPr="00EE6FAC">
              <w:rPr>
                <w:lang w:val="en-NZ"/>
              </w:rPr>
              <w:t xml:space="preserve">, </w:t>
            </w:r>
            <w:r w:rsidR="00593F22" w:rsidRPr="00EE6FAC">
              <w:rPr>
                <w:lang w:val="en-NZ"/>
              </w:rPr>
              <w:t xml:space="preserve">which in turn drives the fiscal cost, </w:t>
            </w:r>
            <w:r w:rsidR="00037754">
              <w:rPr>
                <w:lang w:val="en-NZ"/>
              </w:rPr>
              <w:t>and</w:t>
            </w:r>
            <w:r w:rsidR="005034E2" w:rsidRPr="00EE6FAC">
              <w:rPr>
                <w:lang w:val="en-NZ"/>
              </w:rPr>
              <w:t xml:space="preserve"> the spillover benefits that will result to rest of the economy</w:t>
            </w:r>
            <w:r w:rsidRPr="00EE6FAC">
              <w:rPr>
                <w:lang w:val="en-NZ"/>
              </w:rPr>
              <w:t>.</w:t>
            </w:r>
            <w:r w:rsidR="005034E2" w:rsidRPr="00EE6FAC">
              <w:rPr>
                <w:lang w:val="en-NZ"/>
              </w:rPr>
              <w:t xml:space="preserve"> We have estimated this based on the best information available, including evidence from</w:t>
            </w:r>
            <w:r w:rsidR="000F3A3A" w:rsidRPr="00EE6FAC">
              <w:rPr>
                <w:lang w:val="en-NZ"/>
              </w:rPr>
              <w:t xml:space="preserve"> </w:t>
            </w:r>
            <w:r w:rsidR="005034E2" w:rsidRPr="00EE6FAC">
              <w:rPr>
                <w:lang w:val="en-NZ"/>
              </w:rPr>
              <w:t>international studies about the size of the benefits, but there are wide confidence intervals around these estimates.</w:t>
            </w:r>
          </w:p>
        </w:tc>
      </w:tr>
    </w:tbl>
    <w:p w:rsidR="0062657E" w:rsidRPr="00EE6FAC" w:rsidRDefault="0062657E" w:rsidP="007B090A">
      <w:pPr>
        <w:pStyle w:val="spacer"/>
        <w:spacing w:line="276" w:lineRule="auto"/>
        <w:rPr>
          <w:sz w:val="22"/>
          <w:lang w:val="en-NZ"/>
        </w:rPr>
      </w:pPr>
    </w:p>
    <w:p w:rsidR="0062657E" w:rsidRPr="00EE6FAC" w:rsidRDefault="0062657E" w:rsidP="007B090A">
      <w:pPr>
        <w:spacing w:line="276" w:lineRule="auto"/>
        <w:rPr>
          <w:rFonts w:ascii="Arial Narrow" w:hAnsi="Arial Narrow"/>
          <w:i/>
          <w:szCs w:val="22"/>
          <w:lang w:val="en-NZ"/>
        </w:rPr>
      </w:pPr>
      <w:r w:rsidRPr="00EE6FAC">
        <w:rPr>
          <w:i/>
          <w:szCs w:val="22"/>
          <w:lang w:val="en-NZ"/>
        </w:rPr>
        <w:t>To be completed by quality assurers: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10C3D" w:rsidRPr="00EE6FAC" w:rsidTr="004A11FC">
        <w:trPr>
          <w:trHeight w:val="77"/>
        </w:trPr>
        <w:tc>
          <w:tcPr>
            <w:tcW w:w="9067" w:type="dxa"/>
            <w:shd w:val="clear" w:color="auto" w:fill="99CDDD"/>
            <w:hideMark/>
          </w:tcPr>
          <w:p w:rsidR="0062657E" w:rsidRPr="00EE6FAC" w:rsidRDefault="0062657E" w:rsidP="00DF2E7B">
            <w:pPr>
              <w:spacing w:before="60" w:after="60" w:line="240" w:lineRule="auto"/>
              <w:rPr>
                <w:szCs w:val="22"/>
                <w:lang w:val="en-NZ"/>
              </w:rPr>
            </w:pPr>
            <w:r w:rsidRPr="00EE6FAC">
              <w:rPr>
                <w:szCs w:val="22"/>
                <w:lang w:val="en-NZ"/>
              </w:rPr>
              <w:t>Quality Assurance Reviewing Agency:</w:t>
            </w:r>
          </w:p>
        </w:tc>
      </w:tr>
      <w:tr w:rsidR="00210C3D" w:rsidRPr="00EE6FAC" w:rsidTr="00384E9B">
        <w:trPr>
          <w:trHeight w:val="850"/>
        </w:trPr>
        <w:tc>
          <w:tcPr>
            <w:tcW w:w="9067" w:type="dxa"/>
            <w:shd w:val="clear" w:color="auto" w:fill="FFFFFF"/>
          </w:tcPr>
          <w:p w:rsidR="0062657E" w:rsidRPr="00EE6FAC" w:rsidRDefault="00A8148C" w:rsidP="00210C3D">
            <w:pPr>
              <w:pStyle w:val="spacer"/>
              <w:spacing w:line="276" w:lineRule="auto"/>
              <w:rPr>
                <w:sz w:val="22"/>
                <w:lang w:val="en-NZ"/>
              </w:rPr>
            </w:pPr>
            <w:r w:rsidRPr="00EE6FAC">
              <w:rPr>
                <w:sz w:val="22"/>
                <w:lang w:val="en-NZ"/>
              </w:rPr>
              <w:t>Treasury</w:t>
            </w:r>
          </w:p>
          <w:p w:rsidR="00A8148C" w:rsidRPr="00EE6FAC" w:rsidRDefault="00A8148C" w:rsidP="00210C3D">
            <w:pPr>
              <w:pStyle w:val="spacer"/>
              <w:spacing w:line="276" w:lineRule="auto"/>
              <w:rPr>
                <w:sz w:val="22"/>
                <w:lang w:val="en-NZ"/>
              </w:rPr>
            </w:pPr>
            <w:r w:rsidRPr="00EE6FAC">
              <w:rPr>
                <w:sz w:val="22"/>
                <w:lang w:val="en-NZ"/>
              </w:rPr>
              <w:t>Ministry of Business, Innovation and Employment</w:t>
            </w:r>
          </w:p>
          <w:p w:rsidR="001220BD" w:rsidRPr="00EE6FAC" w:rsidRDefault="00A8148C" w:rsidP="00210C3D">
            <w:pPr>
              <w:pStyle w:val="spacer"/>
              <w:spacing w:line="276" w:lineRule="auto"/>
              <w:rPr>
                <w:sz w:val="22"/>
                <w:lang w:val="en-NZ"/>
              </w:rPr>
            </w:pPr>
            <w:r w:rsidRPr="00EE6FAC">
              <w:rPr>
                <w:sz w:val="22"/>
                <w:lang w:val="en-NZ"/>
              </w:rPr>
              <w:t>Inland Revenue</w:t>
            </w:r>
          </w:p>
        </w:tc>
      </w:tr>
      <w:tr w:rsidR="00210C3D" w:rsidRPr="00EE6FAC" w:rsidTr="004A11FC">
        <w:trPr>
          <w:trHeight w:val="109"/>
        </w:trPr>
        <w:tc>
          <w:tcPr>
            <w:tcW w:w="9067" w:type="dxa"/>
            <w:shd w:val="clear" w:color="auto" w:fill="99CDDD"/>
          </w:tcPr>
          <w:p w:rsidR="0062657E" w:rsidRPr="00EE6FAC" w:rsidRDefault="0062657E" w:rsidP="00DF2E7B">
            <w:pPr>
              <w:spacing w:before="60" w:after="60" w:line="240" w:lineRule="auto"/>
              <w:rPr>
                <w:szCs w:val="22"/>
                <w:lang w:val="en-NZ"/>
              </w:rPr>
            </w:pPr>
            <w:r w:rsidRPr="00EE6FAC">
              <w:rPr>
                <w:szCs w:val="22"/>
                <w:lang w:val="en-NZ"/>
              </w:rPr>
              <w:t>Quality Assurance Assessment:</w:t>
            </w:r>
          </w:p>
        </w:tc>
      </w:tr>
      <w:tr w:rsidR="00210C3D" w:rsidRPr="00EE6FAC" w:rsidTr="00384E9B">
        <w:trPr>
          <w:trHeight w:val="850"/>
        </w:trPr>
        <w:tc>
          <w:tcPr>
            <w:tcW w:w="9067" w:type="dxa"/>
            <w:shd w:val="clear" w:color="auto" w:fill="FFFFFF"/>
          </w:tcPr>
          <w:p w:rsidR="001220BD" w:rsidRPr="009315E1" w:rsidRDefault="009315E1" w:rsidP="009315E1">
            <w:r>
              <w:t xml:space="preserve">A cross-agency Quality Assurance Panel with independent representatives from the Treasury, the Ministry for Business, Innovation and Employment (MBIE) and Inland Revenue (IR) has reviewed the </w:t>
            </w:r>
            <w:r>
              <w:rPr>
                <w:i/>
                <w:iCs/>
              </w:rPr>
              <w:t>Regulatory Impact Statement: R&amp;D Tax Incentive</w:t>
            </w:r>
            <w:r>
              <w:t xml:space="preserve"> prepared by MBIE and Inland Revenue and considers that it meets the Quality Assurance criteria.</w:t>
            </w:r>
          </w:p>
        </w:tc>
      </w:tr>
      <w:tr w:rsidR="00210C3D" w:rsidRPr="00EE6FAC" w:rsidTr="004A11FC">
        <w:trPr>
          <w:trHeight w:val="56"/>
        </w:trPr>
        <w:tc>
          <w:tcPr>
            <w:tcW w:w="9067" w:type="dxa"/>
            <w:shd w:val="clear" w:color="auto" w:fill="99CDDD"/>
          </w:tcPr>
          <w:p w:rsidR="0062657E" w:rsidRPr="00EE6FAC" w:rsidRDefault="0062657E" w:rsidP="00DF2E7B">
            <w:pPr>
              <w:spacing w:before="60" w:after="60" w:line="240" w:lineRule="auto"/>
              <w:rPr>
                <w:szCs w:val="22"/>
                <w:lang w:val="en-NZ"/>
              </w:rPr>
            </w:pPr>
            <w:r w:rsidRPr="00EE6FAC">
              <w:rPr>
                <w:szCs w:val="22"/>
                <w:lang w:val="en-NZ"/>
              </w:rPr>
              <w:t>Reviewer Comments and Recommendations:</w:t>
            </w:r>
          </w:p>
        </w:tc>
      </w:tr>
      <w:tr w:rsidR="00210C3D" w:rsidRPr="00EE6FAC" w:rsidTr="00384E9B">
        <w:trPr>
          <w:trHeight w:val="850"/>
        </w:trPr>
        <w:tc>
          <w:tcPr>
            <w:tcW w:w="9067" w:type="dxa"/>
            <w:shd w:val="clear" w:color="auto" w:fill="FFFFFF"/>
          </w:tcPr>
          <w:p w:rsidR="0062657E" w:rsidRPr="00EE6FAC" w:rsidRDefault="0062657E" w:rsidP="00210C3D">
            <w:pPr>
              <w:pStyle w:val="spacer"/>
              <w:spacing w:line="276" w:lineRule="auto"/>
              <w:rPr>
                <w:sz w:val="22"/>
                <w:lang w:val="en-NZ"/>
              </w:rPr>
            </w:pPr>
          </w:p>
          <w:p w:rsidR="001220BD" w:rsidRPr="00EE6FAC" w:rsidRDefault="009315E1" w:rsidP="00210C3D">
            <w:pPr>
              <w:pStyle w:val="spacer"/>
              <w:spacing w:line="276" w:lineRule="auto"/>
              <w:rPr>
                <w:sz w:val="22"/>
                <w:lang w:val="en-NZ"/>
              </w:rPr>
            </w:pPr>
            <w:r w:rsidRPr="009315E1">
              <w:rPr>
                <w:sz w:val="22"/>
                <w:lang w:val="en-NZ"/>
              </w:rPr>
              <w:t>The RIA meets the QA criteria of being clear, concise, convincing, complete and consulted and provides a good basis for informed decision-making by Ministers</w:t>
            </w:r>
          </w:p>
        </w:tc>
      </w:tr>
    </w:tbl>
    <w:p w:rsidR="0062657E" w:rsidRPr="00EE6FAC" w:rsidRDefault="0062657E" w:rsidP="00AA6A54">
      <w:pPr>
        <w:pStyle w:val="spacer"/>
        <w:rPr>
          <w:lang w:val="en-NZ"/>
        </w:rPr>
      </w:pPr>
      <w:r w:rsidRPr="00EE6FAC">
        <w:rPr>
          <w:lang w:val="en-NZ"/>
        </w:rPr>
        <w:br w:type="page"/>
      </w:r>
    </w:p>
    <w:p w:rsidR="0062657E" w:rsidRPr="00EE6FAC" w:rsidRDefault="0062657E" w:rsidP="00A537E7">
      <w:pPr>
        <w:pStyle w:val="Heading1"/>
      </w:pPr>
      <w:r w:rsidRPr="00EE6FAC">
        <w:t>Impact Statement</w:t>
      </w:r>
      <w:r w:rsidR="00210C3D" w:rsidRPr="00EE6FAC">
        <w:t>:</w:t>
      </w:r>
      <w:r w:rsidRPr="00EE6FAC">
        <w:t xml:space="preserve"> </w:t>
      </w:r>
      <w:r w:rsidR="00C55FC0" w:rsidRPr="00EE6FAC">
        <w:t xml:space="preserve">R&amp;D Tax </w:t>
      </w:r>
      <w:r w:rsidR="000B7128" w:rsidRPr="00EE6FAC">
        <w:t>Incentive</w:t>
      </w:r>
    </w:p>
    <w:p w:rsidR="0062657E" w:rsidRPr="00EE6FAC" w:rsidRDefault="0062657E" w:rsidP="00B9498A">
      <w:pPr>
        <w:pStyle w:val="Heading4"/>
        <w:rPr>
          <w:bCs w:val="0"/>
          <w:color w:val="0082AB"/>
          <w:spacing w:val="20"/>
          <w:w w:val="90"/>
          <w:sz w:val="24"/>
          <w:szCs w:val="24"/>
          <w:lang w:val="en-NZ"/>
        </w:rPr>
      </w:pPr>
      <w:r w:rsidRPr="00EE6FAC">
        <w:rPr>
          <w:bCs w:val="0"/>
          <w:color w:val="0082AB"/>
          <w:spacing w:val="20"/>
          <w:w w:val="90"/>
          <w:sz w:val="24"/>
          <w:szCs w:val="24"/>
          <w:lang w:val="en-NZ"/>
        </w:rPr>
        <w:t>Section 1: General information</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590"/>
      </w:tblGrid>
      <w:tr w:rsidR="0062657E" w:rsidRPr="00EE6FAC" w:rsidTr="00372449">
        <w:tc>
          <w:tcPr>
            <w:tcW w:w="5000" w:type="pct"/>
            <w:gridSpan w:val="2"/>
            <w:shd w:val="clear" w:color="auto" w:fill="99CDDD"/>
            <w:hideMark/>
          </w:tcPr>
          <w:p w:rsidR="0062657E" w:rsidRPr="00EE6FAC" w:rsidRDefault="0062657E" w:rsidP="00DF2E7B">
            <w:pPr>
              <w:spacing w:before="60" w:after="60" w:line="240" w:lineRule="auto"/>
              <w:rPr>
                <w:rFonts w:cs="Arial"/>
                <w:b/>
                <w:szCs w:val="22"/>
                <w:lang w:val="en-NZ"/>
              </w:rPr>
            </w:pPr>
            <w:r w:rsidRPr="00EE6FAC">
              <w:rPr>
                <w:rFonts w:cs="Arial"/>
                <w:b/>
                <w:szCs w:val="22"/>
                <w:lang w:val="en-NZ"/>
              </w:rPr>
              <w:t>Purpose</w:t>
            </w:r>
          </w:p>
        </w:tc>
      </w:tr>
      <w:tr w:rsidR="0062657E" w:rsidRPr="00EE6FAC" w:rsidTr="00372449">
        <w:trPr>
          <w:trHeight w:val="680"/>
        </w:trPr>
        <w:tc>
          <w:tcPr>
            <w:tcW w:w="5000" w:type="pct"/>
            <w:gridSpan w:val="2"/>
            <w:shd w:val="clear" w:color="auto" w:fill="FFFFFF"/>
          </w:tcPr>
          <w:p w:rsidR="0062657E" w:rsidRPr="00EE6FAC" w:rsidRDefault="00143BA3" w:rsidP="00143BA3">
            <w:pPr>
              <w:pStyle w:val="TableText"/>
              <w:rPr>
                <w:lang w:val="en-NZ"/>
              </w:rPr>
            </w:pPr>
            <w:r w:rsidRPr="00EE6FAC">
              <w:rPr>
                <w:lang w:val="en-NZ"/>
              </w:rPr>
              <w:t>MBIE</w:t>
            </w:r>
            <w:r w:rsidR="00C55FC0" w:rsidRPr="00EE6FAC">
              <w:rPr>
                <w:lang w:val="en-NZ"/>
              </w:rPr>
              <w:t xml:space="preserve"> and </w:t>
            </w:r>
            <w:r w:rsidRPr="00EE6FAC">
              <w:rPr>
                <w:lang w:val="en-NZ"/>
              </w:rPr>
              <w:t>IR</w:t>
            </w:r>
            <w:r w:rsidR="00C55FC0" w:rsidRPr="00EE6FAC">
              <w:rPr>
                <w:lang w:val="en-NZ"/>
              </w:rPr>
              <w:t xml:space="preserve"> </w:t>
            </w:r>
            <w:r w:rsidR="0062657E" w:rsidRPr="00EE6FAC">
              <w:rPr>
                <w:lang w:val="en-NZ"/>
              </w:rPr>
              <w:t xml:space="preserve">are solely responsible for the analysis and advice set out in this Regulatory Impact </w:t>
            </w:r>
            <w:r w:rsidR="0037276A" w:rsidRPr="00EE6FAC">
              <w:rPr>
                <w:lang w:val="en-NZ"/>
              </w:rPr>
              <w:t>Assessment</w:t>
            </w:r>
            <w:r w:rsidR="0062657E" w:rsidRPr="00EE6FAC">
              <w:rPr>
                <w:lang w:val="en-NZ"/>
              </w:rPr>
              <w:t>, except as otherwise explicitly indicated.</w:t>
            </w:r>
            <w:r w:rsidR="00A514AC" w:rsidRPr="00EE6FAC">
              <w:rPr>
                <w:lang w:val="en-NZ"/>
              </w:rPr>
              <w:t xml:space="preserve"> </w:t>
            </w:r>
            <w:r w:rsidR="0062657E" w:rsidRPr="00EE6FAC">
              <w:rPr>
                <w:lang w:val="en-NZ"/>
              </w:rPr>
              <w:t>This analysis and advice has been produced for the purpose of informing</w:t>
            </w:r>
            <w:r w:rsidR="00A8148C" w:rsidRPr="00EE6FAC">
              <w:rPr>
                <w:lang w:val="en-NZ"/>
              </w:rPr>
              <w:t xml:space="preserve"> </w:t>
            </w:r>
            <w:r w:rsidR="0062657E" w:rsidRPr="00EE6FAC">
              <w:rPr>
                <w:lang w:val="en-NZ"/>
              </w:rPr>
              <w:t>key policy decisions to b</w:t>
            </w:r>
            <w:r w:rsidR="00C55FC0" w:rsidRPr="00EE6FAC">
              <w:rPr>
                <w:lang w:val="en-NZ"/>
              </w:rPr>
              <w:t>e taken by Cabinet</w:t>
            </w:r>
            <w:r w:rsidR="00A8148C" w:rsidRPr="00EE6FAC">
              <w:rPr>
                <w:lang w:val="en-NZ"/>
              </w:rPr>
              <w:t>.</w:t>
            </w:r>
          </w:p>
        </w:tc>
      </w:tr>
      <w:tr w:rsidR="0062657E" w:rsidRPr="00EE6FAC" w:rsidTr="00372449">
        <w:tc>
          <w:tcPr>
            <w:tcW w:w="5000" w:type="pct"/>
            <w:gridSpan w:val="2"/>
            <w:shd w:val="clear" w:color="auto" w:fill="99CDDD"/>
            <w:hideMark/>
          </w:tcPr>
          <w:p w:rsidR="0062657E" w:rsidRPr="00EE6FAC" w:rsidRDefault="0062657E" w:rsidP="00DF2E7B">
            <w:pPr>
              <w:keepNext/>
              <w:spacing w:before="60" w:after="60" w:line="240" w:lineRule="auto"/>
              <w:rPr>
                <w:rFonts w:cs="Arial"/>
                <w:b/>
                <w:color w:val="002060"/>
                <w:szCs w:val="22"/>
                <w:lang w:val="en-NZ"/>
              </w:rPr>
            </w:pPr>
            <w:r w:rsidRPr="00EE6FAC">
              <w:rPr>
                <w:rFonts w:cs="Arial"/>
                <w:b/>
                <w:szCs w:val="22"/>
                <w:lang w:val="en-NZ"/>
              </w:rPr>
              <w:t>Key Limitations or Constraints on Analysis</w:t>
            </w:r>
          </w:p>
        </w:tc>
      </w:tr>
      <w:tr w:rsidR="0062657E" w:rsidRPr="00EE6FAC" w:rsidTr="00372449">
        <w:trPr>
          <w:cantSplit/>
          <w:trHeight w:val="3292"/>
        </w:trPr>
        <w:tc>
          <w:tcPr>
            <w:tcW w:w="5000" w:type="pct"/>
            <w:gridSpan w:val="2"/>
            <w:shd w:val="clear" w:color="auto" w:fill="auto"/>
          </w:tcPr>
          <w:p w:rsidR="008D30DB" w:rsidRPr="00EE6FAC" w:rsidRDefault="00DB7D38" w:rsidP="008A64D4">
            <w:pPr>
              <w:pStyle w:val="TableText"/>
              <w:rPr>
                <w:lang w:val="en-NZ"/>
              </w:rPr>
            </w:pPr>
            <w:r w:rsidRPr="00EE6FAC">
              <w:rPr>
                <w:lang w:val="en-NZ"/>
              </w:rPr>
              <w:t xml:space="preserve">Estimating the amount of R&amp;D that will be eligible for </w:t>
            </w:r>
            <w:r w:rsidR="00B41D86" w:rsidRPr="00EE6FAC">
              <w:rPr>
                <w:lang w:val="en-NZ"/>
              </w:rPr>
              <w:t xml:space="preserve">the R&amp;D Tax Incentive </w:t>
            </w:r>
            <w:r w:rsidRPr="00EE6FAC">
              <w:rPr>
                <w:lang w:val="en-NZ"/>
              </w:rPr>
              <w:t xml:space="preserve">and its impact on the economy </w:t>
            </w:r>
            <w:r w:rsidR="00DE5A87" w:rsidRPr="00EE6FAC">
              <w:rPr>
                <w:lang w:val="en-NZ"/>
              </w:rPr>
              <w:t xml:space="preserve">is </w:t>
            </w:r>
            <w:r w:rsidR="00B41D86" w:rsidRPr="00EE6FAC">
              <w:rPr>
                <w:lang w:val="en-NZ"/>
              </w:rPr>
              <w:t xml:space="preserve">complicated </w:t>
            </w:r>
            <w:r w:rsidR="00DE5A87" w:rsidRPr="00EE6FAC">
              <w:rPr>
                <w:lang w:val="en-NZ"/>
              </w:rPr>
              <w:t>and hence the</w:t>
            </w:r>
            <w:r w:rsidR="00B41D86" w:rsidRPr="00EE6FAC">
              <w:rPr>
                <w:lang w:val="en-NZ"/>
              </w:rPr>
              <w:t xml:space="preserve"> evidence on both is imprecise</w:t>
            </w:r>
            <w:r w:rsidR="00DE5A87" w:rsidRPr="00EE6FAC">
              <w:rPr>
                <w:lang w:val="en-NZ"/>
              </w:rPr>
              <w:t xml:space="preserve">. The estimates of eligible R&amp;D are based on the </w:t>
            </w:r>
            <w:r w:rsidR="00B41D86" w:rsidRPr="00EE6FAC">
              <w:rPr>
                <w:lang w:val="en-NZ"/>
              </w:rPr>
              <w:t xml:space="preserve">levels of </w:t>
            </w:r>
            <w:r w:rsidR="00DE5A87" w:rsidRPr="00EE6FAC">
              <w:rPr>
                <w:lang w:val="en-NZ"/>
              </w:rPr>
              <w:t xml:space="preserve">business-funded R&amp;D expenditure </w:t>
            </w:r>
            <w:r w:rsidR="00B41D86" w:rsidRPr="00EE6FAC">
              <w:rPr>
                <w:lang w:val="en-NZ"/>
              </w:rPr>
              <w:t xml:space="preserve">estimates from </w:t>
            </w:r>
            <w:r w:rsidR="00DE5A87" w:rsidRPr="00EE6FAC">
              <w:rPr>
                <w:lang w:val="en-NZ"/>
              </w:rPr>
              <w:t>the 2016 R&amp;D Survey (Statistics New Zealand, 2017)</w:t>
            </w:r>
            <w:r w:rsidR="00B41D86" w:rsidRPr="00EE6FAC">
              <w:rPr>
                <w:lang w:val="en-NZ"/>
              </w:rPr>
              <w:t>. They are then</w:t>
            </w:r>
            <w:r w:rsidR="00DE5A87" w:rsidRPr="00EE6FAC">
              <w:rPr>
                <w:lang w:val="en-NZ"/>
              </w:rPr>
              <w:t xml:space="preserve"> projected forward </w:t>
            </w:r>
            <w:r w:rsidR="00B41D86" w:rsidRPr="00EE6FAC">
              <w:rPr>
                <w:lang w:val="en-NZ"/>
              </w:rPr>
              <w:t xml:space="preserve">into the future </w:t>
            </w:r>
            <w:r w:rsidR="00C372B3" w:rsidRPr="00EE6FAC">
              <w:rPr>
                <w:lang w:val="en-NZ"/>
              </w:rPr>
              <w:t xml:space="preserve">to </w:t>
            </w:r>
            <w:r w:rsidR="00DE5A87" w:rsidRPr="00EE6FAC">
              <w:rPr>
                <w:lang w:val="en-NZ"/>
              </w:rPr>
              <w:t xml:space="preserve">account </w:t>
            </w:r>
            <w:r w:rsidR="00C372B3" w:rsidRPr="00EE6FAC">
              <w:rPr>
                <w:lang w:val="en-NZ"/>
              </w:rPr>
              <w:t xml:space="preserve">for expected increases in </w:t>
            </w:r>
            <w:r w:rsidR="00DE5A87" w:rsidRPr="00EE6FAC">
              <w:rPr>
                <w:lang w:val="en-NZ"/>
              </w:rPr>
              <w:t xml:space="preserve">GDP and </w:t>
            </w:r>
            <w:r w:rsidR="00C372B3" w:rsidRPr="00EE6FAC">
              <w:rPr>
                <w:lang w:val="en-NZ"/>
              </w:rPr>
              <w:t xml:space="preserve">growth in </w:t>
            </w:r>
            <w:r w:rsidR="00DE5A87" w:rsidRPr="00EE6FAC">
              <w:rPr>
                <w:lang w:val="en-NZ"/>
              </w:rPr>
              <w:t>R&amp;D intensity</w:t>
            </w:r>
            <w:r w:rsidR="00C372B3" w:rsidRPr="00EE6FAC">
              <w:rPr>
                <w:lang w:val="en-NZ"/>
              </w:rPr>
              <w:t xml:space="preserve"> (based on historical estimates)</w:t>
            </w:r>
            <w:r w:rsidR="00DE5A87" w:rsidRPr="00EE6FAC">
              <w:rPr>
                <w:lang w:val="en-NZ"/>
              </w:rPr>
              <w:t xml:space="preserve">. </w:t>
            </w:r>
          </w:p>
          <w:p w:rsidR="00FE32AF" w:rsidRDefault="008D30DB" w:rsidP="008A64D4">
            <w:pPr>
              <w:pStyle w:val="TableText"/>
              <w:rPr>
                <w:lang w:val="en-NZ"/>
              </w:rPr>
            </w:pPr>
            <w:r w:rsidRPr="00EE6FAC">
              <w:rPr>
                <w:lang w:val="en-NZ"/>
              </w:rPr>
              <w:t xml:space="preserve">The estimates </w:t>
            </w:r>
            <w:r w:rsidR="00C372B3" w:rsidRPr="00EE6FAC">
              <w:rPr>
                <w:lang w:val="en-NZ"/>
              </w:rPr>
              <w:t xml:space="preserve">are also adjusted to </w:t>
            </w:r>
            <w:r w:rsidRPr="00EE6FAC">
              <w:rPr>
                <w:lang w:val="en-NZ"/>
              </w:rPr>
              <w:t xml:space="preserve">allow for an anticipated response to the </w:t>
            </w:r>
            <w:r w:rsidR="00A41FAC" w:rsidRPr="00EE6FAC">
              <w:rPr>
                <w:lang w:val="en-NZ"/>
              </w:rPr>
              <w:t>Tax Incentive</w:t>
            </w:r>
            <w:r w:rsidR="00C372B3" w:rsidRPr="00EE6FAC">
              <w:rPr>
                <w:lang w:val="en-NZ"/>
              </w:rPr>
              <w:t>.</w:t>
            </w:r>
            <w:r w:rsidRPr="00EE6FAC">
              <w:rPr>
                <w:lang w:val="en-NZ"/>
              </w:rPr>
              <w:t xml:space="preserve"> As there </w:t>
            </w:r>
            <w:r w:rsidR="00C372B3" w:rsidRPr="00EE6FAC">
              <w:rPr>
                <w:lang w:val="en-NZ"/>
              </w:rPr>
              <w:t>has been</w:t>
            </w:r>
            <w:r w:rsidRPr="00EE6FAC">
              <w:rPr>
                <w:lang w:val="en-NZ"/>
              </w:rPr>
              <w:t xml:space="preserve"> no </w:t>
            </w:r>
            <w:r w:rsidR="00C372B3" w:rsidRPr="00EE6FAC">
              <w:rPr>
                <w:lang w:val="en-NZ"/>
              </w:rPr>
              <w:t xml:space="preserve">analysis or </w:t>
            </w:r>
            <w:r w:rsidR="0031045A" w:rsidRPr="00EE6FAC">
              <w:rPr>
                <w:lang w:val="en-NZ"/>
              </w:rPr>
              <w:t xml:space="preserve">impact </w:t>
            </w:r>
            <w:r w:rsidRPr="00EE6FAC">
              <w:rPr>
                <w:lang w:val="en-NZ"/>
              </w:rPr>
              <w:t xml:space="preserve">evaluation of the </w:t>
            </w:r>
            <w:r w:rsidR="00C372B3" w:rsidRPr="00EE6FAC">
              <w:rPr>
                <w:lang w:val="en-NZ"/>
              </w:rPr>
              <w:t>R&amp;D Tax Incentive implemented in New Zealand in 2008</w:t>
            </w:r>
            <w:r w:rsidRPr="00EE6FAC">
              <w:rPr>
                <w:lang w:val="en-NZ"/>
              </w:rPr>
              <w:t xml:space="preserve">, </w:t>
            </w:r>
            <w:r w:rsidR="00FA7ABB" w:rsidRPr="00EE6FAC">
              <w:rPr>
                <w:lang w:val="en-NZ"/>
              </w:rPr>
              <w:t xml:space="preserve">there is no New Zealand evidence on which to base this. Instead, </w:t>
            </w:r>
            <w:r w:rsidRPr="00EE6FAC">
              <w:rPr>
                <w:lang w:val="en-NZ"/>
              </w:rPr>
              <w:t xml:space="preserve">the </w:t>
            </w:r>
            <w:r w:rsidR="00FA7ABB" w:rsidRPr="00EE6FAC">
              <w:rPr>
                <w:lang w:val="en-NZ"/>
              </w:rPr>
              <w:t xml:space="preserve">estimates of the anticipated </w:t>
            </w:r>
            <w:r w:rsidRPr="00EE6FAC">
              <w:rPr>
                <w:lang w:val="en-NZ"/>
              </w:rPr>
              <w:t xml:space="preserve">response </w:t>
            </w:r>
            <w:r w:rsidR="00FA7ABB" w:rsidRPr="00EE6FAC">
              <w:rPr>
                <w:lang w:val="en-NZ"/>
              </w:rPr>
              <w:t xml:space="preserve">are </w:t>
            </w:r>
            <w:r w:rsidRPr="00EE6FAC">
              <w:rPr>
                <w:lang w:val="en-NZ"/>
              </w:rPr>
              <w:t>based on evidence from international studies</w:t>
            </w:r>
            <w:r w:rsidR="00FA7ABB" w:rsidRPr="00EE6FAC">
              <w:rPr>
                <w:lang w:val="en-NZ"/>
              </w:rPr>
              <w:t xml:space="preserve"> that may not correspond to the situation in New Zealand</w:t>
            </w:r>
            <w:r w:rsidRPr="00EE6FAC">
              <w:rPr>
                <w:lang w:val="en-NZ"/>
              </w:rPr>
              <w:t>.</w:t>
            </w:r>
            <w:r w:rsidR="00895877" w:rsidRPr="00EE6FAC">
              <w:rPr>
                <w:lang w:val="en-NZ"/>
              </w:rPr>
              <w:t xml:space="preserve"> Nevertheless, this is</w:t>
            </w:r>
            <w:r w:rsidR="00A8148C" w:rsidRPr="00EE6FAC">
              <w:rPr>
                <w:lang w:val="en-NZ"/>
              </w:rPr>
              <w:t xml:space="preserve"> the best </w:t>
            </w:r>
            <w:r w:rsidR="00895877" w:rsidRPr="00EE6FAC">
              <w:rPr>
                <w:lang w:val="en-NZ"/>
              </w:rPr>
              <w:t xml:space="preserve">information </w:t>
            </w:r>
            <w:r w:rsidR="00A8148C" w:rsidRPr="00EE6FAC">
              <w:rPr>
                <w:lang w:val="en-NZ"/>
              </w:rPr>
              <w:t>available</w:t>
            </w:r>
            <w:r w:rsidR="00895877" w:rsidRPr="00EE6FAC">
              <w:rPr>
                <w:lang w:val="en-NZ"/>
              </w:rPr>
              <w:t>.</w:t>
            </w:r>
          </w:p>
          <w:p w:rsidR="0062657E" w:rsidRPr="00EE6FAC" w:rsidRDefault="00FE32AF" w:rsidP="008A64D4">
            <w:pPr>
              <w:pStyle w:val="TableText"/>
              <w:rPr>
                <w:lang w:val="en-NZ"/>
              </w:rPr>
            </w:pPr>
            <w:r>
              <w:rPr>
                <w:lang w:val="en-NZ"/>
              </w:rPr>
              <w:t>G</w:t>
            </w:r>
            <w:r w:rsidRPr="00EE6FAC">
              <w:rPr>
                <w:lang w:val="en-NZ"/>
              </w:rPr>
              <w:t>iven the campaign commitments of both Government parties to introduce a R&amp;D Tax Incentive, we have not considered the option of significantly reforming the Growth Grant scheme.</w:t>
            </w:r>
            <w:r w:rsidR="00A3755D" w:rsidRPr="00EE6FAC">
              <w:rPr>
                <w:lang w:val="en-NZ"/>
              </w:rPr>
              <w:t xml:space="preserve"> </w:t>
            </w:r>
          </w:p>
        </w:tc>
      </w:tr>
      <w:tr w:rsidR="0062657E" w:rsidRPr="00EE6FAC" w:rsidTr="00372449">
        <w:trPr>
          <w:cantSplit/>
        </w:trPr>
        <w:tc>
          <w:tcPr>
            <w:tcW w:w="5000" w:type="pct"/>
            <w:gridSpan w:val="2"/>
            <w:tcBorders>
              <w:bottom w:val="single" w:sz="4" w:space="0" w:color="auto"/>
            </w:tcBorders>
            <w:shd w:val="clear" w:color="auto" w:fill="99CDDD"/>
            <w:hideMark/>
          </w:tcPr>
          <w:p w:rsidR="0062657E" w:rsidRPr="00EE6FAC" w:rsidRDefault="0062657E" w:rsidP="00DF2E7B">
            <w:pPr>
              <w:spacing w:before="60" w:after="60" w:line="240" w:lineRule="auto"/>
              <w:rPr>
                <w:rFonts w:cs="Arial"/>
                <w:b/>
                <w:szCs w:val="22"/>
                <w:lang w:val="en-NZ"/>
              </w:rPr>
            </w:pPr>
            <w:bookmarkStart w:id="1" w:name="_Toc363047038"/>
            <w:bookmarkStart w:id="2" w:name="_Toc362940530"/>
            <w:bookmarkStart w:id="3" w:name="_Toc362618966"/>
            <w:bookmarkStart w:id="4" w:name="_Toc362434720"/>
            <w:bookmarkStart w:id="5" w:name="_Toc362368098"/>
            <w:r w:rsidRPr="00EE6FAC">
              <w:rPr>
                <w:rFonts w:cs="Arial"/>
                <w:b/>
                <w:szCs w:val="22"/>
                <w:lang w:val="en-NZ"/>
              </w:rPr>
              <w:t>Responsible Manager (signature and date):</w:t>
            </w:r>
          </w:p>
        </w:tc>
      </w:tr>
      <w:tr w:rsidR="0037276A" w:rsidRPr="00EE6FAC" w:rsidTr="00CA5946">
        <w:trPr>
          <w:trHeight w:val="3404"/>
        </w:trPr>
        <w:tc>
          <w:tcPr>
            <w:tcW w:w="2500" w:type="pct"/>
            <w:tcBorders>
              <w:right w:val="nil"/>
            </w:tcBorders>
            <w:shd w:val="clear" w:color="auto" w:fill="FFFFFF"/>
          </w:tcPr>
          <w:p w:rsidR="0037276A" w:rsidRPr="00EE6FAC" w:rsidRDefault="00FC294E" w:rsidP="00FC294E">
            <w:pPr>
              <w:spacing w:before="60" w:after="60" w:line="276" w:lineRule="auto"/>
              <w:jc w:val="both"/>
              <w:rPr>
                <w:rFonts w:cs="Arial"/>
                <w:szCs w:val="22"/>
                <w:lang w:val="en-NZ"/>
              </w:rPr>
            </w:pPr>
            <w:r>
              <w:rPr>
                <w:rFonts w:cs="Arial"/>
                <w:noProof/>
                <w:szCs w:val="22"/>
                <w:lang w:val="en-NZ" w:eastAsia="en-NZ"/>
              </w:rPr>
              <w:drawing>
                <wp:inline distT="0" distB="0" distL="0" distR="0" wp14:anchorId="6855A7F2" wp14:editId="3918DE1C">
                  <wp:extent cx="1371600"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652145"/>
                          </a:xfrm>
                          <a:prstGeom prst="rect">
                            <a:avLst/>
                          </a:prstGeom>
                          <a:noFill/>
                        </pic:spPr>
                      </pic:pic>
                    </a:graphicData>
                  </a:graphic>
                </wp:inline>
              </w:drawing>
            </w:r>
          </w:p>
          <w:p w:rsidR="0037276A" w:rsidRPr="00EE6FAC" w:rsidRDefault="0037276A" w:rsidP="00FC294E">
            <w:pPr>
              <w:spacing w:before="60" w:after="60" w:line="276" w:lineRule="auto"/>
              <w:jc w:val="both"/>
              <w:rPr>
                <w:rFonts w:cs="Arial"/>
                <w:szCs w:val="22"/>
                <w:lang w:val="en-NZ"/>
              </w:rPr>
            </w:pPr>
            <w:r w:rsidRPr="00EE6FAC">
              <w:rPr>
                <w:rFonts w:cs="Arial"/>
                <w:szCs w:val="22"/>
                <w:lang w:val="en-NZ"/>
              </w:rPr>
              <w:t>Richard Walley</w:t>
            </w:r>
          </w:p>
          <w:p w:rsidR="006C4695" w:rsidRDefault="006C4695" w:rsidP="006C4695">
            <w:pPr>
              <w:spacing w:before="60" w:after="60" w:line="276" w:lineRule="auto"/>
              <w:ind w:left="284" w:hanging="284"/>
              <w:rPr>
                <w:rFonts w:cs="Arial"/>
                <w:szCs w:val="22"/>
                <w:lang w:val="en-NZ"/>
              </w:rPr>
            </w:pPr>
            <w:r>
              <w:rPr>
                <w:rFonts w:cs="Arial"/>
                <w:szCs w:val="22"/>
                <w:lang w:val="en-NZ"/>
              </w:rPr>
              <w:t>Director, Science, Innovation and</w:t>
            </w:r>
          </w:p>
          <w:p w:rsidR="0037276A" w:rsidRPr="00EE6FAC" w:rsidRDefault="0037276A" w:rsidP="006C4695">
            <w:pPr>
              <w:spacing w:before="60" w:after="60" w:line="276" w:lineRule="auto"/>
              <w:ind w:left="284" w:hanging="284"/>
              <w:rPr>
                <w:rFonts w:cs="Arial"/>
                <w:szCs w:val="22"/>
                <w:lang w:val="en-NZ"/>
              </w:rPr>
            </w:pPr>
            <w:r w:rsidRPr="00EE6FAC">
              <w:rPr>
                <w:rFonts w:cs="Arial"/>
                <w:szCs w:val="22"/>
                <w:lang w:val="en-NZ"/>
              </w:rPr>
              <w:t>International</w:t>
            </w:r>
          </w:p>
          <w:p w:rsidR="006C4695" w:rsidRDefault="0037276A" w:rsidP="0037276A">
            <w:pPr>
              <w:spacing w:before="60" w:after="60" w:line="276" w:lineRule="auto"/>
              <w:ind w:left="284" w:hanging="284"/>
              <w:jc w:val="both"/>
              <w:rPr>
                <w:rFonts w:cs="Arial"/>
                <w:szCs w:val="22"/>
                <w:lang w:val="en-NZ"/>
              </w:rPr>
            </w:pPr>
            <w:r w:rsidRPr="00EE6FAC">
              <w:rPr>
                <w:rFonts w:cs="Arial"/>
                <w:szCs w:val="22"/>
                <w:lang w:val="en-NZ"/>
              </w:rPr>
              <w:t>Minis</w:t>
            </w:r>
            <w:r w:rsidR="006C4695">
              <w:rPr>
                <w:rFonts w:cs="Arial"/>
                <w:szCs w:val="22"/>
                <w:lang w:val="en-NZ"/>
              </w:rPr>
              <w:t>try of Business, Innovation and</w:t>
            </w:r>
          </w:p>
          <w:p w:rsidR="0037276A" w:rsidRPr="00EE6FAC" w:rsidRDefault="0037276A" w:rsidP="0037276A">
            <w:pPr>
              <w:spacing w:before="60" w:after="60" w:line="276" w:lineRule="auto"/>
              <w:ind w:left="284" w:hanging="284"/>
              <w:jc w:val="both"/>
              <w:rPr>
                <w:rFonts w:cs="Arial"/>
                <w:szCs w:val="22"/>
                <w:lang w:val="en-NZ"/>
              </w:rPr>
            </w:pPr>
            <w:r w:rsidRPr="00EE6FAC">
              <w:rPr>
                <w:rFonts w:cs="Arial"/>
                <w:szCs w:val="22"/>
                <w:lang w:val="en-NZ"/>
              </w:rPr>
              <w:t xml:space="preserve">Employment </w:t>
            </w:r>
          </w:p>
          <w:p w:rsidR="0037276A" w:rsidRPr="00EE6FAC" w:rsidRDefault="006C4695" w:rsidP="0037276A">
            <w:pPr>
              <w:spacing w:before="60" w:after="60" w:line="276" w:lineRule="auto"/>
              <w:ind w:left="284" w:hanging="284"/>
              <w:jc w:val="both"/>
              <w:rPr>
                <w:rFonts w:cs="Arial"/>
                <w:szCs w:val="22"/>
                <w:lang w:val="en-NZ"/>
              </w:rPr>
            </w:pPr>
            <w:r>
              <w:rPr>
                <w:rFonts w:cs="Arial"/>
                <w:szCs w:val="22"/>
                <w:lang w:val="en-NZ"/>
              </w:rPr>
              <w:t>29/ 08 / 2018</w:t>
            </w:r>
          </w:p>
        </w:tc>
        <w:tc>
          <w:tcPr>
            <w:tcW w:w="2500" w:type="pct"/>
            <w:tcBorders>
              <w:left w:val="nil"/>
            </w:tcBorders>
            <w:shd w:val="clear" w:color="auto" w:fill="FFFFFF"/>
          </w:tcPr>
          <w:p w:rsidR="0037276A" w:rsidRPr="00EE6FAC" w:rsidRDefault="00FC294E" w:rsidP="00D241C1">
            <w:pPr>
              <w:spacing w:before="60" w:after="60" w:line="276" w:lineRule="auto"/>
              <w:ind w:left="284" w:hanging="284"/>
              <w:jc w:val="both"/>
              <w:rPr>
                <w:rFonts w:cs="Arial"/>
                <w:szCs w:val="22"/>
                <w:lang w:val="en-NZ"/>
              </w:rPr>
            </w:pPr>
            <w:r>
              <w:rPr>
                <w:rFonts w:cs="Arial"/>
                <w:noProof/>
                <w:szCs w:val="22"/>
                <w:lang w:val="en-NZ" w:eastAsia="en-NZ"/>
              </w:rPr>
              <w:drawing>
                <wp:inline distT="0" distB="0" distL="0" distR="0" wp14:anchorId="32A2442F" wp14:editId="161E7F97">
                  <wp:extent cx="1341120" cy="433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433070"/>
                          </a:xfrm>
                          <a:prstGeom prst="rect">
                            <a:avLst/>
                          </a:prstGeom>
                          <a:noFill/>
                        </pic:spPr>
                      </pic:pic>
                    </a:graphicData>
                  </a:graphic>
                </wp:inline>
              </w:drawing>
            </w:r>
          </w:p>
          <w:p w:rsidR="0037276A" w:rsidRPr="00EE6FAC" w:rsidRDefault="0037276A" w:rsidP="00D241C1">
            <w:pPr>
              <w:spacing w:before="60" w:after="60" w:line="276" w:lineRule="auto"/>
              <w:ind w:left="284" w:hanging="284"/>
              <w:jc w:val="both"/>
              <w:rPr>
                <w:rFonts w:cs="Arial"/>
                <w:szCs w:val="22"/>
                <w:lang w:val="en-NZ"/>
              </w:rPr>
            </w:pPr>
          </w:p>
          <w:p w:rsidR="0037276A" w:rsidRPr="00EE6FAC" w:rsidRDefault="0037276A" w:rsidP="006C4695">
            <w:pPr>
              <w:spacing w:before="60" w:after="60" w:line="276" w:lineRule="auto"/>
              <w:jc w:val="both"/>
              <w:rPr>
                <w:rFonts w:cs="Arial"/>
                <w:szCs w:val="22"/>
                <w:lang w:val="en-NZ"/>
              </w:rPr>
            </w:pPr>
            <w:r w:rsidRPr="00EE6FAC">
              <w:rPr>
                <w:rFonts w:cs="Arial"/>
                <w:szCs w:val="22"/>
                <w:lang w:val="en-NZ"/>
              </w:rPr>
              <w:t>Keith Taylor</w:t>
            </w:r>
          </w:p>
          <w:p w:rsidR="0037276A" w:rsidRPr="00EE6FAC" w:rsidRDefault="0037276A" w:rsidP="0037276A">
            <w:pPr>
              <w:spacing w:before="60" w:after="60" w:line="276" w:lineRule="auto"/>
              <w:ind w:left="284" w:hanging="284"/>
              <w:jc w:val="both"/>
              <w:rPr>
                <w:rFonts w:cs="Arial"/>
                <w:szCs w:val="22"/>
                <w:lang w:val="en-NZ"/>
              </w:rPr>
            </w:pPr>
            <w:r w:rsidRPr="00EE6FAC">
              <w:rPr>
                <w:rFonts w:cs="Arial"/>
                <w:szCs w:val="22"/>
                <w:lang w:val="en-NZ"/>
              </w:rPr>
              <w:t>Policy Manager</w:t>
            </w:r>
          </w:p>
          <w:p w:rsidR="0037276A" w:rsidRPr="00EE6FAC" w:rsidRDefault="0037276A" w:rsidP="0037276A">
            <w:pPr>
              <w:spacing w:before="60" w:after="60" w:line="276" w:lineRule="auto"/>
              <w:ind w:left="284" w:hanging="284"/>
              <w:jc w:val="both"/>
              <w:rPr>
                <w:rFonts w:cs="Arial"/>
                <w:szCs w:val="22"/>
                <w:lang w:val="en-NZ"/>
              </w:rPr>
            </w:pPr>
            <w:r w:rsidRPr="00EE6FAC">
              <w:rPr>
                <w:rFonts w:cs="Arial"/>
                <w:szCs w:val="22"/>
                <w:lang w:val="en-NZ"/>
              </w:rPr>
              <w:t>Inland Revenue</w:t>
            </w:r>
          </w:p>
          <w:p w:rsidR="0037276A" w:rsidRPr="00EE6FAC" w:rsidRDefault="006C4695" w:rsidP="0037276A">
            <w:pPr>
              <w:spacing w:before="60" w:after="60" w:line="276" w:lineRule="auto"/>
              <w:ind w:left="284" w:hanging="284"/>
              <w:jc w:val="both"/>
              <w:rPr>
                <w:rFonts w:cs="Arial"/>
                <w:szCs w:val="22"/>
                <w:lang w:val="en-NZ"/>
              </w:rPr>
            </w:pPr>
            <w:r>
              <w:rPr>
                <w:rFonts w:cs="Arial"/>
                <w:szCs w:val="22"/>
                <w:lang w:val="en-NZ"/>
              </w:rPr>
              <w:t>29 / 08 / 2018</w:t>
            </w:r>
          </w:p>
        </w:tc>
      </w:tr>
    </w:tbl>
    <w:p w:rsidR="0062657E" w:rsidRPr="00EE6FAC" w:rsidRDefault="0062657E" w:rsidP="00B9498A">
      <w:pPr>
        <w:pStyle w:val="Heading4"/>
        <w:rPr>
          <w:lang w:val="en-NZ"/>
        </w:rPr>
      </w:pPr>
      <w:r w:rsidRPr="00EE6FAC">
        <w:rPr>
          <w:lang w:val="en-NZ"/>
        </w:rPr>
        <w:br w:type="page"/>
      </w:r>
      <w:r w:rsidRPr="00EE6FAC">
        <w:rPr>
          <w:bCs w:val="0"/>
          <w:color w:val="0082AB"/>
          <w:spacing w:val="20"/>
          <w:w w:val="90"/>
          <w:sz w:val="24"/>
          <w:szCs w:val="24"/>
          <w:lang w:val="en-NZ"/>
        </w:rPr>
        <w:t>Section 2:</w:t>
      </w:r>
      <w:bookmarkEnd w:id="1"/>
      <w:bookmarkEnd w:id="2"/>
      <w:bookmarkEnd w:id="3"/>
      <w:bookmarkEnd w:id="4"/>
      <w:bookmarkEnd w:id="5"/>
      <w:r w:rsidR="0005691A" w:rsidRPr="00EE6FAC">
        <w:rPr>
          <w:bCs w:val="0"/>
          <w:color w:val="0082AB"/>
          <w:spacing w:val="20"/>
          <w:w w:val="90"/>
          <w:sz w:val="24"/>
          <w:szCs w:val="24"/>
          <w:lang w:val="en-NZ"/>
        </w:rPr>
        <w:t xml:space="preserve"> </w:t>
      </w:r>
      <w:r w:rsidRPr="00EE6FAC">
        <w:rPr>
          <w:bCs w:val="0"/>
          <w:color w:val="0082AB"/>
          <w:spacing w:val="20"/>
          <w:w w:val="90"/>
          <w:sz w:val="24"/>
          <w:szCs w:val="24"/>
          <w:lang w:val="en-NZ"/>
        </w:rPr>
        <w:t>Problem definition and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EE6FAC" w:rsidTr="004A11FC">
        <w:trPr>
          <w:trHeight w:val="77"/>
        </w:trPr>
        <w:tc>
          <w:tcPr>
            <w:tcW w:w="5000" w:type="pct"/>
            <w:shd w:val="clear" w:color="auto" w:fill="99CDDD"/>
          </w:tcPr>
          <w:p w:rsidR="0062657E" w:rsidRPr="00EE6FAC" w:rsidRDefault="0062657E" w:rsidP="00114CB2">
            <w:pPr>
              <w:pStyle w:val="Heading3"/>
            </w:pPr>
            <w:r w:rsidRPr="00EE6FAC">
              <w:t>2.1</w:t>
            </w:r>
            <w:r w:rsidR="00A514AC" w:rsidRPr="00EE6FAC">
              <w:t xml:space="preserve"> </w:t>
            </w:r>
            <w:r w:rsidRPr="00EE6FAC">
              <w:t>What is the context within which action is proposed?</w:t>
            </w:r>
          </w:p>
        </w:tc>
      </w:tr>
      <w:tr w:rsidR="00D241C1" w:rsidRPr="00EE6FAC" w:rsidTr="00372449">
        <w:trPr>
          <w:trHeight w:val="1026"/>
        </w:trPr>
        <w:tc>
          <w:tcPr>
            <w:tcW w:w="5000" w:type="pct"/>
            <w:shd w:val="clear" w:color="auto" w:fill="FFFFFF"/>
          </w:tcPr>
          <w:p w:rsidR="00830380" w:rsidRPr="00EE6FAC" w:rsidRDefault="008B2F56" w:rsidP="0000534A">
            <w:pPr>
              <w:pStyle w:val="TableText"/>
              <w:rPr>
                <w:lang w:val="en-NZ"/>
              </w:rPr>
            </w:pPr>
            <w:r w:rsidRPr="00EE6FAC">
              <w:rPr>
                <w:lang w:val="en-NZ"/>
              </w:rPr>
              <w:t xml:space="preserve">As discussed above, </w:t>
            </w:r>
            <w:r w:rsidR="000F3A3A" w:rsidRPr="00EE6FAC">
              <w:rPr>
                <w:lang w:val="en-NZ"/>
              </w:rPr>
              <w:t xml:space="preserve">the primary </w:t>
            </w:r>
            <w:r w:rsidR="0000534A" w:rsidRPr="00EE6FAC">
              <w:rPr>
                <w:lang w:val="en-NZ"/>
              </w:rPr>
              <w:t xml:space="preserve">explanation for New Zealand’s low overall expenditure on R&amp;D </w:t>
            </w:r>
            <w:r w:rsidR="000F3A3A" w:rsidRPr="00EE6FAC">
              <w:rPr>
                <w:lang w:val="en-NZ"/>
              </w:rPr>
              <w:t>is low b</w:t>
            </w:r>
            <w:r w:rsidR="00830380" w:rsidRPr="00EE6FAC">
              <w:rPr>
                <w:lang w:val="en-NZ"/>
              </w:rPr>
              <w:t xml:space="preserve">usiness investment in R&amp;D </w:t>
            </w:r>
            <w:r w:rsidR="00FA695C" w:rsidRPr="00EE6FAC">
              <w:rPr>
                <w:lang w:val="en-NZ"/>
              </w:rPr>
              <w:t>in New Zealand</w:t>
            </w:r>
            <w:r w:rsidR="000F3A3A" w:rsidRPr="00EE6FAC">
              <w:rPr>
                <w:lang w:val="en-NZ"/>
              </w:rPr>
              <w:t>.</w:t>
            </w:r>
            <w:r w:rsidR="008E1CAE" w:rsidRPr="00EE6FAC">
              <w:rPr>
                <w:lang w:val="en-NZ"/>
              </w:rPr>
              <w:t xml:space="preserve"> </w:t>
            </w:r>
          </w:p>
          <w:p w:rsidR="00C44E09" w:rsidRPr="00EE6FAC" w:rsidRDefault="00C44E09" w:rsidP="0000534A">
            <w:pPr>
              <w:pStyle w:val="TableText"/>
              <w:rPr>
                <w:lang w:val="en-NZ"/>
              </w:rPr>
            </w:pPr>
            <w:r w:rsidRPr="00EE6FAC">
              <w:rPr>
                <w:lang w:val="en-NZ"/>
              </w:rPr>
              <w:t>R&amp;D activities are those conducted using a systematic approach for the purpose of creating new knowledge or new or improved goods, services or processes; and resolving scientific or technological uncertainty. This definition contemplates both traditional “white coat” scientific research and broader digital development concepts.</w:t>
            </w:r>
          </w:p>
          <w:p w:rsidR="00FB3ACD" w:rsidRPr="00EE6FAC" w:rsidRDefault="006E6CC6" w:rsidP="00D94BEA">
            <w:pPr>
              <w:pStyle w:val="TableText"/>
              <w:rPr>
                <w:lang w:val="en-NZ"/>
              </w:rPr>
            </w:pPr>
            <w:r w:rsidRPr="00EE6FAC">
              <w:rPr>
                <w:lang w:val="en-NZ"/>
              </w:rPr>
              <w:t xml:space="preserve">New Zealand’s </w:t>
            </w:r>
            <w:r w:rsidR="00FA695C" w:rsidRPr="00EE6FAC">
              <w:rPr>
                <w:lang w:val="en-NZ"/>
              </w:rPr>
              <w:t xml:space="preserve">low business investment in R&amp;D is </w:t>
            </w:r>
            <w:r w:rsidR="006B37E1" w:rsidRPr="00EE6FAC">
              <w:rPr>
                <w:lang w:val="en-NZ"/>
              </w:rPr>
              <w:t xml:space="preserve">in part </w:t>
            </w:r>
            <w:r w:rsidR="00E46A4C" w:rsidRPr="00EE6FAC">
              <w:rPr>
                <w:lang w:val="en-NZ"/>
              </w:rPr>
              <w:t xml:space="preserve">due </w:t>
            </w:r>
            <w:r w:rsidR="002C5369" w:rsidRPr="00EE6FAC">
              <w:rPr>
                <w:lang w:val="en-NZ"/>
              </w:rPr>
              <w:t xml:space="preserve">to </w:t>
            </w:r>
            <w:r w:rsidR="00FA695C" w:rsidRPr="00EE6FAC">
              <w:rPr>
                <w:lang w:val="en-NZ"/>
              </w:rPr>
              <w:t xml:space="preserve">industrial structure </w:t>
            </w:r>
            <w:r w:rsidR="00AA4BAF" w:rsidRPr="00EE6FAC">
              <w:rPr>
                <w:lang w:val="en-NZ"/>
              </w:rPr>
              <w:t>– the</w:t>
            </w:r>
            <w:r w:rsidR="00A827A0" w:rsidRPr="00EE6FAC">
              <w:rPr>
                <w:lang w:val="en-NZ"/>
              </w:rPr>
              <w:t xml:space="preserve"> low R&amp;D intensity of New Zealand firms (Mazoyer, </w:t>
            </w:r>
            <w:r w:rsidR="002A6FE1">
              <w:rPr>
                <w:lang w:val="en-NZ"/>
              </w:rPr>
              <w:t>1999</w:t>
            </w:r>
            <w:r w:rsidR="00A827A0" w:rsidRPr="00EE6FAC">
              <w:rPr>
                <w:lang w:val="en-NZ"/>
              </w:rPr>
              <w:t>)</w:t>
            </w:r>
            <w:r w:rsidR="006B37E1" w:rsidRPr="00EE6FAC">
              <w:rPr>
                <w:lang w:val="en-NZ"/>
              </w:rPr>
              <w:t xml:space="preserve">, </w:t>
            </w:r>
            <w:r w:rsidR="00FA695C" w:rsidRPr="00EE6FAC">
              <w:rPr>
                <w:lang w:val="en-NZ"/>
              </w:rPr>
              <w:t xml:space="preserve">the small size of traditionally R&amp;D-intensive industries such as pharmaceuticals and aircraft manufacturing </w:t>
            </w:r>
            <w:r w:rsidR="00A827A0" w:rsidRPr="00EE6FAC">
              <w:rPr>
                <w:lang w:val="en-NZ"/>
              </w:rPr>
              <w:t>(</w:t>
            </w:r>
            <w:r w:rsidR="00F86D0A" w:rsidRPr="00EE6FAC">
              <w:rPr>
                <w:lang w:val="en-NZ"/>
              </w:rPr>
              <w:t>Di Maio and Blakeley, 2004), and the low number of very large firms</w:t>
            </w:r>
            <w:r w:rsidRPr="00EE6FAC">
              <w:rPr>
                <w:lang w:val="en-NZ"/>
              </w:rPr>
              <w:t xml:space="preserve">, </w:t>
            </w:r>
            <w:r w:rsidR="00F86D0A" w:rsidRPr="00EE6FAC">
              <w:rPr>
                <w:lang w:val="en-NZ"/>
              </w:rPr>
              <w:t xml:space="preserve">who tend to be more research-active </w:t>
            </w:r>
            <w:r w:rsidR="006B37E1" w:rsidRPr="00EE6FAC">
              <w:rPr>
                <w:lang w:val="en-NZ"/>
              </w:rPr>
              <w:t>(</w:t>
            </w:r>
            <w:r w:rsidR="00FA695C" w:rsidRPr="00EE6FAC">
              <w:rPr>
                <w:lang w:val="en-NZ"/>
              </w:rPr>
              <w:t>OECD, 2017)</w:t>
            </w:r>
            <w:r w:rsidR="00D94BEA" w:rsidRPr="00EE6FAC">
              <w:rPr>
                <w:lang w:val="en-NZ"/>
              </w:rPr>
              <w:t xml:space="preserve">. </w:t>
            </w:r>
          </w:p>
          <w:p w:rsidR="00971109" w:rsidRPr="00EE6FAC" w:rsidRDefault="00AA4BAF" w:rsidP="00D94BEA">
            <w:pPr>
              <w:pStyle w:val="TableText"/>
              <w:rPr>
                <w:lang w:val="en-NZ"/>
              </w:rPr>
            </w:pPr>
            <w:r w:rsidRPr="00EE6FAC">
              <w:rPr>
                <w:lang w:val="en-NZ"/>
              </w:rPr>
              <w:t>T</w:t>
            </w:r>
            <w:r w:rsidR="00FB3ACD" w:rsidRPr="00EE6FAC">
              <w:rPr>
                <w:lang w:val="en-NZ"/>
              </w:rPr>
              <w:t>here is more than industrial structure at play.</w:t>
            </w:r>
            <w:r w:rsidR="00A514AC" w:rsidRPr="00EE6FAC">
              <w:rPr>
                <w:lang w:val="en-NZ"/>
              </w:rPr>
              <w:t xml:space="preserve"> </w:t>
            </w:r>
            <w:r w:rsidR="00A827A0" w:rsidRPr="00EE6FAC">
              <w:rPr>
                <w:lang w:val="en-NZ"/>
              </w:rPr>
              <w:t>Evidence suggests that the returns to innovation in New Zealand are relatively low (Wakeman &amp; Conway, 2017)</w:t>
            </w:r>
            <w:r w:rsidR="00A06309" w:rsidRPr="00EE6FAC">
              <w:rPr>
                <w:lang w:val="en-NZ"/>
              </w:rPr>
              <w:t xml:space="preserve">, and hence New Zealand firms do not have the same incentive to invest in activities that will increase their innovative output. Moreover, </w:t>
            </w:r>
            <w:r w:rsidR="00C936C2" w:rsidRPr="00EE6FAC">
              <w:rPr>
                <w:lang w:val="en-NZ"/>
              </w:rPr>
              <w:t>OECD noted that the average rate of public support for business R&amp;D is “well below the socially efficient level indicated by international empirical studies” (OECD, 2017)</w:t>
            </w:r>
            <w:r w:rsidR="000F3A3A" w:rsidRPr="00EE6FAC">
              <w:rPr>
                <w:lang w:val="en-NZ"/>
              </w:rPr>
              <w:t>.</w:t>
            </w:r>
            <w:r w:rsidR="00A06309" w:rsidRPr="00EE6FAC">
              <w:rPr>
                <w:lang w:val="en-NZ"/>
              </w:rPr>
              <w:t xml:space="preserve"> These factors indicate that there is scope for productivity gains from increasing the overall level of support</w:t>
            </w:r>
            <w:r w:rsidRPr="00EE6FAC">
              <w:rPr>
                <w:lang w:val="en-NZ"/>
              </w:rPr>
              <w:t xml:space="preserve"> for R&amp;D expenditure</w:t>
            </w:r>
            <w:r w:rsidR="00A06309" w:rsidRPr="00EE6FAC">
              <w:rPr>
                <w:lang w:val="en-NZ"/>
              </w:rPr>
              <w:t>.</w:t>
            </w:r>
          </w:p>
          <w:p w:rsidR="00971109" w:rsidRPr="00EE6FAC" w:rsidRDefault="00971109" w:rsidP="00D94BEA">
            <w:pPr>
              <w:pStyle w:val="TableText"/>
              <w:rPr>
                <w:rFonts w:cs="Arial"/>
                <w:sz w:val="23"/>
                <w:szCs w:val="23"/>
                <w:lang w:val="en-NZ"/>
              </w:rPr>
            </w:pPr>
            <w:r w:rsidRPr="00EE6FAC">
              <w:rPr>
                <w:lang w:val="en-NZ"/>
              </w:rPr>
              <w:t xml:space="preserve">The Government has announced a </w:t>
            </w:r>
            <w:r w:rsidR="006E6CC6" w:rsidRPr="00EE6FAC">
              <w:rPr>
                <w:lang w:val="en-NZ"/>
              </w:rPr>
              <w:t xml:space="preserve">goal of increasing </w:t>
            </w:r>
            <w:r w:rsidRPr="00EE6FAC">
              <w:rPr>
                <w:lang w:val="en-NZ"/>
              </w:rPr>
              <w:t>New Zealand’s R&amp;D expenditure to 2</w:t>
            </w:r>
            <w:r w:rsidR="00F00C86">
              <w:rPr>
                <w:lang w:val="en-NZ"/>
              </w:rPr>
              <w:t xml:space="preserve"> per cent</w:t>
            </w:r>
            <w:r w:rsidRPr="00EE6FAC">
              <w:rPr>
                <w:lang w:val="en-NZ"/>
              </w:rPr>
              <w:t xml:space="preserve"> of GDP </w:t>
            </w:r>
            <w:r w:rsidR="006E6CC6" w:rsidRPr="00EE6FAC">
              <w:rPr>
                <w:lang w:val="en-NZ"/>
              </w:rPr>
              <w:t>by 2027</w:t>
            </w:r>
            <w:r w:rsidRPr="00EE6FAC">
              <w:rPr>
                <w:lang w:val="en-NZ"/>
              </w:rPr>
              <w:t xml:space="preserve">, and to reach this target a significant amount of </w:t>
            </w:r>
            <w:r w:rsidR="000F3A3A" w:rsidRPr="00EE6FAC">
              <w:rPr>
                <w:lang w:val="en-NZ"/>
              </w:rPr>
              <w:t xml:space="preserve">the </w:t>
            </w:r>
            <w:r w:rsidRPr="00EE6FAC">
              <w:rPr>
                <w:lang w:val="en-NZ"/>
              </w:rPr>
              <w:t xml:space="preserve">growth </w:t>
            </w:r>
            <w:r w:rsidR="006E6CC6" w:rsidRPr="00EE6FAC">
              <w:rPr>
                <w:lang w:val="en-NZ"/>
              </w:rPr>
              <w:t xml:space="preserve">in R&amp;D expenditure </w:t>
            </w:r>
            <w:r w:rsidR="000F3A3A" w:rsidRPr="00EE6FAC">
              <w:rPr>
                <w:lang w:val="en-NZ"/>
              </w:rPr>
              <w:t xml:space="preserve">is </w:t>
            </w:r>
            <w:r w:rsidR="00AA4BAF" w:rsidRPr="00EE6FAC">
              <w:rPr>
                <w:lang w:val="en-NZ"/>
              </w:rPr>
              <w:t>expected</w:t>
            </w:r>
            <w:r w:rsidRPr="00EE6FAC">
              <w:rPr>
                <w:lang w:val="en-NZ"/>
              </w:rPr>
              <w:t xml:space="preserve"> to come from business. Across the OECD the average ratio of public to private expenditure is around 40 </w:t>
            </w:r>
            <w:r w:rsidR="00B0355C" w:rsidRPr="00EE6FAC">
              <w:rPr>
                <w:lang w:val="en-NZ"/>
              </w:rPr>
              <w:t>per cent</w:t>
            </w:r>
            <w:r w:rsidRPr="00EE6FAC">
              <w:rPr>
                <w:lang w:val="en-NZ"/>
              </w:rPr>
              <w:t xml:space="preserve"> to 60 </w:t>
            </w:r>
            <w:r w:rsidR="00B0355C" w:rsidRPr="00EE6FAC">
              <w:rPr>
                <w:lang w:val="en-NZ"/>
              </w:rPr>
              <w:t>per cent</w:t>
            </w:r>
            <w:r w:rsidRPr="00EE6FAC">
              <w:rPr>
                <w:lang w:val="en-NZ"/>
              </w:rPr>
              <w:t xml:space="preserve"> respectively. In New Zealand it is around 50:50. Lifting business investment in R&amp;D to 60 </w:t>
            </w:r>
            <w:r w:rsidR="00B0355C" w:rsidRPr="00EE6FAC">
              <w:rPr>
                <w:lang w:val="en-NZ"/>
              </w:rPr>
              <w:t>per cent</w:t>
            </w:r>
            <w:r w:rsidRPr="00EE6FAC">
              <w:rPr>
                <w:lang w:val="en-NZ"/>
              </w:rPr>
              <w:t xml:space="preserve"> of our total R&amp;D expenditure </w:t>
            </w:r>
            <w:r w:rsidR="005048C1" w:rsidRPr="00EE6FAC">
              <w:rPr>
                <w:lang w:val="en-NZ"/>
              </w:rPr>
              <w:t xml:space="preserve">while achieving its 2 </w:t>
            </w:r>
            <w:r w:rsidR="00B0355C" w:rsidRPr="00EE6FAC">
              <w:rPr>
                <w:lang w:val="en-NZ"/>
              </w:rPr>
              <w:t>per cent</w:t>
            </w:r>
            <w:r w:rsidR="005048C1" w:rsidRPr="00EE6FAC">
              <w:rPr>
                <w:lang w:val="en-NZ"/>
              </w:rPr>
              <w:t xml:space="preserve"> target </w:t>
            </w:r>
            <w:r w:rsidRPr="00EE6FAC">
              <w:rPr>
                <w:lang w:val="en-NZ"/>
              </w:rPr>
              <w:t xml:space="preserve">by 2027 will require growth in BERD of around 12 </w:t>
            </w:r>
            <w:r w:rsidR="00B0355C" w:rsidRPr="00EE6FAC">
              <w:rPr>
                <w:lang w:val="en-NZ"/>
              </w:rPr>
              <w:t>per cent</w:t>
            </w:r>
            <w:r w:rsidRPr="00EE6FAC">
              <w:rPr>
                <w:lang w:val="en-NZ"/>
              </w:rPr>
              <w:t xml:space="preserve"> per annum.</w:t>
            </w:r>
          </w:p>
          <w:p w:rsidR="00971109" w:rsidRDefault="00971109" w:rsidP="00CF0B17">
            <w:pPr>
              <w:pStyle w:val="TableText"/>
              <w:rPr>
                <w:lang w:val="en-NZ"/>
              </w:rPr>
            </w:pPr>
            <w:r w:rsidRPr="00EE6FAC">
              <w:rPr>
                <w:lang w:val="en-NZ"/>
              </w:rPr>
              <w:t xml:space="preserve">After several years of being flat or declining, </w:t>
            </w:r>
            <w:r w:rsidR="00C667D8" w:rsidRPr="00EE6FAC">
              <w:rPr>
                <w:lang w:val="en-NZ"/>
              </w:rPr>
              <w:t xml:space="preserve">New Zealand </w:t>
            </w:r>
            <w:r w:rsidRPr="00EE6FAC">
              <w:rPr>
                <w:lang w:val="en-NZ"/>
              </w:rPr>
              <w:t>BERD grew significantly in 2016</w:t>
            </w:r>
            <w:r w:rsidR="00A55BAC" w:rsidRPr="00EE6FAC">
              <w:rPr>
                <w:lang w:val="en-NZ"/>
              </w:rPr>
              <w:t>-7</w:t>
            </w:r>
            <w:r w:rsidR="00C667D8" w:rsidRPr="00EE6FAC">
              <w:rPr>
                <w:lang w:val="en-NZ"/>
              </w:rPr>
              <w:t xml:space="preserve"> (Statistics New Zealand, 201</w:t>
            </w:r>
            <w:r w:rsidR="00A55BAC" w:rsidRPr="00EE6FAC">
              <w:rPr>
                <w:lang w:val="en-NZ"/>
              </w:rPr>
              <w:t>7, 2018</w:t>
            </w:r>
            <w:r w:rsidR="00C667D8" w:rsidRPr="00EE6FAC">
              <w:rPr>
                <w:lang w:val="en-NZ"/>
              </w:rPr>
              <w:t>)</w:t>
            </w:r>
            <w:r w:rsidRPr="00EE6FAC">
              <w:rPr>
                <w:lang w:val="en-NZ"/>
              </w:rPr>
              <w:t>.</w:t>
            </w:r>
            <w:r w:rsidR="00C667D8" w:rsidRPr="00EE6FAC">
              <w:rPr>
                <w:lang w:val="en-NZ"/>
              </w:rPr>
              <w:t xml:space="preserve"> However, it </w:t>
            </w:r>
            <w:r w:rsidR="005048C1" w:rsidRPr="00EE6FAC">
              <w:rPr>
                <w:lang w:val="en-NZ"/>
              </w:rPr>
              <w:t xml:space="preserve">is </w:t>
            </w:r>
            <w:r w:rsidR="00C667D8" w:rsidRPr="00EE6FAC">
              <w:rPr>
                <w:lang w:val="en-NZ"/>
              </w:rPr>
              <w:t xml:space="preserve">still </w:t>
            </w:r>
            <w:r w:rsidR="005048C1" w:rsidRPr="00EE6FAC">
              <w:rPr>
                <w:lang w:val="en-NZ"/>
              </w:rPr>
              <w:t>relatively low</w:t>
            </w:r>
            <w:r w:rsidR="00CF0B17" w:rsidRPr="00EE6FAC">
              <w:rPr>
                <w:lang w:val="en-NZ"/>
              </w:rPr>
              <w:t xml:space="preserve"> and</w:t>
            </w:r>
            <w:r w:rsidR="005048C1" w:rsidRPr="00EE6FAC">
              <w:rPr>
                <w:lang w:val="en-NZ"/>
              </w:rPr>
              <w:t xml:space="preserve"> it </w:t>
            </w:r>
            <w:r w:rsidR="00C667D8" w:rsidRPr="00EE6FAC">
              <w:rPr>
                <w:lang w:val="en-NZ"/>
              </w:rPr>
              <w:t>remains concentrated among a small set of firms</w:t>
            </w:r>
            <w:r w:rsidR="00A90729" w:rsidRPr="00EE6FAC">
              <w:rPr>
                <w:lang w:val="en-NZ"/>
              </w:rPr>
              <w:t>. T</w:t>
            </w:r>
            <w:r w:rsidR="00C667D8" w:rsidRPr="00EE6FAC">
              <w:rPr>
                <w:lang w:val="en-NZ"/>
              </w:rPr>
              <w:t>o achieve a further boost in BERD, as well as to transform the economy to become more knowledge intensive, requires broadening the base of R&amp;D performing firms within New Zealand</w:t>
            </w:r>
            <w:r w:rsidR="001159FD" w:rsidRPr="00EE6FAC">
              <w:rPr>
                <w:lang w:val="en-NZ"/>
              </w:rPr>
              <w:t xml:space="preserve"> while continuing to increase the BERD of existing R&amp;D-performing firms</w:t>
            </w:r>
            <w:r w:rsidR="00C667D8" w:rsidRPr="00EE6FAC">
              <w:rPr>
                <w:lang w:val="en-NZ"/>
              </w:rPr>
              <w:t>.</w:t>
            </w:r>
          </w:p>
          <w:p w:rsidR="00037754" w:rsidRDefault="00037754" w:rsidP="00CF0B17">
            <w:pPr>
              <w:pStyle w:val="TableText"/>
              <w:rPr>
                <w:lang w:val="en-NZ"/>
              </w:rPr>
            </w:pPr>
            <w:r>
              <w:rPr>
                <w:lang w:val="en-NZ"/>
              </w:rPr>
              <w:t>The other element of context is that the New Zealand tax system operates within a broad</w:t>
            </w:r>
            <w:r w:rsidR="002F567D">
              <w:rPr>
                <w:lang w:val="en-NZ"/>
              </w:rPr>
              <w:t>-</w:t>
            </w:r>
            <w:r>
              <w:rPr>
                <w:lang w:val="en-NZ"/>
              </w:rPr>
              <w:t>base</w:t>
            </w:r>
            <w:r w:rsidR="002F567D">
              <w:rPr>
                <w:lang w:val="en-NZ"/>
              </w:rPr>
              <w:t>,</w:t>
            </w:r>
            <w:r>
              <w:rPr>
                <w:lang w:val="en-NZ"/>
              </w:rPr>
              <w:t xml:space="preserve"> low</w:t>
            </w:r>
            <w:r w:rsidR="002F567D">
              <w:rPr>
                <w:lang w:val="en-NZ"/>
              </w:rPr>
              <w:t>-</w:t>
            </w:r>
            <w:r>
              <w:rPr>
                <w:lang w:val="en-NZ"/>
              </w:rPr>
              <w:t>rate framework. The essence of this framework is that the tax system operates neutrally and as much in the background as possible.</w:t>
            </w:r>
          </w:p>
          <w:p w:rsidR="00037754" w:rsidRPr="00EE6FAC" w:rsidRDefault="00037754" w:rsidP="002F567D">
            <w:pPr>
              <w:pStyle w:val="TableText"/>
              <w:rPr>
                <w:lang w:val="en-NZ"/>
              </w:rPr>
            </w:pPr>
            <w:r>
              <w:rPr>
                <w:lang w:val="en-NZ"/>
              </w:rPr>
              <w:t xml:space="preserve">One implication is that a high burden of proof is required to move away from the general proposition that the tax system is not used to address externalities. Inland Revenue has expressed its reservations about using the tax system to incentivise R&amp;D. However, it also notes that in this regard a majority of OECD countries have R&amp;D tax </w:t>
            </w:r>
            <w:r w:rsidR="002F567D">
              <w:rPr>
                <w:lang w:val="en-NZ"/>
              </w:rPr>
              <w:t>incentive</w:t>
            </w:r>
            <w:r>
              <w:rPr>
                <w:lang w:val="en-NZ"/>
              </w:rPr>
              <w:t xml:space="preserve">, and that its concerns may be moderated by a well-designed tax </w:t>
            </w:r>
            <w:r w:rsidR="002F567D">
              <w:rPr>
                <w:lang w:val="en-NZ"/>
              </w:rPr>
              <w:t>incentive</w:t>
            </w:r>
            <w:r>
              <w:rPr>
                <w:lang w:val="en-NZ"/>
              </w:rPr>
              <w:t>.</w:t>
            </w:r>
          </w:p>
        </w:tc>
      </w:tr>
    </w:tbl>
    <w:p w:rsidR="0062657E" w:rsidRPr="00EE6FAC" w:rsidRDefault="0062657E" w:rsidP="00756566">
      <w:pPr>
        <w:pStyle w:val="spacer"/>
        <w:tabs>
          <w:tab w:val="left" w:pos="5790"/>
        </w:tabs>
        <w:spacing w:line="276" w:lineRule="auto"/>
        <w:rPr>
          <w:rFonts w:cs="Arial"/>
          <w:sz w:val="2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EE6FAC" w:rsidTr="00372449">
        <w:tc>
          <w:tcPr>
            <w:tcW w:w="9286" w:type="dxa"/>
            <w:shd w:val="clear" w:color="auto" w:fill="99CDDD"/>
          </w:tcPr>
          <w:p w:rsidR="0062657E" w:rsidRPr="00EE6FAC" w:rsidRDefault="0062657E" w:rsidP="00114CB2">
            <w:pPr>
              <w:pStyle w:val="Heading3"/>
              <w:rPr>
                <w:rFonts w:eastAsia="Calibri"/>
              </w:rPr>
            </w:pPr>
            <w:r w:rsidRPr="00EE6FAC">
              <w:t>2.2</w:t>
            </w:r>
            <w:r w:rsidR="00A514AC" w:rsidRPr="00EE6FAC">
              <w:t xml:space="preserve"> </w:t>
            </w:r>
            <w:r w:rsidRPr="00EE6FAC">
              <w:t>What regulatory system, or systems, are already in place?</w:t>
            </w:r>
          </w:p>
        </w:tc>
      </w:tr>
      <w:tr w:rsidR="009C4129" w:rsidRPr="00EE6FAC" w:rsidTr="00372449">
        <w:trPr>
          <w:trHeight w:val="3711"/>
        </w:trPr>
        <w:tc>
          <w:tcPr>
            <w:tcW w:w="9286" w:type="dxa"/>
            <w:shd w:val="clear" w:color="auto" w:fill="FFFFFF"/>
          </w:tcPr>
          <w:p w:rsidR="002A72AA" w:rsidRPr="00EE6FAC" w:rsidRDefault="008E0845" w:rsidP="008A64D4">
            <w:pPr>
              <w:pStyle w:val="TableText"/>
              <w:rPr>
                <w:lang w:val="en-NZ"/>
              </w:rPr>
            </w:pPr>
            <w:r w:rsidRPr="00EE6FAC">
              <w:rPr>
                <w:lang w:val="en-NZ"/>
              </w:rPr>
              <w:t xml:space="preserve">New Zealand </w:t>
            </w:r>
            <w:r w:rsidR="004F1355" w:rsidRPr="00EE6FAC">
              <w:rPr>
                <w:lang w:val="en-NZ"/>
              </w:rPr>
              <w:t xml:space="preserve">currently provides </w:t>
            </w:r>
            <w:r w:rsidR="00A55BAC" w:rsidRPr="00EE6FAC">
              <w:rPr>
                <w:lang w:val="en-NZ"/>
              </w:rPr>
              <w:t xml:space="preserve">R&amp;D </w:t>
            </w:r>
            <w:r w:rsidRPr="00EE6FAC">
              <w:rPr>
                <w:lang w:val="en-NZ"/>
              </w:rPr>
              <w:t xml:space="preserve">subsidies through </w:t>
            </w:r>
            <w:r w:rsidR="004F1355" w:rsidRPr="00EE6FAC">
              <w:rPr>
                <w:lang w:val="en-NZ"/>
              </w:rPr>
              <w:t xml:space="preserve">a range of </w:t>
            </w:r>
            <w:r w:rsidR="00E84BA5" w:rsidRPr="00EE6FAC">
              <w:rPr>
                <w:lang w:val="en-NZ"/>
              </w:rPr>
              <w:t>grants administered by Callaghan Innovation</w:t>
            </w:r>
            <w:r w:rsidR="00A55BAC" w:rsidRPr="00EE6FAC">
              <w:rPr>
                <w:lang w:val="en-NZ"/>
              </w:rPr>
              <w:t>,</w:t>
            </w:r>
            <w:r w:rsidR="004F1355" w:rsidRPr="00EE6FAC">
              <w:rPr>
                <w:lang w:val="en-NZ"/>
              </w:rPr>
              <w:t xml:space="preserve"> including</w:t>
            </w:r>
            <w:r w:rsidR="00E84BA5" w:rsidRPr="00EE6FAC">
              <w:rPr>
                <w:lang w:val="en-NZ"/>
              </w:rPr>
              <w:t>:</w:t>
            </w:r>
          </w:p>
          <w:p w:rsidR="00E84BA5" w:rsidRPr="00EE6FAC" w:rsidRDefault="00E84BA5" w:rsidP="008A64D4">
            <w:pPr>
              <w:pStyle w:val="ListBullet"/>
              <w:rPr>
                <w:rFonts w:cs="Arial"/>
                <w:szCs w:val="22"/>
                <w:lang w:val="en-NZ" w:eastAsia="en-AU"/>
              </w:rPr>
            </w:pPr>
            <w:r w:rsidRPr="00EE6FAC">
              <w:rPr>
                <w:rFonts w:cs="Arial"/>
                <w:szCs w:val="22"/>
                <w:lang w:val="en-NZ" w:eastAsia="en-AU"/>
              </w:rPr>
              <w:t>Growth Grants: A non-discretionary grant paid to all businesses that spend more than $300,000 and 1.5</w:t>
            </w:r>
            <w:r w:rsidR="00F00C86">
              <w:rPr>
                <w:rFonts w:cs="Arial"/>
                <w:szCs w:val="22"/>
                <w:lang w:val="en-NZ" w:eastAsia="en-AU"/>
              </w:rPr>
              <w:t xml:space="preserve"> per cent</w:t>
            </w:r>
            <w:r w:rsidRPr="00EE6FAC">
              <w:rPr>
                <w:rFonts w:cs="Arial"/>
                <w:szCs w:val="22"/>
                <w:lang w:val="en-NZ" w:eastAsia="en-AU"/>
              </w:rPr>
              <w:t xml:space="preserve"> of revenue on R&amp;D </w:t>
            </w:r>
            <w:r w:rsidR="004F1355" w:rsidRPr="00EE6FAC">
              <w:rPr>
                <w:rFonts w:cs="Arial"/>
                <w:szCs w:val="22"/>
                <w:lang w:val="en-NZ" w:eastAsia="en-AU"/>
              </w:rPr>
              <w:t xml:space="preserve">over the prior two </w:t>
            </w:r>
            <w:r w:rsidRPr="00EE6FAC">
              <w:rPr>
                <w:rFonts w:cs="Arial"/>
                <w:szCs w:val="22"/>
                <w:lang w:val="en-NZ" w:eastAsia="en-AU"/>
              </w:rPr>
              <w:t>year</w:t>
            </w:r>
            <w:r w:rsidR="004F1355" w:rsidRPr="00EE6FAC">
              <w:rPr>
                <w:rFonts w:cs="Arial"/>
                <w:szCs w:val="22"/>
                <w:lang w:val="en-NZ" w:eastAsia="en-AU"/>
              </w:rPr>
              <w:t>s</w:t>
            </w:r>
            <w:r w:rsidRPr="00EE6FAC">
              <w:rPr>
                <w:rFonts w:cs="Arial"/>
                <w:szCs w:val="22"/>
                <w:lang w:val="en-NZ" w:eastAsia="en-AU"/>
              </w:rPr>
              <w:t>. The grant funds 20</w:t>
            </w:r>
            <w:r w:rsidR="00F00C86">
              <w:rPr>
                <w:rFonts w:cs="Arial"/>
                <w:szCs w:val="22"/>
                <w:lang w:val="en-NZ" w:eastAsia="en-AU"/>
              </w:rPr>
              <w:t xml:space="preserve"> per cent</w:t>
            </w:r>
            <w:r w:rsidRPr="00EE6FAC">
              <w:rPr>
                <w:rFonts w:cs="Arial"/>
                <w:szCs w:val="22"/>
                <w:lang w:val="en-NZ" w:eastAsia="en-AU"/>
              </w:rPr>
              <w:t xml:space="preserve"> of a business R&amp;D programme up to a limit of $5 million per year</w:t>
            </w:r>
            <w:r w:rsidR="008E1CAE" w:rsidRPr="00EE6FAC">
              <w:rPr>
                <w:rFonts w:cs="Arial"/>
                <w:szCs w:val="22"/>
                <w:lang w:val="en-NZ" w:eastAsia="en-AU"/>
              </w:rPr>
              <w:t xml:space="preserve"> (i.e., $25M of R&amp;D spending)</w:t>
            </w:r>
            <w:r w:rsidR="00305EC5" w:rsidRPr="00EE6FAC">
              <w:rPr>
                <w:rFonts w:cs="Arial"/>
                <w:szCs w:val="22"/>
                <w:lang w:val="en-NZ" w:eastAsia="en-AU"/>
              </w:rPr>
              <w:t>, initially for a period of three years with automatic two-year extensions conditional on continuing to meet the criteria</w:t>
            </w:r>
            <w:r w:rsidRPr="00EE6FAC">
              <w:rPr>
                <w:rFonts w:cs="Arial"/>
                <w:szCs w:val="22"/>
                <w:lang w:val="en-NZ" w:eastAsia="en-AU"/>
              </w:rPr>
              <w:t>. The aim is to provide experienced R&amp;D performers with the funding certainty and stability they need to grow their R&amp;D spending in the long term.</w:t>
            </w:r>
            <w:r w:rsidR="00196B17" w:rsidRPr="00EE6FAC">
              <w:rPr>
                <w:rFonts w:cs="Arial"/>
                <w:szCs w:val="22"/>
                <w:lang w:val="en-NZ" w:eastAsia="en-AU"/>
              </w:rPr>
              <w:t xml:space="preserve"> </w:t>
            </w:r>
            <w:r w:rsidR="00EA23F2" w:rsidRPr="00EE6FAC">
              <w:rPr>
                <w:rFonts w:cs="Arial"/>
                <w:szCs w:val="22"/>
                <w:lang w:val="en-NZ" w:eastAsia="en-AU"/>
              </w:rPr>
              <w:t xml:space="preserve">There were 316 recipients in </w:t>
            </w:r>
            <w:r w:rsidR="00196B17" w:rsidRPr="00EE6FAC">
              <w:rPr>
                <w:rFonts w:cs="Arial"/>
                <w:szCs w:val="22"/>
                <w:lang w:val="en-NZ" w:eastAsia="en-AU"/>
              </w:rPr>
              <w:t xml:space="preserve">2017/18 </w:t>
            </w:r>
            <w:r w:rsidR="00EA23F2" w:rsidRPr="00EE6FAC">
              <w:rPr>
                <w:rFonts w:cs="Arial"/>
                <w:szCs w:val="22"/>
                <w:lang w:val="en-NZ" w:eastAsia="en-AU"/>
              </w:rPr>
              <w:t>at an (estimated) fiscal cost of $172.2M</w:t>
            </w:r>
            <w:r w:rsidR="00196B17" w:rsidRPr="00EE6FAC">
              <w:rPr>
                <w:rFonts w:cs="Arial"/>
                <w:szCs w:val="22"/>
                <w:lang w:val="en-NZ" w:eastAsia="en-AU"/>
              </w:rPr>
              <w:t>.</w:t>
            </w:r>
          </w:p>
          <w:p w:rsidR="003D30E7" w:rsidRPr="00EE6FAC" w:rsidRDefault="00E84BA5" w:rsidP="007C2A40">
            <w:pPr>
              <w:pStyle w:val="ListBullet"/>
              <w:rPr>
                <w:lang w:val="en-NZ" w:eastAsia="en-AU"/>
              </w:rPr>
            </w:pPr>
            <w:r w:rsidRPr="00EE6FAC">
              <w:rPr>
                <w:lang w:val="en-NZ" w:eastAsia="en-AU"/>
              </w:rPr>
              <w:t xml:space="preserve">Project Grants: </w:t>
            </w:r>
            <w:r w:rsidR="00305EC5" w:rsidRPr="00EE6FAC">
              <w:rPr>
                <w:lang w:val="en-NZ" w:eastAsia="en-AU"/>
              </w:rPr>
              <w:t>A d</w:t>
            </w:r>
            <w:r w:rsidRPr="00EE6FAC">
              <w:rPr>
                <w:lang w:val="en-NZ" w:eastAsia="en-AU"/>
              </w:rPr>
              <w:t>iscretionary grant</w:t>
            </w:r>
            <w:r w:rsidR="00E5466A" w:rsidRPr="00EE6FAC">
              <w:rPr>
                <w:lang w:val="en-NZ" w:eastAsia="en-AU"/>
              </w:rPr>
              <w:t>,</w:t>
            </w:r>
            <w:r w:rsidRPr="00EE6FAC">
              <w:rPr>
                <w:lang w:val="en-NZ" w:eastAsia="en-AU"/>
              </w:rPr>
              <w:t xml:space="preserve"> allocated </w:t>
            </w:r>
            <w:r w:rsidR="00E5466A" w:rsidRPr="00EE6FAC">
              <w:rPr>
                <w:lang w:val="en-NZ" w:eastAsia="en-AU"/>
              </w:rPr>
              <w:t>to less</w:t>
            </w:r>
            <w:r w:rsidR="005048C1" w:rsidRPr="00EE6FAC">
              <w:rPr>
                <w:lang w:val="en-NZ" w:eastAsia="en-AU"/>
              </w:rPr>
              <w:t>-</w:t>
            </w:r>
            <w:r w:rsidR="00E5466A" w:rsidRPr="00EE6FAC">
              <w:rPr>
                <w:lang w:val="en-NZ" w:eastAsia="en-AU"/>
              </w:rPr>
              <w:t>experienced R&amp;D performers</w:t>
            </w:r>
            <w:r w:rsidR="00305EC5" w:rsidRPr="00EE6FAC">
              <w:rPr>
                <w:lang w:val="en-NZ" w:eastAsia="en-AU"/>
              </w:rPr>
              <w:t xml:space="preserve"> that do not meet the conditions for a Growth Grant</w:t>
            </w:r>
            <w:r w:rsidR="005048C1" w:rsidRPr="00EE6FAC">
              <w:rPr>
                <w:lang w:val="en-NZ" w:eastAsia="en-AU"/>
              </w:rPr>
              <w:t xml:space="preserve"> for R&amp;D</w:t>
            </w:r>
            <w:r w:rsidR="00305EC5" w:rsidRPr="00EE6FAC">
              <w:rPr>
                <w:lang w:val="en-NZ" w:eastAsia="en-AU"/>
              </w:rPr>
              <w:t xml:space="preserve">. It </w:t>
            </w:r>
            <w:r w:rsidR="00E5466A" w:rsidRPr="00EE6FAC">
              <w:rPr>
                <w:lang w:val="en-NZ" w:eastAsia="en-AU"/>
              </w:rPr>
              <w:t>fund</w:t>
            </w:r>
            <w:r w:rsidR="00305EC5" w:rsidRPr="00EE6FAC">
              <w:rPr>
                <w:lang w:val="en-NZ" w:eastAsia="en-AU"/>
              </w:rPr>
              <w:t>s</w:t>
            </w:r>
            <w:r w:rsidR="00E5466A" w:rsidRPr="00EE6FAC">
              <w:rPr>
                <w:lang w:val="en-NZ" w:eastAsia="en-AU"/>
              </w:rPr>
              <w:t xml:space="preserve"> 40</w:t>
            </w:r>
            <w:r w:rsidR="00F00C86">
              <w:rPr>
                <w:lang w:val="en-NZ" w:eastAsia="en-AU"/>
              </w:rPr>
              <w:t xml:space="preserve"> per cent</w:t>
            </w:r>
            <w:r w:rsidR="00E5466A" w:rsidRPr="00EE6FAC">
              <w:rPr>
                <w:lang w:val="en-NZ" w:eastAsia="en-AU"/>
              </w:rPr>
              <w:t xml:space="preserve"> of the first $800,000 of </w:t>
            </w:r>
            <w:r w:rsidR="007C2A40" w:rsidRPr="00EE6FAC">
              <w:rPr>
                <w:lang w:val="en-NZ" w:eastAsia="en-AU"/>
              </w:rPr>
              <w:t xml:space="preserve">the </w:t>
            </w:r>
            <w:r w:rsidR="007C2A40" w:rsidRPr="00EE6FAC">
              <w:rPr>
                <w:rFonts w:cs="Arial"/>
                <w:szCs w:val="22"/>
                <w:lang w:val="en-NZ" w:eastAsia="en-AU"/>
              </w:rPr>
              <w:t xml:space="preserve">eligible costs of </w:t>
            </w:r>
            <w:r w:rsidR="00E5466A" w:rsidRPr="00EE6FAC">
              <w:rPr>
                <w:lang w:val="en-NZ" w:eastAsia="en-AU"/>
              </w:rPr>
              <w:t xml:space="preserve">a </w:t>
            </w:r>
            <w:r w:rsidR="00305EC5" w:rsidRPr="00EE6FAC">
              <w:rPr>
                <w:lang w:val="en-NZ" w:eastAsia="en-AU"/>
              </w:rPr>
              <w:t xml:space="preserve">pre-specified </w:t>
            </w:r>
            <w:r w:rsidR="00E5466A" w:rsidRPr="00EE6FAC">
              <w:rPr>
                <w:lang w:val="en-NZ" w:eastAsia="en-AU"/>
              </w:rPr>
              <w:t>project and 20</w:t>
            </w:r>
            <w:r w:rsidR="00F00C86">
              <w:rPr>
                <w:lang w:val="en-NZ" w:eastAsia="en-AU"/>
              </w:rPr>
              <w:t xml:space="preserve"> per cent</w:t>
            </w:r>
            <w:r w:rsidR="00E5466A" w:rsidRPr="00EE6FAC">
              <w:rPr>
                <w:lang w:val="en-NZ" w:eastAsia="en-AU"/>
              </w:rPr>
              <w:t xml:space="preserve"> </w:t>
            </w:r>
            <w:r w:rsidR="00305EC5" w:rsidRPr="00EE6FAC">
              <w:rPr>
                <w:lang w:val="en-NZ" w:eastAsia="en-AU"/>
              </w:rPr>
              <w:t>of the remainder</w:t>
            </w:r>
            <w:r w:rsidR="00E5466A" w:rsidRPr="00EE6FAC">
              <w:rPr>
                <w:lang w:val="en-NZ" w:eastAsia="en-AU"/>
              </w:rPr>
              <w:t>.</w:t>
            </w:r>
            <w:r w:rsidR="00196B17" w:rsidRPr="00EE6FAC">
              <w:rPr>
                <w:lang w:val="en-NZ" w:eastAsia="en-AU"/>
              </w:rPr>
              <w:t xml:space="preserve"> Th</w:t>
            </w:r>
            <w:r w:rsidR="00EA23F2" w:rsidRPr="00EE6FAC">
              <w:rPr>
                <w:lang w:val="en-NZ" w:eastAsia="en-AU"/>
              </w:rPr>
              <w:t xml:space="preserve">ere were 344 recipients in </w:t>
            </w:r>
            <w:r w:rsidR="00383D8E" w:rsidRPr="00EE6FAC">
              <w:rPr>
                <w:lang w:val="en-NZ" w:eastAsia="en-AU"/>
              </w:rPr>
              <w:t xml:space="preserve">2017/18 </w:t>
            </w:r>
            <w:r w:rsidR="00EA23F2" w:rsidRPr="00EE6FAC">
              <w:rPr>
                <w:lang w:val="en-NZ" w:eastAsia="en-AU"/>
              </w:rPr>
              <w:t>at an estimated fiscal cost of $20.3M</w:t>
            </w:r>
            <w:r w:rsidR="00196B17" w:rsidRPr="00EE6FAC">
              <w:rPr>
                <w:lang w:val="en-NZ" w:eastAsia="en-AU"/>
              </w:rPr>
              <w:t>.</w:t>
            </w:r>
          </w:p>
          <w:p w:rsidR="00DE7440" w:rsidRPr="00EE6FAC" w:rsidRDefault="00DE7440" w:rsidP="00DE7440">
            <w:pPr>
              <w:rPr>
                <w:lang w:val="en-NZ"/>
              </w:rPr>
            </w:pPr>
            <w:r w:rsidRPr="00EE6FAC">
              <w:rPr>
                <w:lang w:val="en-NZ"/>
              </w:rPr>
              <w:t xml:space="preserve">There </w:t>
            </w:r>
            <w:r w:rsidR="00243A81">
              <w:rPr>
                <w:lang w:val="en-NZ"/>
              </w:rPr>
              <w:t xml:space="preserve">has been </w:t>
            </w:r>
            <w:r w:rsidRPr="00EE6FAC">
              <w:rPr>
                <w:lang w:val="en-NZ"/>
              </w:rPr>
              <w:t xml:space="preserve">no </w:t>
            </w:r>
            <w:r w:rsidR="00243A81">
              <w:rPr>
                <w:lang w:val="en-NZ"/>
              </w:rPr>
              <w:t xml:space="preserve">formal study or evaluation </w:t>
            </w:r>
            <w:r w:rsidRPr="00EE6FAC">
              <w:rPr>
                <w:lang w:val="en-NZ"/>
              </w:rPr>
              <w:t xml:space="preserve">of the impact of Growth Grants on </w:t>
            </w:r>
            <w:r w:rsidR="008E1CAE" w:rsidRPr="00EE6FAC">
              <w:rPr>
                <w:lang w:val="en-NZ"/>
              </w:rPr>
              <w:t xml:space="preserve">R&amp;D spending, </w:t>
            </w:r>
            <w:r w:rsidRPr="00EE6FAC">
              <w:rPr>
                <w:lang w:val="en-NZ"/>
              </w:rPr>
              <w:t>innovative activity</w:t>
            </w:r>
            <w:r w:rsidR="008E1CAE" w:rsidRPr="00EE6FAC">
              <w:rPr>
                <w:lang w:val="en-NZ"/>
              </w:rPr>
              <w:t>,</w:t>
            </w:r>
            <w:r w:rsidRPr="00EE6FAC">
              <w:rPr>
                <w:lang w:val="en-NZ"/>
              </w:rPr>
              <w:t xml:space="preserve"> or economic outcomes, but there have been three studies done of the set of grants that existed prior to the formation of Callaghan Innovation on a range of outcomes (Ministry of Economic Development, 2011; Jaffe &amp; Le, 2015; Wakeman, 2017). </w:t>
            </w:r>
            <w:r w:rsidR="008E1CAE" w:rsidRPr="00EE6FAC">
              <w:rPr>
                <w:lang w:val="en-NZ"/>
              </w:rPr>
              <w:t xml:space="preserve">Wakeman (2017) </w:t>
            </w:r>
            <w:r w:rsidR="00A200A1" w:rsidRPr="00EE6FAC">
              <w:rPr>
                <w:lang w:val="en-NZ"/>
              </w:rPr>
              <w:t xml:space="preserve">did not find a significant impact of receiving a grant on R&amp;D expenditure. </w:t>
            </w:r>
            <w:r w:rsidRPr="00EE6FAC">
              <w:rPr>
                <w:lang w:val="en-NZ"/>
              </w:rPr>
              <w:t>Jaffe &amp; Le (2015) and Wakeman (2017) found that grant recipients are more likely to patent and to introduce new products</w:t>
            </w:r>
            <w:r w:rsidRPr="00EE6FAC">
              <w:rPr>
                <w:rFonts w:cs="Arial"/>
                <w:lang w:val="en-NZ"/>
              </w:rPr>
              <w:t>, but not to engage in process innovation</w:t>
            </w:r>
            <w:r w:rsidRPr="00EE6FAC">
              <w:rPr>
                <w:lang w:val="en-NZ"/>
              </w:rPr>
              <w:t>. Wakeman (2017) found that recipients experience faster employment and labour productivity growth than non-recipients, and are more likely to survive. MED (2011) and Wakeman (2017) found that receiving a grant did not have a significant impact on multi-factor productivity.</w:t>
            </w:r>
          </w:p>
          <w:p w:rsidR="007C2A40" w:rsidRPr="00EE6FAC" w:rsidRDefault="00CF0B17" w:rsidP="00372449">
            <w:pPr>
              <w:rPr>
                <w:lang w:val="en-NZ" w:eastAsia="en-AU"/>
              </w:rPr>
            </w:pPr>
            <w:r w:rsidRPr="00EE6FAC">
              <w:rPr>
                <w:lang w:val="en-NZ" w:eastAsia="en-AU"/>
              </w:rPr>
              <w:t xml:space="preserve">New Zealand </w:t>
            </w:r>
            <w:r w:rsidR="007C2A40" w:rsidRPr="00EE6FAC">
              <w:rPr>
                <w:lang w:val="en-NZ" w:eastAsia="en-AU"/>
              </w:rPr>
              <w:t xml:space="preserve">also provides </w:t>
            </w:r>
            <w:r w:rsidR="0042540A" w:rsidRPr="00EE6FAC">
              <w:rPr>
                <w:lang w:val="en-NZ" w:eastAsia="en-AU"/>
              </w:rPr>
              <w:t>support for</w:t>
            </w:r>
            <w:r w:rsidR="007C2A40" w:rsidRPr="00EE6FAC">
              <w:rPr>
                <w:lang w:val="en-NZ" w:eastAsia="en-AU"/>
              </w:rPr>
              <w:t xml:space="preserve"> businesses performing R&amp;D through the R&amp;D loss tax credit (also known as the R&amp;D tax-loss cash out). </w:t>
            </w:r>
            <w:r w:rsidR="0042540A" w:rsidRPr="00EE6FAC">
              <w:rPr>
                <w:lang w:val="en-NZ" w:eastAsia="en-AU"/>
              </w:rPr>
              <w:t>New Zealand-resident businesses are able to apply for 28</w:t>
            </w:r>
            <w:r w:rsidR="00F00C86">
              <w:rPr>
                <w:lang w:val="en-NZ" w:eastAsia="en-AU"/>
              </w:rPr>
              <w:t xml:space="preserve"> per cent</w:t>
            </w:r>
            <w:r w:rsidR="0042540A" w:rsidRPr="00EE6FAC">
              <w:rPr>
                <w:lang w:val="en-NZ" w:eastAsia="en-AU"/>
              </w:rPr>
              <w:t xml:space="preserve"> of their losses associated with eligible R&amp;D expenditure (up to a cap) to be paid out in cash, rather than carrying forward those losses until future years.</w:t>
            </w:r>
            <w:r w:rsidR="007D741C">
              <w:t xml:space="preserve"> </w:t>
            </w:r>
            <w:r w:rsidR="007D741C" w:rsidRPr="007D741C">
              <w:rPr>
                <w:lang w:val="en-NZ" w:eastAsia="en-AU"/>
              </w:rPr>
              <w:t>350 firms currently claim R&amp;D loss tax credits</w:t>
            </w:r>
            <w:r w:rsidR="007D741C">
              <w:rPr>
                <w:lang w:val="en-NZ" w:eastAsia="en-AU"/>
              </w:rPr>
              <w:t>.</w:t>
            </w:r>
          </w:p>
        </w:tc>
      </w:tr>
    </w:tbl>
    <w:p w:rsidR="0062657E" w:rsidRPr="00EE6FAC" w:rsidRDefault="00756566" w:rsidP="00756566">
      <w:pPr>
        <w:pStyle w:val="spacer"/>
        <w:tabs>
          <w:tab w:val="left" w:pos="7125"/>
        </w:tabs>
        <w:spacing w:line="276" w:lineRule="auto"/>
        <w:rPr>
          <w:rFonts w:cs="Arial"/>
          <w:sz w:val="22"/>
          <w:lang w:val="en-NZ"/>
        </w:rPr>
      </w:pPr>
      <w:r w:rsidRPr="00EE6FAC">
        <w:rPr>
          <w:rFonts w:cs="Arial"/>
          <w:sz w:val="22"/>
          <w:lang w:val="en-NZ"/>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EE6FAC" w:rsidTr="004A11FC">
        <w:trPr>
          <w:trHeight w:val="77"/>
        </w:trPr>
        <w:tc>
          <w:tcPr>
            <w:tcW w:w="5000" w:type="pct"/>
            <w:shd w:val="clear" w:color="auto" w:fill="99CDDD"/>
            <w:hideMark/>
          </w:tcPr>
          <w:p w:rsidR="0062657E" w:rsidRPr="00EE6FAC" w:rsidRDefault="0062657E" w:rsidP="00114CB2">
            <w:pPr>
              <w:pStyle w:val="Heading3"/>
            </w:pPr>
            <w:r w:rsidRPr="00EE6FAC">
              <w:t>2.3</w:t>
            </w:r>
            <w:r w:rsidR="00A514AC" w:rsidRPr="00EE6FAC">
              <w:t xml:space="preserve"> </w:t>
            </w:r>
            <w:r w:rsidRPr="00EE6FAC">
              <w:t xml:space="preserve">What is the policy problem or opportunity? </w:t>
            </w:r>
          </w:p>
        </w:tc>
      </w:tr>
      <w:tr w:rsidR="009C4129" w:rsidRPr="00EE6FAC" w:rsidTr="00114CB2">
        <w:trPr>
          <w:trHeight w:val="458"/>
        </w:trPr>
        <w:tc>
          <w:tcPr>
            <w:tcW w:w="5000" w:type="pct"/>
            <w:shd w:val="clear" w:color="auto" w:fill="FFFFFF"/>
          </w:tcPr>
          <w:p w:rsidR="002B7C98" w:rsidRPr="00EE6FAC" w:rsidRDefault="00E4764B" w:rsidP="000524DF">
            <w:pPr>
              <w:pStyle w:val="TableText"/>
              <w:rPr>
                <w:lang w:val="en-NZ"/>
              </w:rPr>
            </w:pPr>
            <w:r w:rsidRPr="00EE6FAC">
              <w:rPr>
                <w:lang w:val="en-NZ"/>
              </w:rPr>
              <w:t xml:space="preserve">As discussed above, the </w:t>
            </w:r>
            <w:r w:rsidR="003E3096" w:rsidRPr="00EE6FAC">
              <w:rPr>
                <w:lang w:val="en-NZ"/>
              </w:rPr>
              <w:t xml:space="preserve">objective </w:t>
            </w:r>
            <w:r w:rsidR="0065640E" w:rsidRPr="00EE6FAC">
              <w:rPr>
                <w:lang w:val="en-NZ"/>
              </w:rPr>
              <w:t xml:space="preserve">of the policy </w:t>
            </w:r>
            <w:r w:rsidRPr="00EE6FAC">
              <w:rPr>
                <w:lang w:val="en-NZ"/>
              </w:rPr>
              <w:t xml:space="preserve">is to increase business investment in R&amp;D, which </w:t>
            </w:r>
            <w:r w:rsidR="003E3096" w:rsidRPr="00EE6FAC">
              <w:rPr>
                <w:lang w:val="en-NZ"/>
              </w:rPr>
              <w:t xml:space="preserve">has a central role in driving </w:t>
            </w:r>
            <w:r w:rsidRPr="00EE6FAC">
              <w:rPr>
                <w:lang w:val="en-NZ"/>
              </w:rPr>
              <w:t>innovation</w:t>
            </w:r>
            <w:r w:rsidR="003E3096" w:rsidRPr="00EE6FAC">
              <w:rPr>
                <w:lang w:val="en-NZ"/>
              </w:rPr>
              <w:t xml:space="preserve"> and economic growth</w:t>
            </w:r>
            <w:r w:rsidRPr="00EE6FAC">
              <w:rPr>
                <w:lang w:val="en-NZ"/>
              </w:rPr>
              <w:t>.</w:t>
            </w:r>
            <w:r w:rsidR="00893F9C" w:rsidRPr="00EE6FAC" w:rsidDel="00893F9C">
              <w:rPr>
                <w:lang w:val="en-NZ"/>
              </w:rPr>
              <w:t xml:space="preserve"> </w:t>
            </w:r>
            <w:r w:rsidR="002B7C98" w:rsidRPr="00EE6FAC">
              <w:rPr>
                <w:lang w:val="en-NZ"/>
              </w:rPr>
              <w:t xml:space="preserve">Increasing investment in R&amp;D is especially important in the New Zealand context because of the relative lack of complexity of the economy’s production base, which arguably hinders its potential economic performance (Hidalgo et al. 2007). R&amp;D investment will help to diversify the New Zealand economy and create high-value jobs by building expertise in high-technology areas. At the same time, increasing the number of firms performing R&amp;D will also mean that more firms are in a position to benefit from existing technology developed outside the firm, including at universities and Crown Research Institutes. </w:t>
            </w:r>
          </w:p>
          <w:p w:rsidR="000524DF" w:rsidRPr="00EE6FAC" w:rsidRDefault="00F86C34" w:rsidP="000524DF">
            <w:pPr>
              <w:pStyle w:val="TableText"/>
              <w:rPr>
                <w:lang w:val="en-NZ"/>
              </w:rPr>
            </w:pPr>
            <w:r w:rsidRPr="00EE6FAC">
              <w:rPr>
                <w:lang w:val="en-NZ"/>
              </w:rPr>
              <w:t>I</w:t>
            </w:r>
            <w:r w:rsidR="000524DF" w:rsidRPr="00EE6FAC">
              <w:rPr>
                <w:lang w:val="en-NZ"/>
              </w:rPr>
              <w:t>t is especially difficult for firms to appropriate all the benefits of R&amp;D</w:t>
            </w:r>
            <w:r w:rsidRPr="00EE6FAC">
              <w:rPr>
                <w:lang w:val="en-NZ"/>
              </w:rPr>
              <w:t>,</w:t>
            </w:r>
            <w:r w:rsidRPr="00EE6FAC">
              <w:rPr>
                <w:rFonts w:cs="Arial"/>
                <w:lang w:val="en-NZ"/>
              </w:rPr>
              <w:t xml:space="preserve"> a</w:t>
            </w:r>
            <w:r w:rsidRPr="00EE6FAC">
              <w:rPr>
                <w:lang w:val="en-NZ"/>
              </w:rPr>
              <w:t>s compared to other types of investment,</w:t>
            </w:r>
            <w:r w:rsidR="000524DF" w:rsidRPr="00EE6FAC">
              <w:rPr>
                <w:lang w:val="en-NZ"/>
              </w:rPr>
              <w:t xml:space="preserve"> because it is difficult to prevent the benefits of new knowledge ‘spilling over’ to other firms. This occurs both by other firms imitating new products and processes (intellectual property rights are only partially effective in preventing this) and by the firm’s employees moving elsewhere and taking the knowledge with them. </w:t>
            </w:r>
            <w:r w:rsidR="002D20F6" w:rsidRPr="00EE6FAC">
              <w:rPr>
                <w:lang w:val="en-NZ"/>
              </w:rPr>
              <w:t xml:space="preserve">Moreover, due to the uncertainty of the returns associated with R&amp;D investment, R&amp;D-performing firms have difficulty in obtaining external finance. </w:t>
            </w:r>
            <w:r w:rsidR="000524DF" w:rsidRPr="00EE6FAC">
              <w:rPr>
                <w:lang w:val="en-NZ"/>
              </w:rPr>
              <w:t>This means that – all else being equal – firms are likely to underinvest in R&amp;D.</w:t>
            </w:r>
          </w:p>
          <w:p w:rsidR="00F86C34" w:rsidRPr="00EE6FAC" w:rsidRDefault="00F86C34" w:rsidP="00F86C34">
            <w:pPr>
              <w:pStyle w:val="TableText"/>
              <w:rPr>
                <w:lang w:val="en-NZ"/>
              </w:rPr>
            </w:pPr>
            <w:r w:rsidRPr="00EE6FAC">
              <w:rPr>
                <w:rFonts w:cs="Arial"/>
                <w:lang w:val="en-NZ"/>
              </w:rPr>
              <w:t>There are several existing incentives for innovation (beside government subsidies), including the ability to deduct R&amp;D expenditure from revenue for tax purposes and the commercial returns a firm re</w:t>
            </w:r>
            <w:r w:rsidR="00DF7CED" w:rsidRPr="00EE6FAC">
              <w:rPr>
                <w:rFonts w:cs="Arial"/>
                <w:lang w:val="en-NZ"/>
              </w:rPr>
              <w:t>ceives</w:t>
            </w:r>
            <w:r w:rsidRPr="00EE6FAC">
              <w:rPr>
                <w:rFonts w:cs="Arial"/>
                <w:lang w:val="en-NZ"/>
              </w:rPr>
              <w:t xml:space="preserve"> for innovation.</w:t>
            </w:r>
            <w:r w:rsidRPr="00EE6FAC">
              <w:rPr>
                <w:lang w:val="en-NZ"/>
              </w:rPr>
              <w:t xml:space="preserve"> </w:t>
            </w:r>
            <w:r w:rsidR="002B7C98" w:rsidRPr="00EE6FAC">
              <w:rPr>
                <w:lang w:val="en-NZ"/>
              </w:rPr>
              <w:t>However, t</w:t>
            </w:r>
            <w:r w:rsidRPr="00EE6FAC">
              <w:rPr>
                <w:lang w:val="en-NZ"/>
              </w:rPr>
              <w:t>he rationale for public subsidisation of R&amp;D is t</w:t>
            </w:r>
            <w:r w:rsidR="00DF7CED" w:rsidRPr="00EE6FAC">
              <w:rPr>
                <w:lang w:val="en-NZ"/>
              </w:rPr>
              <w:t>hat</w:t>
            </w:r>
            <w:r w:rsidRPr="00EE6FAC">
              <w:rPr>
                <w:lang w:val="en-NZ"/>
              </w:rPr>
              <w:t xml:space="preserve"> </w:t>
            </w:r>
            <w:r w:rsidR="002B7C98" w:rsidRPr="00EE6FAC">
              <w:rPr>
                <w:lang w:val="en-NZ"/>
              </w:rPr>
              <w:t xml:space="preserve">these incentives on their own are not enough to </w:t>
            </w:r>
            <w:r w:rsidRPr="00EE6FAC">
              <w:rPr>
                <w:lang w:val="en-NZ"/>
              </w:rPr>
              <w:t xml:space="preserve">ensure that the total level of investment in R&amp;D reaches the socially optimal level. </w:t>
            </w:r>
          </w:p>
          <w:p w:rsidR="00FC6EA7" w:rsidRPr="00EE6FAC" w:rsidRDefault="000524DF" w:rsidP="00FC6EA7">
            <w:pPr>
              <w:pStyle w:val="TableText"/>
              <w:rPr>
                <w:lang w:val="en-NZ"/>
              </w:rPr>
            </w:pPr>
            <w:r w:rsidRPr="00EE6FAC">
              <w:rPr>
                <w:lang w:val="en-NZ"/>
              </w:rPr>
              <w:t>All OECD countries provide some form of subsidy to businesses for R&amp;D (Appelt et al., 2016), and</w:t>
            </w:r>
            <w:r w:rsidR="00C0489E" w:rsidRPr="00EE6FAC">
              <w:rPr>
                <w:lang w:val="en-NZ"/>
              </w:rPr>
              <w:t xml:space="preserve"> </w:t>
            </w:r>
            <w:r w:rsidRPr="00EE6FAC">
              <w:rPr>
                <w:lang w:val="en-NZ"/>
              </w:rPr>
              <w:t>t</w:t>
            </w:r>
            <w:r w:rsidR="009D6310" w:rsidRPr="00EE6FAC">
              <w:rPr>
                <w:lang w:val="en-NZ"/>
              </w:rPr>
              <w:t>he OECD has also argued that the level of R&amp;D subsidy is too low in New Zealand (OECD, 2017).</w:t>
            </w:r>
            <w:r w:rsidR="00FD696C" w:rsidRPr="00EE6FAC">
              <w:rPr>
                <w:lang w:val="en-NZ"/>
              </w:rPr>
              <w:t xml:space="preserve"> </w:t>
            </w:r>
            <w:r w:rsidR="00FC6EA7" w:rsidRPr="00EE6FAC">
              <w:rPr>
                <w:lang w:val="en-NZ"/>
              </w:rPr>
              <w:t xml:space="preserve">R&amp;D </w:t>
            </w:r>
            <w:r w:rsidR="00B0355C" w:rsidRPr="00EE6FAC">
              <w:rPr>
                <w:rFonts w:cs="Arial"/>
                <w:lang w:val="en-NZ"/>
              </w:rPr>
              <w:t>Grants and tax incentives are the two main mechanisms used internationally to incentivise business R&amp;D</w:t>
            </w:r>
            <w:r w:rsidR="00FC6EA7" w:rsidRPr="00EE6FAC">
              <w:rPr>
                <w:lang w:val="en-NZ"/>
              </w:rPr>
              <w:t xml:space="preserve">. In general, </w:t>
            </w:r>
            <w:r w:rsidR="003A3DE2" w:rsidRPr="00EE6FAC">
              <w:rPr>
                <w:lang w:val="en-NZ"/>
              </w:rPr>
              <w:t xml:space="preserve">the advantage of </w:t>
            </w:r>
            <w:r w:rsidR="00FC6EA7" w:rsidRPr="00EE6FAC">
              <w:rPr>
                <w:lang w:val="en-NZ"/>
              </w:rPr>
              <w:t xml:space="preserve">grants </w:t>
            </w:r>
            <w:r w:rsidR="003A3DE2" w:rsidRPr="00EE6FAC">
              <w:rPr>
                <w:lang w:val="en-NZ"/>
              </w:rPr>
              <w:t xml:space="preserve">is that they can be </w:t>
            </w:r>
            <w:r w:rsidR="00FC6EA7" w:rsidRPr="00EE6FAC">
              <w:rPr>
                <w:lang w:val="en-NZ"/>
              </w:rPr>
              <w:t>directed to</w:t>
            </w:r>
            <w:r w:rsidR="003A3DE2" w:rsidRPr="00EE6FAC">
              <w:rPr>
                <w:lang w:val="en-NZ"/>
              </w:rPr>
              <w:t>ward</w:t>
            </w:r>
            <w:r w:rsidR="00FC6EA7" w:rsidRPr="00EE6FAC">
              <w:rPr>
                <w:lang w:val="en-NZ"/>
              </w:rPr>
              <w:t xml:space="preserve"> specific projects </w:t>
            </w:r>
            <w:r w:rsidR="003A3DE2" w:rsidRPr="00EE6FAC">
              <w:rPr>
                <w:lang w:val="en-NZ"/>
              </w:rPr>
              <w:t>that the Government deems are likely to offer high social returns</w:t>
            </w:r>
            <w:r w:rsidR="00A047F6" w:rsidRPr="00EE6FAC">
              <w:rPr>
                <w:lang w:val="en-NZ"/>
              </w:rPr>
              <w:t xml:space="preserve"> (eg,</w:t>
            </w:r>
            <w:r w:rsidR="003A3DE2" w:rsidRPr="00EE6FAC">
              <w:rPr>
                <w:lang w:val="en-NZ"/>
              </w:rPr>
              <w:t xml:space="preserve"> </w:t>
            </w:r>
            <w:r w:rsidR="00B7727D" w:rsidRPr="00EE6FAC">
              <w:rPr>
                <w:lang w:val="en-NZ"/>
              </w:rPr>
              <w:t>Project G</w:t>
            </w:r>
            <w:r w:rsidR="00FC6EA7" w:rsidRPr="00EE6FAC">
              <w:rPr>
                <w:lang w:val="en-NZ"/>
              </w:rPr>
              <w:t>rants</w:t>
            </w:r>
            <w:r w:rsidR="00B7727D" w:rsidRPr="00EE6FAC">
              <w:rPr>
                <w:lang w:val="en-NZ"/>
              </w:rPr>
              <w:t xml:space="preserve"> </w:t>
            </w:r>
            <w:r w:rsidR="00FC6EA7" w:rsidRPr="00EE6FAC">
              <w:rPr>
                <w:lang w:val="en-NZ"/>
              </w:rPr>
              <w:t xml:space="preserve">are targeted at a </w:t>
            </w:r>
            <w:r w:rsidR="003A3DE2" w:rsidRPr="00EE6FAC">
              <w:rPr>
                <w:lang w:val="en-NZ"/>
              </w:rPr>
              <w:t>new</w:t>
            </w:r>
            <w:r w:rsidR="00FC6EA7" w:rsidRPr="00EE6FAC">
              <w:rPr>
                <w:lang w:val="en-NZ"/>
              </w:rPr>
              <w:t xml:space="preserve"> R&amp;D expenditure</w:t>
            </w:r>
            <w:r w:rsidR="00A047F6" w:rsidRPr="00EE6FAC">
              <w:rPr>
                <w:lang w:val="en-NZ"/>
              </w:rPr>
              <w:t>). However</w:t>
            </w:r>
            <w:r w:rsidR="00B7727D" w:rsidRPr="00EE6FAC">
              <w:rPr>
                <w:lang w:val="en-NZ"/>
              </w:rPr>
              <w:t xml:space="preserve">, </w:t>
            </w:r>
            <w:r w:rsidR="00A047F6" w:rsidRPr="00EE6FAC">
              <w:rPr>
                <w:lang w:val="en-NZ"/>
              </w:rPr>
              <w:t xml:space="preserve">they </w:t>
            </w:r>
            <w:r w:rsidR="00DB1682" w:rsidRPr="00EE6FAC">
              <w:rPr>
                <w:lang w:val="en-NZ"/>
              </w:rPr>
              <w:t xml:space="preserve">depend on the discretion of </w:t>
            </w:r>
            <w:r w:rsidR="00A047F6" w:rsidRPr="00EE6FAC">
              <w:rPr>
                <w:lang w:val="en-NZ"/>
              </w:rPr>
              <w:t xml:space="preserve">government officials – in the case of Project Grants, Callaghan Innovation – </w:t>
            </w:r>
            <w:r w:rsidR="00DB1682" w:rsidRPr="00EE6FAC">
              <w:rPr>
                <w:lang w:val="en-NZ"/>
              </w:rPr>
              <w:t xml:space="preserve">and </w:t>
            </w:r>
            <w:r w:rsidR="00B7727D" w:rsidRPr="00EE6FAC">
              <w:rPr>
                <w:lang w:val="en-NZ"/>
              </w:rPr>
              <w:t xml:space="preserve">as a result </w:t>
            </w:r>
            <w:r w:rsidR="00DB1682" w:rsidRPr="00EE6FAC">
              <w:rPr>
                <w:lang w:val="en-NZ"/>
              </w:rPr>
              <w:t>can entail</w:t>
            </w:r>
            <w:r w:rsidR="003A3DE2" w:rsidRPr="00EE6FAC">
              <w:rPr>
                <w:lang w:val="en-NZ"/>
              </w:rPr>
              <w:t xml:space="preserve"> </w:t>
            </w:r>
            <w:r w:rsidR="00FC6EA7" w:rsidRPr="00EE6FAC">
              <w:rPr>
                <w:lang w:val="en-NZ"/>
              </w:rPr>
              <w:t>significant compliance costs (eg, expenditure of time and resources on the application process) for firms.</w:t>
            </w:r>
            <w:r w:rsidR="00DB1682" w:rsidRPr="00EE6FAC">
              <w:rPr>
                <w:lang w:val="en-NZ"/>
              </w:rPr>
              <w:t xml:space="preserve"> By contrast, tax incentives leave the choice of how to conduct and pursue R&amp;D in the hands of the private sector</w:t>
            </w:r>
            <w:r w:rsidR="00DB63A6" w:rsidRPr="00EE6FAC">
              <w:rPr>
                <w:lang w:val="en-NZ"/>
              </w:rPr>
              <w:t xml:space="preserve"> and hence are likely to lead to R&amp;D that is more market orientated</w:t>
            </w:r>
            <w:r w:rsidR="00DB1682" w:rsidRPr="00EE6FAC">
              <w:rPr>
                <w:lang w:val="en-NZ"/>
              </w:rPr>
              <w:t>.</w:t>
            </w:r>
          </w:p>
          <w:p w:rsidR="00893F9C" w:rsidRPr="00EE6FAC" w:rsidRDefault="00C0489E" w:rsidP="00B7727D">
            <w:pPr>
              <w:pStyle w:val="TableText"/>
              <w:rPr>
                <w:rFonts w:cs="Arial"/>
                <w:lang w:val="en-NZ"/>
              </w:rPr>
            </w:pPr>
            <w:r w:rsidRPr="00EE6FAC">
              <w:rPr>
                <w:lang w:val="en-NZ"/>
              </w:rPr>
              <w:t xml:space="preserve">Growth Grants </w:t>
            </w:r>
            <w:r w:rsidR="00DB1682" w:rsidRPr="00EE6FAC">
              <w:rPr>
                <w:lang w:val="en-NZ"/>
              </w:rPr>
              <w:t xml:space="preserve">are designed to act in similar way to a tax incentive in that they are non-discretionary. However, while they </w:t>
            </w:r>
            <w:r w:rsidRPr="00EE6FAC">
              <w:rPr>
                <w:lang w:val="en-NZ"/>
              </w:rPr>
              <w:t xml:space="preserve">provide substantial subsidies to a specific set of larger firms, they are unavailable to the large majority of R&amp;D-performing firms. </w:t>
            </w:r>
            <w:r w:rsidR="006679F2" w:rsidRPr="00EE6FAC">
              <w:rPr>
                <w:lang w:val="en-NZ"/>
              </w:rPr>
              <w:t xml:space="preserve">As a result </w:t>
            </w:r>
            <w:r w:rsidR="00383D8E" w:rsidRPr="00EE6FAC">
              <w:rPr>
                <w:lang w:val="en-NZ"/>
              </w:rPr>
              <w:t>around</w:t>
            </w:r>
            <w:r w:rsidR="006679F2" w:rsidRPr="00EE6FAC">
              <w:rPr>
                <w:lang w:val="en-NZ"/>
              </w:rPr>
              <w:t xml:space="preserve"> </w:t>
            </w:r>
            <w:r w:rsidR="00893F9C" w:rsidRPr="00EE6FAC">
              <w:rPr>
                <w:lang w:val="en-NZ"/>
              </w:rPr>
              <w:t xml:space="preserve">300 </w:t>
            </w:r>
            <w:r w:rsidR="006679F2" w:rsidRPr="00EE6FAC">
              <w:rPr>
                <w:lang w:val="en-NZ"/>
              </w:rPr>
              <w:t xml:space="preserve">firms received a Growth Grant </w:t>
            </w:r>
            <w:r w:rsidR="00B306F2" w:rsidRPr="00EE6FAC">
              <w:rPr>
                <w:lang w:val="en-NZ"/>
              </w:rPr>
              <w:t xml:space="preserve">in the 2017 </w:t>
            </w:r>
            <w:r w:rsidR="00383D8E" w:rsidRPr="00EE6FAC">
              <w:rPr>
                <w:lang w:val="en-NZ"/>
              </w:rPr>
              <w:t xml:space="preserve">year, compared with </w:t>
            </w:r>
            <w:r w:rsidR="00DB63A6" w:rsidRPr="00EE6FAC">
              <w:rPr>
                <w:lang w:val="en-NZ"/>
              </w:rPr>
              <w:t>approximately</w:t>
            </w:r>
            <w:r w:rsidR="00B306F2" w:rsidRPr="00EE6FAC">
              <w:rPr>
                <w:lang w:val="en-NZ"/>
              </w:rPr>
              <w:t xml:space="preserve"> 4500 firms that reported undertaking R&amp;D </w:t>
            </w:r>
            <w:r w:rsidR="00EA23F2" w:rsidRPr="00EE6FAC">
              <w:rPr>
                <w:lang w:val="en-NZ"/>
              </w:rPr>
              <w:t>in th</w:t>
            </w:r>
            <w:r w:rsidR="00DB63A6" w:rsidRPr="00EE6FAC">
              <w:rPr>
                <w:lang w:val="en-NZ"/>
              </w:rPr>
              <w:t>at</w:t>
            </w:r>
            <w:r w:rsidR="00D94BEA" w:rsidRPr="00EE6FAC">
              <w:rPr>
                <w:lang w:val="en-NZ"/>
              </w:rPr>
              <w:t xml:space="preserve"> </w:t>
            </w:r>
            <w:r w:rsidR="008A64D4" w:rsidRPr="00EE6FAC">
              <w:rPr>
                <w:lang w:val="en-NZ"/>
              </w:rPr>
              <w:t>year</w:t>
            </w:r>
            <w:r w:rsidR="004F6C8C" w:rsidRPr="00EE6FAC">
              <w:rPr>
                <w:lang w:val="en-NZ"/>
              </w:rPr>
              <w:t xml:space="preserve"> </w:t>
            </w:r>
            <w:r w:rsidR="00B306F2" w:rsidRPr="00EE6FAC">
              <w:rPr>
                <w:lang w:val="en-NZ"/>
              </w:rPr>
              <w:t>(Statistics New Zealand, 2018).</w:t>
            </w:r>
            <w:r w:rsidR="00893F9C" w:rsidRPr="00EE6FAC">
              <w:rPr>
                <w:lang w:val="en-NZ"/>
              </w:rPr>
              <w:t xml:space="preserve"> </w:t>
            </w:r>
            <w:r w:rsidR="00DB63A6" w:rsidRPr="00EE6FAC">
              <w:rPr>
                <w:lang w:val="en-NZ"/>
              </w:rPr>
              <w:t>The ubiquity of the tax system means that the R&amp;D Tax Incentive is likely to have a broader reach.</w:t>
            </w:r>
          </w:p>
          <w:p w:rsidR="00B7727D" w:rsidRPr="00EE6FAC" w:rsidRDefault="0065640E" w:rsidP="00FE32AF">
            <w:pPr>
              <w:pStyle w:val="TableText"/>
              <w:rPr>
                <w:rFonts w:cs="Arial"/>
                <w:lang w:val="en-NZ"/>
              </w:rPr>
            </w:pPr>
            <w:r w:rsidRPr="00EE6FAC">
              <w:rPr>
                <w:rFonts w:cs="Arial"/>
                <w:lang w:val="en-NZ"/>
              </w:rPr>
              <w:t xml:space="preserve">The policy opportunity is to provide government support </w:t>
            </w:r>
            <w:r w:rsidR="000524DF" w:rsidRPr="00EE6FAC">
              <w:rPr>
                <w:rFonts w:cs="Arial"/>
                <w:lang w:val="en-NZ"/>
              </w:rPr>
              <w:t xml:space="preserve">in a way </w:t>
            </w:r>
            <w:r w:rsidRPr="00EE6FAC">
              <w:rPr>
                <w:rFonts w:cs="Arial"/>
                <w:lang w:val="en-NZ"/>
              </w:rPr>
              <w:t xml:space="preserve">that complements the existing incentives </w:t>
            </w:r>
            <w:r w:rsidR="00FE32AF">
              <w:rPr>
                <w:rFonts w:cs="Arial"/>
                <w:lang w:val="en-NZ"/>
              </w:rPr>
              <w:t>that encourage</w:t>
            </w:r>
            <w:r w:rsidRPr="00EE6FAC">
              <w:rPr>
                <w:rFonts w:cs="Arial"/>
                <w:lang w:val="en-NZ"/>
              </w:rPr>
              <w:t xml:space="preserve"> </w:t>
            </w:r>
            <w:r w:rsidR="000524DF" w:rsidRPr="00EE6FAC">
              <w:rPr>
                <w:rFonts w:cs="Arial"/>
                <w:lang w:val="en-NZ"/>
              </w:rPr>
              <w:t xml:space="preserve">firms to spend up to the optimal amount on R&amp;D </w:t>
            </w:r>
            <w:r w:rsidR="00A047F6" w:rsidRPr="00EE6FAC">
              <w:rPr>
                <w:rFonts w:cs="Arial"/>
                <w:lang w:val="en-NZ"/>
              </w:rPr>
              <w:t>while</w:t>
            </w:r>
            <w:r w:rsidR="000524DF" w:rsidRPr="00EE6FAC">
              <w:rPr>
                <w:rFonts w:cs="Arial"/>
                <w:lang w:val="en-NZ"/>
              </w:rPr>
              <w:t xml:space="preserve"> creating the minim</w:t>
            </w:r>
            <w:r w:rsidR="002C4B05" w:rsidRPr="00EE6FAC">
              <w:rPr>
                <w:rFonts w:cs="Arial"/>
                <w:lang w:val="en-NZ"/>
              </w:rPr>
              <w:t>um</w:t>
            </w:r>
            <w:r w:rsidR="000524DF" w:rsidRPr="00EE6FAC">
              <w:rPr>
                <w:rFonts w:cs="Arial"/>
                <w:lang w:val="en-NZ"/>
              </w:rPr>
              <w:t xml:space="preserve"> distortion to their business activities.</w:t>
            </w:r>
          </w:p>
        </w:tc>
      </w:tr>
    </w:tbl>
    <w:p w:rsidR="0062657E" w:rsidRPr="00EE6FAC" w:rsidRDefault="0062657E" w:rsidP="007B090A">
      <w:pPr>
        <w:pStyle w:val="spacer"/>
        <w:spacing w:line="276" w:lineRule="auto"/>
        <w:rPr>
          <w:rFonts w:cs="Arial"/>
          <w:sz w:val="22"/>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EE6FAC" w:rsidTr="004A11FC">
        <w:trPr>
          <w:trHeight w:val="77"/>
        </w:trPr>
        <w:tc>
          <w:tcPr>
            <w:tcW w:w="5000" w:type="pct"/>
            <w:shd w:val="clear" w:color="auto" w:fill="99CDDD"/>
          </w:tcPr>
          <w:p w:rsidR="0062657E" w:rsidRPr="00EE6FAC" w:rsidRDefault="0062657E" w:rsidP="00114CB2">
            <w:pPr>
              <w:pStyle w:val="Heading3"/>
            </w:pPr>
            <w:r w:rsidRPr="00EE6FAC">
              <w:t>2.4</w:t>
            </w:r>
            <w:r w:rsidR="00A514AC" w:rsidRPr="00EE6FAC">
              <w:t xml:space="preserve"> </w:t>
            </w:r>
            <w:r w:rsidRPr="00EE6FAC">
              <w:t xml:space="preserve">Are there any constraints on the scope for decision making? </w:t>
            </w:r>
          </w:p>
        </w:tc>
      </w:tr>
      <w:tr w:rsidR="009C4129" w:rsidRPr="00EE6FAC" w:rsidTr="00E23B3A">
        <w:trPr>
          <w:trHeight w:val="459"/>
        </w:trPr>
        <w:tc>
          <w:tcPr>
            <w:tcW w:w="5000" w:type="pct"/>
            <w:shd w:val="clear" w:color="auto" w:fill="FFFFFF"/>
          </w:tcPr>
          <w:p w:rsidR="00B0355C" w:rsidRPr="00EE6FAC" w:rsidRDefault="00383D8E" w:rsidP="00D94BEA">
            <w:pPr>
              <w:pStyle w:val="TableText"/>
              <w:rPr>
                <w:lang w:val="en-NZ"/>
              </w:rPr>
            </w:pPr>
            <w:r w:rsidRPr="00EE6FAC">
              <w:rPr>
                <w:lang w:val="en-NZ"/>
              </w:rPr>
              <w:t xml:space="preserve">The coalition parties both campaigned on the basis of introducing </w:t>
            </w:r>
            <w:r w:rsidR="002A0CA4">
              <w:rPr>
                <w:lang w:val="en-NZ"/>
              </w:rPr>
              <w:t>a R&amp;D</w:t>
            </w:r>
            <w:r w:rsidR="00810148" w:rsidRPr="00EE6FAC">
              <w:rPr>
                <w:lang w:val="en-NZ"/>
              </w:rPr>
              <w:t xml:space="preserve"> Tax Incentive</w:t>
            </w:r>
            <w:r w:rsidRPr="00EE6FAC">
              <w:rPr>
                <w:lang w:val="en-NZ"/>
              </w:rPr>
              <w:t xml:space="preserve"> to lift NZ’s R&amp;D expenditure by encouraging businesses to research and innovate. </w:t>
            </w:r>
            <w:r w:rsidR="00847813" w:rsidRPr="00EE6FAC">
              <w:rPr>
                <w:lang w:val="en-NZ"/>
              </w:rPr>
              <w:t>Moreove</w:t>
            </w:r>
            <w:r w:rsidR="00B0355C" w:rsidRPr="00EE6FAC">
              <w:rPr>
                <w:lang w:val="en-NZ"/>
              </w:rPr>
              <w:t>r the Coalition Agreement contain</w:t>
            </w:r>
            <w:r w:rsidR="00847813" w:rsidRPr="00EE6FAC">
              <w:rPr>
                <w:lang w:val="en-NZ"/>
              </w:rPr>
              <w:t>s</w:t>
            </w:r>
            <w:r w:rsidR="00B0355C" w:rsidRPr="00EE6FAC">
              <w:rPr>
                <w:lang w:val="en-NZ"/>
              </w:rPr>
              <w:t xml:space="preserve"> a </w:t>
            </w:r>
            <w:r w:rsidR="00847813" w:rsidRPr="00EE6FAC">
              <w:rPr>
                <w:lang w:val="en-NZ"/>
              </w:rPr>
              <w:t xml:space="preserve">stated objective </w:t>
            </w:r>
            <w:r w:rsidR="00B0355C" w:rsidRPr="00EE6FAC">
              <w:rPr>
                <w:lang w:val="en-NZ"/>
              </w:rPr>
              <w:t xml:space="preserve">to increase R&amp;D spending </w:t>
            </w:r>
            <w:r w:rsidR="00A46E68" w:rsidRPr="00EE6FAC">
              <w:rPr>
                <w:lang w:val="en-NZ"/>
              </w:rPr>
              <w:t xml:space="preserve">to </w:t>
            </w:r>
            <w:r w:rsidR="00B0355C" w:rsidRPr="00EE6FAC">
              <w:rPr>
                <w:lang w:val="en-NZ"/>
              </w:rPr>
              <w:t>2 per cent of GDP by 2027.</w:t>
            </w:r>
          </w:p>
          <w:p w:rsidR="00383D8E" w:rsidRPr="00EE6FAC" w:rsidRDefault="00383D8E" w:rsidP="00D94BEA">
            <w:pPr>
              <w:pStyle w:val="TableText"/>
              <w:rPr>
                <w:lang w:val="en-NZ"/>
              </w:rPr>
            </w:pPr>
            <w:r w:rsidRPr="00EE6FAC">
              <w:rPr>
                <w:lang w:val="en-NZ"/>
              </w:rPr>
              <w:t>Subsequent analysis and stakeholder consultation has confirmed an appetite for broader government support for business R&amp;D and that New Zealand’s R&amp;D expenditure is below the OECD average.</w:t>
            </w:r>
            <w:r w:rsidR="00847813" w:rsidRPr="00EE6FAC">
              <w:rPr>
                <w:lang w:val="en-NZ"/>
              </w:rPr>
              <w:t xml:space="preserve"> The Minister of Research, Science and Innovation is also now consulting on a proposed Research, Science &amp; Innovation Strategy that sets out how the Government proposes to reach its goal of lifting New Zealand’s spending on R&amp;D to two per cent of GDP. The R&amp;D Tax Incentive is a central component of that Strategy.</w:t>
            </w:r>
          </w:p>
          <w:p w:rsidR="0062657E" w:rsidRPr="00EE6FAC" w:rsidRDefault="00142F8A" w:rsidP="00B54E8D">
            <w:pPr>
              <w:pStyle w:val="TableText"/>
              <w:rPr>
                <w:rFonts w:cs="Arial"/>
                <w:lang w:val="en-NZ"/>
              </w:rPr>
            </w:pPr>
            <w:r w:rsidRPr="00EE6FAC">
              <w:rPr>
                <w:lang w:val="en-NZ"/>
              </w:rPr>
              <w:t xml:space="preserve">We have assumed that some form of </w:t>
            </w:r>
            <w:r w:rsidR="00B0355C" w:rsidRPr="00EE6FAC">
              <w:rPr>
                <w:lang w:val="en-NZ"/>
              </w:rPr>
              <w:t xml:space="preserve">non-discretionary </w:t>
            </w:r>
            <w:r w:rsidRPr="00EE6FAC">
              <w:rPr>
                <w:lang w:val="en-NZ"/>
              </w:rPr>
              <w:t xml:space="preserve">public subsidy </w:t>
            </w:r>
            <w:r w:rsidR="00B0355C" w:rsidRPr="00EE6FAC">
              <w:rPr>
                <w:lang w:val="en-NZ"/>
              </w:rPr>
              <w:t xml:space="preserve">for R&amp;D </w:t>
            </w:r>
            <w:r w:rsidRPr="00EE6FAC">
              <w:rPr>
                <w:lang w:val="en-NZ"/>
              </w:rPr>
              <w:t>would continue – i.e.</w:t>
            </w:r>
            <w:r w:rsidR="00B0355C" w:rsidRPr="00EE6FAC">
              <w:rPr>
                <w:lang w:val="en-NZ"/>
              </w:rPr>
              <w:t>,</w:t>
            </w:r>
            <w:r w:rsidRPr="00EE6FAC">
              <w:rPr>
                <w:lang w:val="en-NZ"/>
              </w:rPr>
              <w:t xml:space="preserve"> either a </w:t>
            </w:r>
            <w:r w:rsidR="00B0355C" w:rsidRPr="00EE6FAC">
              <w:rPr>
                <w:lang w:val="en-NZ"/>
              </w:rPr>
              <w:t>Growth G</w:t>
            </w:r>
            <w:r w:rsidRPr="00EE6FAC">
              <w:rPr>
                <w:lang w:val="en-NZ"/>
              </w:rPr>
              <w:t xml:space="preserve">rant or a </w:t>
            </w:r>
            <w:r w:rsidR="00B0355C" w:rsidRPr="00EE6FAC">
              <w:rPr>
                <w:lang w:val="en-NZ"/>
              </w:rPr>
              <w:t>R&amp;D T</w:t>
            </w:r>
            <w:r w:rsidRPr="00EE6FAC">
              <w:rPr>
                <w:lang w:val="en-NZ"/>
              </w:rPr>
              <w:t xml:space="preserve">ax </w:t>
            </w:r>
            <w:r w:rsidR="00B0355C" w:rsidRPr="00EE6FAC">
              <w:rPr>
                <w:lang w:val="en-NZ"/>
              </w:rPr>
              <w:t>I</w:t>
            </w:r>
            <w:r w:rsidRPr="00EE6FAC">
              <w:rPr>
                <w:lang w:val="en-NZ"/>
              </w:rPr>
              <w:t xml:space="preserve">ncentive. </w:t>
            </w:r>
            <w:r w:rsidR="00F05A1E" w:rsidRPr="00EE6FAC">
              <w:rPr>
                <w:lang w:val="en-NZ"/>
              </w:rPr>
              <w:t xml:space="preserve">Moreover, we have assumed </w:t>
            </w:r>
            <w:r w:rsidRPr="00EE6FAC">
              <w:rPr>
                <w:lang w:val="en-NZ"/>
              </w:rPr>
              <w:t xml:space="preserve">that the </w:t>
            </w:r>
            <w:r w:rsidR="00924056" w:rsidRPr="00EE6FAC">
              <w:rPr>
                <w:lang w:val="en-NZ"/>
              </w:rPr>
              <w:t xml:space="preserve">Callaghan Innovation </w:t>
            </w:r>
            <w:r w:rsidRPr="00EE6FAC">
              <w:rPr>
                <w:lang w:val="en-NZ"/>
              </w:rPr>
              <w:t xml:space="preserve">Project Grants </w:t>
            </w:r>
            <w:r w:rsidR="00DF7CED" w:rsidRPr="00EE6FAC">
              <w:rPr>
                <w:lang w:val="en-NZ"/>
              </w:rPr>
              <w:t>and the R&amp;D tax</w:t>
            </w:r>
            <w:r w:rsidR="009019AB" w:rsidRPr="00EE6FAC">
              <w:rPr>
                <w:lang w:val="en-NZ"/>
              </w:rPr>
              <w:t>-</w:t>
            </w:r>
            <w:r w:rsidR="00DF7CED" w:rsidRPr="00EE6FAC">
              <w:rPr>
                <w:lang w:val="en-NZ"/>
              </w:rPr>
              <w:t xml:space="preserve">loss cash out </w:t>
            </w:r>
            <w:r w:rsidRPr="00EE6FAC">
              <w:rPr>
                <w:lang w:val="en-NZ"/>
              </w:rPr>
              <w:t>would continue as complementary scheme</w:t>
            </w:r>
            <w:r w:rsidR="00DF7CED" w:rsidRPr="00EE6FAC">
              <w:rPr>
                <w:lang w:val="en-NZ"/>
              </w:rPr>
              <w:t>s</w:t>
            </w:r>
            <w:r w:rsidRPr="00EE6FAC">
              <w:rPr>
                <w:lang w:val="en-NZ"/>
              </w:rPr>
              <w:t>. The</w:t>
            </w:r>
            <w:r w:rsidR="00F05A1E" w:rsidRPr="00EE6FAC">
              <w:rPr>
                <w:lang w:val="en-NZ"/>
              </w:rPr>
              <w:t>re is</w:t>
            </w:r>
            <w:r w:rsidRPr="00EE6FAC">
              <w:rPr>
                <w:lang w:val="en-NZ"/>
              </w:rPr>
              <w:t xml:space="preserve"> scope to revisit the design of these in future, </w:t>
            </w:r>
            <w:r w:rsidR="00DF7CED" w:rsidRPr="00EE6FAC">
              <w:rPr>
                <w:lang w:val="en-NZ"/>
              </w:rPr>
              <w:t xml:space="preserve">particularly to align the </w:t>
            </w:r>
            <w:r w:rsidR="00B54E8D" w:rsidRPr="00EE6FAC">
              <w:rPr>
                <w:lang w:val="en-NZ"/>
              </w:rPr>
              <w:t xml:space="preserve">R&amp;D </w:t>
            </w:r>
            <w:r w:rsidR="00DF7CED" w:rsidRPr="00EE6FAC">
              <w:rPr>
                <w:lang w:val="en-NZ"/>
              </w:rPr>
              <w:t xml:space="preserve">Tax Incentive and the </w:t>
            </w:r>
            <w:r w:rsidR="00B54E8D" w:rsidRPr="00EE6FAC">
              <w:rPr>
                <w:lang w:val="en-NZ"/>
              </w:rPr>
              <w:t xml:space="preserve">R&amp;D </w:t>
            </w:r>
            <w:r w:rsidR="00DF7CED" w:rsidRPr="00EE6FAC">
              <w:rPr>
                <w:lang w:val="en-NZ"/>
              </w:rPr>
              <w:t>tax</w:t>
            </w:r>
            <w:r w:rsidR="00B54E8D">
              <w:rPr>
                <w:lang w:val="en-NZ"/>
              </w:rPr>
              <w:t>-</w:t>
            </w:r>
            <w:r w:rsidR="00DF7CED" w:rsidRPr="00EE6FAC">
              <w:rPr>
                <w:lang w:val="en-NZ"/>
              </w:rPr>
              <w:t>loss cash out</w:t>
            </w:r>
            <w:r w:rsidR="00B54E8D">
              <w:rPr>
                <w:lang w:val="en-NZ"/>
              </w:rPr>
              <w:t xml:space="preserve"> schemes</w:t>
            </w:r>
            <w:r w:rsidR="00DF7CED" w:rsidRPr="00EE6FAC">
              <w:rPr>
                <w:lang w:val="en-NZ"/>
              </w:rPr>
              <w:t xml:space="preserve">, </w:t>
            </w:r>
            <w:r w:rsidRPr="00EE6FAC">
              <w:rPr>
                <w:lang w:val="en-NZ"/>
              </w:rPr>
              <w:t>but it is not necessary as part of this decision</w:t>
            </w:r>
            <w:r w:rsidRPr="00EE6FAC">
              <w:rPr>
                <w:rFonts w:cs="Arial"/>
                <w:lang w:val="en-NZ"/>
              </w:rPr>
              <w:t>.</w:t>
            </w:r>
          </w:p>
        </w:tc>
      </w:tr>
    </w:tbl>
    <w:p w:rsidR="0062657E" w:rsidRPr="00EE6FAC" w:rsidRDefault="0062657E" w:rsidP="007B090A">
      <w:pPr>
        <w:pStyle w:val="spacer"/>
        <w:spacing w:line="276" w:lineRule="auto"/>
        <w:rPr>
          <w:rFonts w:cs="Arial"/>
          <w:sz w:val="22"/>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EE6FAC" w:rsidTr="004A11FC">
        <w:trPr>
          <w:trHeight w:val="77"/>
        </w:trPr>
        <w:tc>
          <w:tcPr>
            <w:tcW w:w="5000" w:type="pct"/>
            <w:shd w:val="clear" w:color="auto" w:fill="99CDDD"/>
          </w:tcPr>
          <w:p w:rsidR="0062657E" w:rsidRPr="00EE6FAC" w:rsidRDefault="00663BAA" w:rsidP="00114CB2">
            <w:pPr>
              <w:pStyle w:val="Heading3"/>
            </w:pPr>
            <w:r w:rsidRPr="00EE6FAC">
              <w:t>2.5</w:t>
            </w:r>
            <w:r w:rsidR="00A514AC" w:rsidRPr="00EE6FAC">
              <w:t xml:space="preserve"> </w:t>
            </w:r>
            <w:r w:rsidR="0062657E" w:rsidRPr="00EE6FAC">
              <w:t>What do stakeholders think?</w:t>
            </w:r>
          </w:p>
        </w:tc>
      </w:tr>
      <w:tr w:rsidR="009C4129" w:rsidRPr="00EE6FAC" w:rsidTr="00A82D05">
        <w:trPr>
          <w:trHeight w:val="2301"/>
        </w:trPr>
        <w:tc>
          <w:tcPr>
            <w:tcW w:w="5000" w:type="pct"/>
            <w:shd w:val="clear" w:color="auto" w:fill="FFFFFF"/>
          </w:tcPr>
          <w:p w:rsidR="00895E49" w:rsidRPr="00EE6FAC" w:rsidRDefault="00721D30" w:rsidP="00CD2A99">
            <w:pPr>
              <w:pStyle w:val="TableText"/>
              <w:rPr>
                <w:lang w:val="en-NZ"/>
              </w:rPr>
            </w:pPr>
            <w:r w:rsidRPr="00EE6FAC">
              <w:rPr>
                <w:lang w:val="en-NZ"/>
              </w:rPr>
              <w:t xml:space="preserve">As noted previously, the coalition parties campaigned on the basis of introducing </w:t>
            </w:r>
            <w:r w:rsidR="002A0CA4">
              <w:rPr>
                <w:lang w:val="en-NZ"/>
              </w:rPr>
              <w:t>a R&amp;D</w:t>
            </w:r>
            <w:r w:rsidR="00810148" w:rsidRPr="00EE6FAC">
              <w:rPr>
                <w:lang w:val="en-NZ"/>
              </w:rPr>
              <w:t xml:space="preserve"> Tax Incentive</w:t>
            </w:r>
            <w:r w:rsidRPr="00EE6FAC">
              <w:rPr>
                <w:lang w:val="en-NZ"/>
              </w:rPr>
              <w:t xml:space="preserve"> to lift NZ’s R&amp;D expenditure by encouraging businesses to research and innovate.</w:t>
            </w:r>
            <w:r w:rsidR="00F4547B" w:rsidRPr="00EE6FAC">
              <w:rPr>
                <w:lang w:val="en-NZ"/>
              </w:rPr>
              <w:t xml:space="preserve"> Subsequent</w:t>
            </w:r>
            <w:r w:rsidR="009E66E1" w:rsidRPr="00EE6FAC">
              <w:rPr>
                <w:lang w:val="en-NZ"/>
              </w:rPr>
              <w:t xml:space="preserve">ly, the Government has </w:t>
            </w:r>
            <w:r w:rsidR="00F4547B" w:rsidRPr="00EE6FAC">
              <w:rPr>
                <w:lang w:val="en-NZ"/>
              </w:rPr>
              <w:t>consult</w:t>
            </w:r>
            <w:r w:rsidR="009E66E1" w:rsidRPr="00EE6FAC">
              <w:rPr>
                <w:lang w:val="en-NZ"/>
              </w:rPr>
              <w:t>ed</w:t>
            </w:r>
            <w:r w:rsidR="00F4547B" w:rsidRPr="00EE6FAC">
              <w:rPr>
                <w:lang w:val="en-NZ"/>
              </w:rPr>
              <w:t xml:space="preserve"> </w:t>
            </w:r>
            <w:r w:rsidR="009E66E1" w:rsidRPr="00EE6FAC">
              <w:rPr>
                <w:lang w:val="en-NZ"/>
              </w:rPr>
              <w:t>widely on the proposal to introduce a R&amp;D Tax Incentive</w:t>
            </w:r>
            <w:r w:rsidR="0008188C" w:rsidRPr="00EE6FAC">
              <w:rPr>
                <w:lang w:val="en-NZ"/>
              </w:rPr>
              <w:t>, contained in the Research and Development Tax Incentive Discussion Document</w:t>
            </w:r>
            <w:r w:rsidR="00F4547B" w:rsidRPr="00EE6FAC">
              <w:rPr>
                <w:lang w:val="en-NZ"/>
              </w:rPr>
              <w:t>.</w:t>
            </w:r>
          </w:p>
          <w:p w:rsidR="004F3BB5" w:rsidRPr="00EE6FAC" w:rsidRDefault="00895E49" w:rsidP="00CD2A99">
            <w:pPr>
              <w:pStyle w:val="TableText"/>
              <w:rPr>
                <w:lang w:val="en-NZ"/>
              </w:rPr>
            </w:pPr>
            <w:r w:rsidRPr="00EE6FAC">
              <w:rPr>
                <w:lang w:val="en-NZ"/>
              </w:rPr>
              <w:t xml:space="preserve">Prior to the public release of the Discussion Document, it was circulated to a wider group of government </w:t>
            </w:r>
            <w:r w:rsidR="00794E18" w:rsidRPr="00EE6FAC">
              <w:rPr>
                <w:lang w:val="en-NZ"/>
              </w:rPr>
              <w:t>a</w:t>
            </w:r>
            <w:r w:rsidRPr="00EE6FAC">
              <w:rPr>
                <w:lang w:val="en-NZ"/>
              </w:rPr>
              <w:t xml:space="preserve">gencies for comment. Following the release of the Government Discussion Document on 19 April, </w:t>
            </w:r>
            <w:r w:rsidR="00143BA3" w:rsidRPr="00EE6FAC">
              <w:rPr>
                <w:lang w:val="en-NZ"/>
              </w:rPr>
              <w:t>MBIE</w:t>
            </w:r>
            <w:r w:rsidR="00A736A0" w:rsidRPr="00EE6FAC">
              <w:rPr>
                <w:lang w:val="en-NZ"/>
              </w:rPr>
              <w:t xml:space="preserve">, together with </w:t>
            </w:r>
            <w:r w:rsidR="00143BA3" w:rsidRPr="00EE6FAC">
              <w:rPr>
                <w:lang w:val="en-NZ"/>
              </w:rPr>
              <w:t>IR</w:t>
            </w:r>
            <w:r w:rsidR="00A736A0" w:rsidRPr="00EE6FAC">
              <w:rPr>
                <w:lang w:val="en-NZ"/>
              </w:rPr>
              <w:t xml:space="preserve"> and Callaghan Innovation conducted targeted consultation with stakeholders</w:t>
            </w:r>
            <w:r w:rsidR="0082109A" w:rsidRPr="00EE6FAC">
              <w:rPr>
                <w:lang w:val="en-NZ"/>
              </w:rPr>
              <w:t xml:space="preserve">. </w:t>
            </w:r>
          </w:p>
          <w:p w:rsidR="00C44E09" w:rsidRPr="00EE6FAC" w:rsidRDefault="004F3C46" w:rsidP="00C44E09">
            <w:pPr>
              <w:pStyle w:val="TableText"/>
              <w:rPr>
                <w:lang w:val="en-NZ"/>
              </w:rPr>
            </w:pPr>
            <w:r w:rsidRPr="00EE6FAC">
              <w:rPr>
                <w:lang w:val="en-NZ"/>
              </w:rPr>
              <w:t xml:space="preserve">This consultation confirmed an appetite for broader government support for business R&amp;D. </w:t>
            </w:r>
            <w:r w:rsidR="00C44E09" w:rsidRPr="00EE6FAC">
              <w:rPr>
                <w:lang w:val="en-NZ"/>
              </w:rPr>
              <w:t xml:space="preserve">The submissions </w:t>
            </w:r>
            <w:r w:rsidRPr="00EE6FAC">
              <w:rPr>
                <w:lang w:val="en-NZ"/>
              </w:rPr>
              <w:t>corroborated</w:t>
            </w:r>
            <w:r w:rsidRPr="00EE6FAC" w:rsidDel="004F3C46">
              <w:rPr>
                <w:lang w:val="en-NZ"/>
              </w:rPr>
              <w:t xml:space="preserve"> </w:t>
            </w:r>
            <w:r w:rsidR="00C44E09" w:rsidRPr="00EE6FAC">
              <w:rPr>
                <w:lang w:val="en-NZ"/>
              </w:rPr>
              <w:t>that increasing R&amp;D was important in improving New Zealand’s productivity, helping create high skilled jobs</w:t>
            </w:r>
            <w:r w:rsidRPr="00EE6FAC">
              <w:rPr>
                <w:lang w:val="en-NZ"/>
              </w:rPr>
              <w:t>,</w:t>
            </w:r>
            <w:r w:rsidR="00C44E09" w:rsidRPr="00EE6FAC">
              <w:rPr>
                <w:lang w:val="en-NZ"/>
              </w:rPr>
              <w:t xml:space="preserve"> and support</w:t>
            </w:r>
            <w:r w:rsidRPr="00EE6FAC">
              <w:rPr>
                <w:lang w:val="en-NZ"/>
              </w:rPr>
              <w:t>ing</w:t>
            </w:r>
            <w:r w:rsidR="00C44E09" w:rsidRPr="00EE6FAC">
              <w:rPr>
                <w:lang w:val="en-NZ"/>
              </w:rPr>
              <w:t xml:space="preserve"> diversification of our economy.</w:t>
            </w:r>
          </w:p>
          <w:p w:rsidR="007D741C" w:rsidRDefault="007D741C" w:rsidP="00C44E09">
            <w:pPr>
              <w:pStyle w:val="TableText"/>
            </w:pPr>
            <w:r>
              <w:t>A</w:t>
            </w:r>
            <w:r w:rsidRPr="0024425F">
              <w:t xml:space="preserve">round a third </w:t>
            </w:r>
            <w:r>
              <w:t>of submissions stated</w:t>
            </w:r>
            <w:r w:rsidRPr="0024425F">
              <w:t xml:space="preserve"> strong support for the R&amp;D Tax Incentive</w:t>
            </w:r>
            <w:r>
              <w:t>, a</w:t>
            </w:r>
            <w:r w:rsidRPr="0024425F">
              <w:t>nother third favour</w:t>
            </w:r>
            <w:r>
              <w:t>ed</w:t>
            </w:r>
            <w:r w:rsidRPr="0024425F">
              <w:t xml:space="preserve"> Growth Grants </w:t>
            </w:r>
            <w:r>
              <w:t>(</w:t>
            </w:r>
            <w:r w:rsidR="00414F7F">
              <w:t>as against</w:t>
            </w:r>
            <w:r>
              <w:t xml:space="preserve"> the R&amp;D Tax Incentive proposed in the </w:t>
            </w:r>
            <w:r w:rsidRPr="00EE6FAC">
              <w:rPr>
                <w:lang w:val="en-NZ"/>
              </w:rPr>
              <w:t>Discussion Document</w:t>
            </w:r>
            <w:r>
              <w:t xml:space="preserve">), </w:t>
            </w:r>
            <w:r w:rsidRPr="0024425F">
              <w:t xml:space="preserve">and the final third </w:t>
            </w:r>
            <w:r>
              <w:t>expressed</w:t>
            </w:r>
            <w:r w:rsidRPr="0024425F">
              <w:t xml:space="preserve"> a range of </w:t>
            </w:r>
            <w:r>
              <w:t xml:space="preserve">different </w:t>
            </w:r>
            <w:r w:rsidRPr="0024425F">
              <w:t xml:space="preserve">views – from wanting to see a mixture of the R&amp;D Tax Incentive and Growth Grants to </w:t>
            </w:r>
            <w:r>
              <w:t>preferring</w:t>
            </w:r>
            <w:r w:rsidRPr="0024425F">
              <w:t xml:space="preserve"> a different mechanism altogether.</w:t>
            </w:r>
          </w:p>
          <w:p w:rsidR="00C44E09" w:rsidRPr="00EE6FAC" w:rsidRDefault="00C44E09" w:rsidP="00C44E09">
            <w:pPr>
              <w:pStyle w:val="TableText"/>
              <w:rPr>
                <w:lang w:val="en-NZ"/>
              </w:rPr>
            </w:pPr>
            <w:r w:rsidRPr="00EE6FAC">
              <w:rPr>
                <w:lang w:val="en-NZ"/>
              </w:rPr>
              <w:t>The technology sector found the proposed definition limited valid R&amp;D with its focus on traditional scientific research. We have taken this feedback on-board and worked with industry representatives to ensure the revised definition captures valid R&amp;D performed across all sectors.</w:t>
            </w:r>
          </w:p>
          <w:p w:rsidR="00C44E09" w:rsidRPr="00EE6FAC" w:rsidRDefault="00C44E09" w:rsidP="00C44E09">
            <w:pPr>
              <w:pStyle w:val="TableText"/>
              <w:rPr>
                <w:lang w:val="en-NZ"/>
              </w:rPr>
            </w:pPr>
            <w:r w:rsidRPr="00EE6FAC">
              <w:rPr>
                <w:lang w:val="en-NZ"/>
              </w:rPr>
              <w:t>Feedback suggested the minimum R&amp;D expenditure threshold of $100,000 was too high.</w:t>
            </w:r>
            <w:r w:rsidR="00794E18" w:rsidRPr="00EE6FAC">
              <w:rPr>
                <w:lang w:val="en-NZ"/>
              </w:rPr>
              <w:t xml:space="preserve"> </w:t>
            </w:r>
            <w:r w:rsidRPr="00EE6FAC">
              <w:rPr>
                <w:lang w:val="en-NZ"/>
              </w:rPr>
              <w:t>Many submissions also viewed the 12.5</w:t>
            </w:r>
            <w:r w:rsidR="00F00C86">
              <w:rPr>
                <w:lang w:val="en-NZ"/>
              </w:rPr>
              <w:t xml:space="preserve"> per cent</w:t>
            </w:r>
            <w:r w:rsidRPr="00EE6FAC">
              <w:rPr>
                <w:lang w:val="en-NZ"/>
              </w:rPr>
              <w:t xml:space="preserve"> tax credit rate was too low to incentivise additional R&amp;D, particularly given it was lower than the 20</w:t>
            </w:r>
            <w:r w:rsidR="00F00C86">
              <w:rPr>
                <w:lang w:val="en-NZ"/>
              </w:rPr>
              <w:t xml:space="preserve"> per cent</w:t>
            </w:r>
            <w:r w:rsidRPr="00EE6FAC">
              <w:rPr>
                <w:lang w:val="en-NZ"/>
              </w:rPr>
              <w:t xml:space="preserve"> (14.4</w:t>
            </w:r>
            <w:r w:rsidR="00F00C86">
              <w:rPr>
                <w:lang w:val="en-NZ"/>
              </w:rPr>
              <w:t xml:space="preserve"> per cent</w:t>
            </w:r>
            <w:r w:rsidRPr="00EE6FAC">
              <w:rPr>
                <w:lang w:val="en-NZ"/>
              </w:rPr>
              <w:t xml:space="preserve"> post tax) </w:t>
            </w:r>
            <w:r w:rsidR="00A41FAC" w:rsidRPr="00EE6FAC">
              <w:rPr>
                <w:lang w:val="en-NZ"/>
              </w:rPr>
              <w:t>Growth Grant</w:t>
            </w:r>
            <w:r w:rsidRPr="00EE6FAC">
              <w:rPr>
                <w:lang w:val="en-NZ"/>
              </w:rPr>
              <w:t xml:space="preserve"> and the prior 2008 R&amp;D tax credit.</w:t>
            </w:r>
          </w:p>
          <w:p w:rsidR="00C44E09" w:rsidRPr="00EE6FAC" w:rsidRDefault="00C44E09" w:rsidP="00C44E09">
            <w:pPr>
              <w:pStyle w:val="TableText"/>
              <w:rPr>
                <w:lang w:val="en-NZ"/>
              </w:rPr>
            </w:pPr>
            <w:r w:rsidRPr="00EE6FAC">
              <w:rPr>
                <w:lang w:val="en-NZ"/>
              </w:rPr>
              <w:t>There was concern that refundability was not available for loss</w:t>
            </w:r>
            <w:r w:rsidR="004F3C46" w:rsidRPr="00EE6FAC">
              <w:rPr>
                <w:lang w:val="en-NZ"/>
              </w:rPr>
              <w:t>-</w:t>
            </w:r>
            <w:r w:rsidRPr="00EE6FAC">
              <w:rPr>
                <w:lang w:val="en-NZ"/>
              </w:rPr>
              <w:t xml:space="preserve">making companies in year one impacting firms most likely to need support and many of whom had received </w:t>
            </w:r>
            <w:r w:rsidR="00A41FAC" w:rsidRPr="00EE6FAC">
              <w:rPr>
                <w:lang w:val="en-NZ"/>
              </w:rPr>
              <w:t>Growth Grant</w:t>
            </w:r>
            <w:r w:rsidRPr="00EE6FAC">
              <w:rPr>
                <w:lang w:val="en-NZ"/>
              </w:rPr>
              <w:t xml:space="preserve">s. </w:t>
            </w:r>
            <w:r w:rsidR="00A46E68" w:rsidRPr="00EE6FAC">
              <w:rPr>
                <w:lang w:val="en-NZ"/>
              </w:rPr>
              <w:t>Officials</w:t>
            </w:r>
            <w:r w:rsidRPr="00EE6FAC">
              <w:rPr>
                <w:lang w:val="en-NZ"/>
              </w:rPr>
              <w:t xml:space="preserve"> initially considered it would not be practicable to design this mechanism in year one. Given the significant feedback received on this point, </w:t>
            </w:r>
            <w:r w:rsidR="00A46E68" w:rsidRPr="00EE6FAC">
              <w:rPr>
                <w:lang w:val="en-NZ"/>
              </w:rPr>
              <w:t xml:space="preserve">the scheme includes </w:t>
            </w:r>
            <w:r w:rsidRPr="00EE6FAC">
              <w:rPr>
                <w:lang w:val="en-NZ"/>
              </w:rPr>
              <w:t xml:space="preserve">a mechanism to allow limited refundability in year one of the </w:t>
            </w:r>
            <w:r w:rsidR="00A41FAC" w:rsidRPr="00EE6FAC">
              <w:rPr>
                <w:lang w:val="en-NZ"/>
              </w:rPr>
              <w:t>Tax Incentive</w:t>
            </w:r>
            <w:r w:rsidRPr="00EE6FAC">
              <w:rPr>
                <w:lang w:val="en-NZ"/>
              </w:rPr>
              <w:t xml:space="preserve"> with a view to </w:t>
            </w:r>
            <w:r w:rsidR="00A46E68" w:rsidRPr="00EE6FAC">
              <w:rPr>
                <w:lang w:val="en-NZ"/>
              </w:rPr>
              <w:t>expanding this pending further policy work in future years.</w:t>
            </w:r>
            <w:r w:rsidRPr="00EE6FAC">
              <w:rPr>
                <w:lang w:val="en-NZ"/>
              </w:rPr>
              <w:t xml:space="preserve"> </w:t>
            </w:r>
          </w:p>
          <w:p w:rsidR="00C44E09" w:rsidRPr="00EE6FAC" w:rsidRDefault="00C44E09" w:rsidP="00C44E09">
            <w:pPr>
              <w:pStyle w:val="TableText"/>
              <w:rPr>
                <w:lang w:val="en-NZ"/>
              </w:rPr>
            </w:pPr>
            <w:r w:rsidRPr="00EE6FAC">
              <w:rPr>
                <w:lang w:val="en-NZ"/>
              </w:rPr>
              <w:t xml:space="preserve">Other specific proposed design features were viewed as overly restrictive or difficult to apply commercially. We have consulted on many of these points and developed alternative suggestions that </w:t>
            </w:r>
            <w:r w:rsidR="00DF7CED" w:rsidRPr="00EE6FAC">
              <w:rPr>
                <w:lang w:val="en-NZ"/>
              </w:rPr>
              <w:t xml:space="preserve">are still consistent with the </w:t>
            </w:r>
            <w:r w:rsidRPr="00EE6FAC">
              <w:rPr>
                <w:lang w:val="en-NZ"/>
              </w:rPr>
              <w:t>policy objectives.</w:t>
            </w:r>
          </w:p>
          <w:p w:rsidR="004F3C46" w:rsidRPr="00EE6FAC" w:rsidRDefault="004F3C46" w:rsidP="00C44E09">
            <w:pPr>
              <w:pStyle w:val="TableText"/>
              <w:rPr>
                <w:lang w:val="en-NZ"/>
              </w:rPr>
            </w:pPr>
            <w:r w:rsidRPr="00EE6FAC">
              <w:rPr>
                <w:lang w:val="en-NZ"/>
              </w:rPr>
              <w:t xml:space="preserve">Following analysis of the submissions on the Discussion Document, there has been an ongoing programme of targeted engagement with key stakeholders, such as tax advisors, to test design features of the Tax Incentive. </w:t>
            </w:r>
          </w:p>
        </w:tc>
      </w:tr>
    </w:tbl>
    <w:p w:rsidR="0062657E" w:rsidRPr="00EE6FAC" w:rsidRDefault="0062657E" w:rsidP="00B9498A">
      <w:pPr>
        <w:pStyle w:val="Heading4"/>
        <w:rPr>
          <w:bCs w:val="0"/>
          <w:color w:val="0082AB"/>
          <w:spacing w:val="20"/>
          <w:w w:val="90"/>
          <w:sz w:val="24"/>
          <w:szCs w:val="24"/>
          <w:lang w:val="en-NZ"/>
        </w:rPr>
      </w:pPr>
      <w:r w:rsidRPr="00EE6FAC">
        <w:rPr>
          <w:bCs w:val="0"/>
          <w:color w:val="0082AB"/>
          <w:spacing w:val="20"/>
          <w:w w:val="90"/>
          <w:sz w:val="24"/>
          <w:szCs w:val="24"/>
          <w:lang w:val="en-NZ"/>
        </w:rPr>
        <w:t>Section 3:</w:t>
      </w:r>
      <w:r w:rsidR="00A514AC" w:rsidRPr="00EE6FAC">
        <w:rPr>
          <w:bCs w:val="0"/>
          <w:color w:val="0082AB"/>
          <w:spacing w:val="20"/>
          <w:w w:val="90"/>
          <w:sz w:val="24"/>
          <w:szCs w:val="24"/>
          <w:lang w:val="en-NZ"/>
        </w:rPr>
        <w:t xml:space="preserve"> </w:t>
      </w:r>
      <w:r w:rsidRPr="00EE6FAC">
        <w:rPr>
          <w:bCs w:val="0"/>
          <w:color w:val="0082AB"/>
          <w:spacing w:val="20"/>
          <w:w w:val="90"/>
          <w:sz w:val="24"/>
          <w:szCs w:val="24"/>
          <w:lang w:val="en-NZ"/>
        </w:rPr>
        <w:t>Options identification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86"/>
      </w:tblGrid>
      <w:tr w:rsidR="009C4129" w:rsidRPr="00EE6FAC" w:rsidTr="00384E9B">
        <w:trPr>
          <w:trHeight w:val="77"/>
        </w:trPr>
        <w:tc>
          <w:tcPr>
            <w:tcW w:w="5000" w:type="pct"/>
            <w:shd w:val="clear" w:color="auto" w:fill="99CDDD"/>
            <w:hideMark/>
          </w:tcPr>
          <w:p w:rsidR="0062657E" w:rsidRPr="00EE6FAC" w:rsidRDefault="0062657E" w:rsidP="00114CB2">
            <w:pPr>
              <w:pStyle w:val="Heading3"/>
              <w:rPr>
                <w:lang w:eastAsia="en-AU"/>
              </w:rPr>
            </w:pPr>
            <w:r w:rsidRPr="00EE6FAC">
              <w:rPr>
                <w:lang w:eastAsia="en-AU"/>
              </w:rPr>
              <w:t>3.1</w:t>
            </w:r>
            <w:r w:rsidR="00A514AC" w:rsidRPr="00EE6FAC">
              <w:rPr>
                <w:lang w:eastAsia="en-AU"/>
              </w:rPr>
              <w:t xml:space="preserve"> </w:t>
            </w:r>
            <w:r w:rsidRPr="00EE6FAC">
              <w:rPr>
                <w:lang w:eastAsia="en-AU"/>
              </w:rPr>
              <w:t>What options are available to address the problem?</w:t>
            </w:r>
          </w:p>
        </w:tc>
      </w:tr>
      <w:tr w:rsidR="009C4129" w:rsidRPr="00EE6FAC" w:rsidTr="00372449">
        <w:trPr>
          <w:trHeight w:val="1593"/>
        </w:trPr>
        <w:tc>
          <w:tcPr>
            <w:tcW w:w="5000" w:type="pct"/>
            <w:shd w:val="clear" w:color="auto" w:fill="FFFFFF"/>
          </w:tcPr>
          <w:p w:rsidR="0062657E" w:rsidRPr="00EE6FAC" w:rsidRDefault="00050CC3" w:rsidP="009C4129">
            <w:pPr>
              <w:spacing w:after="0" w:line="276" w:lineRule="auto"/>
              <w:jc w:val="both"/>
              <w:rPr>
                <w:rFonts w:cs="Arial"/>
                <w:szCs w:val="22"/>
                <w:lang w:val="en-NZ" w:eastAsia="en-AU"/>
              </w:rPr>
            </w:pPr>
            <w:r w:rsidRPr="00EE6FAC">
              <w:rPr>
                <w:rFonts w:cs="Arial"/>
                <w:szCs w:val="22"/>
                <w:lang w:val="en-NZ" w:eastAsia="en-AU"/>
              </w:rPr>
              <w:t xml:space="preserve">The main options </w:t>
            </w:r>
            <w:r w:rsidR="004D336C" w:rsidRPr="00EE6FAC">
              <w:rPr>
                <w:rFonts w:cs="Arial"/>
                <w:szCs w:val="22"/>
                <w:lang w:val="en-NZ" w:eastAsia="en-AU"/>
              </w:rPr>
              <w:t xml:space="preserve">available to government </w:t>
            </w:r>
            <w:r w:rsidRPr="00EE6FAC">
              <w:rPr>
                <w:rFonts w:cs="Arial"/>
                <w:szCs w:val="22"/>
                <w:lang w:val="en-NZ" w:eastAsia="en-AU"/>
              </w:rPr>
              <w:t>are:</w:t>
            </w:r>
          </w:p>
          <w:p w:rsidR="00050CC3" w:rsidRPr="00EE6FAC" w:rsidRDefault="00AD6B0F" w:rsidP="00050CC3">
            <w:pPr>
              <w:numPr>
                <w:ilvl w:val="0"/>
                <w:numId w:val="31"/>
              </w:numPr>
              <w:spacing w:after="0" w:line="276" w:lineRule="auto"/>
              <w:jc w:val="both"/>
              <w:rPr>
                <w:rFonts w:cs="Arial"/>
                <w:szCs w:val="22"/>
                <w:lang w:val="en-NZ" w:eastAsia="en-AU"/>
              </w:rPr>
            </w:pPr>
            <w:r w:rsidRPr="00EE6FAC">
              <w:rPr>
                <w:rFonts w:cs="Arial"/>
                <w:szCs w:val="22"/>
                <w:lang w:val="en-NZ" w:eastAsia="en-AU"/>
              </w:rPr>
              <w:t>Continue with Growth Grants (status quo)</w:t>
            </w:r>
          </w:p>
          <w:p w:rsidR="00F82F97" w:rsidRPr="00EE6FAC" w:rsidRDefault="003E34CD" w:rsidP="00CD2A99">
            <w:pPr>
              <w:numPr>
                <w:ilvl w:val="0"/>
                <w:numId w:val="31"/>
              </w:numPr>
              <w:spacing w:after="0" w:line="276" w:lineRule="auto"/>
              <w:jc w:val="both"/>
              <w:rPr>
                <w:rFonts w:cs="Arial"/>
                <w:szCs w:val="22"/>
                <w:lang w:val="en-NZ" w:eastAsia="en-AU"/>
              </w:rPr>
            </w:pPr>
            <w:r w:rsidRPr="00EE6FAC">
              <w:rPr>
                <w:rFonts w:cs="Arial"/>
                <w:szCs w:val="22"/>
                <w:lang w:val="en-NZ" w:eastAsia="en-AU"/>
              </w:rPr>
              <w:t xml:space="preserve">Replace Growth Grants with </w:t>
            </w:r>
            <w:r w:rsidR="00AD6B0F" w:rsidRPr="00EE6FAC">
              <w:rPr>
                <w:rFonts w:cs="Arial"/>
                <w:szCs w:val="22"/>
                <w:lang w:val="en-NZ" w:eastAsia="en-AU"/>
              </w:rPr>
              <w:t xml:space="preserve">a </w:t>
            </w:r>
            <w:r w:rsidRPr="00EE6FAC">
              <w:rPr>
                <w:rFonts w:cs="Arial"/>
                <w:szCs w:val="22"/>
                <w:lang w:val="en-NZ" w:eastAsia="en-AU"/>
              </w:rPr>
              <w:t xml:space="preserve">R&amp;D Tax </w:t>
            </w:r>
            <w:r w:rsidR="00F82F97" w:rsidRPr="00EE6FAC">
              <w:rPr>
                <w:rFonts w:cs="Arial"/>
                <w:szCs w:val="22"/>
                <w:lang w:val="en-NZ" w:eastAsia="en-AU"/>
              </w:rPr>
              <w:t>Incentive.</w:t>
            </w:r>
          </w:p>
          <w:p w:rsidR="00F507C4" w:rsidRDefault="00F507C4" w:rsidP="00CD2A99">
            <w:pPr>
              <w:pStyle w:val="TableText"/>
              <w:rPr>
                <w:lang w:val="en-NZ"/>
              </w:rPr>
            </w:pPr>
            <w:r>
              <w:rPr>
                <w:lang w:val="en-NZ"/>
              </w:rPr>
              <w:t xml:space="preserve">As described </w:t>
            </w:r>
            <w:r w:rsidR="00251AEA">
              <w:rPr>
                <w:lang w:val="en-NZ"/>
              </w:rPr>
              <w:t xml:space="preserve">above, </w:t>
            </w:r>
            <w:r w:rsidR="00251AEA">
              <w:rPr>
                <w:rFonts w:cs="Arial"/>
                <w:lang w:val="en-NZ"/>
              </w:rPr>
              <w:t>the Growth Grant provides a</w:t>
            </w:r>
            <w:r w:rsidR="00251AEA" w:rsidRPr="00EE6FAC">
              <w:rPr>
                <w:rFonts w:cs="Arial"/>
                <w:lang w:val="en-NZ"/>
              </w:rPr>
              <w:t xml:space="preserve"> </w:t>
            </w:r>
            <w:r w:rsidR="00251AEA">
              <w:rPr>
                <w:rFonts w:cs="Arial"/>
                <w:lang w:val="en-NZ"/>
              </w:rPr>
              <w:t xml:space="preserve">pre-tax payment </w:t>
            </w:r>
            <w:r w:rsidR="00251AEA" w:rsidRPr="00EE6FAC">
              <w:rPr>
                <w:rFonts w:cs="Arial"/>
                <w:lang w:val="en-NZ"/>
              </w:rPr>
              <w:t>of 20</w:t>
            </w:r>
            <w:r w:rsidR="00251AEA">
              <w:rPr>
                <w:rFonts w:cs="Arial"/>
                <w:lang w:val="en-NZ"/>
              </w:rPr>
              <w:t xml:space="preserve"> per cent</w:t>
            </w:r>
            <w:r w:rsidR="00251AEA" w:rsidRPr="00EE6FAC">
              <w:rPr>
                <w:rFonts w:cs="Arial"/>
                <w:lang w:val="en-NZ"/>
              </w:rPr>
              <w:t xml:space="preserve"> </w:t>
            </w:r>
            <w:r w:rsidR="00251AEA">
              <w:rPr>
                <w:rFonts w:cs="Arial"/>
                <w:lang w:val="en-NZ"/>
              </w:rPr>
              <w:t xml:space="preserve">of </w:t>
            </w:r>
            <w:r w:rsidR="00251AEA" w:rsidRPr="00EE6FAC">
              <w:rPr>
                <w:rFonts w:cs="Arial"/>
                <w:lang w:val="en-NZ"/>
              </w:rPr>
              <w:t>a business</w:t>
            </w:r>
            <w:r w:rsidR="00251AEA">
              <w:rPr>
                <w:rFonts w:cs="Arial"/>
                <w:lang w:val="en-NZ"/>
              </w:rPr>
              <w:t>’s</w:t>
            </w:r>
            <w:r w:rsidR="00251AEA" w:rsidRPr="00EE6FAC">
              <w:rPr>
                <w:rFonts w:cs="Arial"/>
                <w:lang w:val="en-NZ"/>
              </w:rPr>
              <w:t xml:space="preserve"> R&amp;D </w:t>
            </w:r>
            <w:r w:rsidR="00251AEA">
              <w:rPr>
                <w:rFonts w:cs="Arial"/>
                <w:lang w:val="en-NZ"/>
              </w:rPr>
              <w:t xml:space="preserve">expenditure, </w:t>
            </w:r>
            <w:r w:rsidR="00251AEA" w:rsidRPr="00EE6FAC">
              <w:rPr>
                <w:rFonts w:cs="Arial"/>
                <w:lang w:val="en-NZ"/>
              </w:rPr>
              <w:t>up to a limit of $5 million per year (i.e., $25M of R&amp;D spending)</w:t>
            </w:r>
            <w:r w:rsidR="00251AEA">
              <w:rPr>
                <w:rFonts w:cs="Arial"/>
                <w:lang w:val="en-NZ"/>
              </w:rPr>
              <w:t xml:space="preserve">. It is </w:t>
            </w:r>
            <w:r w:rsidR="00251AEA" w:rsidRPr="00EE6FAC">
              <w:rPr>
                <w:rFonts w:cs="Arial"/>
                <w:lang w:val="en-NZ"/>
              </w:rPr>
              <w:t>paid to all businesses that spend more than $300,000 and 1.5</w:t>
            </w:r>
            <w:r w:rsidR="00251AEA">
              <w:rPr>
                <w:rFonts w:cs="Arial"/>
                <w:lang w:val="en-NZ"/>
              </w:rPr>
              <w:t xml:space="preserve"> per cent</w:t>
            </w:r>
            <w:r w:rsidR="00251AEA" w:rsidRPr="00EE6FAC">
              <w:rPr>
                <w:rFonts w:cs="Arial"/>
                <w:lang w:val="en-NZ"/>
              </w:rPr>
              <w:t xml:space="preserve"> of revenue on R&amp;D over the prior two years</w:t>
            </w:r>
            <w:r w:rsidR="00194ECE">
              <w:rPr>
                <w:rFonts w:cs="Arial"/>
                <w:lang w:val="en-NZ"/>
              </w:rPr>
              <w:t xml:space="preserve">. The </w:t>
            </w:r>
            <w:r w:rsidR="00251AEA">
              <w:rPr>
                <w:rFonts w:cs="Arial"/>
                <w:lang w:val="en-NZ"/>
              </w:rPr>
              <w:t xml:space="preserve">initial </w:t>
            </w:r>
            <w:r w:rsidR="00194ECE">
              <w:rPr>
                <w:rFonts w:cs="Arial"/>
                <w:lang w:val="en-NZ"/>
              </w:rPr>
              <w:t xml:space="preserve">contract is for a </w:t>
            </w:r>
            <w:r w:rsidR="00251AEA" w:rsidRPr="00EE6FAC">
              <w:rPr>
                <w:rFonts w:cs="Arial"/>
                <w:lang w:val="en-NZ"/>
              </w:rPr>
              <w:t>period of three years</w:t>
            </w:r>
            <w:r w:rsidR="00251AEA">
              <w:rPr>
                <w:rFonts w:cs="Arial"/>
                <w:lang w:val="en-NZ"/>
              </w:rPr>
              <w:t>,</w:t>
            </w:r>
            <w:r w:rsidR="00251AEA" w:rsidRPr="00EE6FAC">
              <w:rPr>
                <w:rFonts w:cs="Arial"/>
                <w:lang w:val="en-NZ"/>
              </w:rPr>
              <w:t xml:space="preserve"> with </w:t>
            </w:r>
            <w:r w:rsidR="00251AEA">
              <w:rPr>
                <w:rFonts w:cs="Arial"/>
                <w:lang w:val="en-NZ"/>
              </w:rPr>
              <w:t xml:space="preserve">repeating </w:t>
            </w:r>
            <w:r w:rsidR="00251AEA" w:rsidRPr="00EE6FAC">
              <w:rPr>
                <w:rFonts w:cs="Arial"/>
                <w:lang w:val="en-NZ"/>
              </w:rPr>
              <w:t>two-year extensions conditional on continuing to meet the criteria.</w:t>
            </w:r>
            <w:r w:rsidR="00251AEA">
              <w:rPr>
                <w:rFonts w:cs="Arial"/>
                <w:lang w:val="en-NZ"/>
              </w:rPr>
              <w:t xml:space="preserve"> It is administered by Callaghan Innovation, under a Ministerial Direction from the Minister of Research, Science &amp; Innovation.</w:t>
            </w:r>
          </w:p>
          <w:p w:rsidR="00F507C4" w:rsidRDefault="00281FDF" w:rsidP="00CD2A99">
            <w:pPr>
              <w:pStyle w:val="TableText"/>
              <w:rPr>
                <w:lang w:val="en-NZ"/>
              </w:rPr>
            </w:pPr>
            <w:r w:rsidRPr="00EE6FAC">
              <w:rPr>
                <w:lang w:val="en-NZ"/>
              </w:rPr>
              <w:t>The proposed R&amp;D Tax I</w:t>
            </w:r>
            <w:r w:rsidR="00585AA7" w:rsidRPr="00EE6FAC">
              <w:rPr>
                <w:lang w:val="en-NZ"/>
              </w:rPr>
              <w:t xml:space="preserve">ncentive operates by providing the taxpayer with a credit to their tax payable of 15 </w:t>
            </w:r>
            <w:r w:rsidR="00B0355C" w:rsidRPr="00EE6FAC">
              <w:rPr>
                <w:lang w:val="en-NZ"/>
              </w:rPr>
              <w:t>per cent</w:t>
            </w:r>
            <w:r w:rsidR="00585AA7" w:rsidRPr="00EE6FAC">
              <w:rPr>
                <w:lang w:val="en-NZ"/>
              </w:rPr>
              <w:t xml:space="preserve"> of their eligible expenditure on R&amp;D activities. </w:t>
            </w:r>
            <w:r w:rsidR="00585789" w:rsidRPr="00EE6FAC">
              <w:rPr>
                <w:lang w:val="en-NZ"/>
              </w:rPr>
              <w:t>The key design elements propose</w:t>
            </w:r>
            <w:r w:rsidR="007E2172" w:rsidRPr="00EE6FAC">
              <w:rPr>
                <w:lang w:val="en-NZ"/>
              </w:rPr>
              <w:t>d</w:t>
            </w:r>
            <w:r w:rsidR="00585789" w:rsidRPr="00EE6FAC">
              <w:rPr>
                <w:lang w:val="en-NZ"/>
              </w:rPr>
              <w:t xml:space="preserve"> are</w:t>
            </w:r>
            <w:r w:rsidR="00F507C4">
              <w:rPr>
                <w:lang w:val="en-NZ"/>
              </w:rPr>
              <w:t>:</w:t>
            </w:r>
          </w:p>
          <w:p w:rsidR="00F507C4" w:rsidRDefault="00281FDF" w:rsidP="00F507C4">
            <w:pPr>
              <w:pStyle w:val="ListBullet"/>
              <w:rPr>
                <w:lang w:val="en-NZ"/>
              </w:rPr>
            </w:pPr>
            <w:r w:rsidRPr="00EE6FAC">
              <w:rPr>
                <w:lang w:val="en-NZ"/>
              </w:rPr>
              <w:t xml:space="preserve">a credit rate of 15 </w:t>
            </w:r>
            <w:r w:rsidR="00B0355C" w:rsidRPr="00EE6FAC">
              <w:rPr>
                <w:lang w:val="en-NZ"/>
              </w:rPr>
              <w:t>per cent</w:t>
            </w:r>
          </w:p>
          <w:p w:rsidR="00F507C4" w:rsidRDefault="00281FDF" w:rsidP="00F507C4">
            <w:pPr>
              <w:pStyle w:val="ListBullet"/>
              <w:rPr>
                <w:lang w:val="en-NZ"/>
              </w:rPr>
            </w:pPr>
            <w:r w:rsidRPr="00EE6FAC">
              <w:rPr>
                <w:lang w:val="en-NZ"/>
              </w:rPr>
              <w:t>a minimum R&amp;D spending</w:t>
            </w:r>
            <w:r w:rsidR="006929C9">
              <w:rPr>
                <w:lang w:val="en-NZ"/>
              </w:rPr>
              <w:t xml:space="preserve"> threshold of $50,000 per year</w:t>
            </w:r>
          </w:p>
          <w:p w:rsidR="00F507C4" w:rsidRDefault="00281FDF" w:rsidP="00F507C4">
            <w:pPr>
              <w:pStyle w:val="ListBullet"/>
              <w:rPr>
                <w:lang w:val="en-NZ"/>
              </w:rPr>
            </w:pPr>
            <w:r w:rsidRPr="00EE6FAC">
              <w:rPr>
                <w:lang w:val="en-NZ"/>
              </w:rPr>
              <w:t>a maximum cap on R&amp;D e</w:t>
            </w:r>
            <w:r w:rsidR="006929C9">
              <w:rPr>
                <w:lang w:val="en-NZ"/>
              </w:rPr>
              <w:t>xpenditure of $120 million</w:t>
            </w:r>
          </w:p>
          <w:p w:rsidR="00F507C4" w:rsidRDefault="006929C9" w:rsidP="00F507C4">
            <w:pPr>
              <w:pStyle w:val="ListBullet"/>
              <w:rPr>
                <w:lang w:val="en-NZ"/>
              </w:rPr>
            </w:pPr>
            <w:r>
              <w:rPr>
                <w:lang w:val="en-NZ"/>
              </w:rPr>
              <w:t>no R&amp;D intensity threshold</w:t>
            </w:r>
          </w:p>
          <w:p w:rsidR="00D80446" w:rsidRPr="00EE6FAC" w:rsidRDefault="00281FDF" w:rsidP="00F507C4">
            <w:pPr>
              <w:rPr>
                <w:lang w:val="en-NZ"/>
              </w:rPr>
            </w:pPr>
            <w:r w:rsidRPr="00EE6FAC">
              <w:rPr>
                <w:lang w:val="en-NZ"/>
              </w:rPr>
              <w:t>Businesses with insufficient tax liability to use their credits immediately will be able to obtain a refund of their tax credits (at the end of the year for the first two years, and in year from 1 April 2021). It also features various rules that will limit a business’s ability to re-characterise business as usual expenditure as R&amp;D.</w:t>
            </w:r>
          </w:p>
          <w:p w:rsidR="008A214C" w:rsidRDefault="00281FDF" w:rsidP="00C24F94">
            <w:pPr>
              <w:pStyle w:val="TableText"/>
              <w:rPr>
                <w:lang w:val="en-NZ"/>
              </w:rPr>
            </w:pPr>
            <w:r w:rsidRPr="00EE6FAC">
              <w:rPr>
                <w:lang w:val="en-NZ"/>
              </w:rPr>
              <w:t>Following consultation, the credit rate was increased (from 12.5</w:t>
            </w:r>
            <w:r w:rsidR="00F00C86">
              <w:rPr>
                <w:lang w:val="en-NZ"/>
              </w:rPr>
              <w:t xml:space="preserve"> per cent</w:t>
            </w:r>
            <w:r w:rsidRPr="00EE6FAC">
              <w:rPr>
                <w:lang w:val="en-NZ"/>
              </w:rPr>
              <w:t xml:space="preserve">) and the threshold was lowered (from $100,000). In addition, </w:t>
            </w:r>
            <w:r w:rsidR="00732B4F" w:rsidRPr="00EE6FAC">
              <w:rPr>
                <w:lang w:val="en-NZ"/>
              </w:rPr>
              <w:t>the ability to obtain a refund was brought forward to the first year of the Tax Incentive (albeit subject to limitations).</w:t>
            </w:r>
          </w:p>
          <w:p w:rsidR="00F507C4" w:rsidRPr="00EE6FAC" w:rsidRDefault="00F507C4" w:rsidP="00F507C4">
            <w:pPr>
              <w:pStyle w:val="TableText"/>
              <w:rPr>
                <w:lang w:val="en-NZ"/>
              </w:rPr>
            </w:pPr>
            <w:r w:rsidRPr="00EE6FAC">
              <w:rPr>
                <w:lang w:val="en-NZ"/>
              </w:rPr>
              <w:t>We have treated the</w:t>
            </w:r>
            <w:r w:rsidR="00251AEA">
              <w:rPr>
                <w:lang w:val="en-NZ"/>
              </w:rPr>
              <w:t xml:space="preserve"> Growth Grant and R&amp;D Tax Incentive</w:t>
            </w:r>
            <w:r w:rsidRPr="00EE6FAC">
              <w:rPr>
                <w:lang w:val="en-NZ"/>
              </w:rPr>
              <w:t xml:space="preserve"> options as mutually exclusive, as they both subsidise the same R&amp;D activity through different mechanisms. While in theory both schemes could operate side by side (eg, targeted at different types of firms), operating two broad-based subsidy regimes would be inefficient. </w:t>
            </w:r>
          </w:p>
          <w:p w:rsidR="00FE32AF" w:rsidRPr="00EE6FAC" w:rsidRDefault="00F507C4" w:rsidP="00F507C4">
            <w:pPr>
              <w:pStyle w:val="TableText"/>
              <w:rPr>
                <w:rFonts w:cs="Arial"/>
                <w:lang w:val="en-NZ"/>
              </w:rPr>
            </w:pPr>
            <w:r>
              <w:rPr>
                <w:lang w:val="en-NZ"/>
              </w:rPr>
              <w:t xml:space="preserve">Neither option will </w:t>
            </w:r>
            <w:r w:rsidRPr="00EE6FAC">
              <w:rPr>
                <w:lang w:val="en-NZ"/>
              </w:rPr>
              <w:t>stand alone</w:t>
            </w:r>
            <w:r>
              <w:rPr>
                <w:lang w:val="en-NZ"/>
              </w:rPr>
              <w:t xml:space="preserve"> as a solution to the problem</w:t>
            </w:r>
            <w:r w:rsidRPr="00EE6FAC">
              <w:rPr>
                <w:lang w:val="en-NZ"/>
              </w:rPr>
              <w:t>. We have assumed that the Callaghan Innovation Project Grants and the R&amp;D tax-loss cash out w</w:t>
            </w:r>
            <w:r>
              <w:rPr>
                <w:lang w:val="en-NZ"/>
              </w:rPr>
              <w:t>ill</w:t>
            </w:r>
            <w:r w:rsidRPr="00EE6FAC">
              <w:rPr>
                <w:lang w:val="en-NZ"/>
              </w:rPr>
              <w:t xml:space="preserve"> continue as complementary schemes. </w:t>
            </w:r>
            <w:r>
              <w:rPr>
                <w:lang w:val="en-NZ"/>
              </w:rPr>
              <w:t>I</w:t>
            </w:r>
            <w:r w:rsidRPr="00EE6FAC">
              <w:rPr>
                <w:lang w:val="en-NZ"/>
              </w:rPr>
              <w:t xml:space="preserve">t is </w:t>
            </w:r>
            <w:r>
              <w:rPr>
                <w:lang w:val="en-NZ"/>
              </w:rPr>
              <w:t xml:space="preserve">also </w:t>
            </w:r>
            <w:r w:rsidRPr="00EE6FAC">
              <w:rPr>
                <w:lang w:val="en-NZ"/>
              </w:rPr>
              <w:t xml:space="preserve">part of a system of wider government support for New Zealand Science and Innovation covering both public and private R&amp;D. The Government makes an investment of around $1.5B in scientific research through the Strategic Science Investment Fund. It also invests </w:t>
            </w:r>
            <w:r w:rsidRPr="00EE6FAC">
              <w:rPr>
                <w:rFonts w:cs="Arial"/>
                <w:sz w:val="23"/>
                <w:szCs w:val="23"/>
                <w:lang w:val="en-NZ"/>
              </w:rPr>
              <w:t>around $400</w:t>
            </w:r>
            <w:r>
              <w:rPr>
                <w:rFonts w:cs="Arial"/>
                <w:sz w:val="23"/>
                <w:szCs w:val="23"/>
                <w:lang w:val="en-NZ"/>
              </w:rPr>
              <w:t>M</w:t>
            </w:r>
            <w:r w:rsidRPr="00EE6FAC">
              <w:rPr>
                <w:rFonts w:cs="Arial"/>
                <w:sz w:val="23"/>
                <w:szCs w:val="23"/>
                <w:lang w:val="en-NZ"/>
              </w:rPr>
              <w:t xml:space="preserve"> in R&amp;D through the Tertiary Education and Primary Industries portfolios.</w:t>
            </w:r>
          </w:p>
        </w:tc>
      </w:tr>
    </w:tbl>
    <w:p w:rsidR="0062657E" w:rsidRPr="00EE6FAC" w:rsidRDefault="00732B4F" w:rsidP="00372449">
      <w:pPr>
        <w:pStyle w:val="spacer"/>
        <w:tabs>
          <w:tab w:val="left" w:pos="5070"/>
        </w:tabs>
        <w:rPr>
          <w:lang w:val="en-NZ"/>
        </w:rPr>
      </w:pPr>
      <w:r w:rsidRPr="00EE6FAC">
        <w:rPr>
          <w:lang w:val="en-NZ"/>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86"/>
      </w:tblGrid>
      <w:tr w:rsidR="009C4129" w:rsidRPr="00EE6FAC" w:rsidTr="00384E9B">
        <w:trPr>
          <w:trHeight w:val="510"/>
        </w:trPr>
        <w:tc>
          <w:tcPr>
            <w:tcW w:w="5000" w:type="pct"/>
            <w:shd w:val="clear" w:color="auto" w:fill="99CDDD"/>
          </w:tcPr>
          <w:p w:rsidR="0062657E" w:rsidRPr="00EE6FAC" w:rsidRDefault="0062657E" w:rsidP="003C59CE">
            <w:pPr>
              <w:pStyle w:val="Heading3"/>
              <w:rPr>
                <w:lang w:eastAsia="en-AU"/>
              </w:rPr>
            </w:pPr>
            <w:r w:rsidRPr="00EE6FAC">
              <w:rPr>
                <w:lang w:eastAsia="en-AU"/>
              </w:rPr>
              <w:t>3.2 What criteria, in addition to monetary costs and benefits, have been used to assess the likely impacts of the options under consideration?</w:t>
            </w:r>
          </w:p>
        </w:tc>
      </w:tr>
      <w:tr w:rsidR="009C4129" w:rsidRPr="00EE6FAC" w:rsidTr="00384E9B">
        <w:trPr>
          <w:trHeight w:val="2096"/>
        </w:trPr>
        <w:tc>
          <w:tcPr>
            <w:tcW w:w="5000" w:type="pct"/>
            <w:shd w:val="clear" w:color="auto" w:fill="FFFFFF"/>
          </w:tcPr>
          <w:p w:rsidR="003A5DB7" w:rsidRPr="00EE6FAC" w:rsidRDefault="00860ACB" w:rsidP="00CD2A99">
            <w:pPr>
              <w:pStyle w:val="TableText"/>
              <w:rPr>
                <w:lang w:val="en-NZ"/>
              </w:rPr>
            </w:pPr>
            <w:r w:rsidRPr="00EE6FAC">
              <w:rPr>
                <w:lang w:val="en-NZ"/>
              </w:rPr>
              <w:t>The framework for assessing the key policy elements and trade-offs of the proposal is captured by the following criteria:</w:t>
            </w:r>
          </w:p>
          <w:p w:rsidR="00415BC3" w:rsidRPr="00EE6FAC" w:rsidRDefault="00357367" w:rsidP="00CD2A99">
            <w:pPr>
              <w:pStyle w:val="ListBullet"/>
              <w:rPr>
                <w:lang w:val="en-NZ"/>
              </w:rPr>
            </w:pPr>
            <w:r w:rsidRPr="00EE6FAC">
              <w:rPr>
                <w:lang w:val="en-NZ"/>
              </w:rPr>
              <w:t>I</w:t>
            </w:r>
            <w:r w:rsidR="00415BC3" w:rsidRPr="00EE6FAC">
              <w:rPr>
                <w:lang w:val="en-NZ"/>
              </w:rPr>
              <w:t>mpact</w:t>
            </w:r>
            <w:r w:rsidRPr="00EE6FAC">
              <w:rPr>
                <w:lang w:val="en-NZ"/>
              </w:rPr>
              <w:t xml:space="preserve"> </w:t>
            </w:r>
            <w:r w:rsidR="00415BC3" w:rsidRPr="00EE6FAC">
              <w:rPr>
                <w:lang w:val="en-NZ"/>
              </w:rPr>
              <w:t xml:space="preserve">on </w:t>
            </w:r>
            <w:r w:rsidR="003F7171" w:rsidRPr="00EE6FAC">
              <w:rPr>
                <w:lang w:val="en-NZ"/>
              </w:rPr>
              <w:t xml:space="preserve">business </w:t>
            </w:r>
            <w:r w:rsidR="00415BC3" w:rsidRPr="00EE6FAC">
              <w:rPr>
                <w:lang w:val="en-NZ"/>
              </w:rPr>
              <w:t xml:space="preserve">R&amp;D </w:t>
            </w:r>
            <w:r w:rsidRPr="00EE6FAC">
              <w:rPr>
                <w:lang w:val="en-NZ"/>
              </w:rPr>
              <w:t>expenditure</w:t>
            </w:r>
          </w:p>
          <w:p w:rsidR="007E6CCA" w:rsidRPr="00EE6FAC" w:rsidRDefault="007E6CCA" w:rsidP="003F4C19">
            <w:pPr>
              <w:pStyle w:val="ListBullet"/>
              <w:rPr>
                <w:lang w:val="en-NZ"/>
              </w:rPr>
            </w:pPr>
            <w:r w:rsidRPr="00EE6FAC">
              <w:rPr>
                <w:lang w:val="en-NZ"/>
              </w:rPr>
              <w:t xml:space="preserve">Impact on </w:t>
            </w:r>
            <w:r w:rsidR="003F4C19" w:rsidRPr="00EE6FAC">
              <w:rPr>
                <w:lang w:val="en-NZ"/>
              </w:rPr>
              <w:t xml:space="preserve">innovative activity, </w:t>
            </w:r>
            <w:r w:rsidRPr="00EE6FAC">
              <w:rPr>
                <w:lang w:val="en-NZ"/>
              </w:rPr>
              <w:t xml:space="preserve">employment, </w:t>
            </w:r>
            <w:r w:rsidR="008B40CC" w:rsidRPr="00EE6FAC">
              <w:rPr>
                <w:lang w:val="en-NZ"/>
              </w:rPr>
              <w:t>output,</w:t>
            </w:r>
            <w:r w:rsidRPr="00EE6FAC">
              <w:rPr>
                <w:lang w:val="en-NZ"/>
              </w:rPr>
              <w:t xml:space="preserve"> </w:t>
            </w:r>
            <w:r w:rsidR="003F4C19" w:rsidRPr="00EE6FAC">
              <w:rPr>
                <w:lang w:val="en-NZ"/>
              </w:rPr>
              <w:t xml:space="preserve">economic productivity, </w:t>
            </w:r>
            <w:r w:rsidRPr="00EE6FAC">
              <w:rPr>
                <w:lang w:val="en-NZ"/>
              </w:rPr>
              <w:t>etc</w:t>
            </w:r>
            <w:r w:rsidR="00744063" w:rsidRPr="00EE6FAC">
              <w:rPr>
                <w:lang w:val="en-NZ"/>
              </w:rPr>
              <w:t>.</w:t>
            </w:r>
          </w:p>
          <w:p w:rsidR="0062657E" w:rsidRPr="00EE6FAC" w:rsidRDefault="00F82F97" w:rsidP="00CD2A99">
            <w:pPr>
              <w:pStyle w:val="ListBullet"/>
              <w:rPr>
                <w:lang w:val="en-NZ"/>
              </w:rPr>
            </w:pPr>
            <w:r w:rsidRPr="00EE6FAC">
              <w:rPr>
                <w:lang w:val="en-NZ"/>
              </w:rPr>
              <w:t>Compliance costs for firms</w:t>
            </w:r>
            <w:r w:rsidR="00CD2A99" w:rsidRPr="00EE6FAC">
              <w:rPr>
                <w:lang w:val="en-NZ"/>
              </w:rPr>
              <w:t xml:space="preserve"> </w:t>
            </w:r>
          </w:p>
          <w:p w:rsidR="00666F3B" w:rsidRPr="00EE6FAC" w:rsidRDefault="00C96B15" w:rsidP="00CD2A99">
            <w:pPr>
              <w:pStyle w:val="ListBullet"/>
              <w:rPr>
                <w:lang w:val="en-NZ"/>
              </w:rPr>
            </w:pPr>
            <w:r w:rsidRPr="00EE6FAC">
              <w:rPr>
                <w:lang w:val="en-NZ"/>
              </w:rPr>
              <w:t>Impact on b</w:t>
            </w:r>
            <w:r w:rsidR="00666F3B" w:rsidRPr="00EE6FAC">
              <w:rPr>
                <w:lang w:val="en-NZ"/>
              </w:rPr>
              <w:t>usiness certainty over time</w:t>
            </w:r>
          </w:p>
          <w:p w:rsidR="0071156A" w:rsidRPr="00EE6FAC" w:rsidRDefault="0071156A" w:rsidP="00666F3B">
            <w:pPr>
              <w:pStyle w:val="ListBullet"/>
              <w:rPr>
                <w:lang w:val="en-NZ"/>
              </w:rPr>
            </w:pPr>
            <w:r w:rsidRPr="00EE6FAC">
              <w:rPr>
                <w:lang w:val="en-NZ"/>
              </w:rPr>
              <w:t>Administrative feasibility</w:t>
            </w:r>
          </w:p>
          <w:p w:rsidR="000C50FB" w:rsidRPr="00EE6FAC" w:rsidRDefault="002D7E4D" w:rsidP="00C96B15">
            <w:pPr>
              <w:pStyle w:val="ListBullet"/>
              <w:rPr>
                <w:lang w:val="en-NZ"/>
              </w:rPr>
            </w:pPr>
            <w:r w:rsidRPr="00EE6FAC">
              <w:rPr>
                <w:lang w:val="en-NZ"/>
              </w:rPr>
              <w:t>Fiscal costs/ris</w:t>
            </w:r>
            <w:r w:rsidR="00C96B15" w:rsidRPr="00EE6FAC">
              <w:rPr>
                <w:lang w:val="en-NZ"/>
              </w:rPr>
              <w:t>k</w:t>
            </w:r>
          </w:p>
        </w:tc>
      </w:tr>
    </w:tbl>
    <w:p w:rsidR="0062657E" w:rsidRPr="00EE6FAC" w:rsidRDefault="00756566" w:rsidP="00756566">
      <w:pPr>
        <w:pStyle w:val="spacer"/>
        <w:tabs>
          <w:tab w:val="left" w:pos="7050"/>
        </w:tabs>
        <w:rPr>
          <w:lang w:val="en-NZ"/>
        </w:rPr>
      </w:pPr>
      <w:r w:rsidRPr="00EE6FAC">
        <w:rPr>
          <w:lang w:val="en-NZ"/>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EE6FAC" w:rsidTr="004A11FC">
        <w:trPr>
          <w:trHeight w:val="124"/>
        </w:trPr>
        <w:tc>
          <w:tcPr>
            <w:tcW w:w="5000" w:type="pct"/>
            <w:shd w:val="clear" w:color="auto" w:fill="99CDDD"/>
          </w:tcPr>
          <w:p w:rsidR="0062657E" w:rsidRPr="00EE6FAC" w:rsidRDefault="0062657E" w:rsidP="00114CB2">
            <w:pPr>
              <w:pStyle w:val="Heading3"/>
              <w:rPr>
                <w:lang w:eastAsia="en-AU"/>
              </w:rPr>
            </w:pPr>
            <w:r w:rsidRPr="00EE6FAC">
              <w:rPr>
                <w:lang w:eastAsia="en-AU"/>
              </w:rPr>
              <w:t>3.3</w:t>
            </w:r>
            <w:r w:rsidR="00A514AC" w:rsidRPr="00EE6FAC">
              <w:rPr>
                <w:lang w:eastAsia="en-AU"/>
              </w:rPr>
              <w:t xml:space="preserve"> </w:t>
            </w:r>
            <w:r w:rsidRPr="00EE6FAC">
              <w:rPr>
                <w:lang w:eastAsia="en-AU"/>
              </w:rPr>
              <w:t>What other options have been ruled out of scope, or not considered, and why?</w:t>
            </w:r>
          </w:p>
        </w:tc>
      </w:tr>
      <w:tr w:rsidR="009C4129" w:rsidRPr="00EE6FAC" w:rsidTr="00666F3B">
        <w:trPr>
          <w:trHeight w:val="458"/>
        </w:trPr>
        <w:tc>
          <w:tcPr>
            <w:tcW w:w="5000" w:type="pct"/>
            <w:shd w:val="clear" w:color="auto" w:fill="FFFFFF"/>
          </w:tcPr>
          <w:p w:rsidR="00744063" w:rsidRPr="00EE6FAC" w:rsidRDefault="00784D64" w:rsidP="00116799">
            <w:pPr>
              <w:pStyle w:val="TableText"/>
              <w:rPr>
                <w:lang w:val="en-NZ"/>
              </w:rPr>
            </w:pPr>
            <w:r w:rsidRPr="00EE6FAC">
              <w:rPr>
                <w:lang w:val="en-NZ"/>
              </w:rPr>
              <w:t xml:space="preserve">We have assumed that some form of </w:t>
            </w:r>
            <w:r w:rsidR="00B6251C" w:rsidRPr="00EE6FAC">
              <w:rPr>
                <w:lang w:val="en-NZ"/>
              </w:rPr>
              <w:t xml:space="preserve">non-discretionary </w:t>
            </w:r>
            <w:r w:rsidR="00794E18" w:rsidRPr="00EE6FAC">
              <w:rPr>
                <w:lang w:val="en-NZ"/>
              </w:rPr>
              <w:t xml:space="preserve">public subsidy would continue, </w:t>
            </w:r>
            <w:r w:rsidRPr="00EE6FAC">
              <w:rPr>
                <w:lang w:val="en-NZ"/>
              </w:rPr>
              <w:t xml:space="preserve">either a </w:t>
            </w:r>
            <w:r w:rsidR="00B6251C" w:rsidRPr="00EE6FAC">
              <w:rPr>
                <w:lang w:val="en-NZ"/>
              </w:rPr>
              <w:t>Growth G</w:t>
            </w:r>
            <w:r w:rsidRPr="00EE6FAC">
              <w:rPr>
                <w:lang w:val="en-NZ"/>
              </w:rPr>
              <w:t xml:space="preserve">rant or a </w:t>
            </w:r>
            <w:r w:rsidR="00B6251C" w:rsidRPr="00EE6FAC">
              <w:rPr>
                <w:lang w:val="en-NZ"/>
              </w:rPr>
              <w:t>R&amp;D T</w:t>
            </w:r>
            <w:r w:rsidRPr="00EE6FAC">
              <w:rPr>
                <w:lang w:val="en-NZ"/>
              </w:rPr>
              <w:t xml:space="preserve">ax </w:t>
            </w:r>
            <w:r w:rsidR="00B6251C" w:rsidRPr="00EE6FAC">
              <w:rPr>
                <w:lang w:val="en-NZ"/>
              </w:rPr>
              <w:t>I</w:t>
            </w:r>
            <w:r w:rsidR="00931F86" w:rsidRPr="00EE6FAC">
              <w:rPr>
                <w:lang w:val="en-NZ"/>
              </w:rPr>
              <w:t>ncentive</w:t>
            </w:r>
            <w:r w:rsidR="00450727" w:rsidRPr="00EE6FAC">
              <w:rPr>
                <w:lang w:val="en-NZ"/>
              </w:rPr>
              <w:t xml:space="preserve">. </w:t>
            </w:r>
            <w:r w:rsidR="00F82F97" w:rsidRPr="00EE6FAC">
              <w:rPr>
                <w:lang w:val="en-NZ"/>
              </w:rPr>
              <w:t>We have therefore not considered the option of no subsidy</w:t>
            </w:r>
            <w:r w:rsidR="00585789" w:rsidRPr="00EE6FAC">
              <w:rPr>
                <w:lang w:val="en-NZ"/>
              </w:rPr>
              <w:t xml:space="preserve"> for R&amp;D</w:t>
            </w:r>
            <w:r w:rsidR="00F82F97" w:rsidRPr="00EE6FAC">
              <w:rPr>
                <w:lang w:val="en-NZ"/>
              </w:rPr>
              <w:t>.</w:t>
            </w:r>
          </w:p>
          <w:p w:rsidR="00AD03DC" w:rsidRPr="00EE6FAC" w:rsidRDefault="00666F3B" w:rsidP="00B54E8D">
            <w:pPr>
              <w:pStyle w:val="TableText"/>
              <w:rPr>
                <w:lang w:val="en-NZ"/>
              </w:rPr>
            </w:pPr>
            <w:r w:rsidRPr="00EE6FAC">
              <w:rPr>
                <w:lang w:val="en-NZ"/>
              </w:rPr>
              <w:t>At the same time, given the campaign commitments of both Government parties to introduce a R&amp;D Tax Incentive, we have not considered the option of significantly reforming the Growth Grant scheme.</w:t>
            </w:r>
          </w:p>
        </w:tc>
      </w:tr>
    </w:tbl>
    <w:p w:rsidR="0062657E" w:rsidRPr="00EE6FAC" w:rsidRDefault="0062657E" w:rsidP="007B090A">
      <w:pPr>
        <w:pStyle w:val="spacer"/>
        <w:spacing w:line="276" w:lineRule="auto"/>
        <w:rPr>
          <w:sz w:val="22"/>
          <w:lang w:val="en-NZ"/>
        </w:rPr>
      </w:pPr>
    </w:p>
    <w:p w:rsidR="0062657E" w:rsidRPr="00EE6FAC" w:rsidRDefault="0062657E" w:rsidP="00C17661">
      <w:pPr>
        <w:pStyle w:val="spacer"/>
        <w:rPr>
          <w:lang w:val="en-NZ"/>
        </w:rPr>
        <w:sectPr w:rsidR="0062657E" w:rsidRPr="00EE6FAC" w:rsidSect="00FA7EFC">
          <w:headerReference w:type="default" r:id="rId11"/>
          <w:footerReference w:type="default" r:id="rId12"/>
          <w:pgSz w:w="11906" w:h="16838"/>
          <w:pgMar w:top="1134" w:right="1418" w:bottom="992" w:left="1418" w:header="709" w:footer="709" w:gutter="0"/>
          <w:cols w:space="708"/>
          <w:docGrid w:linePitch="360"/>
        </w:sectPr>
      </w:pPr>
    </w:p>
    <w:p w:rsidR="0062657E" w:rsidRPr="00EE6FAC" w:rsidRDefault="0062657E" w:rsidP="00B9498A">
      <w:pPr>
        <w:pStyle w:val="Heading4"/>
        <w:rPr>
          <w:bCs w:val="0"/>
          <w:color w:val="0082AB"/>
          <w:spacing w:val="20"/>
          <w:w w:val="90"/>
          <w:sz w:val="24"/>
          <w:szCs w:val="24"/>
          <w:lang w:val="en-NZ"/>
        </w:rPr>
      </w:pPr>
      <w:r w:rsidRPr="00EE6FAC">
        <w:rPr>
          <w:bCs w:val="0"/>
          <w:color w:val="0082AB"/>
          <w:spacing w:val="20"/>
          <w:w w:val="90"/>
          <w:sz w:val="24"/>
          <w:szCs w:val="24"/>
          <w:lang w:val="en-NZ"/>
        </w:rPr>
        <w:t>Section 4:</w:t>
      </w:r>
      <w:r w:rsidR="00A514AC" w:rsidRPr="00EE6FAC">
        <w:rPr>
          <w:bCs w:val="0"/>
          <w:color w:val="0082AB"/>
          <w:spacing w:val="20"/>
          <w:w w:val="90"/>
          <w:sz w:val="24"/>
          <w:szCs w:val="24"/>
          <w:lang w:val="en-NZ"/>
        </w:rPr>
        <w:t xml:space="preserve"> </w:t>
      </w:r>
      <w:r w:rsidRPr="00EE6FAC">
        <w:rPr>
          <w:bCs w:val="0"/>
          <w:color w:val="0082AB"/>
          <w:spacing w:val="20"/>
          <w:w w:val="90"/>
          <w:sz w:val="24"/>
          <w:szCs w:val="24"/>
          <w:lang w:val="en-NZ"/>
        </w:rPr>
        <w:t>Impact Analysis</w:t>
      </w:r>
    </w:p>
    <w:p w:rsidR="0049234F" w:rsidRPr="00EE6FAC" w:rsidRDefault="009435C4" w:rsidP="00931F86">
      <w:pPr>
        <w:spacing w:after="0" w:line="276" w:lineRule="auto"/>
        <w:rPr>
          <w:lang w:val="en-NZ"/>
        </w:rPr>
      </w:pPr>
      <w:r w:rsidRPr="00EE6FAC">
        <w:rPr>
          <w:rFonts w:cs="Arial"/>
          <w:b/>
          <w:szCs w:val="22"/>
          <w:lang w:val="en-NZ"/>
        </w:rPr>
        <w:t>Marginal impact: How does each of the options identified at section 3.1 compare with the counterfactual, under each of the criteria set out in section 3.2?</w:t>
      </w:r>
      <w:r w:rsidR="0049234F" w:rsidRPr="00EE6FAC">
        <w:rPr>
          <w:lang w:val="en-NZ"/>
        </w:rPr>
        <w:t xml:space="preserve"> </w:t>
      </w:r>
    </w:p>
    <w:p w:rsidR="009435C4" w:rsidRPr="00EE6FAC" w:rsidRDefault="009435C4" w:rsidP="0049234F">
      <w:pPr>
        <w:pStyle w:val="spacer"/>
        <w:rPr>
          <w:lang w:val="en-NZ"/>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857"/>
        <w:gridCol w:w="6858"/>
      </w:tblGrid>
      <w:tr w:rsidR="001F6099" w:rsidRPr="00EE6FAC" w:rsidTr="00F30E49">
        <w:tc>
          <w:tcPr>
            <w:tcW w:w="1736" w:type="dxa"/>
            <w:shd w:val="clear" w:color="auto" w:fill="99CDDD"/>
          </w:tcPr>
          <w:p w:rsidR="001F6099" w:rsidRPr="00EE6FAC" w:rsidRDefault="001F6099" w:rsidP="00114CB2">
            <w:pPr>
              <w:pStyle w:val="Heading3"/>
            </w:pPr>
          </w:p>
        </w:tc>
        <w:tc>
          <w:tcPr>
            <w:tcW w:w="6857" w:type="dxa"/>
            <w:shd w:val="clear" w:color="auto" w:fill="99CDDD"/>
          </w:tcPr>
          <w:p w:rsidR="001F6099" w:rsidRPr="00EE6FAC" w:rsidRDefault="001F6099" w:rsidP="00114CB2">
            <w:pPr>
              <w:pStyle w:val="Heading3"/>
              <w:rPr>
                <w:color w:val="000000"/>
              </w:rPr>
            </w:pPr>
            <w:r w:rsidRPr="00EE6FAC">
              <w:rPr>
                <w:color w:val="000000"/>
              </w:rPr>
              <w:t>Growth Grants (Status quo)</w:t>
            </w:r>
          </w:p>
        </w:tc>
        <w:tc>
          <w:tcPr>
            <w:tcW w:w="6858" w:type="dxa"/>
            <w:shd w:val="clear" w:color="auto" w:fill="99CDDD"/>
          </w:tcPr>
          <w:p w:rsidR="001F6099" w:rsidRPr="00EE6FAC" w:rsidRDefault="001F6099" w:rsidP="00114CB2">
            <w:pPr>
              <w:pStyle w:val="Heading3"/>
              <w:rPr>
                <w:color w:val="000000"/>
                <w:highlight w:val="yellow"/>
              </w:rPr>
            </w:pPr>
            <w:r w:rsidRPr="00EE6FAC">
              <w:rPr>
                <w:color w:val="000000"/>
              </w:rPr>
              <w:t>R&amp;D Tax Incentive</w:t>
            </w:r>
          </w:p>
        </w:tc>
      </w:tr>
      <w:tr w:rsidR="003F4C19" w:rsidRPr="00EE6FAC" w:rsidTr="00F30E49">
        <w:trPr>
          <w:trHeight w:val="1616"/>
        </w:trPr>
        <w:tc>
          <w:tcPr>
            <w:tcW w:w="1736" w:type="dxa"/>
            <w:tcBorders>
              <w:top w:val="single" w:sz="4" w:space="0" w:color="auto"/>
              <w:left w:val="single" w:sz="4" w:space="0" w:color="auto"/>
              <w:right w:val="single" w:sz="4" w:space="0" w:color="auto"/>
            </w:tcBorders>
            <w:shd w:val="clear" w:color="auto" w:fill="99CDDD"/>
          </w:tcPr>
          <w:p w:rsidR="003F4C19" w:rsidRPr="00EE6FAC" w:rsidRDefault="003F4C19" w:rsidP="00CC6D2A">
            <w:pPr>
              <w:spacing w:before="60" w:after="60" w:line="240" w:lineRule="auto"/>
              <w:rPr>
                <w:rFonts w:cs="Arial"/>
                <w:szCs w:val="22"/>
                <w:lang w:val="en-NZ" w:eastAsia="en-AU"/>
              </w:rPr>
            </w:pPr>
            <w:r w:rsidRPr="00EE6FAC">
              <w:rPr>
                <w:rFonts w:cs="Arial"/>
                <w:szCs w:val="22"/>
                <w:lang w:val="en-NZ" w:eastAsia="en-AU"/>
              </w:rPr>
              <w:t>Impact on business R&amp;D expenditure</w:t>
            </w:r>
            <w:r w:rsidRPr="00EE6FAC" w:rsidDel="003160BC">
              <w:rPr>
                <w:rFonts w:cs="Arial"/>
                <w:b/>
                <w:color w:val="000000"/>
                <w:szCs w:val="22"/>
                <w:lang w:val="en-NZ"/>
              </w:rPr>
              <w:t xml:space="preserve"> </w:t>
            </w:r>
          </w:p>
        </w:tc>
        <w:tc>
          <w:tcPr>
            <w:tcW w:w="6857" w:type="dxa"/>
            <w:tcBorders>
              <w:top w:val="single" w:sz="4" w:space="0" w:color="auto"/>
              <w:left w:val="single" w:sz="4" w:space="0" w:color="auto"/>
              <w:right w:val="single" w:sz="4" w:space="0" w:color="auto"/>
            </w:tcBorders>
            <w:shd w:val="clear" w:color="auto" w:fill="auto"/>
          </w:tcPr>
          <w:p w:rsidR="003F4C19" w:rsidRPr="00EE6FAC" w:rsidRDefault="005C10F6" w:rsidP="00585789">
            <w:pPr>
              <w:pStyle w:val="TableText"/>
              <w:rPr>
                <w:lang w:val="en-NZ"/>
              </w:rPr>
            </w:pPr>
            <w:r w:rsidRPr="00EE6FAC">
              <w:rPr>
                <w:lang w:val="en-NZ"/>
              </w:rPr>
              <w:t xml:space="preserve">Targeted at firms with stable, high-intensity R&amp;D activity. </w:t>
            </w:r>
            <w:r w:rsidR="003F4C19" w:rsidRPr="00EE6FAC">
              <w:rPr>
                <w:lang w:val="en-NZ"/>
              </w:rPr>
              <w:t xml:space="preserve">Out of 4500 R&amp;D performers estimated by the Business Operations Survey 2017, </w:t>
            </w:r>
            <w:r w:rsidRPr="00EE6FAC">
              <w:rPr>
                <w:lang w:val="en-NZ"/>
              </w:rPr>
              <w:t xml:space="preserve">only </w:t>
            </w:r>
            <w:r w:rsidR="003F4C19" w:rsidRPr="00EE6FAC">
              <w:rPr>
                <w:lang w:val="en-NZ"/>
              </w:rPr>
              <w:t>316 firms received a Growth Grants in 2017/18 (albeit those that perform the majority of BERD).</w:t>
            </w:r>
          </w:p>
        </w:tc>
        <w:tc>
          <w:tcPr>
            <w:tcW w:w="6858" w:type="dxa"/>
            <w:tcBorders>
              <w:top w:val="single" w:sz="4" w:space="0" w:color="auto"/>
              <w:left w:val="single" w:sz="4" w:space="0" w:color="auto"/>
              <w:right w:val="single" w:sz="4" w:space="0" w:color="auto"/>
            </w:tcBorders>
            <w:shd w:val="clear" w:color="auto" w:fill="auto"/>
          </w:tcPr>
          <w:p w:rsidR="003F4C19" w:rsidRPr="00EE6FAC" w:rsidRDefault="005C10F6" w:rsidP="00037754">
            <w:pPr>
              <w:pStyle w:val="TableText"/>
              <w:rPr>
                <w:lang w:val="en-NZ"/>
              </w:rPr>
            </w:pPr>
            <w:r w:rsidRPr="00EE6FAC">
              <w:rPr>
                <w:lang w:val="en-NZ"/>
              </w:rPr>
              <w:t xml:space="preserve">Expected to have wider coverage, particularly among smaller firms. </w:t>
            </w:r>
            <w:r w:rsidR="003F4C19" w:rsidRPr="00EE6FAC">
              <w:rPr>
                <w:lang w:val="en-NZ"/>
              </w:rPr>
              <w:t xml:space="preserve">The 2008 tax credit had over 600 participants. </w:t>
            </w:r>
            <w:r w:rsidRPr="00EE6FAC">
              <w:rPr>
                <w:lang w:val="en-NZ"/>
              </w:rPr>
              <w:t xml:space="preserve">It is estimated </w:t>
            </w:r>
            <w:r w:rsidR="003F4C19" w:rsidRPr="00EE6FAC">
              <w:rPr>
                <w:lang w:val="en-NZ"/>
              </w:rPr>
              <w:t>that approx. 1500-2000 R&amp;D performing firms will be eligible</w:t>
            </w:r>
            <w:r w:rsidR="00585789" w:rsidRPr="00EE6FAC">
              <w:rPr>
                <w:lang w:val="en-NZ"/>
              </w:rPr>
              <w:t xml:space="preserve"> in 2019</w:t>
            </w:r>
            <w:r w:rsidR="003F4C19" w:rsidRPr="00EE6FAC">
              <w:rPr>
                <w:lang w:val="en-NZ"/>
              </w:rPr>
              <w:t>.</w:t>
            </w:r>
            <w:r w:rsidR="00A514AC" w:rsidRPr="00EE6FAC">
              <w:rPr>
                <w:lang w:val="en-NZ"/>
              </w:rPr>
              <w:t xml:space="preserve"> </w:t>
            </w:r>
            <w:r w:rsidRPr="00EE6FAC">
              <w:rPr>
                <w:lang w:val="en-NZ"/>
              </w:rPr>
              <w:t>The h</w:t>
            </w:r>
            <w:r w:rsidR="003F4C19" w:rsidRPr="00EE6FAC">
              <w:rPr>
                <w:lang w:val="en-NZ"/>
              </w:rPr>
              <w:t>igher total amount of subsidy</w:t>
            </w:r>
            <w:r w:rsidRPr="00EE6FAC">
              <w:rPr>
                <w:lang w:val="en-NZ"/>
              </w:rPr>
              <w:t xml:space="preserve"> and the </w:t>
            </w:r>
            <w:r w:rsidR="003F4C19" w:rsidRPr="00EE6FAC">
              <w:rPr>
                <w:lang w:val="en-NZ"/>
              </w:rPr>
              <w:t>wider coverage</w:t>
            </w:r>
            <w:r w:rsidRPr="00EE6FAC">
              <w:rPr>
                <w:lang w:val="en-NZ"/>
              </w:rPr>
              <w:t xml:space="preserve"> </w:t>
            </w:r>
            <w:r w:rsidR="00585789" w:rsidRPr="00EE6FAC">
              <w:rPr>
                <w:lang w:val="en-NZ"/>
              </w:rPr>
              <w:t xml:space="preserve">is </w:t>
            </w:r>
            <w:r w:rsidR="003F4C19" w:rsidRPr="00EE6FAC">
              <w:rPr>
                <w:lang w:val="en-NZ"/>
              </w:rPr>
              <w:t xml:space="preserve">expected to </w:t>
            </w:r>
            <w:r w:rsidRPr="00EE6FAC">
              <w:rPr>
                <w:lang w:val="en-NZ"/>
              </w:rPr>
              <w:t>lead to</w:t>
            </w:r>
            <w:r w:rsidR="003F4C19" w:rsidRPr="00EE6FAC">
              <w:rPr>
                <w:lang w:val="en-NZ"/>
              </w:rPr>
              <w:t xml:space="preserve"> </w:t>
            </w:r>
            <w:r w:rsidRPr="00EE6FAC">
              <w:rPr>
                <w:lang w:val="en-NZ"/>
              </w:rPr>
              <w:t xml:space="preserve">significantly </w:t>
            </w:r>
            <w:r w:rsidR="003F4C19" w:rsidRPr="00EE6FAC">
              <w:rPr>
                <w:lang w:val="en-NZ"/>
              </w:rPr>
              <w:t>higher R&amp;D expenditure. (</w:t>
            </w:r>
            <w:r w:rsidRPr="00EE6FAC">
              <w:rPr>
                <w:lang w:val="en-NZ"/>
              </w:rPr>
              <w:t>+</w:t>
            </w:r>
            <w:r w:rsidR="003F4C19" w:rsidRPr="00EE6FAC">
              <w:rPr>
                <w:lang w:val="en-NZ"/>
              </w:rPr>
              <w:t>+)</w:t>
            </w:r>
          </w:p>
        </w:tc>
      </w:tr>
      <w:tr w:rsidR="003F4C19" w:rsidRPr="00EE6FAC" w:rsidTr="00F30E49">
        <w:trPr>
          <w:trHeight w:val="1823"/>
        </w:trPr>
        <w:tc>
          <w:tcPr>
            <w:tcW w:w="1736" w:type="dxa"/>
            <w:shd w:val="clear" w:color="auto" w:fill="99CDDD"/>
          </w:tcPr>
          <w:p w:rsidR="003F4C19" w:rsidRPr="00EE6FAC" w:rsidRDefault="003F4C19" w:rsidP="00CC6D2A">
            <w:pPr>
              <w:spacing w:before="60" w:after="60" w:line="240" w:lineRule="auto"/>
              <w:rPr>
                <w:rFonts w:cs="Arial"/>
                <w:b/>
                <w:color w:val="000000"/>
                <w:szCs w:val="22"/>
                <w:lang w:val="en-NZ"/>
              </w:rPr>
            </w:pPr>
            <w:r w:rsidRPr="00EE6FAC">
              <w:rPr>
                <w:rFonts w:cs="Arial"/>
                <w:szCs w:val="22"/>
                <w:lang w:val="en-NZ" w:eastAsia="en-AU"/>
              </w:rPr>
              <w:t>Impact on innovative activity</w:t>
            </w:r>
            <w:r w:rsidR="005C10F6" w:rsidRPr="00EE6FAC">
              <w:rPr>
                <w:rFonts w:cs="Arial"/>
                <w:szCs w:val="22"/>
                <w:lang w:val="en-NZ" w:eastAsia="en-AU"/>
              </w:rPr>
              <w:t xml:space="preserve">, </w:t>
            </w:r>
            <w:r w:rsidR="005C10F6" w:rsidRPr="00EE6FAC">
              <w:rPr>
                <w:szCs w:val="22"/>
                <w:lang w:val="en-NZ"/>
              </w:rPr>
              <w:t>employment, output, economic productivity, etc.</w:t>
            </w:r>
          </w:p>
        </w:tc>
        <w:tc>
          <w:tcPr>
            <w:tcW w:w="6857" w:type="dxa"/>
            <w:shd w:val="clear" w:color="auto" w:fill="auto"/>
          </w:tcPr>
          <w:p w:rsidR="003F4C19" w:rsidRPr="00EE6FAC" w:rsidRDefault="003F4C19" w:rsidP="00585789">
            <w:pPr>
              <w:pStyle w:val="TableText"/>
              <w:rPr>
                <w:lang w:val="en-NZ"/>
              </w:rPr>
            </w:pPr>
            <w:r w:rsidRPr="00EE6FAC">
              <w:rPr>
                <w:lang w:val="en-NZ"/>
              </w:rPr>
              <w:t>Although no direct evidence, it is expected that Growth Grants increase</w:t>
            </w:r>
            <w:r w:rsidR="00585789" w:rsidRPr="00EE6FAC">
              <w:rPr>
                <w:lang w:val="en-NZ"/>
              </w:rPr>
              <w:t xml:space="preserve"> the</w:t>
            </w:r>
            <w:r w:rsidRPr="00EE6FAC">
              <w:rPr>
                <w:lang w:val="en-NZ"/>
              </w:rPr>
              <w:t xml:space="preserve"> likelihood of both patenting and introducing new products</w:t>
            </w:r>
            <w:r w:rsidR="005C10F6" w:rsidRPr="00EE6FAC">
              <w:rPr>
                <w:lang w:val="en-NZ"/>
              </w:rPr>
              <w:t>, and result in</w:t>
            </w:r>
            <w:r w:rsidRPr="00EE6FAC">
              <w:rPr>
                <w:lang w:val="en-NZ"/>
              </w:rPr>
              <w:t xml:space="preserve"> higher employment and labour productivity </w:t>
            </w:r>
            <w:r w:rsidR="009D3971" w:rsidRPr="00EE6FAC">
              <w:rPr>
                <w:lang w:val="en-NZ"/>
              </w:rPr>
              <w:t xml:space="preserve">for recipients </w:t>
            </w:r>
            <w:r w:rsidRPr="00EE6FAC">
              <w:rPr>
                <w:lang w:val="en-NZ"/>
              </w:rPr>
              <w:t xml:space="preserve">than they would otherwise. </w:t>
            </w:r>
            <w:r w:rsidR="009D3971" w:rsidRPr="00EE6FAC">
              <w:rPr>
                <w:lang w:val="en-NZ"/>
              </w:rPr>
              <w:t>It also leads to spillovers benefits for other participants in the economy.</w:t>
            </w:r>
          </w:p>
        </w:tc>
        <w:tc>
          <w:tcPr>
            <w:tcW w:w="6858" w:type="dxa"/>
            <w:shd w:val="clear" w:color="auto" w:fill="auto"/>
          </w:tcPr>
          <w:p w:rsidR="003F4C19" w:rsidRPr="00EE6FAC" w:rsidRDefault="003F4C19" w:rsidP="00585789">
            <w:pPr>
              <w:pStyle w:val="TableText"/>
              <w:rPr>
                <w:lang w:val="en-NZ"/>
              </w:rPr>
            </w:pPr>
            <w:r w:rsidRPr="00EE6FAC">
              <w:rPr>
                <w:lang w:val="en-NZ"/>
              </w:rPr>
              <w:t xml:space="preserve">Increased </w:t>
            </w:r>
            <w:r w:rsidR="009D3971" w:rsidRPr="00EE6FAC">
              <w:rPr>
                <w:lang w:val="en-NZ"/>
              </w:rPr>
              <w:t>coverage of R&amp;D-performing</w:t>
            </w:r>
            <w:r w:rsidRPr="00EE6FAC">
              <w:rPr>
                <w:lang w:val="en-NZ"/>
              </w:rPr>
              <w:t xml:space="preserve"> </w:t>
            </w:r>
            <w:r w:rsidR="009D3971" w:rsidRPr="00EE6FAC">
              <w:rPr>
                <w:lang w:val="en-NZ"/>
              </w:rPr>
              <w:t xml:space="preserve">firms (and higher incentives for firms to engage in R&amp;D) expected </w:t>
            </w:r>
            <w:r w:rsidRPr="00EE6FAC">
              <w:rPr>
                <w:lang w:val="en-NZ"/>
              </w:rPr>
              <w:t>to result in some increase in innovative activity</w:t>
            </w:r>
            <w:r w:rsidR="009D3971" w:rsidRPr="00EE6FAC">
              <w:rPr>
                <w:lang w:val="en-NZ"/>
              </w:rPr>
              <w:t xml:space="preserve">, </w:t>
            </w:r>
            <w:r w:rsidRPr="00EE6FAC">
              <w:rPr>
                <w:lang w:val="en-NZ"/>
              </w:rPr>
              <w:t>employment</w:t>
            </w:r>
            <w:r w:rsidR="009D3971" w:rsidRPr="00EE6FAC">
              <w:rPr>
                <w:lang w:val="en-NZ"/>
              </w:rPr>
              <w:t>,</w:t>
            </w:r>
            <w:r w:rsidRPr="00EE6FAC">
              <w:rPr>
                <w:lang w:val="en-NZ"/>
              </w:rPr>
              <w:t xml:space="preserve"> and labour productivity growth, </w:t>
            </w:r>
            <w:r w:rsidR="009D3971" w:rsidRPr="00EE6FAC">
              <w:rPr>
                <w:lang w:val="en-NZ"/>
              </w:rPr>
              <w:t xml:space="preserve">particularly </w:t>
            </w:r>
            <w:r w:rsidRPr="00EE6FAC">
              <w:rPr>
                <w:lang w:val="en-NZ"/>
              </w:rPr>
              <w:t xml:space="preserve">among </w:t>
            </w:r>
            <w:r w:rsidR="009D3971" w:rsidRPr="00EE6FAC">
              <w:rPr>
                <w:lang w:val="en-NZ"/>
              </w:rPr>
              <w:t>firms that did not receive Growth Grants. A</w:t>
            </w:r>
            <w:r w:rsidRPr="00EE6FAC">
              <w:rPr>
                <w:lang w:val="en-NZ"/>
              </w:rPr>
              <w:t xml:space="preserve"> higher level of R&amp;D expenditure will result in greater </w:t>
            </w:r>
            <w:r w:rsidR="009D3971" w:rsidRPr="00EE6FAC">
              <w:rPr>
                <w:lang w:val="en-NZ"/>
              </w:rPr>
              <w:t xml:space="preserve">spillover </w:t>
            </w:r>
            <w:r w:rsidRPr="00EE6FAC">
              <w:rPr>
                <w:lang w:val="en-NZ"/>
              </w:rPr>
              <w:t>benefits</w:t>
            </w:r>
            <w:r w:rsidR="009D3971" w:rsidRPr="00EE6FAC">
              <w:rPr>
                <w:lang w:val="en-NZ"/>
              </w:rPr>
              <w:t xml:space="preserve"> to other participants in the economy</w:t>
            </w:r>
            <w:r w:rsidRPr="00EE6FAC">
              <w:rPr>
                <w:lang w:val="en-NZ"/>
              </w:rPr>
              <w:t>. (+)</w:t>
            </w:r>
          </w:p>
        </w:tc>
      </w:tr>
      <w:tr w:rsidR="00F82F97" w:rsidRPr="00EE6FAC" w:rsidTr="00F30E49">
        <w:tc>
          <w:tcPr>
            <w:tcW w:w="1736" w:type="dxa"/>
            <w:shd w:val="clear" w:color="auto" w:fill="99CDDD"/>
          </w:tcPr>
          <w:p w:rsidR="00F82F97" w:rsidRPr="00EE6FAC" w:rsidRDefault="00F82F97" w:rsidP="00F05A1E">
            <w:pPr>
              <w:spacing w:before="60" w:after="60" w:line="240" w:lineRule="auto"/>
              <w:rPr>
                <w:rFonts w:cs="Arial"/>
                <w:szCs w:val="22"/>
                <w:lang w:val="en-NZ" w:eastAsia="en-AU"/>
              </w:rPr>
            </w:pPr>
            <w:r w:rsidRPr="00EE6FAC">
              <w:rPr>
                <w:rFonts w:cs="Arial"/>
                <w:szCs w:val="22"/>
                <w:lang w:val="en-NZ" w:eastAsia="en-AU"/>
              </w:rPr>
              <w:t>Compliance costs</w:t>
            </w:r>
          </w:p>
        </w:tc>
        <w:tc>
          <w:tcPr>
            <w:tcW w:w="6857" w:type="dxa"/>
            <w:shd w:val="clear" w:color="auto" w:fill="auto"/>
          </w:tcPr>
          <w:p w:rsidR="00F82F97" w:rsidRPr="00EE6FAC" w:rsidRDefault="00F82F97" w:rsidP="0081456F">
            <w:pPr>
              <w:spacing w:before="120" w:after="120"/>
              <w:rPr>
                <w:szCs w:val="22"/>
                <w:lang w:val="en-NZ"/>
              </w:rPr>
            </w:pPr>
            <w:r w:rsidRPr="00EE6FAC">
              <w:rPr>
                <w:rFonts w:cs="GillSans"/>
                <w:szCs w:val="22"/>
                <w:lang w:val="en-NZ" w:eastAsia="en-AU"/>
              </w:rPr>
              <w:t xml:space="preserve">Growth Grants recipients incur costs in order of $10,000 to $30,000 to apply, and ongoing annual costs for audit </w:t>
            </w:r>
            <w:r w:rsidR="00A749A9" w:rsidRPr="00EE6FAC">
              <w:rPr>
                <w:rFonts w:cs="GillSans"/>
                <w:szCs w:val="22"/>
                <w:lang w:val="en-NZ" w:eastAsia="en-AU"/>
              </w:rPr>
              <w:t xml:space="preserve">of </w:t>
            </w:r>
            <w:r w:rsidRPr="00EE6FAC">
              <w:rPr>
                <w:rFonts w:cs="GillSans"/>
                <w:szCs w:val="22"/>
                <w:lang w:val="en-NZ" w:eastAsia="en-AU"/>
              </w:rPr>
              <w:t>between $10,000 to $50,000 per year</w:t>
            </w:r>
            <w:r w:rsidR="009D3971" w:rsidRPr="00EE6FAC">
              <w:rPr>
                <w:rFonts w:cs="GillSans"/>
                <w:szCs w:val="22"/>
                <w:lang w:val="en-NZ" w:eastAsia="en-AU"/>
              </w:rPr>
              <w:t>.</w:t>
            </w:r>
            <w:r w:rsidRPr="00B54E8D">
              <w:rPr>
                <w:rStyle w:val="FootnoteReference"/>
                <w:lang w:val="en-NZ"/>
              </w:rPr>
              <w:footnoteReference w:id="2"/>
            </w:r>
            <w:r w:rsidR="00B839C3" w:rsidRPr="00EE6FAC">
              <w:rPr>
                <w:rStyle w:val="FootnoteReference"/>
                <w:sz w:val="22"/>
                <w:szCs w:val="22"/>
                <w:lang w:val="en-NZ"/>
              </w:rPr>
              <w:t xml:space="preserve"> </w:t>
            </w:r>
            <w:r w:rsidR="0081456F" w:rsidRPr="00EE6FAC">
              <w:rPr>
                <w:rFonts w:cs="GillSans"/>
                <w:szCs w:val="22"/>
                <w:lang w:val="en-NZ" w:eastAsia="en-AU"/>
              </w:rPr>
              <w:t>However, participation in the grant system is voluntary</w:t>
            </w:r>
            <w:r w:rsidR="00B839C3" w:rsidRPr="00EE6FAC">
              <w:rPr>
                <w:rFonts w:cs="GillSans"/>
                <w:szCs w:val="22"/>
                <w:lang w:val="en-NZ" w:eastAsia="en-AU"/>
              </w:rPr>
              <w:t xml:space="preserve"> and </w:t>
            </w:r>
            <w:r w:rsidR="0081456F" w:rsidRPr="00EE6FAC">
              <w:rPr>
                <w:rFonts w:cs="GillSans"/>
                <w:szCs w:val="22"/>
                <w:lang w:val="en-NZ" w:eastAsia="en-AU"/>
              </w:rPr>
              <w:t xml:space="preserve">the costs </w:t>
            </w:r>
            <w:r w:rsidR="00B839C3" w:rsidRPr="00EE6FAC">
              <w:rPr>
                <w:rFonts w:cs="GillSans"/>
                <w:szCs w:val="22"/>
                <w:lang w:val="en-NZ" w:eastAsia="en-AU"/>
              </w:rPr>
              <w:t>should be outweighed by the subsidy.</w:t>
            </w:r>
          </w:p>
        </w:tc>
        <w:tc>
          <w:tcPr>
            <w:tcW w:w="6858" w:type="dxa"/>
            <w:shd w:val="clear" w:color="auto" w:fill="auto"/>
          </w:tcPr>
          <w:p w:rsidR="00F82F97" w:rsidRPr="00EE6FAC" w:rsidRDefault="00F82F97" w:rsidP="00B54E8D">
            <w:pPr>
              <w:pStyle w:val="TableText"/>
              <w:rPr>
                <w:lang w:val="en-NZ"/>
              </w:rPr>
            </w:pPr>
            <w:r w:rsidRPr="00EE6FAC">
              <w:rPr>
                <w:lang w:val="en-NZ"/>
              </w:rPr>
              <w:t xml:space="preserve">Applications for </w:t>
            </w:r>
            <w:r w:rsidR="00810148" w:rsidRPr="00EE6FAC">
              <w:rPr>
                <w:lang w:val="en-NZ"/>
              </w:rPr>
              <w:t>R&amp;D Tax Incentive</w:t>
            </w:r>
            <w:r w:rsidRPr="00EE6FAC">
              <w:rPr>
                <w:lang w:val="en-NZ"/>
              </w:rPr>
              <w:t xml:space="preserve"> expected to incur annual costs of an average of $</w:t>
            </w:r>
            <w:r w:rsidR="00E46A4C" w:rsidRPr="00EE6FAC">
              <w:rPr>
                <w:lang w:val="en-NZ"/>
              </w:rPr>
              <w:t>35-40</w:t>
            </w:r>
            <w:r w:rsidRPr="00EE6FAC">
              <w:rPr>
                <w:lang w:val="en-NZ"/>
              </w:rPr>
              <w:t>000 per year to comply with the filing requirements.</w:t>
            </w:r>
            <w:r w:rsidRPr="00B54E8D">
              <w:rPr>
                <w:rStyle w:val="FootnoteReference"/>
                <w:lang w:val="en-NZ"/>
              </w:rPr>
              <w:footnoteReference w:id="3"/>
            </w:r>
            <w:r w:rsidR="00587F15" w:rsidRPr="00EE6FAC">
              <w:rPr>
                <w:rStyle w:val="FootnoteReference"/>
                <w:rFonts w:cs="Times New Roman"/>
                <w:sz w:val="22"/>
                <w:lang w:val="en-NZ" w:eastAsia="en-GB"/>
              </w:rPr>
              <w:t xml:space="preserve"> </w:t>
            </w:r>
            <w:r w:rsidR="00B839C3" w:rsidRPr="00EE6FAC">
              <w:rPr>
                <w:lang w:val="en-NZ"/>
              </w:rPr>
              <w:t xml:space="preserve">As for Growth Grants, </w:t>
            </w:r>
            <w:r w:rsidR="0081456F" w:rsidRPr="00EE6FAC">
              <w:rPr>
                <w:lang w:val="en-NZ"/>
              </w:rPr>
              <w:t xml:space="preserve">participation is voluntary </w:t>
            </w:r>
            <w:r w:rsidR="00B839C3" w:rsidRPr="00EE6FAC">
              <w:rPr>
                <w:rFonts w:eastAsia="Calibri" w:cs="Arial"/>
                <w:lang w:val="en-NZ"/>
              </w:rPr>
              <w:t xml:space="preserve">and </w:t>
            </w:r>
            <w:r w:rsidR="00B54E8D">
              <w:rPr>
                <w:rFonts w:eastAsia="Calibri" w:cs="Arial"/>
                <w:lang w:val="en-NZ"/>
              </w:rPr>
              <w:t xml:space="preserve">the costs </w:t>
            </w:r>
            <w:r w:rsidR="00B839C3" w:rsidRPr="00EE6FAC">
              <w:rPr>
                <w:rFonts w:eastAsia="Calibri" w:cs="Arial"/>
                <w:lang w:val="en-NZ"/>
              </w:rPr>
              <w:t xml:space="preserve">should be outweighed by the </w:t>
            </w:r>
            <w:r w:rsidR="00B54E8D">
              <w:rPr>
                <w:rFonts w:eastAsia="Calibri" w:cs="Arial"/>
                <w:lang w:val="en-NZ"/>
              </w:rPr>
              <w:t xml:space="preserve">amount of the </w:t>
            </w:r>
            <w:r w:rsidR="00B839C3" w:rsidRPr="00EE6FAC">
              <w:rPr>
                <w:rFonts w:eastAsia="Calibri" w:cs="Arial"/>
                <w:lang w:val="en-NZ"/>
              </w:rPr>
              <w:t xml:space="preserve">subsidy. </w:t>
            </w:r>
            <w:r w:rsidRPr="00EE6FAC">
              <w:rPr>
                <w:lang w:val="en-NZ"/>
              </w:rPr>
              <w:t>(0)</w:t>
            </w:r>
          </w:p>
        </w:tc>
      </w:tr>
      <w:tr w:rsidR="00666F3B" w:rsidRPr="00EE6FAC" w:rsidTr="00F30E49">
        <w:trPr>
          <w:cantSplit/>
        </w:trPr>
        <w:tc>
          <w:tcPr>
            <w:tcW w:w="1736" w:type="dxa"/>
            <w:shd w:val="clear" w:color="auto" w:fill="99CDDD"/>
          </w:tcPr>
          <w:p w:rsidR="00666F3B" w:rsidRPr="00EE6FAC" w:rsidRDefault="00C96B15" w:rsidP="00C96B15">
            <w:pPr>
              <w:spacing w:before="60" w:after="60" w:line="240" w:lineRule="auto"/>
              <w:rPr>
                <w:rFonts w:cs="Arial"/>
                <w:szCs w:val="22"/>
                <w:lang w:val="en-NZ" w:eastAsia="en-AU"/>
              </w:rPr>
            </w:pPr>
            <w:r w:rsidRPr="00EE6FAC">
              <w:rPr>
                <w:szCs w:val="22"/>
                <w:lang w:val="en-NZ"/>
              </w:rPr>
              <w:t>Impact on b</w:t>
            </w:r>
            <w:r w:rsidR="00666F3B" w:rsidRPr="00EE6FAC">
              <w:rPr>
                <w:szCs w:val="22"/>
                <w:lang w:val="en-NZ"/>
              </w:rPr>
              <w:t>usiness certainty over time</w:t>
            </w:r>
          </w:p>
        </w:tc>
        <w:tc>
          <w:tcPr>
            <w:tcW w:w="6857" w:type="dxa"/>
            <w:shd w:val="clear" w:color="auto" w:fill="auto"/>
          </w:tcPr>
          <w:p w:rsidR="00666F3B" w:rsidRPr="00EE6FAC" w:rsidRDefault="001D1BD2" w:rsidP="000C50FB">
            <w:pPr>
              <w:spacing w:before="120" w:after="120"/>
              <w:rPr>
                <w:szCs w:val="22"/>
                <w:lang w:val="en-NZ"/>
              </w:rPr>
            </w:pPr>
            <w:r w:rsidRPr="00EE6FAC">
              <w:rPr>
                <w:szCs w:val="22"/>
                <w:lang w:val="en-NZ"/>
              </w:rPr>
              <w:t>I</w:t>
            </w:r>
            <w:r w:rsidR="00666F3B" w:rsidRPr="00EE6FAC">
              <w:rPr>
                <w:szCs w:val="22"/>
                <w:lang w:val="en-NZ"/>
              </w:rPr>
              <w:t xml:space="preserve">mplemented </w:t>
            </w:r>
            <w:r w:rsidR="000C50FB" w:rsidRPr="00EE6FAC">
              <w:rPr>
                <w:szCs w:val="22"/>
                <w:lang w:val="en-NZ"/>
              </w:rPr>
              <w:t>by</w:t>
            </w:r>
            <w:r w:rsidR="00666F3B" w:rsidRPr="00EE6FAC">
              <w:rPr>
                <w:szCs w:val="22"/>
                <w:lang w:val="en-NZ"/>
              </w:rPr>
              <w:t xml:space="preserve"> a Ministerial Direction </w:t>
            </w:r>
            <w:r w:rsidRPr="00EE6FAC">
              <w:rPr>
                <w:szCs w:val="22"/>
                <w:lang w:val="en-NZ"/>
              </w:rPr>
              <w:t>to Callaghan Innovation issued by</w:t>
            </w:r>
            <w:r w:rsidR="00666F3B" w:rsidRPr="00EE6FAC">
              <w:rPr>
                <w:szCs w:val="22"/>
                <w:lang w:val="en-NZ"/>
              </w:rPr>
              <w:t xml:space="preserve"> the Minister for Research, Science, &amp; Innovation</w:t>
            </w:r>
            <w:r w:rsidRPr="00EE6FAC">
              <w:rPr>
                <w:szCs w:val="22"/>
                <w:lang w:val="en-NZ"/>
              </w:rPr>
              <w:t>. May be changed at her discretion following consultation with Callaghan Innovation, but</w:t>
            </w:r>
            <w:r w:rsidR="00666F3B" w:rsidRPr="00EE6FAC">
              <w:rPr>
                <w:szCs w:val="22"/>
                <w:lang w:val="en-NZ"/>
              </w:rPr>
              <w:t xml:space="preserve"> </w:t>
            </w:r>
            <w:r w:rsidRPr="00EE6FAC">
              <w:rPr>
                <w:szCs w:val="22"/>
                <w:lang w:val="en-NZ"/>
              </w:rPr>
              <w:t>a</w:t>
            </w:r>
            <w:r w:rsidR="00666F3B" w:rsidRPr="00EE6FAC">
              <w:rPr>
                <w:szCs w:val="22"/>
                <w:lang w:val="en-NZ"/>
              </w:rPr>
              <w:t xml:space="preserve"> Cabinet decision is required if </w:t>
            </w:r>
            <w:r w:rsidRPr="00EE6FAC">
              <w:rPr>
                <w:szCs w:val="22"/>
                <w:lang w:val="en-NZ"/>
              </w:rPr>
              <w:t>changes have wider implications (eg, fiscal).</w:t>
            </w:r>
          </w:p>
        </w:tc>
        <w:tc>
          <w:tcPr>
            <w:tcW w:w="6858" w:type="dxa"/>
            <w:shd w:val="clear" w:color="auto" w:fill="auto"/>
          </w:tcPr>
          <w:p w:rsidR="00666F3B" w:rsidRPr="00EE6FAC" w:rsidRDefault="000C50FB" w:rsidP="000C50FB">
            <w:pPr>
              <w:pStyle w:val="TableText"/>
              <w:rPr>
                <w:lang w:val="en-NZ"/>
              </w:rPr>
            </w:pPr>
            <w:r w:rsidRPr="00EE6FAC">
              <w:rPr>
                <w:lang w:val="en-NZ"/>
              </w:rPr>
              <w:t>Implemented by tax legislation so harder to change (although 2008 tax credit was repealed). OECD research finds stable policy settings are important to achieve a BERD growth). (+)</w:t>
            </w:r>
          </w:p>
        </w:tc>
      </w:tr>
      <w:tr w:rsidR="0071156A" w:rsidRPr="00EE6FAC" w:rsidTr="00F30E49">
        <w:tc>
          <w:tcPr>
            <w:tcW w:w="1736" w:type="dxa"/>
            <w:tcBorders>
              <w:top w:val="single" w:sz="4" w:space="0" w:color="auto"/>
              <w:left w:val="single" w:sz="4" w:space="0" w:color="auto"/>
              <w:bottom w:val="single" w:sz="4" w:space="0" w:color="auto"/>
              <w:right w:val="single" w:sz="4" w:space="0" w:color="auto"/>
            </w:tcBorders>
            <w:shd w:val="clear" w:color="auto" w:fill="99CDDD"/>
          </w:tcPr>
          <w:p w:rsidR="0071156A" w:rsidRPr="00EE6FAC" w:rsidRDefault="0071156A" w:rsidP="003C59CE">
            <w:pPr>
              <w:spacing w:before="60" w:after="60" w:line="240" w:lineRule="auto"/>
              <w:rPr>
                <w:szCs w:val="22"/>
                <w:lang w:val="en-NZ"/>
              </w:rPr>
            </w:pPr>
            <w:r w:rsidRPr="00EE6FAC">
              <w:rPr>
                <w:szCs w:val="22"/>
                <w:lang w:val="en-NZ"/>
              </w:rPr>
              <w:t>Administrative feasibility</w:t>
            </w:r>
          </w:p>
        </w:tc>
        <w:tc>
          <w:tcPr>
            <w:tcW w:w="6857" w:type="dxa"/>
            <w:tcBorders>
              <w:top w:val="single" w:sz="4" w:space="0" w:color="auto"/>
              <w:left w:val="single" w:sz="4" w:space="0" w:color="auto"/>
              <w:bottom w:val="single" w:sz="4" w:space="0" w:color="auto"/>
              <w:right w:val="single" w:sz="4" w:space="0" w:color="auto"/>
            </w:tcBorders>
            <w:shd w:val="clear" w:color="auto" w:fill="auto"/>
          </w:tcPr>
          <w:p w:rsidR="0071156A" w:rsidRPr="00EE6FAC" w:rsidRDefault="0071156A" w:rsidP="003C59CE">
            <w:pPr>
              <w:spacing w:before="120" w:after="120"/>
              <w:rPr>
                <w:szCs w:val="22"/>
                <w:lang w:val="en-NZ"/>
              </w:rPr>
            </w:pPr>
            <w:r w:rsidRPr="00EE6FAC">
              <w:rPr>
                <w:szCs w:val="22"/>
                <w:lang w:val="en-NZ"/>
              </w:rPr>
              <w:t>Administered by Callaghan Innovation. Costs were estimated to be $2.1M in 2017/18.</w:t>
            </w:r>
          </w:p>
        </w:tc>
        <w:tc>
          <w:tcPr>
            <w:tcW w:w="6858" w:type="dxa"/>
            <w:tcBorders>
              <w:top w:val="single" w:sz="4" w:space="0" w:color="auto"/>
              <w:left w:val="single" w:sz="4" w:space="0" w:color="auto"/>
              <w:bottom w:val="single" w:sz="4" w:space="0" w:color="auto"/>
              <w:right w:val="single" w:sz="4" w:space="0" w:color="auto"/>
            </w:tcBorders>
            <w:shd w:val="clear" w:color="auto" w:fill="auto"/>
          </w:tcPr>
          <w:p w:rsidR="0071156A" w:rsidRPr="00EE6FAC" w:rsidRDefault="0071156A" w:rsidP="003C59CE">
            <w:pPr>
              <w:pStyle w:val="TableText"/>
              <w:rPr>
                <w:lang w:val="en-NZ"/>
              </w:rPr>
            </w:pPr>
            <w:r w:rsidRPr="00EE6FAC">
              <w:rPr>
                <w:lang w:val="en-NZ"/>
              </w:rPr>
              <w:t>Based on high-level estimates, Inland Revenue’s cost of administering the R&amp;D Tax Incentive is forecast to be up to $6m per annum, although may be lower depending on the final design decisions.</w:t>
            </w:r>
            <w:r w:rsidRPr="00B54E8D">
              <w:rPr>
                <w:rStyle w:val="FootnoteReference"/>
                <w:lang w:val="en-NZ"/>
              </w:rPr>
              <w:footnoteReference w:id="4"/>
            </w:r>
            <w:r w:rsidRPr="00EE6FAC">
              <w:rPr>
                <w:lang w:val="en-NZ"/>
              </w:rPr>
              <w:t xml:space="preserve"> (-)</w:t>
            </w:r>
          </w:p>
        </w:tc>
      </w:tr>
      <w:tr w:rsidR="002D7E4D" w:rsidRPr="00EE6FAC" w:rsidTr="00F30E49">
        <w:tc>
          <w:tcPr>
            <w:tcW w:w="1736" w:type="dxa"/>
            <w:shd w:val="clear" w:color="auto" w:fill="99CDDD"/>
          </w:tcPr>
          <w:p w:rsidR="002D7E4D" w:rsidRPr="00EE6FAC" w:rsidRDefault="002D7E4D" w:rsidP="00F05A1E">
            <w:pPr>
              <w:spacing w:before="60" w:after="60" w:line="240" w:lineRule="auto"/>
              <w:rPr>
                <w:rFonts w:cs="Arial"/>
                <w:szCs w:val="22"/>
                <w:lang w:val="en-NZ" w:eastAsia="en-AU"/>
              </w:rPr>
            </w:pPr>
            <w:r w:rsidRPr="00EE6FAC">
              <w:rPr>
                <w:rFonts w:cs="Arial"/>
                <w:szCs w:val="22"/>
                <w:lang w:val="en-NZ" w:eastAsia="en-AU"/>
              </w:rPr>
              <w:t>Fiscal costs/risk</w:t>
            </w:r>
          </w:p>
        </w:tc>
        <w:tc>
          <w:tcPr>
            <w:tcW w:w="6857" w:type="dxa"/>
            <w:shd w:val="clear" w:color="auto" w:fill="auto"/>
          </w:tcPr>
          <w:p w:rsidR="002D7E4D" w:rsidRPr="00EE6FAC" w:rsidRDefault="00D76732" w:rsidP="0071156A">
            <w:pPr>
              <w:spacing w:before="120" w:after="120"/>
              <w:rPr>
                <w:rFonts w:cs="GillSans"/>
                <w:szCs w:val="22"/>
                <w:lang w:val="en-NZ" w:eastAsia="en-AU"/>
              </w:rPr>
            </w:pPr>
            <w:r w:rsidRPr="00EE6FAC">
              <w:rPr>
                <w:szCs w:val="22"/>
                <w:lang w:val="en-NZ"/>
              </w:rPr>
              <w:t xml:space="preserve">Fiscal costs estimated </w:t>
            </w:r>
            <w:r w:rsidR="00B53151" w:rsidRPr="00EE6FAC">
              <w:rPr>
                <w:szCs w:val="22"/>
                <w:lang w:val="en-NZ"/>
              </w:rPr>
              <w:t xml:space="preserve">to be </w:t>
            </w:r>
            <w:r w:rsidRPr="00EE6FAC">
              <w:rPr>
                <w:szCs w:val="22"/>
                <w:lang w:val="en-NZ"/>
              </w:rPr>
              <w:t>$172.2M</w:t>
            </w:r>
            <w:r w:rsidR="00B53151" w:rsidRPr="00EE6FAC">
              <w:rPr>
                <w:szCs w:val="22"/>
                <w:lang w:val="en-NZ"/>
              </w:rPr>
              <w:t xml:space="preserve"> in 2017/18</w:t>
            </w:r>
            <w:r w:rsidR="0071156A" w:rsidRPr="00EE6FAC">
              <w:rPr>
                <w:szCs w:val="22"/>
                <w:lang w:val="en-NZ"/>
              </w:rPr>
              <w:t>.</w:t>
            </w:r>
            <w:r w:rsidRPr="00EE6FAC">
              <w:rPr>
                <w:szCs w:val="22"/>
                <w:lang w:val="en-NZ"/>
              </w:rPr>
              <w:t xml:space="preserve"> </w:t>
            </w:r>
            <w:r w:rsidR="0071156A" w:rsidRPr="00EE6FAC">
              <w:rPr>
                <w:szCs w:val="22"/>
                <w:lang w:val="en-NZ"/>
              </w:rPr>
              <w:t>I</w:t>
            </w:r>
            <w:r w:rsidRPr="00EE6FAC">
              <w:rPr>
                <w:szCs w:val="22"/>
                <w:lang w:val="en-NZ"/>
              </w:rPr>
              <w:t xml:space="preserve">f </w:t>
            </w:r>
            <w:r w:rsidR="00E069A1" w:rsidRPr="00EE6FAC">
              <w:rPr>
                <w:szCs w:val="22"/>
                <w:lang w:val="en-NZ"/>
              </w:rPr>
              <w:t xml:space="preserve">it </w:t>
            </w:r>
            <w:r w:rsidRPr="00EE6FAC">
              <w:rPr>
                <w:szCs w:val="22"/>
                <w:lang w:val="en-NZ"/>
              </w:rPr>
              <w:t>continues</w:t>
            </w:r>
            <w:r w:rsidR="00E069A1" w:rsidRPr="00EE6FAC">
              <w:rPr>
                <w:szCs w:val="22"/>
                <w:lang w:val="en-NZ"/>
              </w:rPr>
              <w:t>, costs</w:t>
            </w:r>
            <w:r w:rsidRPr="00EE6FAC">
              <w:rPr>
                <w:szCs w:val="22"/>
                <w:lang w:val="en-NZ"/>
              </w:rPr>
              <w:t xml:space="preserve"> </w:t>
            </w:r>
            <w:r w:rsidR="00B53151" w:rsidRPr="00EE6FAC">
              <w:rPr>
                <w:szCs w:val="22"/>
                <w:lang w:val="en-NZ"/>
              </w:rPr>
              <w:t>are forecast to</w:t>
            </w:r>
            <w:r w:rsidR="0071156A" w:rsidRPr="00EE6FAC">
              <w:rPr>
                <w:szCs w:val="22"/>
                <w:lang w:val="en-NZ"/>
              </w:rPr>
              <w:t xml:space="preserve"> be</w:t>
            </w:r>
            <w:r w:rsidR="00B53151" w:rsidRPr="00EE6FAC">
              <w:rPr>
                <w:szCs w:val="22"/>
                <w:lang w:val="en-NZ"/>
              </w:rPr>
              <w:t xml:space="preserve"> $748.2M </w:t>
            </w:r>
            <w:r w:rsidRPr="00EE6FAC">
              <w:rPr>
                <w:szCs w:val="22"/>
                <w:lang w:val="en-NZ"/>
              </w:rPr>
              <w:t>from 1 April 2019 to 30 June 2022</w:t>
            </w:r>
            <w:r w:rsidR="0071156A" w:rsidRPr="00EE6FAC">
              <w:rPr>
                <w:szCs w:val="22"/>
                <w:lang w:val="en-NZ"/>
              </w:rPr>
              <w:t>.</w:t>
            </w:r>
            <w:r w:rsidRPr="00EE6FAC">
              <w:rPr>
                <w:rFonts w:cs="GillSans"/>
                <w:szCs w:val="22"/>
                <w:lang w:val="en-NZ" w:eastAsia="en-AU"/>
              </w:rPr>
              <w:t xml:space="preserve"> </w:t>
            </w:r>
            <w:r w:rsidR="002D7E4D" w:rsidRPr="00EE6FAC">
              <w:rPr>
                <w:rFonts w:cs="GillSans"/>
                <w:szCs w:val="22"/>
                <w:lang w:val="en-NZ" w:eastAsia="en-AU"/>
              </w:rPr>
              <w:t xml:space="preserve">The </w:t>
            </w:r>
            <w:r w:rsidR="00B53151" w:rsidRPr="00EE6FAC">
              <w:rPr>
                <w:rFonts w:cs="GillSans"/>
                <w:szCs w:val="22"/>
                <w:lang w:val="en-NZ" w:eastAsia="en-AU"/>
              </w:rPr>
              <w:t xml:space="preserve">appropriation for this period </w:t>
            </w:r>
            <w:r w:rsidR="002D7E4D" w:rsidRPr="00EE6FAC">
              <w:rPr>
                <w:rFonts w:cs="GillSans"/>
                <w:szCs w:val="22"/>
                <w:lang w:val="en-NZ" w:eastAsia="en-AU"/>
              </w:rPr>
              <w:t xml:space="preserve">is </w:t>
            </w:r>
            <w:r w:rsidR="00B53151" w:rsidRPr="00EE6FAC">
              <w:rPr>
                <w:rFonts w:cs="GillSans"/>
                <w:szCs w:val="22"/>
                <w:lang w:val="en-NZ" w:eastAsia="en-AU"/>
              </w:rPr>
              <w:t>$528M.</w:t>
            </w:r>
          </w:p>
        </w:tc>
        <w:tc>
          <w:tcPr>
            <w:tcW w:w="6858" w:type="dxa"/>
            <w:shd w:val="clear" w:color="auto" w:fill="auto"/>
          </w:tcPr>
          <w:p w:rsidR="002D7E4D" w:rsidRPr="00EE6FAC" w:rsidRDefault="00D76732" w:rsidP="00C2484B">
            <w:pPr>
              <w:pStyle w:val="TableText"/>
              <w:rPr>
                <w:lang w:val="en-NZ"/>
              </w:rPr>
            </w:pPr>
            <w:r w:rsidRPr="00EE6FAC">
              <w:rPr>
                <w:lang w:val="en-NZ"/>
              </w:rPr>
              <w:t>Wider coverage of firms and slightly more generous subsidy rate/terms will result in high</w:t>
            </w:r>
            <w:r w:rsidR="00E069A1" w:rsidRPr="00EE6FAC">
              <w:rPr>
                <w:lang w:val="en-NZ"/>
              </w:rPr>
              <w:t>er</w:t>
            </w:r>
            <w:r w:rsidRPr="00EE6FAC">
              <w:rPr>
                <w:lang w:val="en-NZ"/>
              </w:rPr>
              <w:t xml:space="preserve"> fiscal costs. </w:t>
            </w:r>
            <w:r w:rsidR="00B53151" w:rsidRPr="00EE6FAC">
              <w:rPr>
                <w:lang w:val="en-NZ"/>
              </w:rPr>
              <w:t xml:space="preserve">Fiscal costs are forecast to be </w:t>
            </w:r>
            <w:r w:rsidR="00B53151" w:rsidRPr="00EE6FAC">
              <w:rPr>
                <w:rFonts w:eastAsia="Calibri" w:cs="Arial"/>
                <w:lang w:val="en-NZ"/>
              </w:rPr>
              <w:t>$1215M</w:t>
            </w:r>
            <w:r w:rsidR="00B53151" w:rsidRPr="00EE6FAC">
              <w:rPr>
                <w:lang w:val="en-NZ"/>
              </w:rPr>
              <w:t xml:space="preserve"> </w:t>
            </w:r>
            <w:r w:rsidR="005F1C00" w:rsidRPr="00EE6FAC">
              <w:rPr>
                <w:lang w:val="en-NZ"/>
              </w:rPr>
              <w:t xml:space="preserve">(direct costs) plus $19.5M (administration costs) </w:t>
            </w:r>
            <w:r w:rsidR="00B53151" w:rsidRPr="00EE6FAC">
              <w:rPr>
                <w:lang w:val="en-NZ"/>
              </w:rPr>
              <w:t>f</w:t>
            </w:r>
            <w:r w:rsidR="005F1C00" w:rsidRPr="00EE6FAC">
              <w:rPr>
                <w:lang w:val="en-NZ"/>
              </w:rPr>
              <w:t>rom</w:t>
            </w:r>
            <w:r w:rsidR="00B53151" w:rsidRPr="00EE6FAC">
              <w:rPr>
                <w:lang w:val="en-NZ"/>
              </w:rPr>
              <w:t xml:space="preserve"> 1 April 2019 to 30 June 2022</w:t>
            </w:r>
            <w:r w:rsidR="005F1C00" w:rsidRPr="00EE6FAC">
              <w:rPr>
                <w:lang w:val="en-NZ"/>
              </w:rPr>
              <w:t xml:space="preserve">. In Budget 2018 the Government allocated $1,020M for the R&amp;D Tax Incentive, in addition </w:t>
            </w:r>
            <w:r w:rsidR="00E069A1" w:rsidRPr="00EE6FAC">
              <w:rPr>
                <w:lang w:val="en-NZ"/>
              </w:rPr>
              <w:t xml:space="preserve">to </w:t>
            </w:r>
            <w:r w:rsidR="005F1C00" w:rsidRPr="00EE6FAC">
              <w:rPr>
                <w:lang w:val="en-NZ"/>
              </w:rPr>
              <w:t>the amount already allocated for Growth Grants.</w:t>
            </w:r>
            <w:r w:rsidR="00B53151" w:rsidRPr="00EE6FAC">
              <w:rPr>
                <w:lang w:val="en-NZ"/>
              </w:rPr>
              <w:t xml:space="preserve"> </w:t>
            </w:r>
            <w:r w:rsidR="00C2484B" w:rsidRPr="00EE6FAC">
              <w:rPr>
                <w:lang w:val="en-NZ"/>
              </w:rPr>
              <w:t>There is also a slightly greater fiscal risk associated with the R&amp;D Tax Incentive as, unlike a Growth Grant, it is legislated so more difficult for the Government to refuse payment in the event the costs exceed the appropriation</w:t>
            </w:r>
            <w:r w:rsidR="005F1C00" w:rsidRPr="00EE6FAC">
              <w:rPr>
                <w:lang w:val="en-NZ"/>
              </w:rPr>
              <w:t xml:space="preserve">. </w:t>
            </w:r>
            <w:r w:rsidR="00C2484B" w:rsidRPr="00EE6FAC">
              <w:rPr>
                <w:lang w:val="en-NZ"/>
              </w:rPr>
              <w:t xml:space="preserve">Experience from other countries suggests design of rules is important to minimise reclassification of expenses. </w:t>
            </w:r>
            <w:r w:rsidR="002D7E4D" w:rsidRPr="00EE6FAC">
              <w:rPr>
                <w:lang w:val="en-NZ"/>
              </w:rPr>
              <w:t>(-)</w:t>
            </w:r>
          </w:p>
        </w:tc>
      </w:tr>
    </w:tbl>
    <w:p w:rsidR="0062657E" w:rsidRPr="00EE6FAC" w:rsidRDefault="0062657E" w:rsidP="0049234F">
      <w:pPr>
        <w:pStyle w:val="spacer"/>
        <w:rPr>
          <w:lang w:val="en-NZ"/>
        </w:rPr>
      </w:pPr>
    </w:p>
    <w:p w:rsidR="00A749A9" w:rsidRPr="00EE6FAC" w:rsidRDefault="00A749A9" w:rsidP="00A749A9">
      <w:pPr>
        <w:spacing w:after="0" w:line="276" w:lineRule="auto"/>
        <w:ind w:firstLine="720"/>
        <w:rPr>
          <w:rFonts w:cs="Arial"/>
          <w:sz w:val="18"/>
          <w:szCs w:val="18"/>
          <w:lang w:val="en-NZ"/>
        </w:rPr>
      </w:pPr>
      <w:r w:rsidRPr="00EE6FAC">
        <w:rPr>
          <w:rFonts w:cs="Arial"/>
          <w:b/>
          <w:sz w:val="18"/>
          <w:szCs w:val="18"/>
          <w:lang w:val="en-NZ"/>
        </w:rPr>
        <w:t>Key:</w:t>
      </w:r>
      <w:r w:rsidRPr="00EE6FAC">
        <w:rPr>
          <w:rFonts w:cs="Arial"/>
          <w:b/>
          <w:color w:val="00B050"/>
          <w:sz w:val="18"/>
          <w:szCs w:val="18"/>
          <w:lang w:val="en-NZ"/>
        </w:rPr>
        <w:t xml:space="preserve"> </w:t>
      </w:r>
      <w:r w:rsidRPr="00EE6FAC">
        <w:rPr>
          <w:rFonts w:cs="Arial"/>
          <w:b/>
          <w:color w:val="00B050"/>
          <w:sz w:val="18"/>
          <w:szCs w:val="18"/>
          <w:lang w:val="en-NZ"/>
        </w:rPr>
        <w:tab/>
        <w:t>++</w:t>
      </w:r>
      <w:r w:rsidR="00A514AC" w:rsidRPr="00EE6FAC">
        <w:rPr>
          <w:rFonts w:cs="Arial"/>
          <w:sz w:val="18"/>
          <w:szCs w:val="18"/>
          <w:lang w:val="en-NZ"/>
        </w:rPr>
        <w:t xml:space="preserve"> </w:t>
      </w:r>
      <w:r w:rsidRPr="00EE6FAC">
        <w:rPr>
          <w:rFonts w:cs="Arial"/>
          <w:sz w:val="18"/>
          <w:szCs w:val="18"/>
          <w:lang w:val="en-NZ"/>
        </w:rPr>
        <w:tab/>
        <w:t>much better than doing nothing/the status quo</w:t>
      </w:r>
      <w:r w:rsidRPr="00EE6FAC">
        <w:rPr>
          <w:rFonts w:cs="Arial"/>
          <w:sz w:val="18"/>
          <w:szCs w:val="18"/>
          <w:lang w:val="en-NZ"/>
        </w:rPr>
        <w:tab/>
      </w:r>
      <w:r w:rsidRPr="00EE6FAC">
        <w:rPr>
          <w:rFonts w:cs="Arial"/>
          <w:sz w:val="18"/>
          <w:szCs w:val="18"/>
          <w:lang w:val="en-NZ"/>
        </w:rPr>
        <w:tab/>
      </w:r>
    </w:p>
    <w:p w:rsidR="00A749A9" w:rsidRPr="00EE6FAC" w:rsidRDefault="00A749A9" w:rsidP="00A749A9">
      <w:pPr>
        <w:spacing w:after="0" w:line="276" w:lineRule="auto"/>
        <w:ind w:left="720" w:firstLine="720"/>
        <w:rPr>
          <w:rFonts w:cs="Arial"/>
          <w:sz w:val="18"/>
          <w:szCs w:val="18"/>
          <w:lang w:val="en-NZ"/>
        </w:rPr>
      </w:pPr>
      <w:r w:rsidRPr="00EE6FAC">
        <w:rPr>
          <w:rFonts w:cs="Arial"/>
          <w:b/>
          <w:color w:val="00B050"/>
          <w:sz w:val="18"/>
          <w:szCs w:val="18"/>
          <w:lang w:val="en-NZ"/>
        </w:rPr>
        <w:t>+</w:t>
      </w:r>
      <w:r w:rsidR="00A514AC" w:rsidRPr="00EE6FAC">
        <w:rPr>
          <w:rFonts w:cs="Arial"/>
          <w:color w:val="00B050"/>
          <w:sz w:val="18"/>
          <w:szCs w:val="18"/>
          <w:lang w:val="en-NZ"/>
        </w:rPr>
        <w:t xml:space="preserve"> </w:t>
      </w:r>
      <w:r w:rsidRPr="00EE6FAC">
        <w:rPr>
          <w:rFonts w:cs="Arial"/>
          <w:sz w:val="18"/>
          <w:szCs w:val="18"/>
          <w:lang w:val="en-NZ"/>
        </w:rPr>
        <w:tab/>
        <w:t>better than doing nothing/the status quo</w:t>
      </w:r>
      <w:r w:rsidRPr="00EE6FAC">
        <w:rPr>
          <w:rFonts w:cs="Arial"/>
          <w:sz w:val="18"/>
          <w:szCs w:val="18"/>
          <w:lang w:val="en-NZ"/>
        </w:rPr>
        <w:tab/>
      </w:r>
    </w:p>
    <w:p w:rsidR="00A749A9" w:rsidRPr="00EE6FAC" w:rsidRDefault="00A749A9" w:rsidP="00A749A9">
      <w:pPr>
        <w:spacing w:after="0" w:line="276" w:lineRule="auto"/>
        <w:ind w:left="720" w:firstLine="720"/>
        <w:rPr>
          <w:rFonts w:cs="Arial"/>
          <w:sz w:val="18"/>
          <w:szCs w:val="18"/>
          <w:lang w:val="en-NZ"/>
        </w:rPr>
      </w:pPr>
      <w:r w:rsidRPr="00EE6FAC">
        <w:rPr>
          <w:rFonts w:cs="Arial"/>
          <w:b/>
          <w:sz w:val="18"/>
          <w:szCs w:val="18"/>
          <w:lang w:val="en-NZ"/>
        </w:rPr>
        <w:t>0</w:t>
      </w:r>
      <w:r w:rsidR="00A514AC" w:rsidRPr="00EE6FAC">
        <w:rPr>
          <w:rFonts w:cs="Arial"/>
          <w:sz w:val="18"/>
          <w:szCs w:val="18"/>
          <w:lang w:val="en-NZ"/>
        </w:rPr>
        <w:t xml:space="preserve"> </w:t>
      </w:r>
      <w:r w:rsidRPr="00EE6FAC">
        <w:rPr>
          <w:rFonts w:cs="Arial"/>
          <w:sz w:val="18"/>
          <w:szCs w:val="18"/>
          <w:lang w:val="en-NZ"/>
        </w:rPr>
        <w:tab/>
        <w:t>about the same as doing nothing/the status quo</w:t>
      </w:r>
      <w:r w:rsidRPr="00EE6FAC">
        <w:rPr>
          <w:rFonts w:cs="Arial"/>
          <w:sz w:val="18"/>
          <w:szCs w:val="18"/>
          <w:lang w:val="en-NZ"/>
        </w:rPr>
        <w:tab/>
      </w:r>
      <w:r w:rsidRPr="00EE6FAC">
        <w:rPr>
          <w:rFonts w:cs="Arial"/>
          <w:sz w:val="18"/>
          <w:szCs w:val="18"/>
          <w:lang w:val="en-NZ"/>
        </w:rPr>
        <w:tab/>
      </w:r>
    </w:p>
    <w:p w:rsidR="00A749A9" w:rsidRPr="00EE6FAC" w:rsidRDefault="00A749A9" w:rsidP="00A749A9">
      <w:pPr>
        <w:spacing w:after="0" w:line="276" w:lineRule="auto"/>
        <w:ind w:left="720" w:firstLine="720"/>
        <w:rPr>
          <w:rFonts w:cs="Arial"/>
          <w:sz w:val="18"/>
          <w:szCs w:val="18"/>
          <w:lang w:val="en-NZ"/>
        </w:rPr>
      </w:pPr>
      <w:r w:rsidRPr="00EE6FAC">
        <w:rPr>
          <w:rFonts w:cs="Arial"/>
          <w:b/>
          <w:color w:val="FF0000"/>
          <w:sz w:val="18"/>
          <w:szCs w:val="18"/>
          <w:lang w:val="en-NZ"/>
        </w:rPr>
        <w:t>-</w:t>
      </w:r>
      <w:r w:rsidRPr="00EE6FAC">
        <w:rPr>
          <w:rFonts w:cs="Arial"/>
          <w:sz w:val="18"/>
          <w:szCs w:val="18"/>
          <w:lang w:val="en-NZ"/>
        </w:rPr>
        <w:t xml:space="preserve"> </w:t>
      </w:r>
      <w:r w:rsidRPr="00EE6FAC">
        <w:rPr>
          <w:rFonts w:cs="Arial"/>
          <w:sz w:val="18"/>
          <w:szCs w:val="18"/>
          <w:lang w:val="en-NZ"/>
        </w:rPr>
        <w:tab/>
        <w:t>worse than doing nothing/the status quo</w:t>
      </w:r>
    </w:p>
    <w:p w:rsidR="00A749A9" w:rsidRPr="00EE6FAC" w:rsidRDefault="00A749A9" w:rsidP="00A749A9">
      <w:pPr>
        <w:spacing w:after="0" w:line="276" w:lineRule="auto"/>
        <w:ind w:left="720" w:firstLine="720"/>
        <w:rPr>
          <w:rFonts w:cs="Arial"/>
          <w:sz w:val="18"/>
          <w:szCs w:val="18"/>
          <w:lang w:val="en-NZ"/>
        </w:rPr>
      </w:pPr>
      <w:r w:rsidRPr="00EE6FAC">
        <w:rPr>
          <w:rFonts w:cs="Arial"/>
          <w:b/>
          <w:color w:val="FF0000"/>
          <w:sz w:val="18"/>
          <w:szCs w:val="18"/>
          <w:lang w:val="en-NZ"/>
        </w:rPr>
        <w:t>- -</w:t>
      </w:r>
      <w:r w:rsidRPr="00EE6FAC">
        <w:rPr>
          <w:rFonts w:cs="Arial"/>
          <w:sz w:val="18"/>
          <w:szCs w:val="18"/>
          <w:lang w:val="en-NZ"/>
        </w:rPr>
        <w:t xml:space="preserve"> </w:t>
      </w:r>
      <w:r w:rsidRPr="00EE6FAC">
        <w:rPr>
          <w:rFonts w:cs="Arial"/>
          <w:sz w:val="18"/>
          <w:szCs w:val="18"/>
          <w:lang w:val="en-NZ"/>
        </w:rPr>
        <w:tab/>
        <w:t>much worse than doing nothing/the status quo</w:t>
      </w:r>
    </w:p>
    <w:p w:rsidR="0062657E" w:rsidRPr="00EE6FAC" w:rsidRDefault="0062657E" w:rsidP="0049467D">
      <w:pPr>
        <w:spacing w:after="120" w:line="276" w:lineRule="auto"/>
        <w:rPr>
          <w:rFonts w:ascii="Arial Narrow" w:hAnsi="Arial Narrow"/>
          <w:i/>
          <w:sz w:val="20"/>
          <w:lang w:val="en-NZ"/>
        </w:rPr>
        <w:sectPr w:rsidR="0062657E" w:rsidRPr="00EE6FAC" w:rsidSect="00F30E49">
          <w:pgSz w:w="16838" w:h="11906" w:orient="landscape"/>
          <w:pgMar w:top="720" w:right="720" w:bottom="720" w:left="720" w:header="709" w:footer="709" w:gutter="0"/>
          <w:cols w:space="708"/>
          <w:docGrid w:linePitch="360"/>
        </w:sectPr>
      </w:pPr>
    </w:p>
    <w:p w:rsidR="0062657E" w:rsidRPr="00EE6FAC" w:rsidRDefault="0062657E" w:rsidP="00B9498A">
      <w:pPr>
        <w:pStyle w:val="Heading4"/>
        <w:rPr>
          <w:bCs w:val="0"/>
          <w:color w:val="0082AB"/>
          <w:spacing w:val="20"/>
          <w:w w:val="90"/>
          <w:sz w:val="24"/>
          <w:szCs w:val="24"/>
          <w:lang w:val="en-NZ"/>
        </w:rPr>
      </w:pPr>
      <w:r w:rsidRPr="00EE6FAC">
        <w:rPr>
          <w:bCs w:val="0"/>
          <w:color w:val="0082AB"/>
          <w:spacing w:val="20"/>
          <w:w w:val="90"/>
          <w:sz w:val="24"/>
          <w:szCs w:val="24"/>
          <w:lang w:val="en-NZ"/>
        </w:rPr>
        <w:t>Section 5:</w:t>
      </w:r>
      <w:r w:rsidR="00A514AC" w:rsidRPr="00EE6FAC">
        <w:rPr>
          <w:bCs w:val="0"/>
          <w:color w:val="0082AB"/>
          <w:spacing w:val="20"/>
          <w:w w:val="90"/>
          <w:sz w:val="24"/>
          <w:szCs w:val="24"/>
          <w:lang w:val="en-NZ"/>
        </w:rPr>
        <w:t xml:space="preserve"> </w:t>
      </w:r>
      <w:r w:rsidRPr="00EE6FAC">
        <w:rPr>
          <w:bCs w:val="0"/>
          <w:color w:val="0082AB"/>
          <w:spacing w:val="20"/>
          <w:w w:val="90"/>
          <w:sz w:val="24"/>
          <w:szCs w:val="24"/>
          <w:lang w:val="en-NZ"/>
        </w:rPr>
        <w:t>Conclusions</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2"/>
      </w:tblGrid>
      <w:tr w:rsidR="0049467D" w:rsidRPr="00EE6FAC" w:rsidTr="004A11FC">
        <w:trPr>
          <w:trHeight w:val="529"/>
        </w:trPr>
        <w:tc>
          <w:tcPr>
            <w:tcW w:w="9052" w:type="dxa"/>
            <w:shd w:val="clear" w:color="auto" w:fill="99CDDD"/>
          </w:tcPr>
          <w:p w:rsidR="0062657E" w:rsidRPr="00EE6FAC" w:rsidRDefault="0062657E" w:rsidP="00DF2E7B">
            <w:pPr>
              <w:spacing w:before="60" w:after="60" w:line="240" w:lineRule="auto"/>
              <w:rPr>
                <w:rFonts w:cs="Arial"/>
                <w:b/>
                <w:szCs w:val="22"/>
                <w:lang w:val="en-NZ" w:eastAsia="en-AU"/>
              </w:rPr>
            </w:pPr>
            <w:r w:rsidRPr="00EE6FAC">
              <w:rPr>
                <w:rFonts w:cs="Arial"/>
                <w:b/>
                <w:szCs w:val="22"/>
                <w:lang w:val="en-NZ" w:eastAsia="en-AU"/>
              </w:rPr>
              <w:br w:type="page"/>
              <w:t>5.1</w:t>
            </w:r>
            <w:r w:rsidR="00A514AC" w:rsidRPr="00EE6FAC">
              <w:rPr>
                <w:rFonts w:cs="Arial"/>
                <w:b/>
                <w:szCs w:val="22"/>
                <w:lang w:val="en-NZ" w:eastAsia="en-AU"/>
              </w:rPr>
              <w:t xml:space="preserve"> </w:t>
            </w:r>
            <w:r w:rsidRPr="00EE6FAC">
              <w:rPr>
                <w:rFonts w:cs="Arial"/>
                <w:b/>
                <w:szCs w:val="22"/>
                <w:lang w:val="en-NZ" w:eastAsia="en-AU"/>
              </w:rPr>
              <w:t>What option, or combination of options, is likely best to address the problem, meet the policy objectives and deliver the highest net benefits?</w:t>
            </w:r>
          </w:p>
        </w:tc>
      </w:tr>
      <w:tr w:rsidR="0049467D" w:rsidRPr="00EE6FAC" w:rsidTr="00372449">
        <w:trPr>
          <w:trHeight w:val="600"/>
        </w:trPr>
        <w:tc>
          <w:tcPr>
            <w:tcW w:w="9052" w:type="dxa"/>
            <w:shd w:val="clear" w:color="auto" w:fill="FFFFFF"/>
          </w:tcPr>
          <w:p w:rsidR="00732B4F" w:rsidRPr="00EE6FAC" w:rsidRDefault="00810148" w:rsidP="00732B4F">
            <w:pPr>
              <w:pStyle w:val="TableText"/>
              <w:rPr>
                <w:lang w:val="en-NZ"/>
              </w:rPr>
            </w:pPr>
            <w:r w:rsidRPr="00EE6FAC">
              <w:rPr>
                <w:lang w:val="en-NZ"/>
              </w:rPr>
              <w:t>W</w:t>
            </w:r>
            <w:r w:rsidR="00F82F97" w:rsidRPr="00EE6FAC">
              <w:rPr>
                <w:lang w:val="en-NZ"/>
              </w:rPr>
              <w:t xml:space="preserve">e consider that </w:t>
            </w:r>
            <w:r w:rsidR="00DE5EBD" w:rsidRPr="00EE6FAC">
              <w:rPr>
                <w:lang w:val="en-NZ"/>
              </w:rPr>
              <w:t xml:space="preserve">introducing </w:t>
            </w:r>
            <w:r w:rsidR="00F82F97" w:rsidRPr="00EE6FAC">
              <w:rPr>
                <w:lang w:val="en-NZ"/>
              </w:rPr>
              <w:t xml:space="preserve">a </w:t>
            </w:r>
            <w:r w:rsidRPr="00EE6FAC">
              <w:rPr>
                <w:lang w:val="en-NZ"/>
              </w:rPr>
              <w:t>R&amp;D T</w:t>
            </w:r>
            <w:r w:rsidR="00F82F97" w:rsidRPr="00EE6FAC">
              <w:rPr>
                <w:lang w:val="en-NZ"/>
              </w:rPr>
              <w:t xml:space="preserve">ax </w:t>
            </w:r>
            <w:r w:rsidRPr="00EE6FAC">
              <w:rPr>
                <w:lang w:val="en-NZ"/>
              </w:rPr>
              <w:t>I</w:t>
            </w:r>
            <w:r w:rsidR="00F82F97" w:rsidRPr="00EE6FAC">
              <w:rPr>
                <w:lang w:val="en-NZ"/>
              </w:rPr>
              <w:t>ncentive</w:t>
            </w:r>
            <w:r w:rsidR="00DE5EBD" w:rsidRPr="00EE6FAC">
              <w:rPr>
                <w:lang w:val="en-NZ"/>
              </w:rPr>
              <w:t xml:space="preserve">, complemented by </w:t>
            </w:r>
            <w:r w:rsidR="009668EE" w:rsidRPr="00EE6FAC">
              <w:rPr>
                <w:lang w:val="en-NZ"/>
              </w:rPr>
              <w:t>carefully targeted direct grants (ie, Project Grants or something similar)</w:t>
            </w:r>
            <w:r w:rsidR="00F82F97" w:rsidRPr="00EE6FAC">
              <w:rPr>
                <w:lang w:val="en-NZ"/>
              </w:rPr>
              <w:t xml:space="preserve"> will better support the Government’s objectives</w:t>
            </w:r>
            <w:r w:rsidR="009668EE" w:rsidRPr="00EE6FAC">
              <w:rPr>
                <w:lang w:val="en-NZ"/>
              </w:rPr>
              <w:t xml:space="preserve">. </w:t>
            </w:r>
            <w:r w:rsidR="00EC7333" w:rsidRPr="00EE6FAC">
              <w:rPr>
                <w:lang w:val="en-NZ"/>
              </w:rPr>
              <w:t xml:space="preserve"> </w:t>
            </w:r>
            <w:r w:rsidR="003F4C19" w:rsidRPr="00EE6FAC">
              <w:rPr>
                <w:lang w:val="en-NZ"/>
              </w:rPr>
              <w:t>Most if not all countries deliver a R&amp;D subsidy through tax credits, direct grants, or a mixture of both.</w:t>
            </w:r>
            <w:r w:rsidR="009668EE" w:rsidRPr="00EE6FAC">
              <w:rPr>
                <w:rStyle w:val="FootnoteReference"/>
                <w:lang w:val="en-NZ"/>
              </w:rPr>
              <w:footnoteReference w:id="5"/>
            </w:r>
            <w:r w:rsidR="00CB717B" w:rsidRPr="00EE6FAC">
              <w:rPr>
                <w:lang w:val="en-NZ"/>
              </w:rPr>
              <w:t xml:space="preserve"> </w:t>
            </w:r>
            <w:r w:rsidR="00732B4F" w:rsidRPr="00EE6FAC">
              <w:rPr>
                <w:lang w:val="en-NZ"/>
              </w:rPr>
              <w:t xml:space="preserve">While no two designs of </w:t>
            </w:r>
            <w:r w:rsidR="002A0CA4">
              <w:rPr>
                <w:lang w:val="en-NZ"/>
              </w:rPr>
              <w:t>a R&amp;D</w:t>
            </w:r>
            <w:r w:rsidR="00732B4F" w:rsidRPr="00EE6FAC">
              <w:rPr>
                <w:lang w:val="en-NZ"/>
              </w:rPr>
              <w:t xml:space="preserve"> Tax Incentive internationally are the same, there is consistent international evidence that R&amp;D Tax Incentives have positive effects on business R&amp;D spending. Most available evaluation studies find that R&amp;D </w:t>
            </w:r>
            <w:r w:rsidR="00123A11" w:rsidRPr="00EE6FAC">
              <w:rPr>
                <w:lang w:val="en-NZ"/>
              </w:rPr>
              <w:t>t</w:t>
            </w:r>
            <w:r w:rsidR="00732B4F" w:rsidRPr="00EE6FAC">
              <w:rPr>
                <w:lang w:val="en-NZ"/>
              </w:rPr>
              <w:t xml:space="preserve">ax </w:t>
            </w:r>
            <w:r w:rsidR="00123A11" w:rsidRPr="00EE6FAC">
              <w:rPr>
                <w:lang w:val="en-NZ"/>
              </w:rPr>
              <w:t>i</w:t>
            </w:r>
            <w:r w:rsidR="00732B4F" w:rsidRPr="00EE6FAC">
              <w:rPr>
                <w:lang w:val="en-NZ"/>
              </w:rPr>
              <w:t xml:space="preserve">ncentives lead to additional R&amp;D investment. For example, out of 17 methodologically sound evaluations on the topic (What Works Centre for Local Economic Growth, 2015), </w:t>
            </w:r>
            <w:r w:rsidR="009668EE" w:rsidRPr="00EE6FAC">
              <w:rPr>
                <w:lang w:val="en-NZ"/>
              </w:rPr>
              <w:t xml:space="preserve">ten </w:t>
            </w:r>
            <w:r w:rsidR="00732B4F" w:rsidRPr="00EE6FAC">
              <w:rPr>
                <w:lang w:val="en-NZ"/>
              </w:rPr>
              <w:t xml:space="preserve">indicate positive results, </w:t>
            </w:r>
            <w:r w:rsidR="009668EE" w:rsidRPr="00EE6FAC">
              <w:rPr>
                <w:lang w:val="en-NZ"/>
              </w:rPr>
              <w:t xml:space="preserve">five </w:t>
            </w:r>
            <w:r w:rsidR="00732B4F" w:rsidRPr="00EE6FAC">
              <w:rPr>
                <w:lang w:val="en-NZ"/>
              </w:rPr>
              <w:t>find mixed results</w:t>
            </w:r>
            <w:r w:rsidR="009668EE" w:rsidRPr="00EE6FAC">
              <w:rPr>
                <w:lang w:val="en-NZ"/>
              </w:rPr>
              <w:t>,</w:t>
            </w:r>
            <w:r w:rsidR="00732B4F" w:rsidRPr="00EE6FAC">
              <w:rPr>
                <w:lang w:val="en-NZ"/>
              </w:rPr>
              <w:t xml:space="preserve"> and only </w:t>
            </w:r>
            <w:r w:rsidR="009668EE" w:rsidRPr="00EE6FAC">
              <w:rPr>
                <w:lang w:val="en-NZ"/>
              </w:rPr>
              <w:t xml:space="preserve">two </w:t>
            </w:r>
            <w:r w:rsidR="00732B4F" w:rsidRPr="00EE6FAC">
              <w:rPr>
                <w:lang w:val="en-NZ"/>
              </w:rPr>
              <w:t xml:space="preserve">report no statistically significant relationship between the </w:t>
            </w:r>
            <w:r w:rsidR="00123A11" w:rsidRPr="00EE6FAC">
              <w:rPr>
                <w:lang w:val="en-NZ"/>
              </w:rPr>
              <w:t>t</w:t>
            </w:r>
            <w:r w:rsidR="00A41FAC" w:rsidRPr="00EE6FAC">
              <w:rPr>
                <w:lang w:val="en-NZ"/>
              </w:rPr>
              <w:t xml:space="preserve">ax </w:t>
            </w:r>
            <w:r w:rsidR="00123A11" w:rsidRPr="00EE6FAC">
              <w:rPr>
                <w:lang w:val="en-NZ"/>
              </w:rPr>
              <w:t>i</w:t>
            </w:r>
            <w:r w:rsidR="00A41FAC" w:rsidRPr="00EE6FAC">
              <w:rPr>
                <w:lang w:val="en-NZ"/>
              </w:rPr>
              <w:t>ncentive</w:t>
            </w:r>
            <w:r w:rsidR="00732B4F" w:rsidRPr="00EE6FAC">
              <w:rPr>
                <w:lang w:val="en-NZ"/>
              </w:rPr>
              <w:t>s and R&amp;D investment. The review also points out that the seven studies rated as being methodologically more rigorous all find positive results.</w:t>
            </w:r>
          </w:p>
          <w:p w:rsidR="00732B4F" w:rsidRPr="00EE6FAC" w:rsidRDefault="00732B4F" w:rsidP="00732B4F">
            <w:pPr>
              <w:pStyle w:val="TableText"/>
              <w:rPr>
                <w:lang w:val="en-NZ"/>
              </w:rPr>
            </w:pPr>
            <w:r w:rsidRPr="00EE6FAC">
              <w:rPr>
                <w:lang w:val="en-NZ"/>
              </w:rPr>
              <w:t xml:space="preserve">Moreover, the </w:t>
            </w:r>
            <w:r w:rsidR="00CB7F39" w:rsidRPr="00EE6FAC">
              <w:rPr>
                <w:lang w:val="en-NZ"/>
              </w:rPr>
              <w:t xml:space="preserve">international </w:t>
            </w:r>
            <w:r w:rsidRPr="00EE6FAC">
              <w:rPr>
                <w:lang w:val="en-NZ"/>
              </w:rPr>
              <w:t>evidence indicates that on average one dollar of tax credit generates around one dollar of additional R&amp;D spending and some studies find greater impact in specific contexts (Appelt et al., 2016). The most robust study from the What Works Centre available takes advantage of a natural experiment as a result of UK policy changes, and found that across its R&amp;D Tax Incentive scheme each £1 of government investment resulted in an additional £1.7 of investment by businesses. Results for small and medium enterprises were even higher rate at 2.5:1 (Dechezleprêtre et al., 2016).</w:t>
            </w:r>
          </w:p>
          <w:p w:rsidR="00732B4F" w:rsidRPr="00EE6FAC" w:rsidRDefault="00732B4F" w:rsidP="00732B4F">
            <w:pPr>
              <w:pStyle w:val="TableText"/>
              <w:rPr>
                <w:lang w:val="en-NZ"/>
              </w:rPr>
            </w:pPr>
            <w:r w:rsidRPr="00EE6FAC">
              <w:rPr>
                <w:lang w:val="en-NZ"/>
              </w:rPr>
              <w:t xml:space="preserve">There is less evidence about the impact of grants, although it </w:t>
            </w:r>
            <w:r w:rsidR="00443426" w:rsidRPr="00EE6FAC">
              <w:rPr>
                <w:lang w:val="en-NZ"/>
              </w:rPr>
              <w:t xml:space="preserve">suggests </w:t>
            </w:r>
            <w:r w:rsidRPr="00EE6FAC">
              <w:rPr>
                <w:lang w:val="en-NZ"/>
              </w:rPr>
              <w:t>that they are most effective when they are targeted towards small firms, firms that are new to R&amp;D, and when the grants are intermediate-sized.</w:t>
            </w:r>
          </w:p>
          <w:p w:rsidR="00BE04E5" w:rsidRPr="00EE6FAC" w:rsidRDefault="00732B4F" w:rsidP="00BE04E5">
            <w:pPr>
              <w:pStyle w:val="TableText"/>
              <w:rPr>
                <w:lang w:val="en-NZ"/>
              </w:rPr>
            </w:pPr>
            <w:r w:rsidRPr="00EE6FAC">
              <w:rPr>
                <w:lang w:val="en-NZ"/>
              </w:rPr>
              <w:t>The papers conclude that the most effective way to increase business expenditure on R&amp;D is through a combination of tax incentives and carefully targeted grants.</w:t>
            </w:r>
            <w:r w:rsidR="00A514AC" w:rsidRPr="00EE6FAC">
              <w:rPr>
                <w:lang w:val="en-NZ"/>
              </w:rPr>
              <w:t xml:space="preserve"> </w:t>
            </w:r>
            <w:r w:rsidRPr="00EE6FAC">
              <w:rPr>
                <w:lang w:val="en-NZ"/>
              </w:rPr>
              <w:t xml:space="preserve">There is an opportunity to move towards this design, by replacing the Growth Grants with a </w:t>
            </w:r>
            <w:r w:rsidR="002A0CA4" w:rsidRPr="00EE6FAC">
              <w:rPr>
                <w:lang w:val="en-NZ"/>
              </w:rPr>
              <w:t>R&amp;D Tax Incentive</w:t>
            </w:r>
            <w:r w:rsidRPr="00EE6FAC">
              <w:rPr>
                <w:lang w:val="en-NZ"/>
              </w:rPr>
              <w:t>, whilst retaining the targeted approach of Project Grants.</w:t>
            </w:r>
            <w:r w:rsidR="00BE04E5" w:rsidRPr="00EE6FAC">
              <w:rPr>
                <w:lang w:val="en-NZ"/>
              </w:rPr>
              <w:t xml:space="preserve"> We recognise that policy stability is important for improving business investment in R&amp;D, and that (as a non-discretionary grant) Growth Grants have some important features of a tax incentive. Nevertheless we believe that the R&amp;D Tax Incentive will be more effective than Growth Grants because of wider coverage of R&amp;D-performing firms and greater flexibility around the types of R&amp;D that can receive the subsidy.</w:t>
            </w:r>
          </w:p>
          <w:p w:rsidR="0052774F" w:rsidRPr="00EE6FAC" w:rsidRDefault="00BE04E5" w:rsidP="002B4347">
            <w:pPr>
              <w:pStyle w:val="TableText"/>
              <w:tabs>
                <w:tab w:val="left" w:pos="7410"/>
              </w:tabs>
              <w:rPr>
                <w:color w:val="1F497D"/>
                <w:lang w:val="en-NZ"/>
              </w:rPr>
            </w:pPr>
            <w:r w:rsidRPr="00EE6FAC">
              <w:rPr>
                <w:lang w:val="en-NZ"/>
              </w:rPr>
              <w:t xml:space="preserve">The restrictions on Growth Grants mean that they have had limited uptake (only 316 firms received Growth Grant in 2017/18). The experience with 2008 credit and R&amp;D </w:t>
            </w:r>
            <w:r w:rsidR="002B4347" w:rsidRPr="00EE6FAC">
              <w:rPr>
                <w:lang w:val="en-NZ"/>
              </w:rPr>
              <w:t>tax-</w:t>
            </w:r>
            <w:r w:rsidRPr="00EE6FAC">
              <w:rPr>
                <w:lang w:val="en-NZ"/>
              </w:rPr>
              <w:t>loss cash-out provide evidence that tax measures have higher uptake than grants.</w:t>
            </w:r>
            <w:r w:rsidR="002B4347" w:rsidRPr="00EE6FAC">
              <w:rPr>
                <w:lang w:val="en-NZ"/>
              </w:rPr>
              <w:t xml:space="preserve"> The 2008 tax credit had over 600 participants, while there are currently 350 firms that access the R&amp;D tax-loss cash-out mechanism</w:t>
            </w:r>
            <w:r w:rsidR="00DF7CED" w:rsidRPr="00EE6FAC">
              <w:rPr>
                <w:lang w:val="en-NZ"/>
              </w:rPr>
              <w:t xml:space="preserve"> despite tight eligibility and targeting criteria</w:t>
            </w:r>
            <w:r w:rsidR="002B4347" w:rsidRPr="00EE6FAC">
              <w:rPr>
                <w:lang w:val="en-NZ"/>
              </w:rPr>
              <w:t>. We expect that 1500-2000 we expect will be eligible for the Tax Incentive.</w:t>
            </w:r>
            <w:r w:rsidR="0052774F" w:rsidRPr="00EE6FAC">
              <w:rPr>
                <w:color w:val="1F497D"/>
                <w:lang w:val="en-NZ"/>
              </w:rPr>
              <w:t xml:space="preserve"> </w:t>
            </w:r>
          </w:p>
          <w:p w:rsidR="00F76364" w:rsidRPr="00EE6FAC" w:rsidRDefault="00FB7071" w:rsidP="00DF7CED">
            <w:pPr>
              <w:pStyle w:val="TableText"/>
              <w:tabs>
                <w:tab w:val="left" w:pos="7410"/>
              </w:tabs>
              <w:rPr>
                <w:lang w:val="en-NZ"/>
              </w:rPr>
            </w:pPr>
            <w:r w:rsidRPr="00EE6FAC">
              <w:rPr>
                <w:lang w:val="en-NZ"/>
              </w:rPr>
              <w:t>At the same time</w:t>
            </w:r>
            <w:r w:rsidR="0052774F" w:rsidRPr="00EE6FAC">
              <w:rPr>
                <w:lang w:val="en-NZ"/>
              </w:rPr>
              <w:t xml:space="preserve">, the accounting treatment of R&amp;D expenditure does not influence its eligibility for the R&amp;D Tax Incentive. This allows valid, yet unsuccessful, R&amp;D that would </w:t>
            </w:r>
            <w:r w:rsidR="00DF7CED" w:rsidRPr="00EE6FAC">
              <w:rPr>
                <w:lang w:val="en-NZ"/>
              </w:rPr>
              <w:t xml:space="preserve">be </w:t>
            </w:r>
            <w:r w:rsidR="0052774F" w:rsidRPr="00EE6FAC">
              <w:rPr>
                <w:lang w:val="en-NZ"/>
              </w:rPr>
              <w:t>excluded under the accounting standards used for Growth Grants to be recognised for the purposes of the Tax Incentive.</w:t>
            </w:r>
          </w:p>
        </w:tc>
      </w:tr>
    </w:tbl>
    <w:p w:rsidR="0062657E" w:rsidRPr="00EE6FAC" w:rsidRDefault="0062657E" w:rsidP="0049234F">
      <w:pPr>
        <w:pStyle w:val="spacer"/>
        <w:rPr>
          <w:lang w:val="en-NZ"/>
        </w:rPr>
      </w:pP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039"/>
      </w:tblGrid>
      <w:tr w:rsidR="0049467D" w:rsidRPr="00EE6FAC" w:rsidTr="00114CB2">
        <w:trPr>
          <w:trHeight w:val="141"/>
        </w:trPr>
        <w:tc>
          <w:tcPr>
            <w:tcW w:w="5000" w:type="pct"/>
            <w:shd w:val="clear" w:color="auto" w:fill="99CDDD"/>
            <w:hideMark/>
          </w:tcPr>
          <w:p w:rsidR="0062657E" w:rsidRPr="00EE6FAC" w:rsidRDefault="0062657E" w:rsidP="00DF2E7B">
            <w:pPr>
              <w:spacing w:before="60" w:after="60" w:line="240" w:lineRule="auto"/>
              <w:rPr>
                <w:rFonts w:cs="Arial"/>
                <w:b/>
                <w:szCs w:val="22"/>
                <w:lang w:val="en-NZ" w:eastAsia="en-AU"/>
              </w:rPr>
            </w:pPr>
            <w:r w:rsidRPr="00EE6FAC">
              <w:rPr>
                <w:rFonts w:cs="Arial"/>
                <w:b/>
                <w:szCs w:val="22"/>
                <w:lang w:val="en-NZ" w:eastAsia="en-AU"/>
              </w:rPr>
              <w:t>5.2</w:t>
            </w:r>
            <w:r w:rsidR="00A514AC" w:rsidRPr="00EE6FAC">
              <w:rPr>
                <w:rFonts w:cs="Arial"/>
                <w:b/>
                <w:szCs w:val="22"/>
                <w:lang w:val="en-NZ" w:eastAsia="en-AU"/>
              </w:rPr>
              <w:t xml:space="preserve"> </w:t>
            </w:r>
            <w:r w:rsidRPr="00EE6FAC">
              <w:rPr>
                <w:rFonts w:cs="Arial"/>
                <w:b/>
                <w:szCs w:val="22"/>
                <w:lang w:val="en-NZ" w:eastAsia="en-AU"/>
              </w:rPr>
              <w:t>Summary table of costs and benefits of the preferred approach</w:t>
            </w:r>
          </w:p>
        </w:tc>
      </w:tr>
    </w:tbl>
    <w:p w:rsidR="0049234F" w:rsidRPr="00EE6FAC" w:rsidRDefault="0049234F" w:rsidP="0049234F">
      <w:pPr>
        <w:pStyle w:val="spacer"/>
        <w:rPr>
          <w:lang w:val="en-NZ"/>
        </w:rPr>
      </w:pPr>
    </w:p>
    <w:tbl>
      <w:tblPr>
        <w:tblpPr w:leftFromText="180" w:rightFromText="180" w:vertAnchor="text" w:tblpX="6" w:tblpY="1"/>
        <w:tblOverlap w:val="never"/>
        <w:tblW w:w="906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1982"/>
        <w:gridCol w:w="3544"/>
        <w:gridCol w:w="2268"/>
        <w:gridCol w:w="1275"/>
      </w:tblGrid>
      <w:tr w:rsidR="0049467D" w:rsidRPr="00EE6FAC" w:rsidTr="004A11FC">
        <w:trPr>
          <w:trHeight w:val="732"/>
        </w:trPr>
        <w:tc>
          <w:tcPr>
            <w:tcW w:w="1982" w:type="dxa"/>
            <w:tcBorders>
              <w:top w:val="single" w:sz="2" w:space="0" w:color="auto"/>
              <w:left w:val="single" w:sz="2" w:space="0" w:color="auto"/>
              <w:bottom w:val="single" w:sz="2" w:space="0" w:color="auto"/>
              <w:right w:val="single" w:sz="2" w:space="0" w:color="auto"/>
            </w:tcBorders>
            <w:shd w:val="clear" w:color="auto" w:fill="99CDDD"/>
          </w:tcPr>
          <w:p w:rsidR="0062657E" w:rsidRPr="00EE6FAC" w:rsidRDefault="0062657E" w:rsidP="00DF2E7B">
            <w:pPr>
              <w:pStyle w:val="TableText"/>
              <w:autoSpaceDE/>
              <w:autoSpaceDN/>
              <w:adjustRightInd/>
              <w:spacing w:line="240" w:lineRule="auto"/>
              <w:rPr>
                <w:rFonts w:eastAsia="Calibri" w:cs="Arial"/>
                <w:lang w:val="en-NZ"/>
              </w:rPr>
            </w:pPr>
            <w:r w:rsidRPr="00EE6FAC">
              <w:rPr>
                <w:rFonts w:eastAsia="Calibri" w:cs="Arial"/>
                <w:b/>
                <w:lang w:val="en-NZ"/>
              </w:rPr>
              <w:t>Affected parties</w:t>
            </w:r>
            <w:r w:rsidRPr="00EE6FAC">
              <w:rPr>
                <w:rFonts w:eastAsia="Calibri" w:cs="Arial"/>
                <w:lang w:val="en-NZ"/>
              </w:rPr>
              <w:t xml:space="preserve"> </w:t>
            </w:r>
            <w:r w:rsidRPr="00EE6FAC">
              <w:rPr>
                <w:rFonts w:eastAsia="Calibri" w:cs="Arial"/>
                <w:i/>
                <w:lang w:val="en-NZ"/>
              </w:rPr>
              <w:t>(identify)</w:t>
            </w:r>
          </w:p>
        </w:tc>
        <w:tc>
          <w:tcPr>
            <w:tcW w:w="3544" w:type="dxa"/>
            <w:tcBorders>
              <w:top w:val="single" w:sz="2" w:space="0" w:color="auto"/>
              <w:left w:val="single" w:sz="2" w:space="0" w:color="auto"/>
              <w:bottom w:val="single" w:sz="2" w:space="0" w:color="auto"/>
              <w:right w:val="single" w:sz="2" w:space="0" w:color="auto"/>
            </w:tcBorders>
            <w:shd w:val="clear" w:color="auto" w:fill="99CDDD"/>
          </w:tcPr>
          <w:p w:rsidR="0062657E" w:rsidRPr="00EE6FAC" w:rsidRDefault="0062657E" w:rsidP="00DF2E7B">
            <w:pPr>
              <w:pStyle w:val="TableText"/>
              <w:autoSpaceDE/>
              <w:autoSpaceDN/>
              <w:adjustRightInd/>
              <w:spacing w:line="240" w:lineRule="auto"/>
              <w:rPr>
                <w:rFonts w:eastAsia="Calibri" w:cs="Arial"/>
                <w:lang w:val="en-NZ"/>
              </w:rPr>
            </w:pPr>
            <w:r w:rsidRPr="00EE6FAC">
              <w:rPr>
                <w:rFonts w:eastAsia="Calibri" w:cs="Arial"/>
                <w:b/>
                <w:lang w:val="en-NZ"/>
              </w:rPr>
              <w:t>Comment</w:t>
            </w:r>
            <w:r w:rsidRPr="00EE6FAC">
              <w:rPr>
                <w:rFonts w:eastAsia="Calibri" w:cs="Arial"/>
                <w:i/>
                <w:lang w:val="en-NZ"/>
              </w:rPr>
              <w:t>: nature of cost or benefit (eg ongoing, one-off), evidence and assumption (eg compliance rates), risks</w:t>
            </w:r>
          </w:p>
        </w:tc>
        <w:tc>
          <w:tcPr>
            <w:tcW w:w="2268" w:type="dxa"/>
            <w:tcBorders>
              <w:top w:val="single" w:sz="2" w:space="0" w:color="auto"/>
              <w:left w:val="single" w:sz="2" w:space="0" w:color="auto"/>
              <w:bottom w:val="single" w:sz="2" w:space="0" w:color="auto"/>
              <w:right w:val="single" w:sz="2" w:space="0" w:color="auto"/>
            </w:tcBorders>
            <w:shd w:val="clear" w:color="auto" w:fill="99CDDD"/>
          </w:tcPr>
          <w:p w:rsidR="0062657E" w:rsidRPr="00EE6FAC" w:rsidRDefault="0062657E" w:rsidP="00DF2E7B">
            <w:pPr>
              <w:pStyle w:val="TableText"/>
              <w:autoSpaceDE/>
              <w:autoSpaceDN/>
              <w:adjustRightInd/>
              <w:spacing w:line="240" w:lineRule="auto"/>
              <w:rPr>
                <w:rFonts w:eastAsia="Calibri" w:cs="Arial"/>
                <w:b/>
                <w:lang w:val="en-NZ"/>
              </w:rPr>
            </w:pPr>
            <w:r w:rsidRPr="00EE6FAC">
              <w:rPr>
                <w:rFonts w:eastAsia="Calibri" w:cs="Arial"/>
                <w:b/>
                <w:lang w:val="en-NZ"/>
              </w:rPr>
              <w:t>Impact</w:t>
            </w:r>
          </w:p>
          <w:p w:rsidR="0062657E" w:rsidRPr="00EE6FAC" w:rsidRDefault="0062657E" w:rsidP="00DF2E7B">
            <w:pPr>
              <w:pStyle w:val="TableText"/>
              <w:autoSpaceDE/>
              <w:autoSpaceDN/>
              <w:adjustRightInd/>
              <w:spacing w:line="240" w:lineRule="auto"/>
              <w:rPr>
                <w:rFonts w:eastAsia="Calibri" w:cs="Arial"/>
                <w:i/>
                <w:lang w:val="en-NZ"/>
              </w:rPr>
            </w:pPr>
            <w:r w:rsidRPr="00EE6FAC">
              <w:rPr>
                <w:rFonts w:eastAsia="Calibri" w:cs="Arial"/>
                <w:i/>
                <w:lang w:val="en-NZ"/>
              </w:rPr>
              <w:t>$m present value,</w:t>
            </w:r>
            <w:r w:rsidR="00A514AC" w:rsidRPr="00EE6FAC">
              <w:rPr>
                <w:rFonts w:eastAsia="Calibri" w:cs="Arial"/>
                <w:i/>
                <w:lang w:val="en-NZ"/>
              </w:rPr>
              <w:t xml:space="preserve"> </w:t>
            </w:r>
            <w:r w:rsidRPr="00EE6FAC">
              <w:rPr>
                <w:rFonts w:eastAsia="Calibri" w:cs="Arial"/>
                <w:i/>
                <w:lang w:val="en-NZ"/>
              </w:rPr>
              <w:t>for monetised impacts; high, medium or low for non-monetised impacts</w:t>
            </w:r>
            <w:r w:rsidR="00A514AC" w:rsidRPr="00EE6FAC">
              <w:rPr>
                <w:rFonts w:eastAsia="Calibri" w:cs="Arial"/>
                <w:i/>
                <w:lang w:val="en-NZ"/>
              </w:rPr>
              <w:t xml:space="preserve"> </w:t>
            </w:r>
          </w:p>
        </w:tc>
        <w:tc>
          <w:tcPr>
            <w:tcW w:w="1275" w:type="dxa"/>
            <w:tcBorders>
              <w:top w:val="single" w:sz="2" w:space="0" w:color="auto"/>
              <w:left w:val="single" w:sz="2" w:space="0" w:color="auto"/>
              <w:bottom w:val="single" w:sz="2" w:space="0" w:color="auto"/>
              <w:right w:val="single" w:sz="2" w:space="0" w:color="auto"/>
            </w:tcBorders>
            <w:shd w:val="clear" w:color="auto" w:fill="99CDDD"/>
          </w:tcPr>
          <w:p w:rsidR="0062657E" w:rsidRPr="00EE6FAC" w:rsidRDefault="0062657E" w:rsidP="00DF2E7B">
            <w:pPr>
              <w:pStyle w:val="TableText"/>
              <w:autoSpaceDE/>
              <w:autoSpaceDN/>
              <w:adjustRightInd/>
              <w:spacing w:line="240" w:lineRule="auto"/>
              <w:rPr>
                <w:rFonts w:eastAsia="Calibri" w:cs="Arial"/>
                <w:lang w:val="en-NZ"/>
              </w:rPr>
            </w:pPr>
            <w:r w:rsidRPr="00EE6FAC">
              <w:rPr>
                <w:rFonts w:eastAsia="Calibri" w:cs="Arial"/>
                <w:b/>
                <w:lang w:val="en-NZ"/>
              </w:rPr>
              <w:t>Evidence</w:t>
            </w:r>
            <w:r w:rsidRPr="00EE6FAC">
              <w:rPr>
                <w:rFonts w:eastAsia="Calibri" w:cs="Arial"/>
                <w:lang w:val="en-NZ"/>
              </w:rPr>
              <w:t xml:space="preserve"> </w:t>
            </w:r>
            <w:r w:rsidRPr="00EE6FAC">
              <w:rPr>
                <w:rFonts w:eastAsia="Calibri" w:cs="Arial"/>
                <w:b/>
                <w:lang w:val="en-NZ"/>
              </w:rPr>
              <w:t>certainty</w:t>
            </w:r>
            <w:r w:rsidRPr="00EE6FAC">
              <w:rPr>
                <w:rFonts w:eastAsia="Calibri" w:cs="Arial"/>
                <w:lang w:val="en-NZ"/>
              </w:rPr>
              <w:t xml:space="preserve"> </w:t>
            </w:r>
            <w:r w:rsidRPr="00EE6FAC">
              <w:rPr>
                <w:rFonts w:eastAsia="Calibri" w:cs="Arial"/>
                <w:i/>
                <w:lang w:val="en-NZ"/>
              </w:rPr>
              <w:t>(High, medium or low)</w:t>
            </w:r>
            <w:r w:rsidRPr="00EE6FAC">
              <w:rPr>
                <w:rFonts w:eastAsia="Calibri" w:cs="Arial"/>
                <w:lang w:val="en-NZ"/>
              </w:rPr>
              <w:t xml:space="preserve"> </w:t>
            </w:r>
          </w:p>
        </w:tc>
      </w:tr>
      <w:tr w:rsidR="0049467D" w:rsidRPr="00EE6FAC" w:rsidTr="00FA7EFC">
        <w:trPr>
          <w:trHeight w:val="253"/>
        </w:trPr>
        <w:tc>
          <w:tcPr>
            <w:tcW w:w="9069" w:type="dxa"/>
            <w:gridSpan w:val="4"/>
            <w:tcBorders>
              <w:top w:val="nil"/>
              <w:left w:val="nil"/>
              <w:bottom w:val="nil"/>
              <w:right w:val="nil"/>
            </w:tcBorders>
          </w:tcPr>
          <w:p w:rsidR="0062657E" w:rsidRPr="00EE6FAC" w:rsidRDefault="0062657E" w:rsidP="0049234F">
            <w:pPr>
              <w:pStyle w:val="spacer"/>
              <w:keepNext/>
              <w:rPr>
                <w:rFonts w:eastAsia="Calibri"/>
                <w:lang w:val="en-NZ"/>
              </w:rPr>
            </w:pPr>
          </w:p>
        </w:tc>
      </w:tr>
      <w:tr w:rsidR="0049467D" w:rsidRPr="00EE6FAC" w:rsidTr="004A11FC">
        <w:trPr>
          <w:trHeight w:val="253"/>
        </w:trPr>
        <w:tc>
          <w:tcPr>
            <w:tcW w:w="9069" w:type="dxa"/>
            <w:gridSpan w:val="4"/>
            <w:tcBorders>
              <w:top w:val="single" w:sz="2" w:space="0" w:color="auto"/>
              <w:left w:val="single" w:sz="2" w:space="0" w:color="auto"/>
              <w:bottom w:val="single" w:sz="2" w:space="0" w:color="auto"/>
              <w:right w:val="single" w:sz="2" w:space="0" w:color="auto"/>
            </w:tcBorders>
            <w:shd w:val="clear" w:color="auto" w:fill="99CDDD"/>
          </w:tcPr>
          <w:p w:rsidR="0062657E" w:rsidRPr="00EE6FAC" w:rsidRDefault="0062657E" w:rsidP="0049234F">
            <w:pPr>
              <w:keepNext/>
              <w:spacing w:before="40" w:after="20" w:line="276" w:lineRule="auto"/>
              <w:rPr>
                <w:rFonts w:eastAsia="Calibri" w:cs="Arial"/>
                <w:b/>
                <w:szCs w:val="22"/>
                <w:lang w:val="en-NZ"/>
              </w:rPr>
            </w:pPr>
            <w:r w:rsidRPr="00EE6FAC">
              <w:rPr>
                <w:rFonts w:eastAsia="Calibri" w:cs="Arial"/>
                <w:b/>
                <w:szCs w:val="22"/>
                <w:lang w:val="en-NZ"/>
              </w:rPr>
              <w:t>Additional costs of proposed approach, compared to taking no action</w:t>
            </w:r>
          </w:p>
        </w:tc>
      </w:tr>
      <w:tr w:rsidR="0049467D" w:rsidRPr="00EE6FAC"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CB771D" w:rsidP="0049234F">
            <w:pPr>
              <w:pStyle w:val="TableText"/>
              <w:keepNext/>
              <w:spacing w:line="276" w:lineRule="auto"/>
              <w:rPr>
                <w:rFonts w:eastAsia="Calibri" w:cs="Arial"/>
                <w:lang w:val="en-NZ"/>
              </w:rPr>
            </w:pPr>
            <w:r w:rsidRPr="00EE6FAC">
              <w:rPr>
                <w:rFonts w:eastAsia="Calibri" w:cs="Arial"/>
                <w:lang w:val="en-NZ"/>
              </w:rPr>
              <w:t>R&amp;D performing firms</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3F4370" w:rsidP="001876E7">
            <w:pPr>
              <w:pStyle w:val="TableText"/>
              <w:keepNext/>
              <w:spacing w:line="276" w:lineRule="auto"/>
              <w:rPr>
                <w:rFonts w:eastAsia="Calibri" w:cs="Arial"/>
                <w:lang w:val="en-NZ"/>
              </w:rPr>
            </w:pPr>
            <w:r w:rsidRPr="00EE6FAC">
              <w:rPr>
                <w:rFonts w:eastAsia="Calibri" w:cs="Arial"/>
                <w:lang w:val="en-NZ"/>
              </w:rPr>
              <w:t>Those that choose to seek the tax credit will incur the costs of demonstrating their eligibility</w:t>
            </w:r>
            <w:r w:rsidR="00B102DE" w:rsidRPr="00EE6FAC">
              <w:rPr>
                <w:rFonts w:eastAsia="Calibri" w:cs="Arial"/>
                <w:lang w:val="en-NZ"/>
              </w:rPr>
              <w:t xml:space="preserve"> and</w:t>
            </w:r>
            <w:r w:rsidR="00A514AC" w:rsidRPr="00EE6FAC">
              <w:rPr>
                <w:rFonts w:eastAsia="Calibri" w:cs="Arial"/>
                <w:lang w:val="en-NZ"/>
              </w:rPr>
              <w:t xml:space="preserve"> </w:t>
            </w:r>
            <w:r w:rsidR="00B102DE" w:rsidRPr="00EE6FAC">
              <w:rPr>
                <w:rFonts w:eastAsia="Calibri" w:cs="Arial"/>
                <w:lang w:val="en-NZ"/>
              </w:rPr>
              <w:t>ongoing compliance costs (eg, auditing)</w:t>
            </w:r>
            <w:r w:rsidRPr="00EE6FAC">
              <w:rPr>
                <w:rFonts w:eastAsia="Calibri" w:cs="Arial"/>
                <w:lang w:val="en-NZ"/>
              </w:rPr>
              <w:t>.</w:t>
            </w:r>
            <w:r w:rsidR="00A514AC" w:rsidRPr="00EE6FAC">
              <w:rPr>
                <w:rFonts w:eastAsia="Calibri" w:cs="Arial"/>
                <w:lang w:val="en-NZ"/>
              </w:rPr>
              <w:t xml:space="preserve"> </w:t>
            </w:r>
            <w:r w:rsidR="00372449" w:rsidRPr="00EE6FAC">
              <w:rPr>
                <w:rFonts w:eastAsia="Calibri" w:cs="Arial"/>
                <w:lang w:val="en-NZ"/>
              </w:rPr>
              <w:t>E</w:t>
            </w:r>
            <w:r w:rsidR="00B102DE" w:rsidRPr="00EE6FAC">
              <w:rPr>
                <w:rFonts w:eastAsia="Calibri" w:cs="Arial"/>
                <w:lang w:val="en-NZ"/>
              </w:rPr>
              <w:t xml:space="preserve">xpected </w:t>
            </w:r>
            <w:r w:rsidR="00372449" w:rsidRPr="00EE6FAC">
              <w:rPr>
                <w:rFonts w:eastAsia="Calibri" w:cs="Arial"/>
                <w:lang w:val="en-NZ"/>
              </w:rPr>
              <w:t>that existing Growth Grants recipients will</w:t>
            </w:r>
            <w:r w:rsidR="00B102DE" w:rsidRPr="00EE6FAC">
              <w:rPr>
                <w:rFonts w:eastAsia="Calibri" w:cs="Arial"/>
                <w:lang w:val="en-NZ"/>
              </w:rPr>
              <w:t xml:space="preserve"> incur similar costs but non-recipients will </w:t>
            </w:r>
            <w:r w:rsidR="00372449" w:rsidRPr="00EE6FAC">
              <w:rPr>
                <w:rFonts w:eastAsia="Calibri" w:cs="Arial"/>
                <w:lang w:val="en-NZ"/>
              </w:rPr>
              <w:t xml:space="preserve">incur </w:t>
            </w:r>
            <w:r w:rsidR="00B102DE" w:rsidRPr="00EE6FAC">
              <w:rPr>
                <w:rFonts w:eastAsia="Calibri" w:cs="Arial"/>
                <w:lang w:val="en-NZ"/>
              </w:rPr>
              <w:t>additional costs</w:t>
            </w:r>
            <w:r w:rsidR="007E79D4" w:rsidRPr="00EE6FAC">
              <w:rPr>
                <w:rFonts w:eastAsia="Calibri" w:cs="Arial"/>
                <w:lang w:val="en-NZ"/>
              </w:rPr>
              <w:t>.</w:t>
            </w:r>
            <w:r w:rsidR="00B102DE" w:rsidRPr="00EE6FAC">
              <w:rPr>
                <w:rFonts w:eastAsia="Calibri" w:cs="Arial"/>
                <w:lang w:val="en-NZ"/>
              </w:rPr>
              <w:t xml:space="preserve"> </w:t>
            </w:r>
            <w:r w:rsidR="001876E7" w:rsidRPr="00EE6FAC">
              <w:rPr>
                <w:rFonts w:eastAsia="Calibri" w:cs="Arial"/>
                <w:lang w:val="en-NZ"/>
              </w:rPr>
              <w:t>Participation in the system is voluntary</w:t>
            </w:r>
            <w:r w:rsidR="00B102DE" w:rsidRPr="00EE6FAC">
              <w:rPr>
                <w:rFonts w:eastAsia="Calibri" w:cs="Arial"/>
                <w:lang w:val="en-NZ"/>
              </w:rPr>
              <w:t xml:space="preserve"> and should be outweighed by the subsidy.</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D3058A" w:rsidRPr="00EE6FAC" w:rsidRDefault="00D3058A" w:rsidP="00920DFE">
            <w:pPr>
              <w:pStyle w:val="TableText"/>
              <w:keepNext/>
              <w:spacing w:line="276" w:lineRule="auto"/>
              <w:rPr>
                <w:rFonts w:eastAsia="Calibri" w:cs="Arial"/>
                <w:lang w:val="en-NZ"/>
              </w:rPr>
            </w:pPr>
            <w:r w:rsidRPr="00EE6FAC">
              <w:rPr>
                <w:rFonts w:eastAsia="Calibri" w:cs="Arial"/>
                <w:lang w:val="en-NZ"/>
              </w:rPr>
              <w:t>Per annum: $37.5M</w:t>
            </w:r>
            <w:r w:rsidRPr="00EE6FAC">
              <w:rPr>
                <w:rStyle w:val="FootnoteReference"/>
                <w:rFonts w:eastAsia="Calibri" w:cs="Arial"/>
                <w:lang w:val="en-NZ"/>
              </w:rPr>
              <w:footnoteReference w:id="6"/>
            </w:r>
          </w:p>
          <w:p w:rsidR="00920DFE" w:rsidRPr="00EE6FAC" w:rsidRDefault="00B01887" w:rsidP="00B839C3">
            <w:pPr>
              <w:pStyle w:val="TableText"/>
              <w:keepNext/>
              <w:spacing w:line="276" w:lineRule="auto"/>
              <w:rPr>
                <w:rFonts w:cs="Arial"/>
                <w:color w:val="000000"/>
                <w:lang w:val="en-NZ"/>
              </w:rPr>
            </w:pPr>
            <w:r w:rsidRPr="00EE6FAC">
              <w:rPr>
                <w:rFonts w:eastAsia="Calibri" w:cs="Arial"/>
                <w:lang w:val="en-NZ"/>
              </w:rPr>
              <w:t>FY 18/19-21/22</w:t>
            </w:r>
            <w:r w:rsidR="00372449" w:rsidRPr="00EE6FAC">
              <w:rPr>
                <w:rFonts w:cs="Arial"/>
                <w:color w:val="000000"/>
                <w:lang w:val="en-NZ"/>
              </w:rPr>
              <w:t>:</w:t>
            </w:r>
            <w:r w:rsidR="00372449" w:rsidRPr="00EE6FAC">
              <w:rPr>
                <w:rStyle w:val="FootnoteReference"/>
                <w:rFonts w:cs="Arial"/>
                <w:lang w:val="en-NZ"/>
              </w:rPr>
              <w:footnoteReference w:id="7"/>
            </w:r>
            <w:r w:rsidR="009870AB" w:rsidRPr="00EE6FAC">
              <w:rPr>
                <w:rFonts w:cs="Arial"/>
                <w:color w:val="000000"/>
                <w:lang w:val="en-NZ"/>
              </w:rPr>
              <w:br/>
            </w:r>
            <w:r w:rsidR="00920DFE" w:rsidRPr="00EE6FAC">
              <w:rPr>
                <w:rFonts w:eastAsia="Calibri" w:cs="Arial"/>
                <w:lang w:val="en-NZ"/>
              </w:rPr>
              <w:t>$</w:t>
            </w:r>
            <w:r w:rsidR="00D3058A" w:rsidRPr="00EE6FAC">
              <w:rPr>
                <w:rFonts w:eastAsia="Calibri" w:cs="Arial"/>
                <w:lang w:val="en-NZ"/>
              </w:rPr>
              <w:t>1</w:t>
            </w:r>
            <w:r w:rsidR="00B839C3" w:rsidRPr="00EE6FAC">
              <w:rPr>
                <w:rFonts w:eastAsia="Calibri" w:cs="Arial"/>
                <w:lang w:val="en-NZ"/>
              </w:rPr>
              <w:t>03</w:t>
            </w:r>
            <w:r w:rsidR="00920DFE" w:rsidRPr="00EE6FAC">
              <w:rPr>
                <w:rFonts w:eastAsia="Calibri" w:cs="Arial"/>
                <w:lang w:val="en-NZ"/>
              </w:rPr>
              <w:t>M</w:t>
            </w:r>
            <w:r w:rsidR="00D3058A" w:rsidRPr="00EE6FAC">
              <w:rPr>
                <w:rFonts w:eastAsia="Calibri" w:cs="Arial"/>
                <w:lang w:val="en-NZ"/>
              </w:rPr>
              <w:t xml:space="preserve"> after discounting at 6%</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E93AD6" w:rsidP="003F4370">
            <w:pPr>
              <w:pStyle w:val="TableText"/>
              <w:keepNext/>
              <w:spacing w:line="276" w:lineRule="auto"/>
              <w:rPr>
                <w:rFonts w:eastAsia="Calibri" w:cs="Arial"/>
                <w:lang w:val="en-NZ"/>
              </w:rPr>
            </w:pPr>
            <w:r w:rsidRPr="00EE6FAC">
              <w:rPr>
                <w:rFonts w:eastAsia="Calibri" w:cs="Arial"/>
                <w:lang w:val="en-NZ"/>
              </w:rPr>
              <w:t>Low</w:t>
            </w:r>
          </w:p>
        </w:tc>
      </w:tr>
      <w:tr w:rsidR="0049467D" w:rsidRPr="00EE6FAC"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CB771D" w:rsidP="0049234F">
            <w:pPr>
              <w:pStyle w:val="TableText"/>
              <w:keepNext/>
              <w:spacing w:line="276" w:lineRule="auto"/>
              <w:rPr>
                <w:rFonts w:eastAsia="Calibri" w:cs="Arial"/>
                <w:lang w:val="en-NZ"/>
              </w:rPr>
            </w:pPr>
            <w:r w:rsidRPr="00EE6FAC">
              <w:rPr>
                <w:rFonts w:eastAsia="Calibri" w:cs="Arial"/>
                <w:lang w:val="en-NZ"/>
              </w:rPr>
              <w:t>Administering agency</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143BA3" w:rsidP="002A0CA4">
            <w:pPr>
              <w:pStyle w:val="TableText"/>
              <w:keepNext/>
              <w:spacing w:line="276" w:lineRule="auto"/>
              <w:rPr>
                <w:rFonts w:eastAsia="Calibri" w:cs="Arial"/>
                <w:lang w:val="en-NZ"/>
              </w:rPr>
            </w:pPr>
            <w:r w:rsidRPr="00EE6FAC">
              <w:rPr>
                <w:rFonts w:eastAsia="Calibri" w:cs="Arial"/>
                <w:lang w:val="en-NZ"/>
              </w:rPr>
              <w:t>IR</w:t>
            </w:r>
            <w:r w:rsidR="00CB771D" w:rsidRPr="00EE6FAC">
              <w:rPr>
                <w:rFonts w:eastAsia="Calibri" w:cs="Arial"/>
                <w:lang w:val="en-NZ"/>
              </w:rPr>
              <w:t xml:space="preserve"> will administer Tax Incentive (vs Callaghan Innovation for Growth Grants). </w:t>
            </w:r>
            <w:r w:rsidR="00D20DDF" w:rsidRPr="00EE6FAC">
              <w:rPr>
                <w:rFonts w:eastAsia="Calibri" w:cs="Arial"/>
                <w:lang w:val="en-NZ"/>
              </w:rPr>
              <w:t>IR</w:t>
            </w:r>
            <w:r w:rsidR="00CB771D" w:rsidRPr="00EE6FAC">
              <w:rPr>
                <w:rFonts w:eastAsia="Calibri" w:cs="Arial"/>
                <w:lang w:val="en-NZ"/>
              </w:rPr>
              <w:t xml:space="preserve"> costs expected to </w:t>
            </w:r>
            <w:r w:rsidR="00D20DDF" w:rsidRPr="00EE6FAC">
              <w:rPr>
                <w:rFonts w:eastAsia="Calibri" w:cs="Arial"/>
                <w:lang w:val="en-NZ"/>
              </w:rPr>
              <w:t xml:space="preserve">be higher because larger number of firms </w:t>
            </w:r>
            <w:r w:rsidR="002A0CA4">
              <w:rPr>
                <w:rFonts w:eastAsia="Calibri" w:cs="Arial"/>
                <w:lang w:val="en-NZ"/>
              </w:rPr>
              <w:t>eligible</w:t>
            </w:r>
            <w:r w:rsidR="00CB771D" w:rsidRPr="00EE6FAC">
              <w:rPr>
                <w:rFonts w:eastAsia="Calibri" w:cs="Arial"/>
                <w:lang w:val="en-NZ"/>
              </w:rPr>
              <w:t>.</w:t>
            </w:r>
            <w:r w:rsidR="00467719" w:rsidRPr="00EE6FAC">
              <w:rPr>
                <w:rFonts w:eastAsia="Calibri" w:cs="Arial"/>
                <w:lang w:val="en-NZ"/>
              </w:rPr>
              <w:t xml:space="preserve"> Callaghan Innovation will lose</w:t>
            </w:r>
            <w:r w:rsidR="0052774F" w:rsidRPr="00EE6FAC">
              <w:rPr>
                <w:rFonts w:eastAsia="Calibri" w:cs="Arial"/>
                <w:lang w:val="en-NZ"/>
              </w:rPr>
              <w:t xml:space="preserve"> direct</w:t>
            </w:r>
            <w:r w:rsidR="00467719" w:rsidRPr="00EE6FAC">
              <w:rPr>
                <w:rFonts w:eastAsia="Calibri" w:cs="Arial"/>
                <w:lang w:val="en-NZ"/>
              </w:rPr>
              <w:t xml:space="preserve"> c</w:t>
            </w:r>
            <w:r w:rsidR="0052774F" w:rsidRPr="00EE6FAC">
              <w:rPr>
                <w:rFonts w:eastAsia="Calibri" w:cs="Arial"/>
                <w:lang w:val="en-NZ"/>
              </w:rPr>
              <w:t>onnection</w:t>
            </w:r>
            <w:r w:rsidR="00467719" w:rsidRPr="00EE6FAC">
              <w:rPr>
                <w:rFonts w:eastAsia="Calibri" w:cs="Arial"/>
                <w:lang w:val="en-NZ"/>
              </w:rPr>
              <w:t xml:space="preserve"> </w:t>
            </w:r>
            <w:r w:rsidR="0052774F" w:rsidRPr="00EE6FAC">
              <w:rPr>
                <w:rFonts w:eastAsia="Calibri" w:cs="Arial"/>
                <w:lang w:val="en-NZ"/>
              </w:rPr>
              <w:t>to large R&amp;D performers</w:t>
            </w:r>
            <w:r w:rsidR="00467719" w:rsidRPr="00EE6FAC">
              <w:rPr>
                <w:lang w:val="en-NZ"/>
              </w:rPr>
              <w:t>, and hence ability to use R&amp;D grants to increase uptake and effectiveness of the other services/programmes</w:t>
            </w:r>
            <w:r w:rsidR="0052774F" w:rsidRPr="00EE6FAC">
              <w:rPr>
                <w:lang w:val="en-NZ"/>
              </w:rPr>
              <w:t>.</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920DFE" w:rsidP="007C0908">
            <w:pPr>
              <w:pStyle w:val="TableText"/>
              <w:keepNext/>
              <w:spacing w:line="276" w:lineRule="auto"/>
              <w:rPr>
                <w:rFonts w:eastAsia="Calibri" w:cs="Arial"/>
                <w:lang w:val="en-NZ"/>
              </w:rPr>
            </w:pPr>
            <w:r w:rsidRPr="00EE6FAC">
              <w:rPr>
                <w:rFonts w:eastAsia="Calibri" w:cs="Arial"/>
                <w:lang w:val="en-NZ"/>
              </w:rPr>
              <w:t xml:space="preserve">Per annum: </w:t>
            </w:r>
            <w:r w:rsidR="00D20DDF" w:rsidRPr="00EE6FAC">
              <w:rPr>
                <w:rFonts w:eastAsia="Calibri" w:cs="Arial"/>
                <w:lang w:val="en-NZ"/>
              </w:rPr>
              <w:t>$6M</w:t>
            </w:r>
            <w:r w:rsidR="00E93AD6" w:rsidRPr="00EE6FAC">
              <w:rPr>
                <w:rStyle w:val="FootnoteReference"/>
                <w:rFonts w:eastAsia="Calibri" w:cs="Arial"/>
                <w:lang w:val="en-NZ"/>
              </w:rPr>
              <w:footnoteReference w:id="8"/>
            </w:r>
            <w:r w:rsidR="009870AB" w:rsidRPr="00EE6FAC">
              <w:rPr>
                <w:rFonts w:eastAsia="Calibri" w:cs="Arial"/>
                <w:lang w:val="en-NZ"/>
              </w:rPr>
              <w:t xml:space="preserve"> - </w:t>
            </w:r>
            <w:r w:rsidR="00CB771D" w:rsidRPr="00EE6FAC">
              <w:rPr>
                <w:rFonts w:eastAsia="Calibri" w:cs="Arial"/>
                <w:lang w:val="en-NZ"/>
              </w:rPr>
              <w:t>$</w:t>
            </w:r>
            <w:r w:rsidR="00D20DDF" w:rsidRPr="00EE6FAC">
              <w:rPr>
                <w:rFonts w:eastAsia="Calibri" w:cs="Arial"/>
                <w:lang w:val="en-NZ"/>
              </w:rPr>
              <w:t>2</w:t>
            </w:r>
            <w:r w:rsidR="006A70D0" w:rsidRPr="00EE6FAC">
              <w:rPr>
                <w:rFonts w:eastAsia="Calibri" w:cs="Arial"/>
                <w:lang w:val="en-NZ"/>
              </w:rPr>
              <w:t>.1</w:t>
            </w:r>
            <w:r w:rsidR="00CB771D" w:rsidRPr="00EE6FAC">
              <w:rPr>
                <w:rFonts w:eastAsia="Calibri" w:cs="Arial"/>
                <w:lang w:val="en-NZ"/>
              </w:rPr>
              <w:t>M</w:t>
            </w:r>
            <w:r w:rsidR="009870AB" w:rsidRPr="00EE6FAC">
              <w:rPr>
                <w:rFonts w:eastAsia="Calibri" w:cs="Arial"/>
                <w:lang w:val="en-NZ"/>
              </w:rPr>
              <w:t xml:space="preserve"> </w:t>
            </w:r>
            <w:r w:rsidR="00D20DDF" w:rsidRPr="00EE6FAC">
              <w:rPr>
                <w:rFonts w:eastAsia="Calibri" w:cs="Arial"/>
                <w:lang w:val="en-NZ"/>
              </w:rPr>
              <w:t>=</w:t>
            </w:r>
            <w:r w:rsidR="009870AB" w:rsidRPr="00EE6FAC">
              <w:rPr>
                <w:rFonts w:eastAsia="Calibri" w:cs="Arial"/>
                <w:lang w:val="en-NZ"/>
              </w:rPr>
              <w:t xml:space="preserve"> </w:t>
            </w:r>
            <w:r w:rsidR="00D20DDF" w:rsidRPr="00EE6FAC">
              <w:rPr>
                <w:rFonts w:eastAsia="Calibri" w:cs="Arial"/>
                <w:lang w:val="en-NZ"/>
              </w:rPr>
              <w:t>$</w:t>
            </w:r>
            <w:r w:rsidR="006A70D0" w:rsidRPr="00EE6FAC">
              <w:rPr>
                <w:rFonts w:eastAsia="Calibri" w:cs="Arial"/>
                <w:lang w:val="en-NZ"/>
              </w:rPr>
              <w:t>3.9</w:t>
            </w:r>
            <w:r w:rsidR="00D20DDF" w:rsidRPr="00EE6FAC">
              <w:rPr>
                <w:rFonts w:eastAsia="Calibri" w:cs="Arial"/>
                <w:lang w:val="en-NZ"/>
              </w:rPr>
              <w:t>M</w:t>
            </w:r>
            <w:r w:rsidR="007C0908" w:rsidRPr="00EE6FAC">
              <w:rPr>
                <w:rFonts w:eastAsia="Calibri" w:cs="Arial"/>
                <w:lang w:val="en-NZ"/>
              </w:rPr>
              <w:t xml:space="preserve"> </w:t>
            </w:r>
          </w:p>
          <w:p w:rsidR="007C0908" w:rsidRPr="00EE6FAC" w:rsidRDefault="00B01887" w:rsidP="00B102DE">
            <w:pPr>
              <w:pStyle w:val="TableText"/>
              <w:keepNext/>
              <w:spacing w:line="276" w:lineRule="auto"/>
              <w:rPr>
                <w:rFonts w:eastAsia="Calibri" w:cs="Arial"/>
                <w:lang w:val="en-NZ"/>
              </w:rPr>
            </w:pPr>
            <w:r w:rsidRPr="00EE6FAC">
              <w:rPr>
                <w:rFonts w:eastAsia="Calibri" w:cs="Arial"/>
                <w:lang w:val="en-NZ"/>
              </w:rPr>
              <w:t>FY 18/19-21/22</w:t>
            </w:r>
            <w:r w:rsidR="00920DFE" w:rsidRPr="00EE6FAC">
              <w:rPr>
                <w:rFonts w:cs="Arial"/>
                <w:color w:val="000000"/>
                <w:lang w:val="en-NZ"/>
              </w:rPr>
              <w:t xml:space="preserve">: </w:t>
            </w:r>
            <w:r w:rsidR="00920DFE" w:rsidRPr="00EE6FAC">
              <w:rPr>
                <w:rFonts w:eastAsia="Calibri" w:cs="Arial"/>
                <w:lang w:val="en-NZ"/>
              </w:rPr>
              <w:t>$1</w:t>
            </w:r>
            <w:r w:rsidR="00B102DE" w:rsidRPr="00EE6FAC">
              <w:rPr>
                <w:rFonts w:eastAsia="Calibri" w:cs="Arial"/>
                <w:lang w:val="en-NZ"/>
              </w:rPr>
              <w:t>1</w:t>
            </w:r>
            <w:r w:rsidR="00920DFE" w:rsidRPr="00EE6FAC">
              <w:rPr>
                <w:rFonts w:eastAsia="Calibri" w:cs="Arial"/>
                <w:lang w:val="en-NZ"/>
              </w:rPr>
              <w:t>M</w:t>
            </w:r>
            <w:r w:rsidR="00E93AD6" w:rsidRPr="00EE6FAC">
              <w:rPr>
                <w:rFonts w:eastAsia="Calibri" w:cs="Arial"/>
                <w:lang w:val="en-NZ"/>
              </w:rPr>
              <w:t xml:space="preserve"> after discounting at 6%</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E93AD6" w:rsidP="0049234F">
            <w:pPr>
              <w:pStyle w:val="TableText"/>
              <w:keepNext/>
              <w:spacing w:line="276" w:lineRule="auto"/>
              <w:rPr>
                <w:rFonts w:eastAsia="Calibri" w:cs="Arial"/>
                <w:lang w:val="en-NZ"/>
              </w:rPr>
            </w:pPr>
            <w:r w:rsidRPr="00EE6FAC">
              <w:rPr>
                <w:rFonts w:eastAsia="Calibri" w:cs="Arial"/>
                <w:lang w:val="en-NZ"/>
              </w:rPr>
              <w:t>Low</w:t>
            </w:r>
          </w:p>
        </w:tc>
      </w:tr>
      <w:tr w:rsidR="0049467D" w:rsidRPr="00EE6FAC"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2657E" w:rsidP="0049234F">
            <w:pPr>
              <w:pStyle w:val="TableText"/>
              <w:keepNext/>
              <w:spacing w:line="276" w:lineRule="auto"/>
              <w:rPr>
                <w:rFonts w:eastAsia="Calibri" w:cs="Arial"/>
                <w:lang w:val="en-NZ"/>
              </w:rPr>
            </w:pPr>
            <w:r w:rsidRPr="00EE6FAC">
              <w:rPr>
                <w:rFonts w:eastAsia="Calibri" w:cs="Arial"/>
                <w:lang w:val="en-NZ"/>
              </w:rPr>
              <w:t>Wider government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311DF9" w:rsidP="00311DF9">
            <w:pPr>
              <w:pStyle w:val="TableText"/>
              <w:keepNext/>
              <w:spacing w:line="276" w:lineRule="auto"/>
              <w:rPr>
                <w:rFonts w:eastAsia="Calibri" w:cs="Arial"/>
                <w:lang w:val="en-NZ"/>
              </w:rPr>
            </w:pPr>
            <w:r w:rsidRPr="00EE6FAC">
              <w:rPr>
                <w:rFonts w:eastAsia="Calibri" w:cs="Arial"/>
                <w:lang w:val="en-NZ"/>
              </w:rPr>
              <w:t>Higher</w:t>
            </w:r>
            <w:r w:rsidR="00F05A1E" w:rsidRPr="00EE6FAC">
              <w:rPr>
                <w:rFonts w:eastAsia="Calibri" w:cs="Arial"/>
                <w:lang w:val="en-NZ"/>
              </w:rPr>
              <w:t xml:space="preserve"> fiscal costs because of wider coverage of</w:t>
            </w:r>
            <w:r w:rsidR="005513C9" w:rsidRPr="00EE6FAC">
              <w:rPr>
                <w:rFonts w:eastAsia="Calibri" w:cs="Arial"/>
                <w:lang w:val="en-NZ"/>
              </w:rPr>
              <w:t xml:space="preserve"> firms and slightly more generous rate.</w:t>
            </w:r>
            <w:r w:rsidR="00F05A1E" w:rsidRPr="00EE6FAC">
              <w:rPr>
                <w:rFonts w:eastAsia="Calibri" w:cs="Arial"/>
                <w:lang w:val="en-NZ"/>
              </w:rPr>
              <w:t xml:space="preserve"> </w:t>
            </w:r>
            <w:r w:rsidR="00A1728A" w:rsidRPr="00EE6FAC">
              <w:rPr>
                <w:rFonts w:eastAsia="Calibri" w:cs="Arial"/>
                <w:lang w:val="en-NZ"/>
              </w:rPr>
              <w:t xml:space="preserve">The cost of the tax credit will </w:t>
            </w:r>
            <w:r w:rsidR="0067457F" w:rsidRPr="00EE6FAC">
              <w:rPr>
                <w:rFonts w:eastAsia="Calibri" w:cs="Arial"/>
                <w:lang w:val="en-NZ"/>
              </w:rPr>
              <w:t xml:space="preserve">continue to </w:t>
            </w:r>
            <w:r w:rsidR="00A1728A" w:rsidRPr="00EE6FAC">
              <w:rPr>
                <w:rFonts w:eastAsia="Calibri" w:cs="Arial"/>
                <w:lang w:val="en-NZ"/>
              </w:rPr>
              <w:t>be met from Vote: BSI</w:t>
            </w:r>
            <w:r w:rsidR="0067457F" w:rsidRPr="00EE6FAC">
              <w:rPr>
                <w:rFonts w:eastAsia="Calibri" w:cs="Arial"/>
                <w:lang w:val="en-NZ"/>
              </w:rPr>
              <w:t xml:space="preserve"> and managed</w:t>
            </w:r>
            <w:r w:rsidR="00F05A1E" w:rsidRPr="00EE6FAC">
              <w:rPr>
                <w:rFonts w:eastAsia="Calibri" w:cs="Arial"/>
                <w:lang w:val="en-NZ"/>
              </w:rPr>
              <w:t xml:space="preserve"> by MBIE</w:t>
            </w:r>
            <w:r w:rsidR="0067457F" w:rsidRPr="00EE6FAC">
              <w:rPr>
                <w:rFonts w:eastAsia="Calibri" w:cs="Arial"/>
                <w:lang w:val="en-NZ"/>
              </w:rPr>
              <w:t xml:space="preserve"> in a similar way.</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9B0B3F" w:rsidRPr="00EE6FAC" w:rsidRDefault="00B01887" w:rsidP="009B0B3F">
            <w:pPr>
              <w:pStyle w:val="TableText"/>
              <w:keepNext/>
              <w:spacing w:line="276" w:lineRule="auto"/>
              <w:rPr>
                <w:rFonts w:eastAsia="Calibri" w:cs="Arial"/>
                <w:lang w:val="en-NZ"/>
              </w:rPr>
            </w:pPr>
            <w:r w:rsidRPr="00EE6FAC">
              <w:rPr>
                <w:rFonts w:eastAsia="Calibri" w:cs="Arial"/>
                <w:lang w:val="en-NZ"/>
              </w:rPr>
              <w:t>FY 18/19-21/22</w:t>
            </w:r>
            <w:r w:rsidR="00920DFE" w:rsidRPr="00EE6FAC">
              <w:rPr>
                <w:rFonts w:cs="Arial"/>
                <w:color w:val="000000"/>
                <w:lang w:val="en-NZ"/>
              </w:rPr>
              <w:t xml:space="preserve">: </w:t>
            </w:r>
            <w:r w:rsidR="00D20DDF" w:rsidRPr="00EE6FAC">
              <w:rPr>
                <w:rFonts w:eastAsia="Calibri" w:cs="Arial"/>
                <w:lang w:val="en-NZ"/>
              </w:rPr>
              <w:t>$1215</w:t>
            </w:r>
            <w:r w:rsidR="009870AB" w:rsidRPr="00EE6FAC">
              <w:rPr>
                <w:rFonts w:eastAsia="Calibri" w:cs="Arial"/>
                <w:lang w:val="en-NZ"/>
              </w:rPr>
              <w:t xml:space="preserve">M - </w:t>
            </w:r>
            <w:r w:rsidR="00E44EFF" w:rsidRPr="00EE6FAC">
              <w:rPr>
                <w:rFonts w:eastAsia="Calibri" w:cs="Arial"/>
                <w:lang w:val="en-NZ"/>
              </w:rPr>
              <w:t>$</w:t>
            </w:r>
            <w:r w:rsidR="00E93AD6" w:rsidRPr="00EE6FAC">
              <w:rPr>
                <w:rFonts w:eastAsia="Calibri" w:cs="Arial"/>
                <w:lang w:val="en-NZ"/>
              </w:rPr>
              <w:t>749M</w:t>
            </w:r>
            <w:r w:rsidR="00B102DE" w:rsidRPr="00EE6FAC">
              <w:rPr>
                <w:rStyle w:val="FootnoteReference"/>
                <w:rFonts w:eastAsia="Calibri" w:cs="Arial"/>
                <w:lang w:val="en-NZ"/>
              </w:rPr>
              <w:footnoteReference w:id="9"/>
            </w:r>
            <w:r w:rsidR="009870AB" w:rsidRPr="00EE6FAC">
              <w:rPr>
                <w:rFonts w:eastAsia="Calibri" w:cs="Arial"/>
                <w:lang w:val="en-NZ"/>
              </w:rPr>
              <w:t xml:space="preserve"> </w:t>
            </w:r>
            <w:r w:rsidR="00E44EFF" w:rsidRPr="00EE6FAC">
              <w:rPr>
                <w:rFonts w:eastAsia="Calibri" w:cs="Arial"/>
                <w:lang w:val="en-NZ"/>
              </w:rPr>
              <w:t>=</w:t>
            </w:r>
            <w:r w:rsidR="009870AB" w:rsidRPr="00EE6FAC">
              <w:rPr>
                <w:rFonts w:eastAsia="Calibri" w:cs="Arial"/>
                <w:lang w:val="en-NZ"/>
              </w:rPr>
              <w:t xml:space="preserve"> </w:t>
            </w:r>
            <w:r w:rsidR="00E44EFF" w:rsidRPr="00EE6FAC">
              <w:rPr>
                <w:rFonts w:eastAsia="Calibri" w:cs="Arial"/>
                <w:lang w:val="en-NZ"/>
              </w:rPr>
              <w:t>$</w:t>
            </w:r>
            <w:r w:rsidR="00E93AD6" w:rsidRPr="00EE6FAC">
              <w:rPr>
                <w:rFonts w:eastAsia="Calibri" w:cs="Arial"/>
                <w:lang w:val="en-NZ"/>
              </w:rPr>
              <w:t>466</w:t>
            </w:r>
            <w:r w:rsidR="009870AB" w:rsidRPr="00EE6FAC">
              <w:rPr>
                <w:rFonts w:eastAsia="Calibri" w:cs="Arial"/>
                <w:lang w:val="en-NZ"/>
              </w:rPr>
              <w:t>M</w:t>
            </w:r>
            <w:r w:rsidR="00E93AD6" w:rsidRPr="00EE6FAC">
              <w:rPr>
                <w:rFonts w:eastAsia="Calibri" w:cs="Arial"/>
                <w:lang w:val="en-NZ"/>
              </w:rPr>
              <w:t xml:space="preserve"> </w:t>
            </w:r>
            <w:r w:rsidR="00F26319" w:rsidRPr="00EE6FAC">
              <w:rPr>
                <w:rFonts w:eastAsia="Calibri" w:cs="Arial"/>
                <w:lang w:val="en-NZ"/>
              </w:rPr>
              <w:t>without discounting</w:t>
            </w:r>
          </w:p>
          <w:p w:rsidR="0062657E" w:rsidRPr="00EE6FAC" w:rsidRDefault="009B0B3F" w:rsidP="00E93AD6">
            <w:pPr>
              <w:pStyle w:val="TableText"/>
              <w:keepNext/>
              <w:spacing w:line="276" w:lineRule="auto"/>
              <w:rPr>
                <w:rFonts w:eastAsia="Calibri" w:cs="Arial"/>
                <w:lang w:val="en-NZ"/>
              </w:rPr>
            </w:pPr>
            <w:r w:rsidRPr="00EE6FAC">
              <w:rPr>
                <w:rFonts w:eastAsia="Calibri" w:cs="Arial"/>
                <w:lang w:val="en-NZ"/>
              </w:rPr>
              <w:t>$</w:t>
            </w:r>
            <w:r w:rsidR="00E93AD6" w:rsidRPr="00EE6FAC">
              <w:rPr>
                <w:rFonts w:eastAsia="Calibri" w:cs="Arial"/>
                <w:lang w:val="en-NZ"/>
              </w:rPr>
              <w:t>395</w:t>
            </w:r>
            <w:r w:rsidRPr="00EE6FAC">
              <w:rPr>
                <w:rFonts w:eastAsia="Calibri" w:cs="Arial"/>
                <w:lang w:val="en-NZ"/>
              </w:rPr>
              <w:t xml:space="preserve">M </w:t>
            </w:r>
            <w:r w:rsidR="007C0908" w:rsidRPr="00EE6FAC">
              <w:rPr>
                <w:rFonts w:eastAsia="Calibri" w:cs="Arial"/>
                <w:lang w:val="en-NZ"/>
              </w:rPr>
              <w:t>after discounting at 6%</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A1728A" w:rsidP="0049234F">
            <w:pPr>
              <w:pStyle w:val="TableText"/>
              <w:keepNext/>
              <w:spacing w:line="276" w:lineRule="auto"/>
              <w:rPr>
                <w:rFonts w:eastAsia="Calibri" w:cs="Arial"/>
                <w:lang w:val="en-NZ"/>
              </w:rPr>
            </w:pPr>
            <w:r w:rsidRPr="00EE6FAC">
              <w:rPr>
                <w:rFonts w:eastAsia="Calibri" w:cs="Arial"/>
                <w:lang w:val="en-NZ"/>
              </w:rPr>
              <w:t>Medium</w:t>
            </w:r>
          </w:p>
        </w:tc>
      </w:tr>
      <w:tr w:rsidR="0049467D" w:rsidRPr="00EE6FAC"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2657E" w:rsidP="0049234F">
            <w:pPr>
              <w:pStyle w:val="TableText"/>
              <w:keepNext/>
              <w:spacing w:line="276" w:lineRule="auto"/>
              <w:rPr>
                <w:rFonts w:eastAsia="Calibri" w:cs="Arial"/>
                <w:lang w:val="en-NZ"/>
              </w:rPr>
            </w:pPr>
            <w:r w:rsidRPr="00EE6FAC">
              <w:rPr>
                <w:rFonts w:eastAsia="Calibri" w:cs="Arial"/>
                <w:lang w:val="en-NZ"/>
              </w:rPr>
              <w:t xml:space="preserve">Other parties </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3F4370" w:rsidP="0049234F">
            <w:pPr>
              <w:pStyle w:val="TableText"/>
              <w:keepNext/>
              <w:spacing w:line="276" w:lineRule="auto"/>
              <w:rPr>
                <w:rFonts w:eastAsia="Calibri" w:cs="Arial"/>
                <w:lang w:val="en-NZ"/>
              </w:rPr>
            </w:pPr>
            <w:r w:rsidRPr="00EE6FAC">
              <w:rPr>
                <w:rFonts w:eastAsia="Calibri" w:cs="Arial"/>
                <w:lang w:val="en-NZ"/>
              </w:rPr>
              <w:t xml:space="preserve">No </w:t>
            </w:r>
            <w:r w:rsidR="00E44EFF" w:rsidRPr="00EE6FAC">
              <w:rPr>
                <w:rFonts w:eastAsia="Calibri" w:cs="Arial"/>
                <w:lang w:val="en-NZ"/>
              </w:rPr>
              <w:t xml:space="preserve">anticipated </w:t>
            </w:r>
            <w:r w:rsidRPr="00EE6FAC">
              <w:rPr>
                <w:rFonts w:eastAsia="Calibri" w:cs="Arial"/>
                <w:lang w:val="en-NZ"/>
              </w:rPr>
              <w:t>costs.</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7457F" w:rsidP="0049234F">
            <w:pPr>
              <w:pStyle w:val="TableText"/>
              <w:keepNext/>
              <w:spacing w:line="276" w:lineRule="auto"/>
              <w:rPr>
                <w:rFonts w:eastAsia="Calibri" w:cs="Arial"/>
                <w:lang w:val="en-NZ"/>
              </w:rPr>
            </w:pPr>
            <w:r w:rsidRPr="00EE6FAC">
              <w:rPr>
                <w:rFonts w:eastAsia="Calibri" w:cs="Arial"/>
                <w:lang w:val="en-NZ"/>
              </w:rPr>
              <w:t>$0</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2657E" w:rsidP="0049234F">
            <w:pPr>
              <w:pStyle w:val="TableText"/>
              <w:keepNext/>
              <w:spacing w:line="276" w:lineRule="auto"/>
              <w:rPr>
                <w:rFonts w:eastAsia="Calibri" w:cs="Arial"/>
                <w:lang w:val="en-NZ"/>
              </w:rPr>
            </w:pPr>
          </w:p>
        </w:tc>
      </w:tr>
      <w:tr w:rsidR="0049467D" w:rsidRPr="00EE6FAC" w:rsidTr="009870AB">
        <w:trPr>
          <w:cantSplit/>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2657E" w:rsidP="0049234F">
            <w:pPr>
              <w:pStyle w:val="TableText"/>
              <w:keepNext/>
              <w:spacing w:line="276" w:lineRule="auto"/>
              <w:rPr>
                <w:rFonts w:eastAsia="Calibri" w:cs="Arial"/>
                <w:b/>
                <w:lang w:val="en-NZ"/>
              </w:rPr>
            </w:pPr>
            <w:r w:rsidRPr="00EE6FAC">
              <w:rPr>
                <w:rFonts w:eastAsia="Calibri" w:cs="Arial"/>
                <w:b/>
                <w:lang w:val="en-NZ"/>
              </w:rPr>
              <w:t>Total Monetised Cost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2657E" w:rsidP="0049234F">
            <w:pPr>
              <w:pStyle w:val="TableText"/>
              <w:keepNext/>
              <w:spacing w:line="276" w:lineRule="auto"/>
              <w:rPr>
                <w:rFonts w:eastAsia="Calibri" w:cs="Arial"/>
                <w:i/>
                <w:lang w:val="en-NZ"/>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E93AD6" w:rsidP="00E93AD6">
            <w:pPr>
              <w:pStyle w:val="TableText"/>
              <w:keepNext/>
              <w:spacing w:line="276" w:lineRule="auto"/>
              <w:rPr>
                <w:rFonts w:eastAsia="Calibri" w:cs="Arial"/>
                <w:lang w:val="en-NZ"/>
              </w:rPr>
            </w:pPr>
            <w:r w:rsidRPr="00EE6FAC">
              <w:rPr>
                <w:rFonts w:eastAsia="Calibri" w:cs="Arial"/>
                <w:lang w:val="en-NZ"/>
              </w:rPr>
              <w:t>FY 18/19-21/22</w:t>
            </w:r>
            <w:r w:rsidRPr="00EE6FAC">
              <w:rPr>
                <w:rFonts w:cs="Arial"/>
                <w:color w:val="000000"/>
                <w:lang w:val="en-NZ"/>
              </w:rPr>
              <w:t xml:space="preserve">: </w:t>
            </w:r>
            <w:r w:rsidR="00371890" w:rsidRPr="00EE6FAC">
              <w:rPr>
                <w:rFonts w:eastAsia="Calibri" w:cs="Arial"/>
                <w:lang w:val="en-NZ"/>
              </w:rPr>
              <w:t>$</w:t>
            </w:r>
            <w:r w:rsidRPr="00EE6FAC">
              <w:rPr>
                <w:rFonts w:eastAsia="Calibri" w:cs="Arial"/>
                <w:lang w:val="en-NZ"/>
              </w:rPr>
              <w:t>509</w:t>
            </w:r>
            <w:r w:rsidR="00371890" w:rsidRPr="00EE6FAC">
              <w:rPr>
                <w:rFonts w:eastAsia="Calibri" w:cs="Arial"/>
                <w:lang w:val="en-NZ"/>
              </w:rPr>
              <w:t>M</w:t>
            </w:r>
            <w:r w:rsidR="009B0B3F" w:rsidRPr="00EE6FAC">
              <w:rPr>
                <w:rFonts w:eastAsia="Calibri" w:cs="Arial"/>
                <w:lang w:val="en-NZ"/>
              </w:rPr>
              <w:t xml:space="preserve"> </w:t>
            </w:r>
            <w:r w:rsidR="00371890" w:rsidRPr="00EE6FAC">
              <w:rPr>
                <w:rFonts w:eastAsia="Calibri" w:cs="Arial"/>
                <w:lang w:val="en-NZ"/>
              </w:rPr>
              <w:t>after discounting at 6%</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B102DE" w:rsidP="0049234F">
            <w:pPr>
              <w:pStyle w:val="TableText"/>
              <w:keepNext/>
              <w:spacing w:line="276" w:lineRule="auto"/>
              <w:rPr>
                <w:rFonts w:eastAsia="Calibri" w:cs="Arial"/>
                <w:lang w:val="en-NZ"/>
              </w:rPr>
            </w:pPr>
            <w:r w:rsidRPr="00EE6FAC">
              <w:rPr>
                <w:rFonts w:eastAsia="Calibri" w:cs="Arial"/>
                <w:lang w:val="en-NZ"/>
              </w:rPr>
              <w:t>Low</w:t>
            </w:r>
          </w:p>
        </w:tc>
      </w:tr>
      <w:tr w:rsidR="0049467D" w:rsidRPr="00EE6FAC"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2657E" w:rsidP="007B090A">
            <w:pPr>
              <w:pStyle w:val="TableText"/>
              <w:keepNext/>
              <w:spacing w:line="276" w:lineRule="auto"/>
              <w:rPr>
                <w:rFonts w:eastAsia="Calibri" w:cs="Arial"/>
                <w:b/>
                <w:lang w:val="en-NZ"/>
              </w:rPr>
            </w:pPr>
            <w:r w:rsidRPr="00EE6FAC">
              <w:rPr>
                <w:rFonts w:eastAsia="Calibri" w:cs="Arial"/>
                <w:b/>
                <w:lang w:val="en-NZ"/>
              </w:rPr>
              <w:t xml:space="preserve">Non-monetised costs </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2657E" w:rsidP="007B090A">
            <w:pPr>
              <w:pStyle w:val="TableText"/>
              <w:keepNext/>
              <w:spacing w:line="276" w:lineRule="auto"/>
              <w:rPr>
                <w:rFonts w:eastAsia="Calibri" w:cs="Arial"/>
                <w:i/>
                <w:lang w:val="en-NZ"/>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E93AD6" w:rsidP="007B090A">
            <w:pPr>
              <w:pStyle w:val="TableText"/>
              <w:keepNext/>
              <w:spacing w:line="276" w:lineRule="auto"/>
              <w:rPr>
                <w:rFonts w:eastAsia="Calibri" w:cs="Arial"/>
                <w:lang w:val="en-NZ"/>
              </w:rPr>
            </w:pPr>
            <w:r w:rsidRPr="00EE6FAC">
              <w:rPr>
                <w:rFonts w:eastAsia="Calibri" w:cs="Arial"/>
                <w:lang w:val="en-NZ"/>
              </w:rPr>
              <w:t>n/a</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EE6FAC" w:rsidRDefault="0062657E" w:rsidP="007B090A">
            <w:pPr>
              <w:pStyle w:val="TableText"/>
              <w:keepNext/>
              <w:spacing w:line="276" w:lineRule="auto"/>
              <w:rPr>
                <w:rFonts w:eastAsia="Calibri" w:cs="Arial"/>
                <w:lang w:val="en-NZ"/>
              </w:rPr>
            </w:pPr>
          </w:p>
        </w:tc>
      </w:tr>
    </w:tbl>
    <w:p w:rsidR="00FA74B2" w:rsidRPr="00EE6FAC" w:rsidRDefault="00FA74B2" w:rsidP="0049234F">
      <w:pPr>
        <w:pStyle w:val="spacer"/>
        <w:rPr>
          <w:lang w:val="en-NZ"/>
        </w:rPr>
      </w:pPr>
    </w:p>
    <w:p w:rsidR="0062657E" w:rsidRPr="00EE6FAC" w:rsidRDefault="0062657E" w:rsidP="005513C9">
      <w:pPr>
        <w:rPr>
          <w:lang w:val="en-NZ" w:eastAsia="en-AU"/>
        </w:rPr>
      </w:pPr>
    </w:p>
    <w:tbl>
      <w:tblPr>
        <w:tblpPr w:leftFromText="180" w:rightFromText="180" w:vertAnchor="text" w:tblpX="6" w:tblpY="1"/>
        <w:tblOverlap w:val="never"/>
        <w:tblW w:w="90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2"/>
        <w:gridCol w:w="3685"/>
        <w:gridCol w:w="2127"/>
        <w:gridCol w:w="1277"/>
      </w:tblGrid>
      <w:tr w:rsidR="0049467D" w:rsidRPr="00EE6FAC" w:rsidTr="005513C9">
        <w:trPr>
          <w:trHeight w:val="253"/>
        </w:trPr>
        <w:tc>
          <w:tcPr>
            <w:tcW w:w="9071" w:type="dxa"/>
            <w:gridSpan w:val="4"/>
            <w:tcBorders>
              <w:bottom w:val="single" w:sz="2" w:space="0" w:color="auto"/>
            </w:tcBorders>
            <w:shd w:val="clear" w:color="auto" w:fill="99CDDD"/>
          </w:tcPr>
          <w:p w:rsidR="0062657E" w:rsidRPr="00EE6FAC" w:rsidRDefault="0062657E" w:rsidP="007B090A">
            <w:pPr>
              <w:spacing w:before="40" w:after="20" w:line="276" w:lineRule="auto"/>
              <w:rPr>
                <w:rFonts w:eastAsia="Calibri" w:cs="Arial"/>
                <w:b/>
                <w:szCs w:val="22"/>
                <w:lang w:val="en-NZ"/>
              </w:rPr>
            </w:pPr>
            <w:r w:rsidRPr="00EE6FAC">
              <w:rPr>
                <w:rFonts w:eastAsia="Calibri" w:cs="Arial"/>
                <w:b/>
                <w:szCs w:val="22"/>
                <w:lang w:val="en-NZ"/>
              </w:rPr>
              <w:t>Expected benefits of proposed approach, compared to taking no action</w:t>
            </w:r>
          </w:p>
        </w:tc>
      </w:tr>
      <w:tr w:rsidR="0049467D" w:rsidRPr="00EE6FAC" w:rsidTr="005513C9">
        <w:trPr>
          <w:trHeight w:val="253"/>
        </w:trPr>
        <w:tc>
          <w:tcPr>
            <w:tcW w:w="1982" w:type="dxa"/>
            <w:tcBorders>
              <w:bottom w:val="nil"/>
            </w:tcBorders>
            <w:shd w:val="clear" w:color="auto" w:fill="auto"/>
          </w:tcPr>
          <w:p w:rsidR="0062657E" w:rsidRPr="00EE6FAC" w:rsidRDefault="007E79D4" w:rsidP="007B090A">
            <w:pPr>
              <w:pStyle w:val="TableText"/>
              <w:spacing w:line="276" w:lineRule="auto"/>
              <w:rPr>
                <w:rFonts w:eastAsia="Calibri" w:cs="Arial"/>
                <w:lang w:val="en-NZ"/>
              </w:rPr>
            </w:pPr>
            <w:r w:rsidRPr="00EE6FAC">
              <w:rPr>
                <w:rFonts w:eastAsia="Calibri" w:cs="Arial"/>
                <w:lang w:val="en-NZ"/>
              </w:rPr>
              <w:t>R&amp;D performing firms</w:t>
            </w:r>
          </w:p>
        </w:tc>
        <w:tc>
          <w:tcPr>
            <w:tcW w:w="3685" w:type="dxa"/>
            <w:tcBorders>
              <w:bottom w:val="nil"/>
            </w:tcBorders>
            <w:shd w:val="clear" w:color="auto" w:fill="auto"/>
          </w:tcPr>
          <w:p w:rsidR="00625CEE" w:rsidRPr="00EE6FAC" w:rsidRDefault="00167E10" w:rsidP="00B102DE">
            <w:pPr>
              <w:pStyle w:val="TableText"/>
              <w:spacing w:line="276" w:lineRule="auto"/>
              <w:rPr>
                <w:rFonts w:eastAsia="Calibri" w:cs="Arial"/>
                <w:lang w:val="en-NZ"/>
              </w:rPr>
            </w:pPr>
            <w:r w:rsidRPr="00EE6FAC">
              <w:rPr>
                <w:rFonts w:eastAsia="Calibri" w:cs="Arial"/>
                <w:lang w:val="en-NZ"/>
              </w:rPr>
              <w:t>E</w:t>
            </w:r>
            <w:r w:rsidR="003F4370" w:rsidRPr="00EE6FAC">
              <w:rPr>
                <w:rFonts w:eastAsia="Calibri" w:cs="Arial"/>
                <w:lang w:val="en-NZ"/>
              </w:rPr>
              <w:t>ligible</w:t>
            </w:r>
            <w:r w:rsidRPr="00EE6FAC">
              <w:rPr>
                <w:rFonts w:eastAsia="Calibri" w:cs="Arial"/>
                <w:lang w:val="en-NZ"/>
              </w:rPr>
              <w:t xml:space="preserve"> firms will receive </w:t>
            </w:r>
            <w:r w:rsidR="003F4370" w:rsidRPr="00EE6FAC">
              <w:rPr>
                <w:rFonts w:eastAsia="Calibri" w:cs="Arial"/>
                <w:lang w:val="en-NZ"/>
              </w:rPr>
              <w:t xml:space="preserve">a tax credit equivalent to </w:t>
            </w:r>
            <w:r w:rsidR="007E79D4" w:rsidRPr="00EE6FAC">
              <w:rPr>
                <w:rFonts w:eastAsia="Calibri" w:cs="Arial"/>
                <w:lang w:val="en-NZ"/>
              </w:rPr>
              <w:t>15%</w:t>
            </w:r>
            <w:r w:rsidR="003F4370" w:rsidRPr="00EE6FAC">
              <w:rPr>
                <w:rFonts w:eastAsia="Calibri" w:cs="Arial"/>
                <w:lang w:val="en-NZ"/>
              </w:rPr>
              <w:t xml:space="preserve"> of their R&amp;D</w:t>
            </w:r>
            <w:r w:rsidRPr="00EE6FAC">
              <w:rPr>
                <w:rFonts w:eastAsia="Calibri" w:cs="Arial"/>
                <w:lang w:val="en-NZ"/>
              </w:rPr>
              <w:t xml:space="preserve"> expenditure</w:t>
            </w:r>
            <w:r w:rsidR="003F4370" w:rsidRPr="00EE6FAC">
              <w:rPr>
                <w:rFonts w:eastAsia="Calibri" w:cs="Arial"/>
                <w:lang w:val="en-NZ"/>
              </w:rPr>
              <w:t>.</w:t>
            </w:r>
            <w:r w:rsidRPr="00EE6FAC">
              <w:rPr>
                <w:rFonts w:eastAsia="Calibri" w:cs="Arial"/>
                <w:lang w:val="en-NZ"/>
              </w:rPr>
              <w:t xml:space="preserve"> For existing Growth Grants this is </w:t>
            </w:r>
            <w:r w:rsidR="00B77DA7" w:rsidRPr="00EE6FAC">
              <w:rPr>
                <w:rFonts w:eastAsia="Calibri" w:cs="Arial"/>
                <w:lang w:val="en-NZ"/>
              </w:rPr>
              <w:t>roughly equivalent to</w:t>
            </w:r>
            <w:r w:rsidRPr="00EE6FAC">
              <w:rPr>
                <w:rFonts w:eastAsia="Calibri" w:cs="Arial"/>
                <w:lang w:val="en-NZ"/>
              </w:rPr>
              <w:t xml:space="preserve"> </w:t>
            </w:r>
            <w:r w:rsidR="00B77DA7" w:rsidRPr="00EE6FAC">
              <w:rPr>
                <w:rFonts w:eastAsia="Calibri" w:cs="Arial"/>
                <w:lang w:val="en-NZ"/>
              </w:rPr>
              <w:t xml:space="preserve">a </w:t>
            </w:r>
            <w:r w:rsidRPr="00EE6FAC">
              <w:rPr>
                <w:rFonts w:eastAsia="Calibri" w:cs="Arial"/>
                <w:lang w:val="en-NZ"/>
              </w:rPr>
              <w:t>20% pre-tax subsidy</w:t>
            </w:r>
            <w:r w:rsidR="00B77DA7" w:rsidRPr="00EE6FAC">
              <w:rPr>
                <w:rFonts w:eastAsia="Calibri" w:cs="Arial"/>
                <w:lang w:val="en-NZ"/>
              </w:rPr>
              <w:t xml:space="preserve"> (as per the Growth Grant)</w:t>
            </w:r>
            <w:r w:rsidRPr="00EE6FAC">
              <w:rPr>
                <w:rFonts w:eastAsia="Calibri" w:cs="Arial"/>
                <w:lang w:val="en-NZ"/>
              </w:rPr>
              <w:t>,</w:t>
            </w:r>
            <w:r w:rsidR="00412699" w:rsidRPr="00EE6FAC">
              <w:rPr>
                <w:rStyle w:val="FootnoteReference"/>
                <w:rFonts w:eastAsia="Calibri" w:cs="Arial"/>
                <w:lang w:val="en-NZ"/>
              </w:rPr>
              <w:footnoteReference w:id="10"/>
            </w:r>
            <w:r w:rsidRPr="00EE6FAC">
              <w:rPr>
                <w:rFonts w:eastAsia="Calibri" w:cs="Arial"/>
                <w:lang w:val="en-NZ"/>
              </w:rPr>
              <w:t xml:space="preserve"> all else being equal.</w:t>
            </w:r>
            <w:r w:rsidR="00412699" w:rsidRPr="00EE6FAC">
              <w:rPr>
                <w:rStyle w:val="FootnoteReference"/>
                <w:rFonts w:eastAsia="Calibri" w:cs="Arial"/>
                <w:lang w:val="en-NZ"/>
              </w:rPr>
              <w:footnoteReference w:id="11"/>
            </w:r>
            <w:r w:rsidR="009021CF" w:rsidRPr="00EE6FAC">
              <w:rPr>
                <w:rFonts w:eastAsia="Calibri" w:cs="Arial"/>
                <w:lang w:val="en-NZ"/>
              </w:rPr>
              <w:t xml:space="preserve"> For non-recipients this will be a new subsidy.</w:t>
            </w:r>
            <w:r w:rsidR="00B102DE" w:rsidRPr="00EE6FAC">
              <w:rPr>
                <w:rFonts w:eastAsia="Calibri" w:cs="Arial"/>
                <w:lang w:val="en-NZ"/>
              </w:rPr>
              <w:t xml:space="preserve"> These benefits are equivalent to the costs to wider government (as above).</w:t>
            </w:r>
          </w:p>
        </w:tc>
        <w:tc>
          <w:tcPr>
            <w:tcW w:w="2127" w:type="dxa"/>
            <w:tcBorders>
              <w:bottom w:val="nil"/>
            </w:tcBorders>
            <w:shd w:val="clear" w:color="auto" w:fill="auto"/>
          </w:tcPr>
          <w:p w:rsidR="00E93AD6" w:rsidRPr="00EE6FAC" w:rsidRDefault="00E93AD6" w:rsidP="00E93AD6">
            <w:pPr>
              <w:pStyle w:val="TableText"/>
              <w:keepNext/>
              <w:spacing w:line="276" w:lineRule="auto"/>
              <w:rPr>
                <w:rFonts w:eastAsia="Calibri" w:cs="Arial"/>
                <w:lang w:val="en-NZ"/>
              </w:rPr>
            </w:pPr>
            <w:r w:rsidRPr="00EE6FAC">
              <w:rPr>
                <w:rFonts w:eastAsia="Calibri" w:cs="Arial"/>
                <w:lang w:val="en-NZ"/>
              </w:rPr>
              <w:t>FY 18/19-21/22</w:t>
            </w:r>
            <w:r w:rsidRPr="00EE6FAC">
              <w:rPr>
                <w:rFonts w:cs="Arial"/>
                <w:color w:val="000000"/>
                <w:lang w:val="en-NZ"/>
              </w:rPr>
              <w:t xml:space="preserve">: </w:t>
            </w:r>
            <w:r w:rsidRPr="00EE6FAC">
              <w:rPr>
                <w:rFonts w:eastAsia="Calibri" w:cs="Arial"/>
                <w:lang w:val="en-NZ"/>
              </w:rPr>
              <w:t>$1215</w:t>
            </w:r>
            <w:r w:rsidR="009870AB" w:rsidRPr="00EE6FAC">
              <w:rPr>
                <w:rFonts w:eastAsia="Calibri" w:cs="Arial"/>
                <w:lang w:val="en-NZ"/>
              </w:rPr>
              <w:t xml:space="preserve">M </w:t>
            </w:r>
            <w:r w:rsidRPr="00EE6FAC">
              <w:rPr>
                <w:rFonts w:eastAsia="Calibri" w:cs="Arial"/>
                <w:lang w:val="en-NZ"/>
              </w:rPr>
              <w:t>-</w:t>
            </w:r>
            <w:r w:rsidR="009870AB" w:rsidRPr="00EE6FAC">
              <w:rPr>
                <w:rFonts w:eastAsia="Calibri" w:cs="Arial"/>
                <w:lang w:val="en-NZ"/>
              </w:rPr>
              <w:t xml:space="preserve"> </w:t>
            </w:r>
            <w:r w:rsidRPr="00EE6FAC">
              <w:rPr>
                <w:rFonts w:eastAsia="Calibri" w:cs="Arial"/>
                <w:lang w:val="en-NZ"/>
              </w:rPr>
              <w:t>$749M</w:t>
            </w:r>
            <w:r w:rsidR="009870AB" w:rsidRPr="00EE6FAC">
              <w:rPr>
                <w:rFonts w:eastAsia="Calibri" w:cs="Arial"/>
                <w:lang w:val="en-NZ"/>
              </w:rPr>
              <w:t xml:space="preserve"> </w:t>
            </w:r>
            <w:r w:rsidRPr="00EE6FAC">
              <w:rPr>
                <w:rFonts w:eastAsia="Calibri" w:cs="Arial"/>
                <w:lang w:val="en-NZ"/>
              </w:rPr>
              <w:t>=</w:t>
            </w:r>
            <w:r w:rsidR="009870AB" w:rsidRPr="00EE6FAC">
              <w:rPr>
                <w:rFonts w:eastAsia="Calibri" w:cs="Arial"/>
                <w:lang w:val="en-NZ"/>
              </w:rPr>
              <w:t xml:space="preserve"> </w:t>
            </w:r>
            <w:r w:rsidRPr="00EE6FAC">
              <w:rPr>
                <w:rFonts w:eastAsia="Calibri" w:cs="Arial"/>
                <w:lang w:val="en-NZ"/>
              </w:rPr>
              <w:t>$466</w:t>
            </w:r>
            <w:r w:rsidR="009870AB" w:rsidRPr="00EE6FAC">
              <w:rPr>
                <w:rFonts w:eastAsia="Calibri" w:cs="Arial"/>
                <w:lang w:val="en-NZ"/>
              </w:rPr>
              <w:t>M</w:t>
            </w:r>
            <w:r w:rsidRPr="00EE6FAC">
              <w:rPr>
                <w:rFonts w:eastAsia="Calibri" w:cs="Arial"/>
                <w:lang w:val="en-NZ"/>
              </w:rPr>
              <w:t xml:space="preserve"> without discounting</w:t>
            </w:r>
          </w:p>
          <w:p w:rsidR="0062657E" w:rsidRPr="00EE6FAC" w:rsidRDefault="00E93AD6" w:rsidP="00F26319">
            <w:pPr>
              <w:pStyle w:val="TableText"/>
              <w:spacing w:line="276" w:lineRule="auto"/>
              <w:rPr>
                <w:rFonts w:eastAsia="Calibri" w:cs="Arial"/>
                <w:lang w:val="en-NZ"/>
              </w:rPr>
            </w:pPr>
            <w:r w:rsidRPr="00EE6FAC">
              <w:rPr>
                <w:rFonts w:eastAsia="Calibri" w:cs="Arial"/>
                <w:lang w:val="en-NZ"/>
              </w:rPr>
              <w:t>$395M after discounting at 6%</w:t>
            </w:r>
          </w:p>
        </w:tc>
        <w:tc>
          <w:tcPr>
            <w:tcW w:w="1277" w:type="dxa"/>
            <w:tcBorders>
              <w:bottom w:val="nil"/>
            </w:tcBorders>
            <w:shd w:val="clear" w:color="auto" w:fill="auto"/>
          </w:tcPr>
          <w:p w:rsidR="0062657E" w:rsidRPr="00EE6FAC" w:rsidRDefault="00202F77" w:rsidP="007B090A">
            <w:pPr>
              <w:pStyle w:val="TableText"/>
              <w:spacing w:line="276" w:lineRule="auto"/>
              <w:rPr>
                <w:rFonts w:eastAsia="Calibri" w:cs="Arial"/>
                <w:lang w:val="en-NZ"/>
              </w:rPr>
            </w:pPr>
            <w:r w:rsidRPr="00EE6FAC">
              <w:rPr>
                <w:rFonts w:eastAsia="Calibri" w:cs="Arial"/>
                <w:lang w:val="en-NZ"/>
              </w:rPr>
              <w:t>Medium</w:t>
            </w:r>
          </w:p>
        </w:tc>
      </w:tr>
      <w:tr w:rsidR="002A4EFA" w:rsidRPr="00EE6FAC" w:rsidTr="005513C9">
        <w:trPr>
          <w:trHeight w:val="253"/>
        </w:trPr>
        <w:tc>
          <w:tcPr>
            <w:tcW w:w="1982" w:type="dxa"/>
            <w:tcBorders>
              <w:top w:val="nil"/>
              <w:bottom w:val="single" w:sz="4" w:space="0" w:color="auto"/>
            </w:tcBorders>
            <w:shd w:val="clear" w:color="auto" w:fill="auto"/>
          </w:tcPr>
          <w:p w:rsidR="002A4EFA" w:rsidRPr="00EE6FAC" w:rsidRDefault="002A4EFA" w:rsidP="007B090A">
            <w:pPr>
              <w:pStyle w:val="TableText"/>
              <w:spacing w:line="276" w:lineRule="auto"/>
              <w:rPr>
                <w:rFonts w:eastAsia="Calibri" w:cs="Arial"/>
                <w:lang w:val="en-NZ"/>
              </w:rPr>
            </w:pPr>
          </w:p>
        </w:tc>
        <w:tc>
          <w:tcPr>
            <w:tcW w:w="3685" w:type="dxa"/>
            <w:tcBorders>
              <w:top w:val="nil"/>
              <w:bottom w:val="single" w:sz="4" w:space="0" w:color="auto"/>
            </w:tcBorders>
            <w:shd w:val="clear" w:color="auto" w:fill="auto"/>
          </w:tcPr>
          <w:p w:rsidR="002A4EFA" w:rsidRPr="00EE6FAC" w:rsidDel="00167E10" w:rsidRDefault="00B102DE" w:rsidP="009021CF">
            <w:pPr>
              <w:pStyle w:val="TableText"/>
              <w:spacing w:line="276" w:lineRule="auto"/>
              <w:rPr>
                <w:rFonts w:eastAsia="Calibri" w:cs="Arial"/>
                <w:lang w:val="en-NZ"/>
              </w:rPr>
            </w:pPr>
            <w:r w:rsidRPr="00EE6FAC">
              <w:rPr>
                <w:rFonts w:eastAsia="Calibri" w:cs="Arial"/>
                <w:lang w:val="en-NZ"/>
              </w:rPr>
              <w:t>In addition</w:t>
            </w:r>
            <w:r w:rsidR="002A4EFA" w:rsidRPr="00EE6FAC">
              <w:rPr>
                <w:rFonts w:eastAsia="Calibri" w:cs="Arial"/>
                <w:lang w:val="en-NZ"/>
              </w:rPr>
              <w:t>, firms receiving new or additional funding are expected to experience higher employment and labour productivity growth,</w:t>
            </w:r>
            <w:r w:rsidR="002A4EFA" w:rsidRPr="00EE6FAC">
              <w:rPr>
                <w:rFonts w:cs="Arial"/>
                <w:lang w:val="en-NZ"/>
              </w:rPr>
              <w:t xml:space="preserve"> </w:t>
            </w:r>
            <w:r w:rsidR="002A4EFA" w:rsidRPr="00EE6FAC">
              <w:rPr>
                <w:rFonts w:eastAsia="Calibri" w:cs="Arial"/>
                <w:lang w:val="en-NZ"/>
              </w:rPr>
              <w:t xml:space="preserve">but effects have not been </w:t>
            </w:r>
            <w:r w:rsidR="00123A11" w:rsidRPr="00EE6FAC">
              <w:rPr>
                <w:lang w:val="en-NZ"/>
              </w:rPr>
              <w:t>monetised</w:t>
            </w:r>
            <w:r w:rsidR="002A4EFA" w:rsidRPr="00EE6FAC">
              <w:rPr>
                <w:rFonts w:eastAsia="Calibri" w:cs="Arial"/>
                <w:lang w:val="en-NZ"/>
              </w:rPr>
              <w:t>.</w:t>
            </w:r>
          </w:p>
        </w:tc>
        <w:tc>
          <w:tcPr>
            <w:tcW w:w="2127" w:type="dxa"/>
            <w:tcBorders>
              <w:top w:val="nil"/>
              <w:bottom w:val="single" w:sz="4" w:space="0" w:color="auto"/>
            </w:tcBorders>
            <w:shd w:val="clear" w:color="auto" w:fill="auto"/>
          </w:tcPr>
          <w:p w:rsidR="002A4EFA" w:rsidRPr="00EE6FAC" w:rsidDel="009021CF" w:rsidRDefault="002A4EFA" w:rsidP="002A4EFA">
            <w:pPr>
              <w:pStyle w:val="TableText"/>
              <w:spacing w:line="276" w:lineRule="auto"/>
              <w:rPr>
                <w:rFonts w:eastAsia="Calibri" w:cs="Arial"/>
                <w:highlight w:val="yellow"/>
                <w:lang w:val="en-NZ"/>
              </w:rPr>
            </w:pPr>
            <w:r w:rsidRPr="00EE6FAC">
              <w:rPr>
                <w:rFonts w:eastAsia="Calibri" w:cs="Arial"/>
                <w:lang w:val="en-NZ"/>
              </w:rPr>
              <w:t>Medium</w:t>
            </w:r>
          </w:p>
        </w:tc>
        <w:tc>
          <w:tcPr>
            <w:tcW w:w="1277" w:type="dxa"/>
            <w:tcBorders>
              <w:top w:val="nil"/>
              <w:bottom w:val="single" w:sz="4" w:space="0" w:color="auto"/>
            </w:tcBorders>
            <w:shd w:val="clear" w:color="auto" w:fill="auto"/>
          </w:tcPr>
          <w:p w:rsidR="002A4EFA" w:rsidRPr="00EE6FAC" w:rsidRDefault="002A4EFA" w:rsidP="007B090A">
            <w:pPr>
              <w:pStyle w:val="TableText"/>
              <w:spacing w:line="276" w:lineRule="auto"/>
              <w:rPr>
                <w:rFonts w:eastAsia="Calibri" w:cs="Arial"/>
                <w:lang w:val="en-NZ"/>
              </w:rPr>
            </w:pPr>
            <w:r w:rsidRPr="00EE6FAC">
              <w:rPr>
                <w:rFonts w:eastAsia="Calibri" w:cs="Arial"/>
                <w:lang w:val="en-NZ"/>
              </w:rPr>
              <w:t>Medium</w:t>
            </w:r>
          </w:p>
        </w:tc>
      </w:tr>
      <w:tr w:rsidR="0049467D" w:rsidRPr="00EE6FAC" w:rsidTr="005513C9">
        <w:trPr>
          <w:trHeight w:val="253"/>
        </w:trPr>
        <w:tc>
          <w:tcPr>
            <w:tcW w:w="1982" w:type="dxa"/>
            <w:tcBorders>
              <w:top w:val="single" w:sz="4" w:space="0" w:color="auto"/>
            </w:tcBorders>
            <w:shd w:val="clear" w:color="auto" w:fill="auto"/>
          </w:tcPr>
          <w:p w:rsidR="0062657E" w:rsidRPr="00EE6FAC" w:rsidRDefault="007E79D4" w:rsidP="007B090A">
            <w:pPr>
              <w:pStyle w:val="TableText"/>
              <w:spacing w:line="276" w:lineRule="auto"/>
              <w:rPr>
                <w:rFonts w:eastAsia="Calibri" w:cs="Arial"/>
                <w:lang w:val="en-NZ"/>
              </w:rPr>
            </w:pPr>
            <w:r w:rsidRPr="00EE6FAC">
              <w:rPr>
                <w:rFonts w:eastAsia="Calibri" w:cs="Arial"/>
                <w:lang w:val="en-NZ"/>
              </w:rPr>
              <w:t>Administering agency</w:t>
            </w:r>
          </w:p>
        </w:tc>
        <w:tc>
          <w:tcPr>
            <w:tcW w:w="3685" w:type="dxa"/>
            <w:tcBorders>
              <w:top w:val="single" w:sz="4" w:space="0" w:color="auto"/>
            </w:tcBorders>
            <w:shd w:val="clear" w:color="auto" w:fill="auto"/>
          </w:tcPr>
          <w:p w:rsidR="0062657E" w:rsidRPr="00EE6FAC" w:rsidRDefault="00467719" w:rsidP="00467719">
            <w:pPr>
              <w:pStyle w:val="TableText"/>
              <w:spacing w:line="276" w:lineRule="auto"/>
              <w:rPr>
                <w:rFonts w:eastAsia="Calibri" w:cs="Arial"/>
                <w:lang w:val="en-NZ"/>
              </w:rPr>
            </w:pPr>
            <w:r w:rsidRPr="00EE6FAC">
              <w:rPr>
                <w:rFonts w:eastAsia="Calibri" w:cs="Arial"/>
                <w:lang w:val="en-NZ"/>
              </w:rPr>
              <w:t>None</w:t>
            </w:r>
          </w:p>
        </w:tc>
        <w:tc>
          <w:tcPr>
            <w:tcW w:w="2127" w:type="dxa"/>
            <w:tcBorders>
              <w:top w:val="single" w:sz="4" w:space="0" w:color="auto"/>
            </w:tcBorders>
            <w:shd w:val="clear" w:color="auto" w:fill="auto"/>
          </w:tcPr>
          <w:p w:rsidR="0062657E" w:rsidRPr="00EE6FAC" w:rsidRDefault="006A70D0" w:rsidP="007B090A">
            <w:pPr>
              <w:pStyle w:val="TableText"/>
              <w:spacing w:line="276" w:lineRule="auto"/>
              <w:rPr>
                <w:rFonts w:eastAsia="Calibri" w:cs="Arial"/>
                <w:lang w:val="en-NZ"/>
              </w:rPr>
            </w:pPr>
            <w:r w:rsidRPr="00EE6FAC">
              <w:rPr>
                <w:rFonts w:eastAsia="Calibri" w:cs="Arial"/>
                <w:lang w:val="en-NZ"/>
              </w:rPr>
              <w:t>0</w:t>
            </w:r>
          </w:p>
        </w:tc>
        <w:tc>
          <w:tcPr>
            <w:tcW w:w="1277" w:type="dxa"/>
            <w:tcBorders>
              <w:top w:val="single" w:sz="4" w:space="0" w:color="auto"/>
            </w:tcBorders>
            <w:shd w:val="clear" w:color="auto" w:fill="auto"/>
          </w:tcPr>
          <w:p w:rsidR="0062657E" w:rsidRPr="00EE6FAC" w:rsidRDefault="006A70D0" w:rsidP="007B090A">
            <w:pPr>
              <w:pStyle w:val="TableText"/>
              <w:spacing w:line="276" w:lineRule="auto"/>
              <w:rPr>
                <w:rFonts w:eastAsia="Calibri" w:cs="Arial"/>
                <w:lang w:val="en-NZ"/>
              </w:rPr>
            </w:pPr>
            <w:r w:rsidRPr="00EE6FAC">
              <w:rPr>
                <w:rFonts w:eastAsia="Calibri" w:cs="Arial"/>
                <w:lang w:val="en-NZ"/>
              </w:rPr>
              <w:t>n/a</w:t>
            </w:r>
          </w:p>
        </w:tc>
      </w:tr>
      <w:tr w:rsidR="0049467D" w:rsidRPr="00EE6FAC" w:rsidTr="0049467D">
        <w:trPr>
          <w:trHeight w:val="253"/>
        </w:trPr>
        <w:tc>
          <w:tcPr>
            <w:tcW w:w="1982" w:type="dxa"/>
            <w:shd w:val="clear" w:color="auto" w:fill="auto"/>
          </w:tcPr>
          <w:p w:rsidR="0062657E" w:rsidRPr="00EE6FAC" w:rsidRDefault="0062657E" w:rsidP="007B090A">
            <w:pPr>
              <w:pStyle w:val="TableText"/>
              <w:spacing w:line="276" w:lineRule="auto"/>
              <w:rPr>
                <w:rFonts w:eastAsia="Calibri" w:cs="Arial"/>
                <w:lang w:val="en-NZ"/>
              </w:rPr>
            </w:pPr>
            <w:r w:rsidRPr="00EE6FAC">
              <w:rPr>
                <w:rFonts w:eastAsia="Calibri" w:cs="Arial"/>
                <w:lang w:val="en-NZ"/>
              </w:rPr>
              <w:t>Wider government</w:t>
            </w:r>
          </w:p>
        </w:tc>
        <w:tc>
          <w:tcPr>
            <w:tcW w:w="3685" w:type="dxa"/>
            <w:shd w:val="clear" w:color="auto" w:fill="auto"/>
          </w:tcPr>
          <w:p w:rsidR="0062657E" w:rsidRPr="00EE6FAC" w:rsidRDefault="006A70D0" w:rsidP="003B5065">
            <w:pPr>
              <w:pStyle w:val="TableText"/>
              <w:spacing w:line="276" w:lineRule="auto"/>
              <w:rPr>
                <w:rFonts w:eastAsia="Calibri" w:cs="Arial"/>
                <w:lang w:val="en-NZ"/>
              </w:rPr>
            </w:pPr>
            <w:r w:rsidRPr="00EE6FAC">
              <w:rPr>
                <w:rFonts w:eastAsia="Calibri" w:cs="Arial"/>
                <w:lang w:val="en-NZ"/>
              </w:rPr>
              <w:t>Higher</w:t>
            </w:r>
            <w:r w:rsidR="003B5065" w:rsidRPr="00EE6FAC">
              <w:rPr>
                <w:rFonts w:eastAsia="Calibri" w:cs="Arial"/>
                <w:lang w:val="en-NZ"/>
              </w:rPr>
              <w:t xml:space="preserve"> investment in R&amp;D and resulting </w:t>
            </w:r>
            <w:r w:rsidR="00A1728A" w:rsidRPr="00EE6FAC">
              <w:rPr>
                <w:rFonts w:eastAsia="Calibri" w:cs="Arial"/>
                <w:lang w:val="en-NZ"/>
              </w:rPr>
              <w:t>business innovation</w:t>
            </w:r>
            <w:r w:rsidR="003B5065" w:rsidRPr="00EE6FAC">
              <w:rPr>
                <w:rFonts w:eastAsia="Calibri" w:cs="Arial"/>
                <w:lang w:val="en-NZ"/>
              </w:rPr>
              <w:t xml:space="preserve"> expected to result in more</w:t>
            </w:r>
            <w:r w:rsidR="00A1728A" w:rsidRPr="00EE6FAC">
              <w:rPr>
                <w:rFonts w:eastAsia="Calibri" w:cs="Arial"/>
                <w:lang w:val="en-NZ"/>
              </w:rPr>
              <w:t xml:space="preserve"> productivity growth</w:t>
            </w:r>
            <w:r w:rsidR="003B5065" w:rsidRPr="00EE6FAC">
              <w:rPr>
                <w:rFonts w:eastAsia="Calibri" w:cs="Arial"/>
                <w:lang w:val="en-NZ"/>
              </w:rPr>
              <w:t xml:space="preserve"> over time, leading to high incomes and hence tax paid</w:t>
            </w:r>
            <w:r w:rsidRPr="00EE6FAC">
              <w:rPr>
                <w:rFonts w:eastAsia="Calibri" w:cs="Arial"/>
                <w:lang w:val="en-NZ"/>
              </w:rPr>
              <w:t>,</w:t>
            </w:r>
            <w:r w:rsidRPr="00EE6FAC">
              <w:rPr>
                <w:rFonts w:cs="Arial"/>
                <w:lang w:val="en-NZ"/>
              </w:rPr>
              <w:t xml:space="preserve"> </w:t>
            </w:r>
            <w:r w:rsidRPr="00EE6FAC">
              <w:rPr>
                <w:rFonts w:eastAsia="Calibri" w:cs="Arial"/>
                <w:lang w:val="en-NZ"/>
              </w:rPr>
              <w:t>but effects have not been mone</w:t>
            </w:r>
            <w:r w:rsidR="0052774F" w:rsidRPr="00EE6FAC">
              <w:rPr>
                <w:rFonts w:eastAsia="Calibri" w:cs="Arial"/>
                <w:lang w:val="en-NZ"/>
              </w:rPr>
              <w:t>t</w:t>
            </w:r>
            <w:r w:rsidRPr="00EE6FAC">
              <w:rPr>
                <w:rFonts w:eastAsia="Calibri" w:cs="Arial"/>
                <w:lang w:val="en-NZ"/>
              </w:rPr>
              <w:t>ised</w:t>
            </w:r>
            <w:r w:rsidR="00A1728A" w:rsidRPr="00EE6FAC">
              <w:rPr>
                <w:rFonts w:eastAsia="Calibri" w:cs="Arial"/>
                <w:lang w:val="en-NZ"/>
              </w:rPr>
              <w:t>.</w:t>
            </w:r>
          </w:p>
        </w:tc>
        <w:tc>
          <w:tcPr>
            <w:tcW w:w="2127" w:type="dxa"/>
            <w:shd w:val="clear" w:color="auto" w:fill="auto"/>
          </w:tcPr>
          <w:p w:rsidR="0062657E" w:rsidRPr="00EE6FAC" w:rsidRDefault="00E44EFF" w:rsidP="007B090A">
            <w:pPr>
              <w:pStyle w:val="TableText"/>
              <w:spacing w:line="276" w:lineRule="auto"/>
              <w:rPr>
                <w:rFonts w:eastAsia="Calibri" w:cs="Arial"/>
                <w:lang w:val="en-NZ"/>
              </w:rPr>
            </w:pPr>
            <w:r w:rsidRPr="00EE6FAC">
              <w:rPr>
                <w:rFonts w:eastAsia="Calibri" w:cs="Arial"/>
                <w:lang w:val="en-NZ"/>
              </w:rPr>
              <w:t>Medium</w:t>
            </w:r>
          </w:p>
        </w:tc>
        <w:tc>
          <w:tcPr>
            <w:tcW w:w="1277" w:type="dxa"/>
            <w:shd w:val="clear" w:color="auto" w:fill="auto"/>
          </w:tcPr>
          <w:p w:rsidR="0062657E" w:rsidRPr="00EE6FAC" w:rsidRDefault="00194446" w:rsidP="007B090A">
            <w:pPr>
              <w:pStyle w:val="TableText"/>
              <w:spacing w:line="276" w:lineRule="auto"/>
              <w:rPr>
                <w:rFonts w:eastAsia="Calibri" w:cs="Arial"/>
                <w:lang w:val="en-NZ"/>
              </w:rPr>
            </w:pPr>
            <w:r w:rsidRPr="00EE6FAC">
              <w:rPr>
                <w:rFonts w:eastAsia="Calibri" w:cs="Arial"/>
                <w:lang w:val="en-NZ"/>
              </w:rPr>
              <w:t>Low</w:t>
            </w:r>
          </w:p>
        </w:tc>
      </w:tr>
      <w:tr w:rsidR="0049467D" w:rsidRPr="00EE6FAC" w:rsidTr="0049467D">
        <w:trPr>
          <w:trHeight w:val="253"/>
        </w:trPr>
        <w:tc>
          <w:tcPr>
            <w:tcW w:w="1982" w:type="dxa"/>
            <w:shd w:val="clear" w:color="auto" w:fill="auto"/>
          </w:tcPr>
          <w:p w:rsidR="0062657E" w:rsidRPr="00EE6FAC" w:rsidRDefault="0062657E" w:rsidP="007B090A">
            <w:pPr>
              <w:pStyle w:val="TableText"/>
              <w:spacing w:line="276" w:lineRule="auto"/>
              <w:rPr>
                <w:rFonts w:eastAsia="Calibri" w:cs="Arial"/>
                <w:lang w:val="en-NZ"/>
              </w:rPr>
            </w:pPr>
            <w:r w:rsidRPr="00EE6FAC">
              <w:rPr>
                <w:rFonts w:eastAsia="Calibri" w:cs="Arial"/>
                <w:lang w:val="en-NZ"/>
              </w:rPr>
              <w:t xml:space="preserve">Other parties </w:t>
            </w:r>
          </w:p>
        </w:tc>
        <w:tc>
          <w:tcPr>
            <w:tcW w:w="3685" w:type="dxa"/>
            <w:shd w:val="clear" w:color="auto" w:fill="auto"/>
          </w:tcPr>
          <w:p w:rsidR="0062657E" w:rsidRPr="00EE6FAC" w:rsidRDefault="003B5065" w:rsidP="000507CB">
            <w:pPr>
              <w:pStyle w:val="TableText"/>
              <w:spacing w:line="276" w:lineRule="auto"/>
              <w:rPr>
                <w:rFonts w:eastAsia="Calibri" w:cs="Arial"/>
                <w:lang w:val="en-NZ"/>
              </w:rPr>
            </w:pPr>
            <w:r w:rsidRPr="00EE6FAC">
              <w:rPr>
                <w:rFonts w:eastAsia="Calibri" w:cs="Arial"/>
                <w:lang w:val="en-NZ"/>
              </w:rPr>
              <w:t xml:space="preserve">Higher investment </w:t>
            </w:r>
            <w:r w:rsidR="0037058E" w:rsidRPr="00EE6FAC">
              <w:rPr>
                <w:rFonts w:eastAsia="Calibri" w:cs="Arial"/>
                <w:lang w:val="en-NZ"/>
              </w:rPr>
              <w:t xml:space="preserve">in </w:t>
            </w:r>
            <w:r w:rsidRPr="00EE6FAC">
              <w:rPr>
                <w:rFonts w:eastAsia="Calibri" w:cs="Arial"/>
                <w:lang w:val="en-NZ"/>
              </w:rPr>
              <w:t xml:space="preserve">R&amp;D </w:t>
            </w:r>
            <w:r w:rsidR="0037058E" w:rsidRPr="00EE6FAC">
              <w:rPr>
                <w:rFonts w:eastAsia="Calibri" w:cs="Arial"/>
                <w:lang w:val="en-NZ"/>
              </w:rPr>
              <w:t>expected to generate</w:t>
            </w:r>
            <w:r w:rsidRPr="00EE6FAC">
              <w:rPr>
                <w:rFonts w:eastAsia="Calibri" w:cs="Arial"/>
                <w:lang w:val="en-NZ"/>
              </w:rPr>
              <w:t xml:space="preserve"> </w:t>
            </w:r>
            <w:r w:rsidR="00CD3096" w:rsidRPr="00EE6FAC">
              <w:rPr>
                <w:rFonts w:eastAsia="Calibri" w:cs="Arial"/>
                <w:lang w:val="en-NZ"/>
              </w:rPr>
              <w:t xml:space="preserve">large </w:t>
            </w:r>
            <w:r w:rsidR="0037058E" w:rsidRPr="00EE6FAC">
              <w:rPr>
                <w:rFonts w:eastAsia="Calibri" w:cs="Arial"/>
                <w:lang w:val="en-NZ"/>
              </w:rPr>
              <w:t>positive s</w:t>
            </w:r>
            <w:r w:rsidR="003F4370" w:rsidRPr="00EE6FAC">
              <w:rPr>
                <w:rFonts w:eastAsia="Calibri" w:cs="Arial"/>
                <w:lang w:val="en-NZ"/>
              </w:rPr>
              <w:t>pillover</w:t>
            </w:r>
            <w:r w:rsidR="0037058E" w:rsidRPr="00EE6FAC">
              <w:rPr>
                <w:rFonts w:eastAsia="Calibri" w:cs="Arial"/>
                <w:lang w:val="en-NZ"/>
              </w:rPr>
              <w:t>s</w:t>
            </w:r>
            <w:r w:rsidR="003F4370" w:rsidRPr="00EE6FAC">
              <w:rPr>
                <w:rFonts w:eastAsia="Calibri" w:cs="Arial"/>
                <w:lang w:val="en-NZ"/>
              </w:rPr>
              <w:t xml:space="preserve"> </w:t>
            </w:r>
            <w:r w:rsidR="0037058E" w:rsidRPr="00EE6FAC">
              <w:rPr>
                <w:rFonts w:eastAsia="Calibri" w:cs="Arial"/>
                <w:lang w:val="en-NZ"/>
              </w:rPr>
              <w:t>to rest of the economy (other firms, researchers, etc.)</w:t>
            </w:r>
            <w:r w:rsidR="00CD3096" w:rsidRPr="00EE6FAC">
              <w:rPr>
                <w:rFonts w:eastAsia="Calibri" w:cs="Arial"/>
                <w:lang w:val="en-NZ"/>
              </w:rPr>
              <w:t>,</w:t>
            </w:r>
            <w:r w:rsidR="00CD3096" w:rsidRPr="00EE6FAC">
              <w:rPr>
                <w:rFonts w:cs="Arial"/>
                <w:lang w:val="en-NZ"/>
              </w:rPr>
              <w:t xml:space="preserve"> </w:t>
            </w:r>
            <w:r w:rsidR="00CD3096" w:rsidRPr="00EE6FAC">
              <w:rPr>
                <w:rFonts w:eastAsia="Calibri" w:cs="Arial"/>
                <w:lang w:val="en-NZ"/>
              </w:rPr>
              <w:t>but effects have not been monetised</w:t>
            </w:r>
            <w:r w:rsidR="003F4370" w:rsidRPr="00EE6FAC">
              <w:rPr>
                <w:rFonts w:eastAsia="Calibri" w:cs="Arial"/>
                <w:lang w:val="en-NZ"/>
              </w:rPr>
              <w:t>.</w:t>
            </w:r>
            <w:r w:rsidR="00A514AC" w:rsidRPr="00EE6FAC">
              <w:rPr>
                <w:rFonts w:eastAsia="Calibri" w:cs="Arial"/>
                <w:lang w:val="en-NZ"/>
              </w:rPr>
              <w:t xml:space="preserve"> </w:t>
            </w:r>
          </w:p>
        </w:tc>
        <w:tc>
          <w:tcPr>
            <w:tcW w:w="2127" w:type="dxa"/>
            <w:shd w:val="clear" w:color="auto" w:fill="auto"/>
          </w:tcPr>
          <w:p w:rsidR="0062657E" w:rsidRPr="00EE6FAC" w:rsidRDefault="0052774F" w:rsidP="000507CB">
            <w:pPr>
              <w:pStyle w:val="TableText"/>
              <w:spacing w:line="276" w:lineRule="auto"/>
              <w:rPr>
                <w:rFonts w:eastAsia="Calibri" w:cs="Arial"/>
                <w:lang w:val="en-NZ"/>
              </w:rPr>
            </w:pPr>
            <w:r w:rsidRPr="00EE6FAC">
              <w:rPr>
                <w:rFonts w:eastAsia="Calibri" w:cs="Arial"/>
                <w:lang w:val="en-NZ"/>
              </w:rPr>
              <w:t>High</w:t>
            </w:r>
          </w:p>
        </w:tc>
        <w:tc>
          <w:tcPr>
            <w:tcW w:w="1277" w:type="dxa"/>
            <w:shd w:val="clear" w:color="auto" w:fill="auto"/>
          </w:tcPr>
          <w:p w:rsidR="0062657E" w:rsidRPr="00EE6FAC" w:rsidRDefault="00D20DDF" w:rsidP="007B090A">
            <w:pPr>
              <w:pStyle w:val="TableText"/>
              <w:spacing w:line="276" w:lineRule="auto"/>
              <w:rPr>
                <w:rFonts w:eastAsia="Calibri" w:cs="Arial"/>
                <w:lang w:val="en-NZ"/>
              </w:rPr>
            </w:pPr>
            <w:r w:rsidRPr="00EE6FAC">
              <w:rPr>
                <w:rFonts w:eastAsia="Calibri" w:cs="Arial"/>
                <w:lang w:val="en-NZ"/>
              </w:rPr>
              <w:t>Low</w:t>
            </w:r>
          </w:p>
        </w:tc>
      </w:tr>
      <w:tr w:rsidR="0049467D" w:rsidRPr="00EE6FAC" w:rsidTr="0049467D">
        <w:trPr>
          <w:trHeight w:val="253"/>
        </w:trPr>
        <w:tc>
          <w:tcPr>
            <w:tcW w:w="1982" w:type="dxa"/>
            <w:shd w:val="clear" w:color="auto" w:fill="auto"/>
          </w:tcPr>
          <w:p w:rsidR="0062657E" w:rsidRPr="00EE6FAC" w:rsidRDefault="0062657E" w:rsidP="007B090A">
            <w:pPr>
              <w:pStyle w:val="TableText"/>
              <w:spacing w:line="276" w:lineRule="auto"/>
              <w:rPr>
                <w:rFonts w:eastAsia="Calibri" w:cs="Arial"/>
                <w:b/>
                <w:lang w:val="en-NZ"/>
              </w:rPr>
            </w:pPr>
            <w:r w:rsidRPr="00EE6FAC">
              <w:rPr>
                <w:rFonts w:eastAsia="Calibri" w:cs="Arial"/>
                <w:b/>
                <w:lang w:val="en-NZ"/>
              </w:rPr>
              <w:t>Total Monetised</w:t>
            </w:r>
            <w:r w:rsidR="00A514AC" w:rsidRPr="00EE6FAC">
              <w:rPr>
                <w:rFonts w:eastAsia="Calibri" w:cs="Arial"/>
                <w:b/>
                <w:lang w:val="en-NZ"/>
              </w:rPr>
              <w:t xml:space="preserve"> </w:t>
            </w:r>
            <w:r w:rsidRPr="00EE6FAC">
              <w:rPr>
                <w:rFonts w:eastAsia="Calibri" w:cs="Arial"/>
                <w:b/>
                <w:lang w:val="en-NZ"/>
              </w:rPr>
              <w:t>Benefit</w:t>
            </w:r>
          </w:p>
        </w:tc>
        <w:tc>
          <w:tcPr>
            <w:tcW w:w="3685" w:type="dxa"/>
            <w:shd w:val="clear" w:color="auto" w:fill="auto"/>
          </w:tcPr>
          <w:p w:rsidR="0062657E" w:rsidRPr="00EE6FAC" w:rsidRDefault="0062657E" w:rsidP="007B090A">
            <w:pPr>
              <w:pStyle w:val="TableText"/>
              <w:spacing w:line="276" w:lineRule="auto"/>
              <w:rPr>
                <w:rFonts w:eastAsia="Calibri" w:cs="Arial"/>
                <w:lang w:val="en-NZ"/>
              </w:rPr>
            </w:pPr>
          </w:p>
        </w:tc>
        <w:tc>
          <w:tcPr>
            <w:tcW w:w="2127" w:type="dxa"/>
            <w:shd w:val="clear" w:color="auto" w:fill="auto"/>
          </w:tcPr>
          <w:p w:rsidR="0062657E" w:rsidRPr="00EE6FAC" w:rsidRDefault="0061493D" w:rsidP="00CD3096">
            <w:pPr>
              <w:pStyle w:val="TableText"/>
              <w:spacing w:line="276" w:lineRule="auto"/>
              <w:rPr>
                <w:rFonts w:eastAsia="Calibri" w:cs="Arial"/>
                <w:lang w:val="en-NZ"/>
              </w:rPr>
            </w:pPr>
            <w:r w:rsidRPr="00EE6FAC">
              <w:rPr>
                <w:rFonts w:eastAsia="Calibri" w:cs="Arial"/>
                <w:lang w:val="en-NZ"/>
              </w:rPr>
              <w:t>$3</w:t>
            </w:r>
            <w:r w:rsidR="00CD3096" w:rsidRPr="00EE6FAC">
              <w:rPr>
                <w:rFonts w:eastAsia="Calibri" w:cs="Arial"/>
                <w:lang w:val="en-NZ"/>
              </w:rPr>
              <w:t>95</w:t>
            </w:r>
            <w:r w:rsidRPr="00EE6FAC">
              <w:rPr>
                <w:rFonts w:eastAsia="Calibri" w:cs="Arial"/>
                <w:lang w:val="en-NZ"/>
              </w:rPr>
              <w:t>M</w:t>
            </w:r>
            <w:r w:rsidR="00371890" w:rsidRPr="00EE6FAC">
              <w:rPr>
                <w:rFonts w:eastAsia="Calibri" w:cs="Arial"/>
                <w:lang w:val="en-NZ"/>
              </w:rPr>
              <w:t xml:space="preserve"> after discounting at 6%</w:t>
            </w:r>
          </w:p>
        </w:tc>
        <w:tc>
          <w:tcPr>
            <w:tcW w:w="1277" w:type="dxa"/>
            <w:shd w:val="clear" w:color="auto" w:fill="auto"/>
          </w:tcPr>
          <w:p w:rsidR="0062657E" w:rsidRPr="00EE6FAC" w:rsidRDefault="007910DE" w:rsidP="007B090A">
            <w:pPr>
              <w:pStyle w:val="TableText"/>
              <w:spacing w:line="276" w:lineRule="auto"/>
              <w:rPr>
                <w:rFonts w:eastAsia="Calibri" w:cs="Arial"/>
                <w:lang w:val="en-NZ"/>
              </w:rPr>
            </w:pPr>
            <w:r w:rsidRPr="00EE6FAC">
              <w:rPr>
                <w:rFonts w:eastAsia="Calibri" w:cs="Arial"/>
                <w:lang w:val="en-NZ"/>
              </w:rPr>
              <w:t>Low</w:t>
            </w:r>
          </w:p>
        </w:tc>
      </w:tr>
      <w:tr w:rsidR="0049467D" w:rsidRPr="00EE6FAC" w:rsidTr="0049467D">
        <w:trPr>
          <w:trHeight w:val="253"/>
        </w:trPr>
        <w:tc>
          <w:tcPr>
            <w:tcW w:w="1982" w:type="dxa"/>
            <w:shd w:val="clear" w:color="auto" w:fill="auto"/>
          </w:tcPr>
          <w:p w:rsidR="0062657E" w:rsidRPr="00EE6FAC" w:rsidRDefault="0062657E" w:rsidP="007B090A">
            <w:pPr>
              <w:pStyle w:val="TableText"/>
              <w:spacing w:line="276" w:lineRule="auto"/>
              <w:rPr>
                <w:rFonts w:eastAsia="Calibri" w:cs="Arial"/>
                <w:b/>
                <w:lang w:val="en-NZ"/>
              </w:rPr>
            </w:pPr>
            <w:r w:rsidRPr="00EE6FAC">
              <w:rPr>
                <w:rFonts w:eastAsia="Calibri" w:cs="Arial"/>
                <w:b/>
                <w:lang w:val="en-NZ"/>
              </w:rPr>
              <w:t>Non-monetised benefits</w:t>
            </w:r>
          </w:p>
        </w:tc>
        <w:tc>
          <w:tcPr>
            <w:tcW w:w="3685" w:type="dxa"/>
            <w:shd w:val="clear" w:color="auto" w:fill="auto"/>
          </w:tcPr>
          <w:p w:rsidR="0062657E" w:rsidRPr="00EE6FAC" w:rsidRDefault="0062657E" w:rsidP="007B090A">
            <w:pPr>
              <w:pStyle w:val="TableText"/>
              <w:spacing w:line="276" w:lineRule="auto"/>
              <w:rPr>
                <w:rFonts w:eastAsia="Calibri" w:cs="Arial"/>
                <w:lang w:val="en-NZ"/>
              </w:rPr>
            </w:pPr>
          </w:p>
        </w:tc>
        <w:tc>
          <w:tcPr>
            <w:tcW w:w="2127" w:type="dxa"/>
            <w:shd w:val="clear" w:color="auto" w:fill="auto"/>
          </w:tcPr>
          <w:p w:rsidR="0062657E" w:rsidRPr="00EE6FAC" w:rsidRDefault="00CD3096" w:rsidP="007B090A">
            <w:pPr>
              <w:pStyle w:val="TableText"/>
              <w:spacing w:line="276" w:lineRule="auto"/>
              <w:rPr>
                <w:rFonts w:eastAsia="Calibri" w:cs="Arial"/>
                <w:lang w:val="en-NZ"/>
              </w:rPr>
            </w:pPr>
            <w:r w:rsidRPr="00EE6FAC">
              <w:rPr>
                <w:rFonts w:eastAsia="Calibri" w:cs="Arial"/>
                <w:lang w:val="en-NZ"/>
              </w:rPr>
              <w:t>High</w:t>
            </w:r>
          </w:p>
        </w:tc>
        <w:tc>
          <w:tcPr>
            <w:tcW w:w="1277" w:type="dxa"/>
            <w:shd w:val="clear" w:color="auto" w:fill="auto"/>
          </w:tcPr>
          <w:p w:rsidR="0062657E" w:rsidRPr="00EE6FAC" w:rsidRDefault="0062657E" w:rsidP="007B090A">
            <w:pPr>
              <w:pStyle w:val="TableText"/>
              <w:spacing w:line="276" w:lineRule="auto"/>
              <w:rPr>
                <w:rFonts w:eastAsia="Calibri" w:cs="Arial"/>
                <w:lang w:val="en-NZ"/>
              </w:rPr>
            </w:pPr>
          </w:p>
        </w:tc>
      </w:tr>
    </w:tbl>
    <w:p w:rsidR="0062657E" w:rsidRPr="00EE6FAC" w:rsidRDefault="0062657E" w:rsidP="0049234F">
      <w:pPr>
        <w:pStyle w:val="spacer"/>
        <w:rPr>
          <w:lang w:val="en-NZ"/>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9467D" w:rsidRPr="00EE6FAC" w:rsidTr="006A2809">
        <w:trPr>
          <w:trHeight w:val="193"/>
        </w:trPr>
        <w:tc>
          <w:tcPr>
            <w:tcW w:w="5000" w:type="pct"/>
            <w:shd w:val="clear" w:color="auto" w:fill="99CDDD"/>
            <w:hideMark/>
          </w:tcPr>
          <w:p w:rsidR="0062657E" w:rsidRPr="00EE6FAC" w:rsidRDefault="0062657E" w:rsidP="00DF2E7B">
            <w:pPr>
              <w:pStyle w:val="spacer"/>
              <w:keepNext/>
              <w:spacing w:before="60" w:after="60"/>
              <w:rPr>
                <w:rFonts w:cs="Arial"/>
                <w:b/>
                <w:sz w:val="22"/>
                <w:lang w:val="en-NZ"/>
              </w:rPr>
            </w:pPr>
            <w:r w:rsidRPr="00EE6FAC">
              <w:rPr>
                <w:rFonts w:cs="Arial"/>
                <w:b/>
                <w:sz w:val="22"/>
                <w:lang w:val="en-NZ"/>
              </w:rPr>
              <w:t>5.3</w:t>
            </w:r>
            <w:r w:rsidR="00A514AC" w:rsidRPr="00EE6FAC">
              <w:rPr>
                <w:rFonts w:cs="Arial"/>
                <w:b/>
                <w:sz w:val="22"/>
                <w:lang w:val="en-NZ"/>
              </w:rPr>
              <w:t xml:space="preserve"> </w:t>
            </w:r>
            <w:r w:rsidRPr="00EE6FAC">
              <w:rPr>
                <w:rFonts w:cs="Arial"/>
                <w:b/>
                <w:sz w:val="22"/>
                <w:lang w:val="en-NZ"/>
              </w:rPr>
              <w:t>What other impacts is this approach likely to have?</w:t>
            </w:r>
          </w:p>
        </w:tc>
      </w:tr>
      <w:tr w:rsidR="0049467D" w:rsidRPr="00EE6FAC" w:rsidTr="006A2809">
        <w:trPr>
          <w:trHeight w:val="1640"/>
        </w:trPr>
        <w:tc>
          <w:tcPr>
            <w:tcW w:w="5000" w:type="pct"/>
            <w:shd w:val="clear" w:color="auto" w:fill="FFFFFF"/>
          </w:tcPr>
          <w:p w:rsidR="00FE237A" w:rsidRPr="00EE6FAC" w:rsidRDefault="003E5A6C" w:rsidP="007910DE">
            <w:pPr>
              <w:pStyle w:val="TableText"/>
              <w:rPr>
                <w:lang w:val="en-NZ"/>
              </w:rPr>
            </w:pPr>
            <w:r w:rsidRPr="00EE6FAC">
              <w:rPr>
                <w:lang w:val="en-NZ"/>
              </w:rPr>
              <w:t xml:space="preserve">There is a potential risk that </w:t>
            </w:r>
            <w:r w:rsidR="000B7128" w:rsidRPr="00EE6FAC">
              <w:rPr>
                <w:lang w:val="en-NZ"/>
              </w:rPr>
              <w:t>by</w:t>
            </w:r>
            <w:r w:rsidRPr="00EE6FAC">
              <w:rPr>
                <w:lang w:val="en-NZ"/>
              </w:rPr>
              <w:t xml:space="preserve"> providing an incentive, businesses are motivated to recharacterise non-R&amp;D expenditure or business as usual as R&amp;D. Steps are being undertaken in the incentive design to reduce the likelihood of</w:t>
            </w:r>
            <w:r w:rsidR="00AA1149" w:rsidRPr="00EE6FAC">
              <w:rPr>
                <w:lang w:val="en-NZ"/>
              </w:rPr>
              <w:t>,</w:t>
            </w:r>
            <w:r w:rsidRPr="00EE6FAC">
              <w:rPr>
                <w:lang w:val="en-NZ"/>
              </w:rPr>
              <w:t xml:space="preserve"> and opportunities to recharacterise non-R&amp;D expenditure.</w:t>
            </w:r>
            <w:r w:rsidR="00A514AC" w:rsidRPr="00EE6FAC">
              <w:rPr>
                <w:lang w:val="en-NZ"/>
              </w:rPr>
              <w:t xml:space="preserve"> </w:t>
            </w:r>
            <w:r w:rsidRPr="00EE6FAC">
              <w:rPr>
                <w:lang w:val="en-NZ"/>
              </w:rPr>
              <w:t xml:space="preserve">These steps include </w:t>
            </w:r>
            <w:r w:rsidR="000B7128" w:rsidRPr="00EE6FAC">
              <w:rPr>
                <w:lang w:val="en-NZ"/>
              </w:rPr>
              <w:t>requiring</w:t>
            </w:r>
            <w:r w:rsidRPr="00EE6FAC">
              <w:rPr>
                <w:lang w:val="en-NZ"/>
              </w:rPr>
              <w:t xml:space="preserve"> a close nexus between the R&amp;D activity and the expenses claimed.</w:t>
            </w:r>
          </w:p>
        </w:tc>
      </w:tr>
    </w:tbl>
    <w:p w:rsidR="0062657E" w:rsidRPr="00EE6FAC" w:rsidRDefault="0062657E" w:rsidP="0049234F">
      <w:pPr>
        <w:pStyle w:val="spacer"/>
        <w:rPr>
          <w:lang w:val="en-NZ"/>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80" w:firstRow="0" w:lastRow="0" w:firstColumn="1" w:lastColumn="0" w:noHBand="0" w:noVBand="1"/>
      </w:tblPr>
      <w:tblGrid>
        <w:gridCol w:w="9071"/>
      </w:tblGrid>
      <w:tr w:rsidR="0062657E" w:rsidRPr="00EE6FAC" w:rsidTr="00384E9B">
        <w:trPr>
          <w:trHeight w:val="520"/>
        </w:trPr>
        <w:tc>
          <w:tcPr>
            <w:tcW w:w="9071" w:type="dxa"/>
            <w:shd w:val="clear" w:color="auto" w:fill="99CDDD"/>
          </w:tcPr>
          <w:p w:rsidR="0062657E" w:rsidRPr="00EE6FAC" w:rsidRDefault="0062657E" w:rsidP="00372449">
            <w:pPr>
              <w:keepNext/>
              <w:spacing w:before="60" w:after="60" w:line="240" w:lineRule="auto"/>
              <w:jc w:val="both"/>
              <w:rPr>
                <w:rFonts w:cs="Arial"/>
                <w:b/>
                <w:color w:val="002060"/>
                <w:lang w:val="en-NZ" w:eastAsia="en-AU"/>
              </w:rPr>
            </w:pPr>
            <w:r w:rsidRPr="00EE6FAC">
              <w:rPr>
                <w:rFonts w:cs="Arial"/>
                <w:b/>
                <w:lang w:val="en-NZ" w:eastAsia="en-AU"/>
              </w:rPr>
              <w:t>5.4</w:t>
            </w:r>
            <w:r w:rsidR="00A514AC" w:rsidRPr="00EE6FAC">
              <w:rPr>
                <w:rFonts w:cs="Arial"/>
                <w:b/>
                <w:lang w:val="en-NZ" w:eastAsia="en-AU"/>
              </w:rPr>
              <w:t xml:space="preserve"> </w:t>
            </w:r>
            <w:r w:rsidRPr="00EE6FAC">
              <w:rPr>
                <w:rFonts w:cs="Arial"/>
                <w:b/>
                <w:lang w:val="en-NZ" w:eastAsia="en-AU"/>
              </w:rPr>
              <w:t>Is the preferred option compatible with the Government’s ‘Expectations for the design of regulatory systems’?</w:t>
            </w:r>
          </w:p>
        </w:tc>
      </w:tr>
      <w:tr w:rsidR="0062657E" w:rsidRPr="00EE6FAC" w:rsidTr="00372449">
        <w:trPr>
          <w:trHeight w:val="833"/>
        </w:trPr>
        <w:tc>
          <w:tcPr>
            <w:tcW w:w="9071" w:type="dxa"/>
            <w:shd w:val="clear" w:color="auto" w:fill="FFFFFF"/>
          </w:tcPr>
          <w:p w:rsidR="0062657E" w:rsidRPr="00EE6FAC" w:rsidRDefault="007B7C1F" w:rsidP="00587F15">
            <w:pPr>
              <w:pStyle w:val="TableText"/>
              <w:rPr>
                <w:lang w:val="en-NZ"/>
              </w:rPr>
            </w:pPr>
            <w:r w:rsidRPr="00EE6FAC">
              <w:rPr>
                <w:lang w:val="en-NZ"/>
              </w:rPr>
              <w:t>There is no incompatibility between this regulatory proposal and the Government’s ‘Expectations for the design of regulatory systems</w:t>
            </w:r>
            <w:r w:rsidR="0025097C" w:rsidRPr="00EE6FAC">
              <w:rPr>
                <w:lang w:val="en-NZ"/>
              </w:rPr>
              <w:t>.</w:t>
            </w:r>
          </w:p>
        </w:tc>
      </w:tr>
    </w:tbl>
    <w:p w:rsidR="0062657E" w:rsidRPr="00EE6FAC" w:rsidRDefault="0062657E" w:rsidP="0049234F">
      <w:pPr>
        <w:pStyle w:val="spacer"/>
        <w:rPr>
          <w:lang w:val="en-NZ"/>
        </w:rPr>
      </w:pPr>
      <w:r w:rsidRPr="00EE6FAC">
        <w:rPr>
          <w:lang w:val="en-NZ"/>
        </w:rPr>
        <w:br w:type="page"/>
      </w:r>
    </w:p>
    <w:p w:rsidR="0062657E" w:rsidRPr="00EE6FAC" w:rsidRDefault="0062657E" w:rsidP="00B9498A">
      <w:pPr>
        <w:pStyle w:val="Heading4"/>
        <w:rPr>
          <w:bCs w:val="0"/>
          <w:color w:val="0082AB"/>
          <w:spacing w:val="20"/>
          <w:w w:val="90"/>
          <w:sz w:val="24"/>
          <w:szCs w:val="24"/>
          <w:lang w:val="en-NZ"/>
        </w:rPr>
      </w:pPr>
      <w:r w:rsidRPr="00EE6FAC">
        <w:rPr>
          <w:bCs w:val="0"/>
          <w:color w:val="0082AB"/>
          <w:spacing w:val="20"/>
          <w:w w:val="90"/>
          <w:sz w:val="24"/>
          <w:szCs w:val="24"/>
          <w:lang w:val="en-NZ"/>
        </w:rPr>
        <w:t>Section 6:</w:t>
      </w:r>
      <w:r w:rsidR="00A514AC" w:rsidRPr="00EE6FAC">
        <w:rPr>
          <w:bCs w:val="0"/>
          <w:color w:val="0082AB"/>
          <w:spacing w:val="20"/>
          <w:w w:val="90"/>
          <w:sz w:val="24"/>
          <w:szCs w:val="24"/>
          <w:lang w:val="en-NZ"/>
        </w:rPr>
        <w:t xml:space="preserve"> </w:t>
      </w:r>
      <w:r w:rsidRPr="00EE6FAC">
        <w:rPr>
          <w:bCs w:val="0"/>
          <w:color w:val="0082AB"/>
          <w:spacing w:val="20"/>
          <w:w w:val="90"/>
          <w:sz w:val="24"/>
          <w:szCs w:val="24"/>
          <w:lang w:val="en-NZ"/>
        </w:rPr>
        <w:t>Implementation and operation</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48"/>
      </w:tblGrid>
      <w:tr w:rsidR="0062657E" w:rsidRPr="00EE6FAC" w:rsidTr="004A11FC">
        <w:trPr>
          <w:trHeight w:val="77"/>
        </w:trPr>
        <w:tc>
          <w:tcPr>
            <w:tcW w:w="9048" w:type="dxa"/>
            <w:shd w:val="clear" w:color="auto" w:fill="99CDDD"/>
          </w:tcPr>
          <w:p w:rsidR="0062657E" w:rsidRPr="00EE6FAC" w:rsidRDefault="0062657E" w:rsidP="00DF2E7B">
            <w:pPr>
              <w:spacing w:before="60" w:after="60" w:line="240" w:lineRule="auto"/>
              <w:jc w:val="both"/>
              <w:rPr>
                <w:rFonts w:cs="Arial"/>
                <w:b/>
                <w:color w:val="002060"/>
                <w:lang w:val="en-NZ" w:eastAsia="en-AU"/>
              </w:rPr>
            </w:pPr>
            <w:r w:rsidRPr="00EE6FAC">
              <w:rPr>
                <w:rFonts w:cs="Arial"/>
                <w:b/>
                <w:color w:val="002060"/>
                <w:lang w:val="en-NZ" w:eastAsia="en-AU"/>
              </w:rPr>
              <w:br w:type="page"/>
            </w:r>
            <w:r w:rsidRPr="00EE6FAC">
              <w:rPr>
                <w:rFonts w:cs="Arial"/>
                <w:b/>
                <w:lang w:val="en-NZ" w:eastAsia="en-AU"/>
              </w:rPr>
              <w:t>6.1</w:t>
            </w:r>
            <w:r w:rsidR="00A514AC" w:rsidRPr="00EE6FAC">
              <w:rPr>
                <w:rFonts w:cs="Arial"/>
                <w:b/>
                <w:lang w:val="en-NZ" w:eastAsia="en-AU"/>
              </w:rPr>
              <w:t xml:space="preserve"> </w:t>
            </w:r>
            <w:r w:rsidRPr="00EE6FAC">
              <w:rPr>
                <w:rFonts w:cs="Arial"/>
                <w:b/>
                <w:lang w:val="en-NZ" w:eastAsia="en-AU"/>
              </w:rPr>
              <w:t>How will the new arrangements work in practice?</w:t>
            </w:r>
          </w:p>
        </w:tc>
      </w:tr>
      <w:tr w:rsidR="0062657E" w:rsidRPr="00EE6FAC" w:rsidTr="0049234F">
        <w:trPr>
          <w:trHeight w:val="2457"/>
        </w:trPr>
        <w:tc>
          <w:tcPr>
            <w:tcW w:w="9048" w:type="dxa"/>
            <w:shd w:val="clear" w:color="auto" w:fill="auto"/>
          </w:tcPr>
          <w:p w:rsidR="003C4EB9" w:rsidRPr="00EE6FAC" w:rsidRDefault="001618C7" w:rsidP="007910DE">
            <w:pPr>
              <w:pStyle w:val="TableText"/>
              <w:rPr>
                <w:lang w:val="en-NZ"/>
              </w:rPr>
            </w:pPr>
            <w:r w:rsidRPr="00EE6FAC">
              <w:rPr>
                <w:lang w:val="en-NZ"/>
              </w:rPr>
              <w:t xml:space="preserve">Legislation will need to be passed to give effect to the </w:t>
            </w:r>
            <w:r w:rsidR="00810148" w:rsidRPr="00EE6FAC">
              <w:rPr>
                <w:lang w:val="en-NZ"/>
              </w:rPr>
              <w:t>R&amp;D Tax Incentive</w:t>
            </w:r>
            <w:r w:rsidRPr="00EE6FAC">
              <w:rPr>
                <w:lang w:val="en-NZ"/>
              </w:rPr>
              <w:t xml:space="preserve"> policy.</w:t>
            </w:r>
            <w:r w:rsidR="00A514AC" w:rsidRPr="00EE6FAC">
              <w:rPr>
                <w:lang w:val="en-NZ"/>
              </w:rPr>
              <w:t xml:space="preserve"> </w:t>
            </w:r>
            <w:r w:rsidR="00FC7AE8" w:rsidRPr="00EE6FAC">
              <w:rPr>
                <w:lang w:val="en-NZ"/>
              </w:rPr>
              <w:t xml:space="preserve">A stand-alone bill is </w:t>
            </w:r>
            <w:r w:rsidR="003C4EB9" w:rsidRPr="00EE6FAC">
              <w:rPr>
                <w:lang w:val="en-NZ"/>
              </w:rPr>
              <w:t xml:space="preserve">proposed to make changes to the Income Tax Act 2007. </w:t>
            </w:r>
          </w:p>
          <w:p w:rsidR="007D7525" w:rsidRPr="00EE6FAC" w:rsidRDefault="003C4EB9" w:rsidP="007910DE">
            <w:pPr>
              <w:pStyle w:val="TableText"/>
              <w:rPr>
                <w:lang w:val="en-NZ"/>
              </w:rPr>
            </w:pPr>
            <w:r w:rsidRPr="00EE6FAC">
              <w:rPr>
                <w:lang w:val="en-NZ"/>
              </w:rPr>
              <w:t xml:space="preserve">The short timeframes for implementing the </w:t>
            </w:r>
            <w:r w:rsidR="00810148" w:rsidRPr="00EE6FAC">
              <w:rPr>
                <w:lang w:val="en-NZ"/>
              </w:rPr>
              <w:t>R&amp;D Tax Incentive</w:t>
            </w:r>
            <w:r w:rsidRPr="00EE6FAC">
              <w:rPr>
                <w:lang w:val="en-NZ"/>
              </w:rPr>
              <w:t xml:space="preserve"> and </w:t>
            </w:r>
            <w:r w:rsidR="000A1C40" w:rsidRPr="00EE6FAC">
              <w:rPr>
                <w:lang w:val="en-NZ"/>
              </w:rPr>
              <w:t>receiving</w:t>
            </w:r>
            <w:r w:rsidRPr="00EE6FAC">
              <w:rPr>
                <w:lang w:val="en-NZ"/>
              </w:rPr>
              <w:t xml:space="preserve"> Royal </w:t>
            </w:r>
            <w:r w:rsidR="000A1C40" w:rsidRPr="00EE6FAC">
              <w:rPr>
                <w:lang w:val="en-NZ"/>
              </w:rPr>
              <w:t>Assent</w:t>
            </w:r>
            <w:r w:rsidRPr="00EE6FAC">
              <w:rPr>
                <w:lang w:val="en-NZ"/>
              </w:rPr>
              <w:t xml:space="preserve"> by June 2019 means that the bill will need to progress through the house swiftly. June 2019 is the latest date for enactment without disrupting companies’ payment of provisional tax.</w:t>
            </w:r>
            <w:r w:rsidR="007910DE" w:rsidRPr="00EE6FAC">
              <w:rPr>
                <w:lang w:val="en-NZ"/>
              </w:rPr>
              <w:t xml:space="preserve"> </w:t>
            </w:r>
          </w:p>
          <w:p w:rsidR="007D7525" w:rsidRPr="00EE6FAC" w:rsidRDefault="00143BA3" w:rsidP="007910DE">
            <w:pPr>
              <w:pStyle w:val="TableText"/>
              <w:rPr>
                <w:lang w:val="en-NZ"/>
              </w:rPr>
            </w:pPr>
            <w:r w:rsidRPr="00EE6FAC">
              <w:rPr>
                <w:lang w:val="en-NZ"/>
              </w:rPr>
              <w:t>IR</w:t>
            </w:r>
            <w:r w:rsidR="00F124B6" w:rsidRPr="00EE6FAC">
              <w:rPr>
                <w:lang w:val="en-NZ"/>
              </w:rPr>
              <w:t xml:space="preserve"> will be leading the </w:t>
            </w:r>
            <w:r w:rsidR="007D7525" w:rsidRPr="00EE6FAC">
              <w:rPr>
                <w:lang w:val="en-NZ"/>
              </w:rPr>
              <w:t xml:space="preserve">implementation of the </w:t>
            </w:r>
            <w:r w:rsidR="00A41FAC" w:rsidRPr="00EE6FAC">
              <w:rPr>
                <w:lang w:val="en-NZ"/>
              </w:rPr>
              <w:t>Tax Incentive</w:t>
            </w:r>
            <w:r w:rsidR="007D7525" w:rsidRPr="00EE6FAC">
              <w:rPr>
                <w:lang w:val="en-NZ"/>
              </w:rPr>
              <w:t xml:space="preserve"> </w:t>
            </w:r>
            <w:r w:rsidR="00F124B6" w:rsidRPr="00EE6FAC">
              <w:rPr>
                <w:lang w:val="en-NZ"/>
              </w:rPr>
              <w:t>through the tax system and will identify and mitigate operational risk so that it can be delivered successfully.</w:t>
            </w:r>
            <w:r w:rsidR="007D7525" w:rsidRPr="00EE6FAC">
              <w:rPr>
                <w:lang w:val="en-NZ"/>
              </w:rPr>
              <w:t xml:space="preserve"> </w:t>
            </w:r>
          </w:p>
          <w:p w:rsidR="002D7536" w:rsidRPr="00EE6FAC" w:rsidRDefault="00143BA3" w:rsidP="007910DE">
            <w:pPr>
              <w:pStyle w:val="TableText"/>
              <w:rPr>
                <w:lang w:val="en-NZ"/>
              </w:rPr>
            </w:pPr>
            <w:r w:rsidRPr="00EE6FAC">
              <w:rPr>
                <w:lang w:val="en-NZ"/>
              </w:rPr>
              <w:t>IR</w:t>
            </w:r>
            <w:r w:rsidR="007D7525" w:rsidRPr="00EE6FAC">
              <w:rPr>
                <w:lang w:val="en-NZ"/>
              </w:rPr>
              <w:t xml:space="preserve"> </w:t>
            </w:r>
            <w:r w:rsidR="000A1C40" w:rsidRPr="00EE6FAC">
              <w:rPr>
                <w:lang w:val="en-NZ"/>
              </w:rPr>
              <w:t>has</w:t>
            </w:r>
            <w:r w:rsidR="007D7525" w:rsidRPr="00EE6FAC">
              <w:rPr>
                <w:lang w:val="en-NZ"/>
              </w:rPr>
              <w:t xml:space="preserve"> the necessary capabilities and capacity to implement changes to tax rules through </w:t>
            </w:r>
            <w:r w:rsidR="000A1C40" w:rsidRPr="00EE6FAC">
              <w:rPr>
                <w:lang w:val="en-NZ"/>
              </w:rPr>
              <w:t>its</w:t>
            </w:r>
            <w:r w:rsidR="007D7525" w:rsidRPr="00EE6FAC">
              <w:rPr>
                <w:lang w:val="en-NZ"/>
              </w:rPr>
              <w:t xml:space="preserve"> systems.</w:t>
            </w:r>
            <w:r w:rsidR="000A1C40" w:rsidRPr="00EE6FAC">
              <w:rPr>
                <w:lang w:val="en-NZ"/>
              </w:rPr>
              <w:t xml:space="preserve"> Work requirements associated with the </w:t>
            </w:r>
            <w:r w:rsidR="00810148" w:rsidRPr="00EE6FAC">
              <w:rPr>
                <w:lang w:val="en-NZ"/>
              </w:rPr>
              <w:t>R&amp;D Tax Incentive</w:t>
            </w:r>
            <w:r w:rsidR="000A1C40" w:rsidRPr="00EE6FAC">
              <w:rPr>
                <w:lang w:val="en-NZ"/>
              </w:rPr>
              <w:t xml:space="preserve"> have been factored into the wider departmental planning associated with </w:t>
            </w:r>
            <w:r w:rsidRPr="00EE6FAC">
              <w:rPr>
                <w:lang w:val="en-NZ"/>
              </w:rPr>
              <w:t>IR</w:t>
            </w:r>
            <w:r w:rsidR="000A1C40" w:rsidRPr="00EE6FAC">
              <w:rPr>
                <w:lang w:val="en-NZ"/>
              </w:rPr>
              <w:t>’s Business Transformation programme.</w:t>
            </w:r>
          </w:p>
          <w:p w:rsidR="000A1C40" w:rsidRPr="00EE6FAC" w:rsidRDefault="000A1C40" w:rsidP="007910DE">
            <w:pPr>
              <w:pStyle w:val="TableText"/>
              <w:rPr>
                <w:lang w:val="en-NZ"/>
              </w:rPr>
            </w:pPr>
            <w:r w:rsidRPr="00EE6FAC">
              <w:rPr>
                <w:lang w:val="en-NZ"/>
              </w:rPr>
              <w:t xml:space="preserve">An important element of the scheme is to have in-year approval of the R&amp;D activity. This has the benefit of providing certainty to applicants that their R&amp;D complies with the legislative requirements, as well as helping maintain the integrity of the </w:t>
            </w:r>
            <w:r w:rsidR="00A41FAC" w:rsidRPr="00EE6FAC">
              <w:rPr>
                <w:lang w:val="en-NZ"/>
              </w:rPr>
              <w:t>Tax Incentive</w:t>
            </w:r>
            <w:r w:rsidRPr="00EE6FAC">
              <w:rPr>
                <w:lang w:val="en-NZ"/>
              </w:rPr>
              <w:t xml:space="preserve">. The start date of this feature will be conditional on operational capacity and readiness. Because of Business Transformation constraints, it may not </w:t>
            </w:r>
            <w:r w:rsidR="007910DE" w:rsidRPr="00EE6FAC">
              <w:rPr>
                <w:lang w:val="en-NZ"/>
              </w:rPr>
              <w:t xml:space="preserve">come into effect until </w:t>
            </w:r>
            <w:r w:rsidR="0011000A" w:rsidRPr="00EE6FAC">
              <w:rPr>
                <w:lang w:val="en-NZ"/>
              </w:rPr>
              <w:t>the second year (</w:t>
            </w:r>
            <w:r w:rsidR="007910DE" w:rsidRPr="00EE6FAC">
              <w:rPr>
                <w:lang w:val="en-NZ"/>
              </w:rPr>
              <w:t>2020/21</w:t>
            </w:r>
            <w:r w:rsidR="0011000A" w:rsidRPr="00EE6FAC">
              <w:rPr>
                <w:lang w:val="en-NZ"/>
              </w:rPr>
              <w:t>)</w:t>
            </w:r>
            <w:r w:rsidR="007910DE" w:rsidRPr="00EE6FAC">
              <w:rPr>
                <w:lang w:val="en-NZ"/>
              </w:rPr>
              <w:t>.</w:t>
            </w:r>
          </w:p>
          <w:p w:rsidR="000A1C40" w:rsidRPr="00EE6FAC" w:rsidRDefault="000A1C40" w:rsidP="007910DE">
            <w:pPr>
              <w:pStyle w:val="TableText"/>
              <w:rPr>
                <w:lang w:val="en-NZ"/>
              </w:rPr>
            </w:pPr>
            <w:r w:rsidRPr="00EE6FAC">
              <w:rPr>
                <w:lang w:val="en-NZ"/>
              </w:rPr>
              <w:t xml:space="preserve">Not all implementation decisions have been completed yet, but </w:t>
            </w:r>
            <w:r w:rsidR="00143BA3" w:rsidRPr="00EE6FAC">
              <w:rPr>
                <w:lang w:val="en-NZ"/>
              </w:rPr>
              <w:t>IR</w:t>
            </w:r>
            <w:r w:rsidRPr="00EE6FAC">
              <w:rPr>
                <w:lang w:val="en-NZ"/>
              </w:rPr>
              <w:t xml:space="preserve"> expects to be able to resolve all issues by the start date. </w:t>
            </w:r>
            <w:r w:rsidR="00143BA3" w:rsidRPr="00EE6FAC">
              <w:rPr>
                <w:lang w:val="en-NZ"/>
              </w:rPr>
              <w:t>IR</w:t>
            </w:r>
            <w:r w:rsidRPr="00EE6FAC">
              <w:rPr>
                <w:lang w:val="en-NZ"/>
              </w:rPr>
              <w:t xml:space="preserve"> has begun assessing the skills and capacity that will be needed to implement the </w:t>
            </w:r>
            <w:r w:rsidR="0011000A" w:rsidRPr="00EE6FAC">
              <w:rPr>
                <w:lang w:val="en-NZ"/>
              </w:rPr>
              <w:t>T</w:t>
            </w:r>
            <w:r w:rsidRPr="00EE6FAC">
              <w:rPr>
                <w:lang w:val="en-NZ"/>
              </w:rPr>
              <w:t xml:space="preserve">ax </w:t>
            </w:r>
            <w:r w:rsidR="0011000A" w:rsidRPr="00EE6FAC">
              <w:rPr>
                <w:lang w:val="en-NZ"/>
              </w:rPr>
              <w:t>I</w:t>
            </w:r>
            <w:r w:rsidRPr="00EE6FAC">
              <w:rPr>
                <w:lang w:val="en-NZ"/>
              </w:rPr>
              <w:t>ncentive. This involves identifying whether the required skills are available in-house or whether they reside in other organisations, such as MBIE and Callaghan Innovation, and i</w:t>
            </w:r>
            <w:r w:rsidR="007910DE" w:rsidRPr="00EE6FAC">
              <w:rPr>
                <w:lang w:val="en-NZ"/>
              </w:rPr>
              <w:t>f so how they will be accessed.</w:t>
            </w:r>
          </w:p>
          <w:p w:rsidR="000A1C40" w:rsidRPr="00EE6FAC" w:rsidRDefault="000A1C40" w:rsidP="007910DE">
            <w:pPr>
              <w:pStyle w:val="TableText"/>
              <w:rPr>
                <w:lang w:val="en-NZ"/>
              </w:rPr>
            </w:pPr>
            <w:r w:rsidRPr="00EE6FAC">
              <w:rPr>
                <w:lang w:val="en-NZ"/>
              </w:rPr>
              <w:t>Communication of the proposed changes started with the release of a Discussion Document in April. There is currently a programme of engagement with key stakeholders, such as the tax advisory community. These organisations each have ne</w:t>
            </w:r>
            <w:r w:rsidR="007910DE" w:rsidRPr="00EE6FAC">
              <w:rPr>
                <w:lang w:val="en-NZ"/>
              </w:rPr>
              <w:t>tworks of R&amp;D performing firms.</w:t>
            </w:r>
          </w:p>
          <w:p w:rsidR="000A1C40" w:rsidRPr="00EE6FAC" w:rsidRDefault="000A1C40" w:rsidP="007910DE">
            <w:pPr>
              <w:pStyle w:val="TableText"/>
              <w:rPr>
                <w:lang w:val="en-NZ"/>
              </w:rPr>
            </w:pPr>
            <w:r w:rsidRPr="00EE6FAC">
              <w:rPr>
                <w:lang w:val="en-NZ"/>
              </w:rPr>
              <w:t xml:space="preserve">Officials from all agencies (MBIE, Callaghan Innovation and </w:t>
            </w:r>
            <w:r w:rsidR="00143BA3" w:rsidRPr="00EE6FAC">
              <w:rPr>
                <w:lang w:val="en-NZ"/>
              </w:rPr>
              <w:t>IR</w:t>
            </w:r>
            <w:r w:rsidRPr="00EE6FAC">
              <w:rPr>
                <w:lang w:val="en-NZ"/>
              </w:rPr>
              <w:t>) are taking opportunities to inform and discuss changes</w:t>
            </w:r>
            <w:r w:rsidR="00EA6737" w:rsidRPr="00EE6FAC">
              <w:rPr>
                <w:lang w:val="en-NZ"/>
              </w:rPr>
              <w:t xml:space="preserve"> with representative groups, eg., </w:t>
            </w:r>
            <w:r w:rsidRPr="00EE6FAC">
              <w:rPr>
                <w:lang w:val="en-NZ"/>
              </w:rPr>
              <w:t xml:space="preserve">the Chartered Accountants </w:t>
            </w:r>
            <w:r w:rsidR="0011000A" w:rsidRPr="00EE6FAC">
              <w:rPr>
                <w:lang w:val="en-NZ"/>
              </w:rPr>
              <w:t>Australia and New Zealand</w:t>
            </w:r>
            <w:r w:rsidRPr="00EE6FAC">
              <w:rPr>
                <w:lang w:val="en-NZ"/>
              </w:rPr>
              <w:t xml:space="preserve"> (CA</w:t>
            </w:r>
            <w:r w:rsidR="0011000A" w:rsidRPr="00EE6FAC">
              <w:rPr>
                <w:lang w:val="en-NZ"/>
              </w:rPr>
              <w:t xml:space="preserve"> </w:t>
            </w:r>
            <w:r w:rsidRPr="00EE6FAC">
              <w:rPr>
                <w:lang w:val="en-NZ"/>
              </w:rPr>
              <w:t>ANZ). Callaghan Innovation will use its network of grant recipients</w:t>
            </w:r>
            <w:r w:rsidR="007910DE" w:rsidRPr="00EE6FAC">
              <w:rPr>
                <w:lang w:val="en-NZ"/>
              </w:rPr>
              <w:t xml:space="preserve"> to inform them of the changes.</w:t>
            </w:r>
          </w:p>
          <w:p w:rsidR="000A1C40" w:rsidRPr="00EE6FAC" w:rsidRDefault="00143BA3" w:rsidP="007910DE">
            <w:pPr>
              <w:pStyle w:val="TableText"/>
              <w:rPr>
                <w:lang w:val="en-NZ"/>
              </w:rPr>
            </w:pPr>
            <w:r w:rsidRPr="00EE6FAC">
              <w:rPr>
                <w:lang w:val="en-NZ"/>
              </w:rPr>
              <w:t>IR</w:t>
            </w:r>
            <w:r w:rsidR="000A1C40" w:rsidRPr="00EE6FAC">
              <w:rPr>
                <w:lang w:val="en-NZ"/>
              </w:rPr>
              <w:t xml:space="preserve">, again working with the other agencies, has commenced developing guidance material to explain the legislation. Developing this material will require discussion with firms engaged in R&amp;D so will provide opportunities to communicate the changes to potential </w:t>
            </w:r>
            <w:r w:rsidR="00A41FAC" w:rsidRPr="00EE6FAC">
              <w:rPr>
                <w:lang w:val="en-NZ"/>
              </w:rPr>
              <w:t>Tax Incentive</w:t>
            </w:r>
            <w:r w:rsidR="000A1C40" w:rsidRPr="00EE6FAC">
              <w:rPr>
                <w:lang w:val="en-NZ"/>
              </w:rPr>
              <w:t xml:space="preserve"> recipients. A constraint in the communications is that formal guidance about the legislation cannot be released until the legislation has been passed. However, consideration will be given to how to provide useful information while resp</w:t>
            </w:r>
            <w:r w:rsidR="007910DE" w:rsidRPr="00EE6FAC">
              <w:rPr>
                <w:lang w:val="en-NZ"/>
              </w:rPr>
              <w:t>ecting legislative conventions.</w:t>
            </w:r>
          </w:p>
          <w:p w:rsidR="000A1C40" w:rsidRPr="00EE6FAC" w:rsidRDefault="000A1C40" w:rsidP="007910DE">
            <w:pPr>
              <w:pStyle w:val="TableText"/>
              <w:rPr>
                <w:lang w:val="en-NZ"/>
              </w:rPr>
            </w:pPr>
            <w:r w:rsidRPr="00EE6FAC">
              <w:rPr>
                <w:lang w:val="en-NZ"/>
              </w:rPr>
              <w:t xml:space="preserve">Because the </w:t>
            </w:r>
            <w:r w:rsidR="00F1308D">
              <w:rPr>
                <w:lang w:val="en-NZ"/>
              </w:rPr>
              <w:t xml:space="preserve">R&amp;D </w:t>
            </w:r>
            <w:r w:rsidR="00A41FAC" w:rsidRPr="00EE6FAC">
              <w:rPr>
                <w:lang w:val="en-NZ"/>
              </w:rPr>
              <w:t>Tax Incentive</w:t>
            </w:r>
            <w:r w:rsidRPr="00EE6FAC">
              <w:rPr>
                <w:lang w:val="en-NZ"/>
              </w:rPr>
              <w:t xml:space="preserve"> is a new policy, there are no particular transition issues. However, it is noted that a goal in introducing the </w:t>
            </w:r>
            <w:r w:rsidR="00A41FAC" w:rsidRPr="00EE6FAC">
              <w:rPr>
                <w:lang w:val="en-NZ"/>
              </w:rPr>
              <w:t>Tax Incentive</w:t>
            </w:r>
            <w:r w:rsidRPr="00EE6FAC">
              <w:rPr>
                <w:lang w:val="en-NZ"/>
              </w:rPr>
              <w:t xml:space="preserve"> is to not disrupt the R&amp;D programmes of existing R&amp;D performers. A significant part of the wider policy is that there will be, subject to Cabinet approval, a two-year transition period for Growth Grant recipients before this Grant is phased out. During this period, transitioning from the Growth Grant to the </w:t>
            </w:r>
            <w:r w:rsidR="00A41FAC" w:rsidRPr="00EE6FAC">
              <w:rPr>
                <w:lang w:val="en-NZ"/>
              </w:rPr>
              <w:t>Tax Incentive</w:t>
            </w:r>
            <w:r w:rsidRPr="00EE6FAC">
              <w:rPr>
                <w:lang w:val="en-NZ"/>
              </w:rPr>
              <w:t xml:space="preserve"> is at the R&amp;D performer’s discretion. This enables them to plan in a measure</w:t>
            </w:r>
            <w:r w:rsidR="007910DE" w:rsidRPr="00EE6FAC">
              <w:rPr>
                <w:lang w:val="en-NZ"/>
              </w:rPr>
              <w:t>d way so will avoid disruption.</w:t>
            </w:r>
          </w:p>
          <w:p w:rsidR="000A1C40" w:rsidRPr="00EE6FAC" w:rsidRDefault="000A1C40" w:rsidP="007910DE">
            <w:pPr>
              <w:pStyle w:val="TableText"/>
              <w:rPr>
                <w:lang w:val="en-NZ"/>
              </w:rPr>
            </w:pPr>
            <w:r w:rsidRPr="00EE6FAC">
              <w:rPr>
                <w:lang w:val="en-NZ"/>
              </w:rPr>
              <w:t xml:space="preserve">The </w:t>
            </w:r>
            <w:r w:rsidR="00A41FAC" w:rsidRPr="00EE6FAC">
              <w:rPr>
                <w:lang w:val="en-NZ"/>
              </w:rPr>
              <w:t>Tax Incentive</w:t>
            </w:r>
            <w:r w:rsidRPr="00EE6FAC">
              <w:rPr>
                <w:lang w:val="en-NZ"/>
              </w:rPr>
              <w:t xml:space="preserve"> will come into effect for the tax year endi</w:t>
            </w:r>
            <w:r w:rsidR="00F1308D">
              <w:rPr>
                <w:lang w:val="en-NZ"/>
              </w:rPr>
              <w:t>ng 31 March 2020. Early-balance-</w:t>
            </w:r>
            <w:r w:rsidRPr="00EE6FAC">
              <w:rPr>
                <w:lang w:val="en-NZ"/>
              </w:rPr>
              <w:t>date firms will be able to claim the incentive for the full 12 months of the</w:t>
            </w:r>
            <w:r w:rsidR="007910DE" w:rsidRPr="00EE6FAC">
              <w:rPr>
                <w:lang w:val="en-NZ"/>
              </w:rPr>
              <w:t xml:space="preserve">ir equivalent </w:t>
            </w:r>
            <w:r w:rsidR="0011000A" w:rsidRPr="00EE6FAC">
              <w:rPr>
                <w:lang w:val="en-NZ"/>
              </w:rPr>
              <w:t xml:space="preserve">2019/20 </w:t>
            </w:r>
            <w:r w:rsidR="00F1308D">
              <w:rPr>
                <w:lang w:val="en-NZ"/>
              </w:rPr>
              <w:t>income-</w:t>
            </w:r>
            <w:r w:rsidR="007910DE" w:rsidRPr="00EE6FAC">
              <w:rPr>
                <w:lang w:val="en-NZ"/>
              </w:rPr>
              <w:t xml:space="preserve">tax year. </w:t>
            </w:r>
          </w:p>
          <w:p w:rsidR="007C4C9E" w:rsidRPr="00EE6FAC" w:rsidRDefault="000A1C40" w:rsidP="00F1308D">
            <w:pPr>
              <w:pStyle w:val="TableText"/>
              <w:rPr>
                <w:lang w:val="en-NZ"/>
              </w:rPr>
            </w:pPr>
            <w:r w:rsidRPr="00EE6FAC">
              <w:rPr>
                <w:lang w:val="en-NZ"/>
              </w:rPr>
              <w:t>Taxpayers’ income</w:t>
            </w:r>
            <w:r w:rsidR="00F1308D">
              <w:rPr>
                <w:lang w:val="en-NZ"/>
              </w:rPr>
              <w:t>-</w:t>
            </w:r>
            <w:r w:rsidRPr="00EE6FAC">
              <w:rPr>
                <w:lang w:val="en-NZ"/>
              </w:rPr>
              <w:t>tax year will have started by the time the legislation receives Royal Assent.</w:t>
            </w:r>
            <w:r w:rsidR="00A514AC" w:rsidRPr="00EE6FAC">
              <w:rPr>
                <w:lang w:val="en-NZ"/>
              </w:rPr>
              <w:t xml:space="preserve"> </w:t>
            </w:r>
            <w:r w:rsidRPr="00EE6FAC">
              <w:rPr>
                <w:lang w:val="en-NZ"/>
              </w:rPr>
              <w:t>This m</w:t>
            </w:r>
            <w:r w:rsidR="00EA6737" w:rsidRPr="00EE6FAC">
              <w:rPr>
                <w:lang w:val="en-NZ"/>
              </w:rPr>
              <w:t>ay</w:t>
            </w:r>
            <w:r w:rsidRPr="00EE6FAC">
              <w:rPr>
                <w:lang w:val="en-NZ"/>
              </w:rPr>
              <w:t xml:space="preserve"> cause some difficulties for taxpayers since data collection obligations will apply for the whole period for which they are performing R&amp;D. However, claims will only be submitted with taxpayers’ income tax returns. It is anticipated that the legislation will be</w:t>
            </w:r>
            <w:r w:rsidR="007910DE" w:rsidRPr="00EE6FAC">
              <w:rPr>
                <w:lang w:val="en-NZ"/>
              </w:rPr>
              <w:t xml:space="preserve"> enacted by then.</w:t>
            </w:r>
          </w:p>
        </w:tc>
      </w:tr>
    </w:tbl>
    <w:p w:rsidR="0062657E" w:rsidRPr="00EE6FAC" w:rsidRDefault="0062657E" w:rsidP="0049234F">
      <w:pPr>
        <w:pStyle w:val="spacer"/>
        <w:rPr>
          <w:lang w:val="en-NZ"/>
        </w:rPr>
      </w:pP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48"/>
      </w:tblGrid>
      <w:tr w:rsidR="0062657E" w:rsidRPr="00EE6FAC" w:rsidTr="004A11FC">
        <w:trPr>
          <w:trHeight w:val="132"/>
        </w:trPr>
        <w:tc>
          <w:tcPr>
            <w:tcW w:w="9048" w:type="dxa"/>
            <w:shd w:val="clear" w:color="auto" w:fill="99CDDD"/>
          </w:tcPr>
          <w:p w:rsidR="0062657E" w:rsidRPr="00EE6FAC" w:rsidRDefault="0062657E" w:rsidP="00DF2E7B">
            <w:pPr>
              <w:spacing w:before="60" w:after="60" w:line="240" w:lineRule="auto"/>
              <w:jc w:val="both"/>
              <w:rPr>
                <w:rFonts w:cs="Arial"/>
                <w:b/>
                <w:color w:val="002060"/>
                <w:lang w:val="en-NZ" w:eastAsia="en-AU"/>
              </w:rPr>
            </w:pPr>
            <w:r w:rsidRPr="00EE6FAC">
              <w:rPr>
                <w:rFonts w:cs="Arial"/>
                <w:b/>
                <w:color w:val="002060"/>
                <w:lang w:val="en-NZ" w:eastAsia="en-AU"/>
              </w:rPr>
              <w:br w:type="page"/>
            </w:r>
            <w:r w:rsidRPr="00EE6FAC">
              <w:rPr>
                <w:rFonts w:cs="Arial"/>
                <w:b/>
                <w:lang w:val="en-NZ" w:eastAsia="en-AU"/>
              </w:rPr>
              <w:t>6.2</w:t>
            </w:r>
            <w:r w:rsidR="00A514AC" w:rsidRPr="00EE6FAC">
              <w:rPr>
                <w:rFonts w:cs="Arial"/>
                <w:b/>
                <w:lang w:val="en-NZ" w:eastAsia="en-AU"/>
              </w:rPr>
              <w:t xml:space="preserve"> </w:t>
            </w:r>
            <w:r w:rsidRPr="00EE6FAC">
              <w:rPr>
                <w:rFonts w:cs="Arial"/>
                <w:b/>
                <w:lang w:val="en-NZ" w:eastAsia="en-AU"/>
              </w:rPr>
              <w:t>What are the implementation risks?</w:t>
            </w:r>
          </w:p>
        </w:tc>
      </w:tr>
      <w:tr w:rsidR="0062657E" w:rsidRPr="00EE6FAC" w:rsidTr="00A55BB5">
        <w:trPr>
          <w:trHeight w:val="1338"/>
        </w:trPr>
        <w:tc>
          <w:tcPr>
            <w:tcW w:w="9048" w:type="dxa"/>
            <w:shd w:val="clear" w:color="auto" w:fill="FFFFFF"/>
          </w:tcPr>
          <w:p w:rsidR="0053351A" w:rsidRPr="00EE6FAC" w:rsidRDefault="00022CD1" w:rsidP="007910DE">
            <w:pPr>
              <w:pStyle w:val="TableText"/>
              <w:rPr>
                <w:lang w:val="en-NZ"/>
              </w:rPr>
            </w:pPr>
            <w:r w:rsidRPr="00EE6FAC">
              <w:rPr>
                <w:lang w:val="en-NZ"/>
              </w:rPr>
              <w:t>I</w:t>
            </w:r>
            <w:r w:rsidR="0053351A" w:rsidRPr="00EE6FAC">
              <w:rPr>
                <w:lang w:val="en-NZ"/>
              </w:rPr>
              <w:t xml:space="preserve">n terms of the claim process most submissions through the consultation process requested that compliance burdens be kept light and that the process to claim be streamlined, clear and low cost. Feedback also highlighted the need for clear guidance and education material to support firms in making claims. Most submitters were also keen on being able to submit claims via third party software providers provided they would minimise compliance cost and increase the overall efficiency of the scheme. </w:t>
            </w:r>
          </w:p>
          <w:p w:rsidR="001618C7" w:rsidRPr="00EE6FAC" w:rsidRDefault="0097005B" w:rsidP="007910DE">
            <w:pPr>
              <w:pStyle w:val="TableText"/>
              <w:rPr>
                <w:lang w:val="en-NZ"/>
              </w:rPr>
            </w:pPr>
            <w:r w:rsidRPr="00EE6FAC">
              <w:rPr>
                <w:lang w:val="en-NZ"/>
              </w:rPr>
              <w:t xml:space="preserve">Overall, the time for policy implementation is tight. </w:t>
            </w:r>
            <w:r w:rsidR="00143BA3" w:rsidRPr="00EE6FAC">
              <w:rPr>
                <w:lang w:val="en-NZ"/>
              </w:rPr>
              <w:t>IR</w:t>
            </w:r>
            <w:r w:rsidR="0053351A" w:rsidRPr="00EE6FAC">
              <w:rPr>
                <w:lang w:val="en-NZ"/>
              </w:rPr>
              <w:t xml:space="preserve"> has made the foll</w:t>
            </w:r>
            <w:r w:rsidRPr="00EE6FAC">
              <w:rPr>
                <w:lang w:val="en-NZ"/>
              </w:rPr>
              <w:t xml:space="preserve">owing administrative decisions to increase certainty and predictability </w:t>
            </w:r>
            <w:r w:rsidR="005D248F" w:rsidRPr="00EE6FAC">
              <w:rPr>
                <w:lang w:val="en-NZ"/>
              </w:rPr>
              <w:t xml:space="preserve">of support </w:t>
            </w:r>
            <w:r w:rsidRPr="00EE6FAC">
              <w:rPr>
                <w:lang w:val="en-NZ"/>
              </w:rPr>
              <w:t xml:space="preserve">for firms. </w:t>
            </w:r>
          </w:p>
          <w:p w:rsidR="006C7CB7" w:rsidRPr="00EE6FAC" w:rsidRDefault="0053351A" w:rsidP="007910DE">
            <w:pPr>
              <w:pStyle w:val="TableText"/>
              <w:rPr>
                <w:lang w:val="en-NZ"/>
              </w:rPr>
            </w:pPr>
            <w:r w:rsidRPr="00EE6FAC">
              <w:rPr>
                <w:lang w:val="en-NZ"/>
              </w:rPr>
              <w:t xml:space="preserve">In terms of year one of the </w:t>
            </w:r>
            <w:r w:rsidR="00810148" w:rsidRPr="00EE6FAC">
              <w:rPr>
                <w:lang w:val="en-NZ"/>
              </w:rPr>
              <w:t>R&amp;D Tax Incentive</w:t>
            </w:r>
            <w:r w:rsidRPr="00EE6FAC">
              <w:rPr>
                <w:lang w:val="en-NZ"/>
              </w:rPr>
              <w:t xml:space="preserve">, firms will be required to register their interest in applying for the incentive and to file their claims online through </w:t>
            </w:r>
            <w:r w:rsidR="00143BA3" w:rsidRPr="00EE6FAC">
              <w:rPr>
                <w:lang w:val="en-NZ"/>
              </w:rPr>
              <w:t>IR</w:t>
            </w:r>
            <w:r w:rsidRPr="00EE6FAC">
              <w:rPr>
                <w:lang w:val="en-NZ"/>
              </w:rPr>
              <w:t>’s e-service (</w:t>
            </w:r>
            <w:r w:rsidR="0011000A" w:rsidRPr="00EE6FAC">
              <w:rPr>
                <w:lang w:val="en-NZ"/>
              </w:rPr>
              <w:t>my</w:t>
            </w:r>
            <w:r w:rsidRPr="00EE6FAC">
              <w:rPr>
                <w:lang w:val="en-NZ"/>
              </w:rPr>
              <w:t xml:space="preserve">IR) at the end of the tax year. As part of the online claim process firms will be required to </w:t>
            </w:r>
            <w:r w:rsidRPr="00EE6FAC">
              <w:rPr>
                <w:rFonts w:eastAsia="Calibri"/>
                <w:lang w:val="en-NZ"/>
              </w:rPr>
              <w:t xml:space="preserve">submit and upload supporting information that details the R&amp;D activity and expenditure. </w:t>
            </w:r>
            <w:r w:rsidRPr="00EE6FAC">
              <w:rPr>
                <w:lang w:val="en-NZ"/>
              </w:rPr>
              <w:t xml:space="preserve">By year three the intention is to allow R&amp;D returns </w:t>
            </w:r>
            <w:r w:rsidR="0011000A" w:rsidRPr="00EE6FAC">
              <w:rPr>
                <w:lang w:val="en-NZ"/>
              </w:rPr>
              <w:t xml:space="preserve">only </w:t>
            </w:r>
            <w:r w:rsidRPr="00EE6FAC">
              <w:rPr>
                <w:lang w:val="en-NZ"/>
              </w:rPr>
              <w:t xml:space="preserve">from approved accounting software packages. </w:t>
            </w:r>
          </w:p>
          <w:p w:rsidR="000A1C40" w:rsidRPr="00EE6FAC" w:rsidRDefault="000A1C40" w:rsidP="007910DE">
            <w:pPr>
              <w:pStyle w:val="TableText"/>
              <w:rPr>
                <w:lang w:val="en-NZ"/>
              </w:rPr>
            </w:pPr>
            <w:r w:rsidRPr="00EE6FAC">
              <w:rPr>
                <w:lang w:val="en-NZ"/>
              </w:rPr>
              <w:t xml:space="preserve">The goal is to have strong uptake of the incentive by R&amp;D performing firms. Unfamiliarity with the </w:t>
            </w:r>
            <w:r w:rsidR="00A41FAC" w:rsidRPr="00EE6FAC">
              <w:rPr>
                <w:lang w:val="en-NZ"/>
              </w:rPr>
              <w:t>Tax Incentive</w:t>
            </w:r>
            <w:r w:rsidRPr="00EE6FAC">
              <w:rPr>
                <w:lang w:val="en-NZ"/>
              </w:rPr>
              <w:t xml:space="preserve"> and uncertainty about how to apply for it is an acknowledged risk, which might frustrate this goal. In the short term there will be some confusion because there will be multiple Government instruments for supporting business R&amp;D. Growth Grants were referred to above. In addition, there is the R&amp;D tax-loss cash out scheme that already operates within the tax system. It will operate with a separate definition of eligible R&amp;D and firms will have to apply for this separately from applying for the </w:t>
            </w:r>
            <w:r w:rsidR="00A41FAC" w:rsidRPr="00EE6FAC">
              <w:rPr>
                <w:lang w:val="en-NZ"/>
              </w:rPr>
              <w:t>Tax Incentive</w:t>
            </w:r>
            <w:r w:rsidRPr="00EE6FAC">
              <w:rPr>
                <w:lang w:val="en-NZ"/>
              </w:rPr>
              <w:t>. For the first year, the education and guidance material described in 6.1 is the main means of addressing this. A review of the tax</w:t>
            </w:r>
            <w:r w:rsidR="00F1308D">
              <w:rPr>
                <w:lang w:val="en-NZ"/>
              </w:rPr>
              <w:t>-</w:t>
            </w:r>
            <w:r w:rsidRPr="00EE6FAC">
              <w:rPr>
                <w:lang w:val="en-NZ"/>
              </w:rPr>
              <w:t>loss cash</w:t>
            </w:r>
            <w:r w:rsidR="00F1308D">
              <w:rPr>
                <w:lang w:val="en-NZ"/>
              </w:rPr>
              <w:t>-</w:t>
            </w:r>
            <w:r w:rsidRPr="00EE6FAC">
              <w:rPr>
                <w:lang w:val="en-NZ"/>
              </w:rPr>
              <w:t xml:space="preserve">out scheme is scheduled for late 2018/early 2019, the goal being to harmonise this scheme with the </w:t>
            </w:r>
            <w:r w:rsidR="00810148" w:rsidRPr="00EE6FAC">
              <w:rPr>
                <w:lang w:val="en-NZ"/>
              </w:rPr>
              <w:t>R&amp;D Tax Incentive</w:t>
            </w:r>
            <w:r w:rsidRPr="00EE6FAC">
              <w:rPr>
                <w:lang w:val="en-NZ"/>
              </w:rPr>
              <w:t xml:space="preserve">, from Year 2 of the </w:t>
            </w:r>
            <w:r w:rsidR="00A41FAC" w:rsidRPr="00EE6FAC">
              <w:rPr>
                <w:lang w:val="en-NZ"/>
              </w:rPr>
              <w:t>Tax Incentive</w:t>
            </w:r>
            <w:r w:rsidRPr="00EE6FAC">
              <w:rPr>
                <w:lang w:val="en-NZ"/>
              </w:rPr>
              <w:t xml:space="preserve"> (2020/21). Resource and time constraints have meant this could not be achieved any earlier.</w:t>
            </w:r>
          </w:p>
          <w:p w:rsidR="000A1C40" w:rsidRPr="00EE6FAC" w:rsidRDefault="000A1C40" w:rsidP="007910DE">
            <w:pPr>
              <w:pStyle w:val="TableText"/>
              <w:rPr>
                <w:lang w:val="en-NZ"/>
              </w:rPr>
            </w:pPr>
            <w:r w:rsidRPr="00EE6FAC">
              <w:rPr>
                <w:lang w:val="en-NZ"/>
              </w:rPr>
              <w:t xml:space="preserve">Another potential impediment to firms participating in the </w:t>
            </w:r>
            <w:r w:rsidR="00A41FAC" w:rsidRPr="00EE6FAC">
              <w:rPr>
                <w:lang w:val="en-NZ"/>
              </w:rPr>
              <w:t>Tax Incentive</w:t>
            </w:r>
            <w:r w:rsidRPr="00EE6FAC">
              <w:rPr>
                <w:lang w:val="en-NZ"/>
              </w:rPr>
              <w:t xml:space="preserve"> is the experience from 2008 when a similar scheme was introduced but then closed after one year. The design of the </w:t>
            </w:r>
            <w:r w:rsidR="00A41FAC" w:rsidRPr="00EE6FAC">
              <w:rPr>
                <w:lang w:val="en-NZ"/>
              </w:rPr>
              <w:t>Tax Incentive</w:t>
            </w:r>
            <w:r w:rsidRPr="00EE6FAC">
              <w:rPr>
                <w:lang w:val="en-NZ"/>
              </w:rPr>
              <w:t xml:space="preserve"> has been motivated by three objectives: promotion of R&amp;D, management of fiscal risks</w:t>
            </w:r>
            <w:r w:rsidR="00F1308D">
              <w:rPr>
                <w:lang w:val="en-NZ"/>
              </w:rPr>
              <w:t>,</w:t>
            </w:r>
            <w:r w:rsidRPr="00EE6FAC">
              <w:rPr>
                <w:lang w:val="en-NZ"/>
              </w:rPr>
              <w:t xml:space="preserve"> and maintaining integrity of the tax system. Keeping a focus on all three of these objectives gives the best chance of creating an enduring scheme.</w:t>
            </w:r>
            <w:r w:rsidR="00A514AC" w:rsidRPr="00EE6FAC">
              <w:rPr>
                <w:lang w:val="en-NZ"/>
              </w:rPr>
              <w:t xml:space="preserve"> </w:t>
            </w:r>
          </w:p>
          <w:p w:rsidR="000A1C40" w:rsidRPr="00EE6FAC" w:rsidRDefault="000A1C40" w:rsidP="007910DE">
            <w:pPr>
              <w:pStyle w:val="TableText"/>
              <w:rPr>
                <w:lang w:val="en-NZ"/>
              </w:rPr>
            </w:pPr>
            <w:r w:rsidRPr="00EE6FAC">
              <w:rPr>
                <w:lang w:val="en-NZ"/>
              </w:rPr>
              <w:t>Implementation risks arise where firms recharacterise non-R&amp;D expenditure as R&amp;D in order to claim a larger incentive. The policy and legislation has been developed to manage this risk (though it cannot be eliminated). Mechanisms include: the definition of eligible R&amp;D activity, the lists of eligible and non-eligible expenditure</w:t>
            </w:r>
            <w:r w:rsidR="00F1308D">
              <w:rPr>
                <w:lang w:val="en-NZ"/>
              </w:rPr>
              <w:t>,</w:t>
            </w:r>
            <w:r w:rsidRPr="00EE6FAC">
              <w:rPr>
                <w:lang w:val="en-NZ"/>
              </w:rPr>
              <w:t xml:space="preserve"> and the various integrity measures described in section 7.1. This will be backed up by administrative processes, such as in-year approval of the R&amp;D (likely to be from 2020/21) and a</w:t>
            </w:r>
            <w:r w:rsidR="00E46A4C" w:rsidRPr="00EE6FAC">
              <w:rPr>
                <w:lang w:val="en-NZ"/>
              </w:rPr>
              <w:t>udit.</w:t>
            </w:r>
          </w:p>
          <w:p w:rsidR="001618C7" w:rsidRPr="00EE6FAC" w:rsidRDefault="001618C7" w:rsidP="0025097C">
            <w:pPr>
              <w:pStyle w:val="Heading2"/>
            </w:pPr>
            <w:r w:rsidRPr="00EE6FAC">
              <w:t xml:space="preserve">Successful uptake of the R&amp;D Tax Incentive </w:t>
            </w:r>
          </w:p>
          <w:p w:rsidR="006C7CB7" w:rsidRPr="00EE6FAC" w:rsidRDefault="006C7CB7" w:rsidP="007910DE">
            <w:pPr>
              <w:pStyle w:val="TableText"/>
              <w:rPr>
                <w:rFonts w:cs="Calibri"/>
                <w:lang w:val="en-NZ"/>
              </w:rPr>
            </w:pPr>
            <w:r w:rsidRPr="00EE6FAC">
              <w:rPr>
                <w:lang w:val="en-NZ"/>
              </w:rPr>
              <w:t xml:space="preserve">To ensure the successful implementation of the </w:t>
            </w:r>
            <w:r w:rsidR="00810148" w:rsidRPr="00EE6FAC">
              <w:rPr>
                <w:lang w:val="en-NZ"/>
              </w:rPr>
              <w:t>R&amp;D Tax Incentive</w:t>
            </w:r>
            <w:r w:rsidRPr="00EE6FAC">
              <w:rPr>
                <w:lang w:val="en-NZ"/>
              </w:rPr>
              <w:t xml:space="preserve"> there needs to be strong uptake of it by R&amp;D performing businesses. </w:t>
            </w:r>
            <w:r w:rsidR="0025097C" w:rsidRPr="00EE6FAC">
              <w:rPr>
                <w:lang w:val="en-NZ"/>
              </w:rPr>
              <w:t>T</w:t>
            </w:r>
            <w:r w:rsidRPr="00EE6FAC">
              <w:rPr>
                <w:lang w:val="en-NZ"/>
              </w:rPr>
              <w:t xml:space="preserve">he submission process has shown that there is a lack of awareness of the benefits of the scheme and some of the design features within it. Specifically, there was confusion about the credit in comparison with the Growth Grants, concern about the lack of support for start-ups and businesses in tax loss, and concern that software businesses may be excluded from the scheme. </w:t>
            </w:r>
          </w:p>
          <w:p w:rsidR="00AF19D9" w:rsidRPr="00EE6FAC" w:rsidRDefault="00F1308D" w:rsidP="00587F15">
            <w:pPr>
              <w:pStyle w:val="TableText"/>
              <w:rPr>
                <w:lang w:val="en-NZ"/>
              </w:rPr>
            </w:pPr>
            <w:r>
              <w:rPr>
                <w:lang w:val="en-NZ"/>
              </w:rPr>
              <w:t xml:space="preserve">To address these issues, </w:t>
            </w:r>
            <w:r w:rsidR="006C7CB7" w:rsidRPr="00EE6FAC">
              <w:rPr>
                <w:lang w:val="en-NZ"/>
              </w:rPr>
              <w:t xml:space="preserve">officials from MBIE, </w:t>
            </w:r>
            <w:r w:rsidR="00143BA3" w:rsidRPr="00EE6FAC">
              <w:rPr>
                <w:lang w:val="en-NZ"/>
              </w:rPr>
              <w:t>IR</w:t>
            </w:r>
            <w:r w:rsidR="006C7CB7" w:rsidRPr="00EE6FAC">
              <w:rPr>
                <w:lang w:val="en-NZ"/>
              </w:rPr>
              <w:t xml:space="preserve"> and Callaghan Innovation are developing an implementation strategy to ensure there is widespread awareness and understanding of the </w:t>
            </w:r>
            <w:r w:rsidR="00810148" w:rsidRPr="00EE6FAC">
              <w:rPr>
                <w:lang w:val="en-NZ"/>
              </w:rPr>
              <w:t>R&amp;D Tax Incentive</w:t>
            </w:r>
            <w:r w:rsidR="006C7CB7" w:rsidRPr="00EE6FAC">
              <w:rPr>
                <w:lang w:val="en-NZ"/>
              </w:rPr>
              <w:t xml:space="preserve"> before its implementation date in April 2019. Part of this process will be the development of guidelines which will sit alongside the tax legislation to inform businesses of the </w:t>
            </w:r>
            <w:r w:rsidR="00587F15" w:rsidRPr="00EE6FAC">
              <w:rPr>
                <w:lang w:val="en-NZ"/>
              </w:rPr>
              <w:t xml:space="preserve">detailed parameters of scheme. </w:t>
            </w:r>
          </w:p>
        </w:tc>
      </w:tr>
    </w:tbl>
    <w:p w:rsidR="0062657E" w:rsidRPr="00EE6FAC" w:rsidRDefault="0062657E" w:rsidP="00B9498A">
      <w:pPr>
        <w:pStyle w:val="Heading4"/>
        <w:rPr>
          <w:rFonts w:cs="Arial"/>
          <w:b w:val="0"/>
          <w:color w:val="0082AB"/>
          <w:spacing w:val="20"/>
          <w:w w:val="90"/>
          <w:sz w:val="32"/>
          <w:szCs w:val="24"/>
          <w:lang w:val="en-NZ"/>
        </w:rPr>
      </w:pPr>
      <w:r w:rsidRPr="00EE6FAC">
        <w:rPr>
          <w:rFonts w:cs="Arial"/>
          <w:lang w:val="en-NZ" w:eastAsia="en-AU"/>
        </w:rPr>
        <w:br w:type="page"/>
      </w:r>
      <w:r w:rsidRPr="00EE6FAC">
        <w:rPr>
          <w:bCs w:val="0"/>
          <w:color w:val="0082AB"/>
          <w:spacing w:val="20"/>
          <w:w w:val="90"/>
          <w:sz w:val="24"/>
          <w:szCs w:val="24"/>
          <w:lang w:val="en-NZ"/>
        </w:rPr>
        <w:t>Section 7:</w:t>
      </w:r>
      <w:r w:rsidR="00A514AC" w:rsidRPr="00EE6FAC">
        <w:rPr>
          <w:bCs w:val="0"/>
          <w:color w:val="0082AB"/>
          <w:spacing w:val="20"/>
          <w:w w:val="90"/>
          <w:sz w:val="24"/>
          <w:szCs w:val="24"/>
          <w:lang w:val="en-NZ"/>
        </w:rPr>
        <w:t xml:space="preserve"> </w:t>
      </w:r>
      <w:r w:rsidRPr="00EE6FAC">
        <w:rPr>
          <w:bCs w:val="0"/>
          <w:color w:val="0082AB"/>
          <w:spacing w:val="20"/>
          <w:w w:val="90"/>
          <w:sz w:val="24"/>
          <w:szCs w:val="24"/>
          <w:lang w:val="en-NZ"/>
        </w:rPr>
        <w:t>Monitoring, evaluation and review</w:t>
      </w:r>
    </w:p>
    <w:tbl>
      <w:tblPr>
        <w:tblW w:w="9048" w:type="dxa"/>
        <w:tblInd w:w="-5" w:type="dxa"/>
        <w:tblLook w:val="0480" w:firstRow="0" w:lastRow="0" w:firstColumn="1" w:lastColumn="0" w:noHBand="0" w:noVBand="1"/>
      </w:tblPr>
      <w:tblGrid>
        <w:gridCol w:w="9048"/>
      </w:tblGrid>
      <w:tr w:rsidR="0049467D" w:rsidRPr="00EE6FAC" w:rsidTr="004A11FC">
        <w:trPr>
          <w:trHeight w:val="206"/>
        </w:trPr>
        <w:tc>
          <w:tcPr>
            <w:tcW w:w="9048" w:type="dxa"/>
            <w:tcBorders>
              <w:top w:val="single" w:sz="4" w:space="0" w:color="auto"/>
              <w:left w:val="single" w:sz="4" w:space="0" w:color="auto"/>
              <w:bottom w:val="single" w:sz="4" w:space="0" w:color="auto"/>
              <w:right w:val="single" w:sz="4" w:space="0" w:color="auto"/>
            </w:tcBorders>
            <w:shd w:val="clear" w:color="auto" w:fill="99CDDD"/>
          </w:tcPr>
          <w:p w:rsidR="0062657E" w:rsidRPr="00EE6FAC" w:rsidRDefault="0062657E" w:rsidP="00DF2E7B">
            <w:pPr>
              <w:spacing w:before="60" w:after="60" w:line="240" w:lineRule="auto"/>
              <w:jc w:val="both"/>
              <w:rPr>
                <w:rFonts w:cs="Arial"/>
                <w:b/>
                <w:szCs w:val="22"/>
                <w:lang w:val="en-NZ" w:eastAsia="en-AU"/>
              </w:rPr>
            </w:pPr>
            <w:r w:rsidRPr="00EE6FAC">
              <w:rPr>
                <w:rFonts w:cs="Arial"/>
                <w:b/>
                <w:szCs w:val="22"/>
                <w:lang w:val="en-NZ" w:eastAsia="en-AU"/>
              </w:rPr>
              <w:br w:type="page"/>
              <w:t>7.1</w:t>
            </w:r>
            <w:r w:rsidR="00A514AC" w:rsidRPr="00EE6FAC">
              <w:rPr>
                <w:rFonts w:cs="Arial"/>
                <w:b/>
                <w:szCs w:val="22"/>
                <w:lang w:val="en-NZ" w:eastAsia="en-AU"/>
              </w:rPr>
              <w:t xml:space="preserve"> </w:t>
            </w:r>
            <w:r w:rsidRPr="00EE6FAC">
              <w:rPr>
                <w:rFonts w:cs="Arial"/>
                <w:b/>
                <w:szCs w:val="22"/>
                <w:lang w:val="en-NZ" w:eastAsia="en-AU"/>
              </w:rPr>
              <w:t>How will the impact of the new arrangements be monitored?</w:t>
            </w:r>
          </w:p>
        </w:tc>
      </w:tr>
      <w:tr w:rsidR="0049467D" w:rsidRPr="00EE6FAC" w:rsidTr="00384E9B">
        <w:trPr>
          <w:trHeight w:val="3573"/>
        </w:trPr>
        <w:tc>
          <w:tcPr>
            <w:tcW w:w="9048" w:type="dxa"/>
            <w:tcBorders>
              <w:top w:val="single" w:sz="4" w:space="0" w:color="auto"/>
              <w:left w:val="single" w:sz="4" w:space="0" w:color="auto"/>
              <w:bottom w:val="single" w:sz="4" w:space="0" w:color="auto"/>
              <w:right w:val="single" w:sz="4" w:space="0" w:color="auto"/>
            </w:tcBorders>
            <w:shd w:val="clear" w:color="auto" w:fill="FFFFFF"/>
          </w:tcPr>
          <w:p w:rsidR="0062657E" w:rsidRPr="00EE6FAC" w:rsidRDefault="00032E54" w:rsidP="00587F15">
            <w:pPr>
              <w:pStyle w:val="TableText"/>
              <w:rPr>
                <w:u w:val="single"/>
                <w:lang w:val="en-NZ"/>
              </w:rPr>
            </w:pPr>
            <w:r w:rsidRPr="00EE6FAC">
              <w:rPr>
                <w:u w:val="single"/>
                <w:lang w:val="en-NZ"/>
              </w:rPr>
              <w:t xml:space="preserve">System-level monitoring </w:t>
            </w:r>
          </w:p>
          <w:p w:rsidR="00032E54" w:rsidRPr="00EE6FAC" w:rsidRDefault="00B0424A" w:rsidP="00587F15">
            <w:pPr>
              <w:pStyle w:val="TableText"/>
              <w:rPr>
                <w:lang w:val="en-NZ"/>
              </w:rPr>
            </w:pPr>
            <w:r w:rsidRPr="00EE6FAC">
              <w:rPr>
                <w:lang w:val="en-NZ"/>
              </w:rPr>
              <w:t xml:space="preserve">System-level monitoring will take place as part of the Research, Science and Innovation portfolio (e.g. through publication of the annual System Performance Report). </w:t>
            </w:r>
          </w:p>
          <w:p w:rsidR="00032E54" w:rsidRPr="00EE6FAC" w:rsidRDefault="00032E54" w:rsidP="00587F15">
            <w:pPr>
              <w:pStyle w:val="TableText"/>
              <w:rPr>
                <w:u w:val="single"/>
                <w:lang w:val="en-NZ"/>
              </w:rPr>
            </w:pPr>
            <w:r w:rsidRPr="00EE6FAC">
              <w:rPr>
                <w:u w:val="single"/>
                <w:lang w:val="en-NZ"/>
              </w:rPr>
              <w:t>Evaluation and data collection</w:t>
            </w:r>
          </w:p>
          <w:p w:rsidR="00032E54" w:rsidRPr="00EE6FAC" w:rsidRDefault="00032E54" w:rsidP="00587F15">
            <w:pPr>
              <w:pStyle w:val="TableText"/>
              <w:rPr>
                <w:lang w:val="en-NZ"/>
              </w:rPr>
            </w:pPr>
            <w:r w:rsidRPr="00EE6FAC">
              <w:rPr>
                <w:lang w:val="en-NZ"/>
              </w:rPr>
              <w:t>Officials have recommended</w:t>
            </w:r>
            <w:r w:rsidR="009A3A99" w:rsidRPr="00EE6FAC">
              <w:rPr>
                <w:lang w:val="en-NZ"/>
              </w:rPr>
              <w:t xml:space="preserve"> </w:t>
            </w:r>
            <w:r w:rsidR="000B3741" w:rsidRPr="00EE6FAC">
              <w:rPr>
                <w:lang w:val="en-NZ"/>
              </w:rPr>
              <w:t>including</w:t>
            </w:r>
            <w:r w:rsidRPr="00EE6FAC">
              <w:rPr>
                <w:lang w:val="en-NZ"/>
              </w:rPr>
              <w:t xml:space="preserve"> a legislative requirement that </w:t>
            </w:r>
            <w:r w:rsidR="00C8097A" w:rsidRPr="00EE6FAC">
              <w:rPr>
                <w:lang w:val="en-NZ"/>
              </w:rPr>
              <w:t xml:space="preserve">the </w:t>
            </w:r>
            <w:r w:rsidRPr="00EE6FAC">
              <w:rPr>
                <w:lang w:val="en-NZ"/>
              </w:rPr>
              <w:t xml:space="preserve">government commission an evaluation on the </w:t>
            </w:r>
            <w:r w:rsidR="00810148" w:rsidRPr="00EE6FAC">
              <w:rPr>
                <w:lang w:val="en-NZ"/>
              </w:rPr>
              <w:t>R&amp;D Tax Incentive</w:t>
            </w:r>
            <w:r w:rsidRPr="00EE6FAC">
              <w:rPr>
                <w:lang w:val="en-NZ"/>
              </w:rPr>
              <w:t xml:space="preserve"> every five years from the commencement of the scheme.</w:t>
            </w:r>
          </w:p>
          <w:p w:rsidR="00CD3096" w:rsidRPr="00EE6FAC" w:rsidRDefault="00B0424A" w:rsidP="00587F15">
            <w:pPr>
              <w:pStyle w:val="TableText"/>
              <w:rPr>
                <w:lang w:val="en-NZ"/>
              </w:rPr>
            </w:pPr>
            <w:r w:rsidRPr="00EE6FAC">
              <w:rPr>
                <w:lang w:val="en-NZ"/>
              </w:rPr>
              <w:t xml:space="preserve">Statistics New Zealand runs a business R&amp;D survey every two years, </w:t>
            </w:r>
            <w:r w:rsidR="00CD3096" w:rsidRPr="00EE6FAC">
              <w:rPr>
                <w:lang w:val="en-NZ"/>
              </w:rPr>
              <w:t xml:space="preserve">and </w:t>
            </w:r>
            <w:r w:rsidR="006A2809">
              <w:rPr>
                <w:lang w:val="en-NZ"/>
              </w:rPr>
              <w:t>MBIE is</w:t>
            </w:r>
            <w:r w:rsidR="00CD3096" w:rsidRPr="00EE6FAC">
              <w:rPr>
                <w:lang w:val="en-NZ"/>
              </w:rPr>
              <w:t xml:space="preserve"> currently </w:t>
            </w:r>
            <w:r w:rsidR="006A2809">
              <w:rPr>
                <w:lang w:val="en-NZ"/>
              </w:rPr>
              <w:t xml:space="preserve">working with Statistics New Zealand </w:t>
            </w:r>
            <w:r w:rsidR="00CD3096" w:rsidRPr="00EE6FAC">
              <w:rPr>
                <w:lang w:val="en-NZ"/>
              </w:rPr>
              <w:t>to increase the fre</w:t>
            </w:r>
            <w:r w:rsidR="00FB7071" w:rsidRPr="00EE6FAC">
              <w:rPr>
                <w:lang w:val="en-NZ"/>
              </w:rPr>
              <w:t xml:space="preserve">quency </w:t>
            </w:r>
            <w:r w:rsidR="006A2809">
              <w:rPr>
                <w:lang w:val="en-NZ"/>
              </w:rPr>
              <w:t xml:space="preserve">of this survey </w:t>
            </w:r>
            <w:r w:rsidR="006A2809" w:rsidRPr="00EE6FAC">
              <w:rPr>
                <w:lang w:val="en-NZ"/>
              </w:rPr>
              <w:t>to annual</w:t>
            </w:r>
            <w:r w:rsidR="006A2809">
              <w:rPr>
                <w:lang w:val="en-NZ"/>
              </w:rPr>
              <w:t xml:space="preserve"> from 2019</w:t>
            </w:r>
            <w:r w:rsidR="00CD3096" w:rsidRPr="00EE6FAC">
              <w:rPr>
                <w:lang w:val="en-NZ"/>
              </w:rPr>
              <w:t xml:space="preserve">. </w:t>
            </w:r>
            <w:r w:rsidR="00FB7071" w:rsidRPr="00EE6FAC">
              <w:rPr>
                <w:lang w:val="en-NZ"/>
              </w:rPr>
              <w:t xml:space="preserve">This </w:t>
            </w:r>
            <w:r w:rsidR="00032E54" w:rsidRPr="00EE6FAC">
              <w:rPr>
                <w:lang w:val="en-NZ"/>
              </w:rPr>
              <w:t xml:space="preserve">will </w:t>
            </w:r>
            <w:r w:rsidRPr="00EE6FAC">
              <w:rPr>
                <w:lang w:val="en-NZ"/>
              </w:rPr>
              <w:t xml:space="preserve">provide </w:t>
            </w:r>
            <w:r w:rsidR="00FB7071" w:rsidRPr="00EE6FAC">
              <w:rPr>
                <w:lang w:val="en-NZ"/>
              </w:rPr>
              <w:t xml:space="preserve">the official </w:t>
            </w:r>
            <w:r w:rsidRPr="00EE6FAC">
              <w:rPr>
                <w:lang w:val="en-NZ"/>
              </w:rPr>
              <w:t xml:space="preserve">information required to assess the impact of </w:t>
            </w:r>
            <w:r w:rsidR="009A3A99" w:rsidRPr="00EE6FAC">
              <w:rPr>
                <w:lang w:val="en-NZ"/>
              </w:rPr>
              <w:t xml:space="preserve">the </w:t>
            </w:r>
            <w:r w:rsidR="00FB7071" w:rsidRPr="00EE6FAC">
              <w:rPr>
                <w:lang w:val="en-NZ"/>
              </w:rPr>
              <w:t>R&amp;D Tax Incentive</w:t>
            </w:r>
            <w:r w:rsidR="009A3A99" w:rsidRPr="00EE6FAC">
              <w:rPr>
                <w:lang w:val="en-NZ"/>
              </w:rPr>
              <w:t xml:space="preserve">. </w:t>
            </w:r>
          </w:p>
          <w:p w:rsidR="00CD3096" w:rsidRPr="00EE6FAC" w:rsidRDefault="000A1C40" w:rsidP="00587F15">
            <w:pPr>
              <w:pStyle w:val="TableText"/>
              <w:rPr>
                <w:lang w:val="en-NZ"/>
              </w:rPr>
            </w:pPr>
            <w:r w:rsidRPr="00EE6FAC">
              <w:rPr>
                <w:lang w:val="en-NZ"/>
              </w:rPr>
              <w:t>It has also been</w:t>
            </w:r>
            <w:r w:rsidR="009A3A99" w:rsidRPr="00EE6FAC">
              <w:rPr>
                <w:lang w:val="en-NZ"/>
              </w:rPr>
              <w:t xml:space="preserve"> recommended that </w:t>
            </w:r>
            <w:r w:rsidR="00143BA3" w:rsidRPr="00EE6FAC">
              <w:rPr>
                <w:lang w:val="en-NZ"/>
              </w:rPr>
              <w:t>IR</w:t>
            </w:r>
            <w:r w:rsidR="00032E54" w:rsidRPr="00EE6FAC">
              <w:rPr>
                <w:lang w:val="en-NZ"/>
              </w:rPr>
              <w:t xml:space="preserve"> have the ability to make taxpayer-specific information in relation to R&amp;D Tax Incentive claims available to MBIE, Treasury and Callaghan Innovation officials to support evaluatio</w:t>
            </w:r>
            <w:r w:rsidR="000B3741" w:rsidRPr="00EE6FAC">
              <w:rPr>
                <w:lang w:val="en-NZ"/>
              </w:rPr>
              <w:t xml:space="preserve">n and policy development. </w:t>
            </w:r>
            <w:r w:rsidRPr="00EE6FAC">
              <w:rPr>
                <w:lang w:val="en-NZ"/>
              </w:rPr>
              <w:t>In addition, it</w:t>
            </w:r>
            <w:r w:rsidR="000B3741" w:rsidRPr="00EE6FAC">
              <w:rPr>
                <w:lang w:val="en-NZ"/>
              </w:rPr>
              <w:t xml:space="preserve"> is</w:t>
            </w:r>
            <w:r w:rsidR="00032E54" w:rsidRPr="00EE6FAC">
              <w:rPr>
                <w:lang w:val="en-NZ"/>
              </w:rPr>
              <w:t xml:space="preserve"> proposed that</w:t>
            </w:r>
            <w:r w:rsidRPr="00EE6FAC">
              <w:rPr>
                <w:lang w:val="en-NZ"/>
              </w:rPr>
              <w:t xml:space="preserve"> anonymised</w:t>
            </w:r>
            <w:r w:rsidR="00032E54" w:rsidRPr="00EE6FAC">
              <w:rPr>
                <w:lang w:val="en-NZ"/>
              </w:rPr>
              <w:t xml:space="preserve"> claim information be integrated into Statistics New Zealand Longitudinal Business Database (LBD) and the National Research Information System (NRIS).</w:t>
            </w:r>
            <w:r w:rsidR="00CD3096" w:rsidRPr="00EE6FAC">
              <w:rPr>
                <w:lang w:val="en-NZ"/>
              </w:rPr>
              <w:t xml:space="preserve"> This will allow researchers and evaluators to use data from the R&amp;D Tax Incentive </w:t>
            </w:r>
            <w:r w:rsidR="00FB7071" w:rsidRPr="00EE6FAC">
              <w:rPr>
                <w:lang w:val="en-NZ"/>
              </w:rPr>
              <w:t xml:space="preserve">to monitor the impact </w:t>
            </w:r>
            <w:r w:rsidR="00DF7CED" w:rsidRPr="00EE6FAC">
              <w:rPr>
                <w:lang w:val="en-NZ"/>
              </w:rPr>
              <w:t>m</w:t>
            </w:r>
            <w:r w:rsidR="00FB7071" w:rsidRPr="00EE6FAC">
              <w:rPr>
                <w:lang w:val="en-NZ"/>
              </w:rPr>
              <w:t>or</w:t>
            </w:r>
            <w:r w:rsidR="00DF7CED" w:rsidRPr="00EE6FAC">
              <w:rPr>
                <w:lang w:val="en-NZ"/>
              </w:rPr>
              <w:t>e</w:t>
            </w:r>
            <w:r w:rsidR="00FB7071" w:rsidRPr="00EE6FAC">
              <w:rPr>
                <w:lang w:val="en-NZ"/>
              </w:rPr>
              <w:t xml:space="preserve"> frequently</w:t>
            </w:r>
            <w:r w:rsidR="00CD3096" w:rsidRPr="00EE6FAC">
              <w:rPr>
                <w:lang w:val="en-NZ"/>
              </w:rPr>
              <w:t xml:space="preserve"> than </w:t>
            </w:r>
            <w:r w:rsidR="00FB7071" w:rsidRPr="00EE6FAC">
              <w:rPr>
                <w:lang w:val="en-NZ"/>
              </w:rPr>
              <w:t xml:space="preserve">using the </w:t>
            </w:r>
            <w:r w:rsidR="00CD3096" w:rsidRPr="00EE6FAC">
              <w:rPr>
                <w:lang w:val="en-NZ"/>
              </w:rPr>
              <w:t xml:space="preserve">R&amp;D </w:t>
            </w:r>
            <w:r w:rsidR="00FB7071" w:rsidRPr="00EE6FAC">
              <w:rPr>
                <w:lang w:val="en-NZ"/>
              </w:rPr>
              <w:t>S</w:t>
            </w:r>
            <w:r w:rsidR="00CD3096" w:rsidRPr="00EE6FAC">
              <w:rPr>
                <w:lang w:val="en-NZ"/>
              </w:rPr>
              <w:t xml:space="preserve">urvey results (albeit R&amp;D </w:t>
            </w:r>
            <w:r w:rsidR="00FB7071" w:rsidRPr="00EE6FAC">
              <w:rPr>
                <w:lang w:val="en-NZ"/>
              </w:rPr>
              <w:t>S</w:t>
            </w:r>
            <w:r w:rsidR="00CD3096" w:rsidRPr="00EE6FAC">
              <w:rPr>
                <w:lang w:val="en-NZ"/>
              </w:rPr>
              <w:t xml:space="preserve">urvey </w:t>
            </w:r>
            <w:r w:rsidR="00FB7071" w:rsidRPr="00EE6FAC">
              <w:rPr>
                <w:lang w:val="en-NZ"/>
              </w:rPr>
              <w:t xml:space="preserve">provides </w:t>
            </w:r>
            <w:r w:rsidR="00CD3096" w:rsidRPr="00EE6FAC">
              <w:rPr>
                <w:lang w:val="en-NZ"/>
              </w:rPr>
              <w:t>the official statistic</w:t>
            </w:r>
            <w:r w:rsidR="00FB7071" w:rsidRPr="00EE6FAC">
              <w:rPr>
                <w:lang w:val="en-NZ"/>
              </w:rPr>
              <w:t>s</w:t>
            </w:r>
            <w:r w:rsidR="00CD3096" w:rsidRPr="00EE6FAC">
              <w:rPr>
                <w:lang w:val="en-NZ"/>
              </w:rPr>
              <w:t>)</w:t>
            </w:r>
            <w:r w:rsidR="00FB7071" w:rsidRPr="00EE6FAC">
              <w:rPr>
                <w:lang w:val="en-NZ"/>
              </w:rPr>
              <w:t>.</w:t>
            </w:r>
          </w:p>
          <w:p w:rsidR="000A1C40" w:rsidRPr="00EE6FAC" w:rsidRDefault="0025097C" w:rsidP="009D70E9">
            <w:pPr>
              <w:pStyle w:val="TableText"/>
              <w:tabs>
                <w:tab w:val="left" w:pos="2835"/>
              </w:tabs>
              <w:rPr>
                <w:u w:val="single"/>
                <w:lang w:val="en-NZ"/>
              </w:rPr>
            </w:pPr>
            <w:r w:rsidRPr="00EE6FAC">
              <w:rPr>
                <w:u w:val="single"/>
                <w:lang w:val="en-NZ"/>
              </w:rPr>
              <w:t>Integrity measures</w:t>
            </w:r>
          </w:p>
          <w:p w:rsidR="0062657E" w:rsidRPr="00EE6FAC" w:rsidRDefault="000A1C40" w:rsidP="006A2809">
            <w:pPr>
              <w:pStyle w:val="TableText"/>
              <w:rPr>
                <w:rFonts w:cs="Arial"/>
                <w:szCs w:val="20"/>
                <w:lang w:val="en-NZ" w:eastAsia="en-GB"/>
              </w:rPr>
            </w:pPr>
            <w:r w:rsidRPr="00EE6FAC">
              <w:rPr>
                <w:rFonts w:cs="Arial"/>
                <w:szCs w:val="20"/>
                <w:lang w:val="en-NZ" w:eastAsia="en-GB"/>
              </w:rPr>
              <w:t>Various measures are proposed to enhance the integrity of the scheme. Collection and dissemination of data, as described above, forms part of these. In addition, the names and the amounts of tax incentive received will be published, because it is considered that there could be public interest in who the recipients are and how much they are receiving. This data will be published with a two</w:t>
            </w:r>
            <w:r w:rsidR="006A2809">
              <w:rPr>
                <w:rFonts w:cs="Arial"/>
                <w:szCs w:val="20"/>
                <w:lang w:val="en-NZ" w:eastAsia="en-GB"/>
              </w:rPr>
              <w:t>-</w:t>
            </w:r>
            <w:r w:rsidRPr="00EE6FAC">
              <w:rPr>
                <w:rFonts w:cs="Arial"/>
                <w:szCs w:val="20"/>
                <w:lang w:val="en-NZ" w:eastAsia="en-GB"/>
              </w:rPr>
              <w:t>year lag so as to not reveal the extent of firms’ current R&amp;D activity</w:t>
            </w:r>
            <w:r w:rsidR="006A2809">
              <w:rPr>
                <w:rFonts w:cs="Arial"/>
                <w:szCs w:val="20"/>
                <w:lang w:val="en-NZ" w:eastAsia="en-GB"/>
              </w:rPr>
              <w:t>,</w:t>
            </w:r>
            <w:r w:rsidRPr="00EE6FAC">
              <w:rPr>
                <w:rFonts w:cs="Arial"/>
                <w:szCs w:val="20"/>
                <w:lang w:val="en-NZ" w:eastAsia="en-GB"/>
              </w:rPr>
              <w:t xml:space="preserve"> which might be commercially sensitive. Some firms considered publication of the amount of the tax incentive would breach their rights to taxpayer secrecy. Officials do not agree, but as a compromise the amount of the incentive will be presented in band</w:t>
            </w:r>
            <w:r w:rsidR="00EE6FAC" w:rsidRPr="00EE6FAC">
              <w:rPr>
                <w:rFonts w:cs="Arial"/>
                <w:szCs w:val="20"/>
                <w:lang w:val="en-NZ" w:eastAsia="en-GB"/>
              </w:rPr>
              <w:t>s rather than the exact amount.</w:t>
            </w:r>
          </w:p>
        </w:tc>
      </w:tr>
    </w:tbl>
    <w:p w:rsidR="0062657E" w:rsidRPr="00EE6FAC" w:rsidRDefault="0062657E" w:rsidP="0049234F">
      <w:pPr>
        <w:pStyle w:val="spacer"/>
        <w:rPr>
          <w:lang w:val="en-NZ"/>
        </w:rPr>
      </w:pP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48"/>
      </w:tblGrid>
      <w:tr w:rsidR="0049467D" w:rsidRPr="00EE6FAC" w:rsidTr="004A11FC">
        <w:trPr>
          <w:trHeight w:val="296"/>
        </w:trPr>
        <w:tc>
          <w:tcPr>
            <w:tcW w:w="9048" w:type="dxa"/>
            <w:shd w:val="clear" w:color="auto" w:fill="99CDDD"/>
          </w:tcPr>
          <w:p w:rsidR="0062657E" w:rsidRPr="00EE6FAC" w:rsidRDefault="0062657E" w:rsidP="00DF2E7B">
            <w:pPr>
              <w:spacing w:before="60" w:after="60" w:line="240" w:lineRule="auto"/>
              <w:jc w:val="both"/>
              <w:rPr>
                <w:rFonts w:cs="Arial"/>
                <w:b/>
                <w:szCs w:val="22"/>
                <w:lang w:val="en-NZ" w:eastAsia="en-AU"/>
              </w:rPr>
            </w:pPr>
            <w:r w:rsidRPr="00EE6FAC">
              <w:rPr>
                <w:rFonts w:cs="Arial"/>
                <w:b/>
                <w:szCs w:val="22"/>
                <w:lang w:val="en-NZ" w:eastAsia="en-AU"/>
              </w:rPr>
              <w:br w:type="page"/>
              <w:t>7.2</w:t>
            </w:r>
            <w:r w:rsidR="00A514AC" w:rsidRPr="00EE6FAC">
              <w:rPr>
                <w:rFonts w:cs="Arial"/>
                <w:b/>
                <w:szCs w:val="22"/>
                <w:lang w:val="en-NZ" w:eastAsia="en-AU"/>
              </w:rPr>
              <w:t xml:space="preserve"> </w:t>
            </w:r>
            <w:r w:rsidRPr="00EE6FAC">
              <w:rPr>
                <w:rFonts w:cs="Arial"/>
                <w:b/>
                <w:szCs w:val="22"/>
                <w:lang w:val="en-NZ" w:eastAsia="en-AU"/>
              </w:rPr>
              <w:t xml:space="preserve">When and how will the new arrangements be reviewed? </w:t>
            </w:r>
          </w:p>
        </w:tc>
      </w:tr>
      <w:tr w:rsidR="0049467D" w:rsidRPr="00EE6FAC" w:rsidTr="00EE6FAC">
        <w:trPr>
          <w:trHeight w:val="458"/>
        </w:trPr>
        <w:tc>
          <w:tcPr>
            <w:tcW w:w="9048" w:type="dxa"/>
            <w:shd w:val="clear" w:color="auto" w:fill="FFFFFF"/>
          </w:tcPr>
          <w:p w:rsidR="000B3741" w:rsidRPr="00EE6FAC" w:rsidRDefault="000B3741" w:rsidP="00587F15">
            <w:pPr>
              <w:pStyle w:val="TableText"/>
              <w:rPr>
                <w:lang w:val="en-NZ"/>
              </w:rPr>
            </w:pPr>
            <w:r w:rsidRPr="00EE6FAC">
              <w:rPr>
                <w:lang w:val="en-NZ"/>
              </w:rPr>
              <w:t xml:space="preserve">In addition </w:t>
            </w:r>
            <w:r w:rsidR="00035104" w:rsidRPr="00EE6FAC">
              <w:rPr>
                <w:lang w:val="en-NZ"/>
              </w:rPr>
              <w:t xml:space="preserve">to </w:t>
            </w:r>
            <w:r w:rsidRPr="00EE6FAC">
              <w:rPr>
                <w:lang w:val="en-NZ"/>
              </w:rPr>
              <w:t>th</w:t>
            </w:r>
            <w:r w:rsidR="00035104" w:rsidRPr="00EE6FAC">
              <w:rPr>
                <w:lang w:val="en-NZ"/>
              </w:rPr>
              <w:t>e scheme being evaluated every five</w:t>
            </w:r>
            <w:r w:rsidRPr="00EE6FAC">
              <w:rPr>
                <w:lang w:val="en-NZ"/>
              </w:rPr>
              <w:t xml:space="preserve"> years</w:t>
            </w:r>
            <w:r w:rsidR="006A2809">
              <w:rPr>
                <w:lang w:val="en-NZ"/>
              </w:rPr>
              <w:t>,</w:t>
            </w:r>
            <w:r w:rsidRPr="00EE6FAC">
              <w:rPr>
                <w:lang w:val="en-NZ"/>
              </w:rPr>
              <w:t xml:space="preserve"> there will </w:t>
            </w:r>
            <w:r w:rsidR="00035104" w:rsidRPr="00EE6FAC">
              <w:rPr>
                <w:lang w:val="en-NZ"/>
              </w:rPr>
              <w:t xml:space="preserve">on-going monitoring of the policy by MBIE and </w:t>
            </w:r>
            <w:r w:rsidR="00143BA3" w:rsidRPr="00EE6FAC">
              <w:rPr>
                <w:lang w:val="en-NZ"/>
              </w:rPr>
              <w:t>IR</w:t>
            </w:r>
            <w:r w:rsidR="00035104" w:rsidRPr="00EE6FAC">
              <w:rPr>
                <w:lang w:val="en-NZ"/>
              </w:rPr>
              <w:t xml:space="preserve"> </w:t>
            </w:r>
            <w:r w:rsidRPr="00EE6FAC">
              <w:rPr>
                <w:lang w:val="en-NZ"/>
              </w:rPr>
              <w:t xml:space="preserve">in the shorter </w:t>
            </w:r>
            <w:r w:rsidR="00AF19D9" w:rsidRPr="00EE6FAC">
              <w:rPr>
                <w:lang w:val="en-NZ"/>
              </w:rPr>
              <w:t>term</w:t>
            </w:r>
            <w:r w:rsidR="00035104" w:rsidRPr="00EE6FAC">
              <w:rPr>
                <w:lang w:val="en-NZ"/>
              </w:rPr>
              <w:t xml:space="preserve">. This is </w:t>
            </w:r>
            <w:r w:rsidRPr="00EE6FAC">
              <w:rPr>
                <w:lang w:val="en-NZ"/>
              </w:rPr>
              <w:t xml:space="preserve">to speedily identify and remedy issues that could compromise the integrity of the incentive. </w:t>
            </w:r>
          </w:p>
          <w:p w:rsidR="000A1C40" w:rsidRPr="00EE6FAC" w:rsidRDefault="00AF19D9" w:rsidP="00587F15">
            <w:pPr>
              <w:pStyle w:val="TableText"/>
              <w:rPr>
                <w:lang w:val="en-NZ"/>
              </w:rPr>
            </w:pPr>
            <w:r w:rsidRPr="00EE6FAC">
              <w:rPr>
                <w:lang w:val="en-NZ"/>
              </w:rPr>
              <w:t xml:space="preserve">It is proposed that the </w:t>
            </w:r>
            <w:r w:rsidR="00810148" w:rsidRPr="00EE6FAC">
              <w:rPr>
                <w:lang w:val="en-NZ"/>
              </w:rPr>
              <w:t>R&amp;D Tax Incentive</w:t>
            </w:r>
            <w:r w:rsidR="00035104" w:rsidRPr="00EE6FAC">
              <w:rPr>
                <w:lang w:val="en-NZ"/>
              </w:rPr>
              <w:t xml:space="preserve"> </w:t>
            </w:r>
            <w:r w:rsidRPr="00EE6FAC">
              <w:rPr>
                <w:lang w:val="en-NZ"/>
              </w:rPr>
              <w:t xml:space="preserve">policy can </w:t>
            </w:r>
            <w:r w:rsidR="00C8097A" w:rsidRPr="00EE6FAC">
              <w:rPr>
                <w:lang w:val="en-NZ"/>
              </w:rPr>
              <w:t xml:space="preserve">be </w:t>
            </w:r>
            <w:r w:rsidR="00035104" w:rsidRPr="00EE6FAC">
              <w:rPr>
                <w:lang w:val="en-NZ"/>
              </w:rPr>
              <w:t xml:space="preserve">adjusted when serious issues occur as a result of monitoring. </w:t>
            </w:r>
            <w:r w:rsidRPr="00EE6FAC">
              <w:rPr>
                <w:lang w:val="en-NZ"/>
              </w:rPr>
              <w:t>For example, officials consider a variety of second and third order regulatory mechanisms could be used to this effect.</w:t>
            </w:r>
            <w:r w:rsidR="00A514AC" w:rsidRPr="00EE6FAC">
              <w:rPr>
                <w:lang w:val="en-NZ"/>
              </w:rPr>
              <w:t xml:space="preserve"> </w:t>
            </w:r>
            <w:r w:rsidRPr="00EE6FAC">
              <w:rPr>
                <w:lang w:val="en-NZ"/>
              </w:rPr>
              <w:t xml:space="preserve">The proposed legislation will allow for schedules containing specific R&amp;D activity and expenditure exclusions to be amended via Order in Council. The ability to make changes to the schedules outside of primary legislation is necessary so that the Government can quickly close off problem areas identified that could impact on the fiscal sustainability of the R&amp;D Tax Incentive. </w:t>
            </w:r>
          </w:p>
          <w:p w:rsidR="0062657E" w:rsidRPr="00EE6FAC" w:rsidRDefault="000A1C40" w:rsidP="00587F15">
            <w:pPr>
              <w:pStyle w:val="TableText"/>
              <w:rPr>
                <w:rFonts w:cs="Arial"/>
                <w:lang w:val="en-NZ"/>
              </w:rPr>
            </w:pPr>
            <w:r w:rsidRPr="00EE6FAC">
              <w:rPr>
                <w:lang w:val="en-NZ"/>
              </w:rPr>
              <w:t xml:space="preserve">Officials consider the goal of an enduring scheme will be supported by developing a community of stakeholders who share that goal. It is proposed to establish a consultative committee comprising officials and private sector representatives which will function as a forum for identifying and resolving problems. </w:t>
            </w:r>
          </w:p>
        </w:tc>
      </w:tr>
    </w:tbl>
    <w:p w:rsidR="00C67FC0" w:rsidRPr="00EE6FAC" w:rsidRDefault="00587F15" w:rsidP="00587F15">
      <w:pPr>
        <w:pStyle w:val="spacer"/>
        <w:tabs>
          <w:tab w:val="left" w:pos="5269"/>
        </w:tabs>
        <w:rPr>
          <w:lang w:val="en-NZ"/>
        </w:rPr>
      </w:pPr>
      <w:r w:rsidRPr="00EE6FAC">
        <w:rPr>
          <w:lang w:val="en-NZ"/>
        </w:rPr>
        <w:tab/>
      </w:r>
    </w:p>
    <w:p w:rsidR="00C67FC0" w:rsidRPr="00EE6FAC" w:rsidRDefault="00C67FC0" w:rsidP="00C67FC0">
      <w:pPr>
        <w:rPr>
          <w:lang w:val="en-NZ"/>
        </w:rPr>
      </w:pPr>
      <w:r w:rsidRPr="00EE6FAC">
        <w:rPr>
          <w:lang w:val="en-NZ"/>
        </w:rPr>
        <w:br w:type="page"/>
      </w:r>
    </w:p>
    <w:p w:rsidR="00C67FC0" w:rsidRPr="00EE6FAC" w:rsidRDefault="00C67FC0" w:rsidP="00A537E7">
      <w:pPr>
        <w:pStyle w:val="Heading1"/>
      </w:pPr>
      <w:r w:rsidRPr="00EE6FAC">
        <w:t>Bibliography</w:t>
      </w:r>
    </w:p>
    <w:p w:rsidR="00C67FC0" w:rsidRPr="00EE6FAC" w:rsidRDefault="00C67FC0" w:rsidP="00C67FC0">
      <w:pPr>
        <w:pStyle w:val="Bibliography"/>
        <w:ind w:left="720" w:hanging="720"/>
        <w:rPr>
          <w:lang w:val="en-NZ"/>
        </w:rPr>
      </w:pPr>
      <w:r w:rsidRPr="00EE6FAC">
        <w:rPr>
          <w:lang w:val="en-NZ"/>
        </w:rPr>
        <w:t>Appelt, S.</w:t>
      </w:r>
      <w:r w:rsidR="001F6099" w:rsidRPr="00EE6FAC" w:rsidDel="001F6099">
        <w:rPr>
          <w:lang w:val="en-NZ"/>
        </w:rPr>
        <w:t xml:space="preserve"> </w:t>
      </w:r>
      <w:r w:rsidR="001F6099" w:rsidRPr="00EE6FAC">
        <w:rPr>
          <w:lang w:val="en-NZ"/>
        </w:rPr>
        <w:t>, M. Bajgar, C. Criscuolo, &amp; F. Galindo-Rueda</w:t>
      </w:r>
      <w:r w:rsidRPr="00EE6FAC">
        <w:rPr>
          <w:lang w:val="en-NZ"/>
        </w:rPr>
        <w:t xml:space="preserve"> (2016). R&amp;D Tax Incentives: Evidence on design, incidence and impacts. </w:t>
      </w:r>
      <w:r w:rsidRPr="00EE6FAC">
        <w:rPr>
          <w:i/>
          <w:iCs/>
          <w:lang w:val="en-NZ"/>
        </w:rPr>
        <w:t>OECD Science, Technology and Industry Policy Papers, No 32</w:t>
      </w:r>
      <w:r w:rsidRPr="00EE6FAC">
        <w:rPr>
          <w:lang w:val="en-NZ"/>
        </w:rPr>
        <w:t>.</w:t>
      </w:r>
    </w:p>
    <w:p w:rsidR="00C67FC0" w:rsidRPr="00EE6FAC" w:rsidRDefault="00C67FC0" w:rsidP="00C67FC0">
      <w:pPr>
        <w:pStyle w:val="Bibliography"/>
        <w:ind w:left="720" w:hanging="720"/>
        <w:rPr>
          <w:lang w:val="en-NZ"/>
        </w:rPr>
      </w:pPr>
      <w:r w:rsidRPr="00EE6FAC">
        <w:rPr>
          <w:lang w:val="en-NZ"/>
        </w:rPr>
        <w:t xml:space="preserve">Conway, P. (2016). </w:t>
      </w:r>
      <w:r w:rsidRPr="00EE6FAC">
        <w:rPr>
          <w:i/>
          <w:iCs/>
          <w:lang w:val="en-NZ"/>
        </w:rPr>
        <w:t>Achieving New Zealand's productivity potential: Research Paper 2016/1.</w:t>
      </w:r>
      <w:r w:rsidRPr="00EE6FAC">
        <w:rPr>
          <w:lang w:val="en-NZ"/>
        </w:rPr>
        <w:t xml:space="preserve"> The New Zealand Productivity Commission.</w:t>
      </w:r>
    </w:p>
    <w:p w:rsidR="002A6FE1" w:rsidRPr="002A6FE1" w:rsidRDefault="002A6FE1" w:rsidP="002A6FE1">
      <w:pPr>
        <w:pStyle w:val="Bibliography"/>
        <w:ind w:left="720" w:hanging="720"/>
        <w:rPr>
          <w:lang w:val="en-NZ"/>
        </w:rPr>
      </w:pPr>
      <w:r w:rsidRPr="002A6FE1">
        <w:rPr>
          <w:lang w:val="en-NZ"/>
        </w:rPr>
        <w:t xml:space="preserve">Di Maio, M., &amp; N. Blakeley (2004). </w:t>
      </w:r>
      <w:r>
        <w:rPr>
          <w:lang w:val="en-NZ"/>
        </w:rPr>
        <w:t>“</w:t>
      </w:r>
      <w:r w:rsidRPr="002A6FE1">
        <w:rPr>
          <w:lang w:val="en-NZ"/>
        </w:rPr>
        <w:t>Business Research and Development and Industry Structure</w:t>
      </w:r>
      <w:r>
        <w:rPr>
          <w:lang w:val="en-NZ"/>
        </w:rPr>
        <w:t>”</w:t>
      </w:r>
      <w:r w:rsidRPr="002A6FE1">
        <w:rPr>
          <w:lang w:val="en-NZ"/>
        </w:rPr>
        <w:t>. New Zealand Treasury.</w:t>
      </w:r>
    </w:p>
    <w:p w:rsidR="00A22D04" w:rsidRPr="00EE6FAC" w:rsidRDefault="00A22D04" w:rsidP="00C67FC0">
      <w:pPr>
        <w:pStyle w:val="Bibliography"/>
        <w:ind w:left="720" w:hanging="720"/>
        <w:rPr>
          <w:lang w:val="en-NZ"/>
        </w:rPr>
      </w:pPr>
      <w:r w:rsidRPr="00EE6FAC">
        <w:rPr>
          <w:lang w:val="en-NZ"/>
        </w:rPr>
        <w:t>Hall</w:t>
      </w:r>
      <w:r w:rsidR="006A2809">
        <w:rPr>
          <w:lang w:val="en-NZ"/>
        </w:rPr>
        <w:t>,</w:t>
      </w:r>
      <w:r w:rsidR="006A2809" w:rsidRPr="006A2809">
        <w:rPr>
          <w:lang w:val="en-NZ"/>
        </w:rPr>
        <w:t xml:space="preserve"> </w:t>
      </w:r>
      <w:r w:rsidR="006A2809">
        <w:rPr>
          <w:lang w:val="en-NZ"/>
        </w:rPr>
        <w:t>B.</w:t>
      </w:r>
      <w:r w:rsidR="006A2809" w:rsidRPr="00EE6FAC">
        <w:rPr>
          <w:lang w:val="en-NZ"/>
        </w:rPr>
        <w:t xml:space="preserve"> </w:t>
      </w:r>
      <w:r w:rsidRPr="00EE6FAC">
        <w:rPr>
          <w:lang w:val="en-NZ"/>
        </w:rPr>
        <w:t xml:space="preserve"> &amp; </w:t>
      </w:r>
      <w:r w:rsidR="006A2809">
        <w:rPr>
          <w:lang w:val="en-NZ"/>
        </w:rPr>
        <w:t xml:space="preserve">J. </w:t>
      </w:r>
      <w:r w:rsidRPr="00EE6FAC">
        <w:rPr>
          <w:lang w:val="en-NZ"/>
        </w:rPr>
        <w:t xml:space="preserve">Mairesse &amp; </w:t>
      </w:r>
      <w:r w:rsidR="006A2809">
        <w:rPr>
          <w:lang w:val="en-NZ"/>
        </w:rPr>
        <w:t xml:space="preserve">P. </w:t>
      </w:r>
      <w:r w:rsidRPr="00EE6FAC">
        <w:rPr>
          <w:lang w:val="en-NZ"/>
        </w:rPr>
        <w:t>Mohnen (2009). "Measuring the Returns to R&amp;D," NBER Working Papers 15622, National Bureau of Economic Research, Inc.</w:t>
      </w:r>
    </w:p>
    <w:p w:rsidR="005941B5" w:rsidRPr="00EE6FAC" w:rsidRDefault="005941B5" w:rsidP="005941B5">
      <w:pPr>
        <w:pStyle w:val="Bibliography"/>
        <w:ind w:left="720" w:hanging="720"/>
        <w:rPr>
          <w:lang w:val="en-NZ"/>
        </w:rPr>
      </w:pPr>
      <w:r w:rsidRPr="00EE6FAC">
        <w:rPr>
          <w:lang w:val="en-NZ"/>
        </w:rPr>
        <w:t xml:space="preserve">Hidalgo, C., Klinger, B., Barabasi, A., &amp; Hausmann, R. (2007). The Product Space Conditions the Development of Nations. </w:t>
      </w:r>
      <w:r w:rsidRPr="00EE6FAC">
        <w:rPr>
          <w:i/>
          <w:lang w:val="en-NZ"/>
        </w:rPr>
        <w:t>Science</w:t>
      </w:r>
      <w:r w:rsidRPr="00EE6FAC">
        <w:rPr>
          <w:lang w:val="en-NZ"/>
        </w:rPr>
        <w:t xml:space="preserve">, 317(5837). </w:t>
      </w:r>
    </w:p>
    <w:p w:rsidR="00C67FC0" w:rsidRPr="00EE6FAC" w:rsidRDefault="00C67FC0" w:rsidP="005941B5">
      <w:pPr>
        <w:pStyle w:val="Bibliography"/>
        <w:ind w:left="720" w:hanging="720"/>
        <w:rPr>
          <w:lang w:val="en-NZ"/>
        </w:rPr>
      </w:pPr>
      <w:r w:rsidRPr="00EE6FAC">
        <w:rPr>
          <w:lang w:val="en-NZ"/>
        </w:rPr>
        <w:t xml:space="preserve">Jaffe, A. and </w:t>
      </w:r>
      <w:r w:rsidR="00A55BAC" w:rsidRPr="00EE6FAC">
        <w:rPr>
          <w:lang w:val="en-NZ"/>
        </w:rPr>
        <w:t xml:space="preserve">T. </w:t>
      </w:r>
      <w:r w:rsidRPr="00EE6FAC">
        <w:rPr>
          <w:lang w:val="en-NZ"/>
        </w:rPr>
        <w:t xml:space="preserve">Le (2015). The impact of R&amp;D subsidy on innovation: a study of New Zealand firms. </w:t>
      </w:r>
      <w:r w:rsidRPr="00EE6FAC">
        <w:rPr>
          <w:i/>
          <w:iCs/>
          <w:lang w:val="en-NZ"/>
        </w:rPr>
        <w:t>Motu Working Paper 15-10</w:t>
      </w:r>
      <w:r w:rsidRPr="00EE6FAC">
        <w:rPr>
          <w:lang w:val="en-NZ"/>
        </w:rPr>
        <w:t>.</w:t>
      </w:r>
    </w:p>
    <w:p w:rsidR="00A22D04" w:rsidRPr="00EE6FAC" w:rsidRDefault="00A22D04" w:rsidP="00C67FC0">
      <w:pPr>
        <w:pStyle w:val="Bibliography"/>
        <w:ind w:left="720" w:hanging="720"/>
        <w:rPr>
          <w:lang w:val="en-NZ"/>
        </w:rPr>
      </w:pPr>
      <w:r w:rsidRPr="00EE6FAC">
        <w:rPr>
          <w:lang w:val="en-NZ"/>
        </w:rPr>
        <w:t xml:space="preserve">Johnson, </w:t>
      </w:r>
      <w:r w:rsidR="006A2809">
        <w:rPr>
          <w:lang w:val="en-NZ"/>
        </w:rPr>
        <w:t>R.</w:t>
      </w:r>
      <w:r w:rsidRPr="00EE6FAC">
        <w:rPr>
          <w:lang w:val="en-NZ"/>
        </w:rPr>
        <w:t xml:space="preserve">, &amp; W. Razzak &amp; </w:t>
      </w:r>
      <w:r w:rsidR="006A2809">
        <w:rPr>
          <w:lang w:val="en-NZ"/>
        </w:rPr>
        <w:t xml:space="preserve">S. </w:t>
      </w:r>
      <w:r w:rsidRPr="00EE6FAC">
        <w:rPr>
          <w:lang w:val="en-NZ"/>
        </w:rPr>
        <w:t>Stillman (2007). "Has New Zealand benefited from its investments in research &amp; development?”, Applied Economics, Taylor &amp; Francis Journals, vol. 39(19), pages 2425-2440.</w:t>
      </w:r>
    </w:p>
    <w:p w:rsidR="002A6FE1" w:rsidRDefault="002A6FE1" w:rsidP="002A6FE1">
      <w:pPr>
        <w:pStyle w:val="Bibliography"/>
        <w:ind w:left="720" w:hanging="720"/>
        <w:rPr>
          <w:lang w:val="en-NZ"/>
        </w:rPr>
      </w:pPr>
      <w:r w:rsidRPr="002A6FE1">
        <w:rPr>
          <w:lang w:val="en-NZ"/>
        </w:rPr>
        <w:t xml:space="preserve">Mazoyer, P. (1999). </w:t>
      </w:r>
      <w:r>
        <w:rPr>
          <w:lang w:val="en-NZ"/>
        </w:rPr>
        <w:t>“</w:t>
      </w:r>
      <w:r w:rsidRPr="002A6FE1">
        <w:rPr>
          <w:lang w:val="en-NZ"/>
        </w:rPr>
        <w:t>Analysis of R&amp;D structure and intensities</w:t>
      </w:r>
      <w:r>
        <w:rPr>
          <w:lang w:val="en-NZ"/>
        </w:rPr>
        <w:t>”</w:t>
      </w:r>
      <w:r w:rsidRPr="002A6FE1">
        <w:rPr>
          <w:lang w:val="en-NZ"/>
        </w:rPr>
        <w:t xml:space="preserve">. Wellington, New Zealand: </w:t>
      </w:r>
      <w:r>
        <w:rPr>
          <w:lang w:val="en-NZ"/>
        </w:rPr>
        <w:t xml:space="preserve">Ministry of Research, Science &amp; </w:t>
      </w:r>
      <w:r w:rsidRPr="002A6FE1">
        <w:rPr>
          <w:lang w:val="en-NZ"/>
        </w:rPr>
        <w:t>Technology.</w:t>
      </w:r>
    </w:p>
    <w:p w:rsidR="00C67FC0" w:rsidRPr="00EE6FAC" w:rsidRDefault="00C67FC0" w:rsidP="002A6FE1">
      <w:pPr>
        <w:pStyle w:val="Bibliography"/>
        <w:ind w:left="720" w:hanging="720"/>
        <w:rPr>
          <w:lang w:val="en-NZ"/>
        </w:rPr>
      </w:pPr>
      <w:r w:rsidRPr="00EE6FAC">
        <w:rPr>
          <w:lang w:val="en-NZ"/>
        </w:rPr>
        <w:t xml:space="preserve">OECD. (2017). </w:t>
      </w:r>
      <w:r w:rsidRPr="00EE6FAC">
        <w:rPr>
          <w:i/>
          <w:iCs/>
          <w:lang w:val="en-NZ"/>
        </w:rPr>
        <w:t>OECD Economic Surveys: New Zealand 2017.</w:t>
      </w:r>
      <w:r w:rsidRPr="00EE6FAC">
        <w:rPr>
          <w:lang w:val="en-NZ"/>
        </w:rPr>
        <w:t xml:space="preserve"> Paris: OECD Publishing.</w:t>
      </w:r>
    </w:p>
    <w:p w:rsidR="00C67FC0" w:rsidRPr="00EE6FAC" w:rsidRDefault="00C67FC0" w:rsidP="00C67FC0">
      <w:pPr>
        <w:pStyle w:val="Bibliography"/>
        <w:ind w:left="720" w:hanging="720"/>
        <w:rPr>
          <w:lang w:val="en-NZ"/>
        </w:rPr>
      </w:pPr>
      <w:r w:rsidRPr="00EE6FAC">
        <w:rPr>
          <w:lang w:val="en-NZ"/>
        </w:rPr>
        <w:t xml:space="preserve">Pells, S. (2014). </w:t>
      </w:r>
      <w:r w:rsidRPr="00EE6FAC">
        <w:rPr>
          <w:i/>
          <w:iCs/>
          <w:lang w:val="en-NZ"/>
        </w:rPr>
        <w:t>MBIE Occasional Paper: How can we lift BERD?</w:t>
      </w:r>
      <w:r w:rsidRPr="00EE6FAC">
        <w:rPr>
          <w:lang w:val="en-NZ"/>
        </w:rPr>
        <w:t xml:space="preserve"> Wellington: MBIE.</w:t>
      </w:r>
    </w:p>
    <w:p w:rsidR="001F6099" w:rsidRPr="00EE6FAC" w:rsidRDefault="001F6099" w:rsidP="00C67FC0">
      <w:pPr>
        <w:pStyle w:val="Bibliography"/>
        <w:ind w:left="720" w:hanging="720"/>
        <w:rPr>
          <w:lang w:val="en-NZ"/>
        </w:rPr>
      </w:pPr>
      <w:r w:rsidRPr="00EE6FAC">
        <w:rPr>
          <w:lang w:val="en-NZ"/>
        </w:rPr>
        <w:t xml:space="preserve">Statistics New Zealand (2017). </w:t>
      </w:r>
      <w:r w:rsidRPr="00EE6FAC">
        <w:rPr>
          <w:i/>
          <w:lang w:val="en-NZ"/>
        </w:rPr>
        <w:t>Research and Development Survey: 2016</w:t>
      </w:r>
      <w:r w:rsidR="00176C8A" w:rsidRPr="00EE6FAC">
        <w:rPr>
          <w:i/>
          <w:lang w:val="en-NZ"/>
        </w:rPr>
        <w:t>. https://www.stats.govt.nz/information-releases/research-and-development-survey-2016</w:t>
      </w:r>
    </w:p>
    <w:p w:rsidR="001F6099" w:rsidRPr="00EE6FAC" w:rsidRDefault="001F6099" w:rsidP="00C67FC0">
      <w:pPr>
        <w:pStyle w:val="Bibliography"/>
        <w:ind w:left="720" w:hanging="720"/>
        <w:rPr>
          <w:lang w:val="en-NZ"/>
        </w:rPr>
      </w:pPr>
      <w:r w:rsidRPr="00EE6FAC">
        <w:rPr>
          <w:lang w:val="en-NZ"/>
        </w:rPr>
        <w:t xml:space="preserve">Statistics New Zealand (2018). </w:t>
      </w:r>
      <w:r w:rsidRPr="00EE6FAC">
        <w:rPr>
          <w:i/>
          <w:lang w:val="en-NZ"/>
        </w:rPr>
        <w:t>Business Operations Survey: 2017</w:t>
      </w:r>
      <w:r w:rsidR="00176C8A" w:rsidRPr="00EE6FAC">
        <w:rPr>
          <w:i/>
          <w:lang w:val="en-NZ"/>
        </w:rPr>
        <w:t>. https://www.stats.govt.nz/information-releases/business-operations-survey-2017</w:t>
      </w:r>
    </w:p>
    <w:p w:rsidR="00C67FC0" w:rsidRPr="00EE6FAC" w:rsidRDefault="00C67FC0" w:rsidP="00C67FC0">
      <w:pPr>
        <w:pStyle w:val="Bibliography"/>
        <w:ind w:left="720" w:hanging="720"/>
        <w:rPr>
          <w:lang w:val="en-NZ"/>
        </w:rPr>
      </w:pPr>
      <w:r w:rsidRPr="00EE6FAC">
        <w:rPr>
          <w:lang w:val="en-NZ"/>
        </w:rPr>
        <w:t>Wakeman, S. (</w:t>
      </w:r>
      <w:r w:rsidR="00A55BAC" w:rsidRPr="00EE6FAC">
        <w:rPr>
          <w:lang w:val="en-NZ"/>
        </w:rPr>
        <w:t>2017</w:t>
      </w:r>
      <w:r w:rsidRPr="00EE6FAC">
        <w:rPr>
          <w:lang w:val="en-NZ"/>
        </w:rPr>
        <w:t xml:space="preserve">). </w:t>
      </w:r>
      <w:r w:rsidRPr="00EE6FAC">
        <w:rPr>
          <w:i/>
          <w:iCs/>
          <w:lang w:val="en-NZ"/>
        </w:rPr>
        <w:t>The impact of R&amp;D grants on the performance of New Zealand firms.</w:t>
      </w:r>
      <w:r w:rsidRPr="00EE6FAC">
        <w:rPr>
          <w:lang w:val="en-NZ"/>
        </w:rPr>
        <w:t xml:space="preserve"> Wellington: New Zealand Productivity Commission Working Paper.</w:t>
      </w:r>
    </w:p>
    <w:p w:rsidR="00A55BAC" w:rsidRPr="00EE6FAC" w:rsidRDefault="00A55BAC" w:rsidP="00A55BAC">
      <w:pPr>
        <w:pStyle w:val="Bibliography"/>
        <w:ind w:left="720" w:hanging="720"/>
        <w:rPr>
          <w:lang w:val="en-NZ"/>
        </w:rPr>
      </w:pPr>
      <w:r w:rsidRPr="00EE6FAC">
        <w:rPr>
          <w:lang w:val="en-NZ"/>
        </w:rPr>
        <w:t xml:space="preserve">Wakeman, S. &amp; P. Conway (2017). </w:t>
      </w:r>
      <w:r w:rsidR="001F6099" w:rsidRPr="00EE6FAC">
        <w:rPr>
          <w:i/>
          <w:iCs/>
          <w:lang w:val="en-NZ"/>
        </w:rPr>
        <w:t>Innovation and</w:t>
      </w:r>
      <w:r w:rsidRPr="00EE6FAC">
        <w:rPr>
          <w:i/>
          <w:iCs/>
          <w:lang w:val="en-NZ"/>
        </w:rPr>
        <w:t xml:space="preserve"> the performance of New Zealand firms.</w:t>
      </w:r>
      <w:r w:rsidRPr="00EE6FAC">
        <w:rPr>
          <w:lang w:val="en-NZ"/>
        </w:rPr>
        <w:t xml:space="preserve"> Wellington: New Zealand Productivity Commission Working Paper.</w:t>
      </w:r>
    </w:p>
    <w:p w:rsidR="00C67FC0" w:rsidRPr="00EE6FAC" w:rsidRDefault="00C67FC0" w:rsidP="00C67FC0">
      <w:pPr>
        <w:rPr>
          <w:lang w:val="en-NZ"/>
        </w:rPr>
      </w:pPr>
    </w:p>
    <w:p w:rsidR="00397C8D" w:rsidRPr="00EE6FAC" w:rsidRDefault="00397C8D" w:rsidP="00C67FC0">
      <w:pPr>
        <w:rPr>
          <w:lang w:val="en-NZ"/>
        </w:rPr>
      </w:pPr>
    </w:p>
    <w:sectPr w:rsidR="00397C8D" w:rsidRPr="00EE6FAC" w:rsidSect="0005691A">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B5" w:rsidRDefault="00AA23B5">
      <w:pPr>
        <w:spacing w:after="0" w:line="240" w:lineRule="auto"/>
      </w:pPr>
      <w:r>
        <w:separator/>
      </w:r>
    </w:p>
  </w:endnote>
  <w:endnote w:type="continuationSeparator" w:id="0">
    <w:p w:rsidR="00AA23B5" w:rsidRDefault="00AA23B5">
      <w:pPr>
        <w:spacing w:after="0" w:line="240" w:lineRule="auto"/>
      </w:pPr>
      <w:r>
        <w:continuationSeparator/>
      </w:r>
    </w:p>
  </w:endnote>
  <w:endnote w:type="continuationNotice" w:id="1">
    <w:p w:rsidR="00AA23B5" w:rsidRDefault="00AA23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enir LT Pro">
    <w:altName w:val="Avenir Maor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07" w:rsidRPr="009435C4" w:rsidRDefault="008D3D07" w:rsidP="00FA7EFC">
    <w:pPr>
      <w:pStyle w:val="Footer"/>
    </w:pPr>
    <w:r>
      <w:t xml:space="preserve">Impact Statement Template </w:t>
    </w:r>
    <w:r w:rsidRPr="009435C4">
      <w:t>|</w:t>
    </w:r>
    <w:r>
      <w:t xml:space="preserve"> </w:t>
    </w:r>
    <w:r w:rsidRPr="009435C4">
      <w:fldChar w:fldCharType="begin"/>
    </w:r>
    <w:r w:rsidRPr="009435C4">
      <w:instrText xml:space="preserve"> PAGE </w:instrText>
    </w:r>
    <w:r w:rsidRPr="009435C4">
      <w:fldChar w:fldCharType="separate"/>
    </w:r>
    <w:r w:rsidR="009F6466">
      <w:t>2</w:t>
    </w:r>
    <w:r w:rsidRPr="009435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07" w:rsidRDefault="008D3D07" w:rsidP="00FA7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07" w:rsidRPr="00FA7EFC" w:rsidRDefault="008D3D07" w:rsidP="00FA7EFC">
    <w:pPr>
      <w:pStyle w:val="Footer"/>
    </w:pPr>
    <w:r>
      <w:t xml:space="preserve"> Impact Statement Template </w:t>
    </w:r>
    <w:r w:rsidRPr="00FA7EFC">
      <w:t>|</w:t>
    </w:r>
    <w:r>
      <w:t xml:space="preserve"> </w:t>
    </w:r>
    <w:r w:rsidRPr="00FA7EFC">
      <w:fldChar w:fldCharType="begin"/>
    </w:r>
    <w:r w:rsidRPr="00FA7EFC">
      <w:instrText xml:space="preserve"> PAGE </w:instrText>
    </w:r>
    <w:r w:rsidRPr="00FA7EFC">
      <w:fldChar w:fldCharType="separate"/>
    </w:r>
    <w:r w:rsidR="009F6466">
      <w:t>22</w:t>
    </w:r>
    <w:r w:rsidRPr="00FA7EF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07" w:rsidRDefault="008D3D07" w:rsidP="00FA7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B5" w:rsidRDefault="00AA23B5">
      <w:pPr>
        <w:spacing w:after="0" w:line="240" w:lineRule="auto"/>
      </w:pPr>
      <w:r>
        <w:separator/>
      </w:r>
    </w:p>
  </w:footnote>
  <w:footnote w:type="continuationSeparator" w:id="0">
    <w:p w:rsidR="00AA23B5" w:rsidRDefault="00AA23B5">
      <w:pPr>
        <w:spacing w:after="0" w:line="240" w:lineRule="auto"/>
      </w:pPr>
      <w:r>
        <w:continuationSeparator/>
      </w:r>
    </w:p>
  </w:footnote>
  <w:footnote w:type="continuationNotice" w:id="1">
    <w:p w:rsidR="00AA23B5" w:rsidRDefault="00AA23B5">
      <w:pPr>
        <w:spacing w:after="0" w:line="240" w:lineRule="auto"/>
      </w:pPr>
    </w:p>
  </w:footnote>
  <w:footnote w:id="2">
    <w:p w:rsidR="008D3D07" w:rsidRPr="00F86D0A" w:rsidRDefault="008D3D07" w:rsidP="00A749A9">
      <w:pPr>
        <w:pStyle w:val="FootnoteText"/>
        <w:spacing w:after="0"/>
        <w:rPr>
          <w:lang w:val="en-NZ"/>
        </w:rPr>
      </w:pPr>
      <w:r>
        <w:rPr>
          <w:rStyle w:val="FootnoteReference"/>
        </w:rPr>
        <w:footnoteRef/>
      </w:r>
      <w:r>
        <w:t xml:space="preserve"> </w:t>
      </w:r>
      <w:r>
        <w:rPr>
          <w:lang w:val="en-NZ"/>
        </w:rPr>
        <w:tab/>
        <w:t>I</w:t>
      </w:r>
      <w:r w:rsidRPr="00F05791">
        <w:rPr>
          <w:lang w:val="en-NZ"/>
        </w:rPr>
        <w:t xml:space="preserve">nformation submitted as part of the </w:t>
      </w:r>
      <w:r>
        <w:rPr>
          <w:lang w:val="en-NZ"/>
        </w:rPr>
        <w:t>R&amp;D Tax Incentive</w:t>
      </w:r>
      <w:r w:rsidRPr="00F05791">
        <w:rPr>
          <w:lang w:val="en-NZ"/>
        </w:rPr>
        <w:t xml:space="preserve"> consultation process</w:t>
      </w:r>
      <w:r>
        <w:rPr>
          <w:lang w:val="en-NZ"/>
        </w:rPr>
        <w:t xml:space="preserve"> indicated</w:t>
      </w:r>
      <w:r w:rsidRPr="00F05791">
        <w:rPr>
          <w:lang w:val="en-NZ"/>
        </w:rPr>
        <w:t xml:space="preserve"> Growth Grant application process costs approx. $22,000. Claimants are required to submit an audited certificate of expenditure to claim.</w:t>
      </w:r>
    </w:p>
  </w:footnote>
  <w:footnote w:id="3">
    <w:p w:rsidR="008D3D07" w:rsidRPr="00F86D0A" w:rsidRDefault="008D3D07" w:rsidP="00A749A9">
      <w:pPr>
        <w:pStyle w:val="FootnoteText"/>
        <w:spacing w:after="0"/>
        <w:rPr>
          <w:lang w:val="en-NZ"/>
        </w:rPr>
      </w:pPr>
      <w:r>
        <w:rPr>
          <w:rStyle w:val="FootnoteReference"/>
        </w:rPr>
        <w:footnoteRef/>
      </w:r>
      <w:r>
        <w:t xml:space="preserve"> </w:t>
      </w:r>
      <w:r>
        <w:rPr>
          <w:lang w:val="en-NZ"/>
        </w:rPr>
        <w:tab/>
      </w:r>
      <w:r w:rsidRPr="00F05791">
        <w:rPr>
          <w:lang w:val="en-NZ"/>
        </w:rPr>
        <w:t>The 3-F Review in Australia estimated the compliance cost for business</w:t>
      </w:r>
      <w:r w:rsidRPr="002F2265">
        <w:rPr>
          <w:lang w:val="en-NZ"/>
        </w:rPr>
        <w:t xml:space="preserve"> </w:t>
      </w:r>
      <w:r>
        <w:rPr>
          <w:lang w:val="en-NZ"/>
        </w:rPr>
        <w:t xml:space="preserve">for </w:t>
      </w:r>
      <w:r w:rsidRPr="00F05791">
        <w:rPr>
          <w:lang w:val="en-NZ"/>
        </w:rPr>
        <w:t xml:space="preserve">the R&amp;D tax credit </w:t>
      </w:r>
      <w:r>
        <w:rPr>
          <w:lang w:val="en-NZ"/>
        </w:rPr>
        <w:t>we</w:t>
      </w:r>
      <w:r w:rsidRPr="002F2265">
        <w:rPr>
          <w:lang w:val="en-NZ"/>
        </w:rPr>
        <w:t>re $19</w:t>
      </w:r>
      <w:r>
        <w:rPr>
          <w:lang w:val="en-NZ"/>
        </w:rPr>
        <w:t xml:space="preserve">,000 to </w:t>
      </w:r>
      <w:r w:rsidRPr="002F2265">
        <w:rPr>
          <w:lang w:val="en-NZ"/>
        </w:rPr>
        <w:t>$35</w:t>
      </w:r>
      <w:r>
        <w:rPr>
          <w:lang w:val="en-NZ"/>
        </w:rPr>
        <w:t>,000</w:t>
      </w:r>
      <w:r w:rsidRPr="002F2265">
        <w:rPr>
          <w:lang w:val="en-NZ"/>
        </w:rPr>
        <w:t xml:space="preserve"> for small firms and $79</w:t>
      </w:r>
      <w:r>
        <w:rPr>
          <w:lang w:val="en-NZ"/>
        </w:rPr>
        <w:t xml:space="preserve">,000 to </w:t>
      </w:r>
      <w:r w:rsidRPr="002F2265">
        <w:rPr>
          <w:lang w:val="en-NZ"/>
        </w:rPr>
        <w:t>$157</w:t>
      </w:r>
      <w:r>
        <w:rPr>
          <w:lang w:val="en-NZ"/>
        </w:rPr>
        <w:t>,000</w:t>
      </w:r>
      <w:r w:rsidRPr="002F2265">
        <w:rPr>
          <w:lang w:val="en-NZ"/>
        </w:rPr>
        <w:t xml:space="preserve"> for large companies</w:t>
      </w:r>
      <w:r>
        <w:rPr>
          <w:lang w:val="en-NZ"/>
        </w:rPr>
        <w:t>,</w:t>
      </w:r>
      <w:r w:rsidRPr="00F05791">
        <w:rPr>
          <w:lang w:val="en-NZ"/>
        </w:rPr>
        <w:t xml:space="preserve"> </w:t>
      </w:r>
      <w:r>
        <w:rPr>
          <w:lang w:val="en-NZ"/>
        </w:rPr>
        <w:t xml:space="preserve">with an overall </w:t>
      </w:r>
      <w:r w:rsidRPr="00F05791">
        <w:rPr>
          <w:lang w:val="en-NZ"/>
        </w:rPr>
        <w:t xml:space="preserve">average </w:t>
      </w:r>
      <w:r>
        <w:rPr>
          <w:lang w:val="en-NZ"/>
        </w:rPr>
        <w:t xml:space="preserve">of </w:t>
      </w:r>
      <w:r w:rsidRPr="00F05791">
        <w:rPr>
          <w:lang w:val="en-NZ"/>
        </w:rPr>
        <w:t>$37,000.</w:t>
      </w:r>
      <w:r>
        <w:rPr>
          <w:lang w:val="en-NZ"/>
        </w:rPr>
        <w:t xml:space="preserve"> Without any other evidence, the anticipated costs for New Zealand firms are assumed to be similar.</w:t>
      </w:r>
    </w:p>
  </w:footnote>
  <w:footnote w:id="4">
    <w:p w:rsidR="008D3D07" w:rsidRPr="00F86D0A" w:rsidRDefault="008D3D07" w:rsidP="0071156A">
      <w:pPr>
        <w:pStyle w:val="FootnoteText"/>
        <w:rPr>
          <w:lang w:val="en-NZ"/>
        </w:rPr>
      </w:pPr>
      <w:r>
        <w:rPr>
          <w:rStyle w:val="FootnoteReference"/>
        </w:rPr>
        <w:footnoteRef/>
      </w:r>
      <w:r>
        <w:t xml:space="preserve"> </w:t>
      </w:r>
      <w:r>
        <w:rPr>
          <w:lang w:val="en-NZ"/>
        </w:rPr>
        <w:tab/>
      </w:r>
      <w:r w:rsidRPr="004016F9">
        <w:rPr>
          <w:lang w:val="en-NZ"/>
        </w:rPr>
        <w:t xml:space="preserve">The 3-F Review in Australia </w:t>
      </w:r>
      <w:r>
        <w:rPr>
          <w:lang w:val="en-NZ"/>
        </w:rPr>
        <w:t>estimated that</w:t>
      </w:r>
      <w:r w:rsidRPr="004016F9">
        <w:rPr>
          <w:lang w:val="en-NZ"/>
        </w:rPr>
        <w:t xml:space="preserve"> the administration cost at $22-25</w:t>
      </w:r>
      <w:r>
        <w:rPr>
          <w:lang w:val="en-NZ"/>
        </w:rPr>
        <w:t>M</w:t>
      </w:r>
      <w:r w:rsidRPr="004016F9">
        <w:rPr>
          <w:lang w:val="en-NZ"/>
        </w:rPr>
        <w:t>, which equates to a bit less than $2</w:t>
      </w:r>
      <w:r>
        <w:rPr>
          <w:lang w:val="en-NZ"/>
        </w:rPr>
        <w:t>,000</w:t>
      </w:r>
      <w:r w:rsidRPr="004016F9">
        <w:rPr>
          <w:lang w:val="en-NZ"/>
        </w:rPr>
        <w:t xml:space="preserve"> per claimant.</w:t>
      </w:r>
    </w:p>
  </w:footnote>
  <w:footnote w:id="5">
    <w:p w:rsidR="008D3D07" w:rsidRPr="009668EE" w:rsidRDefault="008D3D07">
      <w:pPr>
        <w:pStyle w:val="FootnoteText"/>
        <w:rPr>
          <w:lang w:val="en-NZ"/>
        </w:rPr>
      </w:pPr>
      <w:r>
        <w:rPr>
          <w:rStyle w:val="FootnoteReference"/>
        </w:rPr>
        <w:footnoteRef/>
      </w:r>
      <w:r>
        <w:t xml:space="preserve"> </w:t>
      </w:r>
      <w:r>
        <w:tab/>
      </w:r>
      <w:r>
        <w:rPr>
          <w:lang w:val="en-NZ"/>
        </w:rPr>
        <w:t xml:space="preserve">No subsequent evaluation was done of the impact or effectiveness of the R&amp;D Tax Incentive introduced by the Labour-led Government in 2008 (and repealed by the National-led Government in 2009). </w:t>
      </w:r>
      <w:r w:rsidRPr="009668EE">
        <w:t>There are a number of evaluations of the initiatives</w:t>
      </w:r>
      <w:r>
        <w:t xml:space="preserve"> introduced elsewhere</w:t>
      </w:r>
      <w:r w:rsidRPr="009668EE">
        <w:t xml:space="preserve">, and two reports that provide an overview of the </w:t>
      </w:r>
      <w:r>
        <w:t xml:space="preserve">international </w:t>
      </w:r>
      <w:r w:rsidRPr="009668EE">
        <w:t>evidence: an OECD paper on the design, incidence and impact of R&amp;D Tax Incentives (Appelt et al., 2016)</w:t>
      </w:r>
      <w:r>
        <w:t>;</w:t>
      </w:r>
      <w:r w:rsidRPr="009668EE">
        <w:t xml:space="preserve"> and an MBIE occasional paper on the effectiveness of different levers for lifting BERD (Pells, 2014).</w:t>
      </w:r>
    </w:p>
  </w:footnote>
  <w:footnote w:id="6">
    <w:p w:rsidR="008D3D07" w:rsidRPr="00372449" w:rsidRDefault="008D3D07">
      <w:pPr>
        <w:pStyle w:val="FootnoteText"/>
        <w:rPr>
          <w:lang w:val="en-NZ"/>
        </w:rPr>
      </w:pPr>
      <w:r>
        <w:rPr>
          <w:rStyle w:val="FootnoteReference"/>
        </w:rPr>
        <w:footnoteRef/>
      </w:r>
      <w:r>
        <w:t xml:space="preserve"> </w:t>
      </w:r>
      <w:r>
        <w:tab/>
      </w:r>
      <w:r>
        <w:rPr>
          <w:rFonts w:eastAsia="Calibri" w:cs="Arial"/>
          <w:lang w:val="en-NZ"/>
        </w:rPr>
        <w:t>Assuming 1000 new recipients at $37,500 per recipient.</w:t>
      </w:r>
    </w:p>
  </w:footnote>
  <w:footnote w:id="7">
    <w:p w:rsidR="008D3D07" w:rsidRPr="005513C9" w:rsidRDefault="008D3D07" w:rsidP="00114CB2">
      <w:pPr>
        <w:pStyle w:val="FootnoteText"/>
        <w:tabs>
          <w:tab w:val="center" w:pos="4535"/>
        </w:tabs>
        <w:rPr>
          <w:lang w:val="en-NZ"/>
        </w:rPr>
      </w:pPr>
      <w:r>
        <w:rPr>
          <w:rStyle w:val="FootnoteReference"/>
        </w:rPr>
        <w:footnoteRef/>
      </w:r>
      <w:r>
        <w:t xml:space="preserve"> </w:t>
      </w:r>
      <w:r>
        <w:tab/>
      </w:r>
      <w:r w:rsidRPr="00114CB2">
        <w:rPr>
          <w:rFonts w:eastAsia="Calibri" w:cs="Arial"/>
          <w:lang w:val="en-NZ"/>
        </w:rPr>
        <w:t>From 1 April 2019 to 30 June 2022.</w:t>
      </w:r>
      <w:r>
        <w:rPr>
          <w:rFonts w:cs="Arial"/>
          <w:color w:val="000000"/>
          <w:sz w:val="22"/>
          <w:szCs w:val="22"/>
        </w:rPr>
        <w:tab/>
      </w:r>
    </w:p>
  </w:footnote>
  <w:footnote w:id="8">
    <w:p w:rsidR="008D3D07" w:rsidRPr="00372449" w:rsidRDefault="008D3D07">
      <w:pPr>
        <w:pStyle w:val="FootnoteText"/>
        <w:rPr>
          <w:lang w:val="en-NZ"/>
        </w:rPr>
      </w:pPr>
      <w:r>
        <w:rPr>
          <w:rStyle w:val="FootnoteReference"/>
        </w:rPr>
        <w:footnoteRef/>
      </w:r>
      <w:r>
        <w:t xml:space="preserve"> </w:t>
      </w:r>
      <w:r>
        <w:tab/>
      </w:r>
      <w:r>
        <w:rPr>
          <w:lang w:val="en-NZ"/>
        </w:rPr>
        <w:t>This is an upper estimate and the actual costs are expected to be lower.</w:t>
      </w:r>
    </w:p>
  </w:footnote>
  <w:footnote w:id="9">
    <w:p w:rsidR="008D3D07" w:rsidRPr="00372449" w:rsidRDefault="008D3D07">
      <w:pPr>
        <w:pStyle w:val="FootnoteText"/>
        <w:rPr>
          <w:lang w:val="en-NZ"/>
        </w:rPr>
      </w:pPr>
      <w:r>
        <w:rPr>
          <w:rStyle w:val="FootnoteReference"/>
        </w:rPr>
        <w:footnoteRef/>
      </w:r>
      <w:r>
        <w:t xml:space="preserve"> </w:t>
      </w:r>
      <w:r>
        <w:rPr>
          <w:lang w:val="en-NZ"/>
        </w:rPr>
        <w:tab/>
      </w:r>
      <w:r w:rsidRPr="00B102DE">
        <w:rPr>
          <w:lang w:val="en-NZ"/>
        </w:rPr>
        <w:t>Forecast fiscal costs of Growth Grants from 1 April 2019 to 30 June 2022 if it had continued</w:t>
      </w:r>
      <w:r>
        <w:rPr>
          <w:lang w:val="en-NZ"/>
        </w:rPr>
        <w:t>.</w:t>
      </w:r>
    </w:p>
  </w:footnote>
  <w:footnote w:id="10">
    <w:p w:rsidR="008D3D07" w:rsidRPr="0038100E" w:rsidRDefault="008D3D07" w:rsidP="00412699">
      <w:pPr>
        <w:pStyle w:val="FootnoteText"/>
        <w:rPr>
          <w:lang w:val="en-NZ"/>
        </w:rPr>
      </w:pPr>
      <w:r>
        <w:rPr>
          <w:rStyle w:val="FootnoteReference"/>
        </w:rPr>
        <w:footnoteRef/>
      </w:r>
      <w:r>
        <w:t xml:space="preserve"> </w:t>
      </w:r>
      <w:r>
        <w:tab/>
      </w:r>
      <w:r>
        <w:rPr>
          <w:lang w:val="en-NZ"/>
        </w:rPr>
        <w:t>Given a 28% corporate tax rate, a 20% subsidy pre-tax corresponds to 14.4% subsidy after tax, which is less generous than a 15% tax credit for firms that have a sufficient tax liability (or will have in the future) against which to apply the tax credit. Firms with insufficient tax liability will be able to apply for a refund of their 15% tax credit. Nevertheless, these firms still may be marginally better off with a 20% pre-tax cash subsidy because they receive a higher amount cash payment, albeit in exchange for a reduction in the losses that they can carry forward to tax purposes.</w:t>
      </w:r>
    </w:p>
  </w:footnote>
  <w:footnote w:id="11">
    <w:p w:rsidR="008D3D07" w:rsidRPr="00810148" w:rsidRDefault="008D3D07">
      <w:pPr>
        <w:pStyle w:val="FootnoteText"/>
        <w:rPr>
          <w:lang w:val="en-NZ"/>
        </w:rPr>
      </w:pPr>
      <w:r>
        <w:rPr>
          <w:rStyle w:val="FootnoteReference"/>
        </w:rPr>
        <w:footnoteRef/>
      </w:r>
      <w:r>
        <w:t xml:space="preserve"> </w:t>
      </w:r>
      <w:r>
        <w:tab/>
        <w:t>Assuming eligible R&amp;D expenditure is the same.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07" w:rsidRPr="00EB1B21" w:rsidRDefault="008D3D07" w:rsidP="004B6F7D">
    <w:pPr>
      <w:tabs>
        <w:tab w:val="center" w:pos="4253"/>
      </w:tabs>
      <w:rPr>
        <w:b/>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07" w:rsidRDefault="008D3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07" w:rsidRPr="00EB1B21" w:rsidRDefault="008D3D07" w:rsidP="004B6F7D">
    <w:pPr>
      <w:tabs>
        <w:tab w:val="center" w:pos="4253"/>
      </w:tabs>
      <w:rPr>
        <w:b/>
      </w:rP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D07" w:rsidRDefault="008D3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5C9D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53652"/>
    <w:multiLevelType w:val="hybridMultilevel"/>
    <w:tmpl w:val="5EDC9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29A72D3"/>
    <w:multiLevelType w:val="hybridMultilevel"/>
    <w:tmpl w:val="CCB4B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A5D48BB"/>
    <w:multiLevelType w:val="hybridMultilevel"/>
    <w:tmpl w:val="DCE873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9A5728"/>
    <w:multiLevelType w:val="hybridMultilevel"/>
    <w:tmpl w:val="A80660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82F674C"/>
    <w:multiLevelType w:val="hybridMultilevel"/>
    <w:tmpl w:val="515EE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04666F1"/>
    <w:multiLevelType w:val="hybridMultilevel"/>
    <w:tmpl w:val="FC10A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291486E"/>
    <w:multiLevelType w:val="hybridMultilevel"/>
    <w:tmpl w:val="AE5EC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0EB632A"/>
    <w:multiLevelType w:val="hybridMultilevel"/>
    <w:tmpl w:val="B3B24E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84670BC"/>
    <w:multiLevelType w:val="hybridMultilevel"/>
    <w:tmpl w:val="38E07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48B33E36"/>
    <w:multiLevelType w:val="hybridMultilevel"/>
    <w:tmpl w:val="DE7CC0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8F0558E"/>
    <w:multiLevelType w:val="hybridMultilevel"/>
    <w:tmpl w:val="06E62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93D677C"/>
    <w:multiLevelType w:val="multilevel"/>
    <w:tmpl w:val="8E025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D225B67"/>
    <w:multiLevelType w:val="hybridMultilevel"/>
    <w:tmpl w:val="D384E532"/>
    <w:lvl w:ilvl="0" w:tplc="AD1ED946">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0CD02AE"/>
    <w:multiLevelType w:val="hybridMultilevel"/>
    <w:tmpl w:val="1AD6E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358229B"/>
    <w:multiLevelType w:val="hybridMultilevel"/>
    <w:tmpl w:val="78920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48410C0"/>
    <w:multiLevelType w:val="multilevel"/>
    <w:tmpl w:val="80D62336"/>
    <w:lvl w:ilvl="0">
      <w:start w:val="1"/>
      <w:numFmt w:val="decimal"/>
      <w:pStyle w:val="BodyText-Numbered"/>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B8375A3"/>
    <w:multiLevelType w:val="hybridMultilevel"/>
    <w:tmpl w:val="657228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5CCD7AAA"/>
    <w:multiLevelType w:val="hybridMultilevel"/>
    <w:tmpl w:val="2550F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56F2E0D"/>
    <w:multiLevelType w:val="hybridMultilevel"/>
    <w:tmpl w:val="B0AA0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A373D6"/>
    <w:multiLevelType w:val="hybridMultilevel"/>
    <w:tmpl w:val="79982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72F9179D"/>
    <w:multiLevelType w:val="hybridMultilevel"/>
    <w:tmpl w:val="E33053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7A444E9F"/>
    <w:multiLevelType w:val="hybridMultilevel"/>
    <w:tmpl w:val="01A43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C385568"/>
    <w:multiLevelType w:val="hybridMultilevel"/>
    <w:tmpl w:val="7B3C3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0"/>
  </w:num>
  <w:num w:numId="4">
    <w:abstractNumId w:val="22"/>
  </w:num>
  <w:num w:numId="5">
    <w:abstractNumId w:val="15"/>
  </w:num>
  <w:num w:numId="6">
    <w:abstractNumId w:val="17"/>
  </w:num>
  <w:num w:numId="7">
    <w:abstractNumId w:val="1"/>
  </w:num>
  <w:num w:numId="8">
    <w:abstractNumId w:val="25"/>
  </w:num>
  <w:num w:numId="9">
    <w:abstractNumId w:val="13"/>
  </w:num>
  <w:num w:numId="10">
    <w:abstractNumId w:val="14"/>
  </w:num>
  <w:num w:numId="11">
    <w:abstractNumId w:val="16"/>
  </w:num>
  <w:num w:numId="12">
    <w:abstractNumId w:val="18"/>
  </w:num>
  <w:num w:numId="13">
    <w:abstractNumId w:val="9"/>
  </w:num>
  <w:num w:numId="14">
    <w:abstractNumId w:val="20"/>
  </w:num>
  <w:num w:numId="15">
    <w:abstractNumId w:val="21"/>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6"/>
  </w:num>
  <w:num w:numId="30">
    <w:abstractNumId w:val="5"/>
  </w:num>
  <w:num w:numId="31">
    <w:abstractNumId w:val="3"/>
  </w:num>
  <w:num w:numId="32">
    <w:abstractNumId w:val="12"/>
  </w:num>
  <w:num w:numId="33">
    <w:abstractNumId w:val="4"/>
  </w:num>
  <w:num w:numId="34">
    <w:abstractNumId w:val="2"/>
  </w:num>
  <w:num w:numId="35">
    <w:abstractNumId w:val="19"/>
  </w:num>
  <w:num w:numId="36">
    <w:abstractNumId w:val="11"/>
  </w:num>
  <w:num w:numId="37">
    <w:abstractNumId w:val="1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209"/>
    <w:rsid w:val="0000534A"/>
    <w:rsid w:val="00012998"/>
    <w:rsid w:val="0002153A"/>
    <w:rsid w:val="00022568"/>
    <w:rsid w:val="00022CD1"/>
    <w:rsid w:val="00025169"/>
    <w:rsid w:val="000267F6"/>
    <w:rsid w:val="00030190"/>
    <w:rsid w:val="00032E54"/>
    <w:rsid w:val="00035104"/>
    <w:rsid w:val="0003523F"/>
    <w:rsid w:val="00037754"/>
    <w:rsid w:val="00046A04"/>
    <w:rsid w:val="000507CB"/>
    <w:rsid w:val="00050CC3"/>
    <w:rsid w:val="000524DF"/>
    <w:rsid w:val="000534B4"/>
    <w:rsid w:val="000548CE"/>
    <w:rsid w:val="0005691A"/>
    <w:rsid w:val="00057BC5"/>
    <w:rsid w:val="0006139A"/>
    <w:rsid w:val="000626D7"/>
    <w:rsid w:val="0006683D"/>
    <w:rsid w:val="00066F08"/>
    <w:rsid w:val="00067E3C"/>
    <w:rsid w:val="00073C40"/>
    <w:rsid w:val="0007495D"/>
    <w:rsid w:val="00075500"/>
    <w:rsid w:val="0007590A"/>
    <w:rsid w:val="000766E9"/>
    <w:rsid w:val="00077DB5"/>
    <w:rsid w:val="00080FED"/>
    <w:rsid w:val="0008188C"/>
    <w:rsid w:val="0008381F"/>
    <w:rsid w:val="00093D25"/>
    <w:rsid w:val="00095420"/>
    <w:rsid w:val="000A1C40"/>
    <w:rsid w:val="000A2B04"/>
    <w:rsid w:val="000B2320"/>
    <w:rsid w:val="000B3741"/>
    <w:rsid w:val="000B7128"/>
    <w:rsid w:val="000B7B3D"/>
    <w:rsid w:val="000C299F"/>
    <w:rsid w:val="000C4659"/>
    <w:rsid w:val="000C50FB"/>
    <w:rsid w:val="000C62CF"/>
    <w:rsid w:val="000D6D8C"/>
    <w:rsid w:val="000E00AF"/>
    <w:rsid w:val="000E1E68"/>
    <w:rsid w:val="000F16EC"/>
    <w:rsid w:val="000F3A3A"/>
    <w:rsid w:val="000F4065"/>
    <w:rsid w:val="000F62E0"/>
    <w:rsid w:val="000F720E"/>
    <w:rsid w:val="000F7DE6"/>
    <w:rsid w:val="001049D4"/>
    <w:rsid w:val="00105272"/>
    <w:rsid w:val="0010695F"/>
    <w:rsid w:val="00107FF4"/>
    <w:rsid w:val="0011000A"/>
    <w:rsid w:val="0011417D"/>
    <w:rsid w:val="00114CB2"/>
    <w:rsid w:val="001159CD"/>
    <w:rsid w:val="001159FD"/>
    <w:rsid w:val="001163EF"/>
    <w:rsid w:val="00116799"/>
    <w:rsid w:val="001220BD"/>
    <w:rsid w:val="00122571"/>
    <w:rsid w:val="00123A11"/>
    <w:rsid w:val="00124FA4"/>
    <w:rsid w:val="001256ED"/>
    <w:rsid w:val="00131D93"/>
    <w:rsid w:val="00132B21"/>
    <w:rsid w:val="00135B24"/>
    <w:rsid w:val="00136946"/>
    <w:rsid w:val="00141010"/>
    <w:rsid w:val="00142F8A"/>
    <w:rsid w:val="00143BA3"/>
    <w:rsid w:val="00145761"/>
    <w:rsid w:val="001518DC"/>
    <w:rsid w:val="001523DD"/>
    <w:rsid w:val="001618C7"/>
    <w:rsid w:val="00163583"/>
    <w:rsid w:val="00167308"/>
    <w:rsid w:val="00167871"/>
    <w:rsid w:val="00167E10"/>
    <w:rsid w:val="00170DD0"/>
    <w:rsid w:val="001727CB"/>
    <w:rsid w:val="00173572"/>
    <w:rsid w:val="001753D4"/>
    <w:rsid w:val="00176C8A"/>
    <w:rsid w:val="001802E8"/>
    <w:rsid w:val="0018137C"/>
    <w:rsid w:val="00182B9C"/>
    <w:rsid w:val="00182FAD"/>
    <w:rsid w:val="001876E7"/>
    <w:rsid w:val="00193917"/>
    <w:rsid w:val="00194446"/>
    <w:rsid w:val="00194ECE"/>
    <w:rsid w:val="001967D5"/>
    <w:rsid w:val="00196B17"/>
    <w:rsid w:val="001B1999"/>
    <w:rsid w:val="001B3E38"/>
    <w:rsid w:val="001B49F9"/>
    <w:rsid w:val="001B551E"/>
    <w:rsid w:val="001C04E2"/>
    <w:rsid w:val="001C3C53"/>
    <w:rsid w:val="001C73A5"/>
    <w:rsid w:val="001D110A"/>
    <w:rsid w:val="001D1BD2"/>
    <w:rsid w:val="001D586E"/>
    <w:rsid w:val="001E145D"/>
    <w:rsid w:val="001E166B"/>
    <w:rsid w:val="001E23A7"/>
    <w:rsid w:val="001E23E2"/>
    <w:rsid w:val="001E3521"/>
    <w:rsid w:val="001F0433"/>
    <w:rsid w:val="001F0F21"/>
    <w:rsid w:val="001F6099"/>
    <w:rsid w:val="00202AB8"/>
    <w:rsid w:val="00202F77"/>
    <w:rsid w:val="002033A0"/>
    <w:rsid w:val="002060EC"/>
    <w:rsid w:val="00207B1D"/>
    <w:rsid w:val="00210C3D"/>
    <w:rsid w:val="002253E1"/>
    <w:rsid w:val="0022557C"/>
    <w:rsid w:val="00232C0F"/>
    <w:rsid w:val="00232DE8"/>
    <w:rsid w:val="00243A81"/>
    <w:rsid w:val="0025097C"/>
    <w:rsid w:val="00251AEA"/>
    <w:rsid w:val="0026294D"/>
    <w:rsid w:val="00265094"/>
    <w:rsid w:val="00281FDF"/>
    <w:rsid w:val="00286E6E"/>
    <w:rsid w:val="00290092"/>
    <w:rsid w:val="00290410"/>
    <w:rsid w:val="00290728"/>
    <w:rsid w:val="00291E89"/>
    <w:rsid w:val="00297ACA"/>
    <w:rsid w:val="002A0CA4"/>
    <w:rsid w:val="002A4EFA"/>
    <w:rsid w:val="002A5293"/>
    <w:rsid w:val="002A6FE1"/>
    <w:rsid w:val="002A72AA"/>
    <w:rsid w:val="002B4347"/>
    <w:rsid w:val="002B7C98"/>
    <w:rsid w:val="002C29E5"/>
    <w:rsid w:val="002C3926"/>
    <w:rsid w:val="002C4B05"/>
    <w:rsid w:val="002C5369"/>
    <w:rsid w:val="002D20F6"/>
    <w:rsid w:val="002D2162"/>
    <w:rsid w:val="002D2932"/>
    <w:rsid w:val="002D2D8D"/>
    <w:rsid w:val="002D5018"/>
    <w:rsid w:val="002D52C3"/>
    <w:rsid w:val="002D7536"/>
    <w:rsid w:val="002D7E4D"/>
    <w:rsid w:val="002E140F"/>
    <w:rsid w:val="002E316D"/>
    <w:rsid w:val="002E3773"/>
    <w:rsid w:val="002E5CE4"/>
    <w:rsid w:val="002F133F"/>
    <w:rsid w:val="002F2265"/>
    <w:rsid w:val="002F3EC0"/>
    <w:rsid w:val="002F567D"/>
    <w:rsid w:val="002F7B32"/>
    <w:rsid w:val="00305EC5"/>
    <w:rsid w:val="0031045A"/>
    <w:rsid w:val="00310839"/>
    <w:rsid w:val="00311A00"/>
    <w:rsid w:val="00311DF9"/>
    <w:rsid w:val="00314A08"/>
    <w:rsid w:val="00327E97"/>
    <w:rsid w:val="00330E0B"/>
    <w:rsid w:val="0033231A"/>
    <w:rsid w:val="00345D11"/>
    <w:rsid w:val="00347BA1"/>
    <w:rsid w:val="0035046C"/>
    <w:rsid w:val="00357367"/>
    <w:rsid w:val="00362D07"/>
    <w:rsid w:val="0037058E"/>
    <w:rsid w:val="00371890"/>
    <w:rsid w:val="00372449"/>
    <w:rsid w:val="0037276A"/>
    <w:rsid w:val="00373CD5"/>
    <w:rsid w:val="0037555A"/>
    <w:rsid w:val="00383D8E"/>
    <w:rsid w:val="00384E9B"/>
    <w:rsid w:val="00390DC2"/>
    <w:rsid w:val="003924F4"/>
    <w:rsid w:val="00397C8D"/>
    <w:rsid w:val="003A0918"/>
    <w:rsid w:val="003A3DE2"/>
    <w:rsid w:val="003A5B9A"/>
    <w:rsid w:val="003A5DB7"/>
    <w:rsid w:val="003B2376"/>
    <w:rsid w:val="003B4E7A"/>
    <w:rsid w:val="003B5065"/>
    <w:rsid w:val="003B5339"/>
    <w:rsid w:val="003C2F46"/>
    <w:rsid w:val="003C4EB9"/>
    <w:rsid w:val="003C59CE"/>
    <w:rsid w:val="003C61B5"/>
    <w:rsid w:val="003D30E7"/>
    <w:rsid w:val="003D695E"/>
    <w:rsid w:val="003E3096"/>
    <w:rsid w:val="003E34CD"/>
    <w:rsid w:val="003E39FA"/>
    <w:rsid w:val="003E5A6C"/>
    <w:rsid w:val="003F2F6F"/>
    <w:rsid w:val="003F4370"/>
    <w:rsid w:val="003F4C19"/>
    <w:rsid w:val="003F5BD2"/>
    <w:rsid w:val="003F7171"/>
    <w:rsid w:val="003F7B07"/>
    <w:rsid w:val="004016F9"/>
    <w:rsid w:val="00401E3C"/>
    <w:rsid w:val="00402BC1"/>
    <w:rsid w:val="00405E5B"/>
    <w:rsid w:val="0041056D"/>
    <w:rsid w:val="00412699"/>
    <w:rsid w:val="0041278D"/>
    <w:rsid w:val="00414A1D"/>
    <w:rsid w:val="00414F7F"/>
    <w:rsid w:val="00415BC3"/>
    <w:rsid w:val="0041785C"/>
    <w:rsid w:val="0042540A"/>
    <w:rsid w:val="00425E01"/>
    <w:rsid w:val="00430835"/>
    <w:rsid w:val="00432108"/>
    <w:rsid w:val="00434211"/>
    <w:rsid w:val="004433BE"/>
    <w:rsid w:val="00443426"/>
    <w:rsid w:val="00450727"/>
    <w:rsid w:val="00467233"/>
    <w:rsid w:val="00467719"/>
    <w:rsid w:val="0047203B"/>
    <w:rsid w:val="00481003"/>
    <w:rsid w:val="004858E3"/>
    <w:rsid w:val="00487FAD"/>
    <w:rsid w:val="0049234F"/>
    <w:rsid w:val="0049467D"/>
    <w:rsid w:val="00497071"/>
    <w:rsid w:val="004A11FC"/>
    <w:rsid w:val="004A4084"/>
    <w:rsid w:val="004B6F7D"/>
    <w:rsid w:val="004B7BD3"/>
    <w:rsid w:val="004B7C47"/>
    <w:rsid w:val="004D222E"/>
    <w:rsid w:val="004D336C"/>
    <w:rsid w:val="004D5AF6"/>
    <w:rsid w:val="004D757A"/>
    <w:rsid w:val="004F0B1A"/>
    <w:rsid w:val="004F0C9F"/>
    <w:rsid w:val="004F1355"/>
    <w:rsid w:val="004F3BB5"/>
    <w:rsid w:val="004F3C46"/>
    <w:rsid w:val="004F5B65"/>
    <w:rsid w:val="004F6066"/>
    <w:rsid w:val="004F6C8C"/>
    <w:rsid w:val="005034E2"/>
    <w:rsid w:val="00503CA8"/>
    <w:rsid w:val="005048C1"/>
    <w:rsid w:val="00523303"/>
    <w:rsid w:val="00523D6A"/>
    <w:rsid w:val="00525B8E"/>
    <w:rsid w:val="0052774F"/>
    <w:rsid w:val="00527D21"/>
    <w:rsid w:val="0053351A"/>
    <w:rsid w:val="00537EFE"/>
    <w:rsid w:val="00543648"/>
    <w:rsid w:val="005513C9"/>
    <w:rsid w:val="00560146"/>
    <w:rsid w:val="00561F06"/>
    <w:rsid w:val="00562CEA"/>
    <w:rsid w:val="0056489C"/>
    <w:rsid w:val="00567FF5"/>
    <w:rsid w:val="00570B39"/>
    <w:rsid w:val="00575A9A"/>
    <w:rsid w:val="005843AC"/>
    <w:rsid w:val="00585789"/>
    <w:rsid w:val="00585AA7"/>
    <w:rsid w:val="0058720B"/>
    <w:rsid w:val="00587F15"/>
    <w:rsid w:val="00593F22"/>
    <w:rsid w:val="005941B5"/>
    <w:rsid w:val="005A0B65"/>
    <w:rsid w:val="005A2F4E"/>
    <w:rsid w:val="005A54F2"/>
    <w:rsid w:val="005B02D1"/>
    <w:rsid w:val="005B1224"/>
    <w:rsid w:val="005B1738"/>
    <w:rsid w:val="005B27FB"/>
    <w:rsid w:val="005C10F6"/>
    <w:rsid w:val="005C31B7"/>
    <w:rsid w:val="005D248F"/>
    <w:rsid w:val="005E0EFD"/>
    <w:rsid w:val="005E53A8"/>
    <w:rsid w:val="005E583B"/>
    <w:rsid w:val="005E7BCB"/>
    <w:rsid w:val="005F1C00"/>
    <w:rsid w:val="005F6EDE"/>
    <w:rsid w:val="0061107E"/>
    <w:rsid w:val="0061493D"/>
    <w:rsid w:val="006172F1"/>
    <w:rsid w:val="00625CEE"/>
    <w:rsid w:val="0062657E"/>
    <w:rsid w:val="00632F6B"/>
    <w:rsid w:val="00636C6A"/>
    <w:rsid w:val="00642209"/>
    <w:rsid w:val="006467E1"/>
    <w:rsid w:val="0065640E"/>
    <w:rsid w:val="00663BAA"/>
    <w:rsid w:val="00665036"/>
    <w:rsid w:val="00666F3B"/>
    <w:rsid w:val="006679F2"/>
    <w:rsid w:val="0067457F"/>
    <w:rsid w:val="006767B7"/>
    <w:rsid w:val="00680B9B"/>
    <w:rsid w:val="00681DAB"/>
    <w:rsid w:val="006929C9"/>
    <w:rsid w:val="00696E2D"/>
    <w:rsid w:val="006A2809"/>
    <w:rsid w:val="006A55EB"/>
    <w:rsid w:val="006A70D0"/>
    <w:rsid w:val="006B37E1"/>
    <w:rsid w:val="006C1313"/>
    <w:rsid w:val="006C1DA8"/>
    <w:rsid w:val="006C4695"/>
    <w:rsid w:val="006C7CB7"/>
    <w:rsid w:val="006E2CE0"/>
    <w:rsid w:val="006E2F87"/>
    <w:rsid w:val="006E6CC6"/>
    <w:rsid w:val="006E759E"/>
    <w:rsid w:val="006F3E62"/>
    <w:rsid w:val="006F538C"/>
    <w:rsid w:val="00706160"/>
    <w:rsid w:val="0071156A"/>
    <w:rsid w:val="00715600"/>
    <w:rsid w:val="00721D30"/>
    <w:rsid w:val="007245C5"/>
    <w:rsid w:val="00731FAE"/>
    <w:rsid w:val="00732B4F"/>
    <w:rsid w:val="0073777B"/>
    <w:rsid w:val="00744063"/>
    <w:rsid w:val="00756566"/>
    <w:rsid w:val="00757F94"/>
    <w:rsid w:val="00772D5D"/>
    <w:rsid w:val="007754B5"/>
    <w:rsid w:val="00776B2C"/>
    <w:rsid w:val="00784D64"/>
    <w:rsid w:val="00785EDE"/>
    <w:rsid w:val="00786897"/>
    <w:rsid w:val="007910DE"/>
    <w:rsid w:val="00794E18"/>
    <w:rsid w:val="007A49A2"/>
    <w:rsid w:val="007A7ABC"/>
    <w:rsid w:val="007B024A"/>
    <w:rsid w:val="007B0612"/>
    <w:rsid w:val="007B090A"/>
    <w:rsid w:val="007B174D"/>
    <w:rsid w:val="007B1E67"/>
    <w:rsid w:val="007B7C1F"/>
    <w:rsid w:val="007C0617"/>
    <w:rsid w:val="007C0908"/>
    <w:rsid w:val="007C2A40"/>
    <w:rsid w:val="007C4C9E"/>
    <w:rsid w:val="007C5A21"/>
    <w:rsid w:val="007C6348"/>
    <w:rsid w:val="007D741C"/>
    <w:rsid w:val="007D7525"/>
    <w:rsid w:val="007E077F"/>
    <w:rsid w:val="007E2172"/>
    <w:rsid w:val="007E3AA1"/>
    <w:rsid w:val="007E6CCA"/>
    <w:rsid w:val="007E79D4"/>
    <w:rsid w:val="007F51A0"/>
    <w:rsid w:val="00810148"/>
    <w:rsid w:val="00813103"/>
    <w:rsid w:val="00813D4E"/>
    <w:rsid w:val="0081456F"/>
    <w:rsid w:val="0082109A"/>
    <w:rsid w:val="0082413D"/>
    <w:rsid w:val="008246BA"/>
    <w:rsid w:val="00830380"/>
    <w:rsid w:val="00831911"/>
    <w:rsid w:val="00832767"/>
    <w:rsid w:val="008362CD"/>
    <w:rsid w:val="00847813"/>
    <w:rsid w:val="0085212E"/>
    <w:rsid w:val="0085592D"/>
    <w:rsid w:val="008603C7"/>
    <w:rsid w:val="00860ACB"/>
    <w:rsid w:val="008740EA"/>
    <w:rsid w:val="00875848"/>
    <w:rsid w:val="00876A25"/>
    <w:rsid w:val="00882849"/>
    <w:rsid w:val="00890436"/>
    <w:rsid w:val="00893F9C"/>
    <w:rsid w:val="00894B25"/>
    <w:rsid w:val="00895877"/>
    <w:rsid w:val="00895E49"/>
    <w:rsid w:val="008A214C"/>
    <w:rsid w:val="008A64D4"/>
    <w:rsid w:val="008A7592"/>
    <w:rsid w:val="008B0434"/>
    <w:rsid w:val="008B2F56"/>
    <w:rsid w:val="008B40CC"/>
    <w:rsid w:val="008B559F"/>
    <w:rsid w:val="008C5D0A"/>
    <w:rsid w:val="008C69EC"/>
    <w:rsid w:val="008D265C"/>
    <w:rsid w:val="008D30DB"/>
    <w:rsid w:val="008D3D07"/>
    <w:rsid w:val="008D5135"/>
    <w:rsid w:val="008E0845"/>
    <w:rsid w:val="008E1CAE"/>
    <w:rsid w:val="008F02B0"/>
    <w:rsid w:val="009019AB"/>
    <w:rsid w:val="009021CF"/>
    <w:rsid w:val="009125FB"/>
    <w:rsid w:val="00920DFE"/>
    <w:rsid w:val="00924056"/>
    <w:rsid w:val="009315E1"/>
    <w:rsid w:val="00931F86"/>
    <w:rsid w:val="00932544"/>
    <w:rsid w:val="009435C4"/>
    <w:rsid w:val="0094696C"/>
    <w:rsid w:val="009516ED"/>
    <w:rsid w:val="00955358"/>
    <w:rsid w:val="00956BF7"/>
    <w:rsid w:val="009668EE"/>
    <w:rsid w:val="0097005B"/>
    <w:rsid w:val="009704E4"/>
    <w:rsid w:val="00970B59"/>
    <w:rsid w:val="00971109"/>
    <w:rsid w:val="00971A61"/>
    <w:rsid w:val="00981DE0"/>
    <w:rsid w:val="00984A4A"/>
    <w:rsid w:val="009870AB"/>
    <w:rsid w:val="00991E5D"/>
    <w:rsid w:val="009927C0"/>
    <w:rsid w:val="00993DD9"/>
    <w:rsid w:val="00997ED2"/>
    <w:rsid w:val="009A1323"/>
    <w:rsid w:val="009A331F"/>
    <w:rsid w:val="009A3A99"/>
    <w:rsid w:val="009B0796"/>
    <w:rsid w:val="009B0B3F"/>
    <w:rsid w:val="009B45C5"/>
    <w:rsid w:val="009B7B13"/>
    <w:rsid w:val="009C0B9B"/>
    <w:rsid w:val="009C1B45"/>
    <w:rsid w:val="009C2397"/>
    <w:rsid w:val="009C4129"/>
    <w:rsid w:val="009D0382"/>
    <w:rsid w:val="009D3971"/>
    <w:rsid w:val="009D6310"/>
    <w:rsid w:val="009D70E9"/>
    <w:rsid w:val="009E06D2"/>
    <w:rsid w:val="009E3B53"/>
    <w:rsid w:val="009E66E1"/>
    <w:rsid w:val="009E68C4"/>
    <w:rsid w:val="009F6466"/>
    <w:rsid w:val="00A014B1"/>
    <w:rsid w:val="00A03E72"/>
    <w:rsid w:val="00A047F6"/>
    <w:rsid w:val="00A06309"/>
    <w:rsid w:val="00A0771A"/>
    <w:rsid w:val="00A07778"/>
    <w:rsid w:val="00A1728A"/>
    <w:rsid w:val="00A200A1"/>
    <w:rsid w:val="00A20BA4"/>
    <w:rsid w:val="00A22D04"/>
    <w:rsid w:val="00A257D4"/>
    <w:rsid w:val="00A27611"/>
    <w:rsid w:val="00A30C3A"/>
    <w:rsid w:val="00A31064"/>
    <w:rsid w:val="00A355C6"/>
    <w:rsid w:val="00A362D5"/>
    <w:rsid w:val="00A3755D"/>
    <w:rsid w:val="00A41FAC"/>
    <w:rsid w:val="00A428E6"/>
    <w:rsid w:val="00A46E68"/>
    <w:rsid w:val="00A514AC"/>
    <w:rsid w:val="00A537E7"/>
    <w:rsid w:val="00A541CF"/>
    <w:rsid w:val="00A55BAC"/>
    <w:rsid w:val="00A55BB5"/>
    <w:rsid w:val="00A61448"/>
    <w:rsid w:val="00A70507"/>
    <w:rsid w:val="00A736A0"/>
    <w:rsid w:val="00A749A9"/>
    <w:rsid w:val="00A8148C"/>
    <w:rsid w:val="00A827A0"/>
    <w:rsid w:val="00A82D05"/>
    <w:rsid w:val="00A90729"/>
    <w:rsid w:val="00A90F04"/>
    <w:rsid w:val="00A91104"/>
    <w:rsid w:val="00AA1149"/>
    <w:rsid w:val="00AA23B5"/>
    <w:rsid w:val="00AA4BAF"/>
    <w:rsid w:val="00AA58D0"/>
    <w:rsid w:val="00AA6A54"/>
    <w:rsid w:val="00AB219F"/>
    <w:rsid w:val="00AB680D"/>
    <w:rsid w:val="00AD03DC"/>
    <w:rsid w:val="00AD47E9"/>
    <w:rsid w:val="00AD6B0F"/>
    <w:rsid w:val="00AD7A91"/>
    <w:rsid w:val="00AE3B6F"/>
    <w:rsid w:val="00AE5DE7"/>
    <w:rsid w:val="00AF01E3"/>
    <w:rsid w:val="00AF19D9"/>
    <w:rsid w:val="00B01887"/>
    <w:rsid w:val="00B02EB5"/>
    <w:rsid w:val="00B0355C"/>
    <w:rsid w:val="00B0424A"/>
    <w:rsid w:val="00B072AD"/>
    <w:rsid w:val="00B102DE"/>
    <w:rsid w:val="00B12C5D"/>
    <w:rsid w:val="00B14615"/>
    <w:rsid w:val="00B20BC2"/>
    <w:rsid w:val="00B2239E"/>
    <w:rsid w:val="00B27340"/>
    <w:rsid w:val="00B306F2"/>
    <w:rsid w:val="00B404DD"/>
    <w:rsid w:val="00B41D86"/>
    <w:rsid w:val="00B468FB"/>
    <w:rsid w:val="00B53151"/>
    <w:rsid w:val="00B5342A"/>
    <w:rsid w:val="00B54E8D"/>
    <w:rsid w:val="00B6251C"/>
    <w:rsid w:val="00B668E2"/>
    <w:rsid w:val="00B6693F"/>
    <w:rsid w:val="00B74318"/>
    <w:rsid w:val="00B7727D"/>
    <w:rsid w:val="00B77DA7"/>
    <w:rsid w:val="00B81733"/>
    <w:rsid w:val="00B839C3"/>
    <w:rsid w:val="00B8492F"/>
    <w:rsid w:val="00B90891"/>
    <w:rsid w:val="00B930E0"/>
    <w:rsid w:val="00B9498A"/>
    <w:rsid w:val="00BA31BA"/>
    <w:rsid w:val="00BA53BC"/>
    <w:rsid w:val="00BA5510"/>
    <w:rsid w:val="00BA6DD9"/>
    <w:rsid w:val="00BA7788"/>
    <w:rsid w:val="00BA7B9F"/>
    <w:rsid w:val="00BB04B4"/>
    <w:rsid w:val="00BC3EA0"/>
    <w:rsid w:val="00BC5089"/>
    <w:rsid w:val="00BD3188"/>
    <w:rsid w:val="00BD5FDF"/>
    <w:rsid w:val="00BD672E"/>
    <w:rsid w:val="00BE04E5"/>
    <w:rsid w:val="00BE358C"/>
    <w:rsid w:val="00BE36E3"/>
    <w:rsid w:val="00BF09DE"/>
    <w:rsid w:val="00BF6039"/>
    <w:rsid w:val="00C0489E"/>
    <w:rsid w:val="00C10EBC"/>
    <w:rsid w:val="00C116DE"/>
    <w:rsid w:val="00C17661"/>
    <w:rsid w:val="00C213A1"/>
    <w:rsid w:val="00C22D56"/>
    <w:rsid w:val="00C2484B"/>
    <w:rsid w:val="00C24F94"/>
    <w:rsid w:val="00C25A77"/>
    <w:rsid w:val="00C26D19"/>
    <w:rsid w:val="00C279F5"/>
    <w:rsid w:val="00C27BFE"/>
    <w:rsid w:val="00C3263C"/>
    <w:rsid w:val="00C349DE"/>
    <w:rsid w:val="00C372B3"/>
    <w:rsid w:val="00C44E09"/>
    <w:rsid w:val="00C54069"/>
    <w:rsid w:val="00C55FC0"/>
    <w:rsid w:val="00C667D8"/>
    <w:rsid w:val="00C67FC0"/>
    <w:rsid w:val="00C75631"/>
    <w:rsid w:val="00C8097A"/>
    <w:rsid w:val="00C81209"/>
    <w:rsid w:val="00C82ABC"/>
    <w:rsid w:val="00C90BF0"/>
    <w:rsid w:val="00C936C2"/>
    <w:rsid w:val="00C94A29"/>
    <w:rsid w:val="00C96B15"/>
    <w:rsid w:val="00CA4E90"/>
    <w:rsid w:val="00CA5946"/>
    <w:rsid w:val="00CA6E19"/>
    <w:rsid w:val="00CB060B"/>
    <w:rsid w:val="00CB717B"/>
    <w:rsid w:val="00CB771D"/>
    <w:rsid w:val="00CB7F39"/>
    <w:rsid w:val="00CC1006"/>
    <w:rsid w:val="00CC1AB1"/>
    <w:rsid w:val="00CC6D2A"/>
    <w:rsid w:val="00CD2A99"/>
    <w:rsid w:val="00CD3096"/>
    <w:rsid w:val="00CD3F9F"/>
    <w:rsid w:val="00CD532F"/>
    <w:rsid w:val="00CE1ADA"/>
    <w:rsid w:val="00CE5474"/>
    <w:rsid w:val="00CF0B17"/>
    <w:rsid w:val="00CF34EB"/>
    <w:rsid w:val="00D02BBB"/>
    <w:rsid w:val="00D20DDF"/>
    <w:rsid w:val="00D241C1"/>
    <w:rsid w:val="00D278AA"/>
    <w:rsid w:val="00D3058A"/>
    <w:rsid w:val="00D447AC"/>
    <w:rsid w:val="00D479EF"/>
    <w:rsid w:val="00D47E19"/>
    <w:rsid w:val="00D626B7"/>
    <w:rsid w:val="00D76732"/>
    <w:rsid w:val="00D80446"/>
    <w:rsid w:val="00D84F8E"/>
    <w:rsid w:val="00D8514D"/>
    <w:rsid w:val="00D923B2"/>
    <w:rsid w:val="00D94BEA"/>
    <w:rsid w:val="00DA2762"/>
    <w:rsid w:val="00DB008B"/>
    <w:rsid w:val="00DB1682"/>
    <w:rsid w:val="00DB63A6"/>
    <w:rsid w:val="00DB7D38"/>
    <w:rsid w:val="00DC341E"/>
    <w:rsid w:val="00DC4A47"/>
    <w:rsid w:val="00DD638B"/>
    <w:rsid w:val="00DD7964"/>
    <w:rsid w:val="00DE0A47"/>
    <w:rsid w:val="00DE4712"/>
    <w:rsid w:val="00DE5A87"/>
    <w:rsid w:val="00DE5C86"/>
    <w:rsid w:val="00DE5EBD"/>
    <w:rsid w:val="00DE64D6"/>
    <w:rsid w:val="00DE724C"/>
    <w:rsid w:val="00DE7440"/>
    <w:rsid w:val="00DF2E7B"/>
    <w:rsid w:val="00DF646A"/>
    <w:rsid w:val="00DF7CED"/>
    <w:rsid w:val="00E03614"/>
    <w:rsid w:val="00E069A1"/>
    <w:rsid w:val="00E07A07"/>
    <w:rsid w:val="00E23B3A"/>
    <w:rsid w:val="00E312AB"/>
    <w:rsid w:val="00E3367B"/>
    <w:rsid w:val="00E35452"/>
    <w:rsid w:val="00E44EFF"/>
    <w:rsid w:val="00E46A4C"/>
    <w:rsid w:val="00E4764B"/>
    <w:rsid w:val="00E47F14"/>
    <w:rsid w:val="00E5466A"/>
    <w:rsid w:val="00E624FA"/>
    <w:rsid w:val="00E63830"/>
    <w:rsid w:val="00E63982"/>
    <w:rsid w:val="00E652BF"/>
    <w:rsid w:val="00E718BD"/>
    <w:rsid w:val="00E75836"/>
    <w:rsid w:val="00E76818"/>
    <w:rsid w:val="00E76B5F"/>
    <w:rsid w:val="00E82E14"/>
    <w:rsid w:val="00E84BA5"/>
    <w:rsid w:val="00E93AD6"/>
    <w:rsid w:val="00EA23F2"/>
    <w:rsid w:val="00EA6737"/>
    <w:rsid w:val="00EB7158"/>
    <w:rsid w:val="00EC1328"/>
    <w:rsid w:val="00EC7333"/>
    <w:rsid w:val="00ED2E63"/>
    <w:rsid w:val="00EE0A43"/>
    <w:rsid w:val="00EE1F9B"/>
    <w:rsid w:val="00EE3214"/>
    <w:rsid w:val="00EE6FAC"/>
    <w:rsid w:val="00EF1849"/>
    <w:rsid w:val="00EF69BA"/>
    <w:rsid w:val="00F00C86"/>
    <w:rsid w:val="00F020FF"/>
    <w:rsid w:val="00F043A8"/>
    <w:rsid w:val="00F05791"/>
    <w:rsid w:val="00F05A1E"/>
    <w:rsid w:val="00F124B6"/>
    <w:rsid w:val="00F1308D"/>
    <w:rsid w:val="00F160FD"/>
    <w:rsid w:val="00F17CC8"/>
    <w:rsid w:val="00F26319"/>
    <w:rsid w:val="00F26422"/>
    <w:rsid w:val="00F2691E"/>
    <w:rsid w:val="00F306C2"/>
    <w:rsid w:val="00F30E49"/>
    <w:rsid w:val="00F34FBE"/>
    <w:rsid w:val="00F42D05"/>
    <w:rsid w:val="00F43843"/>
    <w:rsid w:val="00F4547B"/>
    <w:rsid w:val="00F467CB"/>
    <w:rsid w:val="00F507C4"/>
    <w:rsid w:val="00F57E0A"/>
    <w:rsid w:val="00F60BF3"/>
    <w:rsid w:val="00F62AD6"/>
    <w:rsid w:val="00F637B2"/>
    <w:rsid w:val="00F67C14"/>
    <w:rsid w:val="00F719D2"/>
    <w:rsid w:val="00F74FA4"/>
    <w:rsid w:val="00F76364"/>
    <w:rsid w:val="00F76CC1"/>
    <w:rsid w:val="00F82F97"/>
    <w:rsid w:val="00F84682"/>
    <w:rsid w:val="00F86C34"/>
    <w:rsid w:val="00F86D0A"/>
    <w:rsid w:val="00F86E8E"/>
    <w:rsid w:val="00F915C8"/>
    <w:rsid w:val="00F91B9E"/>
    <w:rsid w:val="00F93B8D"/>
    <w:rsid w:val="00F94F64"/>
    <w:rsid w:val="00FA1A5E"/>
    <w:rsid w:val="00FA60B6"/>
    <w:rsid w:val="00FA695C"/>
    <w:rsid w:val="00FA74B2"/>
    <w:rsid w:val="00FA7ABB"/>
    <w:rsid w:val="00FA7EFC"/>
    <w:rsid w:val="00FB042E"/>
    <w:rsid w:val="00FB3ACD"/>
    <w:rsid w:val="00FB7071"/>
    <w:rsid w:val="00FC2464"/>
    <w:rsid w:val="00FC294E"/>
    <w:rsid w:val="00FC6EA7"/>
    <w:rsid w:val="00FC7AE8"/>
    <w:rsid w:val="00FC7E7F"/>
    <w:rsid w:val="00FD020E"/>
    <w:rsid w:val="00FD696C"/>
    <w:rsid w:val="00FE08FA"/>
    <w:rsid w:val="00FE1832"/>
    <w:rsid w:val="00FE237A"/>
    <w:rsid w:val="00FE32AF"/>
    <w:rsid w:val="00FE620B"/>
    <w:rsid w:val="00FF1C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A0"/>
    <w:pPr>
      <w:spacing w:after="240" w:line="280" w:lineRule="atLeast"/>
    </w:pPr>
    <w:rPr>
      <w:rFonts w:ascii="Arial" w:eastAsia="Times New Roman" w:hAnsi="Arial"/>
      <w:sz w:val="22"/>
      <w:lang w:val="en-GB" w:eastAsia="en-GB"/>
    </w:rPr>
  </w:style>
  <w:style w:type="paragraph" w:styleId="Heading1">
    <w:name w:val="heading 1"/>
    <w:basedOn w:val="Normal"/>
    <w:next w:val="Normal"/>
    <w:link w:val="Heading1Char"/>
    <w:uiPriority w:val="9"/>
    <w:qFormat/>
    <w:rsid w:val="00A537E7"/>
    <w:pPr>
      <w:spacing w:before="120" w:line="276" w:lineRule="auto"/>
      <w:outlineLvl w:val="0"/>
    </w:pPr>
    <w:rPr>
      <w:b/>
      <w:color w:val="0082AB"/>
      <w:spacing w:val="20"/>
      <w:w w:val="90"/>
      <w:sz w:val="44"/>
      <w:szCs w:val="44"/>
      <w:lang w:val="en-NZ"/>
    </w:rPr>
  </w:style>
  <w:style w:type="paragraph" w:styleId="Heading2">
    <w:name w:val="heading 2"/>
    <w:basedOn w:val="Normal"/>
    <w:next w:val="Normal"/>
    <w:link w:val="Heading2Char"/>
    <w:autoRedefine/>
    <w:qFormat/>
    <w:rsid w:val="0025097C"/>
    <w:pPr>
      <w:keepNext/>
      <w:tabs>
        <w:tab w:val="left" w:pos="5685"/>
      </w:tabs>
      <w:spacing w:before="120" w:after="120" w:line="276" w:lineRule="auto"/>
      <w:outlineLvl w:val="1"/>
    </w:pPr>
    <w:rPr>
      <w:rFonts w:cs="GillSans"/>
      <w:szCs w:val="22"/>
      <w:u w:val="single"/>
      <w:lang w:val="en-NZ" w:eastAsia="en-AU"/>
    </w:rPr>
  </w:style>
  <w:style w:type="paragraph" w:styleId="Heading3">
    <w:name w:val="heading 3"/>
    <w:basedOn w:val="Normal"/>
    <w:next w:val="Normal"/>
    <w:link w:val="Heading3Char"/>
    <w:qFormat/>
    <w:rsid w:val="00A537E7"/>
    <w:pPr>
      <w:keepNext/>
      <w:spacing w:before="60" w:after="60" w:line="240" w:lineRule="atLeast"/>
      <w:outlineLvl w:val="2"/>
    </w:pPr>
    <w:rPr>
      <w:rFonts w:cs="Arial"/>
      <w:b/>
      <w:szCs w:val="22"/>
      <w:lang w:val="en-NZ"/>
    </w:rPr>
  </w:style>
  <w:style w:type="paragraph" w:styleId="Heading4">
    <w:name w:val="heading 4"/>
    <w:basedOn w:val="Normal"/>
    <w:next w:val="Normal"/>
    <w:link w:val="Heading4Char"/>
    <w:qFormat/>
    <w:rsid w:val="00BC3EA0"/>
    <w:pPr>
      <w:spacing w:before="120" w:after="200" w:line="240" w:lineRule="auto"/>
      <w:outlineLvl w:val="3"/>
    </w:pPr>
    <w:rPr>
      <w:b/>
      <w:bCs/>
      <w:color w:val="335087"/>
      <w:sz w:val="20"/>
    </w:rPr>
  </w:style>
  <w:style w:type="paragraph" w:styleId="Heading5">
    <w:name w:val="heading 5"/>
    <w:basedOn w:val="Normal"/>
    <w:next w:val="Normal"/>
    <w:link w:val="Heading5Char"/>
    <w:rsid w:val="00BC3EA0"/>
    <w:pPr>
      <w:keepNext/>
      <w:widowControl w:val="0"/>
      <w:spacing w:before="80" w:after="12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FA7EFC"/>
    <w:pPr>
      <w:spacing w:after="0" w:line="240" w:lineRule="auto"/>
      <w:ind w:left="-1985"/>
      <w:jc w:val="right"/>
    </w:pPr>
    <w:rPr>
      <w:noProof/>
      <w:color w:val="0082AB"/>
      <w:spacing w:val="6"/>
      <w:sz w:val="16"/>
      <w:szCs w:val="16"/>
    </w:rPr>
  </w:style>
  <w:style w:type="character" w:customStyle="1" w:styleId="FooterChar">
    <w:name w:val="Footer Char"/>
    <w:link w:val="Footer"/>
    <w:uiPriority w:val="99"/>
    <w:rsid w:val="00FA7EFC"/>
    <w:rPr>
      <w:rFonts w:ascii="Arial" w:eastAsia="Times New Roman" w:hAnsi="Arial" w:cs="Times New Roman"/>
      <w:noProof/>
      <w:color w:val="0082AB"/>
      <w:spacing w:val="6"/>
      <w:sz w:val="16"/>
      <w:szCs w:val="16"/>
      <w:lang w:val="en-GB" w:eastAsia="en-GB"/>
    </w:rPr>
  </w:style>
  <w:style w:type="table" w:styleId="TableGrid">
    <w:name w:val="Table Grid"/>
    <w:basedOn w:val="TableNormal"/>
    <w:uiPriority w:val="59"/>
    <w:rsid w:val="00BC3EA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basedOn w:val="Normal"/>
    <w:link w:val="ListParagraphChar"/>
    <w:uiPriority w:val="34"/>
    <w:qFormat/>
    <w:rsid w:val="00D278AA"/>
    <w:pPr>
      <w:ind w:left="720"/>
      <w:contextualSpacing/>
    </w:pPr>
  </w:style>
  <w:style w:type="character" w:styleId="Hyperlink">
    <w:name w:val="Hyperlink"/>
    <w:uiPriority w:val="99"/>
    <w:rsid w:val="00537EFE"/>
    <w:rPr>
      <w:color w:val="0082AB"/>
      <w:u w:val="single"/>
    </w:rPr>
  </w:style>
  <w:style w:type="character" w:styleId="CommentReference">
    <w:name w:val="annotation reference"/>
    <w:semiHidden/>
    <w:rsid w:val="00BC3EA0"/>
    <w:rPr>
      <w:sz w:val="16"/>
      <w:szCs w:val="16"/>
    </w:rPr>
  </w:style>
  <w:style w:type="paragraph" w:styleId="CommentText">
    <w:name w:val="annotation text"/>
    <w:basedOn w:val="Normal"/>
    <w:link w:val="CommentTextChar"/>
    <w:semiHidden/>
    <w:rsid w:val="00BC3EA0"/>
    <w:rPr>
      <w:sz w:val="20"/>
    </w:rPr>
  </w:style>
  <w:style w:type="character" w:customStyle="1" w:styleId="CommentTextChar">
    <w:name w:val="Comment Text Char"/>
    <w:link w:val="CommentText"/>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6"/>
      </w:numPr>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Cs w:val="20"/>
      <w:lang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rsid w:val="00BC3EA0"/>
    <w:pPr>
      <w:tabs>
        <w:tab w:val="center" w:pos="4153"/>
        <w:tab w:val="right" w:pos="8306"/>
      </w:tabs>
    </w:pPr>
  </w:style>
  <w:style w:type="character" w:customStyle="1" w:styleId="HeaderChar">
    <w:name w:val="Header Char"/>
    <w:link w:val="Header"/>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12"/>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13"/>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pPr>
      <w:jc w:val="left"/>
    </w:pPr>
  </w:style>
  <w:style w:type="paragraph" w:customStyle="1" w:styleId="Evenfooter-wide">
    <w:name w:val="Even footer-wide"/>
    <w:basedOn w:val="EvenFooter"/>
    <w:rsid w:val="00BC3EA0"/>
  </w:style>
  <w:style w:type="character" w:styleId="FootnoteReference">
    <w:name w:val="footnote reference"/>
    <w:uiPriority w:val="99"/>
    <w:rsid w:val="00BC3EA0"/>
    <w:rPr>
      <w:rFonts w:ascii="Arial" w:hAnsi="Arial"/>
      <w:color w:val="auto"/>
      <w:position w:val="8"/>
      <w:sz w:val="16"/>
    </w:rPr>
  </w:style>
  <w:style w:type="paragraph" w:styleId="FootnoteText">
    <w:name w:val="footnote text"/>
    <w:aliases w:val="Footnote Text Char1,Footnote Text Char Char"/>
    <w:basedOn w:val="Normal"/>
    <w:link w:val="FootnoteTextChar"/>
    <w:uiPriority w:val="99"/>
    <w:rsid w:val="00BC3EA0"/>
    <w:pPr>
      <w:tabs>
        <w:tab w:val="left" w:pos="425"/>
      </w:tabs>
      <w:spacing w:after="60" w:line="240" w:lineRule="auto"/>
      <w:ind w:left="425" w:hanging="425"/>
    </w:pPr>
    <w:rPr>
      <w:sz w:val="18"/>
    </w:rPr>
  </w:style>
  <w:style w:type="character" w:customStyle="1" w:styleId="FootnoteTextChar">
    <w:name w:val="Footnote Text Char"/>
    <w:aliases w:val="Footnote Text Char1 Char,Footnote Text Char Char Char"/>
    <w:link w:val="FootnoteText"/>
    <w:uiPriority w:val="99"/>
    <w:rsid w:val="00BC3EA0"/>
    <w:rPr>
      <w:rFonts w:ascii="Arial" w:eastAsia="Times New Roman" w:hAnsi="Arial" w:cs="Times New Roman"/>
      <w:sz w:val="18"/>
      <w:szCs w:val="20"/>
      <w:lang w:val="en-GB" w:eastAsia="en-GB"/>
    </w:rPr>
  </w:style>
  <w:style w:type="character" w:customStyle="1" w:styleId="Heading1Char">
    <w:name w:val="Heading 1 Char"/>
    <w:link w:val="Heading1"/>
    <w:uiPriority w:val="9"/>
    <w:rsid w:val="00A537E7"/>
    <w:rPr>
      <w:rFonts w:ascii="Arial" w:eastAsia="Times New Roman" w:hAnsi="Arial"/>
      <w:b/>
      <w:color w:val="0082AB"/>
      <w:spacing w:val="20"/>
      <w:w w:val="90"/>
      <w:sz w:val="44"/>
      <w:szCs w:val="44"/>
      <w:lang w:eastAsia="en-GB"/>
    </w:rPr>
  </w:style>
  <w:style w:type="character" w:customStyle="1" w:styleId="Heading2Char">
    <w:name w:val="Heading 2 Char"/>
    <w:link w:val="Heading2"/>
    <w:rsid w:val="0025097C"/>
    <w:rPr>
      <w:rFonts w:ascii="Arial" w:eastAsia="Times New Roman" w:hAnsi="Arial" w:cs="GillSans"/>
      <w:sz w:val="22"/>
      <w:szCs w:val="22"/>
      <w:u w:val="single"/>
      <w:lang w:eastAsia="en-AU"/>
    </w:rPr>
  </w:style>
  <w:style w:type="character" w:customStyle="1" w:styleId="Heading3Char">
    <w:name w:val="Heading 3 Char"/>
    <w:link w:val="Heading3"/>
    <w:rsid w:val="00A537E7"/>
    <w:rPr>
      <w:rFonts w:ascii="Arial" w:eastAsia="Times New Roman" w:hAnsi="Arial" w:cs="Arial"/>
      <w:b/>
      <w:sz w:val="22"/>
      <w:szCs w:val="22"/>
      <w:lang w:eastAsia="en-GB"/>
    </w:rPr>
  </w:style>
  <w:style w:type="character" w:customStyle="1" w:styleId="Heading4Char">
    <w:name w:val="Heading 4 Char"/>
    <w:link w:val="Heading4"/>
    <w:rsid w:val="00BC3EA0"/>
    <w:rPr>
      <w:rFonts w:ascii="Arial" w:eastAsia="Times New Roman" w:hAnsi="Arial" w:cs="Times New Roman"/>
      <w:b/>
      <w:bCs/>
      <w:color w:val="335087"/>
      <w:sz w:val="20"/>
      <w:szCs w:val="20"/>
      <w:lang w:val="en-GB"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8A7592"/>
    <w:pPr>
      <w:autoSpaceDE w:val="0"/>
      <w:autoSpaceDN w:val="0"/>
      <w:adjustRightInd w:val="0"/>
      <w:spacing w:before="120" w:after="120"/>
    </w:pPr>
    <w:rPr>
      <w:rFonts w:cs="GillSans"/>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BC3EA0"/>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 w:type="paragraph" w:styleId="Bibliography">
    <w:name w:val="Bibliography"/>
    <w:basedOn w:val="Normal"/>
    <w:next w:val="Normal"/>
    <w:uiPriority w:val="37"/>
    <w:unhideWhenUsed/>
    <w:rsid w:val="00C67FC0"/>
  </w:style>
  <w:style w:type="character" w:styleId="Strong">
    <w:name w:val="Strong"/>
    <w:uiPriority w:val="22"/>
    <w:qFormat/>
    <w:rsid w:val="001618C7"/>
    <w:rPr>
      <w:b/>
      <w:bCs/>
    </w:rPr>
  </w:style>
  <w:style w:type="character" w:customStyle="1" w:styleId="ListParagraphChar">
    <w:name w:val="List Paragraph Char"/>
    <w:link w:val="ListParagraph"/>
    <w:uiPriority w:val="34"/>
    <w:rsid w:val="00F124B6"/>
    <w:rPr>
      <w:rFonts w:ascii="Arial" w:eastAsia="Times New Roman" w:hAnsi="Arial"/>
      <w:sz w:val="22"/>
      <w:lang w:val="en-GB" w:eastAsia="en-GB"/>
    </w:rPr>
  </w:style>
  <w:style w:type="paragraph" w:styleId="NoSpacing">
    <w:name w:val="No Spacing"/>
    <w:uiPriority w:val="1"/>
    <w:qFormat/>
    <w:rsid w:val="00EF69BA"/>
    <w:pPr>
      <w:keepNext/>
    </w:pPr>
    <w:rPr>
      <w:rFonts w:ascii="Arial" w:eastAsia="Times New Roman" w:hAnsi="Arial" w:cs="Arial"/>
      <w:sz w:val="22"/>
      <w:lang w:eastAsia="en-US"/>
    </w:rPr>
  </w:style>
  <w:style w:type="paragraph" w:customStyle="1" w:styleId="Default">
    <w:name w:val="Default"/>
    <w:rsid w:val="00DE5C86"/>
    <w:pPr>
      <w:autoSpaceDE w:val="0"/>
      <w:autoSpaceDN w:val="0"/>
      <w:adjustRightInd w:val="0"/>
    </w:pPr>
    <w:rPr>
      <w:rFonts w:ascii="Avenir LT Pro" w:hAnsi="Avenir LT Pro" w:cs="Avenir LT Pro"/>
      <w:color w:val="000000"/>
      <w:sz w:val="24"/>
      <w:szCs w:val="24"/>
    </w:rPr>
  </w:style>
  <w:style w:type="paragraph" w:customStyle="1" w:styleId="Subject">
    <w:name w:val="Subject"/>
    <w:basedOn w:val="Normal"/>
    <w:qFormat/>
    <w:rsid w:val="00F86D0A"/>
    <w:pPr>
      <w:keepNext/>
      <w:spacing w:before="60" w:after="120" w:line="240" w:lineRule="auto"/>
    </w:pPr>
    <w:rPr>
      <w:rFonts w:cs="Calibri"/>
      <w:b/>
      <w:color w:val="333333"/>
      <w:sz w:val="36"/>
      <w:szCs w:val="36"/>
      <w:lang w:val="en-NZ" w:eastAsia="en-US"/>
    </w:rPr>
  </w:style>
  <w:style w:type="paragraph" w:styleId="ListBullet">
    <w:name w:val="List Bullet"/>
    <w:basedOn w:val="Normal"/>
    <w:uiPriority w:val="99"/>
    <w:unhideWhenUsed/>
    <w:rsid w:val="00D94BEA"/>
    <w:pPr>
      <w:numPr>
        <w:numId w:val="40"/>
      </w:numPr>
      <w:spacing w:before="120" w:after="120"/>
      <w:ind w:left="357" w:hanging="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A0"/>
    <w:pPr>
      <w:spacing w:after="240" w:line="280" w:lineRule="atLeast"/>
    </w:pPr>
    <w:rPr>
      <w:rFonts w:ascii="Arial" w:eastAsia="Times New Roman" w:hAnsi="Arial"/>
      <w:sz w:val="22"/>
      <w:lang w:val="en-GB" w:eastAsia="en-GB"/>
    </w:rPr>
  </w:style>
  <w:style w:type="paragraph" w:styleId="Heading1">
    <w:name w:val="heading 1"/>
    <w:basedOn w:val="Normal"/>
    <w:next w:val="Normal"/>
    <w:link w:val="Heading1Char"/>
    <w:uiPriority w:val="9"/>
    <w:qFormat/>
    <w:rsid w:val="00A537E7"/>
    <w:pPr>
      <w:spacing w:before="120" w:line="276" w:lineRule="auto"/>
      <w:outlineLvl w:val="0"/>
    </w:pPr>
    <w:rPr>
      <w:b/>
      <w:color w:val="0082AB"/>
      <w:spacing w:val="20"/>
      <w:w w:val="90"/>
      <w:sz w:val="44"/>
      <w:szCs w:val="44"/>
      <w:lang w:val="en-NZ"/>
    </w:rPr>
  </w:style>
  <w:style w:type="paragraph" w:styleId="Heading2">
    <w:name w:val="heading 2"/>
    <w:basedOn w:val="Normal"/>
    <w:next w:val="Normal"/>
    <w:link w:val="Heading2Char"/>
    <w:autoRedefine/>
    <w:qFormat/>
    <w:rsid w:val="0025097C"/>
    <w:pPr>
      <w:keepNext/>
      <w:tabs>
        <w:tab w:val="left" w:pos="5685"/>
      </w:tabs>
      <w:spacing w:before="120" w:after="120" w:line="276" w:lineRule="auto"/>
      <w:outlineLvl w:val="1"/>
    </w:pPr>
    <w:rPr>
      <w:rFonts w:cs="GillSans"/>
      <w:szCs w:val="22"/>
      <w:u w:val="single"/>
      <w:lang w:val="en-NZ" w:eastAsia="en-AU"/>
    </w:rPr>
  </w:style>
  <w:style w:type="paragraph" w:styleId="Heading3">
    <w:name w:val="heading 3"/>
    <w:basedOn w:val="Normal"/>
    <w:next w:val="Normal"/>
    <w:link w:val="Heading3Char"/>
    <w:qFormat/>
    <w:rsid w:val="00A537E7"/>
    <w:pPr>
      <w:keepNext/>
      <w:spacing w:before="60" w:after="60" w:line="240" w:lineRule="atLeast"/>
      <w:outlineLvl w:val="2"/>
    </w:pPr>
    <w:rPr>
      <w:rFonts w:cs="Arial"/>
      <w:b/>
      <w:szCs w:val="22"/>
      <w:lang w:val="en-NZ"/>
    </w:rPr>
  </w:style>
  <w:style w:type="paragraph" w:styleId="Heading4">
    <w:name w:val="heading 4"/>
    <w:basedOn w:val="Normal"/>
    <w:next w:val="Normal"/>
    <w:link w:val="Heading4Char"/>
    <w:qFormat/>
    <w:rsid w:val="00BC3EA0"/>
    <w:pPr>
      <w:spacing w:before="120" w:after="200" w:line="240" w:lineRule="auto"/>
      <w:outlineLvl w:val="3"/>
    </w:pPr>
    <w:rPr>
      <w:b/>
      <w:bCs/>
      <w:color w:val="335087"/>
      <w:sz w:val="20"/>
    </w:rPr>
  </w:style>
  <w:style w:type="paragraph" w:styleId="Heading5">
    <w:name w:val="heading 5"/>
    <w:basedOn w:val="Normal"/>
    <w:next w:val="Normal"/>
    <w:link w:val="Heading5Char"/>
    <w:rsid w:val="00BC3EA0"/>
    <w:pPr>
      <w:keepNext/>
      <w:widowControl w:val="0"/>
      <w:spacing w:before="80" w:after="12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FA7EFC"/>
    <w:pPr>
      <w:spacing w:after="0" w:line="240" w:lineRule="auto"/>
      <w:ind w:left="-1985"/>
      <w:jc w:val="right"/>
    </w:pPr>
    <w:rPr>
      <w:noProof/>
      <w:color w:val="0082AB"/>
      <w:spacing w:val="6"/>
      <w:sz w:val="16"/>
      <w:szCs w:val="16"/>
    </w:rPr>
  </w:style>
  <w:style w:type="character" w:customStyle="1" w:styleId="FooterChar">
    <w:name w:val="Footer Char"/>
    <w:link w:val="Footer"/>
    <w:uiPriority w:val="99"/>
    <w:rsid w:val="00FA7EFC"/>
    <w:rPr>
      <w:rFonts w:ascii="Arial" w:eastAsia="Times New Roman" w:hAnsi="Arial" w:cs="Times New Roman"/>
      <w:noProof/>
      <w:color w:val="0082AB"/>
      <w:spacing w:val="6"/>
      <w:sz w:val="16"/>
      <w:szCs w:val="16"/>
      <w:lang w:val="en-GB" w:eastAsia="en-GB"/>
    </w:rPr>
  </w:style>
  <w:style w:type="table" w:styleId="TableGrid">
    <w:name w:val="Table Grid"/>
    <w:basedOn w:val="TableNormal"/>
    <w:uiPriority w:val="59"/>
    <w:rsid w:val="00BC3EA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basedOn w:val="Normal"/>
    <w:link w:val="ListParagraphChar"/>
    <w:uiPriority w:val="34"/>
    <w:qFormat/>
    <w:rsid w:val="00D278AA"/>
    <w:pPr>
      <w:ind w:left="720"/>
      <w:contextualSpacing/>
    </w:pPr>
  </w:style>
  <w:style w:type="character" w:styleId="Hyperlink">
    <w:name w:val="Hyperlink"/>
    <w:uiPriority w:val="99"/>
    <w:rsid w:val="00537EFE"/>
    <w:rPr>
      <w:color w:val="0082AB"/>
      <w:u w:val="single"/>
    </w:rPr>
  </w:style>
  <w:style w:type="character" w:styleId="CommentReference">
    <w:name w:val="annotation reference"/>
    <w:semiHidden/>
    <w:rsid w:val="00BC3EA0"/>
    <w:rPr>
      <w:sz w:val="16"/>
      <w:szCs w:val="16"/>
    </w:rPr>
  </w:style>
  <w:style w:type="paragraph" w:styleId="CommentText">
    <w:name w:val="annotation text"/>
    <w:basedOn w:val="Normal"/>
    <w:link w:val="CommentTextChar"/>
    <w:semiHidden/>
    <w:rsid w:val="00BC3EA0"/>
    <w:rPr>
      <w:sz w:val="20"/>
    </w:rPr>
  </w:style>
  <w:style w:type="character" w:customStyle="1" w:styleId="CommentTextChar">
    <w:name w:val="Comment Text Char"/>
    <w:link w:val="CommentText"/>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6"/>
      </w:numPr>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Cs w:val="20"/>
      <w:lang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rsid w:val="00BC3EA0"/>
    <w:pPr>
      <w:tabs>
        <w:tab w:val="center" w:pos="4153"/>
        <w:tab w:val="right" w:pos="8306"/>
      </w:tabs>
    </w:pPr>
  </w:style>
  <w:style w:type="character" w:customStyle="1" w:styleId="HeaderChar">
    <w:name w:val="Header Char"/>
    <w:link w:val="Header"/>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12"/>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13"/>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pPr>
      <w:jc w:val="left"/>
    </w:pPr>
  </w:style>
  <w:style w:type="paragraph" w:customStyle="1" w:styleId="Evenfooter-wide">
    <w:name w:val="Even footer-wide"/>
    <w:basedOn w:val="EvenFooter"/>
    <w:rsid w:val="00BC3EA0"/>
  </w:style>
  <w:style w:type="character" w:styleId="FootnoteReference">
    <w:name w:val="footnote reference"/>
    <w:uiPriority w:val="99"/>
    <w:rsid w:val="00BC3EA0"/>
    <w:rPr>
      <w:rFonts w:ascii="Arial" w:hAnsi="Arial"/>
      <w:color w:val="auto"/>
      <w:position w:val="8"/>
      <w:sz w:val="16"/>
    </w:rPr>
  </w:style>
  <w:style w:type="paragraph" w:styleId="FootnoteText">
    <w:name w:val="footnote text"/>
    <w:aliases w:val="Footnote Text Char1,Footnote Text Char Char"/>
    <w:basedOn w:val="Normal"/>
    <w:link w:val="FootnoteTextChar"/>
    <w:uiPriority w:val="99"/>
    <w:rsid w:val="00BC3EA0"/>
    <w:pPr>
      <w:tabs>
        <w:tab w:val="left" w:pos="425"/>
      </w:tabs>
      <w:spacing w:after="60" w:line="240" w:lineRule="auto"/>
      <w:ind w:left="425" w:hanging="425"/>
    </w:pPr>
    <w:rPr>
      <w:sz w:val="18"/>
    </w:rPr>
  </w:style>
  <w:style w:type="character" w:customStyle="1" w:styleId="FootnoteTextChar">
    <w:name w:val="Footnote Text Char"/>
    <w:aliases w:val="Footnote Text Char1 Char,Footnote Text Char Char Char"/>
    <w:link w:val="FootnoteText"/>
    <w:uiPriority w:val="99"/>
    <w:rsid w:val="00BC3EA0"/>
    <w:rPr>
      <w:rFonts w:ascii="Arial" w:eastAsia="Times New Roman" w:hAnsi="Arial" w:cs="Times New Roman"/>
      <w:sz w:val="18"/>
      <w:szCs w:val="20"/>
      <w:lang w:val="en-GB" w:eastAsia="en-GB"/>
    </w:rPr>
  </w:style>
  <w:style w:type="character" w:customStyle="1" w:styleId="Heading1Char">
    <w:name w:val="Heading 1 Char"/>
    <w:link w:val="Heading1"/>
    <w:uiPriority w:val="9"/>
    <w:rsid w:val="00A537E7"/>
    <w:rPr>
      <w:rFonts w:ascii="Arial" w:eastAsia="Times New Roman" w:hAnsi="Arial"/>
      <w:b/>
      <w:color w:val="0082AB"/>
      <w:spacing w:val="20"/>
      <w:w w:val="90"/>
      <w:sz w:val="44"/>
      <w:szCs w:val="44"/>
      <w:lang w:eastAsia="en-GB"/>
    </w:rPr>
  </w:style>
  <w:style w:type="character" w:customStyle="1" w:styleId="Heading2Char">
    <w:name w:val="Heading 2 Char"/>
    <w:link w:val="Heading2"/>
    <w:rsid w:val="0025097C"/>
    <w:rPr>
      <w:rFonts w:ascii="Arial" w:eastAsia="Times New Roman" w:hAnsi="Arial" w:cs="GillSans"/>
      <w:sz w:val="22"/>
      <w:szCs w:val="22"/>
      <w:u w:val="single"/>
      <w:lang w:eastAsia="en-AU"/>
    </w:rPr>
  </w:style>
  <w:style w:type="character" w:customStyle="1" w:styleId="Heading3Char">
    <w:name w:val="Heading 3 Char"/>
    <w:link w:val="Heading3"/>
    <w:rsid w:val="00A537E7"/>
    <w:rPr>
      <w:rFonts w:ascii="Arial" w:eastAsia="Times New Roman" w:hAnsi="Arial" w:cs="Arial"/>
      <w:b/>
      <w:sz w:val="22"/>
      <w:szCs w:val="22"/>
      <w:lang w:eastAsia="en-GB"/>
    </w:rPr>
  </w:style>
  <w:style w:type="character" w:customStyle="1" w:styleId="Heading4Char">
    <w:name w:val="Heading 4 Char"/>
    <w:link w:val="Heading4"/>
    <w:rsid w:val="00BC3EA0"/>
    <w:rPr>
      <w:rFonts w:ascii="Arial" w:eastAsia="Times New Roman" w:hAnsi="Arial" w:cs="Times New Roman"/>
      <w:b/>
      <w:bCs/>
      <w:color w:val="335087"/>
      <w:sz w:val="20"/>
      <w:szCs w:val="20"/>
      <w:lang w:val="en-GB"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8A7592"/>
    <w:pPr>
      <w:autoSpaceDE w:val="0"/>
      <w:autoSpaceDN w:val="0"/>
      <w:adjustRightInd w:val="0"/>
      <w:spacing w:before="120" w:after="120"/>
    </w:pPr>
    <w:rPr>
      <w:rFonts w:cs="GillSans"/>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BC3EA0"/>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 w:type="paragraph" w:styleId="Bibliography">
    <w:name w:val="Bibliography"/>
    <w:basedOn w:val="Normal"/>
    <w:next w:val="Normal"/>
    <w:uiPriority w:val="37"/>
    <w:unhideWhenUsed/>
    <w:rsid w:val="00C67FC0"/>
  </w:style>
  <w:style w:type="character" w:styleId="Strong">
    <w:name w:val="Strong"/>
    <w:uiPriority w:val="22"/>
    <w:qFormat/>
    <w:rsid w:val="001618C7"/>
    <w:rPr>
      <w:b/>
      <w:bCs/>
    </w:rPr>
  </w:style>
  <w:style w:type="character" w:customStyle="1" w:styleId="ListParagraphChar">
    <w:name w:val="List Paragraph Char"/>
    <w:link w:val="ListParagraph"/>
    <w:uiPriority w:val="34"/>
    <w:rsid w:val="00F124B6"/>
    <w:rPr>
      <w:rFonts w:ascii="Arial" w:eastAsia="Times New Roman" w:hAnsi="Arial"/>
      <w:sz w:val="22"/>
      <w:lang w:val="en-GB" w:eastAsia="en-GB"/>
    </w:rPr>
  </w:style>
  <w:style w:type="paragraph" w:styleId="NoSpacing">
    <w:name w:val="No Spacing"/>
    <w:uiPriority w:val="1"/>
    <w:qFormat/>
    <w:rsid w:val="00EF69BA"/>
    <w:pPr>
      <w:keepNext/>
    </w:pPr>
    <w:rPr>
      <w:rFonts w:ascii="Arial" w:eastAsia="Times New Roman" w:hAnsi="Arial" w:cs="Arial"/>
      <w:sz w:val="22"/>
      <w:lang w:eastAsia="en-US"/>
    </w:rPr>
  </w:style>
  <w:style w:type="paragraph" w:customStyle="1" w:styleId="Default">
    <w:name w:val="Default"/>
    <w:rsid w:val="00DE5C86"/>
    <w:pPr>
      <w:autoSpaceDE w:val="0"/>
      <w:autoSpaceDN w:val="0"/>
      <w:adjustRightInd w:val="0"/>
    </w:pPr>
    <w:rPr>
      <w:rFonts w:ascii="Avenir LT Pro" w:hAnsi="Avenir LT Pro" w:cs="Avenir LT Pro"/>
      <w:color w:val="000000"/>
      <w:sz w:val="24"/>
      <w:szCs w:val="24"/>
    </w:rPr>
  </w:style>
  <w:style w:type="paragraph" w:customStyle="1" w:styleId="Subject">
    <w:name w:val="Subject"/>
    <w:basedOn w:val="Normal"/>
    <w:qFormat/>
    <w:rsid w:val="00F86D0A"/>
    <w:pPr>
      <w:keepNext/>
      <w:spacing w:before="60" w:after="120" w:line="240" w:lineRule="auto"/>
    </w:pPr>
    <w:rPr>
      <w:rFonts w:cs="Calibri"/>
      <w:b/>
      <w:color w:val="333333"/>
      <w:sz w:val="36"/>
      <w:szCs w:val="36"/>
      <w:lang w:val="en-NZ" w:eastAsia="en-US"/>
    </w:rPr>
  </w:style>
  <w:style w:type="paragraph" w:styleId="ListBullet">
    <w:name w:val="List Bullet"/>
    <w:basedOn w:val="Normal"/>
    <w:uiPriority w:val="99"/>
    <w:unhideWhenUsed/>
    <w:rsid w:val="00D94BEA"/>
    <w:pPr>
      <w:numPr>
        <w:numId w:val="40"/>
      </w:numPr>
      <w:spacing w:before="120" w:after="120"/>
      <w:ind w:left="35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9018">
      <w:bodyDiv w:val="1"/>
      <w:marLeft w:val="0"/>
      <w:marRight w:val="0"/>
      <w:marTop w:val="0"/>
      <w:marBottom w:val="0"/>
      <w:divBdr>
        <w:top w:val="none" w:sz="0" w:space="0" w:color="auto"/>
        <w:left w:val="none" w:sz="0" w:space="0" w:color="auto"/>
        <w:bottom w:val="none" w:sz="0" w:space="0" w:color="auto"/>
        <w:right w:val="none" w:sz="0" w:space="0" w:color="auto"/>
      </w:divBdr>
    </w:div>
    <w:div w:id="264045214">
      <w:bodyDiv w:val="1"/>
      <w:marLeft w:val="0"/>
      <w:marRight w:val="0"/>
      <w:marTop w:val="0"/>
      <w:marBottom w:val="0"/>
      <w:divBdr>
        <w:top w:val="none" w:sz="0" w:space="0" w:color="auto"/>
        <w:left w:val="none" w:sz="0" w:space="0" w:color="auto"/>
        <w:bottom w:val="none" w:sz="0" w:space="0" w:color="auto"/>
        <w:right w:val="none" w:sz="0" w:space="0" w:color="auto"/>
      </w:divBdr>
    </w:div>
    <w:div w:id="308444319">
      <w:bodyDiv w:val="1"/>
      <w:marLeft w:val="0"/>
      <w:marRight w:val="0"/>
      <w:marTop w:val="0"/>
      <w:marBottom w:val="0"/>
      <w:divBdr>
        <w:top w:val="none" w:sz="0" w:space="0" w:color="auto"/>
        <w:left w:val="none" w:sz="0" w:space="0" w:color="auto"/>
        <w:bottom w:val="none" w:sz="0" w:space="0" w:color="auto"/>
        <w:right w:val="none" w:sz="0" w:space="0" w:color="auto"/>
      </w:divBdr>
    </w:div>
    <w:div w:id="388656218">
      <w:bodyDiv w:val="1"/>
      <w:marLeft w:val="0"/>
      <w:marRight w:val="0"/>
      <w:marTop w:val="0"/>
      <w:marBottom w:val="0"/>
      <w:divBdr>
        <w:top w:val="none" w:sz="0" w:space="0" w:color="auto"/>
        <w:left w:val="none" w:sz="0" w:space="0" w:color="auto"/>
        <w:bottom w:val="none" w:sz="0" w:space="0" w:color="auto"/>
        <w:right w:val="none" w:sz="0" w:space="0" w:color="auto"/>
      </w:divBdr>
    </w:div>
    <w:div w:id="482552053">
      <w:bodyDiv w:val="1"/>
      <w:marLeft w:val="0"/>
      <w:marRight w:val="0"/>
      <w:marTop w:val="0"/>
      <w:marBottom w:val="0"/>
      <w:divBdr>
        <w:top w:val="none" w:sz="0" w:space="0" w:color="auto"/>
        <w:left w:val="none" w:sz="0" w:space="0" w:color="auto"/>
        <w:bottom w:val="none" w:sz="0" w:space="0" w:color="auto"/>
        <w:right w:val="none" w:sz="0" w:space="0" w:color="auto"/>
      </w:divBdr>
    </w:div>
    <w:div w:id="546376597">
      <w:bodyDiv w:val="1"/>
      <w:marLeft w:val="0"/>
      <w:marRight w:val="0"/>
      <w:marTop w:val="0"/>
      <w:marBottom w:val="0"/>
      <w:divBdr>
        <w:top w:val="none" w:sz="0" w:space="0" w:color="auto"/>
        <w:left w:val="none" w:sz="0" w:space="0" w:color="auto"/>
        <w:bottom w:val="none" w:sz="0" w:space="0" w:color="auto"/>
        <w:right w:val="none" w:sz="0" w:space="0" w:color="auto"/>
      </w:divBdr>
    </w:div>
    <w:div w:id="863403935">
      <w:bodyDiv w:val="1"/>
      <w:marLeft w:val="0"/>
      <w:marRight w:val="0"/>
      <w:marTop w:val="0"/>
      <w:marBottom w:val="0"/>
      <w:divBdr>
        <w:top w:val="none" w:sz="0" w:space="0" w:color="auto"/>
        <w:left w:val="none" w:sz="0" w:space="0" w:color="auto"/>
        <w:bottom w:val="none" w:sz="0" w:space="0" w:color="auto"/>
        <w:right w:val="none" w:sz="0" w:space="0" w:color="auto"/>
      </w:divBdr>
    </w:div>
    <w:div w:id="1291740135">
      <w:bodyDiv w:val="1"/>
      <w:marLeft w:val="0"/>
      <w:marRight w:val="0"/>
      <w:marTop w:val="0"/>
      <w:marBottom w:val="0"/>
      <w:divBdr>
        <w:top w:val="none" w:sz="0" w:space="0" w:color="auto"/>
        <w:left w:val="none" w:sz="0" w:space="0" w:color="auto"/>
        <w:bottom w:val="none" w:sz="0" w:space="0" w:color="auto"/>
        <w:right w:val="none" w:sz="0" w:space="0" w:color="auto"/>
      </w:divBdr>
    </w:div>
    <w:div w:id="1509366256">
      <w:bodyDiv w:val="1"/>
      <w:marLeft w:val="0"/>
      <w:marRight w:val="0"/>
      <w:marTop w:val="0"/>
      <w:marBottom w:val="0"/>
      <w:divBdr>
        <w:top w:val="none" w:sz="0" w:space="0" w:color="auto"/>
        <w:left w:val="none" w:sz="0" w:space="0" w:color="auto"/>
        <w:bottom w:val="none" w:sz="0" w:space="0" w:color="auto"/>
        <w:right w:val="none" w:sz="0" w:space="0" w:color="auto"/>
      </w:divBdr>
    </w:div>
    <w:div w:id="1530070005">
      <w:bodyDiv w:val="1"/>
      <w:marLeft w:val="0"/>
      <w:marRight w:val="0"/>
      <w:marTop w:val="0"/>
      <w:marBottom w:val="0"/>
      <w:divBdr>
        <w:top w:val="none" w:sz="0" w:space="0" w:color="auto"/>
        <w:left w:val="none" w:sz="0" w:space="0" w:color="auto"/>
        <w:bottom w:val="none" w:sz="0" w:space="0" w:color="auto"/>
        <w:right w:val="none" w:sz="0" w:space="0" w:color="auto"/>
      </w:divBdr>
    </w:div>
    <w:div w:id="1701081625">
      <w:bodyDiv w:val="1"/>
      <w:marLeft w:val="0"/>
      <w:marRight w:val="0"/>
      <w:marTop w:val="0"/>
      <w:marBottom w:val="0"/>
      <w:divBdr>
        <w:top w:val="none" w:sz="0" w:space="0" w:color="auto"/>
        <w:left w:val="none" w:sz="0" w:space="0" w:color="auto"/>
        <w:bottom w:val="none" w:sz="0" w:space="0" w:color="auto"/>
        <w:right w:val="none" w:sz="0" w:space="0" w:color="auto"/>
      </w:divBdr>
    </w:div>
    <w:div w:id="1997104415">
      <w:bodyDiv w:val="1"/>
      <w:marLeft w:val="0"/>
      <w:marRight w:val="0"/>
      <w:marTop w:val="0"/>
      <w:marBottom w:val="0"/>
      <w:divBdr>
        <w:top w:val="none" w:sz="0" w:space="0" w:color="auto"/>
        <w:left w:val="none" w:sz="0" w:space="0" w:color="auto"/>
        <w:bottom w:val="none" w:sz="0" w:space="0" w:color="auto"/>
        <w:right w:val="none" w:sz="0" w:space="0" w:color="auto"/>
      </w:divBdr>
    </w:div>
    <w:div w:id="21039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OEC17</b:Tag>
    <b:SourceType>Report</b:SourceType>
    <b:Guid>{BFBE6FD5-9673-4461-BEE4-C402990D9266}</b:Guid>
    <b:Author>
      <b:Author>
        <b:Corporate>OECD</b:Corporate>
      </b:Author>
    </b:Author>
    <b:Title>OECD Economic Surveys: New Zealand 2017</b:Title>
    <b:Year>2017</b:Year>
    <b:Publisher>OECD Publishing</b:Publisher>
    <b:City>Paris</b:City>
    <b:RefOrder>1</b:RefOrder>
  </b:Source>
  <b:Source>
    <b:Tag>Pau16</b:Tag>
    <b:SourceType>Report</b:SourceType>
    <b:Guid>{055BA936-53CB-4A73-B1C1-D627A19BB6F0}</b:Guid>
    <b:Author>
      <b:Author>
        <b:NameList>
          <b:Person>
            <b:Last>Conway</b:Last>
            <b:First>Paul</b:First>
          </b:Person>
        </b:NameList>
      </b:Author>
    </b:Author>
    <b:Title>Achieving New Zealand's productivity potential: Research Paper 2016/1</b:Title>
    <b:Year>2016</b:Year>
    <b:Publisher>The New Zealand Productivity Commission</b:Publisher>
    <b:RefOrder>2</b:RefOrder>
  </b:Source>
  <b:Source>
    <b:Tag>Sha14</b:Tag>
    <b:SourceType>Report</b:SourceType>
    <b:Guid>{D2FFE1E3-4111-4845-8444-243179247A50}</b:Guid>
    <b:Author>
      <b:Author>
        <b:NameList>
          <b:Person>
            <b:Last>Pells</b:Last>
            <b:First>Sharon</b:First>
          </b:Person>
        </b:NameList>
      </b:Author>
    </b:Author>
    <b:Title>MBIE Occasional Paper: How can we lift BERD?</b:Title>
    <b:Year>2014</b:Year>
    <b:Publisher>MBIE</b:Publisher>
    <b:City>Wellington</b:City>
    <b:RefOrder>3</b:RefOrder>
  </b:Source>
  <b:Source>
    <b:Tag>App16</b:Tag>
    <b:SourceType>ArticleInAPeriodical</b:SourceType>
    <b:Guid>{4076B826-40AD-4B18-8052-E67D0B6EB718}</b:Guid>
    <b:Author>
      <b:Author>
        <b:NameList>
          <b:Person>
            <b:Last>Appelt</b:Last>
            <b:First>S.</b:First>
            <b:Middle>et al</b:Middle>
          </b:Person>
        </b:NameList>
      </b:Author>
    </b:Author>
    <b:Title>R&amp;D Tax Incentives: Evidence on design, incidence and impacts</b:Title>
    <b:Year>2016</b:Year>
    <b:Publisher>OECD Publishing</b:Publisher>
    <b:City>Paris</b:City>
    <b:PeriodicalTitle>OECD Science, Technology and Industry Policy Papers, No 32</b:PeriodicalTitle>
    <b:RefOrder>4</b:RefOrder>
  </b:Source>
  <b:Source>
    <b:Tag>Jaf15</b:Tag>
    <b:SourceType>ArticleInAPeriodical</b:SourceType>
    <b:Guid>{9E94A3A9-471F-494B-BBC9-5687BBD45465}</b:Guid>
    <b:Author>
      <b:Author>
        <b:NameList>
          <b:Person>
            <b:Last>Jaffe</b:Last>
            <b:First>Adam</b:First>
            <b:Middle>and Trinh Le</b:Middle>
          </b:Person>
        </b:NameList>
      </b:Author>
    </b:Author>
    <b:Title>The impact of R&amp;D subsidy on innovation: a study of New Zealand firms</b:Title>
    <b:PeriodicalTitle>Motu Working Paper 15-10</b:PeriodicalTitle>
    <b:Year>2015</b:Year>
    <b:Publisher>Motu Economic and Public Policy Research</b:Publisher>
    <b:City>Wellington</b:City>
    <b:RefOrder>5</b:RefOrder>
  </b:Source>
  <b:Source>
    <b:Tag>Wakng</b:Tag>
    <b:SourceType>Report</b:SourceType>
    <b:Guid>{427C8D27-0CE8-4658-A222-B889A0391C06}</b:Guid>
    <b:Author>
      <b:Author>
        <b:NameList>
          <b:Person>
            <b:Last>Wakeman</b:Last>
            <b:First>Simon</b:First>
          </b:Person>
        </b:NameList>
      </b:Author>
    </b:Author>
    <b:Title>The impact of R&amp;D grants on the performance of New Zealand firms</b:Title>
    <b:PeriodicalTitle>New Zealand Productivity Commission Working Paper</b:PeriodicalTitle>
    <b:Year>Forthcoming</b:Year>
    <b:Publisher>New Zealand Productivity Commission Working Paper</b:Publisher>
    <b:City>Wellington</b:City>
    <b:RefOrder>6</b:RefOrder>
  </b:Source>
</b:Sources>
</file>

<file path=customXml/itemProps1.xml><?xml version="1.0" encoding="utf-8"?>
<ds:datastoreItem xmlns:ds="http://schemas.openxmlformats.org/officeDocument/2006/customXml" ds:itemID="{751C884F-CB29-4E0E-8B37-9F98963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8489</Words>
  <Characters>45418</Characters>
  <Application>Microsoft Office Word</Application>
  <DocSecurity>0</DocSecurity>
  <Lines>946</Lines>
  <Paragraphs>341</Paragraphs>
  <ScaleCrop>false</ScaleCrop>
  <HeadingPairs>
    <vt:vector size="2" baseType="variant">
      <vt:variant>
        <vt:lpstr>Title</vt:lpstr>
      </vt:variant>
      <vt:variant>
        <vt:i4>1</vt:i4>
      </vt:variant>
    </vt:vector>
  </HeadingPairs>
  <TitlesOfParts>
    <vt:vector size="1" baseType="lpstr">
      <vt:lpstr>Regulatory impact assessment - Research and development tax incentive (29 August 2018)</vt:lpstr>
    </vt:vector>
  </TitlesOfParts>
  <Company>Inland Revenue + Ministry of Business, Innovation and Employment</Company>
  <LinksUpToDate>false</LinksUpToDate>
  <CharactersWithSpaces>53566</CharactersWithSpaces>
  <SharedDoc>false</SharedDoc>
  <HLinks>
    <vt:vector size="42" baseType="variant">
      <vt:variant>
        <vt:i4>2687029</vt:i4>
      </vt:variant>
      <vt:variant>
        <vt:i4>18</vt:i4>
      </vt:variant>
      <vt:variant>
        <vt:i4>0</vt:i4>
      </vt:variant>
      <vt:variant>
        <vt:i4>5</vt:i4>
      </vt:variant>
      <vt:variant>
        <vt:lpwstr>http://www.treasury.govt.nz/regulation/expectations</vt:lpwstr>
      </vt:variant>
      <vt:variant>
        <vt:lpwstr/>
      </vt:variant>
      <vt:variant>
        <vt:i4>2687029</vt:i4>
      </vt:variant>
      <vt:variant>
        <vt:i4>15</vt:i4>
      </vt:variant>
      <vt:variant>
        <vt:i4>0</vt:i4>
      </vt:variant>
      <vt:variant>
        <vt:i4>5</vt:i4>
      </vt:variant>
      <vt:variant>
        <vt:lpwstr>http://www.treasury.govt.nz/regulation/expectations</vt:lpwstr>
      </vt:variant>
      <vt:variant>
        <vt:lpwstr/>
      </vt:variant>
      <vt:variant>
        <vt:i4>8257662</vt:i4>
      </vt:variant>
      <vt:variant>
        <vt:i4>12</vt:i4>
      </vt:variant>
      <vt:variant>
        <vt:i4>0</vt:i4>
      </vt:variant>
      <vt:variant>
        <vt:i4>5</vt:i4>
      </vt:variant>
      <vt:variant>
        <vt:lpwstr>http://www.treasury.govt.nz/publications/guidance/planning/costbenefitanalysis</vt:lpwstr>
      </vt:variant>
      <vt:variant>
        <vt:lpwstr/>
      </vt:variant>
      <vt:variant>
        <vt:i4>2949239</vt:i4>
      </vt:variant>
      <vt:variant>
        <vt:i4>9</vt:i4>
      </vt:variant>
      <vt:variant>
        <vt:i4>0</vt:i4>
      </vt:variant>
      <vt:variant>
        <vt:i4>5</vt:i4>
      </vt:variant>
      <vt:variant>
        <vt:lpwstr>http://www.treasury.govt.nz/publications/guidance/planning/costbenefitanalysis/x/x-guide-oct15.pdf</vt:lpwstr>
      </vt:variant>
      <vt:variant>
        <vt:lpwstr/>
      </vt:variant>
      <vt:variant>
        <vt:i4>2687029</vt:i4>
      </vt:variant>
      <vt:variant>
        <vt:i4>6</vt:i4>
      </vt:variant>
      <vt:variant>
        <vt:i4>0</vt:i4>
      </vt:variant>
      <vt:variant>
        <vt:i4>5</vt:i4>
      </vt:variant>
      <vt:variant>
        <vt:lpwstr>http://www.treasury.govt.nz/regulation/expectations</vt:lpwstr>
      </vt:variant>
      <vt:variant>
        <vt:lpwstr/>
      </vt:variant>
      <vt:variant>
        <vt:i4>4128805</vt:i4>
      </vt:variant>
      <vt:variant>
        <vt:i4>3</vt:i4>
      </vt:variant>
      <vt:variant>
        <vt:i4>0</vt:i4>
      </vt:variant>
      <vt:variant>
        <vt:i4>5</vt:i4>
      </vt:variant>
      <vt:variant>
        <vt:lpwstr>http://www.treasury.govt.nz/regulation/regulatoryproposal/ria/handbook</vt:lpwstr>
      </vt:variant>
      <vt:variant>
        <vt:lpwstr/>
      </vt:variant>
      <vt:variant>
        <vt:i4>3801155</vt:i4>
      </vt:variant>
      <vt:variant>
        <vt:i4>0</vt:i4>
      </vt:variant>
      <vt:variant>
        <vt:i4>0</vt:i4>
      </vt:variant>
      <vt:variant>
        <vt:i4>5</vt:i4>
      </vt:variant>
      <vt:variant>
        <vt:lpwstr>mailto:ria@treasury.govt.nz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assessment - Research and development tax incentive (29 August 2018)</dc:title>
  <dc:creator/>
  <cp:lastModifiedBy>David Nind</cp:lastModifiedBy>
  <cp:revision>2</cp:revision>
  <dcterms:created xsi:type="dcterms:W3CDTF">2018-10-22T20:49:00Z</dcterms:created>
  <dcterms:modified xsi:type="dcterms:W3CDTF">2018-10-22T20:49:00Z</dcterms:modified>
</cp:coreProperties>
</file>