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09" w:rsidRDefault="00BA08C7" w:rsidP="002774BD">
      <w:pPr>
        <w:pStyle w:val="Heading1"/>
        <w:spacing w:before="0"/>
        <w:ind w:left="-142"/>
      </w:pPr>
      <w:bookmarkStart w:id="0" w:name="_GoBack"/>
      <w:bookmarkEnd w:id="0"/>
      <w:r w:rsidRPr="00B952B7">
        <w:t>Impact Sum</w:t>
      </w:r>
      <w:r w:rsidRPr="006D3130">
        <w:t>m</w:t>
      </w:r>
      <w:r w:rsidRPr="00B952B7">
        <w:t>ary</w:t>
      </w:r>
      <w:r w:rsidR="00783846" w:rsidRPr="00957BC2">
        <w:t>:</w:t>
      </w:r>
      <w:r w:rsidR="007C77B1" w:rsidRPr="00957BC2">
        <w:t xml:space="preserve"> </w:t>
      </w:r>
      <w:r w:rsidR="000B340C">
        <w:t>Securitization</w:t>
      </w:r>
      <w:r w:rsidR="00826FD8">
        <w:t xml:space="preserve"> of pre-1990 </w:t>
      </w:r>
      <w:r w:rsidR="00EB250A">
        <w:t xml:space="preserve">forestry </w:t>
      </w:r>
      <w:r w:rsidR="00826FD8">
        <w:t>emissions units</w:t>
      </w:r>
    </w:p>
    <w:p w:rsidR="006A2F1C" w:rsidRPr="006A2F1C" w:rsidRDefault="006A2F1C" w:rsidP="006A2F1C">
      <w:pPr>
        <w:rPr>
          <w:lang w:val="en-NZ"/>
        </w:rPr>
      </w:pPr>
    </w:p>
    <w:p w:rsidR="00E92509" w:rsidRPr="00B952B7" w:rsidRDefault="00E92509" w:rsidP="002774BD">
      <w:pPr>
        <w:pStyle w:val="Heading2"/>
        <w:ind w:left="-142"/>
      </w:pPr>
      <w:r w:rsidRPr="00B952B7">
        <w:t>Section 1: 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DA39FD" w:rsidRPr="0069218C" w:rsidTr="002774BD">
        <w:tc>
          <w:tcPr>
            <w:tcW w:w="5000" w:type="pct"/>
            <w:shd w:val="clear" w:color="auto" w:fill="99CDDD"/>
            <w:hideMark/>
          </w:tcPr>
          <w:p w:rsidR="00DA39FD" w:rsidRPr="00AE4D46" w:rsidRDefault="00217894" w:rsidP="00486852">
            <w:pPr>
              <w:pStyle w:val="TableHeadings"/>
              <w:rPr>
                <w:color w:val="002060"/>
                <w:szCs w:val="22"/>
              </w:rPr>
            </w:pPr>
            <w:r w:rsidRPr="00886DFF">
              <w:rPr>
                <w:szCs w:val="22"/>
              </w:rPr>
              <w:t>Purpose</w:t>
            </w:r>
          </w:p>
        </w:tc>
      </w:tr>
      <w:tr w:rsidR="00DA39FD" w:rsidRPr="0069218C" w:rsidTr="002774BD">
        <w:trPr>
          <w:trHeight w:val="680"/>
        </w:trPr>
        <w:tc>
          <w:tcPr>
            <w:tcW w:w="5000" w:type="pct"/>
            <w:shd w:val="clear" w:color="auto" w:fill="auto"/>
          </w:tcPr>
          <w:p w:rsidR="002774BD" w:rsidRPr="002774BD" w:rsidRDefault="00533EA4" w:rsidP="000455AF">
            <w:pPr>
              <w:spacing w:before="120" w:after="180" w:line="276" w:lineRule="auto"/>
              <w:rPr>
                <w:szCs w:val="22"/>
              </w:rPr>
            </w:pPr>
            <w:r w:rsidRPr="002774BD">
              <w:rPr>
                <w:rFonts w:cs="Arial"/>
                <w:color w:val="000000"/>
                <w:szCs w:val="22"/>
              </w:rPr>
              <w:t xml:space="preserve">The Inland Revenue Department is </w:t>
            </w:r>
            <w:r w:rsidR="00DA39FD" w:rsidRPr="002774BD">
              <w:rPr>
                <w:rFonts w:cs="Arial"/>
                <w:color w:val="000000"/>
                <w:szCs w:val="22"/>
              </w:rPr>
              <w:t>solely responsible for the analysis and advice set out in this Regulatory Impact Statement, except as otherwise explicitly indicated.</w:t>
            </w:r>
            <w:r w:rsidR="002F0F6C">
              <w:rPr>
                <w:rFonts w:cs="Arial"/>
                <w:color w:val="000000"/>
                <w:szCs w:val="22"/>
              </w:rPr>
              <w:t xml:space="preserve"> </w:t>
            </w:r>
            <w:r w:rsidR="00DA39FD" w:rsidRPr="00886DFF">
              <w:rPr>
                <w:rFonts w:cs="Arial"/>
                <w:color w:val="000000"/>
                <w:szCs w:val="22"/>
              </w:rPr>
              <w:t xml:space="preserve"> This analysis and advice has been produced </w:t>
            </w:r>
            <w:proofErr w:type="gramStart"/>
            <w:r w:rsidR="00DA39FD" w:rsidRPr="00886DFF">
              <w:rPr>
                <w:rFonts w:cs="Arial"/>
                <w:color w:val="000000"/>
                <w:szCs w:val="22"/>
              </w:rPr>
              <w:t>for the purpose of</w:t>
            </w:r>
            <w:proofErr w:type="gramEnd"/>
            <w:r w:rsidR="00DA39FD" w:rsidRPr="00886DFF">
              <w:rPr>
                <w:rFonts w:cs="Arial"/>
                <w:color w:val="000000"/>
                <w:szCs w:val="22"/>
              </w:rPr>
              <w:t xml:space="preserve"> informing</w:t>
            </w:r>
            <w:r w:rsidR="00DA39FD" w:rsidRPr="00783846">
              <w:rPr>
                <w:szCs w:val="22"/>
              </w:rPr>
              <w:t xml:space="preserve"> policy decisions to be taken by Cabinet</w:t>
            </w:r>
            <w:r w:rsidR="002774BD">
              <w:rPr>
                <w:szCs w:val="22"/>
              </w:rPr>
              <w:t>.</w:t>
            </w:r>
          </w:p>
        </w:tc>
      </w:tr>
      <w:tr w:rsidR="00DA39FD" w:rsidRPr="0069218C" w:rsidTr="002774BD">
        <w:tc>
          <w:tcPr>
            <w:tcW w:w="5000" w:type="pct"/>
            <w:shd w:val="clear" w:color="auto" w:fill="99CDDD"/>
            <w:hideMark/>
          </w:tcPr>
          <w:p w:rsidR="00DA39FD" w:rsidRPr="00886DFF" w:rsidRDefault="00DA39FD" w:rsidP="00486852">
            <w:pPr>
              <w:pStyle w:val="TableHeadings"/>
              <w:keepNext/>
              <w:rPr>
                <w:szCs w:val="22"/>
              </w:rPr>
            </w:pPr>
            <w:r w:rsidRPr="00886DFF">
              <w:rPr>
                <w:szCs w:val="22"/>
              </w:rPr>
              <w:t>Key Limitations or Constraints on Analysis</w:t>
            </w:r>
          </w:p>
        </w:tc>
      </w:tr>
      <w:tr w:rsidR="0069218C" w:rsidRPr="0069218C" w:rsidTr="002774BD">
        <w:trPr>
          <w:trHeight w:val="6213"/>
        </w:trPr>
        <w:tc>
          <w:tcPr>
            <w:tcW w:w="5000" w:type="pct"/>
            <w:shd w:val="clear" w:color="auto" w:fill="auto"/>
          </w:tcPr>
          <w:p w:rsidR="00826FD8" w:rsidRPr="00F300A6" w:rsidRDefault="00826FD8" w:rsidP="002E0FAE">
            <w:pPr>
              <w:spacing w:before="120" w:after="120" w:line="276" w:lineRule="auto"/>
              <w:rPr>
                <w:rFonts w:cs="Arial"/>
                <w:b/>
                <w:szCs w:val="22"/>
              </w:rPr>
            </w:pPr>
            <w:r w:rsidRPr="00F300A6">
              <w:rPr>
                <w:rFonts w:cs="Arial"/>
                <w:b/>
                <w:szCs w:val="22"/>
              </w:rPr>
              <w:t xml:space="preserve">Quality </w:t>
            </w:r>
            <w:r w:rsidR="00260058" w:rsidRPr="00F300A6">
              <w:rPr>
                <w:rFonts w:cs="Arial"/>
                <w:b/>
                <w:szCs w:val="22"/>
              </w:rPr>
              <w:t>of data used for impact analysis</w:t>
            </w:r>
          </w:p>
          <w:p w:rsidR="00260058" w:rsidRDefault="00260058" w:rsidP="002E0FAE">
            <w:pPr>
              <w:spacing w:after="180" w:line="276" w:lineRule="auto"/>
              <w:rPr>
                <w:rFonts w:cs="Arial"/>
                <w:szCs w:val="22"/>
              </w:rPr>
            </w:pPr>
            <w:r>
              <w:rPr>
                <w:rFonts w:cs="Arial"/>
                <w:szCs w:val="22"/>
              </w:rPr>
              <w:t xml:space="preserve">Inland Revenue </w:t>
            </w:r>
            <w:r w:rsidR="00393339">
              <w:rPr>
                <w:rFonts w:cs="Arial"/>
                <w:szCs w:val="22"/>
              </w:rPr>
              <w:t>used</w:t>
            </w:r>
            <w:r>
              <w:rPr>
                <w:rFonts w:cs="Arial"/>
                <w:szCs w:val="22"/>
              </w:rPr>
              <w:t xml:space="preserve"> public information available on holders of pre-1990 emission units</w:t>
            </w:r>
            <w:r w:rsidR="00393339">
              <w:rPr>
                <w:rFonts w:cs="Arial"/>
                <w:szCs w:val="22"/>
              </w:rPr>
              <w:t xml:space="preserve"> to inform our analysis of the proposed approach discussed in this Impact Summary</w:t>
            </w:r>
            <w:r>
              <w:rPr>
                <w:rFonts w:cs="Arial"/>
                <w:szCs w:val="22"/>
              </w:rPr>
              <w:t>.  This information, however, did not provide any insights about taxpayers</w:t>
            </w:r>
            <w:r w:rsidR="00B87B26">
              <w:rPr>
                <w:rFonts w:cs="Arial"/>
                <w:szCs w:val="22"/>
              </w:rPr>
              <w:t>’</w:t>
            </w:r>
            <w:r>
              <w:rPr>
                <w:rFonts w:cs="Arial"/>
                <w:szCs w:val="22"/>
              </w:rPr>
              <w:t xml:space="preserve"> use of the emission units, including decision-making behaviours over holding or trading these units.  </w:t>
            </w:r>
            <w:r w:rsidR="00F22D9C">
              <w:rPr>
                <w:rFonts w:cs="Arial"/>
                <w:szCs w:val="22"/>
              </w:rPr>
              <w:t xml:space="preserve">Targeted consultation with interested stakeholders was carried out to bridge this gap in our </w:t>
            </w:r>
            <w:r w:rsidR="000153E0">
              <w:rPr>
                <w:rFonts w:cs="Arial"/>
                <w:szCs w:val="22"/>
              </w:rPr>
              <w:t>knowledge;</w:t>
            </w:r>
            <w:r w:rsidR="00F22D9C">
              <w:rPr>
                <w:rFonts w:cs="Arial"/>
                <w:szCs w:val="22"/>
              </w:rPr>
              <w:t xml:space="preserve"> however, for</w:t>
            </w:r>
            <w:r w:rsidR="00916A20">
              <w:rPr>
                <w:rFonts w:cs="Arial"/>
                <w:szCs w:val="22"/>
              </w:rPr>
              <w:t xml:space="preserve"> the</w:t>
            </w:r>
            <w:r w:rsidR="00F22D9C">
              <w:rPr>
                <w:rFonts w:cs="Arial"/>
                <w:szCs w:val="22"/>
              </w:rPr>
              <w:t xml:space="preserve"> reasons set out b</w:t>
            </w:r>
            <w:r w:rsidR="008F7B13">
              <w:rPr>
                <w:rFonts w:cs="Arial"/>
                <w:szCs w:val="22"/>
              </w:rPr>
              <w:t>elow, there were time constraints on the period of consultation.</w:t>
            </w:r>
          </w:p>
          <w:p w:rsidR="00FB71DC" w:rsidRPr="00F300A6" w:rsidRDefault="00FB71DC" w:rsidP="002E0FAE">
            <w:pPr>
              <w:spacing w:before="120" w:after="120" w:line="276" w:lineRule="auto"/>
              <w:rPr>
                <w:rFonts w:cs="Arial"/>
                <w:b/>
                <w:szCs w:val="22"/>
              </w:rPr>
            </w:pPr>
            <w:r w:rsidRPr="00F300A6">
              <w:rPr>
                <w:rFonts w:cs="Arial"/>
                <w:b/>
                <w:szCs w:val="22"/>
              </w:rPr>
              <w:t>Consultation and testing</w:t>
            </w:r>
          </w:p>
          <w:p w:rsidR="00A91028" w:rsidRDefault="000F17D2" w:rsidP="002F0F6C">
            <w:pPr>
              <w:spacing w:after="180" w:line="276" w:lineRule="auto"/>
              <w:rPr>
                <w:rFonts w:cs="Arial"/>
                <w:szCs w:val="22"/>
              </w:rPr>
            </w:pPr>
            <w:r>
              <w:rPr>
                <w:rFonts w:cs="Arial"/>
                <w:szCs w:val="22"/>
              </w:rPr>
              <w:t xml:space="preserve">A </w:t>
            </w:r>
            <w:r w:rsidR="00431667">
              <w:rPr>
                <w:rFonts w:cs="Arial"/>
                <w:szCs w:val="22"/>
              </w:rPr>
              <w:t>private sector</w:t>
            </w:r>
            <w:r>
              <w:rPr>
                <w:rFonts w:cs="Arial"/>
                <w:szCs w:val="22"/>
              </w:rPr>
              <w:t xml:space="preserve"> stakeholder </w:t>
            </w:r>
            <w:r w:rsidR="007A069A">
              <w:rPr>
                <w:rFonts w:cs="Arial"/>
                <w:szCs w:val="22"/>
              </w:rPr>
              <w:t xml:space="preserve">who </w:t>
            </w:r>
            <w:r>
              <w:rPr>
                <w:rFonts w:cs="Arial"/>
                <w:szCs w:val="22"/>
              </w:rPr>
              <w:t xml:space="preserve">raised the initial concerns about the tax treatment of arrangements to securitise emission units was influential in shaping the problem definition.  </w:t>
            </w:r>
            <w:r w:rsidR="00EC0287">
              <w:rPr>
                <w:rFonts w:cs="Arial"/>
                <w:szCs w:val="22"/>
              </w:rPr>
              <w:t>While the ideal response to the concern was to include the issue in a wider context as part of an examination of the use of the financial arrangement rules</w:t>
            </w:r>
            <w:r w:rsidR="00993C59">
              <w:rPr>
                <w:rFonts w:cs="Arial"/>
                <w:szCs w:val="22"/>
              </w:rPr>
              <w:t xml:space="preserve">, the </w:t>
            </w:r>
            <w:r w:rsidR="00DA1B3F">
              <w:rPr>
                <w:rFonts w:cs="Arial"/>
                <w:szCs w:val="22"/>
              </w:rPr>
              <w:t>scheduling of this review meant it could not address this issue in a sufficiently timely manner.</w:t>
            </w:r>
            <w:r w:rsidR="00993C59">
              <w:rPr>
                <w:rFonts w:cs="Arial"/>
                <w:szCs w:val="22"/>
              </w:rPr>
              <w:t xml:space="preserve">  </w:t>
            </w:r>
          </w:p>
          <w:p w:rsidR="002F0F6C" w:rsidRDefault="00A91028" w:rsidP="002F0F6C">
            <w:pPr>
              <w:spacing w:after="180" w:line="276" w:lineRule="auto"/>
              <w:rPr>
                <w:rFonts w:cs="Arial"/>
                <w:szCs w:val="22"/>
              </w:rPr>
            </w:pPr>
            <w:r>
              <w:rPr>
                <w:rFonts w:cs="Arial"/>
                <w:szCs w:val="22"/>
              </w:rPr>
              <w:t>Analysis of the problem definition and possible options for change led officials to conclude that there was a case for developing an interim solution, focusing on pre-1990 fore</w:t>
            </w:r>
            <w:r w:rsidR="00C67090">
              <w:rPr>
                <w:rFonts w:cs="Arial"/>
                <w:szCs w:val="22"/>
              </w:rPr>
              <w:t xml:space="preserve">stry emissions units only, which would address the stakeholder’s </w:t>
            </w:r>
            <w:r w:rsidR="0043476D">
              <w:rPr>
                <w:rFonts w:cs="Arial"/>
                <w:szCs w:val="22"/>
              </w:rPr>
              <w:t>concern</w:t>
            </w:r>
            <w:r w:rsidR="00C67090">
              <w:rPr>
                <w:rFonts w:cs="Arial"/>
                <w:szCs w:val="22"/>
              </w:rPr>
              <w:t xml:space="preserve">.  </w:t>
            </w:r>
            <w:r w:rsidR="002F0F6C">
              <w:rPr>
                <w:rFonts w:cs="Arial"/>
                <w:szCs w:val="22"/>
              </w:rPr>
              <w:t>T</w:t>
            </w:r>
            <w:r w:rsidR="00462F85">
              <w:rPr>
                <w:rFonts w:cs="Arial"/>
                <w:szCs w:val="22"/>
              </w:rPr>
              <w:t xml:space="preserve">he recommended </w:t>
            </w:r>
            <w:r w:rsidR="008C3D5C">
              <w:rPr>
                <w:rFonts w:cs="Arial"/>
                <w:szCs w:val="22"/>
              </w:rPr>
              <w:t xml:space="preserve">interim </w:t>
            </w:r>
            <w:r w:rsidR="00462F85">
              <w:rPr>
                <w:rFonts w:cs="Arial"/>
                <w:szCs w:val="22"/>
              </w:rPr>
              <w:t xml:space="preserve">solution </w:t>
            </w:r>
            <w:r w:rsidR="002F0F6C">
              <w:rPr>
                <w:rFonts w:cs="Arial"/>
                <w:szCs w:val="22"/>
              </w:rPr>
              <w:t xml:space="preserve">is </w:t>
            </w:r>
            <w:r w:rsidR="00462F85">
              <w:rPr>
                <w:rFonts w:cs="Arial"/>
                <w:szCs w:val="22"/>
              </w:rPr>
              <w:t xml:space="preserve">consistent </w:t>
            </w:r>
            <w:r w:rsidR="00C167EC">
              <w:rPr>
                <w:rFonts w:cs="Arial"/>
                <w:szCs w:val="22"/>
              </w:rPr>
              <w:t xml:space="preserve">with </w:t>
            </w:r>
            <w:r w:rsidR="002F0F6C">
              <w:rPr>
                <w:rFonts w:cs="Arial"/>
                <w:szCs w:val="22"/>
              </w:rPr>
              <w:t xml:space="preserve">current </w:t>
            </w:r>
            <w:r w:rsidR="00C167EC">
              <w:rPr>
                <w:rFonts w:cs="Arial"/>
                <w:szCs w:val="22"/>
              </w:rPr>
              <w:t>tax policy settings</w:t>
            </w:r>
            <w:r w:rsidR="00270177">
              <w:rPr>
                <w:rFonts w:cs="Arial"/>
                <w:szCs w:val="22"/>
              </w:rPr>
              <w:t xml:space="preserve"> and t</w:t>
            </w:r>
            <w:r w:rsidR="00C67090">
              <w:rPr>
                <w:rFonts w:cs="Arial"/>
                <w:szCs w:val="22"/>
              </w:rPr>
              <w:t xml:space="preserve">he framework underpinning the </w:t>
            </w:r>
            <w:r w:rsidR="008C3D5C">
              <w:rPr>
                <w:rFonts w:cs="Arial"/>
                <w:szCs w:val="22"/>
              </w:rPr>
              <w:t>interim</w:t>
            </w:r>
            <w:r w:rsidR="00C67090">
              <w:rPr>
                <w:rFonts w:cs="Arial"/>
                <w:szCs w:val="22"/>
              </w:rPr>
              <w:t xml:space="preserve"> solution is sustainable and robust</w:t>
            </w:r>
            <w:r w:rsidR="00270177">
              <w:rPr>
                <w:rFonts w:cs="Arial"/>
                <w:szCs w:val="22"/>
              </w:rPr>
              <w:t xml:space="preserve">. </w:t>
            </w:r>
          </w:p>
          <w:p w:rsidR="00D34D49" w:rsidRDefault="00D029E8" w:rsidP="00270177">
            <w:pPr>
              <w:spacing w:after="180" w:line="276" w:lineRule="auto"/>
              <w:rPr>
                <w:rFonts w:cs="Arial"/>
                <w:szCs w:val="22"/>
              </w:rPr>
            </w:pPr>
            <w:r>
              <w:rPr>
                <w:rFonts w:cs="Arial"/>
                <w:szCs w:val="22"/>
              </w:rPr>
              <w:t>A consequence of</w:t>
            </w:r>
            <w:r w:rsidR="0043476D">
              <w:rPr>
                <w:rFonts w:cs="Arial"/>
                <w:szCs w:val="22"/>
              </w:rPr>
              <w:t xml:space="preserve"> developing the interim solution in a sufficiently timely manner was that</w:t>
            </w:r>
            <w:r>
              <w:rPr>
                <w:rFonts w:cs="Arial"/>
                <w:szCs w:val="22"/>
              </w:rPr>
              <w:t xml:space="preserve"> it truncated the time</w:t>
            </w:r>
            <w:r w:rsidR="00270177">
              <w:rPr>
                <w:rFonts w:cs="Arial"/>
                <w:szCs w:val="22"/>
              </w:rPr>
              <w:t>frame</w:t>
            </w:r>
            <w:r>
              <w:rPr>
                <w:rFonts w:cs="Arial"/>
                <w:szCs w:val="22"/>
              </w:rPr>
              <w:t xml:space="preserve"> that would otherwise be available for consultation</w:t>
            </w:r>
            <w:r w:rsidR="0043476D">
              <w:rPr>
                <w:rFonts w:cs="Arial"/>
                <w:szCs w:val="22"/>
              </w:rPr>
              <w:t xml:space="preserve"> to </w:t>
            </w:r>
            <w:r w:rsidR="00D34D49">
              <w:rPr>
                <w:rFonts w:cs="Arial"/>
                <w:szCs w:val="22"/>
              </w:rPr>
              <w:t xml:space="preserve">just over one week.  Engagement with relevant stakeholders </w:t>
            </w:r>
            <w:r w:rsidR="00517005">
              <w:rPr>
                <w:rFonts w:cs="Arial"/>
                <w:szCs w:val="22"/>
              </w:rPr>
              <w:t xml:space="preserve">in the public and private sector </w:t>
            </w:r>
            <w:r w:rsidR="00D34D49">
              <w:rPr>
                <w:rFonts w:cs="Arial"/>
                <w:szCs w:val="22"/>
              </w:rPr>
              <w:t xml:space="preserve">was high, with most responding either via telephone or letter.  </w:t>
            </w:r>
          </w:p>
          <w:p w:rsidR="00C7655A" w:rsidRDefault="00D34B86" w:rsidP="00270177">
            <w:pPr>
              <w:spacing w:after="180" w:line="276" w:lineRule="auto"/>
              <w:rPr>
                <w:rFonts w:cs="Arial"/>
                <w:szCs w:val="22"/>
              </w:rPr>
            </w:pPr>
            <w:r>
              <w:rPr>
                <w:rFonts w:cs="Arial"/>
                <w:szCs w:val="22"/>
              </w:rPr>
              <w:t xml:space="preserve">Subject to decisions by Cabinet, further consultation on the detailed design of the proposal will be carried out before final decisions, as delegated by </w:t>
            </w:r>
            <w:r w:rsidR="00F300A6">
              <w:rPr>
                <w:rFonts w:cs="Arial"/>
                <w:szCs w:val="22"/>
              </w:rPr>
              <w:t>Cabinet</w:t>
            </w:r>
            <w:r>
              <w:rPr>
                <w:rFonts w:cs="Arial"/>
                <w:szCs w:val="22"/>
              </w:rPr>
              <w:t xml:space="preserve">, are made by Ministers.  </w:t>
            </w:r>
          </w:p>
          <w:p w:rsidR="005C7E1A" w:rsidRPr="0069218C" w:rsidRDefault="005C7E1A" w:rsidP="00F371D2">
            <w:pPr>
              <w:spacing w:after="180" w:line="276" w:lineRule="auto"/>
              <w:rPr>
                <w:rFonts w:cs="Arial"/>
                <w:szCs w:val="22"/>
              </w:rPr>
            </w:pPr>
            <w:r>
              <w:rPr>
                <w:rFonts w:cs="Arial"/>
                <w:szCs w:val="22"/>
              </w:rPr>
              <w:t xml:space="preserve">The wider review of the financial arrangement rules is on the Government’s tax policy work programme and will consider if the scope of the interim solution should be extended.  </w:t>
            </w:r>
          </w:p>
        </w:tc>
      </w:tr>
    </w:tbl>
    <w:p w:rsidR="006A2F1C" w:rsidRDefault="006A2F1C">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DA39FD" w:rsidRPr="0069218C" w:rsidTr="002774BD">
        <w:tc>
          <w:tcPr>
            <w:tcW w:w="5000" w:type="pct"/>
            <w:shd w:val="clear" w:color="auto" w:fill="99CDDD"/>
            <w:hideMark/>
          </w:tcPr>
          <w:p w:rsidR="00DA39FD" w:rsidRPr="00886DFF" w:rsidRDefault="00DA39FD" w:rsidP="00486852">
            <w:pPr>
              <w:pStyle w:val="TableHeadings"/>
              <w:rPr>
                <w:szCs w:val="22"/>
              </w:rPr>
            </w:pPr>
            <w:r w:rsidRPr="00886DFF">
              <w:rPr>
                <w:szCs w:val="22"/>
              </w:rPr>
              <w:lastRenderedPageBreak/>
              <w:t>Responsible Manager (signature and date):</w:t>
            </w:r>
          </w:p>
        </w:tc>
      </w:tr>
      <w:tr w:rsidR="00E92509" w:rsidRPr="0069218C" w:rsidTr="002774BD">
        <w:trPr>
          <w:trHeight w:val="3108"/>
        </w:trPr>
        <w:tc>
          <w:tcPr>
            <w:tcW w:w="5000" w:type="pct"/>
            <w:shd w:val="clear" w:color="auto" w:fill="FFFFFF"/>
          </w:tcPr>
          <w:p w:rsidR="00D56436" w:rsidRDefault="00D56436" w:rsidP="00D56436">
            <w:pPr>
              <w:spacing w:after="0" w:line="240" w:lineRule="auto"/>
              <w:rPr>
                <w:szCs w:val="22"/>
              </w:rPr>
            </w:pPr>
          </w:p>
          <w:p w:rsidR="002774BD" w:rsidRDefault="002774BD" w:rsidP="00D56436">
            <w:pPr>
              <w:spacing w:after="0" w:line="240" w:lineRule="auto"/>
              <w:rPr>
                <w:szCs w:val="22"/>
              </w:rPr>
            </w:pPr>
          </w:p>
          <w:p w:rsidR="002774BD" w:rsidRDefault="002774BD" w:rsidP="00D56436">
            <w:pPr>
              <w:spacing w:after="0" w:line="240" w:lineRule="auto"/>
              <w:rPr>
                <w:szCs w:val="22"/>
              </w:rPr>
            </w:pPr>
          </w:p>
          <w:p w:rsidR="002774BD" w:rsidRDefault="002774BD" w:rsidP="00D56436">
            <w:pPr>
              <w:spacing w:after="0" w:line="240" w:lineRule="auto"/>
              <w:rPr>
                <w:szCs w:val="22"/>
              </w:rPr>
            </w:pPr>
          </w:p>
          <w:p w:rsidR="002774BD" w:rsidRDefault="002774BD" w:rsidP="00D56436">
            <w:pPr>
              <w:spacing w:after="0" w:line="240" w:lineRule="auto"/>
              <w:rPr>
                <w:szCs w:val="22"/>
              </w:rPr>
            </w:pPr>
          </w:p>
          <w:p w:rsidR="002774BD" w:rsidRDefault="002774BD" w:rsidP="00D56436">
            <w:pPr>
              <w:spacing w:after="0" w:line="240" w:lineRule="auto"/>
              <w:rPr>
                <w:szCs w:val="22"/>
              </w:rPr>
            </w:pPr>
          </w:p>
          <w:p w:rsidR="00380585" w:rsidRPr="0069218C" w:rsidRDefault="00B42D5A" w:rsidP="00D56436">
            <w:pPr>
              <w:spacing w:after="0" w:line="240" w:lineRule="auto"/>
              <w:rPr>
                <w:szCs w:val="22"/>
              </w:rPr>
            </w:pPr>
            <w:r>
              <w:rPr>
                <w:szCs w:val="22"/>
              </w:rPr>
              <w:t>Peter Frawley</w:t>
            </w:r>
          </w:p>
          <w:p w:rsidR="00380585" w:rsidRPr="0069218C" w:rsidRDefault="00B42D5A" w:rsidP="00D56436">
            <w:pPr>
              <w:spacing w:after="0" w:line="240" w:lineRule="auto"/>
              <w:rPr>
                <w:szCs w:val="22"/>
              </w:rPr>
            </w:pPr>
            <w:r>
              <w:rPr>
                <w:szCs w:val="22"/>
              </w:rPr>
              <w:t>Policy Manager</w:t>
            </w:r>
          </w:p>
          <w:p w:rsidR="00380585" w:rsidRPr="0069218C" w:rsidRDefault="00B42D5A" w:rsidP="00D56436">
            <w:pPr>
              <w:spacing w:after="0" w:line="240" w:lineRule="auto"/>
              <w:rPr>
                <w:szCs w:val="22"/>
              </w:rPr>
            </w:pPr>
            <w:r>
              <w:rPr>
                <w:szCs w:val="22"/>
              </w:rPr>
              <w:t>Policy and Strategy</w:t>
            </w:r>
          </w:p>
          <w:p w:rsidR="00E92509" w:rsidRDefault="00B42D5A" w:rsidP="00D56436">
            <w:pPr>
              <w:spacing w:after="0" w:line="240" w:lineRule="auto"/>
              <w:rPr>
                <w:szCs w:val="22"/>
              </w:rPr>
            </w:pPr>
            <w:r>
              <w:rPr>
                <w:szCs w:val="22"/>
              </w:rPr>
              <w:t>Inland Revenue Department</w:t>
            </w:r>
          </w:p>
          <w:p w:rsidR="00FB71DC" w:rsidRDefault="00FB71DC" w:rsidP="00D56436">
            <w:pPr>
              <w:spacing w:after="0" w:line="240" w:lineRule="auto"/>
              <w:rPr>
                <w:szCs w:val="22"/>
              </w:rPr>
            </w:pPr>
          </w:p>
          <w:p w:rsidR="00FB71DC" w:rsidRPr="0069218C" w:rsidRDefault="00D56436" w:rsidP="00D56436">
            <w:pPr>
              <w:spacing w:after="0" w:line="240" w:lineRule="auto"/>
              <w:rPr>
                <w:rFonts w:cs="Arial"/>
                <w:szCs w:val="22"/>
              </w:rPr>
            </w:pPr>
            <w:r>
              <w:rPr>
                <w:szCs w:val="22"/>
              </w:rPr>
              <w:t>May</w:t>
            </w:r>
            <w:r w:rsidR="00FB71DC">
              <w:rPr>
                <w:szCs w:val="22"/>
              </w:rPr>
              <w:t xml:space="preserve"> 2018</w:t>
            </w:r>
          </w:p>
        </w:tc>
      </w:tr>
    </w:tbl>
    <w:p w:rsidR="00E92509" w:rsidRDefault="00F132B2" w:rsidP="00486852">
      <w:pPr>
        <w:pStyle w:val="Heading2"/>
      </w:pPr>
      <w:bookmarkStart w:id="1" w:name="_Toc363047038"/>
      <w:bookmarkStart w:id="2" w:name="_Toc362940530"/>
      <w:bookmarkStart w:id="3" w:name="_Toc362618966"/>
      <w:bookmarkStart w:id="4" w:name="_Toc362434720"/>
      <w:bookmarkStart w:id="5" w:name="_Toc362368098"/>
      <w:r w:rsidRPr="0069218C">
        <w:rPr>
          <w:rFonts w:cs="Arial"/>
          <w:lang w:val="en-NZ"/>
        </w:rPr>
        <w:br w:type="page"/>
      </w:r>
      <w:r w:rsidR="00E92509" w:rsidRPr="002D5734">
        <w:lastRenderedPageBreak/>
        <w:t xml:space="preserve">Section 2:  </w:t>
      </w:r>
      <w:bookmarkEnd w:id="1"/>
      <w:bookmarkEnd w:id="2"/>
      <w:bookmarkEnd w:id="3"/>
      <w:bookmarkEnd w:id="4"/>
      <w:bookmarkEnd w:id="5"/>
      <w:r w:rsidR="00304CE4" w:rsidRPr="002D5734">
        <w:t xml:space="preserve">Problem </w:t>
      </w:r>
      <w:r w:rsidR="0032262A" w:rsidRPr="002D5734">
        <w:t>d</w:t>
      </w:r>
      <w:r w:rsidR="00304CE4" w:rsidRPr="002D5734">
        <w:t>efinition</w:t>
      </w:r>
      <w:r w:rsidR="0032262A" w:rsidRPr="002D5734">
        <w:t xml:space="preserve">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D5734" w:rsidRPr="0069218C" w:rsidTr="00800DEC">
        <w:trPr>
          <w:trHeight w:val="77"/>
        </w:trPr>
        <w:tc>
          <w:tcPr>
            <w:tcW w:w="5000" w:type="pct"/>
            <w:shd w:val="clear" w:color="auto" w:fill="99CDDD"/>
            <w:hideMark/>
          </w:tcPr>
          <w:p w:rsidR="00E92509" w:rsidRPr="00886DFF" w:rsidRDefault="002A56F0" w:rsidP="00486852">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rsidTr="00C7655A">
        <w:trPr>
          <w:trHeight w:val="1913"/>
        </w:trPr>
        <w:tc>
          <w:tcPr>
            <w:tcW w:w="5000" w:type="pct"/>
            <w:shd w:val="clear" w:color="auto" w:fill="auto"/>
          </w:tcPr>
          <w:p w:rsidR="00DA1F51" w:rsidRDefault="006A2F1C" w:rsidP="00DE6080">
            <w:pPr>
              <w:spacing w:before="120" w:after="0" w:line="276" w:lineRule="auto"/>
              <w:rPr>
                <w:rFonts w:cs="Arial"/>
                <w:szCs w:val="22"/>
              </w:rPr>
            </w:pPr>
            <w:r>
              <w:rPr>
                <w:rFonts w:cs="Arial"/>
                <w:szCs w:val="22"/>
              </w:rPr>
              <w:t>This Regulatory Impact Analysis address</w:t>
            </w:r>
            <w:r w:rsidR="000626AB">
              <w:rPr>
                <w:rFonts w:cs="Arial"/>
                <w:szCs w:val="22"/>
              </w:rPr>
              <w:t>es</w:t>
            </w:r>
            <w:r>
              <w:rPr>
                <w:rFonts w:cs="Arial"/>
                <w:szCs w:val="22"/>
              </w:rPr>
              <w:t xml:space="preserve"> the question of whether current taxation laws</w:t>
            </w:r>
            <w:r w:rsidR="00F41B49">
              <w:rPr>
                <w:rFonts w:cs="Arial"/>
                <w:szCs w:val="22"/>
              </w:rPr>
              <w:t xml:space="preserve">, </w:t>
            </w:r>
            <w:r>
              <w:rPr>
                <w:rFonts w:cs="Arial"/>
                <w:szCs w:val="22"/>
              </w:rPr>
              <w:t>particularly the Income Tax Act 2007</w:t>
            </w:r>
            <w:r w:rsidR="00F41B49">
              <w:rPr>
                <w:rFonts w:cs="Arial"/>
                <w:szCs w:val="22"/>
              </w:rPr>
              <w:t xml:space="preserve"> (the Income Tax Act)</w:t>
            </w:r>
            <w:r w:rsidR="006563B9">
              <w:rPr>
                <w:rFonts w:cs="Arial"/>
                <w:szCs w:val="22"/>
              </w:rPr>
              <w:t>,</w:t>
            </w:r>
            <w:r w:rsidR="00D01CA8">
              <w:rPr>
                <w:rFonts w:cs="Arial"/>
                <w:szCs w:val="22"/>
              </w:rPr>
              <w:t xml:space="preserve"> impedes financial decision-making by holders</w:t>
            </w:r>
            <w:r>
              <w:rPr>
                <w:rFonts w:cs="Arial"/>
                <w:szCs w:val="22"/>
              </w:rPr>
              <w:t xml:space="preserve"> of pre-1990 forestry emissions units that are held for intergenerational purposes.  </w:t>
            </w:r>
          </w:p>
          <w:p w:rsidR="00DA1F51" w:rsidRPr="008718EE" w:rsidRDefault="00DA1F51" w:rsidP="002E0FAE">
            <w:pPr>
              <w:spacing w:before="120" w:after="120" w:line="276" w:lineRule="auto"/>
              <w:rPr>
                <w:rFonts w:cs="Arial"/>
                <w:b/>
                <w:szCs w:val="22"/>
              </w:rPr>
            </w:pPr>
            <w:r w:rsidRPr="008718EE">
              <w:rPr>
                <w:rFonts w:cs="Arial"/>
                <w:b/>
                <w:szCs w:val="22"/>
              </w:rPr>
              <w:t xml:space="preserve">Pre-1990 </w:t>
            </w:r>
            <w:r w:rsidR="00EB250A">
              <w:rPr>
                <w:rFonts w:cs="Arial"/>
                <w:b/>
                <w:szCs w:val="22"/>
              </w:rPr>
              <w:t xml:space="preserve">forestry </w:t>
            </w:r>
            <w:r w:rsidRPr="008718EE">
              <w:rPr>
                <w:rFonts w:cs="Arial"/>
                <w:b/>
                <w:szCs w:val="22"/>
              </w:rPr>
              <w:t>emissions units</w:t>
            </w:r>
          </w:p>
          <w:p w:rsidR="00D3394A" w:rsidRPr="00D3394A" w:rsidRDefault="0054765C" w:rsidP="00486852">
            <w:pPr>
              <w:spacing w:after="0" w:line="276" w:lineRule="auto"/>
              <w:rPr>
                <w:rFonts w:cs="Arial"/>
                <w:lang w:val="en"/>
              </w:rPr>
            </w:pPr>
            <w:r w:rsidRPr="000E137B">
              <w:rPr>
                <w:rFonts w:cs="Arial"/>
                <w:lang w:eastAsia="en-AU"/>
              </w:rPr>
              <w:t xml:space="preserve">New Zealand’s emissions trading scheme (ETS) </w:t>
            </w:r>
            <w:r w:rsidR="00283758">
              <w:rPr>
                <w:rFonts w:cs="Arial"/>
                <w:lang w:eastAsia="en-AU"/>
              </w:rPr>
              <w:t xml:space="preserve">distinguishes between pre-1990 forest land and post-1989 forest land, 1990 being the base year of measurement under the </w:t>
            </w:r>
            <w:r w:rsidR="00565ADD">
              <w:rPr>
                <w:rFonts w:cs="Arial"/>
                <w:lang w:eastAsia="en-AU"/>
              </w:rPr>
              <w:t>Paris agreement</w:t>
            </w:r>
            <w:r w:rsidR="00283758">
              <w:rPr>
                <w:rFonts w:cs="Arial"/>
                <w:lang w:eastAsia="en-AU"/>
              </w:rPr>
              <w:t xml:space="preserve">, </w:t>
            </w:r>
            <w:proofErr w:type="gramStart"/>
            <w:r w:rsidR="00283758">
              <w:rPr>
                <w:rFonts w:cs="Arial"/>
                <w:lang w:eastAsia="en-AU"/>
              </w:rPr>
              <w:t>The</w:t>
            </w:r>
            <w:proofErr w:type="gramEnd"/>
            <w:r w:rsidR="00283758">
              <w:rPr>
                <w:rFonts w:cs="Arial"/>
                <w:lang w:eastAsia="en-AU"/>
              </w:rPr>
              <w:t xml:space="preserve"> scheme </w:t>
            </w:r>
            <w:r w:rsidRPr="000E137B">
              <w:rPr>
                <w:rFonts w:cs="Arial"/>
                <w:lang w:eastAsia="en-AU"/>
              </w:rPr>
              <w:t xml:space="preserve">places mandatory deforestation obligations on exotic forests that were first established before 1990, referred to as ‘pre-1990 forests’. </w:t>
            </w:r>
            <w:r>
              <w:rPr>
                <w:rFonts w:cs="Arial"/>
                <w:lang w:eastAsia="en-AU"/>
              </w:rPr>
              <w:t xml:space="preserve"> This means i</w:t>
            </w:r>
            <w:r w:rsidRPr="000E137B">
              <w:rPr>
                <w:rFonts w:cs="Arial"/>
                <w:lang w:eastAsia="en-AU"/>
              </w:rPr>
              <w:t>f pre-1990 landowners choose to deforest, for example when converting forest land to a different use, they face ‘deforestation liabilities’ under the ETS</w:t>
            </w:r>
            <w:r w:rsidR="000626AB">
              <w:rPr>
                <w:rFonts w:cs="Arial"/>
                <w:lang w:eastAsia="en-AU"/>
              </w:rPr>
              <w:t>,</w:t>
            </w:r>
            <w:r>
              <w:rPr>
                <w:rFonts w:cs="Arial"/>
                <w:lang w:eastAsia="en-AU"/>
              </w:rPr>
              <w:t xml:space="preserve"> have </w:t>
            </w:r>
            <w:r w:rsidRPr="000E137B">
              <w:rPr>
                <w:rFonts w:cs="Arial"/>
                <w:lang w:eastAsia="en-AU"/>
              </w:rPr>
              <w:t xml:space="preserve">to report on emissions and surrender an equivalent amount of New Zealand </w:t>
            </w:r>
            <w:r>
              <w:rPr>
                <w:rFonts w:cs="Arial"/>
                <w:lang w:eastAsia="en-AU"/>
              </w:rPr>
              <w:t xml:space="preserve">emission units </w:t>
            </w:r>
            <w:r w:rsidRPr="000E137B">
              <w:rPr>
                <w:rFonts w:cs="Arial"/>
                <w:lang w:eastAsia="en-AU"/>
              </w:rPr>
              <w:t>to the Government.</w:t>
            </w:r>
            <w:r>
              <w:rPr>
                <w:rFonts w:cs="Arial"/>
                <w:lang w:eastAsia="en-AU"/>
              </w:rPr>
              <w:t xml:space="preserve"> </w:t>
            </w:r>
            <w:r w:rsidRPr="000E137B">
              <w:rPr>
                <w:rFonts w:cs="Arial"/>
                <w:lang w:eastAsia="en-AU"/>
              </w:rPr>
              <w:t xml:space="preserve"> When the ETS was introduced, owners of ‘pre-1990 forests’, were able to apply for a one-off free allocation </w:t>
            </w:r>
            <w:r>
              <w:rPr>
                <w:rFonts w:cs="Arial"/>
                <w:lang w:eastAsia="en-AU"/>
              </w:rPr>
              <w:t xml:space="preserve">of </w:t>
            </w:r>
            <w:r w:rsidRPr="000E137B">
              <w:rPr>
                <w:rFonts w:cs="Arial"/>
                <w:lang w:eastAsia="en-AU"/>
              </w:rPr>
              <w:t xml:space="preserve">New Zealand emissions units. </w:t>
            </w:r>
            <w:r>
              <w:rPr>
                <w:rFonts w:cs="Arial"/>
                <w:lang w:eastAsia="en-AU"/>
              </w:rPr>
              <w:t xml:space="preserve"> </w:t>
            </w:r>
            <w:r w:rsidRPr="000E137B">
              <w:rPr>
                <w:rFonts w:cs="Arial"/>
                <w:lang w:eastAsia="en-AU"/>
              </w:rPr>
              <w:t xml:space="preserve">This allocation was intended to recognise </w:t>
            </w:r>
            <w:r>
              <w:rPr>
                <w:rFonts w:cs="Arial"/>
                <w:lang w:eastAsia="en-AU"/>
              </w:rPr>
              <w:t xml:space="preserve">the </w:t>
            </w:r>
            <w:r w:rsidRPr="000E137B">
              <w:rPr>
                <w:rFonts w:cs="Arial"/>
                <w:lang w:eastAsia="en-AU"/>
              </w:rPr>
              <w:t xml:space="preserve">possible impact </w:t>
            </w:r>
            <w:r>
              <w:rPr>
                <w:rFonts w:cs="Arial"/>
                <w:lang w:eastAsia="en-AU"/>
              </w:rPr>
              <w:t>o</w:t>
            </w:r>
            <w:r w:rsidRPr="000E137B">
              <w:rPr>
                <w:rFonts w:cs="Arial"/>
                <w:lang w:eastAsia="en-AU"/>
              </w:rPr>
              <w:t>n land value</w:t>
            </w:r>
            <w:r>
              <w:rPr>
                <w:rFonts w:cs="Arial"/>
                <w:lang w:eastAsia="en-AU"/>
              </w:rPr>
              <w:t>s</w:t>
            </w:r>
            <w:r w:rsidRPr="000E137B">
              <w:rPr>
                <w:rFonts w:cs="Arial"/>
                <w:lang w:eastAsia="en-AU"/>
              </w:rPr>
              <w:t xml:space="preserve"> due to the cost </w:t>
            </w:r>
            <w:r w:rsidR="00965875">
              <w:rPr>
                <w:rFonts w:cs="Arial"/>
                <w:lang w:eastAsia="en-AU"/>
              </w:rPr>
              <w:t>New Zealand’s</w:t>
            </w:r>
            <w:r w:rsidRPr="000E137B">
              <w:rPr>
                <w:rFonts w:cs="Arial"/>
                <w:lang w:eastAsia="en-AU"/>
              </w:rPr>
              <w:t xml:space="preserve"> ETS places on deforesting</w:t>
            </w:r>
            <w:r>
              <w:rPr>
                <w:rFonts w:cs="Arial"/>
                <w:lang w:eastAsia="en-AU"/>
              </w:rPr>
              <w:t>,</w:t>
            </w:r>
            <w:r w:rsidRPr="000E137B">
              <w:rPr>
                <w:rFonts w:cs="Arial"/>
                <w:lang w:eastAsia="en-AU"/>
              </w:rPr>
              <w:t xml:space="preserve"> and the resulting reduction in land-use flexibility</w:t>
            </w:r>
            <w:r w:rsidR="009F11BB">
              <w:rPr>
                <w:rFonts w:cs="Arial"/>
                <w:lang w:val="en"/>
              </w:rPr>
              <w:t>.</w:t>
            </w:r>
          </w:p>
          <w:p w:rsidR="009F11BB" w:rsidRDefault="009F11BB" w:rsidP="00486852">
            <w:pPr>
              <w:spacing w:after="0" w:line="276" w:lineRule="auto"/>
              <w:rPr>
                <w:rFonts w:cs="Arial"/>
                <w:szCs w:val="22"/>
              </w:rPr>
            </w:pPr>
          </w:p>
          <w:p w:rsidR="009F11BB" w:rsidRDefault="009F11BB" w:rsidP="00DF552A">
            <w:pPr>
              <w:spacing w:after="0" w:line="276" w:lineRule="auto"/>
              <w:rPr>
                <w:rFonts w:cs="Arial"/>
                <w:szCs w:val="22"/>
              </w:rPr>
            </w:pPr>
            <w:r>
              <w:t>A wide variety of owners applied for the free units, including farmers with small forest holdings, regional councils, owners of large commercial forests, and M</w:t>
            </w:r>
            <w:r>
              <w:rPr>
                <w:rFonts w:cs="Arial"/>
              </w:rPr>
              <w:t>ā</w:t>
            </w:r>
            <w:r>
              <w:t xml:space="preserve">ori entities who received forest land as part of treaty settlements.  In total, nearly 48 million pre-1990 units were issued, 38 million of which are still held today, </w:t>
            </w:r>
            <w:r w:rsidR="00B87B26">
              <w:t xml:space="preserve">some of which have been either sold or surrendered.  </w:t>
            </w:r>
          </w:p>
          <w:p w:rsidR="009F11BB" w:rsidRDefault="009F11BB" w:rsidP="00DF552A">
            <w:pPr>
              <w:spacing w:after="0" w:line="276" w:lineRule="auto"/>
              <w:rPr>
                <w:rFonts w:cs="Arial"/>
                <w:szCs w:val="22"/>
              </w:rPr>
            </w:pPr>
          </w:p>
          <w:p w:rsidR="0050779E" w:rsidRDefault="0050779E" w:rsidP="00486852">
            <w:pPr>
              <w:spacing w:after="0" w:line="276" w:lineRule="auto"/>
              <w:rPr>
                <w:rFonts w:cs="Arial"/>
                <w:szCs w:val="22"/>
              </w:rPr>
            </w:pPr>
          </w:p>
          <w:p w:rsidR="007042C8" w:rsidRDefault="00B87B26" w:rsidP="00486852">
            <w:pPr>
              <w:spacing w:after="0" w:line="276" w:lineRule="auto"/>
              <w:rPr>
                <w:rFonts w:cs="Arial"/>
                <w:szCs w:val="22"/>
              </w:rPr>
            </w:pPr>
            <w:r>
              <w:rPr>
                <w:rFonts w:cs="Arial"/>
                <w:szCs w:val="22"/>
              </w:rPr>
              <w:t xml:space="preserve">The tax treatment also distinguishes between pre-1990 forestry emissions units and post-1989 forestry emissions units.  </w:t>
            </w:r>
            <w:r w:rsidR="00DA1F51">
              <w:rPr>
                <w:rFonts w:cs="Arial"/>
                <w:szCs w:val="22"/>
              </w:rPr>
              <w:t xml:space="preserve">As a transitional measure, the first </w:t>
            </w:r>
            <w:r w:rsidR="007B6C1B">
              <w:rPr>
                <w:rFonts w:cs="Arial"/>
                <w:szCs w:val="22"/>
              </w:rPr>
              <w:t>disposal</w:t>
            </w:r>
            <w:r w:rsidR="00DA1F51">
              <w:rPr>
                <w:rFonts w:cs="Arial"/>
                <w:szCs w:val="22"/>
              </w:rPr>
              <w:t xml:space="preserve"> of emissions units by taxpayers </w:t>
            </w:r>
            <w:r w:rsidR="007B6C1B">
              <w:rPr>
                <w:rFonts w:cs="Arial"/>
                <w:szCs w:val="22"/>
              </w:rPr>
              <w:t xml:space="preserve">who received the initial allocation of pre-1990 emission units </w:t>
            </w:r>
            <w:proofErr w:type="gramStart"/>
            <w:r w:rsidR="00DA1F51">
              <w:rPr>
                <w:rFonts w:cs="Arial"/>
                <w:szCs w:val="22"/>
              </w:rPr>
              <w:t>is</w:t>
            </w:r>
            <w:proofErr w:type="gramEnd"/>
            <w:r w:rsidR="00DA1F51">
              <w:rPr>
                <w:rFonts w:cs="Arial"/>
                <w:szCs w:val="22"/>
              </w:rPr>
              <w:t xml:space="preserve"> not treated as income</w:t>
            </w:r>
            <w:r w:rsidR="008718EE">
              <w:rPr>
                <w:rFonts w:cs="Arial"/>
                <w:szCs w:val="22"/>
              </w:rPr>
              <w:t xml:space="preserve"> under the Income Tax Act</w:t>
            </w:r>
            <w:r w:rsidR="00DA1F51">
              <w:rPr>
                <w:rFonts w:cs="Arial"/>
                <w:szCs w:val="22"/>
              </w:rPr>
              <w:t xml:space="preserve">.  </w:t>
            </w:r>
            <w:r w:rsidR="008718EE">
              <w:rPr>
                <w:rFonts w:cs="Arial"/>
                <w:szCs w:val="22"/>
              </w:rPr>
              <w:t>Subsequent transactions are su</w:t>
            </w:r>
            <w:r w:rsidR="00B3199D">
              <w:rPr>
                <w:rFonts w:cs="Arial"/>
                <w:szCs w:val="22"/>
              </w:rPr>
              <w:t xml:space="preserve">bject to normal tax treatment on disposal.  </w:t>
            </w:r>
            <w:r w:rsidR="00B73B1E">
              <w:rPr>
                <w:rFonts w:cs="Arial"/>
                <w:szCs w:val="22"/>
              </w:rPr>
              <w:t xml:space="preserve">The special </w:t>
            </w:r>
            <w:r>
              <w:rPr>
                <w:rFonts w:cs="Arial"/>
                <w:szCs w:val="22"/>
              </w:rPr>
              <w:t xml:space="preserve">tax </w:t>
            </w:r>
            <w:r w:rsidR="00B73B1E">
              <w:rPr>
                <w:rFonts w:cs="Arial"/>
                <w:szCs w:val="22"/>
              </w:rPr>
              <w:t xml:space="preserve">treatment for pre-1990 emission units </w:t>
            </w:r>
            <w:r>
              <w:rPr>
                <w:rFonts w:cs="Arial"/>
                <w:szCs w:val="22"/>
              </w:rPr>
              <w:t>reflects the transitional nature of those units</w:t>
            </w:r>
            <w:r w:rsidR="009F25A2">
              <w:rPr>
                <w:rFonts w:cs="Arial"/>
                <w:szCs w:val="22"/>
              </w:rPr>
              <w:t xml:space="preserve"> under the ETS</w:t>
            </w:r>
            <w:r>
              <w:rPr>
                <w:rFonts w:cs="Arial"/>
                <w:szCs w:val="22"/>
              </w:rPr>
              <w:t xml:space="preserve">, </w:t>
            </w:r>
            <w:r w:rsidR="009F25A2">
              <w:rPr>
                <w:rFonts w:cs="Arial"/>
                <w:szCs w:val="22"/>
              </w:rPr>
              <w:t xml:space="preserve">as outlined above.  </w:t>
            </w:r>
          </w:p>
          <w:p w:rsidR="007042C8" w:rsidRDefault="007042C8" w:rsidP="00486852">
            <w:pPr>
              <w:spacing w:after="0" w:line="276" w:lineRule="auto"/>
              <w:rPr>
                <w:rFonts w:cs="Arial"/>
                <w:szCs w:val="22"/>
              </w:rPr>
            </w:pPr>
            <w:r>
              <w:rPr>
                <w:rFonts w:cs="Arial"/>
                <w:szCs w:val="22"/>
              </w:rPr>
              <w:t xml:space="preserve">Public information on the use of pre-1990 </w:t>
            </w:r>
            <w:r w:rsidR="00EB250A">
              <w:rPr>
                <w:rFonts w:cs="Arial"/>
                <w:szCs w:val="22"/>
              </w:rPr>
              <w:t xml:space="preserve">forestry </w:t>
            </w:r>
            <w:r>
              <w:rPr>
                <w:rFonts w:cs="Arial"/>
                <w:szCs w:val="22"/>
              </w:rPr>
              <w:t>emissions units suggests that a large proportion are held long</w:t>
            </w:r>
            <w:r w:rsidR="00885ADF">
              <w:rPr>
                <w:rFonts w:cs="Arial"/>
                <w:szCs w:val="22"/>
              </w:rPr>
              <w:t>-</w:t>
            </w:r>
            <w:r>
              <w:rPr>
                <w:rFonts w:cs="Arial"/>
                <w:szCs w:val="22"/>
              </w:rPr>
              <w:t xml:space="preserve">term.  </w:t>
            </w:r>
            <w:r w:rsidR="000A07D9">
              <w:rPr>
                <w:rFonts w:cs="Arial"/>
                <w:szCs w:val="22"/>
              </w:rPr>
              <w:t xml:space="preserve">As the units themselves do not produce income, </w:t>
            </w:r>
            <w:r w:rsidR="005E012D">
              <w:rPr>
                <w:rFonts w:cs="Arial"/>
                <w:szCs w:val="22"/>
              </w:rPr>
              <w:t>the cash value of these assets</w:t>
            </w:r>
            <w:r w:rsidR="002164A6">
              <w:rPr>
                <w:rFonts w:cs="Arial"/>
                <w:szCs w:val="22"/>
              </w:rPr>
              <w:t xml:space="preserve"> can only be realised on disposal.  </w:t>
            </w:r>
            <w:r w:rsidR="00C475B4">
              <w:rPr>
                <w:rFonts w:cs="Arial"/>
                <w:szCs w:val="22"/>
              </w:rPr>
              <w:t>For holders that want to take a long</w:t>
            </w:r>
            <w:r w:rsidR="00885ADF">
              <w:rPr>
                <w:rFonts w:cs="Arial"/>
                <w:szCs w:val="22"/>
              </w:rPr>
              <w:t>-</w:t>
            </w:r>
            <w:r w:rsidR="00C475B4">
              <w:rPr>
                <w:rFonts w:cs="Arial"/>
                <w:szCs w:val="22"/>
              </w:rPr>
              <w:t xml:space="preserve">term </w:t>
            </w:r>
            <w:r w:rsidR="00AC065C">
              <w:rPr>
                <w:rFonts w:cs="Arial"/>
                <w:szCs w:val="22"/>
              </w:rPr>
              <w:t>inter-</w:t>
            </w:r>
            <w:r w:rsidR="00C475B4">
              <w:rPr>
                <w:rFonts w:cs="Arial"/>
                <w:szCs w:val="22"/>
              </w:rPr>
              <w:t>generational approach, the units can represent an unproductive asset</w:t>
            </w:r>
            <w:r w:rsidR="003675F9">
              <w:rPr>
                <w:rFonts w:cs="Arial"/>
                <w:szCs w:val="22"/>
              </w:rPr>
              <w:t>.</w:t>
            </w:r>
            <w:r w:rsidR="008860B2">
              <w:rPr>
                <w:rFonts w:cs="Arial"/>
                <w:szCs w:val="22"/>
              </w:rPr>
              <w:t xml:space="preserve"> </w:t>
            </w:r>
            <w:r w:rsidR="003675F9">
              <w:rPr>
                <w:rFonts w:cs="Arial"/>
                <w:szCs w:val="22"/>
              </w:rPr>
              <w:t xml:space="preserve"> </w:t>
            </w:r>
            <w:r w:rsidR="00E54C75">
              <w:rPr>
                <w:rFonts w:cs="Arial"/>
                <w:szCs w:val="22"/>
              </w:rPr>
              <w:t xml:space="preserve">The </w:t>
            </w:r>
            <w:r w:rsidR="003675F9">
              <w:rPr>
                <w:rFonts w:cs="Arial"/>
                <w:szCs w:val="22"/>
              </w:rPr>
              <w:t xml:space="preserve">Inland Revenue </w:t>
            </w:r>
            <w:r w:rsidR="002936EC">
              <w:rPr>
                <w:rFonts w:cs="Arial"/>
                <w:szCs w:val="22"/>
              </w:rPr>
              <w:t xml:space="preserve">Department </w:t>
            </w:r>
            <w:r w:rsidR="006B3C19">
              <w:rPr>
                <w:rFonts w:cs="Arial"/>
                <w:szCs w:val="22"/>
              </w:rPr>
              <w:t>(Inland Revenue)</w:t>
            </w:r>
            <w:r w:rsidR="003B79CB">
              <w:t xml:space="preserve"> </w:t>
            </w:r>
            <w:r w:rsidR="00E54C75">
              <w:rPr>
                <w:rFonts w:cs="Arial"/>
                <w:szCs w:val="22"/>
              </w:rPr>
              <w:t xml:space="preserve">was approached by </w:t>
            </w:r>
            <w:r w:rsidR="0054765C">
              <w:rPr>
                <w:rFonts w:cs="Arial"/>
                <w:szCs w:val="22"/>
              </w:rPr>
              <w:t xml:space="preserve">a </w:t>
            </w:r>
            <w:r w:rsidR="00C6400E">
              <w:rPr>
                <w:rFonts w:cs="Arial"/>
                <w:szCs w:val="22"/>
              </w:rPr>
              <w:t>private sector stakeholder</w:t>
            </w:r>
            <w:r w:rsidR="00E54C75">
              <w:rPr>
                <w:rFonts w:cs="Arial"/>
                <w:szCs w:val="22"/>
              </w:rPr>
              <w:t xml:space="preserve"> </w:t>
            </w:r>
            <w:r w:rsidR="003675F9">
              <w:rPr>
                <w:rFonts w:cs="Arial"/>
                <w:szCs w:val="22"/>
              </w:rPr>
              <w:t xml:space="preserve">about changing the Income Tax Act </w:t>
            </w:r>
            <w:r w:rsidR="00AC065C">
              <w:rPr>
                <w:rFonts w:cs="Arial"/>
                <w:szCs w:val="22"/>
              </w:rPr>
              <w:t>so that</w:t>
            </w:r>
            <w:r w:rsidR="003675F9">
              <w:rPr>
                <w:rFonts w:cs="Arial"/>
                <w:szCs w:val="22"/>
              </w:rPr>
              <w:t xml:space="preserve"> unit holders </w:t>
            </w:r>
            <w:r w:rsidR="00D56436">
              <w:rPr>
                <w:rFonts w:cs="Arial"/>
                <w:szCs w:val="22"/>
              </w:rPr>
              <w:t>could</w:t>
            </w:r>
            <w:r w:rsidR="003675F9">
              <w:rPr>
                <w:rFonts w:cs="Arial"/>
                <w:szCs w:val="22"/>
              </w:rPr>
              <w:t xml:space="preserve"> extract value from the emission </w:t>
            </w:r>
            <w:r w:rsidR="00AC065C">
              <w:rPr>
                <w:rFonts w:cs="Arial"/>
                <w:szCs w:val="22"/>
              </w:rPr>
              <w:t>units using sale and compulsory buy-back arrangements</w:t>
            </w:r>
            <w:r w:rsidR="00104390">
              <w:rPr>
                <w:rFonts w:cs="Arial"/>
                <w:szCs w:val="22"/>
              </w:rPr>
              <w:t xml:space="preserve"> without triggering a sale for tax purposes</w:t>
            </w:r>
            <w:r w:rsidR="00AC065C">
              <w:rPr>
                <w:rFonts w:cs="Arial"/>
                <w:szCs w:val="22"/>
              </w:rPr>
              <w:t>.</w:t>
            </w:r>
          </w:p>
          <w:p w:rsidR="00E95858" w:rsidRPr="00AC065C" w:rsidRDefault="00E95858" w:rsidP="002E0FAE">
            <w:pPr>
              <w:spacing w:before="120" w:after="120" w:line="276" w:lineRule="auto"/>
              <w:rPr>
                <w:rFonts w:cs="Arial"/>
                <w:b/>
                <w:szCs w:val="22"/>
              </w:rPr>
            </w:pPr>
            <w:r w:rsidRPr="00AC065C">
              <w:rPr>
                <w:rFonts w:cs="Arial"/>
                <w:b/>
                <w:szCs w:val="22"/>
              </w:rPr>
              <w:t xml:space="preserve">Sale and </w:t>
            </w:r>
            <w:r w:rsidR="00AC065C" w:rsidRPr="00AC065C">
              <w:rPr>
                <w:rFonts w:cs="Arial"/>
                <w:b/>
                <w:szCs w:val="22"/>
              </w:rPr>
              <w:t xml:space="preserve">compulsory </w:t>
            </w:r>
            <w:r w:rsidRPr="00AC065C">
              <w:rPr>
                <w:rFonts w:cs="Arial"/>
                <w:b/>
                <w:szCs w:val="22"/>
              </w:rPr>
              <w:t xml:space="preserve">buy-back </w:t>
            </w:r>
            <w:r w:rsidR="00AC065C" w:rsidRPr="00AC065C">
              <w:rPr>
                <w:rFonts w:cs="Arial"/>
                <w:b/>
                <w:szCs w:val="22"/>
              </w:rPr>
              <w:t>arrangements</w:t>
            </w:r>
          </w:p>
          <w:p w:rsidR="00F132B2" w:rsidRDefault="0004375F" w:rsidP="00486852">
            <w:pPr>
              <w:spacing w:after="0" w:line="276" w:lineRule="auto"/>
              <w:rPr>
                <w:rFonts w:cs="Arial"/>
                <w:szCs w:val="22"/>
              </w:rPr>
            </w:pPr>
            <w:r>
              <w:rPr>
                <w:rFonts w:cs="Arial"/>
                <w:szCs w:val="22"/>
              </w:rPr>
              <w:t>It is a well-establish</w:t>
            </w:r>
            <w:r w:rsidR="000D7AB9">
              <w:rPr>
                <w:rFonts w:cs="Arial"/>
                <w:szCs w:val="22"/>
              </w:rPr>
              <w:t>ed</w:t>
            </w:r>
            <w:r>
              <w:rPr>
                <w:rFonts w:cs="Arial"/>
                <w:szCs w:val="22"/>
              </w:rPr>
              <w:t xml:space="preserve"> </w:t>
            </w:r>
            <w:r w:rsidR="00D56436">
              <w:rPr>
                <w:rFonts w:cs="Arial"/>
                <w:szCs w:val="22"/>
              </w:rPr>
              <w:t>principle of interpretation</w:t>
            </w:r>
            <w:r>
              <w:rPr>
                <w:rFonts w:cs="Arial"/>
                <w:szCs w:val="22"/>
              </w:rPr>
              <w:t xml:space="preserve"> that the tax treatment of a transaction follows its legal form.  </w:t>
            </w:r>
            <w:r w:rsidR="000D7AB9">
              <w:rPr>
                <w:rFonts w:cs="Arial"/>
                <w:szCs w:val="22"/>
              </w:rPr>
              <w:t>W</w:t>
            </w:r>
            <w:r w:rsidR="00656CD2">
              <w:rPr>
                <w:rFonts w:cs="Arial"/>
                <w:szCs w:val="22"/>
              </w:rPr>
              <w:t>hen a taxpayer sells property</w:t>
            </w:r>
            <w:r w:rsidR="002B74F0">
              <w:rPr>
                <w:rFonts w:cs="Arial"/>
                <w:szCs w:val="22"/>
              </w:rPr>
              <w:t xml:space="preserve">, such as </w:t>
            </w:r>
            <w:r w:rsidR="00EB250A">
              <w:rPr>
                <w:rFonts w:cs="Arial"/>
                <w:szCs w:val="22"/>
              </w:rPr>
              <w:t xml:space="preserve">pre-1990 forestry </w:t>
            </w:r>
            <w:r w:rsidR="002B74F0">
              <w:rPr>
                <w:rFonts w:cs="Arial"/>
                <w:szCs w:val="22"/>
              </w:rPr>
              <w:t>emission units,</w:t>
            </w:r>
            <w:r w:rsidR="00656CD2">
              <w:rPr>
                <w:rFonts w:cs="Arial"/>
                <w:szCs w:val="22"/>
              </w:rPr>
              <w:t xml:space="preserve"> with a compulsory obligation to buy the same or equivalent property back</w:t>
            </w:r>
            <w:r w:rsidR="00284425">
              <w:rPr>
                <w:rFonts w:cs="Arial"/>
                <w:szCs w:val="22"/>
              </w:rPr>
              <w:t xml:space="preserve">, the tax rules treat the transaction as a </w:t>
            </w:r>
            <w:r w:rsidR="002B74F0">
              <w:rPr>
                <w:rFonts w:cs="Arial"/>
                <w:szCs w:val="22"/>
              </w:rPr>
              <w:t>disposal</w:t>
            </w:r>
            <w:r w:rsidR="000D7AB9">
              <w:rPr>
                <w:rFonts w:cs="Arial"/>
                <w:szCs w:val="22"/>
              </w:rPr>
              <w:t xml:space="preserve"> –</w:t>
            </w:r>
            <w:r w:rsidR="00284425">
              <w:rPr>
                <w:rFonts w:cs="Arial"/>
                <w:szCs w:val="22"/>
              </w:rPr>
              <w:t xml:space="preserve"> that is</w:t>
            </w:r>
            <w:r w:rsidR="000D7AB9">
              <w:rPr>
                <w:rFonts w:cs="Arial"/>
                <w:szCs w:val="22"/>
              </w:rPr>
              <w:t>,</w:t>
            </w:r>
            <w:r w:rsidR="00284425">
              <w:rPr>
                <w:rFonts w:cs="Arial"/>
                <w:szCs w:val="22"/>
              </w:rPr>
              <w:t xml:space="preserve"> the taxpayer alienates all rights in the property</w:t>
            </w:r>
            <w:r w:rsidR="00871FC4">
              <w:rPr>
                <w:rFonts w:cs="Arial"/>
                <w:szCs w:val="22"/>
              </w:rPr>
              <w:t xml:space="preserve">.  </w:t>
            </w:r>
          </w:p>
          <w:p w:rsidR="002B74F0" w:rsidRDefault="002B74F0" w:rsidP="00486852">
            <w:pPr>
              <w:spacing w:after="0" w:line="276" w:lineRule="auto"/>
              <w:rPr>
                <w:rFonts w:cs="Arial"/>
                <w:szCs w:val="22"/>
              </w:rPr>
            </w:pPr>
          </w:p>
          <w:p w:rsidR="002B74F0" w:rsidRDefault="002B74F0" w:rsidP="00486852">
            <w:pPr>
              <w:spacing w:after="0" w:line="276" w:lineRule="auto"/>
              <w:rPr>
                <w:rFonts w:cs="Arial"/>
                <w:szCs w:val="22"/>
              </w:rPr>
            </w:pPr>
            <w:r>
              <w:rPr>
                <w:rFonts w:cs="Arial"/>
                <w:szCs w:val="22"/>
              </w:rPr>
              <w:t>By treating the sale and compulsory buy-back arrangement as a disposal</w:t>
            </w:r>
            <w:r w:rsidR="002936EC">
              <w:rPr>
                <w:rFonts w:cs="Arial"/>
                <w:szCs w:val="22"/>
              </w:rPr>
              <w:t xml:space="preserve"> for tax purposes</w:t>
            </w:r>
            <w:r>
              <w:rPr>
                <w:rFonts w:cs="Arial"/>
                <w:szCs w:val="22"/>
              </w:rPr>
              <w:t xml:space="preserve">, taxpayers extinguish the benefit </w:t>
            </w:r>
            <w:r w:rsidR="00D03EF1">
              <w:rPr>
                <w:rFonts w:cs="Arial"/>
                <w:szCs w:val="22"/>
              </w:rPr>
              <w:t xml:space="preserve">of the tax transitional treatment for pre-1990 </w:t>
            </w:r>
            <w:r w:rsidR="00F92804">
              <w:rPr>
                <w:rFonts w:cs="Arial"/>
                <w:szCs w:val="22"/>
              </w:rPr>
              <w:t xml:space="preserve">forestry emissions </w:t>
            </w:r>
            <w:r w:rsidR="00D03EF1">
              <w:rPr>
                <w:rFonts w:cs="Arial"/>
                <w:szCs w:val="22"/>
              </w:rPr>
              <w:t xml:space="preserve">units.  </w:t>
            </w:r>
            <w:r w:rsidR="007C7990">
              <w:rPr>
                <w:rFonts w:cs="Arial"/>
                <w:szCs w:val="22"/>
              </w:rPr>
              <w:t xml:space="preserve">Economically, however, the transaction is </w:t>
            </w:r>
            <w:r w:rsidR="002936EC">
              <w:rPr>
                <w:rFonts w:cs="Arial"/>
                <w:szCs w:val="22"/>
              </w:rPr>
              <w:t xml:space="preserve">a loan or lease of property.  </w:t>
            </w:r>
            <w:r w:rsidR="0004375F">
              <w:rPr>
                <w:rFonts w:cs="Arial"/>
                <w:szCs w:val="22"/>
              </w:rPr>
              <w:t>As t</w:t>
            </w:r>
            <w:r w:rsidR="00E9581B">
              <w:rPr>
                <w:rFonts w:cs="Arial"/>
                <w:szCs w:val="22"/>
              </w:rPr>
              <w:t xml:space="preserve">he </w:t>
            </w:r>
            <w:r w:rsidR="00E9581B">
              <w:rPr>
                <w:rFonts w:cs="Arial"/>
                <w:szCs w:val="22"/>
              </w:rPr>
              <w:lastRenderedPageBreak/>
              <w:t>tax treatment follows the legal form of the transaction rather than its economic substance</w:t>
            </w:r>
            <w:r w:rsidR="00A66878">
              <w:rPr>
                <w:rFonts w:cs="Arial"/>
                <w:szCs w:val="22"/>
              </w:rPr>
              <w:t>, tax law can act as a</w:t>
            </w:r>
            <w:r w:rsidR="000053DF">
              <w:rPr>
                <w:rFonts w:cs="Arial"/>
                <w:szCs w:val="22"/>
              </w:rPr>
              <w:t>n</w:t>
            </w:r>
            <w:r w:rsidR="00A66878">
              <w:rPr>
                <w:rFonts w:cs="Arial"/>
                <w:szCs w:val="22"/>
              </w:rPr>
              <w:t xml:space="preserve"> </w:t>
            </w:r>
            <w:r w:rsidR="003611EB">
              <w:rPr>
                <w:rFonts w:cs="Arial"/>
                <w:szCs w:val="22"/>
              </w:rPr>
              <w:t>impediment</w:t>
            </w:r>
            <w:r w:rsidR="00A66878">
              <w:rPr>
                <w:rFonts w:cs="Arial"/>
                <w:szCs w:val="22"/>
              </w:rPr>
              <w:t xml:space="preserve"> to </w:t>
            </w:r>
            <w:r w:rsidR="003611EB">
              <w:rPr>
                <w:rFonts w:cs="Arial"/>
                <w:szCs w:val="22"/>
              </w:rPr>
              <w:t xml:space="preserve">unit holders seeking to extract </w:t>
            </w:r>
            <w:r w:rsidR="000053DF">
              <w:rPr>
                <w:rFonts w:cs="Arial"/>
                <w:szCs w:val="22"/>
              </w:rPr>
              <w:t>value from emission</w:t>
            </w:r>
            <w:r w:rsidR="008B4792">
              <w:rPr>
                <w:rFonts w:cs="Arial"/>
                <w:szCs w:val="22"/>
              </w:rPr>
              <w:t>s</w:t>
            </w:r>
            <w:r w:rsidR="000053DF">
              <w:rPr>
                <w:rFonts w:cs="Arial"/>
                <w:szCs w:val="22"/>
              </w:rPr>
              <w:t xml:space="preserve"> units that are held for inter-generational purposes.   </w:t>
            </w:r>
          </w:p>
          <w:p w:rsidR="009F55BC" w:rsidRDefault="009F55BC" w:rsidP="00486852">
            <w:pPr>
              <w:spacing w:after="0" w:line="276" w:lineRule="auto"/>
              <w:rPr>
                <w:rFonts w:cs="Arial"/>
                <w:szCs w:val="22"/>
              </w:rPr>
            </w:pPr>
          </w:p>
          <w:p w:rsidR="009F55BC" w:rsidRPr="00E9581B" w:rsidRDefault="009F55BC" w:rsidP="00486852">
            <w:pPr>
              <w:spacing w:after="0" w:line="276" w:lineRule="auto"/>
            </w:pPr>
            <w:r>
              <w:rPr>
                <w:rFonts w:cs="Arial"/>
                <w:szCs w:val="22"/>
              </w:rPr>
              <w:t xml:space="preserve">Agreements involving </w:t>
            </w:r>
            <w:r w:rsidR="001673A3">
              <w:rPr>
                <w:rFonts w:cs="Arial"/>
                <w:szCs w:val="22"/>
              </w:rPr>
              <w:t xml:space="preserve">the </w:t>
            </w:r>
            <w:r w:rsidR="00B0066A">
              <w:rPr>
                <w:rFonts w:cs="Arial"/>
                <w:szCs w:val="22"/>
              </w:rPr>
              <w:t xml:space="preserve">sale and compulsory buy back </w:t>
            </w:r>
            <w:r w:rsidR="000626AB">
              <w:rPr>
                <w:rFonts w:cs="Arial"/>
                <w:szCs w:val="22"/>
              </w:rPr>
              <w:t xml:space="preserve">of property </w:t>
            </w:r>
            <w:r>
              <w:rPr>
                <w:rFonts w:cs="Arial"/>
                <w:szCs w:val="22"/>
              </w:rPr>
              <w:t xml:space="preserve">are typically referred to as </w:t>
            </w:r>
            <w:r w:rsidR="000D7AB9">
              <w:rPr>
                <w:rFonts w:cs="Arial"/>
                <w:szCs w:val="22"/>
              </w:rPr>
              <w:t>“</w:t>
            </w:r>
            <w:r w:rsidR="000B340C">
              <w:rPr>
                <w:rFonts w:cs="Arial"/>
                <w:szCs w:val="22"/>
              </w:rPr>
              <w:t>securitization</w:t>
            </w:r>
            <w:r w:rsidR="000D7AB9">
              <w:rPr>
                <w:rFonts w:cs="Arial"/>
                <w:szCs w:val="22"/>
              </w:rPr>
              <w:t>”</w:t>
            </w:r>
            <w:r>
              <w:rPr>
                <w:rFonts w:cs="Arial"/>
                <w:szCs w:val="22"/>
              </w:rPr>
              <w:t xml:space="preserve">.  </w:t>
            </w:r>
            <w:r w:rsidR="00406E55">
              <w:rPr>
                <w:rFonts w:cs="Arial"/>
                <w:szCs w:val="22"/>
              </w:rPr>
              <w:t xml:space="preserve">Securitization usually involves using a long-term asset as security in return for a payment for up to the asset’s worth that is repayable at a specified later date.  </w:t>
            </w:r>
            <w:r w:rsidR="001546E4">
              <w:rPr>
                <w:rFonts w:cs="Arial"/>
                <w:szCs w:val="22"/>
              </w:rPr>
              <w:t xml:space="preserve">The borrower can use the asset for the </w:t>
            </w:r>
            <w:proofErr w:type="gramStart"/>
            <w:r w:rsidR="001546E4">
              <w:rPr>
                <w:rFonts w:cs="Arial"/>
                <w:szCs w:val="22"/>
              </w:rPr>
              <w:t>period</w:t>
            </w:r>
            <w:proofErr w:type="gramEnd"/>
            <w:r w:rsidR="001546E4">
              <w:rPr>
                <w:rFonts w:cs="Arial"/>
                <w:szCs w:val="22"/>
              </w:rPr>
              <w:t xml:space="preserve"> but the expectation is that the asset or an asset of an equivalent nature will be returned to the lender </w:t>
            </w:r>
            <w:r w:rsidR="00632464">
              <w:rPr>
                <w:rFonts w:cs="Arial"/>
                <w:szCs w:val="22"/>
              </w:rPr>
              <w:t xml:space="preserve">when the monies are paid back.  </w:t>
            </w:r>
            <w:r w:rsidR="00B0066A">
              <w:rPr>
                <w:rFonts w:cs="Arial"/>
                <w:szCs w:val="22"/>
              </w:rPr>
              <w:t>A</w:t>
            </w:r>
            <w:r w:rsidR="004A1318">
              <w:rPr>
                <w:rFonts w:cs="Arial"/>
                <w:szCs w:val="22"/>
              </w:rPr>
              <w:t xml:space="preserve">s the </w:t>
            </w:r>
            <w:r w:rsidR="00E52EE5">
              <w:rPr>
                <w:rFonts w:cs="Arial"/>
                <w:szCs w:val="22"/>
              </w:rPr>
              <w:t xml:space="preserve">set of </w:t>
            </w:r>
            <w:r w:rsidR="004A1318">
              <w:rPr>
                <w:rFonts w:cs="Arial"/>
                <w:szCs w:val="22"/>
              </w:rPr>
              <w:t>transaction</w:t>
            </w:r>
            <w:r w:rsidR="00E52EE5">
              <w:rPr>
                <w:rFonts w:cs="Arial"/>
                <w:szCs w:val="22"/>
              </w:rPr>
              <w:t>s</w:t>
            </w:r>
            <w:r w:rsidR="004A1318">
              <w:rPr>
                <w:rFonts w:cs="Arial"/>
                <w:szCs w:val="22"/>
              </w:rPr>
              <w:t xml:space="preserve"> is in-substance a loan or lease, the tax consequences should follow the difference in the net cash flows as a measure of income, expenditure or loss arising from the arrangement.  </w:t>
            </w:r>
            <w:r w:rsidR="00AF7828">
              <w:rPr>
                <w:rFonts w:cs="Arial"/>
                <w:szCs w:val="22"/>
              </w:rPr>
              <w:t xml:space="preserve">A netting approach is more consistent with </w:t>
            </w:r>
            <w:r w:rsidR="00623805">
              <w:rPr>
                <w:rFonts w:cs="Arial"/>
                <w:szCs w:val="22"/>
              </w:rPr>
              <w:t>existing tax policy frameworks</w:t>
            </w:r>
            <w:r w:rsidR="00AA54CA">
              <w:rPr>
                <w:rFonts w:cs="Arial"/>
                <w:szCs w:val="22"/>
              </w:rPr>
              <w:t xml:space="preserve"> when economic ownership of the asset is not surrendered.  </w:t>
            </w:r>
          </w:p>
          <w:p w:rsidR="0017233D" w:rsidRPr="0017233D" w:rsidRDefault="0017233D" w:rsidP="002E0FAE">
            <w:pPr>
              <w:spacing w:before="120" w:after="120" w:line="276" w:lineRule="auto"/>
              <w:rPr>
                <w:rFonts w:cs="Arial"/>
                <w:b/>
                <w:szCs w:val="22"/>
              </w:rPr>
            </w:pPr>
            <w:r w:rsidRPr="0017233D">
              <w:rPr>
                <w:rFonts w:cs="Arial"/>
                <w:b/>
                <w:szCs w:val="22"/>
              </w:rPr>
              <w:t>Case for change</w:t>
            </w:r>
          </w:p>
          <w:p w:rsidR="0017233D" w:rsidRDefault="0017233D" w:rsidP="00486852">
            <w:pPr>
              <w:spacing w:after="0" w:line="276" w:lineRule="auto"/>
              <w:rPr>
                <w:rFonts w:cs="Arial"/>
                <w:szCs w:val="22"/>
              </w:rPr>
            </w:pPr>
            <w:r>
              <w:rPr>
                <w:rFonts w:cs="Arial"/>
                <w:szCs w:val="22"/>
              </w:rPr>
              <w:t xml:space="preserve">The approach to Inland Revenue for legislative reform was motivated by </w:t>
            </w:r>
            <w:r w:rsidR="0054765C">
              <w:rPr>
                <w:rFonts w:cs="Arial"/>
                <w:szCs w:val="22"/>
              </w:rPr>
              <w:t>a</w:t>
            </w:r>
            <w:r>
              <w:rPr>
                <w:rFonts w:cs="Arial"/>
                <w:szCs w:val="22"/>
              </w:rPr>
              <w:t xml:space="preserve"> unit holder wanting to enter into a significant transaction that would allow them to lend the emissions units to a third party who will </w:t>
            </w:r>
            <w:r w:rsidR="00E52EE5">
              <w:rPr>
                <w:rFonts w:cs="Arial"/>
                <w:szCs w:val="22"/>
              </w:rPr>
              <w:t xml:space="preserve">likely </w:t>
            </w:r>
            <w:r>
              <w:rPr>
                <w:rFonts w:cs="Arial"/>
                <w:szCs w:val="22"/>
              </w:rPr>
              <w:t>use the units to offset liabilities connected with their emissions.</w:t>
            </w:r>
            <w:r w:rsidR="00D71539">
              <w:rPr>
                <w:rFonts w:cs="Arial"/>
                <w:szCs w:val="22"/>
              </w:rPr>
              <w:t xml:space="preserve"> </w:t>
            </w:r>
            <w:r w:rsidR="003B79CB">
              <w:rPr>
                <w:rFonts w:cs="Arial"/>
                <w:szCs w:val="22"/>
              </w:rPr>
              <w:t xml:space="preserve"> Because</w:t>
            </w:r>
            <w:r w:rsidR="00D71539">
              <w:rPr>
                <w:rFonts w:cs="Arial"/>
                <w:szCs w:val="22"/>
              </w:rPr>
              <w:t xml:space="preserve"> the agreement requires the unit holder to reacquire the units </w:t>
            </w:r>
            <w:r w:rsidR="00E52EE5">
              <w:rPr>
                <w:rFonts w:cs="Arial"/>
                <w:szCs w:val="22"/>
              </w:rPr>
              <w:t>at a specified future date</w:t>
            </w:r>
            <w:r w:rsidR="003B79CB">
              <w:rPr>
                <w:rFonts w:cs="Arial"/>
                <w:szCs w:val="22"/>
              </w:rPr>
              <w:t>,</w:t>
            </w:r>
            <w:r w:rsidR="00D71539">
              <w:rPr>
                <w:rFonts w:cs="Arial"/>
                <w:szCs w:val="22"/>
              </w:rPr>
              <w:t xml:space="preserve"> </w:t>
            </w:r>
            <w:r w:rsidR="00F37D03">
              <w:rPr>
                <w:rFonts w:cs="Arial"/>
                <w:szCs w:val="22"/>
              </w:rPr>
              <w:t xml:space="preserve">the </w:t>
            </w:r>
            <w:r w:rsidR="00D71539">
              <w:rPr>
                <w:rFonts w:cs="Arial"/>
                <w:szCs w:val="22"/>
              </w:rPr>
              <w:t xml:space="preserve">property rights in the units cannot be said to have been extinguished or disposed of. </w:t>
            </w:r>
            <w:r>
              <w:rPr>
                <w:rFonts w:cs="Arial"/>
                <w:szCs w:val="22"/>
              </w:rPr>
              <w:t xml:space="preserve"> In return</w:t>
            </w:r>
            <w:r w:rsidR="00D71539">
              <w:rPr>
                <w:rFonts w:cs="Arial"/>
                <w:szCs w:val="22"/>
              </w:rPr>
              <w:t xml:space="preserve"> for the emissions units</w:t>
            </w:r>
            <w:r w:rsidR="003B79CB">
              <w:rPr>
                <w:rFonts w:cs="Arial"/>
                <w:szCs w:val="22"/>
              </w:rPr>
              <w:t>,</w:t>
            </w:r>
            <w:r>
              <w:rPr>
                <w:rFonts w:cs="Arial"/>
                <w:szCs w:val="22"/>
              </w:rPr>
              <w:t xml:space="preserve"> the unit holders would receive monies that could</w:t>
            </w:r>
            <w:r w:rsidR="006741E8">
              <w:rPr>
                <w:rFonts w:cs="Arial"/>
                <w:szCs w:val="22"/>
              </w:rPr>
              <w:t xml:space="preserve"> be </w:t>
            </w:r>
            <w:r w:rsidR="00CA2070">
              <w:rPr>
                <w:rFonts w:cs="Arial"/>
                <w:szCs w:val="22"/>
              </w:rPr>
              <w:t>used</w:t>
            </w:r>
            <w:r w:rsidR="006741E8">
              <w:rPr>
                <w:rFonts w:cs="Arial"/>
                <w:szCs w:val="22"/>
              </w:rPr>
              <w:t xml:space="preserve"> to produce income, such as interest.  </w:t>
            </w:r>
            <w:r w:rsidR="00CA2070">
              <w:rPr>
                <w:rFonts w:cs="Arial"/>
                <w:szCs w:val="22"/>
              </w:rPr>
              <w:t>Tax law, however, inhibits such arrangement</w:t>
            </w:r>
            <w:r w:rsidR="00D71539">
              <w:rPr>
                <w:rFonts w:cs="Arial"/>
                <w:szCs w:val="22"/>
              </w:rPr>
              <w:t>s</w:t>
            </w:r>
            <w:r w:rsidR="00CA2070">
              <w:rPr>
                <w:rFonts w:cs="Arial"/>
                <w:szCs w:val="22"/>
              </w:rPr>
              <w:t xml:space="preserve"> as </w:t>
            </w:r>
            <w:r w:rsidR="00D71539">
              <w:rPr>
                <w:rFonts w:cs="Arial"/>
                <w:szCs w:val="22"/>
              </w:rPr>
              <w:t>they</w:t>
            </w:r>
            <w:r w:rsidR="00CA2070">
              <w:rPr>
                <w:rFonts w:cs="Arial"/>
                <w:szCs w:val="22"/>
              </w:rPr>
              <w:t xml:space="preserve"> would result in the pre-1990 </w:t>
            </w:r>
            <w:r w:rsidR="00BC13D0">
              <w:rPr>
                <w:rFonts w:cs="Arial"/>
                <w:szCs w:val="22"/>
              </w:rPr>
              <w:t xml:space="preserve">forestry emissions </w:t>
            </w:r>
            <w:r w:rsidR="00CA2070">
              <w:rPr>
                <w:rFonts w:cs="Arial"/>
                <w:szCs w:val="22"/>
              </w:rPr>
              <w:t xml:space="preserve">units losing their </w:t>
            </w:r>
            <w:r w:rsidR="00E52EE5">
              <w:rPr>
                <w:rFonts w:cs="Arial"/>
                <w:szCs w:val="22"/>
              </w:rPr>
              <w:t xml:space="preserve">one-off </w:t>
            </w:r>
            <w:r w:rsidR="00CA2070">
              <w:rPr>
                <w:rFonts w:cs="Arial"/>
                <w:szCs w:val="22"/>
              </w:rPr>
              <w:t xml:space="preserve">tax-free status, and limits options for unit holders to seek opportunities </w:t>
            </w:r>
            <w:r w:rsidR="0064316D">
              <w:rPr>
                <w:rFonts w:cs="Arial"/>
                <w:szCs w:val="22"/>
              </w:rPr>
              <w:t xml:space="preserve">to maximise </w:t>
            </w:r>
            <w:r w:rsidR="003B79CB">
              <w:rPr>
                <w:rFonts w:cs="Arial"/>
                <w:szCs w:val="22"/>
              </w:rPr>
              <w:t xml:space="preserve">the </w:t>
            </w:r>
            <w:r w:rsidR="0064316D">
              <w:rPr>
                <w:rFonts w:cs="Arial"/>
                <w:szCs w:val="22"/>
              </w:rPr>
              <w:t xml:space="preserve">value from otherwise unproductive assets on their balance sheet.  </w:t>
            </w:r>
          </w:p>
          <w:p w:rsidR="00D71539" w:rsidRDefault="00D71539" w:rsidP="00486852">
            <w:pPr>
              <w:spacing w:after="0" w:line="276" w:lineRule="auto"/>
              <w:rPr>
                <w:rFonts w:cs="Arial"/>
                <w:szCs w:val="22"/>
              </w:rPr>
            </w:pPr>
          </w:p>
          <w:p w:rsidR="00D71539" w:rsidRDefault="00D71539" w:rsidP="00486852">
            <w:pPr>
              <w:spacing w:after="0" w:line="276" w:lineRule="auto"/>
              <w:rPr>
                <w:rFonts w:cs="Arial"/>
                <w:szCs w:val="22"/>
              </w:rPr>
            </w:pPr>
            <w:r>
              <w:rPr>
                <w:rFonts w:cs="Arial"/>
                <w:szCs w:val="22"/>
              </w:rPr>
              <w:t>Work on the issue</w:t>
            </w:r>
            <w:r w:rsidR="00533BF5">
              <w:rPr>
                <w:rFonts w:cs="Arial"/>
                <w:szCs w:val="22"/>
              </w:rPr>
              <w:t xml:space="preserve"> was initially planned for late 2018.  </w:t>
            </w:r>
            <w:r w:rsidR="00011320">
              <w:rPr>
                <w:rFonts w:cs="Arial"/>
                <w:szCs w:val="22"/>
              </w:rPr>
              <w:t xml:space="preserve">However, an impetus for dealing with this issue more quickly is the fact that the </w:t>
            </w:r>
            <w:r w:rsidR="000D02F1">
              <w:rPr>
                <w:rFonts w:cs="Arial"/>
                <w:szCs w:val="22"/>
              </w:rPr>
              <w:t>stakeholder</w:t>
            </w:r>
            <w:r w:rsidR="00011320">
              <w:rPr>
                <w:rFonts w:cs="Arial"/>
                <w:szCs w:val="22"/>
              </w:rPr>
              <w:t xml:space="preserve"> who approached Inland Revenue </w:t>
            </w:r>
            <w:r w:rsidR="00683D17">
              <w:rPr>
                <w:rFonts w:cs="Arial"/>
                <w:szCs w:val="22"/>
              </w:rPr>
              <w:t>is</w:t>
            </w:r>
            <w:r w:rsidR="00011320">
              <w:rPr>
                <w:rFonts w:cs="Arial"/>
                <w:szCs w:val="22"/>
              </w:rPr>
              <w:t xml:space="preserve"> planning to enter into a sale and buyback transaction </w:t>
            </w:r>
            <w:r w:rsidR="008970B6">
              <w:rPr>
                <w:rFonts w:cs="Arial"/>
                <w:szCs w:val="22"/>
              </w:rPr>
              <w:t xml:space="preserve">of pre-1990 </w:t>
            </w:r>
            <w:r w:rsidR="00CE2E2F">
              <w:rPr>
                <w:rFonts w:cs="Arial"/>
                <w:szCs w:val="22"/>
              </w:rPr>
              <w:t xml:space="preserve">forestry </w:t>
            </w:r>
            <w:r w:rsidR="008970B6">
              <w:rPr>
                <w:rFonts w:cs="Arial"/>
                <w:szCs w:val="22"/>
              </w:rPr>
              <w:t xml:space="preserve">emissions units </w:t>
            </w:r>
            <w:r w:rsidR="00011320">
              <w:rPr>
                <w:rFonts w:cs="Arial"/>
                <w:szCs w:val="22"/>
              </w:rPr>
              <w:t xml:space="preserve">by the end of May 2018.  </w:t>
            </w:r>
            <w:r w:rsidR="00221E14">
              <w:rPr>
                <w:rFonts w:cs="Arial"/>
                <w:szCs w:val="22"/>
              </w:rPr>
              <w:t xml:space="preserve">In the absence of the proposed change, the transaction is unlikely to take place.  </w:t>
            </w:r>
          </w:p>
          <w:p w:rsidR="00DC3639" w:rsidRDefault="00DC3639" w:rsidP="00486852">
            <w:pPr>
              <w:spacing w:after="0" w:line="276" w:lineRule="auto"/>
              <w:rPr>
                <w:rFonts w:cs="Arial"/>
                <w:szCs w:val="22"/>
              </w:rPr>
            </w:pPr>
          </w:p>
          <w:p w:rsidR="0017233D" w:rsidRPr="0069218C" w:rsidRDefault="00DC3639" w:rsidP="00F371D2">
            <w:pPr>
              <w:spacing w:after="180" w:line="276" w:lineRule="auto"/>
              <w:rPr>
                <w:rFonts w:cs="Arial"/>
                <w:szCs w:val="22"/>
              </w:rPr>
            </w:pPr>
            <w:r>
              <w:rPr>
                <w:rFonts w:cs="Arial"/>
                <w:szCs w:val="22"/>
              </w:rPr>
              <w:t>There is high confidence in the evidence and assumption</w:t>
            </w:r>
            <w:r w:rsidR="0054765C">
              <w:rPr>
                <w:rFonts w:cs="Arial"/>
                <w:szCs w:val="22"/>
              </w:rPr>
              <w:t>s</w:t>
            </w:r>
            <w:r>
              <w:rPr>
                <w:rFonts w:cs="Arial"/>
                <w:szCs w:val="22"/>
              </w:rPr>
              <w:t xml:space="preserve"> underpinning the case for change.  </w:t>
            </w:r>
          </w:p>
        </w:tc>
      </w:tr>
      <w:tr w:rsidR="00546F69" w:rsidRPr="0069218C" w:rsidTr="00800DEC">
        <w:trPr>
          <w:trHeight w:val="77"/>
        </w:trPr>
        <w:tc>
          <w:tcPr>
            <w:tcW w:w="5000" w:type="pct"/>
            <w:shd w:val="clear" w:color="auto" w:fill="99CDDD"/>
          </w:tcPr>
          <w:p w:rsidR="00546F69" w:rsidRPr="00886DFF" w:rsidRDefault="00546F69" w:rsidP="00486852">
            <w:pPr>
              <w:pStyle w:val="TableHeadings"/>
              <w:rPr>
                <w:b w:val="0"/>
                <w:color w:val="1F4E79"/>
                <w:szCs w:val="22"/>
                <w:lang w:val="en-NZ"/>
              </w:rPr>
            </w:pPr>
            <w:r w:rsidRPr="00886DFF">
              <w:rPr>
                <w:szCs w:val="22"/>
                <w:lang w:val="en-NZ"/>
              </w:rPr>
              <w:lastRenderedPageBreak/>
              <w:t xml:space="preserve">2.2    </w:t>
            </w:r>
            <w:r w:rsidR="00C45246" w:rsidRPr="00886DFF">
              <w:rPr>
                <w:rFonts w:eastAsia="Calibri"/>
                <w:szCs w:val="22"/>
                <w:lang w:val="en-NZ" w:eastAsia="en-US"/>
              </w:rPr>
              <w:t xml:space="preserve">Who is affected and how? </w:t>
            </w:r>
          </w:p>
        </w:tc>
      </w:tr>
      <w:tr w:rsidR="00F132B2" w:rsidRPr="0069218C" w:rsidTr="00F371D2">
        <w:trPr>
          <w:trHeight w:val="1523"/>
        </w:trPr>
        <w:tc>
          <w:tcPr>
            <w:tcW w:w="5000" w:type="pct"/>
            <w:shd w:val="clear" w:color="auto" w:fill="auto"/>
          </w:tcPr>
          <w:p w:rsidR="00F132B2" w:rsidRPr="0069218C" w:rsidRDefault="006C1A2F" w:rsidP="00F371D2">
            <w:pPr>
              <w:spacing w:before="120" w:after="180" w:line="276" w:lineRule="auto"/>
              <w:rPr>
                <w:rFonts w:cs="Arial"/>
                <w:szCs w:val="22"/>
              </w:rPr>
            </w:pPr>
            <w:r>
              <w:rPr>
                <w:rFonts w:cs="Arial"/>
                <w:szCs w:val="22"/>
              </w:rPr>
              <w:t>The key group of taxpayers affected by the change are holders of pre-1990</w:t>
            </w:r>
            <w:r w:rsidR="00CE2E2F">
              <w:rPr>
                <w:rFonts w:cs="Arial"/>
                <w:szCs w:val="22"/>
              </w:rPr>
              <w:t xml:space="preserve"> forestry</w:t>
            </w:r>
            <w:r>
              <w:rPr>
                <w:rFonts w:cs="Arial"/>
                <w:szCs w:val="22"/>
              </w:rPr>
              <w:t xml:space="preserve"> emissions units.</w:t>
            </w:r>
            <w:r w:rsidR="00DC3639">
              <w:rPr>
                <w:rFonts w:cs="Arial"/>
                <w:szCs w:val="22"/>
              </w:rPr>
              <w:t xml:space="preserve">  Preliminary indications from this group, via </w:t>
            </w:r>
            <w:r w:rsidR="001E7AE6">
              <w:rPr>
                <w:rFonts w:cs="Arial"/>
                <w:szCs w:val="22"/>
              </w:rPr>
              <w:t xml:space="preserve">targeted consultation with a selected group of unit holders with an interest in inter-generational asset </w:t>
            </w:r>
            <w:r w:rsidR="0074101F">
              <w:rPr>
                <w:rFonts w:cs="Arial"/>
                <w:szCs w:val="22"/>
              </w:rPr>
              <w:t xml:space="preserve">retention and </w:t>
            </w:r>
            <w:r w:rsidR="001E7AE6">
              <w:rPr>
                <w:rFonts w:cs="Arial"/>
                <w:szCs w:val="22"/>
              </w:rPr>
              <w:t xml:space="preserve">growth, were supportive of any reform that would allow them to maximise value from </w:t>
            </w:r>
            <w:r w:rsidR="00CE2E2F">
              <w:rPr>
                <w:rFonts w:cs="Arial"/>
                <w:szCs w:val="22"/>
              </w:rPr>
              <w:t xml:space="preserve">these </w:t>
            </w:r>
            <w:r w:rsidR="001E7AE6">
              <w:rPr>
                <w:rFonts w:cs="Arial"/>
                <w:szCs w:val="22"/>
              </w:rPr>
              <w:t xml:space="preserve">units without losing any tax transitional benefits.  </w:t>
            </w:r>
          </w:p>
        </w:tc>
      </w:tr>
    </w:tbl>
    <w:p w:rsidR="003B79CB" w:rsidRDefault="003B79CB">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304CE4" w:rsidRPr="0069218C" w:rsidTr="00800DEC">
        <w:trPr>
          <w:trHeight w:val="77"/>
        </w:trPr>
        <w:tc>
          <w:tcPr>
            <w:tcW w:w="5000" w:type="pct"/>
            <w:shd w:val="clear" w:color="auto" w:fill="99CDDD"/>
          </w:tcPr>
          <w:p w:rsidR="00304CE4" w:rsidRPr="00886DFF" w:rsidRDefault="00F63B99" w:rsidP="00486852">
            <w:pPr>
              <w:pStyle w:val="TableHeadings"/>
              <w:rPr>
                <w:szCs w:val="22"/>
              </w:rPr>
            </w:pPr>
            <w:r w:rsidRPr="00886DFF">
              <w:rPr>
                <w:szCs w:val="22"/>
              </w:rPr>
              <w:lastRenderedPageBreak/>
              <w:t>2.3</w:t>
            </w:r>
            <w:r w:rsidR="002A56F0" w:rsidRPr="00886DFF">
              <w:rPr>
                <w:szCs w:val="22"/>
              </w:rPr>
              <w:t xml:space="preserve">   </w:t>
            </w:r>
            <w:r w:rsidR="00F132B2" w:rsidRPr="00886DFF">
              <w:rPr>
                <w:szCs w:val="22"/>
              </w:rPr>
              <w:t>Are there any constraints on the scope for decision making</w:t>
            </w:r>
            <w:r w:rsidR="00304CE4" w:rsidRPr="00886DFF">
              <w:rPr>
                <w:szCs w:val="22"/>
              </w:rPr>
              <w:t xml:space="preserve">? </w:t>
            </w:r>
          </w:p>
        </w:tc>
      </w:tr>
      <w:tr w:rsidR="00F132B2" w:rsidRPr="0069218C" w:rsidTr="00567434">
        <w:trPr>
          <w:trHeight w:val="2391"/>
        </w:trPr>
        <w:tc>
          <w:tcPr>
            <w:tcW w:w="5000" w:type="pct"/>
            <w:shd w:val="clear" w:color="auto" w:fill="auto"/>
          </w:tcPr>
          <w:p w:rsidR="001E7AE6" w:rsidRDefault="00A772CE" w:rsidP="00F371D2">
            <w:pPr>
              <w:spacing w:before="120" w:after="0" w:line="276" w:lineRule="auto"/>
              <w:rPr>
                <w:rFonts w:cs="Arial"/>
                <w:szCs w:val="22"/>
              </w:rPr>
            </w:pPr>
            <w:r>
              <w:rPr>
                <w:rFonts w:cs="Arial"/>
                <w:szCs w:val="22"/>
              </w:rPr>
              <w:t xml:space="preserve">Tax issues with </w:t>
            </w:r>
            <w:r w:rsidR="000B340C">
              <w:rPr>
                <w:rFonts w:cs="Arial"/>
                <w:szCs w:val="22"/>
              </w:rPr>
              <w:t>securitization</w:t>
            </w:r>
            <w:r>
              <w:rPr>
                <w:rFonts w:cs="Arial"/>
                <w:szCs w:val="22"/>
              </w:rPr>
              <w:t xml:space="preserve"> of assets</w:t>
            </w:r>
            <w:r w:rsidR="0030489D">
              <w:rPr>
                <w:rFonts w:cs="Arial"/>
                <w:szCs w:val="22"/>
              </w:rPr>
              <w:t xml:space="preserve"> </w:t>
            </w:r>
            <w:r w:rsidR="003B79CB">
              <w:rPr>
                <w:rFonts w:cs="Arial"/>
                <w:szCs w:val="22"/>
              </w:rPr>
              <w:t>are</w:t>
            </w:r>
            <w:r w:rsidR="00D56436">
              <w:rPr>
                <w:rFonts w:cs="Arial"/>
                <w:szCs w:val="22"/>
              </w:rPr>
              <w:t xml:space="preserve"> </w:t>
            </w:r>
            <w:r w:rsidR="0030489D">
              <w:rPr>
                <w:rFonts w:cs="Arial"/>
                <w:szCs w:val="22"/>
              </w:rPr>
              <w:t xml:space="preserve">not isolated to </w:t>
            </w:r>
            <w:r w:rsidR="009A574B">
              <w:rPr>
                <w:rFonts w:cs="Arial"/>
                <w:szCs w:val="22"/>
              </w:rPr>
              <w:t xml:space="preserve">pre-1990 </w:t>
            </w:r>
            <w:r w:rsidR="00D56436">
              <w:rPr>
                <w:rFonts w:cs="Arial"/>
                <w:szCs w:val="22"/>
              </w:rPr>
              <w:t xml:space="preserve">forestry </w:t>
            </w:r>
            <w:r w:rsidR="0030489D">
              <w:rPr>
                <w:rFonts w:cs="Arial"/>
                <w:szCs w:val="22"/>
              </w:rPr>
              <w:t>emission</w:t>
            </w:r>
            <w:r w:rsidR="009337BF">
              <w:rPr>
                <w:rFonts w:cs="Arial"/>
                <w:szCs w:val="22"/>
              </w:rPr>
              <w:t>s</w:t>
            </w:r>
            <w:r w:rsidR="0030489D">
              <w:rPr>
                <w:rFonts w:cs="Arial"/>
                <w:szCs w:val="22"/>
              </w:rPr>
              <w:t xml:space="preserve"> units.  Other assets </w:t>
            </w:r>
            <w:r w:rsidR="008066E2">
              <w:rPr>
                <w:rFonts w:cs="Arial"/>
                <w:szCs w:val="22"/>
              </w:rPr>
              <w:t xml:space="preserve">that could be securitised </w:t>
            </w:r>
            <w:r w:rsidR="0030489D">
              <w:rPr>
                <w:rFonts w:cs="Arial"/>
                <w:szCs w:val="22"/>
              </w:rPr>
              <w:t xml:space="preserve">can be similarly affected, but reforming tax law generally for all assets </w:t>
            </w:r>
            <w:r w:rsidR="008066E2">
              <w:rPr>
                <w:rFonts w:cs="Arial"/>
                <w:szCs w:val="22"/>
              </w:rPr>
              <w:t xml:space="preserve">at this stage </w:t>
            </w:r>
            <w:r w:rsidR="0030489D">
              <w:rPr>
                <w:rFonts w:cs="Arial"/>
                <w:szCs w:val="22"/>
              </w:rPr>
              <w:t xml:space="preserve">has a risk of unintended consequences.  </w:t>
            </w:r>
            <w:r w:rsidR="00D70698">
              <w:rPr>
                <w:rFonts w:cs="Arial"/>
                <w:szCs w:val="22"/>
              </w:rPr>
              <w:t xml:space="preserve">Inland Revenue does not have sufficient evidence </w:t>
            </w:r>
            <w:proofErr w:type="gramStart"/>
            <w:r w:rsidR="00D70698">
              <w:rPr>
                <w:rFonts w:cs="Arial"/>
                <w:szCs w:val="22"/>
              </w:rPr>
              <w:t>at this time</w:t>
            </w:r>
            <w:proofErr w:type="gramEnd"/>
            <w:r w:rsidR="00D70698">
              <w:rPr>
                <w:rFonts w:cs="Arial"/>
                <w:szCs w:val="22"/>
              </w:rPr>
              <w:t xml:space="preserve"> to advance regulatory reform, even at an in</w:t>
            </w:r>
            <w:r w:rsidR="005C7B5A">
              <w:rPr>
                <w:rFonts w:cs="Arial"/>
                <w:szCs w:val="22"/>
              </w:rPr>
              <w:t>-</w:t>
            </w:r>
            <w:r w:rsidR="00D70698">
              <w:rPr>
                <w:rFonts w:cs="Arial"/>
                <w:szCs w:val="22"/>
              </w:rPr>
              <w:t xml:space="preserve"> principle level, for the treatment of long term assets that are not </w:t>
            </w:r>
            <w:r w:rsidR="00A06E6C">
              <w:rPr>
                <w:rFonts w:cs="Arial"/>
                <w:szCs w:val="22"/>
              </w:rPr>
              <w:t xml:space="preserve">pre-1990 </w:t>
            </w:r>
            <w:r w:rsidR="00D56436">
              <w:rPr>
                <w:rFonts w:cs="Arial"/>
                <w:szCs w:val="22"/>
              </w:rPr>
              <w:t xml:space="preserve">forestry </w:t>
            </w:r>
            <w:r w:rsidR="00D70698">
              <w:rPr>
                <w:rFonts w:cs="Arial"/>
                <w:szCs w:val="22"/>
              </w:rPr>
              <w:t>emission</w:t>
            </w:r>
            <w:r w:rsidR="00F3693A">
              <w:rPr>
                <w:rFonts w:cs="Arial"/>
                <w:szCs w:val="22"/>
              </w:rPr>
              <w:t>s</w:t>
            </w:r>
            <w:r w:rsidR="00D70698">
              <w:rPr>
                <w:rFonts w:cs="Arial"/>
                <w:szCs w:val="22"/>
              </w:rPr>
              <w:t xml:space="preserve"> units</w:t>
            </w:r>
            <w:r w:rsidR="00BF3719">
              <w:rPr>
                <w:rFonts w:cs="Arial"/>
                <w:szCs w:val="22"/>
              </w:rPr>
              <w:t xml:space="preserve">.  </w:t>
            </w:r>
            <w:r w:rsidR="001E7AE6">
              <w:rPr>
                <w:rFonts w:cs="Arial"/>
                <w:szCs w:val="22"/>
              </w:rPr>
              <w:t xml:space="preserve">Developing a response for </w:t>
            </w:r>
            <w:r w:rsidR="00BF3972">
              <w:rPr>
                <w:rFonts w:cs="Arial"/>
                <w:szCs w:val="22"/>
              </w:rPr>
              <w:t xml:space="preserve">pre-1990 </w:t>
            </w:r>
            <w:r w:rsidR="00D56436">
              <w:rPr>
                <w:rFonts w:cs="Arial"/>
                <w:szCs w:val="22"/>
              </w:rPr>
              <w:t xml:space="preserve">forestry </w:t>
            </w:r>
            <w:r w:rsidR="001E7AE6">
              <w:rPr>
                <w:rFonts w:cs="Arial"/>
                <w:szCs w:val="22"/>
              </w:rPr>
              <w:t>emission units only</w:t>
            </w:r>
            <w:r w:rsidR="005E5737">
              <w:rPr>
                <w:rFonts w:cs="Arial"/>
                <w:szCs w:val="22"/>
              </w:rPr>
              <w:t xml:space="preserve"> </w:t>
            </w:r>
            <w:proofErr w:type="gramStart"/>
            <w:r w:rsidR="005E5737">
              <w:rPr>
                <w:rFonts w:cs="Arial"/>
                <w:szCs w:val="22"/>
              </w:rPr>
              <w:t>at this time</w:t>
            </w:r>
            <w:proofErr w:type="gramEnd"/>
            <w:r w:rsidR="00A920FC">
              <w:rPr>
                <w:rFonts w:cs="Arial"/>
                <w:szCs w:val="22"/>
              </w:rPr>
              <w:t xml:space="preserve"> is a reflection of the constraints on our analysis.  </w:t>
            </w:r>
          </w:p>
          <w:p w:rsidR="001E7AE6" w:rsidRDefault="001E7AE6" w:rsidP="00486852">
            <w:pPr>
              <w:spacing w:after="0" w:line="276" w:lineRule="auto"/>
              <w:rPr>
                <w:rFonts w:cs="Arial"/>
                <w:szCs w:val="22"/>
              </w:rPr>
            </w:pPr>
          </w:p>
          <w:p w:rsidR="00F132B2" w:rsidRPr="0069218C" w:rsidRDefault="00AB7D80" w:rsidP="00F371D2">
            <w:pPr>
              <w:spacing w:after="180" w:line="276" w:lineRule="auto"/>
              <w:rPr>
                <w:rFonts w:cs="Arial"/>
                <w:szCs w:val="22"/>
              </w:rPr>
            </w:pPr>
            <w:r>
              <w:rPr>
                <w:rFonts w:cs="Arial"/>
                <w:szCs w:val="22"/>
              </w:rPr>
              <w:t>T</w:t>
            </w:r>
            <w:r w:rsidR="0030489D">
              <w:rPr>
                <w:rFonts w:cs="Arial"/>
                <w:szCs w:val="22"/>
              </w:rPr>
              <w:t xml:space="preserve">he wider issues concerning the </w:t>
            </w:r>
            <w:r w:rsidR="000B340C">
              <w:rPr>
                <w:rFonts w:cs="Arial"/>
                <w:szCs w:val="22"/>
              </w:rPr>
              <w:t>securitization</w:t>
            </w:r>
            <w:r w:rsidR="0030489D">
              <w:rPr>
                <w:rFonts w:cs="Arial"/>
                <w:szCs w:val="22"/>
              </w:rPr>
              <w:t xml:space="preserve"> of assets are scheduled to be considered as part </w:t>
            </w:r>
            <w:r w:rsidR="001673A3">
              <w:rPr>
                <w:rFonts w:cs="Arial"/>
                <w:szCs w:val="22"/>
              </w:rPr>
              <w:t>of the</w:t>
            </w:r>
            <w:r w:rsidR="0030489D">
              <w:rPr>
                <w:rFonts w:cs="Arial"/>
                <w:szCs w:val="22"/>
              </w:rPr>
              <w:t xml:space="preserve"> review of the financial arrangement rules as announced as part of the </w:t>
            </w:r>
            <w:r w:rsidR="003B79CB">
              <w:rPr>
                <w:rFonts w:cs="Arial"/>
                <w:szCs w:val="22"/>
              </w:rPr>
              <w:t>G</w:t>
            </w:r>
            <w:r w:rsidR="0030489D">
              <w:rPr>
                <w:rFonts w:cs="Arial"/>
                <w:szCs w:val="22"/>
              </w:rPr>
              <w:t xml:space="preserve">overnment’s tax policy work programme.  </w:t>
            </w:r>
          </w:p>
        </w:tc>
      </w:tr>
    </w:tbl>
    <w:p w:rsidR="00E92509" w:rsidRDefault="00A552DC" w:rsidP="00486852">
      <w:pPr>
        <w:pStyle w:val="Heading2"/>
      </w:pPr>
      <w:r w:rsidRPr="0069218C">
        <w:rPr>
          <w:lang w:val="en-NZ"/>
        </w:rPr>
        <w:br w:type="page"/>
      </w:r>
      <w:r w:rsidR="00BE62EB" w:rsidRPr="002D5734">
        <w:lastRenderedPageBreak/>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051A88" w:rsidRPr="0069218C" w:rsidTr="00800DEC">
        <w:trPr>
          <w:trHeight w:val="77"/>
        </w:trPr>
        <w:tc>
          <w:tcPr>
            <w:tcW w:w="5000" w:type="pct"/>
            <w:shd w:val="clear" w:color="auto" w:fill="99CDDD"/>
          </w:tcPr>
          <w:p w:rsidR="00051A88" w:rsidRPr="00886DFF" w:rsidRDefault="00B23E8A" w:rsidP="00486852">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rsidTr="00C7655A">
        <w:trPr>
          <w:trHeight w:val="3161"/>
        </w:trPr>
        <w:tc>
          <w:tcPr>
            <w:tcW w:w="5000" w:type="pct"/>
            <w:shd w:val="clear" w:color="auto" w:fill="auto"/>
          </w:tcPr>
          <w:p w:rsidR="00F132B2" w:rsidRDefault="00A11EFE" w:rsidP="00F371D2">
            <w:pPr>
              <w:spacing w:before="120" w:after="0" w:line="276" w:lineRule="auto"/>
            </w:pPr>
            <w:r w:rsidRPr="00F73EDF">
              <w:t xml:space="preserve">The </w:t>
            </w:r>
            <w:r w:rsidRPr="00F73EDF">
              <w:rPr>
                <w:b/>
              </w:rPr>
              <w:t>main</w:t>
            </w:r>
            <w:r w:rsidRPr="00F73EDF">
              <w:t xml:space="preserve"> objective is </w:t>
            </w:r>
            <w:r>
              <w:t xml:space="preserve">to ensure that the tax system recognises the economic substance of arrangements that securitise pre-1990 </w:t>
            </w:r>
            <w:r w:rsidR="00C32A95">
              <w:t xml:space="preserve">forestry </w:t>
            </w:r>
            <w:r>
              <w:t>emissions units</w:t>
            </w:r>
            <w:r w:rsidR="00D5631D">
              <w:t xml:space="preserve"> </w:t>
            </w:r>
            <w:r w:rsidR="00DF5D41">
              <w:t>and</w:t>
            </w:r>
            <w:r w:rsidR="00D5631D">
              <w:t xml:space="preserve"> </w:t>
            </w:r>
            <w:r w:rsidR="00DF5D41">
              <w:t>ensures that t</w:t>
            </w:r>
            <w:r w:rsidR="00DF5D41">
              <w:rPr>
                <w:rFonts w:cs="Arial"/>
                <w:szCs w:val="22"/>
              </w:rPr>
              <w:t xml:space="preserve">ax law does not inhibit opportunities to maximise </w:t>
            </w:r>
            <w:r w:rsidR="003A159E">
              <w:rPr>
                <w:rFonts w:cs="Arial"/>
                <w:szCs w:val="22"/>
              </w:rPr>
              <w:t xml:space="preserve">the </w:t>
            </w:r>
            <w:r w:rsidR="00DF5D41">
              <w:rPr>
                <w:rFonts w:cs="Arial"/>
                <w:szCs w:val="22"/>
              </w:rPr>
              <w:t xml:space="preserve">value </w:t>
            </w:r>
            <w:r w:rsidR="003A159E">
              <w:rPr>
                <w:rFonts w:cs="Arial"/>
                <w:szCs w:val="22"/>
              </w:rPr>
              <w:t xml:space="preserve">of </w:t>
            </w:r>
            <w:r w:rsidR="00DF5D41">
              <w:rPr>
                <w:rFonts w:cs="Arial"/>
                <w:szCs w:val="22"/>
              </w:rPr>
              <w:t>those units.</w:t>
            </w:r>
            <w:r w:rsidRPr="00F73EDF">
              <w:t xml:space="preserve">  </w:t>
            </w:r>
            <w:r w:rsidR="00BF7141">
              <w:t>The following criteria have been used to assess the options:</w:t>
            </w:r>
          </w:p>
          <w:p w:rsidR="00F371D2" w:rsidRDefault="00F371D2" w:rsidP="00F371D2">
            <w:pPr>
              <w:spacing w:after="0" w:line="276" w:lineRule="auto"/>
            </w:pPr>
          </w:p>
          <w:p w:rsidR="00BF7141" w:rsidRDefault="008A292A" w:rsidP="00F371D2">
            <w:pPr>
              <w:numPr>
                <w:ilvl w:val="0"/>
                <w:numId w:val="35"/>
              </w:numPr>
              <w:spacing w:after="180" w:line="276" w:lineRule="auto"/>
              <w:ind w:left="567" w:hanging="567"/>
            </w:pPr>
            <w:r>
              <w:t>Effectiveness</w:t>
            </w:r>
            <w:r w:rsidR="00A11EFE">
              <w:t xml:space="preserve">: </w:t>
            </w:r>
            <w:r w:rsidR="00A11EFE" w:rsidRPr="00F73EDF">
              <w:t xml:space="preserve"> the options should </w:t>
            </w:r>
            <w:r w:rsidR="00FE4D9C">
              <w:t xml:space="preserve">not act as a disincentive for </w:t>
            </w:r>
            <w:r w:rsidR="00A11EFE">
              <w:t xml:space="preserve">holders of pre-1990 </w:t>
            </w:r>
            <w:r w:rsidR="00BD591C">
              <w:t xml:space="preserve">forestry </w:t>
            </w:r>
            <w:r w:rsidR="00A11EFE">
              <w:t>emissions units</w:t>
            </w:r>
            <w:r w:rsidR="00FE4D9C">
              <w:t xml:space="preserve"> to maximise value from those units.  </w:t>
            </w:r>
          </w:p>
          <w:p w:rsidR="00375FE0" w:rsidRDefault="00A11EFE" w:rsidP="00F371D2">
            <w:pPr>
              <w:numPr>
                <w:ilvl w:val="0"/>
                <w:numId w:val="35"/>
              </w:numPr>
              <w:spacing w:after="180" w:line="276" w:lineRule="auto"/>
              <w:ind w:left="567" w:hanging="567"/>
            </w:pPr>
            <w:r>
              <w:t xml:space="preserve">Sustainability:  </w:t>
            </w:r>
            <w:r w:rsidRPr="00F73EDF">
              <w:t xml:space="preserve">the options should maintain the integrity of the income </w:t>
            </w:r>
            <w:proofErr w:type="gramStart"/>
            <w:r w:rsidRPr="00F73EDF">
              <w:t>tax</w:t>
            </w:r>
            <w:r w:rsidR="00F8162F">
              <w:t>, and</w:t>
            </w:r>
            <w:proofErr w:type="gramEnd"/>
            <w:r w:rsidR="00F8162F">
              <w:t xml:space="preserve"> operate coherently with the frameworks used by t</w:t>
            </w:r>
            <w:r w:rsidR="00486852">
              <w:t>he Income Tax Act.</w:t>
            </w:r>
          </w:p>
          <w:p w:rsidR="00486852" w:rsidRDefault="00486852" w:rsidP="00F371D2">
            <w:pPr>
              <w:numPr>
                <w:ilvl w:val="0"/>
                <w:numId w:val="35"/>
              </w:numPr>
              <w:spacing w:after="180" w:line="276" w:lineRule="auto"/>
              <w:ind w:left="567" w:hanging="567"/>
            </w:pPr>
            <w:r>
              <w:t xml:space="preserve">Fairness:  the options should apply </w:t>
            </w:r>
            <w:r w:rsidR="008656BD">
              <w:t>equally to all t</w:t>
            </w:r>
            <w:r w:rsidR="00A7541F">
              <w:t>axpayers</w:t>
            </w:r>
            <w:r w:rsidR="00AE47B4">
              <w:t xml:space="preserve">.  </w:t>
            </w:r>
            <w:r w:rsidR="00A7541F">
              <w:t xml:space="preserve"> </w:t>
            </w:r>
            <w:r w:rsidR="00AE47B4">
              <w:t>L</w:t>
            </w:r>
            <w:r w:rsidR="00A7541F">
              <w:t xml:space="preserve">ike-transactions should have similar or equivalent tax outcomes.  </w:t>
            </w:r>
          </w:p>
          <w:p w:rsidR="00BF7141" w:rsidRDefault="00375FE0" w:rsidP="00F371D2">
            <w:pPr>
              <w:numPr>
                <w:ilvl w:val="0"/>
                <w:numId w:val="35"/>
              </w:numPr>
              <w:spacing w:after="180" w:line="276" w:lineRule="auto"/>
              <w:ind w:left="567" w:hanging="567"/>
            </w:pPr>
            <w:r>
              <w:t>Administration effic</w:t>
            </w:r>
            <w:r w:rsidR="000C76D8">
              <w:t xml:space="preserve">iency and compliance efficiency:  the option should not introduce new processes or procedures that would not otherwise arise under the Income Tax Act.   </w:t>
            </w:r>
          </w:p>
          <w:p w:rsidR="00B8720B" w:rsidRDefault="00162BBA" w:rsidP="00F371D2">
            <w:pPr>
              <w:spacing w:after="0" w:line="276" w:lineRule="auto"/>
              <w:rPr>
                <w:rFonts w:cs="Arial"/>
                <w:szCs w:val="22"/>
              </w:rPr>
            </w:pPr>
            <w:r>
              <w:rPr>
                <w:rFonts w:cs="Arial"/>
                <w:szCs w:val="22"/>
              </w:rPr>
              <w:t>As the obligations, rights and entitlements of taxpayers are prescribed by legislation</w:t>
            </w:r>
            <w:r w:rsidR="008A3FDA">
              <w:rPr>
                <w:rFonts w:cs="Arial"/>
                <w:szCs w:val="22"/>
              </w:rPr>
              <w:t xml:space="preserve">, </w:t>
            </w:r>
            <w:r w:rsidR="007010AC">
              <w:rPr>
                <w:rFonts w:cs="Arial"/>
                <w:szCs w:val="22"/>
              </w:rPr>
              <w:t>non-</w:t>
            </w:r>
            <w:r>
              <w:rPr>
                <w:rFonts w:cs="Arial"/>
                <w:szCs w:val="22"/>
              </w:rPr>
              <w:t>legislative response</w:t>
            </w:r>
            <w:r w:rsidR="003C73C7">
              <w:rPr>
                <w:rFonts w:cs="Arial"/>
                <w:szCs w:val="22"/>
              </w:rPr>
              <w:t>s</w:t>
            </w:r>
            <w:r w:rsidR="008A3FDA">
              <w:rPr>
                <w:rFonts w:cs="Arial"/>
                <w:szCs w:val="22"/>
              </w:rPr>
              <w:t>, apart from the status quo (which does not meet the main objective)</w:t>
            </w:r>
            <w:r w:rsidR="001673A3">
              <w:rPr>
                <w:rFonts w:cs="Arial"/>
                <w:szCs w:val="22"/>
              </w:rPr>
              <w:t>,</w:t>
            </w:r>
            <w:r w:rsidR="008A3FDA">
              <w:rPr>
                <w:rFonts w:cs="Arial"/>
                <w:szCs w:val="22"/>
              </w:rPr>
              <w:t xml:space="preserve"> </w:t>
            </w:r>
            <w:r w:rsidR="007010AC">
              <w:rPr>
                <w:rFonts w:cs="Arial"/>
                <w:szCs w:val="22"/>
              </w:rPr>
              <w:t>are not viable.</w:t>
            </w:r>
            <w:r w:rsidR="00891DAD">
              <w:rPr>
                <w:rFonts w:cs="Arial"/>
                <w:szCs w:val="22"/>
              </w:rPr>
              <w:t xml:space="preserve">  </w:t>
            </w:r>
          </w:p>
          <w:p w:rsidR="00B8720B" w:rsidRDefault="00B8720B" w:rsidP="00F371D2">
            <w:pPr>
              <w:spacing w:after="0" w:line="276" w:lineRule="auto"/>
              <w:rPr>
                <w:rFonts w:cs="Arial"/>
                <w:szCs w:val="22"/>
              </w:rPr>
            </w:pPr>
          </w:p>
          <w:p w:rsidR="00A01A48" w:rsidRDefault="00891DAD" w:rsidP="00F371D2">
            <w:pPr>
              <w:spacing w:after="0" w:line="276" w:lineRule="auto"/>
            </w:pPr>
            <w:r>
              <w:rPr>
                <w:rFonts w:cs="Arial"/>
                <w:szCs w:val="22"/>
              </w:rPr>
              <w:t xml:space="preserve">Effectiveness was the most important criterion </w:t>
            </w:r>
            <w:r w:rsidR="00F371D2">
              <w:rPr>
                <w:rFonts w:cs="Arial"/>
                <w:szCs w:val="22"/>
              </w:rPr>
              <w:t xml:space="preserve">at it aligned closest with the main objective.  </w:t>
            </w:r>
            <w:r w:rsidR="00A01A48">
              <w:t xml:space="preserve">There was little difference between the options in terms of impact on compliance and administration </w:t>
            </w:r>
            <w:r w:rsidR="00DE6080">
              <w:t>efficiencies</w:t>
            </w:r>
            <w:r w:rsidR="00A01A48">
              <w:t xml:space="preserve">.  </w:t>
            </w:r>
          </w:p>
          <w:p w:rsidR="00B8720B" w:rsidRDefault="00B8720B" w:rsidP="00F371D2">
            <w:pPr>
              <w:spacing w:after="0" w:line="276" w:lineRule="auto"/>
              <w:rPr>
                <w:rFonts w:cs="Arial"/>
                <w:szCs w:val="22"/>
              </w:rPr>
            </w:pPr>
          </w:p>
          <w:p w:rsidR="003C73C7" w:rsidRPr="007D7306" w:rsidRDefault="003C73C7" w:rsidP="00B8720B">
            <w:pPr>
              <w:spacing w:after="120" w:line="276" w:lineRule="auto"/>
              <w:rPr>
                <w:rFonts w:cs="Arial"/>
                <w:b/>
                <w:szCs w:val="22"/>
              </w:rPr>
            </w:pPr>
            <w:r w:rsidRPr="007D7306">
              <w:rPr>
                <w:rFonts w:cs="Arial"/>
                <w:b/>
                <w:szCs w:val="22"/>
              </w:rPr>
              <w:t>Option one:  Status quo</w:t>
            </w:r>
          </w:p>
          <w:p w:rsidR="003C73C7" w:rsidRDefault="00800731" w:rsidP="00F371D2">
            <w:pPr>
              <w:spacing w:after="0" w:line="276" w:lineRule="auto"/>
              <w:rPr>
                <w:rFonts w:cs="Arial"/>
                <w:szCs w:val="22"/>
              </w:rPr>
            </w:pPr>
            <w:r>
              <w:rPr>
                <w:rFonts w:cs="Arial"/>
                <w:szCs w:val="22"/>
              </w:rPr>
              <w:t xml:space="preserve">Under the status quo, </w:t>
            </w:r>
            <w:r w:rsidR="00EA0DF4">
              <w:rPr>
                <w:rFonts w:cs="Arial"/>
                <w:szCs w:val="22"/>
              </w:rPr>
              <w:t xml:space="preserve">the sale and compulsory buy-back arrangement </w:t>
            </w:r>
            <w:r w:rsidR="00B8720B">
              <w:rPr>
                <w:rFonts w:cs="Arial"/>
                <w:szCs w:val="22"/>
              </w:rPr>
              <w:t xml:space="preserve">is treated </w:t>
            </w:r>
            <w:r w:rsidR="00EA0DF4">
              <w:rPr>
                <w:rFonts w:cs="Arial"/>
                <w:szCs w:val="22"/>
              </w:rPr>
              <w:t>as a disposal for tax purposes</w:t>
            </w:r>
            <w:r w:rsidR="00B8720B">
              <w:rPr>
                <w:rFonts w:cs="Arial"/>
                <w:szCs w:val="22"/>
              </w:rPr>
              <w:t xml:space="preserve"> and </w:t>
            </w:r>
            <w:r w:rsidR="00EA0DF4">
              <w:rPr>
                <w:rFonts w:cs="Arial"/>
                <w:szCs w:val="22"/>
              </w:rPr>
              <w:t xml:space="preserve">taxpayers </w:t>
            </w:r>
            <w:r w:rsidR="00B8720B">
              <w:rPr>
                <w:rFonts w:cs="Arial"/>
                <w:szCs w:val="22"/>
              </w:rPr>
              <w:t>lose</w:t>
            </w:r>
            <w:r w:rsidR="00EA0DF4">
              <w:rPr>
                <w:rFonts w:cs="Arial"/>
                <w:szCs w:val="22"/>
              </w:rPr>
              <w:t xml:space="preserve"> the benefit of the tax transitional treatment for pre-1990 </w:t>
            </w:r>
            <w:r w:rsidR="00B66BBE">
              <w:rPr>
                <w:rFonts w:cs="Arial"/>
                <w:szCs w:val="22"/>
              </w:rPr>
              <w:t xml:space="preserve">forestry emissions </w:t>
            </w:r>
            <w:r w:rsidR="00EA0DF4">
              <w:rPr>
                <w:rFonts w:cs="Arial"/>
                <w:szCs w:val="22"/>
              </w:rPr>
              <w:t>units.</w:t>
            </w:r>
            <w:r w:rsidR="00B8720B">
              <w:rPr>
                <w:rFonts w:cs="Arial"/>
                <w:szCs w:val="22"/>
              </w:rPr>
              <w:t xml:space="preserve"> </w:t>
            </w:r>
            <w:r w:rsidR="00EA0DF4">
              <w:rPr>
                <w:rFonts w:cs="Arial"/>
                <w:szCs w:val="22"/>
              </w:rPr>
              <w:t xml:space="preserve"> C</w:t>
            </w:r>
            <w:r>
              <w:rPr>
                <w:rFonts w:cs="Arial"/>
                <w:szCs w:val="22"/>
              </w:rPr>
              <w:t>urrent tax policy setting</w:t>
            </w:r>
            <w:r w:rsidR="00CA3483">
              <w:rPr>
                <w:rFonts w:cs="Arial"/>
                <w:szCs w:val="22"/>
              </w:rPr>
              <w:t>s</w:t>
            </w:r>
            <w:r>
              <w:rPr>
                <w:rFonts w:cs="Arial"/>
                <w:szCs w:val="22"/>
              </w:rPr>
              <w:t xml:space="preserve"> inhibit unit holders from maximising the value of pre-1990 </w:t>
            </w:r>
            <w:r w:rsidR="00E95F5F">
              <w:rPr>
                <w:rFonts w:cs="Arial"/>
                <w:szCs w:val="22"/>
              </w:rPr>
              <w:t xml:space="preserve">forestry </w:t>
            </w:r>
            <w:r>
              <w:rPr>
                <w:rFonts w:cs="Arial"/>
                <w:szCs w:val="22"/>
              </w:rPr>
              <w:t xml:space="preserve">emissions units unless they are </w:t>
            </w:r>
            <w:r w:rsidR="00C26896">
              <w:rPr>
                <w:rFonts w:cs="Arial"/>
                <w:szCs w:val="22"/>
              </w:rPr>
              <w:t>sold</w:t>
            </w:r>
            <w:r>
              <w:rPr>
                <w:rFonts w:cs="Arial"/>
                <w:szCs w:val="22"/>
              </w:rPr>
              <w:t xml:space="preserve">.  </w:t>
            </w:r>
            <w:r w:rsidR="00EA0DF4">
              <w:rPr>
                <w:rFonts w:cs="Arial"/>
                <w:szCs w:val="22"/>
              </w:rPr>
              <w:t>As such, the option is not effective</w:t>
            </w:r>
            <w:r w:rsidR="0068113F">
              <w:rPr>
                <w:rFonts w:cs="Arial"/>
                <w:szCs w:val="22"/>
              </w:rPr>
              <w:t xml:space="preserve"> and does not meet the main objective</w:t>
            </w:r>
            <w:r w:rsidR="00EA0DF4">
              <w:rPr>
                <w:rFonts w:cs="Arial"/>
                <w:szCs w:val="22"/>
              </w:rPr>
              <w:t xml:space="preserve">.  </w:t>
            </w:r>
          </w:p>
          <w:p w:rsidR="00B8720B" w:rsidRDefault="00B8720B" w:rsidP="00F371D2">
            <w:pPr>
              <w:spacing w:after="0" w:line="276" w:lineRule="auto"/>
              <w:rPr>
                <w:rFonts w:cs="Arial"/>
                <w:szCs w:val="22"/>
              </w:rPr>
            </w:pPr>
          </w:p>
          <w:p w:rsidR="00B8720B" w:rsidRDefault="00B8720B" w:rsidP="00F371D2">
            <w:pPr>
              <w:spacing w:after="0" w:line="276" w:lineRule="auto"/>
              <w:rPr>
                <w:rFonts w:cs="Arial"/>
                <w:szCs w:val="22"/>
              </w:rPr>
            </w:pPr>
            <w:r>
              <w:rPr>
                <w:rFonts w:cs="Arial"/>
                <w:szCs w:val="22"/>
              </w:rPr>
              <w:t>The status quo is consistent with interpretation principles insofar as the Income Tax Act applies to transactions involving the transfer of property.  As such, the status quo is arguably fair</w:t>
            </w:r>
            <w:r w:rsidR="00701DDD">
              <w:rPr>
                <w:rFonts w:cs="Arial"/>
                <w:szCs w:val="22"/>
              </w:rPr>
              <w:t xml:space="preserve">.  Officials are aware, however, that </w:t>
            </w:r>
            <w:r w:rsidR="00EA26E6">
              <w:rPr>
                <w:rFonts w:cs="Arial"/>
                <w:szCs w:val="22"/>
              </w:rPr>
              <w:t>broader</w:t>
            </w:r>
            <w:r w:rsidR="00701DDD">
              <w:rPr>
                <w:rFonts w:cs="Arial"/>
                <w:szCs w:val="22"/>
              </w:rPr>
              <w:t xml:space="preserve"> concerns have been expressed that the current position is not sustainable and for this reason the tax treatment </w:t>
            </w:r>
            <w:r w:rsidR="001673A3">
              <w:rPr>
                <w:rFonts w:cs="Arial"/>
                <w:szCs w:val="22"/>
              </w:rPr>
              <w:t xml:space="preserve">of </w:t>
            </w:r>
            <w:r w:rsidR="00701DDD">
              <w:rPr>
                <w:rFonts w:cs="Arial"/>
                <w:szCs w:val="22"/>
              </w:rPr>
              <w:t xml:space="preserve">sale and compulsory buy-back arrangements </w:t>
            </w:r>
            <w:r w:rsidR="0062718C">
              <w:rPr>
                <w:rFonts w:cs="Arial"/>
                <w:szCs w:val="22"/>
              </w:rPr>
              <w:t xml:space="preserve">is part of a </w:t>
            </w:r>
            <w:r w:rsidR="00AC5B2A">
              <w:rPr>
                <w:rFonts w:cs="Arial"/>
                <w:szCs w:val="22"/>
              </w:rPr>
              <w:t xml:space="preserve">proposed </w:t>
            </w:r>
            <w:r w:rsidR="0062718C">
              <w:rPr>
                <w:rFonts w:cs="Arial"/>
                <w:szCs w:val="22"/>
              </w:rPr>
              <w:t>review of the financial arrangement rules</w:t>
            </w:r>
            <w:r w:rsidR="00AC5B2A">
              <w:rPr>
                <w:rFonts w:cs="Arial"/>
                <w:szCs w:val="22"/>
              </w:rPr>
              <w:t xml:space="preserve"> on the Government’s tax policy work programme</w:t>
            </w:r>
            <w:r w:rsidR="0062718C">
              <w:rPr>
                <w:rFonts w:cs="Arial"/>
                <w:szCs w:val="22"/>
              </w:rPr>
              <w:t xml:space="preserve">.  </w:t>
            </w:r>
          </w:p>
          <w:p w:rsidR="00B8720B" w:rsidRDefault="00B8720B" w:rsidP="00F371D2">
            <w:pPr>
              <w:spacing w:after="0" w:line="276" w:lineRule="auto"/>
              <w:rPr>
                <w:rFonts w:cs="Arial"/>
                <w:szCs w:val="22"/>
              </w:rPr>
            </w:pPr>
          </w:p>
          <w:p w:rsidR="00783125" w:rsidRPr="007D7306" w:rsidRDefault="00997102" w:rsidP="00B8720B">
            <w:pPr>
              <w:spacing w:after="120" w:line="276" w:lineRule="auto"/>
              <w:rPr>
                <w:rFonts w:cs="Arial"/>
                <w:b/>
                <w:szCs w:val="22"/>
              </w:rPr>
            </w:pPr>
            <w:r w:rsidRPr="007D7306">
              <w:rPr>
                <w:rFonts w:cs="Arial"/>
                <w:b/>
                <w:szCs w:val="22"/>
              </w:rPr>
              <w:t xml:space="preserve">Option two:  </w:t>
            </w:r>
            <w:r w:rsidR="007D7306">
              <w:rPr>
                <w:rFonts w:cs="Arial"/>
                <w:b/>
                <w:szCs w:val="22"/>
              </w:rPr>
              <w:t>Apply</w:t>
            </w:r>
            <w:r w:rsidRPr="007D7306">
              <w:rPr>
                <w:rFonts w:cs="Arial"/>
                <w:b/>
                <w:szCs w:val="22"/>
              </w:rPr>
              <w:t xml:space="preserve"> the principles of the financial arrangement rules to securitised pre-1990 </w:t>
            </w:r>
            <w:r w:rsidR="00226D70">
              <w:rPr>
                <w:rFonts w:cs="Arial"/>
                <w:b/>
                <w:szCs w:val="22"/>
              </w:rPr>
              <w:t xml:space="preserve">forestry </w:t>
            </w:r>
            <w:r w:rsidRPr="007D7306">
              <w:rPr>
                <w:rFonts w:cs="Arial"/>
                <w:b/>
                <w:szCs w:val="22"/>
              </w:rPr>
              <w:t>emissions unit transactions</w:t>
            </w:r>
            <w:r w:rsidR="005C6B1B" w:rsidRPr="007D7306">
              <w:rPr>
                <w:rFonts w:cs="Arial"/>
                <w:b/>
                <w:szCs w:val="22"/>
              </w:rPr>
              <w:t xml:space="preserve">  </w:t>
            </w:r>
          </w:p>
          <w:p w:rsidR="007D7306" w:rsidRDefault="00D26EE3" w:rsidP="00F371D2">
            <w:pPr>
              <w:spacing w:after="0" w:line="276" w:lineRule="auto"/>
              <w:rPr>
                <w:rFonts w:cs="Arial"/>
                <w:szCs w:val="22"/>
              </w:rPr>
            </w:pPr>
            <w:r>
              <w:rPr>
                <w:rFonts w:cs="Arial"/>
                <w:szCs w:val="22"/>
              </w:rPr>
              <w:t xml:space="preserve">Under option two the </w:t>
            </w:r>
            <w:r w:rsidR="000B340C">
              <w:rPr>
                <w:rFonts w:cs="Arial"/>
                <w:szCs w:val="22"/>
              </w:rPr>
              <w:t>securitization</w:t>
            </w:r>
            <w:r>
              <w:rPr>
                <w:rFonts w:cs="Arial"/>
                <w:szCs w:val="22"/>
              </w:rPr>
              <w:t xml:space="preserve"> of pre-1990 </w:t>
            </w:r>
            <w:r w:rsidR="009F7448">
              <w:rPr>
                <w:rFonts w:cs="Arial"/>
                <w:szCs w:val="22"/>
              </w:rPr>
              <w:t xml:space="preserve">forestry </w:t>
            </w:r>
            <w:r>
              <w:rPr>
                <w:rFonts w:cs="Arial"/>
                <w:szCs w:val="22"/>
              </w:rPr>
              <w:t xml:space="preserve">emissions units would be treated as a financial arrangement under the Income Tax Act.  </w:t>
            </w:r>
            <w:r w:rsidR="0077251F">
              <w:rPr>
                <w:rFonts w:cs="Arial"/>
                <w:szCs w:val="22"/>
              </w:rPr>
              <w:t xml:space="preserve">The financial arrangement rules </w:t>
            </w:r>
            <w:r w:rsidR="0077251F">
              <w:rPr>
                <w:lang w:val="en-NZ"/>
              </w:rPr>
              <w:t xml:space="preserve">tax all returns on financial arrangements on an accrual basis over the term of the arrangement, including the returns on instruments that can alter the incidence of those returns.  </w:t>
            </w:r>
            <w:r w:rsidR="0077251F">
              <w:rPr>
                <w:rFonts w:cs="Arial"/>
                <w:szCs w:val="22"/>
              </w:rPr>
              <w:t xml:space="preserve"> </w:t>
            </w:r>
            <w:r>
              <w:rPr>
                <w:rFonts w:cs="Arial"/>
                <w:szCs w:val="22"/>
              </w:rPr>
              <w:t xml:space="preserve">Tax outcomes under the financial arrangement rules would align with the economic substance of </w:t>
            </w:r>
            <w:r>
              <w:rPr>
                <w:rFonts w:cs="Arial"/>
                <w:szCs w:val="22"/>
              </w:rPr>
              <w:lastRenderedPageBreak/>
              <w:t xml:space="preserve">the </w:t>
            </w:r>
            <w:r w:rsidR="000B340C">
              <w:rPr>
                <w:rFonts w:cs="Arial"/>
                <w:szCs w:val="22"/>
              </w:rPr>
              <w:t>securitization</w:t>
            </w:r>
            <w:r>
              <w:rPr>
                <w:rFonts w:cs="Arial"/>
                <w:szCs w:val="22"/>
              </w:rPr>
              <w:t xml:space="preserve"> arrangement</w:t>
            </w:r>
            <w:r w:rsidR="000F1901">
              <w:rPr>
                <w:rFonts w:cs="Arial"/>
                <w:szCs w:val="22"/>
              </w:rPr>
              <w:t xml:space="preserve">.  </w:t>
            </w:r>
            <w:r w:rsidR="00721F52">
              <w:rPr>
                <w:rFonts w:cs="Arial"/>
                <w:szCs w:val="22"/>
              </w:rPr>
              <w:t xml:space="preserve">This outcome means that option two is effective </w:t>
            </w:r>
            <w:proofErr w:type="gramStart"/>
            <w:r w:rsidR="00721F52">
              <w:rPr>
                <w:rFonts w:cs="Arial"/>
                <w:szCs w:val="22"/>
              </w:rPr>
              <w:t>for the purpose of</w:t>
            </w:r>
            <w:proofErr w:type="gramEnd"/>
            <w:r w:rsidR="00721F52">
              <w:rPr>
                <w:rFonts w:cs="Arial"/>
                <w:szCs w:val="22"/>
              </w:rPr>
              <w:t xml:space="preserve"> meeting unit holder expectat</w:t>
            </w:r>
            <w:r w:rsidR="00BA314D">
              <w:rPr>
                <w:rFonts w:cs="Arial"/>
                <w:szCs w:val="22"/>
              </w:rPr>
              <w:t xml:space="preserve">ions regarding their tax obligations and preserves the special tax transitional treatment of pre-1990 </w:t>
            </w:r>
            <w:r w:rsidR="00F23814">
              <w:rPr>
                <w:rFonts w:cs="Arial"/>
                <w:szCs w:val="22"/>
              </w:rPr>
              <w:t xml:space="preserve">forestry </w:t>
            </w:r>
            <w:r w:rsidR="00BA314D">
              <w:rPr>
                <w:rFonts w:cs="Arial"/>
                <w:szCs w:val="22"/>
              </w:rPr>
              <w:t xml:space="preserve">emission units until such time as the unit holder choses to alienate their rights to the units. </w:t>
            </w:r>
          </w:p>
          <w:p w:rsidR="00710FFF" w:rsidRDefault="00710FFF" w:rsidP="00F371D2">
            <w:pPr>
              <w:spacing w:after="0" w:line="276" w:lineRule="auto"/>
              <w:rPr>
                <w:rFonts w:cs="Arial"/>
                <w:szCs w:val="22"/>
              </w:rPr>
            </w:pPr>
          </w:p>
          <w:p w:rsidR="007D7306" w:rsidRDefault="00D26EE3" w:rsidP="00F371D2">
            <w:pPr>
              <w:spacing w:after="0" w:line="276" w:lineRule="auto"/>
              <w:rPr>
                <w:rFonts w:cs="Arial"/>
                <w:szCs w:val="22"/>
              </w:rPr>
            </w:pPr>
            <w:r>
              <w:rPr>
                <w:rFonts w:cs="Arial"/>
                <w:szCs w:val="22"/>
              </w:rPr>
              <w:t xml:space="preserve">Option two </w:t>
            </w:r>
            <w:r w:rsidR="000F4BE8">
              <w:rPr>
                <w:rFonts w:cs="Arial"/>
                <w:szCs w:val="22"/>
              </w:rPr>
              <w:t xml:space="preserve">uses existing tax frameworks in the Income Tax Act and is sustainable </w:t>
            </w:r>
            <w:r w:rsidR="00710FFF">
              <w:rPr>
                <w:rFonts w:cs="Arial"/>
                <w:szCs w:val="22"/>
              </w:rPr>
              <w:t>because it</w:t>
            </w:r>
            <w:r w:rsidR="000F4BE8">
              <w:rPr>
                <w:rFonts w:cs="Arial"/>
                <w:szCs w:val="22"/>
              </w:rPr>
              <w:t xml:space="preserve"> maintains the integrity of the tax base by ensuring that interest cash flows created by the arrangement </w:t>
            </w:r>
            <w:r w:rsidR="00E56815">
              <w:rPr>
                <w:rFonts w:cs="Arial"/>
                <w:szCs w:val="22"/>
              </w:rPr>
              <w:t xml:space="preserve">are appropriately taxed.  </w:t>
            </w:r>
          </w:p>
          <w:p w:rsidR="00710FFF" w:rsidRDefault="00710FFF" w:rsidP="00F371D2">
            <w:pPr>
              <w:spacing w:after="0" w:line="276" w:lineRule="auto"/>
              <w:rPr>
                <w:rFonts w:cs="Arial"/>
                <w:szCs w:val="22"/>
              </w:rPr>
            </w:pPr>
          </w:p>
          <w:p w:rsidR="00710FFF" w:rsidRDefault="00E56815" w:rsidP="00F371D2">
            <w:pPr>
              <w:spacing w:after="0" w:line="276" w:lineRule="auto"/>
              <w:rPr>
                <w:rFonts w:cs="Arial"/>
                <w:szCs w:val="22"/>
              </w:rPr>
            </w:pPr>
            <w:r>
              <w:rPr>
                <w:rFonts w:cs="Arial"/>
                <w:szCs w:val="22"/>
              </w:rPr>
              <w:t>Option two does not rely on the creation of new frameworks and does not create any new or additional complian</w:t>
            </w:r>
            <w:r w:rsidR="00A920FC">
              <w:rPr>
                <w:rFonts w:cs="Arial"/>
                <w:szCs w:val="22"/>
              </w:rPr>
              <w:t xml:space="preserve">ce or administration costs and meets the administration and compliance cost efficiency </w:t>
            </w:r>
            <w:r w:rsidR="0042185F">
              <w:rPr>
                <w:rFonts w:cs="Arial"/>
                <w:szCs w:val="22"/>
              </w:rPr>
              <w:t>criterion</w:t>
            </w:r>
            <w:r w:rsidR="00A920FC">
              <w:rPr>
                <w:rFonts w:cs="Arial"/>
                <w:szCs w:val="22"/>
              </w:rPr>
              <w:t>.</w:t>
            </w:r>
          </w:p>
          <w:p w:rsidR="00710FFF" w:rsidRDefault="00710FFF" w:rsidP="00F371D2">
            <w:pPr>
              <w:spacing w:after="0" w:line="276" w:lineRule="auto"/>
              <w:rPr>
                <w:rFonts w:cs="Arial"/>
                <w:szCs w:val="22"/>
              </w:rPr>
            </w:pPr>
          </w:p>
          <w:p w:rsidR="007D7306" w:rsidRDefault="005C6B1B" w:rsidP="00F371D2">
            <w:pPr>
              <w:spacing w:after="0" w:line="276" w:lineRule="auto"/>
              <w:rPr>
                <w:rFonts w:cs="Arial"/>
                <w:szCs w:val="22"/>
              </w:rPr>
            </w:pPr>
            <w:r>
              <w:rPr>
                <w:rFonts w:cs="Arial"/>
                <w:szCs w:val="22"/>
              </w:rPr>
              <w:t xml:space="preserve">This option </w:t>
            </w:r>
            <w:r w:rsidR="00A924E1">
              <w:rPr>
                <w:rFonts w:cs="Arial"/>
                <w:szCs w:val="22"/>
              </w:rPr>
              <w:t>could result in market changes regarding the supply and demand of pre-1990 forestry emissions.  Commoditizing such emissions units improves market liquidity but also introduces market risk (such as price and counter party default).  We expect that holders of pre-1990 forestry emissions units would carry out appropriate due diligence before entering into any sale and compulsory buy-back arrangements</w:t>
            </w:r>
            <w:r w:rsidR="0042185F">
              <w:rPr>
                <w:rFonts w:cs="Arial"/>
                <w:szCs w:val="22"/>
              </w:rPr>
              <w:t xml:space="preserve"> to mitigate these risks</w:t>
            </w:r>
            <w:r w:rsidR="00A924E1">
              <w:rPr>
                <w:rFonts w:cs="Arial"/>
                <w:szCs w:val="22"/>
              </w:rPr>
              <w:t xml:space="preserve">.  </w:t>
            </w:r>
            <w:r>
              <w:rPr>
                <w:rFonts w:cs="Arial"/>
                <w:szCs w:val="22"/>
              </w:rPr>
              <w:t xml:space="preserve"> </w:t>
            </w:r>
          </w:p>
          <w:p w:rsidR="00710FFF" w:rsidRDefault="00710FFF" w:rsidP="00F371D2">
            <w:pPr>
              <w:spacing w:after="0" w:line="276" w:lineRule="auto"/>
              <w:rPr>
                <w:rFonts w:cs="Arial"/>
                <w:szCs w:val="22"/>
              </w:rPr>
            </w:pPr>
          </w:p>
          <w:p w:rsidR="00974FE0" w:rsidRDefault="00974FE0" w:rsidP="00F371D2">
            <w:pPr>
              <w:spacing w:after="0" w:line="276" w:lineRule="auto"/>
              <w:rPr>
                <w:rFonts w:cs="Arial"/>
                <w:szCs w:val="22"/>
              </w:rPr>
            </w:pPr>
            <w:r>
              <w:rPr>
                <w:rFonts w:cs="Arial"/>
                <w:szCs w:val="22"/>
              </w:rPr>
              <w:t xml:space="preserve">The option does not </w:t>
            </w:r>
            <w:r w:rsidR="00A924E1">
              <w:rPr>
                <w:rFonts w:cs="Arial"/>
                <w:szCs w:val="22"/>
              </w:rPr>
              <w:t xml:space="preserve">fully </w:t>
            </w:r>
            <w:r>
              <w:rPr>
                <w:rFonts w:cs="Arial"/>
                <w:szCs w:val="22"/>
              </w:rPr>
              <w:t xml:space="preserve">meet the fairness criterion as it applies to pre-1990 forestry emissions units only.  </w:t>
            </w:r>
            <w:r w:rsidR="00C660DD">
              <w:rPr>
                <w:rFonts w:cs="Arial"/>
                <w:szCs w:val="22"/>
              </w:rPr>
              <w:t xml:space="preserve">The fairness criterion </w:t>
            </w:r>
            <w:r w:rsidR="0091507C">
              <w:rPr>
                <w:rFonts w:cs="Arial"/>
                <w:szCs w:val="22"/>
              </w:rPr>
              <w:t>would be</w:t>
            </w:r>
            <w:r w:rsidR="004A0C0E">
              <w:rPr>
                <w:rFonts w:cs="Arial"/>
                <w:szCs w:val="22"/>
              </w:rPr>
              <w:t xml:space="preserve"> fully</w:t>
            </w:r>
            <w:r w:rsidR="0091507C">
              <w:rPr>
                <w:rFonts w:cs="Arial"/>
                <w:szCs w:val="22"/>
              </w:rPr>
              <w:t xml:space="preserve"> met if the proposed approach appl</w:t>
            </w:r>
            <w:r w:rsidR="00276F42">
              <w:rPr>
                <w:rFonts w:cs="Arial"/>
                <w:szCs w:val="22"/>
              </w:rPr>
              <w:t>ied to emissions units generally.  Widen</w:t>
            </w:r>
            <w:r w:rsidR="0091507C">
              <w:rPr>
                <w:rFonts w:cs="Arial"/>
                <w:szCs w:val="22"/>
              </w:rPr>
              <w:t>ing the scope of option two is not preferred</w:t>
            </w:r>
            <w:r w:rsidR="00276F42">
              <w:rPr>
                <w:rFonts w:cs="Arial"/>
                <w:szCs w:val="22"/>
              </w:rPr>
              <w:t xml:space="preserve"> at this time</w:t>
            </w:r>
            <w:r w:rsidR="0078569C">
              <w:rPr>
                <w:rFonts w:cs="Arial"/>
                <w:szCs w:val="22"/>
              </w:rPr>
              <w:t xml:space="preserve"> although officials will be considering in the coming months whether it would be desirable to also include post-1989 forestry emissions units </w:t>
            </w:r>
            <w:r w:rsidR="00321D75">
              <w:rPr>
                <w:rFonts w:cs="Arial"/>
                <w:szCs w:val="22"/>
              </w:rPr>
              <w:t xml:space="preserve">in the proposed amendment </w:t>
            </w:r>
            <w:r w:rsidR="003A69B3">
              <w:rPr>
                <w:rFonts w:cs="Arial"/>
                <w:szCs w:val="22"/>
              </w:rPr>
              <w:t>prior to the legislation being introduced</w:t>
            </w:r>
            <w:r w:rsidR="00321D75">
              <w:rPr>
                <w:rFonts w:cs="Arial"/>
                <w:szCs w:val="22"/>
              </w:rPr>
              <w:t xml:space="preserve"> late this year</w:t>
            </w:r>
            <w:r w:rsidR="00276F42">
              <w:rPr>
                <w:rFonts w:cs="Arial"/>
                <w:szCs w:val="22"/>
              </w:rPr>
              <w:t>.  Originally, Inland Revenue had intended to discuss the securitizatio</w:t>
            </w:r>
            <w:r w:rsidR="000D1725">
              <w:rPr>
                <w:rFonts w:cs="Arial"/>
                <w:szCs w:val="22"/>
              </w:rPr>
              <w:t xml:space="preserve">n of emissions units in an officials’ issues paper for later in 2018.  However, the impetus for dealing with pre-1990 forestry emissions units more quickly is the fact that </w:t>
            </w:r>
            <w:r w:rsidR="00DC6772">
              <w:rPr>
                <w:rFonts w:cs="Arial"/>
                <w:szCs w:val="22"/>
              </w:rPr>
              <w:t>a key stakeholder is planning to enter into a sale and buy-back transaction at the end of May 2018 and has sought an assurance from Ministers that th</w:t>
            </w:r>
            <w:r w:rsidR="005A1230">
              <w:rPr>
                <w:rFonts w:cs="Arial"/>
                <w:szCs w:val="22"/>
              </w:rPr>
              <w:t xml:space="preserve">ere is support for legislative change to the Income Tax Act to </w:t>
            </w:r>
            <w:r w:rsidR="00947E56">
              <w:rPr>
                <w:rFonts w:cs="Arial"/>
                <w:szCs w:val="22"/>
              </w:rPr>
              <w:t xml:space="preserve">ensure that tax law reflects the economic substance of the transaction.  </w:t>
            </w:r>
          </w:p>
          <w:p w:rsidR="00710FFF" w:rsidRDefault="00710FFF" w:rsidP="00F371D2">
            <w:pPr>
              <w:spacing w:after="0" w:line="276" w:lineRule="auto"/>
              <w:rPr>
                <w:rFonts w:cs="Arial"/>
                <w:szCs w:val="22"/>
              </w:rPr>
            </w:pPr>
          </w:p>
          <w:p w:rsidR="004B2ADD" w:rsidRDefault="00280013" w:rsidP="00F371D2">
            <w:pPr>
              <w:spacing w:after="0" w:line="276" w:lineRule="auto"/>
              <w:rPr>
                <w:rFonts w:cs="Arial"/>
                <w:szCs w:val="22"/>
              </w:rPr>
            </w:pPr>
            <w:r>
              <w:rPr>
                <w:rFonts w:cs="Arial"/>
                <w:szCs w:val="22"/>
              </w:rPr>
              <w:t xml:space="preserve">Preliminary feedback from stakeholders has been supportive </w:t>
            </w:r>
            <w:r w:rsidR="007D7306">
              <w:rPr>
                <w:rFonts w:cs="Arial"/>
                <w:szCs w:val="22"/>
              </w:rPr>
              <w:t>of</w:t>
            </w:r>
            <w:r>
              <w:rPr>
                <w:rFonts w:cs="Arial"/>
                <w:szCs w:val="22"/>
              </w:rPr>
              <w:t xml:space="preserve"> option</w:t>
            </w:r>
            <w:r w:rsidR="007D7306">
              <w:rPr>
                <w:rFonts w:cs="Arial"/>
                <w:szCs w:val="22"/>
              </w:rPr>
              <w:t xml:space="preserve"> two</w:t>
            </w:r>
            <w:r>
              <w:rPr>
                <w:rFonts w:cs="Arial"/>
                <w:szCs w:val="22"/>
              </w:rPr>
              <w:t xml:space="preserve">.  </w:t>
            </w:r>
          </w:p>
          <w:p w:rsidR="00710FFF" w:rsidRPr="000A5BFC" w:rsidRDefault="00710FFF" w:rsidP="00F371D2">
            <w:pPr>
              <w:spacing w:after="0" w:line="276" w:lineRule="auto"/>
            </w:pPr>
          </w:p>
          <w:p w:rsidR="000F1901" w:rsidRDefault="00280013" w:rsidP="00710FFF">
            <w:pPr>
              <w:spacing w:after="120" w:line="276" w:lineRule="auto"/>
              <w:rPr>
                <w:b/>
              </w:rPr>
            </w:pPr>
            <w:r w:rsidRPr="007D7306">
              <w:rPr>
                <w:b/>
              </w:rPr>
              <w:t xml:space="preserve">Other options:  </w:t>
            </w:r>
            <w:r w:rsidR="007D7306">
              <w:rPr>
                <w:b/>
              </w:rPr>
              <w:t>Apply the principles of the share lending rules</w:t>
            </w:r>
            <w:r w:rsidR="00401F14">
              <w:rPr>
                <w:b/>
              </w:rPr>
              <w:t xml:space="preserve"> </w:t>
            </w:r>
            <w:r w:rsidR="00710FFF">
              <w:rPr>
                <w:b/>
              </w:rPr>
              <w:t>to pre-1990 forestry emissions units</w:t>
            </w:r>
          </w:p>
          <w:p w:rsidR="00401F14" w:rsidRPr="002E0A93" w:rsidRDefault="000250B2" w:rsidP="00225C2C">
            <w:pPr>
              <w:spacing w:after="180" w:line="276" w:lineRule="auto"/>
            </w:pPr>
            <w:r>
              <w:t>Other options were brie</w:t>
            </w:r>
            <w:r w:rsidR="004365D3">
              <w:t xml:space="preserve">fly considered.  </w:t>
            </w:r>
            <w:r w:rsidR="0068113F">
              <w:t>For example, t</w:t>
            </w:r>
            <w:r w:rsidR="004365D3">
              <w:t>he share lending rules</w:t>
            </w:r>
            <w:r w:rsidR="00321D75">
              <w:t xml:space="preserve"> which are based on a similar securitization concept</w:t>
            </w:r>
            <w:r w:rsidR="00710FFF">
              <w:t xml:space="preserve">.  </w:t>
            </w:r>
            <w:r w:rsidR="00F8162F">
              <w:t xml:space="preserve"> </w:t>
            </w:r>
            <w:r w:rsidR="005D66DF">
              <w:t xml:space="preserve">Share lending involves the lending of shares </w:t>
            </w:r>
            <w:r w:rsidR="00FB485D">
              <w:t xml:space="preserve">to another party for a fee. </w:t>
            </w:r>
            <w:r w:rsidR="0008008C">
              <w:t xml:space="preserve"> </w:t>
            </w:r>
            <w:r w:rsidR="003D15F3">
              <w:t xml:space="preserve">The share lending rules in the Income Tax Act </w:t>
            </w:r>
            <w:r w:rsidR="0046036B">
              <w:t xml:space="preserve">tax transactions </w:t>
            </w:r>
            <w:proofErr w:type="gramStart"/>
            <w:r w:rsidR="0046036B">
              <w:t>on the basis of</w:t>
            </w:r>
            <w:proofErr w:type="gramEnd"/>
            <w:r w:rsidR="0046036B">
              <w:t xml:space="preserve"> economic substance rather than legal form.  </w:t>
            </w:r>
            <w:r w:rsidR="0081224D">
              <w:t>T</w:t>
            </w:r>
            <w:r w:rsidR="00710FFF">
              <w:t xml:space="preserve">he share lending rules met </w:t>
            </w:r>
            <w:r w:rsidR="0081224D">
              <w:t>some</w:t>
            </w:r>
            <w:r w:rsidR="00710FFF">
              <w:t xml:space="preserve"> of the evaluation criteria</w:t>
            </w:r>
            <w:r w:rsidR="00DC5CAE">
              <w:t xml:space="preserve"> </w:t>
            </w:r>
            <w:r w:rsidR="00D52991">
              <w:t>(</w:t>
            </w:r>
            <w:r w:rsidR="0079114B">
              <w:t>effectiveness</w:t>
            </w:r>
            <w:r w:rsidR="001673A3">
              <w:t>,</w:t>
            </w:r>
            <w:r w:rsidR="00D52991">
              <w:t xml:space="preserve"> and </w:t>
            </w:r>
            <w:r w:rsidR="002121A8">
              <w:t>administration</w:t>
            </w:r>
            <w:r w:rsidR="00D52991">
              <w:t xml:space="preserve"> </w:t>
            </w:r>
            <w:r w:rsidR="002121A8">
              <w:t xml:space="preserve">and compliance </w:t>
            </w:r>
            <w:r w:rsidR="00D52991">
              <w:t xml:space="preserve">efficiency) </w:t>
            </w:r>
            <w:r w:rsidR="0081224D">
              <w:t>but</w:t>
            </w:r>
            <w:r w:rsidR="00710FFF">
              <w:t xml:space="preserve"> </w:t>
            </w:r>
            <w:r w:rsidR="00F8162F">
              <w:t xml:space="preserve">did not adequately reflect the underlying cash flows under </w:t>
            </w:r>
            <w:r w:rsidR="009F4A7D">
              <w:t xml:space="preserve">this </w:t>
            </w:r>
            <w:proofErr w:type="gramStart"/>
            <w:r w:rsidR="009F4A7D">
              <w:t xml:space="preserve">particular type of </w:t>
            </w:r>
            <w:r w:rsidR="000B340C">
              <w:t>securitization</w:t>
            </w:r>
            <w:proofErr w:type="gramEnd"/>
            <w:r w:rsidR="00F8162F">
              <w:t xml:space="preserve"> arrangement</w:t>
            </w:r>
            <w:r w:rsidR="00225C2C">
              <w:t xml:space="preserve"> as the share lending rules are specifically targeted to shares.  </w:t>
            </w:r>
            <w:r w:rsidR="001673A3">
              <w:t xml:space="preserve"> </w:t>
            </w:r>
            <w:r w:rsidR="00225C2C">
              <w:t>T</w:t>
            </w:r>
            <w:r w:rsidR="001673A3">
              <w:t xml:space="preserve">herefore, </w:t>
            </w:r>
            <w:r w:rsidR="0000705A">
              <w:t xml:space="preserve">it </w:t>
            </w:r>
            <w:r w:rsidR="00F8162F">
              <w:t>was dismissed as an option</w:t>
            </w:r>
            <w:r w:rsidR="00A40055">
              <w:t xml:space="preserve"> as it was not sustainable</w:t>
            </w:r>
            <w:r w:rsidR="00F8162F">
              <w:t>, notwithstanding it</w:t>
            </w:r>
            <w:r w:rsidR="0000705A">
              <w:t>s</w:t>
            </w:r>
            <w:r w:rsidR="000F1901">
              <w:t xml:space="preserve"> effective</w:t>
            </w:r>
            <w:r w:rsidR="0000705A">
              <w:t>ness</w:t>
            </w:r>
            <w:r w:rsidR="000F1901">
              <w:t xml:space="preserve">.  </w:t>
            </w:r>
          </w:p>
        </w:tc>
      </w:tr>
    </w:tbl>
    <w:p w:rsidR="002D7998" w:rsidRDefault="002D7998">
      <w:r>
        <w:rPr>
          <w:b/>
        </w:rPr>
        <w:lastRenderedPageBreak/>
        <w:br w:type="page"/>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457"/>
      </w:tblGrid>
      <w:tr w:rsidR="002D5734" w:rsidRPr="0069218C" w:rsidTr="00800DEC">
        <w:trPr>
          <w:trHeight w:val="84"/>
        </w:trPr>
        <w:tc>
          <w:tcPr>
            <w:tcW w:w="5000" w:type="pct"/>
            <w:tcBorders>
              <w:top w:val="single" w:sz="4" w:space="0" w:color="auto"/>
              <w:left w:val="single" w:sz="4" w:space="0" w:color="auto"/>
              <w:bottom w:val="single" w:sz="4" w:space="0" w:color="auto"/>
              <w:right w:val="single" w:sz="4" w:space="0" w:color="auto"/>
            </w:tcBorders>
            <w:shd w:val="clear" w:color="auto" w:fill="99CDDD"/>
          </w:tcPr>
          <w:p w:rsidR="00E92509" w:rsidRPr="00886DFF" w:rsidRDefault="00B23E8A" w:rsidP="00486852">
            <w:pPr>
              <w:pStyle w:val="TableHeadings"/>
              <w:rPr>
                <w:szCs w:val="22"/>
                <w:lang w:val="en-NZ"/>
              </w:rPr>
            </w:pPr>
            <w:r w:rsidRPr="00886DFF">
              <w:rPr>
                <w:szCs w:val="22"/>
                <w:lang w:val="en-NZ"/>
              </w:rPr>
              <w:lastRenderedPageBreak/>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rsidTr="00710FFF">
        <w:trPr>
          <w:trHeight w:val="276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5534" w:rsidRDefault="008A3FDA" w:rsidP="00710FFF">
            <w:pPr>
              <w:spacing w:before="120" w:after="0" w:line="276" w:lineRule="auto"/>
              <w:rPr>
                <w:rFonts w:cs="Arial"/>
                <w:szCs w:val="22"/>
              </w:rPr>
            </w:pPr>
            <w:r>
              <w:rPr>
                <w:rFonts w:cs="Arial"/>
                <w:szCs w:val="22"/>
              </w:rPr>
              <w:t>The proposed approach is option two, which relies on the principles and framework of the financial arrangement rules in the Income Tax Act to appropriate</w:t>
            </w:r>
            <w:r w:rsidR="00382255">
              <w:rPr>
                <w:rFonts w:cs="Arial"/>
                <w:szCs w:val="22"/>
              </w:rPr>
              <w:t>ly</w:t>
            </w:r>
            <w:r>
              <w:rPr>
                <w:rFonts w:cs="Arial"/>
                <w:szCs w:val="22"/>
              </w:rPr>
              <w:t xml:space="preserve"> tax </w:t>
            </w:r>
            <w:r w:rsidR="000B340C">
              <w:rPr>
                <w:rFonts w:cs="Arial"/>
                <w:szCs w:val="22"/>
              </w:rPr>
              <w:t>securitization</w:t>
            </w:r>
            <w:r>
              <w:rPr>
                <w:rFonts w:cs="Arial"/>
                <w:szCs w:val="22"/>
              </w:rPr>
              <w:t xml:space="preserve"> arrangements involving pre-1990 </w:t>
            </w:r>
            <w:r w:rsidR="00861825">
              <w:rPr>
                <w:rFonts w:cs="Arial"/>
                <w:szCs w:val="22"/>
              </w:rPr>
              <w:t xml:space="preserve">forestry </w:t>
            </w:r>
            <w:r>
              <w:rPr>
                <w:rFonts w:cs="Arial"/>
                <w:szCs w:val="22"/>
              </w:rPr>
              <w:t xml:space="preserve">emissions units.  </w:t>
            </w:r>
            <w:r w:rsidR="006E0FF0">
              <w:rPr>
                <w:rFonts w:cs="Arial"/>
                <w:szCs w:val="22"/>
              </w:rPr>
              <w:t xml:space="preserve">This option is preferred as it </w:t>
            </w:r>
            <w:r w:rsidR="008E3AE2">
              <w:rPr>
                <w:rFonts w:cs="Arial"/>
                <w:szCs w:val="22"/>
              </w:rPr>
              <w:t>meets</w:t>
            </w:r>
            <w:r w:rsidR="006E0FF0">
              <w:rPr>
                <w:rFonts w:cs="Arial"/>
                <w:szCs w:val="22"/>
              </w:rPr>
              <w:t xml:space="preserve"> the main </w:t>
            </w:r>
            <w:r w:rsidR="001D11AC">
              <w:rPr>
                <w:rFonts w:cs="Arial"/>
                <w:szCs w:val="22"/>
              </w:rPr>
              <w:t>objective and</w:t>
            </w:r>
            <w:r w:rsidR="006E0FF0">
              <w:rPr>
                <w:rFonts w:cs="Arial"/>
                <w:szCs w:val="22"/>
              </w:rPr>
              <w:t xml:space="preserve"> is effective and sustainable.  </w:t>
            </w:r>
            <w:r w:rsidR="00382255">
              <w:rPr>
                <w:rFonts w:cs="Arial"/>
                <w:szCs w:val="22"/>
              </w:rPr>
              <w:t xml:space="preserve">By using existing frameworks in the Income Tax Act, it does not create new compliance or administrative processes.  </w:t>
            </w:r>
          </w:p>
          <w:p w:rsidR="009F5534" w:rsidRDefault="009F5534" w:rsidP="00486852">
            <w:pPr>
              <w:spacing w:after="0" w:line="276" w:lineRule="auto"/>
              <w:rPr>
                <w:rFonts w:cs="Arial"/>
                <w:szCs w:val="22"/>
              </w:rPr>
            </w:pPr>
          </w:p>
          <w:p w:rsidR="00F132B2" w:rsidRPr="0069218C" w:rsidRDefault="00000735" w:rsidP="00710FFF">
            <w:pPr>
              <w:spacing w:after="180" w:line="276" w:lineRule="auto"/>
              <w:rPr>
                <w:rFonts w:cs="Arial"/>
                <w:szCs w:val="22"/>
              </w:rPr>
            </w:pPr>
            <w:r>
              <w:rPr>
                <w:rFonts w:cs="Arial"/>
                <w:szCs w:val="22"/>
              </w:rPr>
              <w:t xml:space="preserve">The proposed approach has no areas of incompatibility with the Government’s expectations for the design of regulatory systems.  </w:t>
            </w:r>
          </w:p>
        </w:tc>
      </w:tr>
    </w:tbl>
    <w:p w:rsidR="00BE4A62" w:rsidRPr="00030EC1" w:rsidRDefault="00D9793F" w:rsidP="00486852">
      <w:pPr>
        <w:pStyle w:val="Heading2"/>
      </w:pPr>
      <w:r w:rsidRPr="0069218C">
        <w:rPr>
          <w:rFonts w:cs="Arial"/>
          <w:sz w:val="22"/>
          <w:lang w:val="en-NZ"/>
        </w:rPr>
        <w:br w:type="page"/>
      </w:r>
      <w:r w:rsidR="00E92509" w:rsidRPr="002D5734">
        <w:lastRenderedPageBreak/>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5D5BF0" w:rsidRPr="0069218C" w:rsidTr="006D3130">
        <w:trPr>
          <w:trHeight w:val="77"/>
        </w:trPr>
        <w:tc>
          <w:tcPr>
            <w:tcW w:w="5000" w:type="pct"/>
            <w:tcBorders>
              <w:bottom w:val="single" w:sz="4" w:space="0" w:color="auto"/>
            </w:tcBorders>
            <w:shd w:val="clear" w:color="auto" w:fill="99CDDD"/>
            <w:hideMark/>
          </w:tcPr>
          <w:p w:rsidR="005D5BF0" w:rsidRPr="0069218C" w:rsidRDefault="00D9793F" w:rsidP="00486852">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rsidR="00D9793F" w:rsidRPr="0069218C" w:rsidRDefault="00D9793F" w:rsidP="00486852">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5"/>
      </w:tblGrid>
      <w:tr w:rsidR="00380585" w:rsidRPr="0069218C" w:rsidTr="00030EC1">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486852">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252" w:type="dxa"/>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486852">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(e</w:t>
            </w:r>
            <w:r w:rsidR="00BF2268">
              <w:rPr>
                <w:rFonts w:eastAsia="Calibri"/>
                <w:color w:val="000000"/>
                <w:sz w:val="22"/>
              </w:rPr>
              <w:t>.</w:t>
            </w:r>
            <w:r w:rsidRPr="00886DFF">
              <w:rPr>
                <w:rFonts w:eastAsia="Calibri"/>
                <w:color w:val="000000"/>
                <w:sz w:val="22"/>
              </w:rPr>
              <w:t>g</w:t>
            </w:r>
            <w:r w:rsidR="001D0BC4">
              <w:rPr>
                <w:rFonts w:eastAsia="Calibri"/>
                <w:color w:val="000000"/>
                <w:sz w:val="22"/>
              </w:rPr>
              <w:t>.</w:t>
            </w:r>
            <w:r w:rsidR="00BF2268">
              <w:rPr>
                <w:rFonts w:eastAsia="Calibri"/>
                <w:color w:val="000000"/>
                <w:sz w:val="22"/>
              </w:rPr>
              <w:t xml:space="preserve"> </w:t>
            </w:r>
            <w:r w:rsidRPr="00886DFF">
              <w:rPr>
                <w:rFonts w:eastAsia="Calibri"/>
                <w:color w:val="000000"/>
                <w:sz w:val="22"/>
              </w:rPr>
              <w:t xml:space="preserve"> on</w:t>
            </w:r>
            <w:r w:rsidR="00327481">
              <w:rPr>
                <w:rFonts w:eastAsia="Calibri"/>
                <w:color w:val="000000"/>
                <w:sz w:val="22"/>
              </w:rPr>
              <w:t>-</w:t>
            </w:r>
            <w:r w:rsidRPr="00886DFF">
              <w:rPr>
                <w:rFonts w:eastAsia="Calibri"/>
                <w:color w:val="000000"/>
                <w:sz w:val="22"/>
              </w:rPr>
              <w:t>going, one-off), evidence and assumption (e</w:t>
            </w:r>
            <w:r w:rsidR="00BF2268">
              <w:rPr>
                <w:rFonts w:eastAsia="Calibri"/>
                <w:color w:val="000000"/>
                <w:sz w:val="22"/>
              </w:rPr>
              <w:t>.</w:t>
            </w:r>
            <w:r w:rsidRPr="00886DFF">
              <w:rPr>
                <w:rFonts w:eastAsia="Calibri"/>
                <w:color w:val="000000"/>
                <w:sz w:val="22"/>
              </w:rPr>
              <w:t>g</w:t>
            </w:r>
            <w:r w:rsidR="00BF2268">
              <w:rPr>
                <w:rFonts w:eastAsia="Calibri"/>
                <w:color w:val="000000"/>
                <w:sz w:val="22"/>
              </w:rPr>
              <w:t>.</w:t>
            </w:r>
            <w:r w:rsidRPr="00886DFF">
              <w:rPr>
                <w:rFonts w:eastAsia="Calibri"/>
                <w:color w:val="000000"/>
                <w:sz w:val="22"/>
              </w:rPr>
              <w:t xml:space="preserve"> compliance rates), risks</w:t>
            </w:r>
          </w:p>
        </w:tc>
        <w:tc>
          <w:tcPr>
            <w:tcW w:w="2835" w:type="dxa"/>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486852">
            <w:pPr>
              <w:pStyle w:val="TableText"/>
              <w:keepNext/>
              <w:rPr>
                <w:rFonts w:eastAsia="Calibri"/>
                <w:b/>
                <w:color w:val="000000"/>
                <w:sz w:val="22"/>
              </w:rPr>
            </w:pPr>
            <w:r w:rsidRPr="00886DFF">
              <w:rPr>
                <w:rFonts w:eastAsia="Calibri"/>
                <w:b/>
                <w:color w:val="000000"/>
                <w:sz w:val="22"/>
              </w:rPr>
              <w:t>Impact</w:t>
            </w:r>
          </w:p>
          <w:p w:rsidR="00380585" w:rsidRPr="00886DFF" w:rsidRDefault="00380585" w:rsidP="00486852">
            <w:pPr>
              <w:pStyle w:val="TableText"/>
              <w:keepNext/>
              <w:rPr>
                <w:rFonts w:eastAsia="Calibri"/>
                <w:i/>
                <w:color w:val="000000"/>
                <w:sz w:val="22"/>
              </w:rPr>
            </w:pPr>
            <w:r w:rsidRPr="00886DFF">
              <w:rPr>
                <w:rFonts w:eastAsia="Calibri"/>
                <w:i/>
                <w:color w:val="000000"/>
                <w:sz w:val="22"/>
              </w:rPr>
              <w:t xml:space="preserve">$m present </w:t>
            </w:r>
            <w:proofErr w:type="gramStart"/>
            <w:r w:rsidRPr="00886DFF">
              <w:rPr>
                <w:rFonts w:eastAsia="Calibri"/>
                <w:i/>
                <w:color w:val="000000"/>
                <w:sz w:val="22"/>
              </w:rPr>
              <w:t>value,  for</w:t>
            </w:r>
            <w:proofErr w:type="gramEnd"/>
            <w:r w:rsidRPr="00886DFF">
              <w:rPr>
                <w:rFonts w:eastAsia="Calibri"/>
                <w:i/>
                <w:color w:val="000000"/>
                <w:sz w:val="22"/>
              </w:rPr>
              <w:t xml:space="preserve"> monetised impacts; high, medium or low for non-monetised impacts  </w:t>
            </w:r>
          </w:p>
        </w:tc>
      </w:tr>
      <w:tr w:rsidR="00380585" w:rsidRPr="0069218C" w:rsidTr="00567434">
        <w:trPr>
          <w:trHeight w:val="197"/>
        </w:trPr>
        <w:tc>
          <w:tcPr>
            <w:tcW w:w="9069" w:type="dxa"/>
            <w:gridSpan w:val="3"/>
            <w:tcBorders>
              <w:top w:val="single" w:sz="2" w:space="0" w:color="auto"/>
              <w:bottom w:val="single" w:sz="2" w:space="0" w:color="auto"/>
            </w:tcBorders>
          </w:tcPr>
          <w:p w:rsidR="00380585" w:rsidRPr="00567434" w:rsidRDefault="00380585" w:rsidP="00486852">
            <w:pPr>
              <w:pStyle w:val="spacer"/>
              <w:rPr>
                <w:rFonts w:eastAsia="Calibri"/>
              </w:rPr>
            </w:pPr>
          </w:p>
        </w:tc>
      </w:tr>
      <w:tr w:rsidR="00380585" w:rsidRPr="0069218C" w:rsidTr="00030EC1">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rsidR="00380585" w:rsidRPr="0069218C" w:rsidRDefault="00380585" w:rsidP="00486852">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keepNext/>
              <w:rPr>
                <w:rFonts w:eastAsia="Calibri"/>
                <w:sz w:val="22"/>
              </w:rPr>
            </w:pPr>
            <w:r w:rsidRPr="0069218C">
              <w:rPr>
                <w:rFonts w:eastAsia="Calibri"/>
                <w:sz w:val="22"/>
              </w:rPr>
              <w:t>Regulated parties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425D19" w:rsidP="00486852">
            <w:pPr>
              <w:pStyle w:val="TableText"/>
              <w:keepNext/>
              <w:rPr>
                <w:rFonts w:eastAsia="Calibri"/>
                <w:sz w:val="22"/>
              </w:rPr>
            </w:pPr>
            <w:r>
              <w:rPr>
                <w:rFonts w:eastAsia="Calibri"/>
                <w:sz w:val="22"/>
              </w:rPr>
              <w:t xml:space="preserve">On-going compliance costs of the proposed approach are comparable to the status quo.  </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095D7F" w:rsidP="00486852">
            <w:pPr>
              <w:pStyle w:val="TableText"/>
              <w:keepN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keepNext/>
              <w:rPr>
                <w:rFonts w:eastAsia="Calibri" w:cs="Arial"/>
                <w:color w:val="000000"/>
                <w:sz w:val="22"/>
              </w:rPr>
            </w:pPr>
            <w:r w:rsidRPr="0069218C">
              <w:rPr>
                <w:rFonts w:eastAsia="Calibri"/>
                <w:color w:val="000000"/>
                <w:sz w:val="22"/>
              </w:rPr>
              <w:t>Regulators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095D7F" w:rsidP="00486852">
            <w:pPr>
              <w:pStyle w:val="TableText"/>
              <w:keepNext/>
              <w:rPr>
                <w:rFonts w:eastAsia="Calibri"/>
                <w:sz w:val="22"/>
              </w:rPr>
            </w:pPr>
            <w:r>
              <w:rPr>
                <w:rFonts w:eastAsia="Calibri"/>
                <w:sz w:val="22"/>
              </w:rPr>
              <w:t>Administration costs of the proposed approach are comparable to the status quo</w:t>
            </w:r>
            <w:r w:rsidR="002D7998">
              <w:rPr>
                <w:rFonts w:eastAsia="Calibri"/>
                <w:sz w:val="22"/>
              </w:rPr>
              <w:t>.</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095D7F" w:rsidP="00486852">
            <w:pPr>
              <w:pStyle w:val="TableText"/>
              <w:keepN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keepNext/>
              <w:rPr>
                <w:rFonts w:eastAsia="Calibri"/>
                <w:color w:val="000000"/>
                <w:sz w:val="22"/>
              </w:rPr>
            </w:pPr>
            <w:r w:rsidRPr="0069218C">
              <w:rPr>
                <w:rFonts w:eastAsia="Calibri"/>
                <w:color w:val="000000"/>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D30D04" w:rsidRPr="0069218C" w:rsidRDefault="00095D7F" w:rsidP="00486852">
            <w:pPr>
              <w:pStyle w:val="TableText"/>
              <w:keepNext/>
              <w:rPr>
                <w:rFonts w:eastAsia="Calibri"/>
                <w:sz w:val="22"/>
              </w:rPr>
            </w:pPr>
            <w:r>
              <w:rPr>
                <w:rFonts w:eastAsia="Calibri"/>
                <w:sz w:val="22"/>
              </w:rPr>
              <w:t xml:space="preserve">Revenue effect is negligible for several reasons:  </w:t>
            </w:r>
            <w:r w:rsidR="001673A3">
              <w:rPr>
                <w:rFonts w:eastAsia="Calibri"/>
                <w:sz w:val="22"/>
              </w:rPr>
              <w:t>i</w:t>
            </w:r>
            <w:r w:rsidR="009A6B13">
              <w:rPr>
                <w:rFonts w:eastAsia="Calibri"/>
                <w:sz w:val="22"/>
              </w:rPr>
              <w:t>n the absence of legislative change it is unlikely securitization transactions involving pre-1990 emissions units would go ahead.</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095D7F" w:rsidP="00486852">
            <w:pPr>
              <w:pStyle w:val="TableText"/>
              <w:keepN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keepNext/>
              <w:rPr>
                <w:rFonts w:eastAsia="Calibri" w:cs="Arial"/>
                <w:color w:val="000000"/>
                <w:sz w:val="22"/>
              </w:rPr>
            </w:pPr>
            <w:r w:rsidRPr="0069218C">
              <w:rPr>
                <w:rFonts w:eastAsia="Calibri"/>
                <w:color w:val="000000"/>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40305" w:rsidP="00486852">
            <w:pPr>
              <w:pStyle w:val="TableText"/>
              <w:keepNext/>
              <w:rPr>
                <w:rFonts w:eastAsia="Calibri"/>
                <w:sz w:val="22"/>
              </w:rPr>
            </w:pPr>
            <w:r>
              <w:rPr>
                <w:rFonts w:eastAsia="Calibri"/>
                <w:sz w:val="22"/>
              </w:rPr>
              <w:t>None</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095D7F" w:rsidP="00486852">
            <w:pPr>
              <w:pStyle w:val="TableText"/>
              <w:keepN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keepNext/>
              <w:rPr>
                <w:rFonts w:eastAsia="Calibri"/>
                <w:b/>
                <w:sz w:val="22"/>
              </w:rPr>
            </w:pPr>
            <w:r w:rsidRPr="0069218C">
              <w:rPr>
                <w:rFonts w:eastAsia="Calibri"/>
                <w:b/>
                <w:sz w:val="22"/>
              </w:rPr>
              <w:t>Total Monetised Cost</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keepNext/>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095D7F" w:rsidP="00486852">
            <w:pPr>
              <w:pStyle w:val="TableText"/>
              <w:keepN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keepNext/>
              <w:rPr>
                <w:rFonts w:eastAsia="Calibri"/>
                <w:b/>
                <w:sz w:val="22"/>
              </w:rPr>
            </w:pPr>
            <w:r w:rsidRPr="0069218C">
              <w:rPr>
                <w:rFonts w:eastAsia="Calibri"/>
                <w:b/>
                <w:sz w:val="22"/>
              </w:rPr>
              <w:t xml:space="preserve">Non-monetised costs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keepNext/>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80585" w:rsidRPr="00095D7F" w:rsidRDefault="00095D7F" w:rsidP="00486852">
            <w:pPr>
              <w:pStyle w:val="TableText"/>
              <w:keepNext/>
              <w:rPr>
                <w:rFonts w:eastAsia="Calibri"/>
                <w:sz w:val="22"/>
              </w:rPr>
            </w:pPr>
            <w:r w:rsidRPr="00095D7F">
              <w:rPr>
                <w:rFonts w:eastAsia="Calibri"/>
                <w:sz w:val="22"/>
              </w:rPr>
              <w:t>Low</w:t>
            </w:r>
          </w:p>
        </w:tc>
      </w:tr>
    </w:tbl>
    <w:p w:rsidR="00380585" w:rsidRPr="0069218C" w:rsidRDefault="00380585" w:rsidP="00486852">
      <w:pPr>
        <w:pStyle w:val="spacer"/>
      </w:pPr>
    </w:p>
    <w:tbl>
      <w:tblPr>
        <w:tblpPr w:leftFromText="180" w:rightFromText="180" w:vertAnchor="text" w:tblpX="6" w:tblpY="1"/>
        <w:tblOverlap w:val="never"/>
        <w:tblW w:w="907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7"/>
      </w:tblGrid>
      <w:tr w:rsidR="00380585" w:rsidRPr="0069218C" w:rsidTr="00030EC1">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rsidR="00380585" w:rsidRPr="000535CE" w:rsidRDefault="00380585" w:rsidP="00486852">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rPr>
                <w:rFonts w:eastAsia="Calibri"/>
                <w:sz w:val="22"/>
              </w:rPr>
            </w:pPr>
            <w:r w:rsidRPr="0069218C">
              <w:rPr>
                <w:rFonts w:eastAsia="Calibri"/>
                <w:sz w:val="22"/>
              </w:rPr>
              <w:t>Regulated parties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40305" w:rsidP="002D7998">
            <w:pPr>
              <w:pStyle w:val="TableText"/>
              <w:rPr>
                <w:rFonts w:eastAsia="Calibri"/>
                <w:sz w:val="22"/>
              </w:rPr>
            </w:pPr>
            <w:r>
              <w:rPr>
                <w:rFonts w:eastAsia="Calibri"/>
                <w:sz w:val="22"/>
              </w:rPr>
              <w:t xml:space="preserve">Tax environment </w:t>
            </w:r>
            <w:r w:rsidR="002D7998">
              <w:rPr>
                <w:rFonts w:eastAsia="Calibri"/>
                <w:sz w:val="22"/>
              </w:rPr>
              <w:t>supports</w:t>
            </w:r>
            <w:r>
              <w:rPr>
                <w:rFonts w:eastAsia="Calibri"/>
                <w:sz w:val="22"/>
              </w:rPr>
              <w:t xml:space="preserve"> securitization of pre-1990 emissions units allowing holders to maximise the value of those assets. </w:t>
            </w:r>
          </w:p>
        </w:tc>
        <w:tc>
          <w:tcPr>
            <w:tcW w:w="2837"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40305" w:rsidP="00486852">
            <w:pPr>
              <w:pStyle w:val="TableT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rPr>
                <w:rFonts w:eastAsia="Calibri"/>
                <w:sz w:val="22"/>
              </w:rPr>
            </w:pPr>
            <w:r w:rsidRPr="0069218C">
              <w:rPr>
                <w:rFonts w:eastAsia="Calibri"/>
                <w:sz w:val="22"/>
              </w:rPr>
              <w:t>Regulators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40305" w:rsidP="00486852">
            <w:pPr>
              <w:pStyle w:val="TableText"/>
              <w:rPr>
                <w:rFonts w:eastAsia="Calibri"/>
                <w:sz w:val="22"/>
              </w:rPr>
            </w:pPr>
            <w:r>
              <w:rPr>
                <w:rFonts w:eastAsia="Calibri"/>
                <w:sz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40305" w:rsidP="00486852">
            <w:pPr>
              <w:pStyle w:val="TableT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rPr>
                <w:rFonts w:eastAsia="Calibri"/>
                <w:sz w:val="22"/>
              </w:rPr>
            </w:pPr>
            <w:r w:rsidRPr="0069218C">
              <w:rPr>
                <w:rFonts w:eastAsia="Calibri"/>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40305" w:rsidP="00486852">
            <w:pPr>
              <w:pStyle w:val="TableText"/>
              <w:rPr>
                <w:rFonts w:eastAsia="Calibri"/>
                <w:sz w:val="22"/>
              </w:rPr>
            </w:pPr>
            <w:r>
              <w:rPr>
                <w:rFonts w:eastAsia="Calibri"/>
                <w:sz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40305" w:rsidP="00486852">
            <w:pPr>
              <w:pStyle w:val="TableT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rPr>
                <w:rFonts w:eastAsia="Calibri"/>
                <w:sz w:val="22"/>
              </w:rPr>
            </w:pPr>
            <w:r w:rsidRPr="0069218C">
              <w:rPr>
                <w:rFonts w:eastAsia="Calibri"/>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40305" w:rsidP="009D4B81">
            <w:pPr>
              <w:pStyle w:val="TableText"/>
              <w:rPr>
                <w:rFonts w:eastAsia="Calibri"/>
                <w:sz w:val="22"/>
              </w:rPr>
            </w:pPr>
            <w:r>
              <w:rPr>
                <w:rFonts w:eastAsia="Calibri"/>
                <w:sz w:val="22"/>
              </w:rPr>
              <w:t xml:space="preserve">Users of emissions units to offset emissions may find suppliers of pre-1990 units more willing to lease or loan those units due to the </w:t>
            </w:r>
            <w:r w:rsidR="009D4B81">
              <w:rPr>
                <w:rFonts w:eastAsia="Calibri"/>
                <w:sz w:val="22"/>
              </w:rPr>
              <w:t>neutral</w:t>
            </w:r>
            <w:r>
              <w:rPr>
                <w:rFonts w:eastAsia="Calibri"/>
                <w:sz w:val="22"/>
              </w:rPr>
              <w:t xml:space="preserve"> tax environment created by the proposed approach.  </w:t>
            </w:r>
          </w:p>
        </w:tc>
        <w:tc>
          <w:tcPr>
            <w:tcW w:w="2837"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F441B9" w:rsidP="00486852">
            <w:pPr>
              <w:pStyle w:val="TableT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rPr>
                <w:rFonts w:eastAsia="Calibri"/>
                <w:b/>
                <w:sz w:val="22"/>
              </w:rPr>
            </w:pPr>
            <w:r w:rsidRPr="0069218C">
              <w:rPr>
                <w:rFonts w:eastAsia="Calibri"/>
                <w:b/>
                <w:sz w:val="22"/>
              </w:rPr>
              <w:t xml:space="preserve">Total </w:t>
            </w:r>
            <w:proofErr w:type="gramStart"/>
            <w:r w:rsidRPr="0069218C">
              <w:rPr>
                <w:rFonts w:eastAsia="Calibri"/>
                <w:b/>
                <w:sz w:val="22"/>
              </w:rPr>
              <w:t>Monetised  Benefit</w:t>
            </w:r>
            <w:proofErr w:type="gramEnd"/>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F441B9" w:rsidP="00486852">
            <w:pPr>
              <w:pStyle w:val="TableText"/>
              <w:rPr>
                <w:rFonts w:eastAsia="Calibri"/>
                <w:sz w:val="22"/>
              </w:rPr>
            </w:pPr>
            <w:r>
              <w:rPr>
                <w:rFonts w:eastAsia="Calibri"/>
                <w:sz w:val="22"/>
              </w:rPr>
              <w:t>Low</w:t>
            </w:r>
          </w:p>
        </w:tc>
      </w:tr>
      <w:tr w:rsidR="00380585" w:rsidRPr="0069218C"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rPr>
                <w:rFonts w:eastAsia="Calibri"/>
                <w:b/>
                <w:sz w:val="22"/>
              </w:rPr>
            </w:pPr>
            <w:r w:rsidRPr="0069218C">
              <w:rPr>
                <w:rFonts w:eastAsia="Calibri"/>
                <w:b/>
                <w:sz w:val="22"/>
              </w:rPr>
              <w:t>Non-monetised benefits</w:t>
            </w:r>
          </w:p>
        </w:tc>
        <w:tc>
          <w:tcPr>
            <w:tcW w:w="4252"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486852">
            <w:pPr>
              <w:pStyle w:val="TableText"/>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rsidR="00380585" w:rsidRPr="00F441B9" w:rsidRDefault="00F441B9" w:rsidP="00486852">
            <w:pPr>
              <w:pStyle w:val="TableText"/>
              <w:rPr>
                <w:rFonts w:eastAsia="Calibri"/>
                <w:sz w:val="22"/>
              </w:rPr>
            </w:pPr>
            <w:r>
              <w:rPr>
                <w:rFonts w:eastAsia="Calibri"/>
                <w:sz w:val="22"/>
              </w:rPr>
              <w:t>Low</w:t>
            </w:r>
          </w:p>
        </w:tc>
      </w:tr>
    </w:tbl>
    <w:p w:rsidR="00C77099" w:rsidRPr="00886DFF" w:rsidRDefault="00D9793F" w:rsidP="00562A8C">
      <w:pPr>
        <w:pStyle w:val="spacer"/>
        <w:rPr>
          <w:rFonts w:cs="Arial"/>
          <w:i/>
          <w:color w:val="000000"/>
        </w:rPr>
      </w:pPr>
      <w:r w:rsidRPr="000535C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C77099" w:rsidRPr="0069218C" w:rsidTr="00800DEC">
        <w:trPr>
          <w:trHeight w:val="77"/>
        </w:trPr>
        <w:tc>
          <w:tcPr>
            <w:tcW w:w="5000" w:type="pct"/>
            <w:shd w:val="clear" w:color="auto" w:fill="99CDDD"/>
            <w:hideMark/>
          </w:tcPr>
          <w:p w:rsidR="00C77099" w:rsidRPr="00886DFF" w:rsidRDefault="00D9793F" w:rsidP="00486852">
            <w:pPr>
              <w:pStyle w:val="TableHeadings"/>
              <w:rPr>
                <w:szCs w:val="22"/>
                <w:lang w:val="en-NZ"/>
              </w:rPr>
            </w:pPr>
            <w:r w:rsidRPr="00886DFF">
              <w:rPr>
                <w:szCs w:val="22"/>
                <w:lang w:val="en-NZ"/>
              </w:rPr>
              <w:lastRenderedPageBreak/>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rsidTr="00EC6FAD">
        <w:trPr>
          <w:trHeight w:val="2811"/>
        </w:trPr>
        <w:tc>
          <w:tcPr>
            <w:tcW w:w="5000" w:type="pct"/>
            <w:shd w:val="clear" w:color="auto" w:fill="auto"/>
          </w:tcPr>
          <w:p w:rsidR="000535CE" w:rsidRDefault="00D430E5" w:rsidP="00D368F3">
            <w:pPr>
              <w:spacing w:before="120" w:after="0" w:line="276" w:lineRule="auto"/>
              <w:rPr>
                <w:rFonts w:cs="Arial"/>
                <w:szCs w:val="22"/>
              </w:rPr>
            </w:pPr>
            <w:r>
              <w:rPr>
                <w:rFonts w:cs="Arial"/>
                <w:szCs w:val="22"/>
              </w:rPr>
              <w:t xml:space="preserve">Inland Revenue officials are aware that </w:t>
            </w:r>
            <w:r w:rsidR="00EA484F">
              <w:rPr>
                <w:rFonts w:cs="Arial"/>
                <w:szCs w:val="22"/>
              </w:rPr>
              <w:t xml:space="preserve">a review of the </w:t>
            </w:r>
            <w:r>
              <w:rPr>
                <w:rFonts w:cs="Arial"/>
                <w:szCs w:val="22"/>
              </w:rPr>
              <w:t>emissions trading scheme</w:t>
            </w:r>
            <w:r w:rsidR="00EA484F">
              <w:rPr>
                <w:rFonts w:cs="Arial"/>
                <w:szCs w:val="22"/>
              </w:rPr>
              <w:t xml:space="preserve"> is currently underway</w:t>
            </w:r>
            <w:r>
              <w:rPr>
                <w:rFonts w:cs="Arial"/>
                <w:szCs w:val="22"/>
              </w:rPr>
              <w:t xml:space="preserve">.  The proposed approach is not anticipated to have any impacts on the outcome of this review.   </w:t>
            </w:r>
          </w:p>
          <w:p w:rsidR="00D368F3" w:rsidRDefault="00D368F3" w:rsidP="00D368F3">
            <w:pPr>
              <w:spacing w:after="0" w:line="276" w:lineRule="auto"/>
              <w:rPr>
                <w:rFonts w:cs="Arial"/>
                <w:szCs w:val="22"/>
              </w:rPr>
            </w:pPr>
          </w:p>
          <w:p w:rsidR="002D7998" w:rsidRPr="0069218C" w:rsidRDefault="0019148B" w:rsidP="001673A3">
            <w:pPr>
              <w:spacing w:after="180" w:line="276" w:lineRule="auto"/>
              <w:rPr>
                <w:rFonts w:cs="Arial"/>
                <w:szCs w:val="22"/>
              </w:rPr>
            </w:pPr>
            <w:r>
              <w:rPr>
                <w:rFonts w:cs="Arial"/>
                <w:szCs w:val="22"/>
              </w:rPr>
              <w:t>To provide certainty for stakeholders, the proposed approach would apply from the start of the 2018-19 income year</w:t>
            </w:r>
            <w:r w:rsidR="008C0EA3">
              <w:rPr>
                <w:rFonts w:cs="Arial"/>
                <w:szCs w:val="22"/>
              </w:rPr>
              <w:t xml:space="preserve"> for transactions </w:t>
            </w:r>
            <w:proofErr w:type="gramStart"/>
            <w:r w:rsidR="008C0EA3">
              <w:rPr>
                <w:rFonts w:cs="Arial"/>
                <w:szCs w:val="22"/>
              </w:rPr>
              <w:t>entered into</w:t>
            </w:r>
            <w:proofErr w:type="gramEnd"/>
            <w:r w:rsidR="008C0EA3">
              <w:rPr>
                <w:rFonts w:cs="Arial"/>
                <w:szCs w:val="22"/>
              </w:rPr>
              <w:t xml:space="preserve"> from that year</w:t>
            </w:r>
            <w:r>
              <w:rPr>
                <w:rFonts w:cs="Arial"/>
                <w:szCs w:val="22"/>
              </w:rPr>
              <w:t xml:space="preserve">. </w:t>
            </w:r>
            <w:r w:rsidR="007158BA">
              <w:rPr>
                <w:rFonts w:cs="Arial"/>
                <w:szCs w:val="22"/>
              </w:rPr>
              <w:t xml:space="preserve"> Applying the change from this time gives assurance </w:t>
            </w:r>
            <w:r w:rsidR="004436BC">
              <w:rPr>
                <w:rFonts w:cs="Arial"/>
                <w:szCs w:val="22"/>
              </w:rPr>
              <w:t xml:space="preserve">and certainty </w:t>
            </w:r>
            <w:r w:rsidR="007158BA">
              <w:rPr>
                <w:rFonts w:cs="Arial"/>
                <w:szCs w:val="22"/>
              </w:rPr>
              <w:t xml:space="preserve">to the stakeholder (and others) who </w:t>
            </w:r>
            <w:r w:rsidR="00453781">
              <w:rPr>
                <w:rFonts w:cs="Arial"/>
                <w:szCs w:val="22"/>
              </w:rPr>
              <w:t xml:space="preserve">initially raised concerns that the Income Tax Act was limiting opportunities for holders of pre-1990 forestry emissions units </w:t>
            </w:r>
            <w:r w:rsidR="008273BE">
              <w:rPr>
                <w:rFonts w:cs="Arial"/>
                <w:szCs w:val="22"/>
              </w:rPr>
              <w:t>to maximise the value of those assets</w:t>
            </w:r>
            <w:r w:rsidR="00CE0E1F">
              <w:rPr>
                <w:rFonts w:cs="Arial"/>
                <w:szCs w:val="22"/>
              </w:rPr>
              <w:t xml:space="preserve">.  </w:t>
            </w:r>
          </w:p>
        </w:tc>
      </w:tr>
    </w:tbl>
    <w:p w:rsidR="00B15F56" w:rsidRPr="00886DFF" w:rsidRDefault="00B15F56" w:rsidP="00486852">
      <w:pPr>
        <w:spacing w:after="0"/>
        <w:rPr>
          <w:rFonts w:cs="Arial"/>
          <w:i/>
          <w:color w:val="000000"/>
          <w:szCs w:val="22"/>
          <w:lang w:eastAsia="en-AU"/>
        </w:rPr>
      </w:pPr>
    </w:p>
    <w:p w:rsidR="00051A88" w:rsidRDefault="00F41B49" w:rsidP="00486852">
      <w:pPr>
        <w:pStyle w:val="Heading2"/>
      </w:pPr>
      <w:r>
        <w:br w:type="page"/>
      </w:r>
      <w:r w:rsidR="00051A88" w:rsidRPr="002D5734">
        <w:lastRenderedPageBreak/>
        <w:t xml:space="preserve">Section </w:t>
      </w:r>
      <w:r w:rsidR="00C77099">
        <w:t>5</w:t>
      </w:r>
      <w:r w:rsidR="00051A88" w:rsidRPr="002D5734">
        <w:t xml:space="preserve">:  Stakeholder views </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457"/>
      </w:tblGrid>
      <w:tr w:rsidR="00051A88" w:rsidRPr="0069218C" w:rsidTr="00800DE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99CDDD"/>
          </w:tcPr>
          <w:p w:rsidR="00051A88" w:rsidRPr="00886DFF" w:rsidRDefault="00D9793F" w:rsidP="00486852">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rsidTr="00CE0E1F">
        <w:trPr>
          <w:trHeight w:val="145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132B2" w:rsidRDefault="009C7667" w:rsidP="0019148B">
            <w:pPr>
              <w:spacing w:before="120" w:after="0" w:line="276" w:lineRule="auto"/>
              <w:rPr>
                <w:rFonts w:cs="Arial"/>
                <w:szCs w:val="22"/>
              </w:rPr>
            </w:pPr>
            <w:r>
              <w:rPr>
                <w:rFonts w:cs="Arial"/>
                <w:szCs w:val="22"/>
              </w:rPr>
              <w:t xml:space="preserve">The problem with the current tax rules as they apply to securitization of pre-1990 </w:t>
            </w:r>
            <w:r w:rsidR="00325019">
              <w:rPr>
                <w:rFonts w:cs="Arial"/>
                <w:szCs w:val="22"/>
              </w:rPr>
              <w:t xml:space="preserve">forestry </w:t>
            </w:r>
            <w:r>
              <w:rPr>
                <w:rFonts w:cs="Arial"/>
                <w:szCs w:val="22"/>
              </w:rPr>
              <w:t xml:space="preserve">emissions units was brought to Inland Revenue’s attention by </w:t>
            </w:r>
            <w:r w:rsidR="00751C17">
              <w:rPr>
                <w:rFonts w:cs="Arial"/>
                <w:szCs w:val="22"/>
              </w:rPr>
              <w:t xml:space="preserve">a specific </w:t>
            </w:r>
            <w:r w:rsidR="00BA3542">
              <w:rPr>
                <w:rFonts w:cs="Arial"/>
                <w:szCs w:val="22"/>
              </w:rPr>
              <w:t>taxpayer</w:t>
            </w:r>
            <w:r>
              <w:rPr>
                <w:rFonts w:cs="Arial"/>
                <w:szCs w:val="22"/>
              </w:rPr>
              <w:t xml:space="preserve">.  Taxpayer secrecy prevents Inland Revenue from naming </w:t>
            </w:r>
            <w:r w:rsidR="00751C17">
              <w:rPr>
                <w:rFonts w:cs="Arial"/>
                <w:szCs w:val="22"/>
              </w:rPr>
              <w:t>this</w:t>
            </w:r>
            <w:r>
              <w:rPr>
                <w:rFonts w:cs="Arial"/>
                <w:szCs w:val="22"/>
              </w:rPr>
              <w:t xml:space="preserve"> taxpayer.  </w:t>
            </w:r>
            <w:r w:rsidR="00751C17">
              <w:rPr>
                <w:rFonts w:cs="Arial"/>
                <w:szCs w:val="22"/>
              </w:rPr>
              <w:t>The</w:t>
            </w:r>
            <w:r w:rsidR="001E4BF9">
              <w:rPr>
                <w:rFonts w:cs="Arial"/>
                <w:szCs w:val="22"/>
              </w:rPr>
              <w:t xml:space="preserve"> </w:t>
            </w:r>
            <w:r w:rsidR="00BA3542">
              <w:rPr>
                <w:rFonts w:cs="Arial"/>
                <w:szCs w:val="22"/>
              </w:rPr>
              <w:t>taxpayer</w:t>
            </w:r>
            <w:r w:rsidR="001E4BF9">
              <w:rPr>
                <w:rFonts w:cs="Arial"/>
                <w:szCs w:val="22"/>
              </w:rPr>
              <w:t xml:space="preserve"> </w:t>
            </w:r>
            <w:r w:rsidR="00BA3542">
              <w:rPr>
                <w:rFonts w:cs="Arial"/>
                <w:szCs w:val="22"/>
              </w:rPr>
              <w:t>has</w:t>
            </w:r>
            <w:r w:rsidR="001E4BF9">
              <w:rPr>
                <w:rFonts w:cs="Arial"/>
                <w:szCs w:val="22"/>
              </w:rPr>
              <w:t xml:space="preserve"> been consulted throughout the policy development process. </w:t>
            </w:r>
          </w:p>
          <w:p w:rsidR="001E4BF9" w:rsidRDefault="001E4BF9" w:rsidP="00486852">
            <w:pPr>
              <w:spacing w:after="0" w:line="276" w:lineRule="auto"/>
              <w:rPr>
                <w:rFonts w:cs="Arial"/>
                <w:szCs w:val="22"/>
              </w:rPr>
            </w:pPr>
          </w:p>
          <w:p w:rsidR="001E4BF9" w:rsidRDefault="001E4BF9" w:rsidP="00486852">
            <w:pPr>
              <w:spacing w:after="0" w:line="276" w:lineRule="auto"/>
              <w:rPr>
                <w:rFonts w:cs="Arial"/>
                <w:szCs w:val="22"/>
              </w:rPr>
            </w:pPr>
            <w:r>
              <w:rPr>
                <w:rFonts w:cs="Arial"/>
                <w:szCs w:val="22"/>
              </w:rPr>
              <w:t>Inland Revenue also undertook targ</w:t>
            </w:r>
            <w:r w:rsidR="009670C1">
              <w:rPr>
                <w:rFonts w:cs="Arial"/>
                <w:szCs w:val="22"/>
              </w:rPr>
              <w:t>eted i</w:t>
            </w:r>
            <w:r w:rsidR="00CE48FE">
              <w:rPr>
                <w:rFonts w:cs="Arial"/>
                <w:szCs w:val="22"/>
              </w:rPr>
              <w:t>n-</w:t>
            </w:r>
            <w:r w:rsidR="009670C1">
              <w:rPr>
                <w:rFonts w:cs="Arial"/>
                <w:szCs w:val="22"/>
              </w:rPr>
              <w:t xml:space="preserve">confidence consultation, via letter, </w:t>
            </w:r>
            <w:r>
              <w:rPr>
                <w:rFonts w:cs="Arial"/>
                <w:szCs w:val="22"/>
              </w:rPr>
              <w:t xml:space="preserve">with a selection of the larger holders of pre-1990 </w:t>
            </w:r>
            <w:r w:rsidR="00A65704">
              <w:rPr>
                <w:rFonts w:cs="Arial"/>
                <w:szCs w:val="22"/>
              </w:rPr>
              <w:t xml:space="preserve">forestry </w:t>
            </w:r>
            <w:r>
              <w:rPr>
                <w:rFonts w:cs="Arial"/>
                <w:szCs w:val="22"/>
              </w:rPr>
              <w:t xml:space="preserve">emissions units to test initial reactions to the proposed approach.  The letter sought stakeholder views about the proposed </w:t>
            </w:r>
            <w:r w:rsidR="003C29FC">
              <w:rPr>
                <w:rFonts w:cs="Arial"/>
                <w:szCs w:val="22"/>
              </w:rPr>
              <w:t xml:space="preserve">change.  </w:t>
            </w:r>
            <w:r w:rsidR="003C29FC" w:rsidRPr="00751C17">
              <w:rPr>
                <w:rFonts w:cs="Arial"/>
                <w:szCs w:val="22"/>
              </w:rPr>
              <w:t>Feedback supported a change from the status quo.</w:t>
            </w:r>
            <w:r w:rsidR="003C29FC">
              <w:rPr>
                <w:rFonts w:cs="Arial"/>
                <w:szCs w:val="22"/>
              </w:rPr>
              <w:t xml:space="preserve">  </w:t>
            </w:r>
            <w:r w:rsidR="0026549E">
              <w:rPr>
                <w:rFonts w:cs="Arial"/>
                <w:szCs w:val="22"/>
              </w:rPr>
              <w:t xml:space="preserve">Inland Revenue also carried out follow up contact via telephone with stakeholders.  </w:t>
            </w:r>
            <w:r w:rsidR="00CE48FE">
              <w:rPr>
                <w:rFonts w:cs="Arial"/>
                <w:szCs w:val="22"/>
              </w:rPr>
              <w:t xml:space="preserve">Their feedback was very positive. </w:t>
            </w:r>
          </w:p>
          <w:p w:rsidR="00596A0A" w:rsidRDefault="00596A0A" w:rsidP="00486852">
            <w:pPr>
              <w:spacing w:after="0" w:line="276" w:lineRule="auto"/>
              <w:rPr>
                <w:rFonts w:cs="Arial"/>
                <w:szCs w:val="22"/>
              </w:rPr>
            </w:pPr>
          </w:p>
          <w:p w:rsidR="00E94017" w:rsidRDefault="00751C17" w:rsidP="00486852">
            <w:pPr>
              <w:spacing w:after="0" w:line="276" w:lineRule="auto"/>
            </w:pPr>
            <w:r>
              <w:t xml:space="preserve">One submitter suggested the amendment should extend to the securitization of any forestry emissions units, not just pre-1990 forestry emissions units.  The submitter’s point is that owners of post-1989 </w:t>
            </w:r>
            <w:r w:rsidR="00595004">
              <w:t xml:space="preserve">forestry </w:t>
            </w:r>
            <w:r w:rsidR="00043F69">
              <w:t xml:space="preserve">emissions </w:t>
            </w:r>
            <w:r>
              <w:t xml:space="preserve">units tend to retain them to cover the future surrender obligations that arise under the emissions trading scheme when the forests are harvested.  Being able to securitize those units in the meantime would be useful for the owners </w:t>
            </w:r>
            <w:r w:rsidR="00C3568A">
              <w:t xml:space="preserve">of </w:t>
            </w:r>
            <w:r w:rsidR="00043F69">
              <w:t>post-1989 forestry emissions units</w:t>
            </w:r>
            <w:r>
              <w:t>.</w:t>
            </w:r>
            <w:r w:rsidR="00FF0DDF">
              <w:t xml:space="preserve"> </w:t>
            </w:r>
            <w:r w:rsidR="000A4B07">
              <w:t xml:space="preserve"> </w:t>
            </w:r>
          </w:p>
          <w:p w:rsidR="00E94017" w:rsidRDefault="00E94017" w:rsidP="00486852">
            <w:pPr>
              <w:spacing w:after="0" w:line="276" w:lineRule="auto"/>
            </w:pPr>
          </w:p>
          <w:p w:rsidR="00FF0DDF" w:rsidRDefault="00BF2268" w:rsidP="00486852">
            <w:pPr>
              <w:spacing w:after="0" w:line="276" w:lineRule="auto"/>
            </w:pPr>
            <w:r>
              <w:t xml:space="preserve">Over the coming months </w:t>
            </w:r>
            <w:r w:rsidR="000A4B07">
              <w:t>Inland Revenue</w:t>
            </w:r>
            <w:r w:rsidR="0098443F">
              <w:t xml:space="preserve"> </w:t>
            </w:r>
            <w:r>
              <w:t>will consider and report back to Ministers on whether the proposed amendment shoul</w:t>
            </w:r>
            <w:r w:rsidR="006B7A10">
              <w:t xml:space="preserve">d be extended </w:t>
            </w:r>
            <w:r>
              <w:t xml:space="preserve">to all emissions units, or alternatively, whether any extension should be left to be considered as part of the financial arrangements issues paper.  This consideration should not, however, hold up obtaining Cabinet agreement to a legislative tax </w:t>
            </w:r>
            <w:r w:rsidR="00027B69">
              <w:t>amendment for pre-1990 forest</w:t>
            </w:r>
            <w:r>
              <w:t xml:space="preserve"> </w:t>
            </w:r>
            <w:r w:rsidR="00027B69">
              <w:t xml:space="preserve">land </w:t>
            </w:r>
            <w:r>
              <w:t xml:space="preserve">emissions units.  </w:t>
            </w:r>
            <w:r w:rsidR="006B7A10">
              <w:t xml:space="preserve">More generally, </w:t>
            </w:r>
            <w:r w:rsidR="00861825">
              <w:t>I</w:t>
            </w:r>
            <w:r w:rsidR="000B42B0">
              <w:t>nland Revenue consider</w:t>
            </w:r>
            <w:r w:rsidR="007B7D4A">
              <w:t>s</w:t>
            </w:r>
            <w:r w:rsidR="000B42B0">
              <w:t xml:space="preserve"> any</w:t>
            </w:r>
            <w:r w:rsidR="00CE0E1F">
              <w:t xml:space="preserve"> wider securitisation issues should be considered as part of</w:t>
            </w:r>
            <w:r w:rsidR="007B26F5">
              <w:t xml:space="preserve"> </w:t>
            </w:r>
            <w:r w:rsidR="00B52E26">
              <w:t xml:space="preserve">the proposed </w:t>
            </w:r>
            <w:r w:rsidR="000B42B0">
              <w:t xml:space="preserve">review of the taxation of financial arrangements, which is planned for later in 2018.  </w:t>
            </w:r>
            <w:r w:rsidR="00AC4A5D">
              <w:t>T</w:t>
            </w:r>
            <w:r w:rsidR="00A77609">
              <w:t xml:space="preserve">he outcome of this </w:t>
            </w:r>
            <w:r w:rsidR="00AC4A5D">
              <w:t xml:space="preserve">review is not expected </w:t>
            </w:r>
            <w:r w:rsidR="00A77609">
              <w:t xml:space="preserve">to result in changes that would be inconsistent with the proposed approach discussed in this Impact Summary.  </w:t>
            </w:r>
            <w:r w:rsidR="00AC4A5D">
              <w:t xml:space="preserve"> </w:t>
            </w:r>
          </w:p>
          <w:p w:rsidR="002E1E14" w:rsidRDefault="002E1E14" w:rsidP="00486852">
            <w:pPr>
              <w:spacing w:after="0" w:line="276" w:lineRule="auto"/>
            </w:pPr>
          </w:p>
          <w:p w:rsidR="00CE0E1F" w:rsidRDefault="00A00E5F" w:rsidP="00486852">
            <w:pPr>
              <w:spacing w:after="0" w:line="276" w:lineRule="auto"/>
              <w:rPr>
                <w:rFonts w:cs="Arial"/>
                <w:szCs w:val="22"/>
              </w:rPr>
            </w:pPr>
            <w:r>
              <w:rPr>
                <w:rFonts w:cs="Arial"/>
                <w:szCs w:val="22"/>
              </w:rPr>
              <w:t xml:space="preserve">Separate from </w:t>
            </w:r>
            <w:r w:rsidR="00E94017">
              <w:rPr>
                <w:rFonts w:cs="Arial"/>
                <w:szCs w:val="22"/>
              </w:rPr>
              <w:t xml:space="preserve">the review </w:t>
            </w:r>
            <w:r w:rsidR="00E94017">
              <w:t>of the taxation of financial arrangements</w:t>
            </w:r>
            <w:r>
              <w:rPr>
                <w:rFonts w:cs="Arial"/>
                <w:szCs w:val="22"/>
              </w:rPr>
              <w:t>, a</w:t>
            </w:r>
            <w:r w:rsidR="00596A0A">
              <w:rPr>
                <w:rFonts w:cs="Arial"/>
                <w:szCs w:val="22"/>
              </w:rPr>
              <w:t xml:space="preserve">n additional round of consultation is proposed about the detailed design of the proposed approach before final policy decisions are made by Ministers.  </w:t>
            </w:r>
            <w:r w:rsidR="001121B3">
              <w:rPr>
                <w:rFonts w:cs="Arial"/>
                <w:szCs w:val="22"/>
              </w:rPr>
              <w:t xml:space="preserve">Cabinet is being asked to delegate </w:t>
            </w:r>
            <w:r w:rsidR="00AA24AE">
              <w:rPr>
                <w:rFonts w:cs="Arial"/>
                <w:szCs w:val="22"/>
              </w:rPr>
              <w:t xml:space="preserve">authority to the Minister of Revenue to finalise the detailed design of the proposed approach.  </w:t>
            </w:r>
          </w:p>
          <w:p w:rsidR="00CE0E1F" w:rsidRDefault="00CE0E1F" w:rsidP="00486852">
            <w:pPr>
              <w:spacing w:after="0" w:line="276" w:lineRule="auto"/>
              <w:rPr>
                <w:rFonts w:cs="Arial"/>
                <w:szCs w:val="22"/>
              </w:rPr>
            </w:pPr>
          </w:p>
          <w:p w:rsidR="00596A0A" w:rsidRDefault="00596A0A" w:rsidP="00486852">
            <w:pPr>
              <w:spacing w:after="0" w:line="276" w:lineRule="auto"/>
              <w:rPr>
                <w:rFonts w:cs="Arial"/>
                <w:szCs w:val="22"/>
              </w:rPr>
            </w:pPr>
            <w:r>
              <w:rPr>
                <w:rFonts w:cs="Arial"/>
                <w:szCs w:val="22"/>
              </w:rPr>
              <w:t>Another round of consultation will also be available as part of Parliament’s consideration of any legislative amendment th</w:t>
            </w:r>
            <w:r w:rsidR="008A472B">
              <w:rPr>
                <w:rFonts w:cs="Arial"/>
                <w:szCs w:val="22"/>
              </w:rPr>
              <w:t>r</w:t>
            </w:r>
            <w:r>
              <w:rPr>
                <w:rFonts w:cs="Arial"/>
                <w:szCs w:val="22"/>
              </w:rPr>
              <w:t>ough the Parliamentary select committee process.</w:t>
            </w:r>
          </w:p>
          <w:p w:rsidR="00596A0A" w:rsidRDefault="00596A0A" w:rsidP="00486852">
            <w:pPr>
              <w:spacing w:after="0" w:line="276" w:lineRule="auto"/>
              <w:rPr>
                <w:rFonts w:cs="Arial"/>
                <w:szCs w:val="22"/>
              </w:rPr>
            </w:pPr>
          </w:p>
          <w:p w:rsidR="00CE0E1F" w:rsidRPr="0069218C" w:rsidRDefault="00596A0A" w:rsidP="00CE0E1F">
            <w:pPr>
              <w:spacing w:after="180" w:line="276" w:lineRule="auto"/>
              <w:rPr>
                <w:rFonts w:cs="Arial"/>
                <w:szCs w:val="22"/>
              </w:rPr>
            </w:pPr>
            <w:r>
              <w:rPr>
                <w:rFonts w:cs="Arial"/>
                <w:szCs w:val="22"/>
              </w:rPr>
              <w:t xml:space="preserve">The Treasury was consulted as part of the policy development process and supports the measure being taken to Cabinet for approval.  </w:t>
            </w:r>
            <w:r w:rsidR="00B52E26">
              <w:rPr>
                <w:rFonts w:cs="Arial"/>
                <w:szCs w:val="22"/>
              </w:rPr>
              <w:t>The Ministry for Primary Industries</w:t>
            </w:r>
            <w:r w:rsidR="00CE0E1F">
              <w:rPr>
                <w:rFonts w:cs="Arial"/>
                <w:szCs w:val="22"/>
              </w:rPr>
              <w:t>,</w:t>
            </w:r>
            <w:r w:rsidR="00B52E26">
              <w:rPr>
                <w:rFonts w:cs="Arial"/>
                <w:szCs w:val="22"/>
              </w:rPr>
              <w:t xml:space="preserve"> </w:t>
            </w:r>
            <w:r w:rsidR="00CE0E1F">
              <w:rPr>
                <w:rFonts w:cs="Arial"/>
                <w:szCs w:val="22"/>
              </w:rPr>
              <w:t xml:space="preserve">the Ministry for the Environment </w:t>
            </w:r>
            <w:r w:rsidR="00B52E26">
              <w:rPr>
                <w:rFonts w:cs="Arial"/>
                <w:szCs w:val="22"/>
              </w:rPr>
              <w:t xml:space="preserve">and the Office of Treaty Settlements were also consulted and did not identify any concerns with </w:t>
            </w:r>
            <w:r w:rsidR="00B1142A">
              <w:rPr>
                <w:rFonts w:cs="Arial"/>
                <w:szCs w:val="22"/>
              </w:rPr>
              <w:t>t</w:t>
            </w:r>
            <w:r w:rsidR="00B52E26">
              <w:rPr>
                <w:rFonts w:cs="Arial"/>
                <w:szCs w:val="22"/>
              </w:rPr>
              <w:t xml:space="preserve">he proposed approach.  </w:t>
            </w:r>
          </w:p>
        </w:tc>
      </w:tr>
    </w:tbl>
    <w:p w:rsidR="00EE4E3B" w:rsidRPr="008A6442" w:rsidRDefault="00D9793F" w:rsidP="00486852">
      <w:pPr>
        <w:pStyle w:val="Heading2"/>
      </w:pPr>
      <w:r w:rsidRPr="0069218C">
        <w:rPr>
          <w:lang w:val="en-NZ"/>
        </w:rPr>
        <w:br w:type="page"/>
      </w:r>
      <w:r w:rsidR="00EE4E3B" w:rsidRPr="002D5734">
        <w:lastRenderedPageBreak/>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2D5734" w:rsidRPr="0069218C" w:rsidTr="00800DEC">
        <w:trPr>
          <w:trHeight w:val="197"/>
        </w:trPr>
        <w:tc>
          <w:tcPr>
            <w:tcW w:w="9072" w:type="dxa"/>
            <w:shd w:val="clear" w:color="auto" w:fill="99CDDD"/>
            <w:hideMark/>
          </w:tcPr>
          <w:p w:rsidR="00EE4E3B" w:rsidRPr="00886DFF" w:rsidRDefault="00EE4E3B" w:rsidP="00486852">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rsidTr="004F2727">
        <w:trPr>
          <w:trHeight w:val="5319"/>
        </w:trPr>
        <w:tc>
          <w:tcPr>
            <w:tcW w:w="9072" w:type="dxa"/>
            <w:shd w:val="clear" w:color="auto" w:fill="auto"/>
          </w:tcPr>
          <w:p w:rsidR="00F132B2" w:rsidRDefault="008A292A" w:rsidP="004F2727">
            <w:pPr>
              <w:spacing w:before="120" w:after="0" w:line="276" w:lineRule="auto"/>
              <w:rPr>
                <w:lang w:val="en-AU"/>
              </w:rPr>
            </w:pPr>
            <w:r w:rsidRPr="00F73EDF">
              <w:rPr>
                <w:lang w:val="en-AU"/>
              </w:rPr>
              <w:t>Legislative change to the Income Tax Act</w:t>
            </w:r>
            <w:r>
              <w:rPr>
                <w:lang w:val="en-AU"/>
              </w:rPr>
              <w:t xml:space="preserve"> 2007</w:t>
            </w:r>
            <w:r w:rsidRPr="00F73EDF">
              <w:rPr>
                <w:lang w:val="en-AU"/>
              </w:rPr>
              <w:t xml:space="preserve"> </w:t>
            </w:r>
            <w:r w:rsidR="008E3704">
              <w:rPr>
                <w:lang w:val="en-AU"/>
              </w:rPr>
              <w:t>is</w:t>
            </w:r>
            <w:r w:rsidRPr="00F73EDF">
              <w:rPr>
                <w:lang w:val="en-AU"/>
              </w:rPr>
              <w:t xml:space="preserve"> necessary to implement option </w:t>
            </w:r>
            <w:r w:rsidR="000A55BD">
              <w:rPr>
                <w:lang w:val="en-AU"/>
              </w:rPr>
              <w:t>two</w:t>
            </w:r>
            <w:r w:rsidRPr="00F73EDF">
              <w:rPr>
                <w:lang w:val="en-AU"/>
              </w:rPr>
              <w:t xml:space="preserve">.  These amendments would be included in </w:t>
            </w:r>
            <w:r>
              <w:rPr>
                <w:lang w:val="en-AU"/>
              </w:rPr>
              <w:t>an</w:t>
            </w:r>
            <w:r w:rsidRPr="00F73EDF">
              <w:rPr>
                <w:lang w:val="en-AU"/>
              </w:rPr>
              <w:t xml:space="preserve"> omnibus taxation bill </w:t>
            </w:r>
            <w:r w:rsidR="00816F3A">
              <w:rPr>
                <w:lang w:val="en-AU"/>
              </w:rPr>
              <w:t xml:space="preserve">planned </w:t>
            </w:r>
            <w:r w:rsidRPr="00F73EDF">
              <w:rPr>
                <w:lang w:val="en-AU"/>
              </w:rPr>
              <w:t xml:space="preserve">for </w:t>
            </w:r>
            <w:r>
              <w:rPr>
                <w:lang w:val="en-AU"/>
              </w:rPr>
              <w:t>later in 2018</w:t>
            </w:r>
            <w:r w:rsidRPr="00F73EDF">
              <w:rPr>
                <w:lang w:val="en-AU"/>
              </w:rPr>
              <w:t xml:space="preserve">.  </w:t>
            </w:r>
          </w:p>
          <w:p w:rsidR="003E1271" w:rsidRDefault="008A292A" w:rsidP="004F2727">
            <w:pPr>
              <w:spacing w:after="0" w:line="276" w:lineRule="auto"/>
              <w:rPr>
                <w:lang w:val="en-AU"/>
              </w:rPr>
            </w:pPr>
            <w:r w:rsidRPr="00F73EDF">
              <w:rPr>
                <w:lang w:val="en-AU"/>
              </w:rPr>
              <w:t xml:space="preserve">The changes would </w:t>
            </w:r>
            <w:r>
              <w:rPr>
                <w:lang w:val="en-AU"/>
              </w:rPr>
              <w:t xml:space="preserve">apply to </w:t>
            </w:r>
            <w:r w:rsidR="000B340C">
              <w:rPr>
                <w:lang w:val="en-AU"/>
              </w:rPr>
              <w:t>securitization</w:t>
            </w:r>
            <w:r>
              <w:rPr>
                <w:lang w:val="en-AU"/>
              </w:rPr>
              <w:t xml:space="preserve"> transactions </w:t>
            </w:r>
            <w:proofErr w:type="gramStart"/>
            <w:r>
              <w:rPr>
                <w:lang w:val="en-AU"/>
              </w:rPr>
              <w:t>entered into</w:t>
            </w:r>
            <w:proofErr w:type="gramEnd"/>
            <w:r>
              <w:rPr>
                <w:lang w:val="en-AU"/>
              </w:rPr>
              <w:t xml:space="preserve"> by taxpayer</w:t>
            </w:r>
            <w:r w:rsidR="008A5795">
              <w:rPr>
                <w:lang w:val="en-AU"/>
              </w:rPr>
              <w:t>s</w:t>
            </w:r>
            <w:r>
              <w:rPr>
                <w:lang w:val="en-AU"/>
              </w:rPr>
              <w:t xml:space="preserve"> from the 2018-19 and later income years.</w:t>
            </w:r>
            <w:r w:rsidR="00B1142A">
              <w:rPr>
                <w:lang w:val="en-AU"/>
              </w:rPr>
              <w:t xml:space="preserve">  </w:t>
            </w:r>
          </w:p>
          <w:p w:rsidR="004F2727" w:rsidRDefault="004F2727" w:rsidP="004F2727">
            <w:pPr>
              <w:spacing w:after="0" w:line="276" w:lineRule="auto"/>
              <w:rPr>
                <w:lang w:val="en-AU"/>
              </w:rPr>
            </w:pPr>
          </w:p>
          <w:p w:rsidR="008A292A" w:rsidRDefault="00B1142A" w:rsidP="004F2727">
            <w:pPr>
              <w:spacing w:after="0" w:line="276" w:lineRule="auto"/>
              <w:rPr>
                <w:lang w:val="en-AU"/>
              </w:rPr>
            </w:pPr>
            <w:r>
              <w:rPr>
                <w:lang w:val="en-AU"/>
              </w:rPr>
              <w:t xml:space="preserve">Stakeholder feedback has not highlighted any concerns regarding compliance with the proposed </w:t>
            </w:r>
            <w:r w:rsidR="00544D30">
              <w:rPr>
                <w:lang w:val="en-AU"/>
              </w:rPr>
              <w:t xml:space="preserve">approach and </w:t>
            </w:r>
            <w:r w:rsidR="003E1271">
              <w:rPr>
                <w:lang w:val="en-AU"/>
              </w:rPr>
              <w:t>it has</w:t>
            </w:r>
            <w:r w:rsidR="00544D30">
              <w:rPr>
                <w:lang w:val="en-AU"/>
              </w:rPr>
              <w:t xml:space="preserve"> been positively </w:t>
            </w:r>
            <w:r w:rsidR="003E1271">
              <w:rPr>
                <w:lang w:val="en-AU"/>
              </w:rPr>
              <w:t>received</w:t>
            </w:r>
            <w:r w:rsidR="00544D30">
              <w:rPr>
                <w:lang w:val="en-AU"/>
              </w:rPr>
              <w:t xml:space="preserve">.  </w:t>
            </w:r>
          </w:p>
          <w:p w:rsidR="004F2727" w:rsidRDefault="004F2727" w:rsidP="004F2727">
            <w:pPr>
              <w:spacing w:after="0" w:line="276" w:lineRule="auto"/>
              <w:rPr>
                <w:lang w:val="en-AU"/>
              </w:rPr>
            </w:pPr>
          </w:p>
          <w:p w:rsidR="008A292A" w:rsidRDefault="008A292A" w:rsidP="004F2727">
            <w:pPr>
              <w:spacing w:after="0" w:line="276" w:lineRule="auto"/>
              <w:rPr>
                <w:lang w:val="en-AU"/>
              </w:rPr>
            </w:pPr>
            <w:r w:rsidRPr="00F73EDF">
              <w:rPr>
                <w:lang w:val="en-AU"/>
              </w:rPr>
              <w:t>When</w:t>
            </w:r>
            <w:r w:rsidR="008C2499">
              <w:rPr>
                <w:lang w:val="en-AU"/>
              </w:rPr>
              <w:t xml:space="preserve"> the bill is</w:t>
            </w:r>
            <w:r w:rsidRPr="00F73EDF">
              <w:rPr>
                <w:lang w:val="en-AU"/>
              </w:rPr>
              <w:t xml:space="preserve"> introduced into Parliament, a </w:t>
            </w:r>
            <w:r w:rsidRPr="009D3A82">
              <w:rPr>
                <w:lang w:val="en-AU"/>
              </w:rPr>
              <w:t>Commentary</w:t>
            </w:r>
            <w:r w:rsidRPr="00F73EDF">
              <w:rPr>
                <w:lang w:val="en-AU"/>
              </w:rPr>
              <w:t xml:space="preserve"> on the bill will be </w:t>
            </w:r>
            <w:r w:rsidR="00816F3A">
              <w:rPr>
                <w:lang w:val="en-AU"/>
              </w:rPr>
              <w:t xml:space="preserve">concurrently </w:t>
            </w:r>
            <w:r w:rsidRPr="00F73EDF">
              <w:rPr>
                <w:lang w:val="en-AU"/>
              </w:rPr>
              <w:t xml:space="preserve">released explaining the amendments.  Further explanation about their effect will be contained in Inland Revenue’s </w:t>
            </w:r>
            <w:r w:rsidRPr="00F73EDF">
              <w:rPr>
                <w:i/>
                <w:lang w:val="en-AU"/>
              </w:rPr>
              <w:t>Tax Information Bulletin</w:t>
            </w:r>
            <w:r w:rsidRPr="00F73EDF">
              <w:rPr>
                <w:lang w:val="en-AU"/>
              </w:rPr>
              <w:t xml:space="preserve"> series, which would be released shortly after the bill receives Royal assent.</w:t>
            </w:r>
          </w:p>
          <w:p w:rsidR="004F2727" w:rsidRDefault="004F2727" w:rsidP="004F2727">
            <w:pPr>
              <w:spacing w:after="0" w:line="276" w:lineRule="auto"/>
              <w:rPr>
                <w:lang w:val="en-AU"/>
              </w:rPr>
            </w:pPr>
          </w:p>
          <w:p w:rsidR="008A292A" w:rsidRPr="0069218C" w:rsidRDefault="008A292A" w:rsidP="004F2727">
            <w:pPr>
              <w:spacing w:after="180" w:line="276" w:lineRule="auto"/>
              <w:rPr>
                <w:rFonts w:cs="Arial"/>
                <w:szCs w:val="22"/>
              </w:rPr>
            </w:pPr>
            <w:r w:rsidRPr="00F73EDF">
              <w:rPr>
                <w:lang w:val="en-AU"/>
              </w:rPr>
              <w:t>Inland Revenue would administer the proposed legislative changes.  Enforcement of the changes would be managed by Inland Revenue as business as usual</w:t>
            </w:r>
            <w:r>
              <w:rPr>
                <w:lang w:val="en-AU"/>
              </w:rPr>
              <w:t>.</w:t>
            </w:r>
            <w:r w:rsidR="00D66B6A">
              <w:rPr>
                <w:lang w:val="en-AU"/>
              </w:rPr>
              <w:t xml:space="preserve">  Inland Revenue has assessed the magnitude of the administrative impacts and consider</w:t>
            </w:r>
            <w:r w:rsidR="008A5795">
              <w:rPr>
                <w:lang w:val="en-AU"/>
              </w:rPr>
              <w:t>s</w:t>
            </w:r>
            <w:r w:rsidR="00D66B6A">
              <w:rPr>
                <w:lang w:val="en-AU"/>
              </w:rPr>
              <w:t xml:space="preserve"> that the proposed approach can be implemented and </w:t>
            </w:r>
            <w:r w:rsidR="005237E0">
              <w:rPr>
                <w:lang w:val="en-AU"/>
              </w:rPr>
              <w:t xml:space="preserve">made </w:t>
            </w:r>
            <w:r w:rsidR="00D66B6A">
              <w:rPr>
                <w:lang w:val="en-AU"/>
              </w:rPr>
              <w:t xml:space="preserve">effective </w:t>
            </w:r>
            <w:r w:rsidR="005237E0">
              <w:rPr>
                <w:lang w:val="en-AU"/>
              </w:rPr>
              <w:t xml:space="preserve">for transactions </w:t>
            </w:r>
            <w:proofErr w:type="gramStart"/>
            <w:r w:rsidR="005237E0">
              <w:rPr>
                <w:lang w:val="en-AU"/>
              </w:rPr>
              <w:t>entered into</w:t>
            </w:r>
            <w:proofErr w:type="gramEnd"/>
            <w:r w:rsidR="005237E0">
              <w:rPr>
                <w:lang w:val="en-AU"/>
              </w:rPr>
              <w:t xml:space="preserve"> anytime </w:t>
            </w:r>
            <w:r w:rsidR="00D66B6A">
              <w:rPr>
                <w:lang w:val="en-AU"/>
              </w:rPr>
              <w:t xml:space="preserve">from </w:t>
            </w:r>
            <w:r w:rsidR="008A5795">
              <w:rPr>
                <w:lang w:val="en-AU"/>
              </w:rPr>
              <w:t>the start of the 2018-19 income year</w:t>
            </w:r>
            <w:r w:rsidR="004F2727">
              <w:rPr>
                <w:lang w:val="en-AU"/>
              </w:rPr>
              <w:t>.</w:t>
            </w:r>
          </w:p>
        </w:tc>
      </w:tr>
    </w:tbl>
    <w:p w:rsidR="00F132B2" w:rsidRPr="008A6442" w:rsidRDefault="000535CE" w:rsidP="00486852">
      <w:pPr>
        <w:pStyle w:val="Heading2"/>
      </w:pPr>
      <w:r w:rsidRPr="0069218C">
        <w:br w:type="page"/>
      </w:r>
      <w:r w:rsidR="00F132B2" w:rsidRPr="00B952B7">
        <w:lastRenderedPageBreak/>
        <w:t xml:space="preserve">Section 7:  Monitoring, </w:t>
      </w:r>
      <w:r w:rsidR="00F132B2" w:rsidRPr="00030EC1">
        <w:t>evalu</w:t>
      </w:r>
      <w:r w:rsidR="00F132B2" w:rsidRPr="00B952B7">
        <w:t>ation and review</w:t>
      </w:r>
    </w:p>
    <w:tbl>
      <w:tblPr>
        <w:tblW w:w="9072" w:type="dxa"/>
        <w:tblInd w:w="-5" w:type="dxa"/>
        <w:tblLook w:val="0480" w:firstRow="0" w:lastRow="0" w:firstColumn="1" w:lastColumn="0" w:noHBand="0" w:noVBand="1"/>
      </w:tblPr>
      <w:tblGrid>
        <w:gridCol w:w="9072"/>
      </w:tblGrid>
      <w:tr w:rsidR="00F132B2" w:rsidRPr="0069218C" w:rsidTr="00800DEC">
        <w:trPr>
          <w:trHeight w:val="77"/>
        </w:trPr>
        <w:tc>
          <w:tcPr>
            <w:tcW w:w="9072" w:type="dxa"/>
            <w:tcBorders>
              <w:top w:val="single" w:sz="4" w:space="0" w:color="auto"/>
              <w:left w:val="single" w:sz="4" w:space="0" w:color="auto"/>
              <w:bottom w:val="single" w:sz="4" w:space="0" w:color="auto"/>
              <w:right w:val="single" w:sz="4" w:space="0" w:color="auto"/>
            </w:tcBorders>
            <w:shd w:val="clear" w:color="auto" w:fill="99CDDD"/>
          </w:tcPr>
          <w:p w:rsidR="00F132B2" w:rsidRPr="00886DFF" w:rsidRDefault="00F132B2" w:rsidP="00486852">
            <w:pPr>
              <w:pStyle w:val="TableHeadings"/>
              <w:rPr>
                <w:szCs w:val="22"/>
                <w:lang w:eastAsia="en-AU"/>
              </w:rPr>
            </w:pPr>
            <w:r w:rsidRPr="00886DFF">
              <w:rPr>
                <w:szCs w:val="22"/>
                <w:lang w:eastAsia="en-AU"/>
              </w:rPr>
              <w:br w:type="page"/>
              <w:t>7.1   How will the impact of the new arrangements be monitored?</w:t>
            </w:r>
          </w:p>
        </w:tc>
      </w:tr>
      <w:tr w:rsidR="00F132B2" w:rsidRPr="0069218C" w:rsidTr="004F2727">
        <w:trPr>
          <w:trHeight w:val="2201"/>
        </w:trPr>
        <w:tc>
          <w:tcPr>
            <w:tcW w:w="9072" w:type="dxa"/>
            <w:tcBorders>
              <w:top w:val="single" w:sz="4" w:space="0" w:color="auto"/>
              <w:left w:val="single" w:sz="4" w:space="0" w:color="auto"/>
              <w:bottom w:val="single" w:sz="4" w:space="0" w:color="auto"/>
              <w:right w:val="single" w:sz="4" w:space="0" w:color="auto"/>
            </w:tcBorders>
            <w:shd w:val="clear" w:color="auto" w:fill="auto"/>
          </w:tcPr>
          <w:p w:rsidR="00F132B2" w:rsidRDefault="001C1ED9" w:rsidP="007E4DDA">
            <w:pPr>
              <w:spacing w:before="120" w:after="0" w:line="276" w:lineRule="auto"/>
              <w:rPr>
                <w:rFonts w:cs="Arial"/>
                <w:szCs w:val="22"/>
              </w:rPr>
            </w:pPr>
            <w:r>
              <w:rPr>
                <w:rFonts w:cs="Arial"/>
                <w:szCs w:val="22"/>
              </w:rPr>
              <w:t xml:space="preserve">Inland Revenue would monitor the outcomes as per the objectives of the Generic Tax Policy Process (GTPP) to confirm that the proposed approach meets its objectives.  </w:t>
            </w:r>
            <w:r w:rsidR="00A11502">
              <w:rPr>
                <w:rFonts w:cs="Arial"/>
                <w:szCs w:val="22"/>
              </w:rPr>
              <w:t xml:space="preserve">The GTPP is a multi-stage policy process that has been used to design tax policy in New Zealand since 1995.  </w:t>
            </w:r>
          </w:p>
          <w:p w:rsidR="008578AD" w:rsidRDefault="008578AD" w:rsidP="007E4DDA">
            <w:pPr>
              <w:spacing w:after="0" w:line="276" w:lineRule="auto"/>
              <w:rPr>
                <w:rFonts w:cs="Arial"/>
                <w:szCs w:val="22"/>
              </w:rPr>
            </w:pPr>
          </w:p>
          <w:p w:rsidR="008578AD" w:rsidRPr="0069218C" w:rsidRDefault="008578AD" w:rsidP="007E4DDA">
            <w:pPr>
              <w:spacing w:after="180" w:line="276" w:lineRule="auto"/>
              <w:rPr>
                <w:rFonts w:cs="Arial"/>
                <w:szCs w:val="22"/>
              </w:rPr>
            </w:pPr>
            <w:r>
              <w:rPr>
                <w:rFonts w:cs="Arial"/>
                <w:szCs w:val="22"/>
              </w:rPr>
              <w:t xml:space="preserve">Monitoring of the proposed approach </w:t>
            </w:r>
            <w:r w:rsidR="006902BA">
              <w:rPr>
                <w:rFonts w:cs="Arial"/>
                <w:szCs w:val="22"/>
              </w:rPr>
              <w:t xml:space="preserve">will be done through existing relationships Inland Revenue has with relevant stakeholders and their advisors.  </w:t>
            </w:r>
          </w:p>
        </w:tc>
      </w:tr>
      <w:tr w:rsidR="00F132B2" w:rsidRPr="0069218C" w:rsidTr="00800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9072" w:type="dxa"/>
            <w:shd w:val="clear" w:color="auto" w:fill="99CDDD"/>
          </w:tcPr>
          <w:p w:rsidR="00F132B2" w:rsidRPr="00886DFF" w:rsidRDefault="00F132B2" w:rsidP="00486852">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rsidTr="00DA2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2"/>
        </w:trPr>
        <w:tc>
          <w:tcPr>
            <w:tcW w:w="9072" w:type="dxa"/>
            <w:shd w:val="clear" w:color="auto" w:fill="auto"/>
          </w:tcPr>
          <w:p w:rsidR="00F132B2" w:rsidRPr="0069218C" w:rsidRDefault="00FE6F5D" w:rsidP="007E4DDA">
            <w:pPr>
              <w:spacing w:before="120" w:after="0" w:line="276" w:lineRule="auto"/>
              <w:rPr>
                <w:rFonts w:cs="Arial"/>
                <w:szCs w:val="22"/>
              </w:rPr>
            </w:pPr>
            <w:r>
              <w:rPr>
                <w:rFonts w:cs="Arial"/>
                <w:szCs w:val="22"/>
              </w:rPr>
              <w:t xml:space="preserve">A proposed review of the financial arrangement rules is on the Government’s tax policy work programme for later 2018.  </w:t>
            </w:r>
            <w:r w:rsidR="002145A4">
              <w:rPr>
                <w:rFonts w:cs="Arial"/>
                <w:szCs w:val="22"/>
              </w:rPr>
              <w:t xml:space="preserve">It will consider a variety of financial arrangement taxation issues </w:t>
            </w:r>
            <w:r w:rsidR="00957195">
              <w:rPr>
                <w:rFonts w:cs="Arial"/>
                <w:szCs w:val="22"/>
              </w:rPr>
              <w:t>ranging</w:t>
            </w:r>
            <w:r w:rsidR="002145A4">
              <w:rPr>
                <w:rFonts w:cs="Arial"/>
                <w:szCs w:val="22"/>
              </w:rPr>
              <w:t xml:space="preserve"> from remedial to policy enhancements to ensure the rules work as intended.  </w:t>
            </w:r>
            <w:r>
              <w:rPr>
                <w:rFonts w:cs="Arial"/>
                <w:szCs w:val="22"/>
              </w:rPr>
              <w:t xml:space="preserve">This </w:t>
            </w:r>
            <w:r w:rsidR="00957195">
              <w:rPr>
                <w:rFonts w:cs="Arial"/>
                <w:szCs w:val="22"/>
              </w:rPr>
              <w:t>review</w:t>
            </w:r>
            <w:r w:rsidR="007C0E1C">
              <w:rPr>
                <w:rFonts w:cs="Arial"/>
                <w:szCs w:val="22"/>
              </w:rPr>
              <w:t xml:space="preserve"> </w:t>
            </w:r>
            <w:r>
              <w:rPr>
                <w:rFonts w:cs="Arial"/>
                <w:szCs w:val="22"/>
              </w:rPr>
              <w:t xml:space="preserve">will </w:t>
            </w:r>
            <w:r w:rsidR="007C0E1C">
              <w:rPr>
                <w:rFonts w:cs="Arial"/>
                <w:szCs w:val="22"/>
              </w:rPr>
              <w:t xml:space="preserve">ultimately </w:t>
            </w:r>
            <w:r>
              <w:rPr>
                <w:rFonts w:cs="Arial"/>
                <w:szCs w:val="22"/>
              </w:rPr>
              <w:t xml:space="preserve">involve the preparation of </w:t>
            </w:r>
            <w:r w:rsidR="0037769D">
              <w:rPr>
                <w:rFonts w:cs="Arial"/>
                <w:szCs w:val="22"/>
              </w:rPr>
              <w:t xml:space="preserve">a public consultation document and the opportunity for stakeholders to comment.  </w:t>
            </w:r>
            <w:r w:rsidR="002145A4">
              <w:rPr>
                <w:rFonts w:cs="Arial"/>
                <w:szCs w:val="22"/>
              </w:rPr>
              <w:t>Any c</w:t>
            </w:r>
            <w:r w:rsidR="0021766C">
              <w:rPr>
                <w:rFonts w:cs="Arial"/>
                <w:szCs w:val="22"/>
              </w:rPr>
              <w:t xml:space="preserve">oncerns </w:t>
            </w:r>
            <w:r w:rsidR="00957195">
              <w:rPr>
                <w:rFonts w:cs="Arial"/>
                <w:szCs w:val="22"/>
              </w:rPr>
              <w:t xml:space="preserve">identified by stakeholders </w:t>
            </w:r>
            <w:r w:rsidR="0021766C">
              <w:rPr>
                <w:rFonts w:cs="Arial"/>
                <w:szCs w:val="22"/>
              </w:rPr>
              <w:t xml:space="preserve">about the proposed approach </w:t>
            </w:r>
            <w:r w:rsidR="00957195">
              <w:rPr>
                <w:rFonts w:cs="Arial"/>
                <w:szCs w:val="22"/>
              </w:rPr>
              <w:t>discussed in this Impact Summary</w:t>
            </w:r>
            <w:r w:rsidR="00902F9D">
              <w:rPr>
                <w:rFonts w:cs="Arial"/>
                <w:szCs w:val="22"/>
              </w:rPr>
              <w:t>,</w:t>
            </w:r>
            <w:r w:rsidR="00957195">
              <w:rPr>
                <w:rFonts w:cs="Arial"/>
                <w:szCs w:val="22"/>
              </w:rPr>
              <w:t xml:space="preserve"> </w:t>
            </w:r>
            <w:r w:rsidR="0021766C">
              <w:rPr>
                <w:rFonts w:cs="Arial"/>
                <w:szCs w:val="22"/>
              </w:rPr>
              <w:t xml:space="preserve">including </w:t>
            </w:r>
            <w:r w:rsidR="00957195">
              <w:rPr>
                <w:rFonts w:cs="Arial"/>
                <w:szCs w:val="22"/>
              </w:rPr>
              <w:t xml:space="preserve">its </w:t>
            </w:r>
            <w:r w:rsidR="002145A4">
              <w:rPr>
                <w:rFonts w:cs="Arial"/>
                <w:szCs w:val="22"/>
              </w:rPr>
              <w:t xml:space="preserve">possible </w:t>
            </w:r>
            <w:r w:rsidR="00957195">
              <w:rPr>
                <w:rFonts w:cs="Arial"/>
                <w:szCs w:val="22"/>
              </w:rPr>
              <w:t>extension to other assets</w:t>
            </w:r>
            <w:r w:rsidR="00902F9D">
              <w:rPr>
                <w:rFonts w:cs="Arial"/>
                <w:szCs w:val="22"/>
              </w:rPr>
              <w:t>,</w:t>
            </w:r>
            <w:r w:rsidR="00957195">
              <w:rPr>
                <w:rFonts w:cs="Arial"/>
                <w:szCs w:val="22"/>
              </w:rPr>
              <w:t xml:space="preserve"> would</w:t>
            </w:r>
            <w:r w:rsidR="002145A4">
              <w:rPr>
                <w:rFonts w:cs="Arial"/>
                <w:szCs w:val="22"/>
              </w:rPr>
              <w:t xml:space="preserve"> be considered as part of this review.  </w:t>
            </w:r>
          </w:p>
        </w:tc>
      </w:tr>
    </w:tbl>
    <w:p w:rsidR="00C2708A" w:rsidRPr="00B47208" w:rsidRDefault="00C2708A" w:rsidP="00486852">
      <w:pPr>
        <w:pStyle w:val="spacer"/>
      </w:pPr>
    </w:p>
    <w:sectPr w:rsidR="00C2708A" w:rsidRPr="00B47208" w:rsidSect="008C3D5C">
      <w:headerReference w:type="default" r:id="rId7"/>
      <w:footerReference w:type="default" r:id="rId8"/>
      <w:pgSz w:w="11906" w:h="16838"/>
      <w:pgMar w:top="1134" w:right="1247"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E6" w:rsidRDefault="008661E6">
      <w:pPr>
        <w:spacing w:after="0" w:line="240" w:lineRule="auto"/>
      </w:pPr>
      <w:r>
        <w:separator/>
      </w:r>
    </w:p>
  </w:endnote>
  <w:endnote w:type="continuationSeparator" w:id="0">
    <w:p w:rsidR="008661E6" w:rsidRDefault="0086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1A" w:rsidRDefault="003D261A" w:rsidP="00957BC2">
    <w:pPr>
      <w:pStyle w:val="Footer"/>
    </w:pPr>
    <w:r>
      <w:t>Securitization of pre-1990 forestry emissions units</w:t>
    </w:r>
  </w:p>
  <w:p w:rsidR="00784C66" w:rsidRPr="00957BC2" w:rsidRDefault="00957BC2" w:rsidP="00957BC2">
    <w:pPr>
      <w:pStyle w:val="Footer"/>
    </w:pPr>
    <w:r w:rsidRPr="00957BC2">
      <w:t xml:space="preserve">  Impact Summary</w:t>
    </w:r>
    <w:r>
      <w:t xml:space="preserve"> Template</w:t>
    </w:r>
    <w:r w:rsidRPr="00957BC2">
      <w:t xml:space="preserve">   </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D35BDA">
      <w:t>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E6" w:rsidRDefault="008661E6">
      <w:pPr>
        <w:spacing w:after="0" w:line="240" w:lineRule="auto"/>
      </w:pPr>
      <w:r>
        <w:separator/>
      </w:r>
    </w:p>
  </w:footnote>
  <w:footnote w:type="continuationSeparator" w:id="0">
    <w:p w:rsidR="008661E6" w:rsidRDefault="0086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C66" w:rsidRPr="00EB1B21" w:rsidRDefault="002F57C1"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7"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8DE5A8D"/>
    <w:multiLevelType w:val="hybridMultilevel"/>
    <w:tmpl w:val="93802A1A"/>
    <w:lvl w:ilvl="0" w:tplc="8E3E8056">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9"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7B235C"/>
    <w:multiLevelType w:val="hybridMultilevel"/>
    <w:tmpl w:val="5226EB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7"/>
  </w:num>
  <w:num w:numId="4">
    <w:abstractNumId w:val="9"/>
  </w:num>
  <w:num w:numId="5">
    <w:abstractNumId w:val="28"/>
  </w:num>
  <w:num w:numId="6">
    <w:abstractNumId w:val="23"/>
  </w:num>
  <w:num w:numId="7">
    <w:abstractNumId w:val="8"/>
  </w:num>
  <w:num w:numId="8">
    <w:abstractNumId w:val="11"/>
  </w:num>
  <w:num w:numId="9">
    <w:abstractNumId w:val="5"/>
  </w:num>
  <w:num w:numId="10">
    <w:abstractNumId w:val="16"/>
  </w:num>
  <w:num w:numId="11">
    <w:abstractNumId w:val="20"/>
  </w:num>
  <w:num w:numId="12">
    <w:abstractNumId w:val="3"/>
  </w:num>
  <w:num w:numId="13">
    <w:abstractNumId w:val="7"/>
  </w:num>
  <w:num w:numId="14">
    <w:abstractNumId w:val="12"/>
  </w:num>
  <w:num w:numId="15">
    <w:abstractNumId w:val="10"/>
  </w:num>
  <w:num w:numId="16">
    <w:abstractNumId w:val="4"/>
  </w:num>
  <w:num w:numId="17">
    <w:abstractNumId w:val="26"/>
  </w:num>
  <w:num w:numId="18">
    <w:abstractNumId w:val="2"/>
  </w:num>
  <w:num w:numId="19">
    <w:abstractNumId w:val="13"/>
  </w:num>
  <w:num w:numId="20">
    <w:abstractNumId w:val="25"/>
  </w:num>
  <w:num w:numId="21">
    <w:abstractNumId w:val="18"/>
  </w:num>
  <w:num w:numId="22">
    <w:abstractNumId w:val="6"/>
  </w:num>
  <w:num w:numId="23">
    <w:abstractNumId w:val="24"/>
  </w:num>
  <w:num w:numId="24">
    <w:abstractNumId w:val="21"/>
  </w:num>
  <w:num w:numId="25">
    <w:abstractNumId w:val="0"/>
  </w:num>
  <w:num w:numId="26">
    <w:abstractNumId w:val="14"/>
  </w:num>
  <w:num w:numId="27">
    <w:abstractNumId w:val="17"/>
  </w:num>
  <w:num w:numId="28">
    <w:abstractNumId w:val="19"/>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AA5"/>
    <w:rsid w:val="00000735"/>
    <w:rsid w:val="0000088B"/>
    <w:rsid w:val="000053DF"/>
    <w:rsid w:val="0000705A"/>
    <w:rsid w:val="00007A4F"/>
    <w:rsid w:val="00011320"/>
    <w:rsid w:val="000153E0"/>
    <w:rsid w:val="000162D6"/>
    <w:rsid w:val="000250B2"/>
    <w:rsid w:val="00025F4B"/>
    <w:rsid w:val="00027B69"/>
    <w:rsid w:val="00030EC1"/>
    <w:rsid w:val="00031857"/>
    <w:rsid w:val="0003500F"/>
    <w:rsid w:val="00037F7A"/>
    <w:rsid w:val="000406AF"/>
    <w:rsid w:val="0004375F"/>
    <w:rsid w:val="00043F69"/>
    <w:rsid w:val="000455AF"/>
    <w:rsid w:val="00051A88"/>
    <w:rsid w:val="000535CE"/>
    <w:rsid w:val="00056353"/>
    <w:rsid w:val="000626AB"/>
    <w:rsid w:val="00077B0A"/>
    <w:rsid w:val="0008008C"/>
    <w:rsid w:val="000870A3"/>
    <w:rsid w:val="0009009A"/>
    <w:rsid w:val="0009467F"/>
    <w:rsid w:val="00095D7F"/>
    <w:rsid w:val="000A07D9"/>
    <w:rsid w:val="000A3146"/>
    <w:rsid w:val="000A4B07"/>
    <w:rsid w:val="000A55BD"/>
    <w:rsid w:val="000A5BFC"/>
    <w:rsid w:val="000B2903"/>
    <w:rsid w:val="000B340C"/>
    <w:rsid w:val="000B42B0"/>
    <w:rsid w:val="000B5FC4"/>
    <w:rsid w:val="000C3197"/>
    <w:rsid w:val="000C66BE"/>
    <w:rsid w:val="000C76D8"/>
    <w:rsid w:val="000D02F1"/>
    <w:rsid w:val="000D1725"/>
    <w:rsid w:val="000D1F79"/>
    <w:rsid w:val="000D66D8"/>
    <w:rsid w:val="000D7AB9"/>
    <w:rsid w:val="000E180F"/>
    <w:rsid w:val="000F17D2"/>
    <w:rsid w:val="000F1901"/>
    <w:rsid w:val="000F4BE8"/>
    <w:rsid w:val="00100007"/>
    <w:rsid w:val="00104390"/>
    <w:rsid w:val="001121B3"/>
    <w:rsid w:val="00114283"/>
    <w:rsid w:val="00115EC9"/>
    <w:rsid w:val="00144191"/>
    <w:rsid w:val="001546E4"/>
    <w:rsid w:val="001578DA"/>
    <w:rsid w:val="00161060"/>
    <w:rsid w:val="001624D2"/>
    <w:rsid w:val="00162BBA"/>
    <w:rsid w:val="001673A3"/>
    <w:rsid w:val="0017233D"/>
    <w:rsid w:val="00183675"/>
    <w:rsid w:val="00190453"/>
    <w:rsid w:val="0019148B"/>
    <w:rsid w:val="001B3E1F"/>
    <w:rsid w:val="001C1ED9"/>
    <w:rsid w:val="001D0BC4"/>
    <w:rsid w:val="001D11AC"/>
    <w:rsid w:val="001D200F"/>
    <w:rsid w:val="001E0D43"/>
    <w:rsid w:val="001E4BF9"/>
    <w:rsid w:val="001E6501"/>
    <w:rsid w:val="001E7AE6"/>
    <w:rsid w:val="001F0920"/>
    <w:rsid w:val="00207CEA"/>
    <w:rsid w:val="002106CB"/>
    <w:rsid w:val="002121A8"/>
    <w:rsid w:val="002145A4"/>
    <w:rsid w:val="002164A6"/>
    <w:rsid w:val="0021766C"/>
    <w:rsid w:val="00217894"/>
    <w:rsid w:val="00220ED7"/>
    <w:rsid w:val="00221E14"/>
    <w:rsid w:val="00223E66"/>
    <w:rsid w:val="00225C2C"/>
    <w:rsid w:val="00226D70"/>
    <w:rsid w:val="002410AC"/>
    <w:rsid w:val="0024289C"/>
    <w:rsid w:val="00260058"/>
    <w:rsid w:val="0026549E"/>
    <w:rsid w:val="00270177"/>
    <w:rsid w:val="00273A42"/>
    <w:rsid w:val="00273C20"/>
    <w:rsid w:val="00275D0D"/>
    <w:rsid w:val="00276F42"/>
    <w:rsid w:val="002774BD"/>
    <w:rsid w:val="00280013"/>
    <w:rsid w:val="00283758"/>
    <w:rsid w:val="00284425"/>
    <w:rsid w:val="002936EC"/>
    <w:rsid w:val="00293FDC"/>
    <w:rsid w:val="002A56F0"/>
    <w:rsid w:val="002A6A33"/>
    <w:rsid w:val="002B74F0"/>
    <w:rsid w:val="002C303C"/>
    <w:rsid w:val="002C53CF"/>
    <w:rsid w:val="002D145F"/>
    <w:rsid w:val="002D54C0"/>
    <w:rsid w:val="002D5734"/>
    <w:rsid w:val="002D63C9"/>
    <w:rsid w:val="002D7998"/>
    <w:rsid w:val="002E0A93"/>
    <w:rsid w:val="002E0FAE"/>
    <w:rsid w:val="002E1E14"/>
    <w:rsid w:val="002F0F6C"/>
    <w:rsid w:val="002F57C1"/>
    <w:rsid w:val="0030117A"/>
    <w:rsid w:val="0030489D"/>
    <w:rsid w:val="00304CE4"/>
    <w:rsid w:val="00316701"/>
    <w:rsid w:val="00321D75"/>
    <w:rsid w:val="0032262A"/>
    <w:rsid w:val="00324230"/>
    <w:rsid w:val="00325019"/>
    <w:rsid w:val="003250C8"/>
    <w:rsid w:val="00327481"/>
    <w:rsid w:val="00336018"/>
    <w:rsid w:val="0033708B"/>
    <w:rsid w:val="00340283"/>
    <w:rsid w:val="003611EB"/>
    <w:rsid w:val="003675F9"/>
    <w:rsid w:val="003730F0"/>
    <w:rsid w:val="00375FE0"/>
    <w:rsid w:val="0037769D"/>
    <w:rsid w:val="00380585"/>
    <w:rsid w:val="00382255"/>
    <w:rsid w:val="00393339"/>
    <w:rsid w:val="003A159E"/>
    <w:rsid w:val="003A69B3"/>
    <w:rsid w:val="003B29A3"/>
    <w:rsid w:val="003B79CB"/>
    <w:rsid w:val="003C12FA"/>
    <w:rsid w:val="003C29FC"/>
    <w:rsid w:val="003C73C7"/>
    <w:rsid w:val="003D15F3"/>
    <w:rsid w:val="003D261A"/>
    <w:rsid w:val="003D2B86"/>
    <w:rsid w:val="003E1271"/>
    <w:rsid w:val="003F0DF3"/>
    <w:rsid w:val="00401F14"/>
    <w:rsid w:val="00403FCA"/>
    <w:rsid w:val="004047CF"/>
    <w:rsid w:val="00406E55"/>
    <w:rsid w:val="0042185F"/>
    <w:rsid w:val="00421A74"/>
    <w:rsid w:val="00425D19"/>
    <w:rsid w:val="00431667"/>
    <w:rsid w:val="0043476D"/>
    <w:rsid w:val="004347CA"/>
    <w:rsid w:val="004365D3"/>
    <w:rsid w:val="00441C7C"/>
    <w:rsid w:val="004436BC"/>
    <w:rsid w:val="00447378"/>
    <w:rsid w:val="00453781"/>
    <w:rsid w:val="00456ED6"/>
    <w:rsid w:val="0046036B"/>
    <w:rsid w:val="00462F85"/>
    <w:rsid w:val="00470D09"/>
    <w:rsid w:val="00472D95"/>
    <w:rsid w:val="00477CBD"/>
    <w:rsid w:val="00486852"/>
    <w:rsid w:val="004933E0"/>
    <w:rsid w:val="004949B0"/>
    <w:rsid w:val="00496CC1"/>
    <w:rsid w:val="004976C6"/>
    <w:rsid w:val="004A0C0E"/>
    <w:rsid w:val="004A1318"/>
    <w:rsid w:val="004A192D"/>
    <w:rsid w:val="004A6203"/>
    <w:rsid w:val="004B26AC"/>
    <w:rsid w:val="004B2ADD"/>
    <w:rsid w:val="004C1593"/>
    <w:rsid w:val="004F2727"/>
    <w:rsid w:val="00506946"/>
    <w:rsid w:val="0050779E"/>
    <w:rsid w:val="00517005"/>
    <w:rsid w:val="00521BDE"/>
    <w:rsid w:val="005237E0"/>
    <w:rsid w:val="0053213E"/>
    <w:rsid w:val="00533BF5"/>
    <w:rsid w:val="00533EA4"/>
    <w:rsid w:val="00540305"/>
    <w:rsid w:val="005429F8"/>
    <w:rsid w:val="00544D30"/>
    <w:rsid w:val="00546F69"/>
    <w:rsid w:val="0054765C"/>
    <w:rsid w:val="00562A8C"/>
    <w:rsid w:val="00562BE6"/>
    <w:rsid w:val="00564647"/>
    <w:rsid w:val="00565ADD"/>
    <w:rsid w:val="00566BFB"/>
    <w:rsid w:val="00567434"/>
    <w:rsid w:val="00580559"/>
    <w:rsid w:val="00580BDE"/>
    <w:rsid w:val="00585F37"/>
    <w:rsid w:val="005876C7"/>
    <w:rsid w:val="005876FF"/>
    <w:rsid w:val="00595004"/>
    <w:rsid w:val="00596A0A"/>
    <w:rsid w:val="005A1230"/>
    <w:rsid w:val="005A3981"/>
    <w:rsid w:val="005C35F6"/>
    <w:rsid w:val="005C6B1B"/>
    <w:rsid w:val="005C7B5A"/>
    <w:rsid w:val="005C7E1A"/>
    <w:rsid w:val="005D0F5F"/>
    <w:rsid w:val="005D5BF0"/>
    <w:rsid w:val="005D66DF"/>
    <w:rsid w:val="005E012D"/>
    <w:rsid w:val="005E0CF1"/>
    <w:rsid w:val="005E5737"/>
    <w:rsid w:val="00607718"/>
    <w:rsid w:val="006115F2"/>
    <w:rsid w:val="00613FD5"/>
    <w:rsid w:val="00623805"/>
    <w:rsid w:val="0062718C"/>
    <w:rsid w:val="00627B93"/>
    <w:rsid w:val="00632464"/>
    <w:rsid w:val="0064316D"/>
    <w:rsid w:val="006563B9"/>
    <w:rsid w:val="00656CD2"/>
    <w:rsid w:val="006741E8"/>
    <w:rsid w:val="0067537D"/>
    <w:rsid w:val="00676708"/>
    <w:rsid w:val="0068113F"/>
    <w:rsid w:val="00683D17"/>
    <w:rsid w:val="00686B28"/>
    <w:rsid w:val="00687148"/>
    <w:rsid w:val="006902BA"/>
    <w:rsid w:val="0069218C"/>
    <w:rsid w:val="00695DAC"/>
    <w:rsid w:val="006A2F1C"/>
    <w:rsid w:val="006A36F9"/>
    <w:rsid w:val="006A70C4"/>
    <w:rsid w:val="006B1547"/>
    <w:rsid w:val="006B3C19"/>
    <w:rsid w:val="006B3F5A"/>
    <w:rsid w:val="006B4D2D"/>
    <w:rsid w:val="006B5FAD"/>
    <w:rsid w:val="006B7A10"/>
    <w:rsid w:val="006C1A2F"/>
    <w:rsid w:val="006C40C2"/>
    <w:rsid w:val="006D3130"/>
    <w:rsid w:val="006D5192"/>
    <w:rsid w:val="006E0FF0"/>
    <w:rsid w:val="006F08D0"/>
    <w:rsid w:val="006F1B00"/>
    <w:rsid w:val="006F4195"/>
    <w:rsid w:val="006F5CEE"/>
    <w:rsid w:val="007010AC"/>
    <w:rsid w:val="00701BAE"/>
    <w:rsid w:val="00701DDD"/>
    <w:rsid w:val="007042C8"/>
    <w:rsid w:val="00704377"/>
    <w:rsid w:val="00705DEE"/>
    <w:rsid w:val="00710FFF"/>
    <w:rsid w:val="007158BA"/>
    <w:rsid w:val="007164F6"/>
    <w:rsid w:val="00721F52"/>
    <w:rsid w:val="007224E1"/>
    <w:rsid w:val="00736E02"/>
    <w:rsid w:val="0074101F"/>
    <w:rsid w:val="00751C17"/>
    <w:rsid w:val="00771178"/>
    <w:rsid w:val="00771958"/>
    <w:rsid w:val="0077251F"/>
    <w:rsid w:val="00783125"/>
    <w:rsid w:val="00783846"/>
    <w:rsid w:val="00784C66"/>
    <w:rsid w:val="0078569C"/>
    <w:rsid w:val="0079114B"/>
    <w:rsid w:val="0079632B"/>
    <w:rsid w:val="007A069A"/>
    <w:rsid w:val="007B26F5"/>
    <w:rsid w:val="007B6C1B"/>
    <w:rsid w:val="007B7B46"/>
    <w:rsid w:val="007B7D4A"/>
    <w:rsid w:val="007C0E1C"/>
    <w:rsid w:val="007C77B1"/>
    <w:rsid w:val="007C7990"/>
    <w:rsid w:val="007D7306"/>
    <w:rsid w:val="007E4DDA"/>
    <w:rsid w:val="007F01E0"/>
    <w:rsid w:val="007F5523"/>
    <w:rsid w:val="00800731"/>
    <w:rsid w:val="00800A3B"/>
    <w:rsid w:val="00800DEC"/>
    <w:rsid w:val="00801BED"/>
    <w:rsid w:val="008066E2"/>
    <w:rsid w:val="00811BD7"/>
    <w:rsid w:val="0081224D"/>
    <w:rsid w:val="00816F3A"/>
    <w:rsid w:val="00826BE8"/>
    <w:rsid w:val="00826FD8"/>
    <w:rsid w:val="008273BE"/>
    <w:rsid w:val="00840336"/>
    <w:rsid w:val="008578AD"/>
    <w:rsid w:val="00861825"/>
    <w:rsid w:val="00864EBC"/>
    <w:rsid w:val="008656BD"/>
    <w:rsid w:val="00865B0F"/>
    <w:rsid w:val="008661E6"/>
    <w:rsid w:val="008718EE"/>
    <w:rsid w:val="00871FC4"/>
    <w:rsid w:val="00872D60"/>
    <w:rsid w:val="008735D0"/>
    <w:rsid w:val="0087473F"/>
    <w:rsid w:val="00877952"/>
    <w:rsid w:val="00885ADF"/>
    <w:rsid w:val="008860B2"/>
    <w:rsid w:val="00886DFF"/>
    <w:rsid w:val="00891DAD"/>
    <w:rsid w:val="008970B6"/>
    <w:rsid w:val="008A124E"/>
    <w:rsid w:val="008A292A"/>
    <w:rsid w:val="008A3FDA"/>
    <w:rsid w:val="008A472B"/>
    <w:rsid w:val="008A5795"/>
    <w:rsid w:val="008A6442"/>
    <w:rsid w:val="008B4792"/>
    <w:rsid w:val="008C0EA3"/>
    <w:rsid w:val="008C2499"/>
    <w:rsid w:val="008C3D5C"/>
    <w:rsid w:val="008C4B4E"/>
    <w:rsid w:val="008E0F12"/>
    <w:rsid w:val="008E3704"/>
    <w:rsid w:val="008E3AE2"/>
    <w:rsid w:val="008F7B13"/>
    <w:rsid w:val="00902F9D"/>
    <w:rsid w:val="00913F6D"/>
    <w:rsid w:val="0091507C"/>
    <w:rsid w:val="00916A20"/>
    <w:rsid w:val="00917A22"/>
    <w:rsid w:val="0093134A"/>
    <w:rsid w:val="009337BF"/>
    <w:rsid w:val="00947E56"/>
    <w:rsid w:val="00951ABE"/>
    <w:rsid w:val="00956FB1"/>
    <w:rsid w:val="00957195"/>
    <w:rsid w:val="00957BC2"/>
    <w:rsid w:val="0096111D"/>
    <w:rsid w:val="00962209"/>
    <w:rsid w:val="00963264"/>
    <w:rsid w:val="00965875"/>
    <w:rsid w:val="009670C1"/>
    <w:rsid w:val="00974FE0"/>
    <w:rsid w:val="0098443F"/>
    <w:rsid w:val="00986DCD"/>
    <w:rsid w:val="009932EE"/>
    <w:rsid w:val="009935E7"/>
    <w:rsid w:val="00993C59"/>
    <w:rsid w:val="00997102"/>
    <w:rsid w:val="009A574B"/>
    <w:rsid w:val="009A6B13"/>
    <w:rsid w:val="009A7A20"/>
    <w:rsid w:val="009B4532"/>
    <w:rsid w:val="009C3DF5"/>
    <w:rsid w:val="009C7667"/>
    <w:rsid w:val="009D3A82"/>
    <w:rsid w:val="009D4B81"/>
    <w:rsid w:val="009E4491"/>
    <w:rsid w:val="009F11BB"/>
    <w:rsid w:val="009F25A2"/>
    <w:rsid w:val="009F293D"/>
    <w:rsid w:val="009F4A7D"/>
    <w:rsid w:val="009F5534"/>
    <w:rsid w:val="009F55BC"/>
    <w:rsid w:val="009F7448"/>
    <w:rsid w:val="00A00E5F"/>
    <w:rsid w:val="00A01A48"/>
    <w:rsid w:val="00A063B5"/>
    <w:rsid w:val="00A06E6C"/>
    <w:rsid w:val="00A11502"/>
    <w:rsid w:val="00A11EFE"/>
    <w:rsid w:val="00A146CA"/>
    <w:rsid w:val="00A21F97"/>
    <w:rsid w:val="00A33BA0"/>
    <w:rsid w:val="00A358C8"/>
    <w:rsid w:val="00A40055"/>
    <w:rsid w:val="00A42F45"/>
    <w:rsid w:val="00A441F1"/>
    <w:rsid w:val="00A50B0E"/>
    <w:rsid w:val="00A552DC"/>
    <w:rsid w:val="00A6561A"/>
    <w:rsid w:val="00A65704"/>
    <w:rsid w:val="00A66590"/>
    <w:rsid w:val="00A66878"/>
    <w:rsid w:val="00A7541F"/>
    <w:rsid w:val="00A772CE"/>
    <w:rsid w:val="00A77609"/>
    <w:rsid w:val="00A91028"/>
    <w:rsid w:val="00A920FC"/>
    <w:rsid w:val="00A924E1"/>
    <w:rsid w:val="00A9560C"/>
    <w:rsid w:val="00AA24AE"/>
    <w:rsid w:val="00AA54CA"/>
    <w:rsid w:val="00AB73B3"/>
    <w:rsid w:val="00AB7D80"/>
    <w:rsid w:val="00AC065C"/>
    <w:rsid w:val="00AC4A5D"/>
    <w:rsid w:val="00AC5B2A"/>
    <w:rsid w:val="00AE4238"/>
    <w:rsid w:val="00AE47B4"/>
    <w:rsid w:val="00AE4D46"/>
    <w:rsid w:val="00AE74DD"/>
    <w:rsid w:val="00AF3223"/>
    <w:rsid w:val="00AF373A"/>
    <w:rsid w:val="00AF3A37"/>
    <w:rsid w:val="00AF7828"/>
    <w:rsid w:val="00AF794E"/>
    <w:rsid w:val="00B0066A"/>
    <w:rsid w:val="00B037EF"/>
    <w:rsid w:val="00B03BB2"/>
    <w:rsid w:val="00B1142A"/>
    <w:rsid w:val="00B15F56"/>
    <w:rsid w:val="00B16BFB"/>
    <w:rsid w:val="00B17B3C"/>
    <w:rsid w:val="00B20765"/>
    <w:rsid w:val="00B23E8A"/>
    <w:rsid w:val="00B274E5"/>
    <w:rsid w:val="00B3199D"/>
    <w:rsid w:val="00B4041D"/>
    <w:rsid w:val="00B42D5A"/>
    <w:rsid w:val="00B47208"/>
    <w:rsid w:val="00B478FE"/>
    <w:rsid w:val="00B52E26"/>
    <w:rsid w:val="00B564FC"/>
    <w:rsid w:val="00B66BBE"/>
    <w:rsid w:val="00B733A2"/>
    <w:rsid w:val="00B73B1E"/>
    <w:rsid w:val="00B77FC3"/>
    <w:rsid w:val="00B837DB"/>
    <w:rsid w:val="00B84503"/>
    <w:rsid w:val="00B86035"/>
    <w:rsid w:val="00B8720B"/>
    <w:rsid w:val="00B87B26"/>
    <w:rsid w:val="00B952B7"/>
    <w:rsid w:val="00BA08C7"/>
    <w:rsid w:val="00BA18C4"/>
    <w:rsid w:val="00BA24ED"/>
    <w:rsid w:val="00BA314D"/>
    <w:rsid w:val="00BA3542"/>
    <w:rsid w:val="00BA5669"/>
    <w:rsid w:val="00BC13D0"/>
    <w:rsid w:val="00BC2351"/>
    <w:rsid w:val="00BC51B1"/>
    <w:rsid w:val="00BC6597"/>
    <w:rsid w:val="00BD591C"/>
    <w:rsid w:val="00BE4A62"/>
    <w:rsid w:val="00BE62EB"/>
    <w:rsid w:val="00BF2268"/>
    <w:rsid w:val="00BF3719"/>
    <w:rsid w:val="00BF3972"/>
    <w:rsid w:val="00BF7141"/>
    <w:rsid w:val="00BF7CF1"/>
    <w:rsid w:val="00C05A4B"/>
    <w:rsid w:val="00C07307"/>
    <w:rsid w:val="00C16186"/>
    <w:rsid w:val="00C167EC"/>
    <w:rsid w:val="00C26896"/>
    <w:rsid w:val="00C2708A"/>
    <w:rsid w:val="00C32A95"/>
    <w:rsid w:val="00C33D79"/>
    <w:rsid w:val="00C3568A"/>
    <w:rsid w:val="00C45246"/>
    <w:rsid w:val="00C475B4"/>
    <w:rsid w:val="00C500C2"/>
    <w:rsid w:val="00C55D3D"/>
    <w:rsid w:val="00C55E7E"/>
    <w:rsid w:val="00C5693C"/>
    <w:rsid w:val="00C61C0F"/>
    <w:rsid w:val="00C6400E"/>
    <w:rsid w:val="00C65D49"/>
    <w:rsid w:val="00C660DD"/>
    <w:rsid w:val="00C67090"/>
    <w:rsid w:val="00C75737"/>
    <w:rsid w:val="00C75739"/>
    <w:rsid w:val="00C7655A"/>
    <w:rsid w:val="00C77099"/>
    <w:rsid w:val="00C810D9"/>
    <w:rsid w:val="00C85CF6"/>
    <w:rsid w:val="00C903C1"/>
    <w:rsid w:val="00C93AA5"/>
    <w:rsid w:val="00CA2070"/>
    <w:rsid w:val="00CA3483"/>
    <w:rsid w:val="00CA7EC9"/>
    <w:rsid w:val="00CB2FC9"/>
    <w:rsid w:val="00CB7FF9"/>
    <w:rsid w:val="00CC1F86"/>
    <w:rsid w:val="00CE0E1F"/>
    <w:rsid w:val="00CE0F5F"/>
    <w:rsid w:val="00CE2E2F"/>
    <w:rsid w:val="00CE48FE"/>
    <w:rsid w:val="00CF0C99"/>
    <w:rsid w:val="00D019CB"/>
    <w:rsid w:val="00D01CA8"/>
    <w:rsid w:val="00D029E8"/>
    <w:rsid w:val="00D03EF1"/>
    <w:rsid w:val="00D04AA3"/>
    <w:rsid w:val="00D22FCF"/>
    <w:rsid w:val="00D236C4"/>
    <w:rsid w:val="00D24298"/>
    <w:rsid w:val="00D26A33"/>
    <w:rsid w:val="00D26EE3"/>
    <w:rsid w:val="00D30D04"/>
    <w:rsid w:val="00D3394A"/>
    <w:rsid w:val="00D34B86"/>
    <w:rsid w:val="00D34D49"/>
    <w:rsid w:val="00D34D87"/>
    <w:rsid w:val="00D35BDA"/>
    <w:rsid w:val="00D362EB"/>
    <w:rsid w:val="00D368F3"/>
    <w:rsid w:val="00D430E5"/>
    <w:rsid w:val="00D4791E"/>
    <w:rsid w:val="00D52991"/>
    <w:rsid w:val="00D5631D"/>
    <w:rsid w:val="00D56436"/>
    <w:rsid w:val="00D66B6A"/>
    <w:rsid w:val="00D70698"/>
    <w:rsid w:val="00D71539"/>
    <w:rsid w:val="00D770E8"/>
    <w:rsid w:val="00D90032"/>
    <w:rsid w:val="00D9793F"/>
    <w:rsid w:val="00DA06D7"/>
    <w:rsid w:val="00DA1B3F"/>
    <w:rsid w:val="00DA1F51"/>
    <w:rsid w:val="00DA2474"/>
    <w:rsid w:val="00DA39FD"/>
    <w:rsid w:val="00DC2D92"/>
    <w:rsid w:val="00DC3639"/>
    <w:rsid w:val="00DC5CAE"/>
    <w:rsid w:val="00DC6772"/>
    <w:rsid w:val="00DD3F5E"/>
    <w:rsid w:val="00DD7A13"/>
    <w:rsid w:val="00DE6080"/>
    <w:rsid w:val="00DE775E"/>
    <w:rsid w:val="00DF552A"/>
    <w:rsid w:val="00DF5D41"/>
    <w:rsid w:val="00DF5E1A"/>
    <w:rsid w:val="00E01A35"/>
    <w:rsid w:val="00E206C9"/>
    <w:rsid w:val="00E42E9F"/>
    <w:rsid w:val="00E51DD3"/>
    <w:rsid w:val="00E52EE5"/>
    <w:rsid w:val="00E54C75"/>
    <w:rsid w:val="00E56815"/>
    <w:rsid w:val="00E57521"/>
    <w:rsid w:val="00E62373"/>
    <w:rsid w:val="00E666F3"/>
    <w:rsid w:val="00E66CC0"/>
    <w:rsid w:val="00E85157"/>
    <w:rsid w:val="00E92509"/>
    <w:rsid w:val="00E94017"/>
    <w:rsid w:val="00E95647"/>
    <w:rsid w:val="00E9581B"/>
    <w:rsid w:val="00E95858"/>
    <w:rsid w:val="00E95F5F"/>
    <w:rsid w:val="00E96043"/>
    <w:rsid w:val="00E9759E"/>
    <w:rsid w:val="00EA0DF4"/>
    <w:rsid w:val="00EA2449"/>
    <w:rsid w:val="00EA26E6"/>
    <w:rsid w:val="00EA484F"/>
    <w:rsid w:val="00EB034F"/>
    <w:rsid w:val="00EB0E8C"/>
    <w:rsid w:val="00EB250A"/>
    <w:rsid w:val="00EB7B64"/>
    <w:rsid w:val="00EC0287"/>
    <w:rsid w:val="00EC3D8D"/>
    <w:rsid w:val="00EC6FAD"/>
    <w:rsid w:val="00ED1D6B"/>
    <w:rsid w:val="00EE4E3B"/>
    <w:rsid w:val="00EE5A91"/>
    <w:rsid w:val="00EF0AC3"/>
    <w:rsid w:val="00F132B2"/>
    <w:rsid w:val="00F14105"/>
    <w:rsid w:val="00F22D9C"/>
    <w:rsid w:val="00F23814"/>
    <w:rsid w:val="00F300A6"/>
    <w:rsid w:val="00F3693A"/>
    <w:rsid w:val="00F371D2"/>
    <w:rsid w:val="00F37D03"/>
    <w:rsid w:val="00F41B49"/>
    <w:rsid w:val="00F44166"/>
    <w:rsid w:val="00F441B9"/>
    <w:rsid w:val="00F56D2C"/>
    <w:rsid w:val="00F63B99"/>
    <w:rsid w:val="00F66211"/>
    <w:rsid w:val="00F72C9B"/>
    <w:rsid w:val="00F8162F"/>
    <w:rsid w:val="00F81C1E"/>
    <w:rsid w:val="00F92804"/>
    <w:rsid w:val="00F929B7"/>
    <w:rsid w:val="00FA2426"/>
    <w:rsid w:val="00FB485D"/>
    <w:rsid w:val="00FB71DC"/>
    <w:rsid w:val="00FD0D35"/>
    <w:rsid w:val="00FD5F1F"/>
    <w:rsid w:val="00FE1CA7"/>
    <w:rsid w:val="00FE4D9C"/>
    <w:rsid w:val="00FE691D"/>
    <w:rsid w:val="00FE6F5D"/>
    <w:rsid w:val="00FF0DDF"/>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B6DFD6-C183-4AA3-B324-A3B49C36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93FDC"/>
    <w:pPr>
      <w:keepNext/>
      <w:spacing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957BC2"/>
    <w:pPr>
      <w:spacing w:after="0" w:line="240" w:lineRule="auto"/>
      <w:ind w:left="-1985"/>
      <w:jc w:val="right"/>
    </w:pPr>
    <w:rPr>
      <w:noProof/>
      <w:color w:val="0082AB"/>
      <w:spacing w:val="6"/>
      <w:sz w:val="16"/>
      <w:szCs w:val="16"/>
    </w:rPr>
  </w:style>
  <w:style w:type="character" w:customStyle="1" w:styleId="FooterChar">
    <w:name w:val="Footer Char"/>
    <w:link w:val="Footer"/>
    <w:rsid w:val="00957BC2"/>
    <w:rPr>
      <w:rFonts w:ascii="Arial" w:eastAsia="Times New Roman" w:hAnsi="Arial" w:cs="Times New Roman"/>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800DEC"/>
    <w:pPr>
      <w:numPr>
        <w:numId w:val="29"/>
      </w:numPr>
      <w:spacing w:after="180" w:line="280" w:lineRule="exact"/>
    </w:pPr>
    <w:rPr>
      <w:rFonts w:ascii="Arial" w:eastAsia="Times New Roman" w:hAnsi="Arial"/>
      <w:sz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293FDC"/>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Regulatory impact assessment - Securitization of pre-1990 forestry emissions units (May 2018)</vt:lpstr>
    </vt:vector>
  </TitlesOfParts>
  <Manager/>
  <Company>Inland Revenue</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Securitization of pre-1990 forestry emissions units (May 2018)</dc:title>
  <dc:creator>Policy and Strategy</dc:creator>
  <dc:description>Published December 2018.</dc:description>
  <dcterms:created xsi:type="dcterms:W3CDTF">2018-11-29T00:57:00Z</dcterms:created>
  <dcterms:modified xsi:type="dcterms:W3CDTF">2018-11-29T00:58:00Z</dcterms:modified>
</cp:coreProperties>
</file>