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A3FA" w14:textId="77777777" w:rsidR="001005B7" w:rsidRPr="00A95E07" w:rsidRDefault="001005B7" w:rsidP="001005B7">
      <w:pPr>
        <w:jc w:val="center"/>
        <w:rPr>
          <w:b/>
          <w:lang w:val="en-NZ"/>
        </w:rPr>
      </w:pPr>
      <w:bookmarkStart w:id="0" w:name="_GoBack"/>
      <w:bookmarkEnd w:id="0"/>
    </w:p>
    <w:p w14:paraId="69A77693" w14:textId="77777777" w:rsidR="001005B7" w:rsidRPr="00A95E07" w:rsidRDefault="001005B7" w:rsidP="001005B7">
      <w:pPr>
        <w:jc w:val="center"/>
        <w:rPr>
          <w:b/>
          <w:lang w:val="en-NZ"/>
        </w:rPr>
      </w:pPr>
    </w:p>
    <w:p w14:paraId="587CCD8D" w14:textId="77777777" w:rsidR="001005B7" w:rsidRPr="00A95E07" w:rsidRDefault="001005B7" w:rsidP="001005B7">
      <w:pPr>
        <w:jc w:val="center"/>
        <w:rPr>
          <w:b/>
          <w:lang w:val="en-NZ"/>
        </w:rPr>
      </w:pPr>
    </w:p>
    <w:p w14:paraId="46E6867E" w14:textId="77777777" w:rsidR="001005B7" w:rsidRPr="00A95E07" w:rsidRDefault="001005B7" w:rsidP="001005B7">
      <w:pPr>
        <w:jc w:val="center"/>
        <w:rPr>
          <w:b/>
          <w:lang w:val="en-NZ"/>
        </w:rPr>
      </w:pPr>
    </w:p>
    <w:p w14:paraId="14C27BAC" w14:textId="77777777" w:rsidR="001005B7" w:rsidRPr="00A95E07" w:rsidRDefault="0072539E" w:rsidP="001005B7">
      <w:pPr>
        <w:pBdr>
          <w:bottom w:val="single" w:sz="4" w:space="5" w:color="auto"/>
        </w:pBdr>
        <w:jc w:val="center"/>
        <w:rPr>
          <w:sz w:val="68"/>
          <w:szCs w:val="68"/>
          <w:lang w:val="en-NZ"/>
        </w:rPr>
      </w:pPr>
      <w:r w:rsidRPr="00A95E07">
        <w:rPr>
          <w:sz w:val="68"/>
          <w:szCs w:val="68"/>
          <w:lang w:val="en-NZ"/>
        </w:rPr>
        <w:t>Ring-fencing rental losses</w:t>
      </w:r>
    </w:p>
    <w:p w14:paraId="040F3E8B" w14:textId="77777777" w:rsidR="001005B7" w:rsidRPr="00A95E07" w:rsidRDefault="001005B7" w:rsidP="001005B7">
      <w:pPr>
        <w:jc w:val="center"/>
        <w:rPr>
          <w:b/>
          <w:sz w:val="40"/>
          <w:szCs w:val="40"/>
          <w:lang w:val="en-NZ"/>
        </w:rPr>
      </w:pPr>
    </w:p>
    <w:p w14:paraId="57DF11CB" w14:textId="77777777" w:rsidR="001005B7" w:rsidRPr="00A95E07" w:rsidRDefault="001005B7" w:rsidP="001005B7">
      <w:pPr>
        <w:jc w:val="center"/>
        <w:rPr>
          <w:i/>
          <w:sz w:val="28"/>
          <w:szCs w:val="28"/>
          <w:lang w:val="en-NZ"/>
        </w:rPr>
      </w:pPr>
      <w:r w:rsidRPr="00A95E07">
        <w:rPr>
          <w:i/>
          <w:sz w:val="28"/>
          <w:szCs w:val="28"/>
          <w:lang w:val="en-NZ"/>
        </w:rPr>
        <w:t>An officials’ issues paper</w:t>
      </w:r>
    </w:p>
    <w:p w14:paraId="01B8CDCE" w14:textId="77777777" w:rsidR="001005B7" w:rsidRPr="00A95E07" w:rsidRDefault="001005B7" w:rsidP="001005B7">
      <w:pPr>
        <w:rPr>
          <w:lang w:val="en-NZ"/>
        </w:rPr>
      </w:pPr>
    </w:p>
    <w:p w14:paraId="1AC09BC3" w14:textId="77777777" w:rsidR="008538BE" w:rsidRPr="00A95E07" w:rsidRDefault="008538BE" w:rsidP="001005B7">
      <w:pPr>
        <w:rPr>
          <w:lang w:val="en-NZ"/>
        </w:rPr>
      </w:pPr>
    </w:p>
    <w:p w14:paraId="6A243997" w14:textId="77777777" w:rsidR="008538BE" w:rsidRPr="00A95E07" w:rsidRDefault="008538BE" w:rsidP="001005B7">
      <w:pPr>
        <w:rPr>
          <w:lang w:val="en-NZ"/>
        </w:rPr>
      </w:pPr>
    </w:p>
    <w:p w14:paraId="0AC24713" w14:textId="77777777" w:rsidR="008538BE" w:rsidRPr="00A95E07" w:rsidRDefault="008538BE" w:rsidP="001005B7">
      <w:pPr>
        <w:rPr>
          <w:lang w:val="en-NZ"/>
        </w:rPr>
      </w:pPr>
    </w:p>
    <w:p w14:paraId="5A2D68FC" w14:textId="77777777" w:rsidR="008538BE" w:rsidRPr="00A95E07" w:rsidRDefault="008538BE" w:rsidP="001005B7">
      <w:pPr>
        <w:rPr>
          <w:lang w:val="en-NZ"/>
        </w:rPr>
      </w:pPr>
    </w:p>
    <w:p w14:paraId="1B217785" w14:textId="77777777" w:rsidR="008538BE" w:rsidRPr="00A95E07" w:rsidRDefault="008538BE" w:rsidP="001005B7">
      <w:pPr>
        <w:rPr>
          <w:lang w:val="en-NZ"/>
        </w:rPr>
      </w:pPr>
    </w:p>
    <w:p w14:paraId="6DF2F956" w14:textId="77777777" w:rsidR="008538BE" w:rsidRPr="00A95E07" w:rsidRDefault="008538BE" w:rsidP="001005B7">
      <w:pPr>
        <w:rPr>
          <w:lang w:val="en-NZ"/>
        </w:rPr>
      </w:pPr>
    </w:p>
    <w:p w14:paraId="1D545826" w14:textId="77777777" w:rsidR="008538BE" w:rsidRPr="00A95E07" w:rsidRDefault="008538BE" w:rsidP="001005B7">
      <w:pPr>
        <w:rPr>
          <w:lang w:val="en-NZ"/>
        </w:rPr>
      </w:pPr>
    </w:p>
    <w:p w14:paraId="47C65FAE" w14:textId="77777777" w:rsidR="008538BE" w:rsidRPr="00A95E07" w:rsidRDefault="008538BE" w:rsidP="001005B7">
      <w:pPr>
        <w:rPr>
          <w:lang w:val="en-NZ"/>
        </w:rPr>
      </w:pPr>
    </w:p>
    <w:p w14:paraId="205160B1" w14:textId="77777777" w:rsidR="008538BE" w:rsidRPr="00A95E07" w:rsidRDefault="008538BE" w:rsidP="001005B7">
      <w:pPr>
        <w:rPr>
          <w:lang w:val="en-NZ"/>
        </w:rPr>
      </w:pPr>
    </w:p>
    <w:p w14:paraId="6CF72EE7" w14:textId="77777777" w:rsidR="008538BE" w:rsidRPr="00A95E07" w:rsidRDefault="008538BE" w:rsidP="001005B7">
      <w:pPr>
        <w:rPr>
          <w:lang w:val="en-NZ"/>
        </w:rPr>
      </w:pPr>
    </w:p>
    <w:p w14:paraId="61CF547E" w14:textId="77777777" w:rsidR="008538BE" w:rsidRPr="00A95E07" w:rsidRDefault="008538BE" w:rsidP="001005B7">
      <w:pPr>
        <w:rPr>
          <w:lang w:val="en-NZ"/>
        </w:rPr>
      </w:pPr>
    </w:p>
    <w:p w14:paraId="69E95A49" w14:textId="77777777" w:rsidR="008538BE" w:rsidRPr="00A95E07" w:rsidRDefault="008538BE" w:rsidP="001005B7">
      <w:pPr>
        <w:rPr>
          <w:lang w:val="en-NZ"/>
        </w:rPr>
      </w:pPr>
    </w:p>
    <w:p w14:paraId="12FCA939" w14:textId="77777777" w:rsidR="008538BE" w:rsidRPr="00A95E07" w:rsidRDefault="008538BE" w:rsidP="001005B7">
      <w:pPr>
        <w:rPr>
          <w:lang w:val="en-NZ"/>
        </w:rPr>
      </w:pPr>
    </w:p>
    <w:p w14:paraId="29BC14C1" w14:textId="77777777" w:rsidR="001005B7" w:rsidRPr="00A95E07" w:rsidRDefault="001005B7" w:rsidP="001005B7">
      <w:pPr>
        <w:rPr>
          <w:lang w:val="en-NZ"/>
        </w:rPr>
      </w:pPr>
    </w:p>
    <w:p w14:paraId="2F74FD71" w14:textId="77777777" w:rsidR="001005B7" w:rsidRPr="00A95E07" w:rsidRDefault="001005B7" w:rsidP="001005B7">
      <w:pPr>
        <w:rPr>
          <w:lang w:val="en-NZ"/>
        </w:rPr>
      </w:pPr>
    </w:p>
    <w:p w14:paraId="362BB3EA" w14:textId="77777777" w:rsidR="001005B7" w:rsidRPr="00A95E07" w:rsidRDefault="001005B7" w:rsidP="001005B7">
      <w:pPr>
        <w:rPr>
          <w:lang w:val="en-NZ"/>
        </w:rPr>
      </w:pPr>
    </w:p>
    <w:p w14:paraId="45A1E602" w14:textId="77777777" w:rsidR="001005B7" w:rsidRPr="00A95E07" w:rsidRDefault="001005B7" w:rsidP="001005B7">
      <w:pPr>
        <w:rPr>
          <w:lang w:val="en-NZ"/>
        </w:rPr>
      </w:pPr>
    </w:p>
    <w:p w14:paraId="6F01B7EF" w14:textId="77777777" w:rsidR="001005B7" w:rsidRPr="00A95E07" w:rsidRDefault="001005B7" w:rsidP="001005B7">
      <w:pPr>
        <w:rPr>
          <w:lang w:val="en-NZ"/>
        </w:rPr>
      </w:pPr>
    </w:p>
    <w:p w14:paraId="2FFA4A87" w14:textId="77777777" w:rsidR="001005B7" w:rsidRPr="00A95E07" w:rsidRDefault="001005B7" w:rsidP="001005B7">
      <w:pPr>
        <w:rPr>
          <w:lang w:val="en-NZ"/>
        </w:rPr>
      </w:pPr>
    </w:p>
    <w:p w14:paraId="3009FCE1" w14:textId="77777777" w:rsidR="001005B7" w:rsidRPr="00A95E07" w:rsidRDefault="001005B7" w:rsidP="001005B7">
      <w:pPr>
        <w:rPr>
          <w:lang w:val="en-NZ"/>
        </w:rPr>
      </w:pPr>
    </w:p>
    <w:p w14:paraId="0A37036E" w14:textId="77777777" w:rsidR="001005B7" w:rsidRPr="00A95E07" w:rsidRDefault="001005B7" w:rsidP="001005B7">
      <w:pPr>
        <w:rPr>
          <w:lang w:val="en-NZ"/>
        </w:rPr>
      </w:pPr>
    </w:p>
    <w:p w14:paraId="7B8B5592" w14:textId="77777777" w:rsidR="001005B7" w:rsidRPr="00A95E07" w:rsidRDefault="001005B7" w:rsidP="001005B7">
      <w:pPr>
        <w:rPr>
          <w:lang w:val="en-NZ"/>
        </w:rPr>
      </w:pPr>
    </w:p>
    <w:p w14:paraId="2B5EAE3D" w14:textId="77777777" w:rsidR="001005B7" w:rsidRPr="00A95E07" w:rsidRDefault="001005B7" w:rsidP="001005B7">
      <w:pPr>
        <w:rPr>
          <w:lang w:val="en-NZ"/>
        </w:rPr>
      </w:pPr>
    </w:p>
    <w:p w14:paraId="6A4F18B9" w14:textId="77777777" w:rsidR="001005B7" w:rsidRPr="00A95E07" w:rsidRDefault="001005B7" w:rsidP="001005B7">
      <w:pPr>
        <w:rPr>
          <w:lang w:val="en-NZ"/>
        </w:rPr>
      </w:pPr>
    </w:p>
    <w:p w14:paraId="777464BE" w14:textId="77777777" w:rsidR="001005B7" w:rsidRPr="00A95E07" w:rsidRDefault="001005B7" w:rsidP="001005B7">
      <w:pPr>
        <w:rPr>
          <w:lang w:val="en-NZ"/>
        </w:rPr>
      </w:pPr>
    </w:p>
    <w:p w14:paraId="4749D0AC" w14:textId="77777777" w:rsidR="001005B7" w:rsidRPr="00A95E07" w:rsidRDefault="001005B7" w:rsidP="001005B7">
      <w:pPr>
        <w:rPr>
          <w:lang w:val="en-NZ"/>
        </w:rPr>
      </w:pPr>
    </w:p>
    <w:p w14:paraId="75D735DD" w14:textId="77777777" w:rsidR="001005B7" w:rsidRPr="00A95E07" w:rsidRDefault="001005B7" w:rsidP="001005B7">
      <w:pPr>
        <w:rPr>
          <w:lang w:val="en-NZ"/>
        </w:rPr>
      </w:pPr>
    </w:p>
    <w:p w14:paraId="5C3A6841" w14:textId="77777777" w:rsidR="001005B7" w:rsidRPr="00A95E07" w:rsidRDefault="001005B7" w:rsidP="001005B7">
      <w:pPr>
        <w:rPr>
          <w:lang w:val="en-NZ"/>
        </w:rPr>
      </w:pPr>
    </w:p>
    <w:p w14:paraId="47BE60F3" w14:textId="77777777" w:rsidR="001005B7" w:rsidRPr="00A95E07" w:rsidRDefault="001005B7" w:rsidP="001005B7">
      <w:pPr>
        <w:rPr>
          <w:lang w:val="en-NZ"/>
        </w:rPr>
      </w:pPr>
    </w:p>
    <w:p w14:paraId="6D9A3439" w14:textId="77777777" w:rsidR="001005B7" w:rsidRPr="00A95E07" w:rsidRDefault="001005B7" w:rsidP="001005B7">
      <w:pPr>
        <w:rPr>
          <w:lang w:val="en-NZ"/>
        </w:rPr>
      </w:pPr>
    </w:p>
    <w:p w14:paraId="4FD268C4" w14:textId="77777777" w:rsidR="001005B7" w:rsidRPr="00A95E07" w:rsidRDefault="001005B7" w:rsidP="001005B7">
      <w:pPr>
        <w:rPr>
          <w:lang w:val="en-NZ"/>
        </w:rPr>
      </w:pPr>
    </w:p>
    <w:p w14:paraId="0F6ED446" w14:textId="77777777" w:rsidR="001005B7" w:rsidRPr="00A95E07" w:rsidRDefault="001005B7" w:rsidP="001005B7">
      <w:pPr>
        <w:rPr>
          <w:lang w:val="en-NZ"/>
        </w:rPr>
      </w:pPr>
    </w:p>
    <w:p w14:paraId="29D23A4D" w14:textId="1CC0B151" w:rsidR="001005B7" w:rsidRPr="00A95E07" w:rsidRDefault="00A0009C" w:rsidP="001005B7">
      <w:pPr>
        <w:tabs>
          <w:tab w:val="left" w:pos="6237"/>
        </w:tabs>
        <w:rPr>
          <w:sz w:val="28"/>
          <w:szCs w:val="28"/>
          <w:lang w:val="en-NZ"/>
        </w:rPr>
      </w:pPr>
      <w:r w:rsidRPr="00A95E07">
        <w:rPr>
          <w:sz w:val="28"/>
          <w:szCs w:val="28"/>
          <w:lang w:val="en-NZ"/>
        </w:rPr>
        <w:t>March</w:t>
      </w:r>
      <w:r w:rsidR="00F41E01" w:rsidRPr="00A95E07">
        <w:rPr>
          <w:sz w:val="28"/>
          <w:szCs w:val="28"/>
          <w:lang w:val="en-NZ"/>
        </w:rPr>
        <w:t xml:space="preserve"> 201</w:t>
      </w:r>
      <w:r w:rsidR="0072539E" w:rsidRPr="00A95E07">
        <w:rPr>
          <w:sz w:val="28"/>
          <w:szCs w:val="28"/>
          <w:lang w:val="en-NZ"/>
        </w:rPr>
        <w:t>8</w:t>
      </w:r>
    </w:p>
    <w:p w14:paraId="011370A5" w14:textId="77777777" w:rsidR="001005B7" w:rsidRPr="00A95E07" w:rsidRDefault="001005B7" w:rsidP="001005B7">
      <w:pPr>
        <w:tabs>
          <w:tab w:val="left" w:pos="6237"/>
        </w:tabs>
        <w:rPr>
          <w:sz w:val="28"/>
          <w:szCs w:val="28"/>
          <w:lang w:val="en-NZ"/>
        </w:rPr>
      </w:pPr>
    </w:p>
    <w:p w14:paraId="61D52728" w14:textId="77777777" w:rsidR="001005B7" w:rsidRPr="00A95E07" w:rsidRDefault="001005B7" w:rsidP="001005B7">
      <w:pPr>
        <w:tabs>
          <w:tab w:val="left" w:pos="6237"/>
        </w:tabs>
        <w:rPr>
          <w:sz w:val="28"/>
          <w:szCs w:val="28"/>
          <w:lang w:val="en-NZ"/>
        </w:rPr>
      </w:pPr>
    </w:p>
    <w:p w14:paraId="494C12BB" w14:textId="77777777" w:rsidR="001005B7" w:rsidRPr="00A95E07" w:rsidRDefault="001005B7" w:rsidP="001005B7">
      <w:pPr>
        <w:tabs>
          <w:tab w:val="left" w:pos="6237"/>
        </w:tabs>
        <w:rPr>
          <w:i/>
          <w:lang w:val="en-NZ"/>
        </w:rPr>
      </w:pPr>
      <w:r w:rsidRPr="00A95E07">
        <w:rPr>
          <w:i/>
          <w:lang w:val="en-NZ"/>
        </w:rPr>
        <w:t xml:space="preserve">Prepared by Policy </w:t>
      </w:r>
      <w:r w:rsidR="00B94457" w:rsidRPr="00A95E07">
        <w:rPr>
          <w:i/>
          <w:lang w:val="en-NZ"/>
        </w:rPr>
        <w:t>and Strategy</w:t>
      </w:r>
      <w:r w:rsidR="00F41E01" w:rsidRPr="00A95E07">
        <w:rPr>
          <w:i/>
          <w:lang w:val="en-NZ"/>
        </w:rPr>
        <w:t>,</w:t>
      </w:r>
      <w:r w:rsidR="00B94457" w:rsidRPr="00A95E07">
        <w:rPr>
          <w:i/>
          <w:lang w:val="en-NZ"/>
        </w:rPr>
        <w:t xml:space="preserve"> </w:t>
      </w:r>
      <w:r w:rsidRPr="00A95E07">
        <w:rPr>
          <w:i/>
          <w:lang w:val="en-NZ"/>
        </w:rPr>
        <w:t>Inland Revenue</w:t>
      </w:r>
      <w:r w:rsidR="00F41E01" w:rsidRPr="00A95E07">
        <w:rPr>
          <w:i/>
          <w:lang w:val="en-NZ"/>
        </w:rPr>
        <w:t>,</w:t>
      </w:r>
      <w:r w:rsidRPr="00A95E07">
        <w:rPr>
          <w:i/>
          <w:lang w:val="en-NZ"/>
        </w:rPr>
        <w:t xml:space="preserve"> </w:t>
      </w:r>
      <w:r w:rsidR="00B94457" w:rsidRPr="00A95E07">
        <w:rPr>
          <w:i/>
          <w:lang w:val="en-NZ"/>
        </w:rPr>
        <w:t>a</w:t>
      </w:r>
      <w:r w:rsidRPr="00A95E07">
        <w:rPr>
          <w:i/>
          <w:lang w:val="en-NZ"/>
        </w:rPr>
        <w:t>nd the Treasury</w:t>
      </w:r>
    </w:p>
    <w:p w14:paraId="06777624" w14:textId="77777777" w:rsidR="001005B7" w:rsidRPr="00A95E07" w:rsidRDefault="001005B7" w:rsidP="001005B7">
      <w:pPr>
        <w:rPr>
          <w:lang w:val="en-NZ"/>
        </w:rPr>
      </w:pPr>
      <w:r w:rsidRPr="00A95E07">
        <w:rPr>
          <w:lang w:val="en-NZ"/>
        </w:rPr>
        <w:br w:type="page"/>
      </w:r>
    </w:p>
    <w:p w14:paraId="2FFBED44" w14:textId="77777777" w:rsidR="001005B7" w:rsidRPr="00A95E07" w:rsidRDefault="001005B7" w:rsidP="001005B7">
      <w:pPr>
        <w:rPr>
          <w:lang w:val="en-NZ"/>
        </w:rPr>
      </w:pPr>
    </w:p>
    <w:p w14:paraId="6ECA074B" w14:textId="77777777" w:rsidR="001005B7" w:rsidRPr="00A95E07" w:rsidRDefault="001005B7" w:rsidP="001005B7">
      <w:pPr>
        <w:rPr>
          <w:lang w:val="en-NZ"/>
        </w:rPr>
      </w:pPr>
    </w:p>
    <w:p w14:paraId="5786ADEC" w14:textId="77777777" w:rsidR="001005B7" w:rsidRPr="00A95E07" w:rsidRDefault="001005B7" w:rsidP="001005B7">
      <w:pPr>
        <w:rPr>
          <w:lang w:val="en-NZ"/>
        </w:rPr>
      </w:pPr>
    </w:p>
    <w:p w14:paraId="64CB234E" w14:textId="77777777" w:rsidR="001005B7" w:rsidRPr="00A95E07" w:rsidRDefault="001005B7" w:rsidP="001005B7">
      <w:pPr>
        <w:rPr>
          <w:lang w:val="en-NZ"/>
        </w:rPr>
      </w:pPr>
    </w:p>
    <w:p w14:paraId="601648BE" w14:textId="77777777" w:rsidR="001005B7" w:rsidRPr="00A95E07" w:rsidRDefault="001005B7" w:rsidP="001005B7">
      <w:pPr>
        <w:rPr>
          <w:lang w:val="en-NZ"/>
        </w:rPr>
      </w:pPr>
    </w:p>
    <w:p w14:paraId="51F17FF5" w14:textId="77777777" w:rsidR="001005B7" w:rsidRPr="00A95E07" w:rsidRDefault="001005B7" w:rsidP="001005B7">
      <w:pPr>
        <w:rPr>
          <w:lang w:val="en-NZ"/>
        </w:rPr>
      </w:pPr>
    </w:p>
    <w:p w14:paraId="38C6B92A" w14:textId="77777777" w:rsidR="001005B7" w:rsidRPr="00A95E07" w:rsidRDefault="001005B7" w:rsidP="001005B7">
      <w:pPr>
        <w:rPr>
          <w:lang w:val="en-NZ"/>
        </w:rPr>
      </w:pPr>
    </w:p>
    <w:p w14:paraId="3ABA4DF6" w14:textId="77777777" w:rsidR="001005B7" w:rsidRPr="00A95E07" w:rsidRDefault="001005B7" w:rsidP="001005B7">
      <w:pPr>
        <w:rPr>
          <w:lang w:val="en-NZ"/>
        </w:rPr>
      </w:pPr>
    </w:p>
    <w:p w14:paraId="184D97B5" w14:textId="77777777" w:rsidR="001005B7" w:rsidRPr="00A95E07" w:rsidRDefault="001005B7" w:rsidP="001005B7">
      <w:pPr>
        <w:rPr>
          <w:lang w:val="en-NZ"/>
        </w:rPr>
      </w:pPr>
    </w:p>
    <w:p w14:paraId="73C1BD36" w14:textId="77777777" w:rsidR="001005B7" w:rsidRPr="00A95E07" w:rsidRDefault="001005B7" w:rsidP="001005B7">
      <w:pPr>
        <w:rPr>
          <w:lang w:val="en-NZ"/>
        </w:rPr>
      </w:pPr>
    </w:p>
    <w:p w14:paraId="6A84C53D" w14:textId="77777777" w:rsidR="001005B7" w:rsidRPr="00A95E07" w:rsidRDefault="001005B7" w:rsidP="001005B7">
      <w:pPr>
        <w:rPr>
          <w:lang w:val="en-NZ"/>
        </w:rPr>
      </w:pPr>
    </w:p>
    <w:p w14:paraId="028FA256" w14:textId="77777777" w:rsidR="001005B7" w:rsidRPr="00A95E07" w:rsidRDefault="001005B7" w:rsidP="001005B7">
      <w:pPr>
        <w:rPr>
          <w:lang w:val="en-NZ"/>
        </w:rPr>
      </w:pPr>
    </w:p>
    <w:p w14:paraId="5B53634E" w14:textId="77777777" w:rsidR="001005B7" w:rsidRPr="00A95E07" w:rsidRDefault="001005B7" w:rsidP="001005B7">
      <w:pPr>
        <w:rPr>
          <w:lang w:val="en-NZ"/>
        </w:rPr>
      </w:pPr>
    </w:p>
    <w:p w14:paraId="29158BAB" w14:textId="77777777" w:rsidR="001005B7" w:rsidRPr="00A95E07" w:rsidRDefault="001005B7" w:rsidP="001005B7">
      <w:pPr>
        <w:rPr>
          <w:lang w:val="en-NZ"/>
        </w:rPr>
      </w:pPr>
    </w:p>
    <w:p w14:paraId="3A9BF1EB" w14:textId="77777777" w:rsidR="001005B7" w:rsidRPr="00A95E07" w:rsidRDefault="001005B7" w:rsidP="001005B7">
      <w:pPr>
        <w:rPr>
          <w:lang w:val="en-NZ"/>
        </w:rPr>
      </w:pPr>
    </w:p>
    <w:p w14:paraId="0B9C9333" w14:textId="77777777" w:rsidR="001005B7" w:rsidRPr="00A95E07" w:rsidRDefault="001005B7" w:rsidP="001005B7">
      <w:pPr>
        <w:rPr>
          <w:lang w:val="en-NZ"/>
        </w:rPr>
      </w:pPr>
    </w:p>
    <w:p w14:paraId="10C7C24E" w14:textId="77777777" w:rsidR="001005B7" w:rsidRPr="00A95E07" w:rsidRDefault="001005B7" w:rsidP="001005B7">
      <w:pPr>
        <w:rPr>
          <w:lang w:val="en-NZ"/>
        </w:rPr>
      </w:pPr>
    </w:p>
    <w:p w14:paraId="5A75D558" w14:textId="77777777" w:rsidR="001005B7" w:rsidRPr="00A95E07" w:rsidRDefault="001005B7" w:rsidP="001005B7">
      <w:pPr>
        <w:rPr>
          <w:lang w:val="en-NZ"/>
        </w:rPr>
      </w:pPr>
    </w:p>
    <w:p w14:paraId="758674D8" w14:textId="77777777" w:rsidR="001005B7" w:rsidRPr="00A95E07" w:rsidRDefault="001005B7" w:rsidP="001005B7">
      <w:pPr>
        <w:rPr>
          <w:lang w:val="en-NZ"/>
        </w:rPr>
      </w:pPr>
    </w:p>
    <w:p w14:paraId="423D878B" w14:textId="77777777" w:rsidR="001005B7" w:rsidRPr="00A95E07" w:rsidRDefault="001005B7" w:rsidP="001005B7">
      <w:pPr>
        <w:rPr>
          <w:lang w:val="en-NZ"/>
        </w:rPr>
      </w:pPr>
    </w:p>
    <w:p w14:paraId="4D85A9C0" w14:textId="77777777" w:rsidR="001005B7" w:rsidRPr="00A95E07" w:rsidRDefault="001005B7" w:rsidP="001005B7">
      <w:pPr>
        <w:rPr>
          <w:lang w:val="en-NZ"/>
        </w:rPr>
      </w:pPr>
    </w:p>
    <w:p w14:paraId="1BCE04D1" w14:textId="77777777" w:rsidR="001005B7" w:rsidRPr="00A95E07" w:rsidRDefault="001005B7" w:rsidP="001005B7">
      <w:pPr>
        <w:rPr>
          <w:lang w:val="en-NZ"/>
        </w:rPr>
      </w:pPr>
    </w:p>
    <w:p w14:paraId="499B8624" w14:textId="77777777" w:rsidR="001005B7" w:rsidRPr="00A95E07" w:rsidRDefault="001005B7" w:rsidP="001005B7">
      <w:pPr>
        <w:rPr>
          <w:lang w:val="en-NZ"/>
        </w:rPr>
      </w:pPr>
    </w:p>
    <w:p w14:paraId="6E75E01A" w14:textId="77777777" w:rsidR="001005B7" w:rsidRPr="00A95E07" w:rsidRDefault="001005B7" w:rsidP="001005B7">
      <w:pPr>
        <w:rPr>
          <w:lang w:val="en-NZ"/>
        </w:rPr>
      </w:pPr>
    </w:p>
    <w:p w14:paraId="3B233B29" w14:textId="77777777" w:rsidR="001005B7" w:rsidRPr="00A95E07" w:rsidRDefault="001005B7" w:rsidP="001005B7">
      <w:pPr>
        <w:rPr>
          <w:lang w:val="en-NZ"/>
        </w:rPr>
      </w:pPr>
    </w:p>
    <w:p w14:paraId="51A15528" w14:textId="77777777" w:rsidR="001005B7" w:rsidRPr="00A95E07" w:rsidRDefault="001005B7" w:rsidP="001005B7">
      <w:pPr>
        <w:rPr>
          <w:lang w:val="en-NZ"/>
        </w:rPr>
      </w:pPr>
    </w:p>
    <w:p w14:paraId="354CC163" w14:textId="77777777" w:rsidR="001005B7" w:rsidRPr="00A95E07" w:rsidRDefault="001005B7" w:rsidP="001005B7">
      <w:pPr>
        <w:rPr>
          <w:lang w:val="en-NZ"/>
        </w:rPr>
      </w:pPr>
    </w:p>
    <w:p w14:paraId="5CA3D558" w14:textId="77777777" w:rsidR="001005B7" w:rsidRPr="00A95E07" w:rsidRDefault="001005B7" w:rsidP="001005B7">
      <w:pPr>
        <w:rPr>
          <w:lang w:val="en-NZ"/>
        </w:rPr>
      </w:pPr>
    </w:p>
    <w:p w14:paraId="143C7DC5" w14:textId="77777777" w:rsidR="001005B7" w:rsidRPr="00A95E07" w:rsidRDefault="001005B7" w:rsidP="001005B7">
      <w:pPr>
        <w:rPr>
          <w:lang w:val="en-NZ"/>
        </w:rPr>
      </w:pPr>
    </w:p>
    <w:p w14:paraId="6FB19826" w14:textId="77777777" w:rsidR="001005B7" w:rsidRPr="00A95E07" w:rsidRDefault="001005B7" w:rsidP="001005B7">
      <w:pPr>
        <w:rPr>
          <w:lang w:val="en-NZ"/>
        </w:rPr>
      </w:pPr>
    </w:p>
    <w:p w14:paraId="0B26E2BE" w14:textId="77777777" w:rsidR="001005B7" w:rsidRPr="00A95E07" w:rsidRDefault="001005B7" w:rsidP="001005B7">
      <w:pPr>
        <w:rPr>
          <w:lang w:val="en-NZ"/>
        </w:rPr>
      </w:pPr>
    </w:p>
    <w:p w14:paraId="6DD54CF1" w14:textId="77777777" w:rsidR="001005B7" w:rsidRPr="00A95E07" w:rsidRDefault="001005B7" w:rsidP="001005B7">
      <w:pPr>
        <w:rPr>
          <w:lang w:val="en-NZ"/>
        </w:rPr>
      </w:pPr>
    </w:p>
    <w:p w14:paraId="2AF5A30D" w14:textId="77777777" w:rsidR="001005B7" w:rsidRPr="00A95E07" w:rsidRDefault="001005B7" w:rsidP="001005B7">
      <w:pPr>
        <w:rPr>
          <w:lang w:val="en-NZ"/>
        </w:rPr>
      </w:pPr>
    </w:p>
    <w:p w14:paraId="2C7CF9F9" w14:textId="77777777" w:rsidR="001005B7" w:rsidRPr="00A95E07" w:rsidRDefault="001005B7" w:rsidP="001005B7">
      <w:pPr>
        <w:rPr>
          <w:lang w:val="en-NZ"/>
        </w:rPr>
      </w:pPr>
    </w:p>
    <w:p w14:paraId="518E8D8A" w14:textId="77777777" w:rsidR="001005B7" w:rsidRPr="00A95E07" w:rsidRDefault="001005B7" w:rsidP="001005B7">
      <w:pPr>
        <w:rPr>
          <w:lang w:val="en-NZ"/>
        </w:rPr>
      </w:pPr>
    </w:p>
    <w:p w14:paraId="64D8B6EE" w14:textId="77777777" w:rsidR="001005B7" w:rsidRPr="00A95E07" w:rsidRDefault="001005B7" w:rsidP="001005B7">
      <w:pPr>
        <w:rPr>
          <w:lang w:val="en-NZ"/>
        </w:rPr>
      </w:pPr>
    </w:p>
    <w:p w14:paraId="68EEB375" w14:textId="77777777" w:rsidR="001005B7" w:rsidRPr="00A95E07" w:rsidRDefault="001005B7" w:rsidP="001005B7">
      <w:pPr>
        <w:rPr>
          <w:lang w:val="en-NZ"/>
        </w:rPr>
      </w:pPr>
    </w:p>
    <w:p w14:paraId="3DB97348" w14:textId="77777777" w:rsidR="008538BE" w:rsidRPr="00A95E07" w:rsidRDefault="008538BE" w:rsidP="001005B7">
      <w:pPr>
        <w:rPr>
          <w:lang w:val="en-NZ"/>
        </w:rPr>
      </w:pPr>
    </w:p>
    <w:p w14:paraId="0E885A11" w14:textId="77777777" w:rsidR="008538BE" w:rsidRPr="00A95E07" w:rsidRDefault="008538BE" w:rsidP="001005B7">
      <w:pPr>
        <w:rPr>
          <w:lang w:val="en-NZ"/>
        </w:rPr>
      </w:pPr>
    </w:p>
    <w:p w14:paraId="1FF3E78A" w14:textId="77777777" w:rsidR="008538BE" w:rsidRPr="00A95E07" w:rsidRDefault="008538BE" w:rsidP="001005B7">
      <w:pPr>
        <w:rPr>
          <w:lang w:val="en-NZ"/>
        </w:rPr>
      </w:pPr>
    </w:p>
    <w:p w14:paraId="6B0656CC" w14:textId="77777777" w:rsidR="008538BE" w:rsidRPr="00A95E07" w:rsidRDefault="008538BE" w:rsidP="001005B7">
      <w:pPr>
        <w:rPr>
          <w:lang w:val="en-NZ"/>
        </w:rPr>
      </w:pPr>
    </w:p>
    <w:p w14:paraId="6D3CBCC1" w14:textId="77777777" w:rsidR="008538BE" w:rsidRPr="00A95E07" w:rsidRDefault="008538BE" w:rsidP="001005B7">
      <w:pPr>
        <w:rPr>
          <w:lang w:val="en-NZ"/>
        </w:rPr>
      </w:pPr>
    </w:p>
    <w:p w14:paraId="6474720F" w14:textId="77777777" w:rsidR="001005B7" w:rsidRPr="00A95E07" w:rsidRDefault="001005B7" w:rsidP="001005B7">
      <w:pPr>
        <w:rPr>
          <w:lang w:val="en-NZ"/>
        </w:rPr>
      </w:pPr>
    </w:p>
    <w:p w14:paraId="62489BDD" w14:textId="77777777" w:rsidR="001005B7" w:rsidRPr="00A95E07" w:rsidRDefault="001005B7" w:rsidP="001005B7">
      <w:pPr>
        <w:rPr>
          <w:lang w:val="en-NZ"/>
        </w:rPr>
      </w:pPr>
    </w:p>
    <w:p w14:paraId="16905523" w14:textId="77777777" w:rsidR="001005B7" w:rsidRPr="00A95E07" w:rsidRDefault="001005B7" w:rsidP="001005B7">
      <w:pPr>
        <w:rPr>
          <w:lang w:val="en-NZ"/>
        </w:rPr>
      </w:pPr>
    </w:p>
    <w:p w14:paraId="3A1EF01D" w14:textId="77777777" w:rsidR="001005B7" w:rsidRPr="00A95E07" w:rsidRDefault="001005B7" w:rsidP="001005B7">
      <w:pPr>
        <w:rPr>
          <w:lang w:val="en-NZ"/>
        </w:rPr>
      </w:pPr>
    </w:p>
    <w:p w14:paraId="4FEE5E8D" w14:textId="77777777" w:rsidR="001005B7" w:rsidRPr="00A95E07" w:rsidRDefault="001005B7" w:rsidP="001005B7">
      <w:pPr>
        <w:rPr>
          <w:lang w:val="en-NZ"/>
        </w:rPr>
      </w:pPr>
    </w:p>
    <w:p w14:paraId="06AE3525" w14:textId="77777777" w:rsidR="001005B7" w:rsidRPr="00A95E07" w:rsidRDefault="001005B7" w:rsidP="001005B7">
      <w:pPr>
        <w:rPr>
          <w:lang w:val="en-NZ"/>
        </w:rPr>
      </w:pPr>
    </w:p>
    <w:p w14:paraId="0F9C2D23" w14:textId="275F24A7" w:rsidR="001005B7" w:rsidRPr="00A95E07" w:rsidRDefault="001005B7" w:rsidP="001005B7">
      <w:pPr>
        <w:jc w:val="left"/>
        <w:rPr>
          <w:sz w:val="20"/>
          <w:lang w:val="en-NZ"/>
        </w:rPr>
      </w:pPr>
      <w:proofErr w:type="gramStart"/>
      <w:r w:rsidRPr="00A95E07">
        <w:rPr>
          <w:sz w:val="20"/>
          <w:lang w:val="en-NZ"/>
        </w:rPr>
        <w:t xml:space="preserve">First published in </w:t>
      </w:r>
      <w:r w:rsidR="007228DD" w:rsidRPr="00A95E07">
        <w:rPr>
          <w:sz w:val="20"/>
          <w:lang w:val="en-NZ"/>
        </w:rPr>
        <w:t>March</w:t>
      </w:r>
      <w:r w:rsidR="001B1FAA" w:rsidRPr="00A95E07">
        <w:rPr>
          <w:sz w:val="20"/>
          <w:lang w:val="en-NZ"/>
        </w:rPr>
        <w:t xml:space="preserve"> 201</w:t>
      </w:r>
      <w:r w:rsidR="007228DD" w:rsidRPr="00A95E07">
        <w:rPr>
          <w:sz w:val="20"/>
          <w:lang w:val="en-NZ"/>
        </w:rPr>
        <w:t>8</w:t>
      </w:r>
      <w:r w:rsidRPr="00A95E07">
        <w:rPr>
          <w:sz w:val="20"/>
          <w:lang w:val="en-NZ"/>
        </w:rPr>
        <w:t xml:space="preserve"> by Policy </w:t>
      </w:r>
      <w:r w:rsidR="00B94457" w:rsidRPr="00A95E07">
        <w:rPr>
          <w:sz w:val="20"/>
          <w:lang w:val="en-NZ"/>
        </w:rPr>
        <w:t>and Strategy</w:t>
      </w:r>
      <w:r w:rsidR="00F36FF2" w:rsidRPr="00A95E07">
        <w:rPr>
          <w:sz w:val="20"/>
          <w:lang w:val="en-NZ"/>
        </w:rPr>
        <w:t>,</w:t>
      </w:r>
      <w:r w:rsidRPr="00A95E07">
        <w:rPr>
          <w:sz w:val="20"/>
          <w:lang w:val="en-NZ"/>
        </w:rPr>
        <w:t xml:space="preserve"> Inland Revenue, </w:t>
      </w:r>
      <w:r w:rsidR="009368ED" w:rsidRPr="00A95E07">
        <w:rPr>
          <w:sz w:val="20"/>
          <w:lang w:val="en-NZ"/>
        </w:rPr>
        <w:t>P</w:t>
      </w:r>
      <w:r w:rsidRPr="00A95E07">
        <w:rPr>
          <w:sz w:val="20"/>
          <w:lang w:val="en-NZ"/>
        </w:rPr>
        <w:t xml:space="preserve">O Box 2198, </w:t>
      </w:r>
      <w:r w:rsidR="00C0665C" w:rsidRPr="00A95E07">
        <w:rPr>
          <w:sz w:val="20"/>
          <w:lang w:val="en-NZ"/>
        </w:rPr>
        <w:br/>
      </w:r>
      <w:r w:rsidRPr="00A95E07">
        <w:rPr>
          <w:sz w:val="20"/>
          <w:lang w:val="en-NZ"/>
        </w:rPr>
        <w:t>Wellington</w:t>
      </w:r>
      <w:r w:rsidR="001B1FAA" w:rsidRPr="00A95E07">
        <w:rPr>
          <w:sz w:val="20"/>
          <w:lang w:val="en-NZ"/>
        </w:rPr>
        <w:t>, 6140</w:t>
      </w:r>
      <w:r w:rsidR="00F36FF2" w:rsidRPr="00A95E07">
        <w:rPr>
          <w:sz w:val="20"/>
          <w:lang w:val="en-NZ"/>
        </w:rPr>
        <w:t>.</w:t>
      </w:r>
      <w:proofErr w:type="gramEnd"/>
    </w:p>
    <w:p w14:paraId="757C5740" w14:textId="77777777" w:rsidR="001005B7" w:rsidRPr="00A95E07" w:rsidRDefault="001005B7" w:rsidP="001005B7">
      <w:pPr>
        <w:jc w:val="left"/>
        <w:rPr>
          <w:sz w:val="20"/>
          <w:lang w:val="en-NZ"/>
        </w:rPr>
      </w:pPr>
    </w:p>
    <w:p w14:paraId="3E2C33A7" w14:textId="77777777" w:rsidR="001005B7" w:rsidRPr="00A95E07" w:rsidRDefault="0072539E" w:rsidP="001005B7">
      <w:pPr>
        <w:jc w:val="left"/>
        <w:rPr>
          <w:sz w:val="20"/>
          <w:lang w:val="en-NZ"/>
        </w:rPr>
      </w:pPr>
      <w:proofErr w:type="gramStart"/>
      <w:r w:rsidRPr="00A95E07">
        <w:rPr>
          <w:sz w:val="20"/>
          <w:lang w:val="en-NZ"/>
        </w:rPr>
        <w:t>Ring-fencing rental losses</w:t>
      </w:r>
      <w:r w:rsidR="001005B7" w:rsidRPr="00A95E07">
        <w:rPr>
          <w:sz w:val="20"/>
          <w:lang w:val="en-NZ"/>
        </w:rPr>
        <w:t xml:space="preserve"> – an officials’ issues paper.</w:t>
      </w:r>
      <w:proofErr w:type="gramEnd"/>
    </w:p>
    <w:p w14:paraId="40C65BD2" w14:textId="4F9399CF" w:rsidR="001005B7" w:rsidRPr="00A95E07" w:rsidRDefault="001005B7" w:rsidP="001005B7">
      <w:pPr>
        <w:rPr>
          <w:sz w:val="20"/>
          <w:lang w:val="en-NZ"/>
        </w:rPr>
      </w:pPr>
      <w:r w:rsidRPr="00A95E07">
        <w:rPr>
          <w:sz w:val="20"/>
          <w:lang w:val="en-NZ"/>
        </w:rPr>
        <w:t>ISBN 0-</w:t>
      </w:r>
      <w:r w:rsidR="008538BE" w:rsidRPr="00A95E07">
        <w:rPr>
          <w:sz w:val="20"/>
          <w:lang w:val="en-NZ"/>
        </w:rPr>
        <w:t>978-0-478-42445-4</w:t>
      </w:r>
    </w:p>
    <w:p w14:paraId="14BD4C14" w14:textId="77777777" w:rsidR="001005B7" w:rsidRPr="00A95E07" w:rsidRDefault="001005B7" w:rsidP="001005B7">
      <w:pPr>
        <w:jc w:val="center"/>
        <w:rPr>
          <w:b/>
          <w:sz w:val="28"/>
          <w:szCs w:val="28"/>
          <w:lang w:val="en-NZ"/>
        </w:rPr>
      </w:pPr>
      <w:r w:rsidRPr="00A95E07">
        <w:rPr>
          <w:lang w:val="en-NZ"/>
        </w:rPr>
        <w:br w:type="page"/>
      </w:r>
      <w:r w:rsidRPr="00A95E07">
        <w:rPr>
          <w:b/>
          <w:sz w:val="28"/>
          <w:szCs w:val="28"/>
          <w:lang w:val="en-NZ"/>
        </w:rPr>
        <w:lastRenderedPageBreak/>
        <w:t>CONTENTS</w:t>
      </w:r>
    </w:p>
    <w:p w14:paraId="3D1C4500" w14:textId="77777777" w:rsidR="00D10025" w:rsidRPr="00A95E07" w:rsidRDefault="00D10025" w:rsidP="001005B7">
      <w:pPr>
        <w:jc w:val="center"/>
        <w:rPr>
          <w:b/>
          <w:sz w:val="28"/>
          <w:szCs w:val="28"/>
          <w:lang w:val="en-NZ"/>
        </w:rPr>
      </w:pPr>
    </w:p>
    <w:p w14:paraId="738349E5" w14:textId="0A03FB23" w:rsidR="00414E24" w:rsidRDefault="00414E24">
      <w:pPr>
        <w:pStyle w:val="TOC1"/>
        <w:rPr>
          <w:rFonts w:asciiTheme="minorHAnsi" w:eastAsiaTheme="minorEastAsia" w:hAnsiTheme="minorHAnsi" w:cstheme="minorBidi"/>
          <w:b w:val="0"/>
          <w:sz w:val="22"/>
          <w:szCs w:val="22"/>
          <w:lang w:val="en-NZ" w:eastAsia="en-NZ"/>
        </w:rPr>
      </w:pPr>
      <w:r>
        <w:rPr>
          <w:sz w:val="22"/>
          <w:lang w:val="en-NZ"/>
        </w:rPr>
        <w:fldChar w:fldCharType="begin"/>
      </w:r>
      <w:r>
        <w:rPr>
          <w:sz w:val="22"/>
          <w:lang w:val="en-NZ"/>
        </w:rPr>
        <w:instrText xml:space="preserve"> TOC \t "Heading 1,2,Chapter heading,1" </w:instrText>
      </w:r>
      <w:r>
        <w:rPr>
          <w:sz w:val="22"/>
          <w:lang w:val="en-NZ"/>
        </w:rPr>
        <w:fldChar w:fldCharType="separate"/>
      </w:r>
      <w:r w:rsidRPr="0099432D">
        <w:rPr>
          <w:lang w:val="en-NZ"/>
        </w:rPr>
        <w:t>CHAPTER 1</w:t>
      </w:r>
      <w:r>
        <w:tab/>
      </w:r>
      <w:r w:rsidRPr="0099432D">
        <w:rPr>
          <w:lang w:val="en-NZ"/>
        </w:rPr>
        <w:t>Introduction</w:t>
      </w:r>
      <w:r>
        <w:tab/>
      </w:r>
      <w:r>
        <w:fldChar w:fldCharType="begin"/>
      </w:r>
      <w:r>
        <w:instrText xml:space="preserve"> PAGEREF _Toc510082291 \h </w:instrText>
      </w:r>
      <w:r>
        <w:fldChar w:fldCharType="separate"/>
      </w:r>
      <w:r>
        <w:t>1</w:t>
      </w:r>
      <w:r>
        <w:fldChar w:fldCharType="end"/>
      </w:r>
    </w:p>
    <w:p w14:paraId="0EB6C683"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Background</w:t>
      </w:r>
      <w:r>
        <w:tab/>
      </w:r>
      <w:r>
        <w:fldChar w:fldCharType="begin"/>
      </w:r>
      <w:r>
        <w:instrText xml:space="preserve"> PAGEREF _Toc510082292 \h </w:instrText>
      </w:r>
      <w:r>
        <w:fldChar w:fldCharType="separate"/>
      </w:r>
      <w:r>
        <w:t>1</w:t>
      </w:r>
      <w:r>
        <w:fldChar w:fldCharType="end"/>
      </w:r>
    </w:p>
    <w:p w14:paraId="14EA4DDC"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Current settings</w:t>
      </w:r>
      <w:r>
        <w:tab/>
      </w:r>
      <w:r>
        <w:fldChar w:fldCharType="begin"/>
      </w:r>
      <w:r>
        <w:instrText xml:space="preserve"> PAGEREF _Toc510082293 \h </w:instrText>
      </w:r>
      <w:r>
        <w:fldChar w:fldCharType="separate"/>
      </w:r>
      <w:r>
        <w:t>1</w:t>
      </w:r>
      <w:r>
        <w:fldChar w:fldCharType="end"/>
      </w:r>
    </w:p>
    <w:p w14:paraId="7BB9A239"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Aim of the proposed changes</w:t>
      </w:r>
      <w:r>
        <w:tab/>
      </w:r>
      <w:r>
        <w:fldChar w:fldCharType="begin"/>
      </w:r>
      <w:r>
        <w:instrText xml:space="preserve"> PAGEREF _Toc510082294 \h </w:instrText>
      </w:r>
      <w:r>
        <w:fldChar w:fldCharType="separate"/>
      </w:r>
      <w:r>
        <w:t>2</w:t>
      </w:r>
      <w:r>
        <w:fldChar w:fldCharType="end"/>
      </w:r>
    </w:p>
    <w:p w14:paraId="1B91527B"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How to make a submission</w:t>
      </w:r>
      <w:r>
        <w:tab/>
      </w:r>
      <w:r>
        <w:fldChar w:fldCharType="begin"/>
      </w:r>
      <w:r>
        <w:instrText xml:space="preserve"> PAGEREF _Toc510082295 \h </w:instrText>
      </w:r>
      <w:r>
        <w:fldChar w:fldCharType="separate"/>
      </w:r>
      <w:r>
        <w:t>2</w:t>
      </w:r>
      <w:r>
        <w:fldChar w:fldCharType="end"/>
      </w:r>
    </w:p>
    <w:p w14:paraId="31ACEB95" w14:textId="2D4D4277" w:rsidR="00414E24" w:rsidRDefault="00414E24">
      <w:pPr>
        <w:pStyle w:val="TOC1"/>
        <w:rPr>
          <w:rFonts w:asciiTheme="minorHAnsi" w:eastAsiaTheme="minorEastAsia" w:hAnsiTheme="minorHAnsi" w:cstheme="minorBidi"/>
          <w:b w:val="0"/>
          <w:sz w:val="22"/>
          <w:szCs w:val="22"/>
          <w:lang w:val="en-NZ" w:eastAsia="en-NZ"/>
        </w:rPr>
      </w:pPr>
      <w:r w:rsidRPr="0099432D">
        <w:rPr>
          <w:lang w:val="en-NZ"/>
        </w:rPr>
        <w:t>CHAPTER 2</w:t>
      </w:r>
      <w:r>
        <w:tab/>
      </w:r>
      <w:r w:rsidRPr="0099432D">
        <w:rPr>
          <w:lang w:val="en-NZ"/>
        </w:rPr>
        <w:t>Summary of the suggested changes</w:t>
      </w:r>
      <w:r>
        <w:tab/>
      </w:r>
      <w:r>
        <w:fldChar w:fldCharType="begin"/>
      </w:r>
      <w:r>
        <w:instrText xml:space="preserve"> PAGEREF _Toc510082297 \h </w:instrText>
      </w:r>
      <w:r>
        <w:fldChar w:fldCharType="separate"/>
      </w:r>
      <w:r>
        <w:t>3</w:t>
      </w:r>
      <w:r>
        <w:fldChar w:fldCharType="end"/>
      </w:r>
    </w:p>
    <w:p w14:paraId="51D69429"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Property the rules will apply to</w:t>
      </w:r>
      <w:r>
        <w:tab/>
      </w:r>
      <w:r>
        <w:fldChar w:fldCharType="begin"/>
      </w:r>
      <w:r>
        <w:instrText xml:space="preserve"> PAGEREF _Toc510082298 \h </w:instrText>
      </w:r>
      <w:r>
        <w:fldChar w:fldCharType="separate"/>
      </w:r>
      <w:r>
        <w:t>3</w:t>
      </w:r>
      <w:r>
        <w:fldChar w:fldCharType="end"/>
      </w:r>
    </w:p>
    <w:p w14:paraId="2FFECB5A"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Portfolio basis</w:t>
      </w:r>
      <w:r>
        <w:tab/>
      </w:r>
      <w:r>
        <w:fldChar w:fldCharType="begin"/>
      </w:r>
      <w:r>
        <w:instrText xml:space="preserve"> PAGEREF _Toc510082299 \h </w:instrText>
      </w:r>
      <w:r>
        <w:fldChar w:fldCharType="separate"/>
      </w:r>
      <w:r>
        <w:t>3</w:t>
      </w:r>
      <w:r>
        <w:fldChar w:fldCharType="end"/>
      </w:r>
    </w:p>
    <w:p w14:paraId="5CCC0918"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Using ring-fenced losses</w:t>
      </w:r>
      <w:r>
        <w:tab/>
      </w:r>
      <w:r>
        <w:fldChar w:fldCharType="begin"/>
      </w:r>
      <w:r>
        <w:instrText xml:space="preserve"> PAGEREF _Toc510082300 \h </w:instrText>
      </w:r>
      <w:r>
        <w:fldChar w:fldCharType="separate"/>
      </w:r>
      <w:r>
        <w:t>4</w:t>
      </w:r>
      <w:r>
        <w:fldChar w:fldCharType="end"/>
      </w:r>
    </w:p>
    <w:p w14:paraId="1A85CFE9"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Interposed entities</w:t>
      </w:r>
      <w:r>
        <w:tab/>
      </w:r>
      <w:r>
        <w:fldChar w:fldCharType="begin"/>
      </w:r>
      <w:r>
        <w:instrText xml:space="preserve"> PAGEREF _Toc510082301 \h </w:instrText>
      </w:r>
      <w:r>
        <w:fldChar w:fldCharType="separate"/>
      </w:r>
      <w:r>
        <w:t>4</w:t>
      </w:r>
      <w:r>
        <w:fldChar w:fldCharType="end"/>
      </w:r>
    </w:p>
    <w:p w14:paraId="1A85F098"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Timing of the introduction of the rules</w:t>
      </w:r>
      <w:r>
        <w:tab/>
      </w:r>
      <w:r>
        <w:fldChar w:fldCharType="begin"/>
      </w:r>
      <w:r>
        <w:instrText xml:space="preserve"> PAGEREF _Toc510082302 \h </w:instrText>
      </w:r>
      <w:r>
        <w:fldChar w:fldCharType="separate"/>
      </w:r>
      <w:r>
        <w:t>4</w:t>
      </w:r>
      <w:r>
        <w:fldChar w:fldCharType="end"/>
      </w:r>
    </w:p>
    <w:p w14:paraId="00F05B4C" w14:textId="5A9ADFD7" w:rsidR="00414E24" w:rsidRDefault="00414E24">
      <w:pPr>
        <w:pStyle w:val="TOC1"/>
        <w:rPr>
          <w:rFonts w:asciiTheme="minorHAnsi" w:eastAsiaTheme="minorEastAsia" w:hAnsiTheme="minorHAnsi" w:cstheme="minorBidi"/>
          <w:b w:val="0"/>
          <w:sz w:val="22"/>
          <w:szCs w:val="22"/>
          <w:lang w:val="en-NZ" w:eastAsia="en-NZ"/>
        </w:rPr>
      </w:pPr>
      <w:r w:rsidRPr="0099432D">
        <w:rPr>
          <w:lang w:val="en-NZ"/>
        </w:rPr>
        <w:t>CHAPTER 3</w:t>
      </w:r>
      <w:r>
        <w:tab/>
      </w:r>
      <w:r w:rsidRPr="0099432D">
        <w:rPr>
          <w:lang w:val="en-NZ"/>
        </w:rPr>
        <w:t>Property the rules will apply to</w:t>
      </w:r>
      <w:r>
        <w:tab/>
      </w:r>
      <w:r>
        <w:fldChar w:fldCharType="begin"/>
      </w:r>
      <w:r>
        <w:instrText xml:space="preserve"> PAGEREF _Toc510082304 \h </w:instrText>
      </w:r>
      <w:r>
        <w:fldChar w:fldCharType="separate"/>
      </w:r>
      <w:r>
        <w:t>5</w:t>
      </w:r>
      <w:r>
        <w:fldChar w:fldCharType="end"/>
      </w:r>
    </w:p>
    <w:p w14:paraId="1FEB1E5F"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Definition of “residential land”</w:t>
      </w:r>
      <w:r>
        <w:tab/>
      </w:r>
      <w:r>
        <w:fldChar w:fldCharType="begin"/>
      </w:r>
      <w:r>
        <w:instrText xml:space="preserve"> PAGEREF _Toc510082305 \h </w:instrText>
      </w:r>
      <w:r>
        <w:fldChar w:fldCharType="separate"/>
      </w:r>
      <w:r>
        <w:t>5</w:t>
      </w:r>
      <w:r>
        <w:fldChar w:fldCharType="end"/>
      </w:r>
    </w:p>
    <w:p w14:paraId="19F8D8FD"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Main home</w:t>
      </w:r>
      <w:r>
        <w:tab/>
      </w:r>
      <w:r>
        <w:fldChar w:fldCharType="begin"/>
      </w:r>
      <w:r>
        <w:instrText xml:space="preserve"> PAGEREF _Toc510082306 \h </w:instrText>
      </w:r>
      <w:r>
        <w:fldChar w:fldCharType="separate"/>
      </w:r>
      <w:r>
        <w:t>6</w:t>
      </w:r>
      <w:r>
        <w:fldChar w:fldCharType="end"/>
      </w:r>
    </w:p>
    <w:p w14:paraId="7AA922E8"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Mixed-use assets</w:t>
      </w:r>
      <w:r>
        <w:tab/>
      </w:r>
      <w:r>
        <w:fldChar w:fldCharType="begin"/>
      </w:r>
      <w:r>
        <w:instrText xml:space="preserve"> PAGEREF _Toc510082307 \h </w:instrText>
      </w:r>
      <w:r>
        <w:fldChar w:fldCharType="separate"/>
      </w:r>
      <w:r>
        <w:t>6</w:t>
      </w:r>
      <w:r>
        <w:fldChar w:fldCharType="end"/>
      </w:r>
    </w:p>
    <w:p w14:paraId="45AD214B" w14:textId="0009E42C" w:rsidR="00414E24" w:rsidRDefault="00414E24">
      <w:pPr>
        <w:pStyle w:val="TOC2"/>
        <w:rPr>
          <w:rFonts w:asciiTheme="minorHAnsi" w:eastAsiaTheme="minorEastAsia" w:hAnsiTheme="minorHAnsi" w:cstheme="minorBidi"/>
          <w:szCs w:val="22"/>
          <w:lang w:val="en-NZ" w:eastAsia="en-NZ"/>
        </w:rPr>
      </w:pPr>
      <w:r w:rsidRPr="0099432D">
        <w:rPr>
          <w:lang w:val="en-NZ"/>
        </w:rPr>
        <w:t xml:space="preserve">Revenue account land in dealing, development, </w:t>
      </w:r>
      <w:r>
        <w:rPr>
          <w:lang w:val="en-NZ"/>
        </w:rPr>
        <w:br/>
      </w:r>
      <w:r w:rsidRPr="0099432D">
        <w:rPr>
          <w:lang w:val="en-NZ"/>
        </w:rPr>
        <w:t>subdivision and building businesses</w:t>
      </w:r>
      <w:r>
        <w:tab/>
      </w:r>
      <w:r>
        <w:fldChar w:fldCharType="begin"/>
      </w:r>
      <w:r>
        <w:instrText xml:space="preserve"> PAGEREF _Toc510082308 \h </w:instrText>
      </w:r>
      <w:r>
        <w:fldChar w:fldCharType="separate"/>
      </w:r>
      <w:r>
        <w:t>7</w:t>
      </w:r>
      <w:r>
        <w:fldChar w:fldCharType="end"/>
      </w:r>
    </w:p>
    <w:p w14:paraId="1DE317D5"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Property owned by companies and trusts</w:t>
      </w:r>
      <w:r>
        <w:tab/>
      </w:r>
      <w:r>
        <w:fldChar w:fldCharType="begin"/>
      </w:r>
      <w:r>
        <w:instrText xml:space="preserve"> PAGEREF _Toc510082309 \h </w:instrText>
      </w:r>
      <w:r>
        <w:fldChar w:fldCharType="separate"/>
      </w:r>
      <w:r>
        <w:t>7</w:t>
      </w:r>
      <w:r>
        <w:fldChar w:fldCharType="end"/>
      </w:r>
    </w:p>
    <w:p w14:paraId="671E3EAE" w14:textId="0AD8C579" w:rsidR="00414E24" w:rsidRDefault="00414E24">
      <w:pPr>
        <w:pStyle w:val="TOC1"/>
        <w:rPr>
          <w:rFonts w:asciiTheme="minorHAnsi" w:eastAsiaTheme="minorEastAsia" w:hAnsiTheme="minorHAnsi" w:cstheme="minorBidi"/>
          <w:b w:val="0"/>
          <w:sz w:val="22"/>
          <w:szCs w:val="22"/>
          <w:lang w:val="en-NZ" w:eastAsia="en-NZ"/>
        </w:rPr>
      </w:pPr>
      <w:r w:rsidRPr="0099432D">
        <w:rPr>
          <w:lang w:val="en-NZ"/>
        </w:rPr>
        <w:t>CHAPTER 4</w:t>
      </w:r>
      <w:r>
        <w:tab/>
      </w:r>
      <w:r w:rsidRPr="0099432D">
        <w:rPr>
          <w:lang w:val="en-NZ"/>
        </w:rPr>
        <w:t>Portfolio basis</w:t>
      </w:r>
      <w:r>
        <w:tab/>
      </w:r>
      <w:r>
        <w:fldChar w:fldCharType="begin"/>
      </w:r>
      <w:r>
        <w:instrText xml:space="preserve"> PAGEREF _Toc510082311 \h </w:instrText>
      </w:r>
      <w:r>
        <w:fldChar w:fldCharType="separate"/>
      </w:r>
      <w:r>
        <w:t>9</w:t>
      </w:r>
      <w:r>
        <w:fldChar w:fldCharType="end"/>
      </w:r>
    </w:p>
    <w:p w14:paraId="4CF69F1C" w14:textId="0FD50D0A" w:rsidR="00414E24" w:rsidRDefault="00414E24">
      <w:pPr>
        <w:pStyle w:val="TOC1"/>
        <w:rPr>
          <w:rFonts w:asciiTheme="minorHAnsi" w:eastAsiaTheme="minorEastAsia" w:hAnsiTheme="minorHAnsi" w:cstheme="minorBidi"/>
          <w:b w:val="0"/>
          <w:sz w:val="22"/>
          <w:szCs w:val="22"/>
          <w:lang w:val="en-NZ" w:eastAsia="en-NZ"/>
        </w:rPr>
      </w:pPr>
      <w:r w:rsidRPr="0099432D">
        <w:rPr>
          <w:lang w:val="en-NZ"/>
        </w:rPr>
        <w:t>CHAPTER 5</w:t>
      </w:r>
      <w:r>
        <w:tab/>
      </w:r>
      <w:r w:rsidRPr="0099432D">
        <w:rPr>
          <w:lang w:val="en-NZ"/>
        </w:rPr>
        <w:t>Using ring-fenced losses</w:t>
      </w:r>
      <w:r>
        <w:tab/>
      </w:r>
      <w:r>
        <w:fldChar w:fldCharType="begin"/>
      </w:r>
      <w:r>
        <w:instrText xml:space="preserve"> PAGEREF _Toc510082313 \h </w:instrText>
      </w:r>
      <w:r>
        <w:fldChar w:fldCharType="separate"/>
      </w:r>
      <w:r>
        <w:t>10</w:t>
      </w:r>
      <w:r>
        <w:fldChar w:fldCharType="end"/>
      </w:r>
    </w:p>
    <w:p w14:paraId="18CD661F" w14:textId="76B17F95" w:rsidR="00414E24" w:rsidRDefault="00414E24">
      <w:pPr>
        <w:pStyle w:val="TOC1"/>
        <w:rPr>
          <w:rFonts w:asciiTheme="minorHAnsi" w:eastAsiaTheme="minorEastAsia" w:hAnsiTheme="minorHAnsi" w:cstheme="minorBidi"/>
          <w:b w:val="0"/>
          <w:sz w:val="22"/>
          <w:szCs w:val="22"/>
          <w:lang w:val="en-NZ" w:eastAsia="en-NZ"/>
        </w:rPr>
      </w:pPr>
      <w:r w:rsidRPr="0099432D">
        <w:rPr>
          <w:lang w:val="en-NZ"/>
        </w:rPr>
        <w:t>CHAPTER 6</w:t>
      </w:r>
      <w:r>
        <w:tab/>
      </w:r>
      <w:r w:rsidRPr="0099432D">
        <w:rPr>
          <w:lang w:val="en-NZ"/>
        </w:rPr>
        <w:t>Structuring around the rules</w:t>
      </w:r>
      <w:r>
        <w:tab/>
      </w:r>
      <w:r>
        <w:fldChar w:fldCharType="begin"/>
      </w:r>
      <w:r>
        <w:instrText xml:space="preserve"> PAGEREF _Toc510082315 \h </w:instrText>
      </w:r>
      <w:r>
        <w:fldChar w:fldCharType="separate"/>
      </w:r>
      <w:r>
        <w:t>12</w:t>
      </w:r>
      <w:r>
        <w:fldChar w:fldCharType="end"/>
      </w:r>
    </w:p>
    <w:p w14:paraId="1AD3635E"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Interest allocation</w:t>
      </w:r>
      <w:r>
        <w:tab/>
      </w:r>
      <w:r>
        <w:fldChar w:fldCharType="begin"/>
      </w:r>
      <w:r>
        <w:instrText xml:space="preserve"> PAGEREF _Toc510082316 \h </w:instrText>
      </w:r>
      <w:r>
        <w:fldChar w:fldCharType="separate"/>
      </w:r>
      <w:r>
        <w:t>12</w:t>
      </w:r>
      <w:r>
        <w:fldChar w:fldCharType="end"/>
      </w:r>
    </w:p>
    <w:p w14:paraId="3A97D827" w14:textId="77777777" w:rsidR="00414E24" w:rsidRDefault="00414E24">
      <w:pPr>
        <w:pStyle w:val="TOC2"/>
        <w:rPr>
          <w:rFonts w:asciiTheme="minorHAnsi" w:eastAsiaTheme="minorEastAsia" w:hAnsiTheme="minorHAnsi" w:cstheme="minorBidi"/>
          <w:szCs w:val="22"/>
          <w:lang w:val="en-NZ" w:eastAsia="en-NZ"/>
        </w:rPr>
      </w:pPr>
      <w:r w:rsidRPr="0099432D">
        <w:rPr>
          <w:lang w:val="en-NZ"/>
        </w:rPr>
        <w:t>Interposed entities</w:t>
      </w:r>
      <w:r>
        <w:tab/>
      </w:r>
      <w:r>
        <w:fldChar w:fldCharType="begin"/>
      </w:r>
      <w:r>
        <w:instrText xml:space="preserve"> PAGEREF _Toc510082317 \h </w:instrText>
      </w:r>
      <w:r>
        <w:fldChar w:fldCharType="separate"/>
      </w:r>
      <w:r>
        <w:t>12</w:t>
      </w:r>
      <w:r>
        <w:fldChar w:fldCharType="end"/>
      </w:r>
    </w:p>
    <w:p w14:paraId="79EECC2A" w14:textId="313958A1" w:rsidR="00414E24" w:rsidRDefault="00414E24">
      <w:pPr>
        <w:pStyle w:val="TOC1"/>
        <w:rPr>
          <w:rFonts w:asciiTheme="minorHAnsi" w:eastAsiaTheme="minorEastAsia" w:hAnsiTheme="minorHAnsi" w:cstheme="minorBidi"/>
          <w:b w:val="0"/>
          <w:sz w:val="22"/>
          <w:szCs w:val="22"/>
          <w:lang w:val="en-NZ" w:eastAsia="en-NZ"/>
        </w:rPr>
      </w:pPr>
      <w:r w:rsidRPr="0099432D">
        <w:rPr>
          <w:lang w:val="en-NZ"/>
        </w:rPr>
        <w:t>CHAPTER 7</w:t>
      </w:r>
      <w:r>
        <w:tab/>
      </w:r>
      <w:r w:rsidRPr="0099432D">
        <w:rPr>
          <w:lang w:val="en-NZ"/>
        </w:rPr>
        <w:t>Timing of introduction of the rules</w:t>
      </w:r>
      <w:r>
        <w:tab/>
      </w:r>
      <w:r>
        <w:fldChar w:fldCharType="begin"/>
      </w:r>
      <w:r>
        <w:instrText xml:space="preserve"> PAGEREF _Toc510082319 \h </w:instrText>
      </w:r>
      <w:r>
        <w:fldChar w:fldCharType="separate"/>
      </w:r>
      <w:r>
        <w:t>16</w:t>
      </w:r>
      <w:r>
        <w:fldChar w:fldCharType="end"/>
      </w:r>
    </w:p>
    <w:p w14:paraId="09B38836" w14:textId="792B6044" w:rsidR="004B37FB" w:rsidRPr="00A95E07" w:rsidRDefault="00414E24" w:rsidP="00E253EA">
      <w:pPr>
        <w:jc w:val="center"/>
        <w:rPr>
          <w:b/>
          <w:lang w:val="en-NZ"/>
        </w:rPr>
      </w:pPr>
      <w:r>
        <w:rPr>
          <w:rFonts w:ascii="Times New Roman Bold" w:hAnsi="Times New Roman Bold"/>
          <w:noProof/>
          <w:sz w:val="22"/>
          <w:szCs w:val="24"/>
          <w:lang w:val="en-NZ"/>
        </w:rPr>
        <w:fldChar w:fldCharType="end"/>
      </w:r>
    </w:p>
    <w:p w14:paraId="477D4839" w14:textId="77777777" w:rsidR="00725975" w:rsidRPr="00A95E07" w:rsidRDefault="00725975" w:rsidP="00E253EA">
      <w:pPr>
        <w:jc w:val="center"/>
        <w:rPr>
          <w:b/>
          <w:lang w:val="en-NZ"/>
        </w:rPr>
        <w:sectPr w:rsidR="00725975" w:rsidRPr="00A95E07" w:rsidSect="008840A1">
          <w:footerReference w:type="even" r:id="rId9"/>
          <w:pgSz w:w="11906" w:h="16838" w:code="9"/>
          <w:pgMar w:top="1134" w:right="1797" w:bottom="567" w:left="1797" w:header="709" w:footer="709" w:gutter="0"/>
          <w:cols w:space="708"/>
          <w:titlePg/>
          <w:docGrid w:linePitch="360"/>
        </w:sectPr>
      </w:pPr>
    </w:p>
    <w:p w14:paraId="2C488CEC" w14:textId="77777777" w:rsidR="007809E0" w:rsidRPr="00A95E07" w:rsidRDefault="00CD7C3C" w:rsidP="00D10025">
      <w:pPr>
        <w:pStyle w:val="Chapterheading"/>
        <w:rPr>
          <w:lang w:val="en-NZ"/>
        </w:rPr>
      </w:pPr>
      <w:bookmarkStart w:id="1" w:name="_Toc147567992"/>
      <w:bookmarkStart w:id="2" w:name="_Toc505072318"/>
      <w:bookmarkStart w:id="3" w:name="_Toc505073734"/>
      <w:bookmarkStart w:id="4" w:name="_Toc505074085"/>
      <w:bookmarkStart w:id="5" w:name="_Toc506216599"/>
      <w:bookmarkStart w:id="6" w:name="_Toc506219963"/>
      <w:bookmarkStart w:id="7" w:name="_Toc506477375"/>
      <w:bookmarkStart w:id="8" w:name="_Toc507152274"/>
      <w:bookmarkStart w:id="9" w:name="_Toc509922274"/>
      <w:bookmarkStart w:id="10" w:name="_Toc510021161"/>
      <w:bookmarkStart w:id="11" w:name="_Toc510022579"/>
      <w:bookmarkStart w:id="12" w:name="_Toc510022797"/>
      <w:bookmarkStart w:id="13" w:name="_Toc510026861"/>
      <w:bookmarkStart w:id="14" w:name="_Toc510082187"/>
      <w:bookmarkStart w:id="15" w:name="_Toc510082290"/>
      <w:r w:rsidRPr="00A95E07">
        <w:rPr>
          <w:lang w:val="en-NZ"/>
        </w:rPr>
        <w:t xml:space="preserve">CHAPTER </w:t>
      </w:r>
      <w:r w:rsidR="00C15285" w:rsidRPr="00A95E07">
        <w:rPr>
          <w:lang w:val="en-NZ"/>
        </w:rPr>
        <w:t>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65307E2" w14:textId="77777777" w:rsidR="007809E0" w:rsidRPr="00A95E07" w:rsidRDefault="007809E0" w:rsidP="00D10025">
      <w:pPr>
        <w:pStyle w:val="Chapterheading"/>
        <w:rPr>
          <w:lang w:val="en-NZ"/>
        </w:rPr>
      </w:pPr>
    </w:p>
    <w:p w14:paraId="6A62543F" w14:textId="6941E2D8" w:rsidR="00EA330F" w:rsidRPr="00A95E07" w:rsidRDefault="006765C6" w:rsidP="006765C6">
      <w:pPr>
        <w:pStyle w:val="Chapterheading"/>
        <w:rPr>
          <w:lang w:val="en-NZ"/>
        </w:rPr>
      </w:pPr>
      <w:bookmarkStart w:id="16" w:name="_Toc507152275"/>
      <w:bookmarkStart w:id="17" w:name="_Toc510082291"/>
      <w:r w:rsidRPr="00A95E07">
        <w:rPr>
          <w:caps w:val="0"/>
          <w:lang w:val="en-NZ"/>
        </w:rPr>
        <w:t>Introduction</w:t>
      </w:r>
      <w:bookmarkEnd w:id="16"/>
      <w:bookmarkEnd w:id="17"/>
    </w:p>
    <w:p w14:paraId="5946EB59" w14:textId="77777777" w:rsidR="00EA330F" w:rsidRPr="00A95E07" w:rsidRDefault="00EA330F" w:rsidP="000360A6">
      <w:pPr>
        <w:pStyle w:val="Chapter1"/>
        <w:numPr>
          <w:ilvl w:val="0"/>
          <w:numId w:val="0"/>
        </w:numPr>
        <w:ind w:left="851"/>
      </w:pPr>
    </w:p>
    <w:p w14:paraId="10BF95D8" w14:textId="77777777" w:rsidR="000847E3" w:rsidRPr="00A95E07" w:rsidRDefault="000847E3" w:rsidP="000360A6">
      <w:pPr>
        <w:pStyle w:val="Chapter1"/>
        <w:numPr>
          <w:ilvl w:val="0"/>
          <w:numId w:val="0"/>
        </w:numPr>
        <w:ind w:left="851"/>
      </w:pPr>
    </w:p>
    <w:p w14:paraId="20E43126" w14:textId="77777777" w:rsidR="002152CE" w:rsidRPr="00A95E07" w:rsidRDefault="004712F0" w:rsidP="004712F0">
      <w:pPr>
        <w:pStyle w:val="Heading1"/>
        <w:rPr>
          <w:lang w:val="en-NZ"/>
        </w:rPr>
      </w:pPr>
      <w:bookmarkStart w:id="18" w:name="_Toc507152276"/>
      <w:bookmarkStart w:id="19" w:name="_Toc510082292"/>
      <w:r w:rsidRPr="00A95E07">
        <w:rPr>
          <w:lang w:val="en-NZ"/>
        </w:rPr>
        <w:t>Background</w:t>
      </w:r>
      <w:bookmarkEnd w:id="18"/>
      <w:bookmarkEnd w:id="19"/>
    </w:p>
    <w:p w14:paraId="6D3E42B0" w14:textId="77777777" w:rsidR="004712F0" w:rsidRPr="00A95E07" w:rsidRDefault="004712F0" w:rsidP="004712F0">
      <w:pPr>
        <w:pStyle w:val="Chapter1"/>
        <w:numPr>
          <w:ilvl w:val="0"/>
          <w:numId w:val="0"/>
        </w:numPr>
        <w:ind w:left="851"/>
      </w:pPr>
    </w:p>
    <w:p w14:paraId="08914982" w14:textId="77777777" w:rsidR="004712F0" w:rsidRPr="00A95E07" w:rsidRDefault="004712F0" w:rsidP="00926D28">
      <w:pPr>
        <w:pStyle w:val="Chapter1"/>
      </w:pPr>
      <w:r w:rsidRPr="00A95E07">
        <w:rPr>
          <w:color w:val="000000"/>
          <w:szCs w:val="24"/>
        </w:rPr>
        <w:t xml:space="preserve">The Government has committed to a number of </w:t>
      </w:r>
      <w:r w:rsidR="00D424F2" w:rsidRPr="00A95E07">
        <w:rPr>
          <w:color w:val="000000"/>
          <w:szCs w:val="24"/>
        </w:rPr>
        <w:t xml:space="preserve">policy </w:t>
      </w:r>
      <w:r w:rsidRPr="00A95E07">
        <w:rPr>
          <w:color w:val="000000"/>
          <w:szCs w:val="24"/>
        </w:rPr>
        <w:t>measures aimed at making the tax system fairer</w:t>
      </w:r>
      <w:r w:rsidR="00103D84" w:rsidRPr="00A95E07">
        <w:rPr>
          <w:color w:val="000000"/>
          <w:szCs w:val="24"/>
        </w:rPr>
        <w:t xml:space="preserve"> and</w:t>
      </w:r>
      <w:r w:rsidRPr="00A95E07">
        <w:rPr>
          <w:color w:val="000000"/>
          <w:szCs w:val="24"/>
        </w:rPr>
        <w:t xml:space="preserve"> improving housing affordability for owner-occupiers</w:t>
      </w:r>
      <w:r w:rsidR="00103D84" w:rsidRPr="00A95E07">
        <w:rPr>
          <w:color w:val="000000"/>
          <w:szCs w:val="24"/>
        </w:rPr>
        <w:t xml:space="preserve"> by</w:t>
      </w:r>
      <w:r w:rsidRPr="00A95E07">
        <w:rPr>
          <w:color w:val="000000"/>
          <w:szCs w:val="24"/>
        </w:rPr>
        <w:t xml:space="preserve"> reducing demand from speculators</w:t>
      </w:r>
      <w:r w:rsidR="00103D84" w:rsidRPr="00A95E07">
        <w:rPr>
          <w:color w:val="000000"/>
          <w:szCs w:val="24"/>
        </w:rPr>
        <w:t xml:space="preserve"> and investors</w:t>
      </w:r>
      <w:r w:rsidRPr="00A95E07">
        <w:rPr>
          <w:color w:val="000000"/>
          <w:szCs w:val="24"/>
        </w:rPr>
        <w:t>.</w:t>
      </w:r>
    </w:p>
    <w:p w14:paraId="48BDC589" w14:textId="77777777" w:rsidR="004712F0" w:rsidRPr="00A95E07" w:rsidRDefault="004712F0" w:rsidP="004712F0">
      <w:pPr>
        <w:pStyle w:val="Chapter1"/>
        <w:numPr>
          <w:ilvl w:val="0"/>
          <w:numId w:val="0"/>
        </w:numPr>
        <w:ind w:left="851"/>
      </w:pPr>
    </w:p>
    <w:p w14:paraId="334FF349" w14:textId="6C124437" w:rsidR="004712F0" w:rsidRPr="00A95E07" w:rsidRDefault="004712F0" w:rsidP="00926D28">
      <w:pPr>
        <w:pStyle w:val="Chapter1"/>
      </w:pPr>
      <w:r w:rsidRPr="00A95E07">
        <w:rPr>
          <w:color w:val="000000"/>
          <w:szCs w:val="24"/>
        </w:rPr>
        <w:t>One of these measures is to introduce loss ring-fencing on residential propert</w:t>
      </w:r>
      <w:r w:rsidR="00FE57D6" w:rsidRPr="00A95E07">
        <w:rPr>
          <w:color w:val="000000"/>
          <w:szCs w:val="24"/>
        </w:rPr>
        <w:t>ies held by speculators and investors</w:t>
      </w:r>
      <w:r w:rsidRPr="00A95E07">
        <w:rPr>
          <w:color w:val="000000"/>
          <w:szCs w:val="24"/>
        </w:rPr>
        <w:t xml:space="preserve">.  </w:t>
      </w:r>
      <w:r w:rsidRPr="00A95E07">
        <w:rPr>
          <w:szCs w:val="24"/>
        </w:rPr>
        <w:t xml:space="preserve">This means that </w:t>
      </w:r>
      <w:r w:rsidR="00FE57D6" w:rsidRPr="00A95E07">
        <w:rPr>
          <w:szCs w:val="24"/>
        </w:rPr>
        <w:t xml:space="preserve">speculators and </w:t>
      </w:r>
      <w:r w:rsidRPr="00A95E07">
        <w:rPr>
          <w:szCs w:val="24"/>
        </w:rPr>
        <w:t>investors will no longer be able to offset tax losses from their residential properties against their other income (</w:t>
      </w:r>
      <w:r w:rsidR="00E74B37" w:rsidRPr="00A95E07">
        <w:rPr>
          <w:szCs w:val="24"/>
        </w:rPr>
        <w:t>for example</w:t>
      </w:r>
      <w:r w:rsidRPr="00A95E07">
        <w:rPr>
          <w:szCs w:val="24"/>
        </w:rPr>
        <w:t xml:space="preserve">, salary or wages, or business income), to reduce their </w:t>
      </w:r>
      <w:r w:rsidR="00FE15FC" w:rsidRPr="00A95E07">
        <w:rPr>
          <w:szCs w:val="24"/>
        </w:rPr>
        <w:t xml:space="preserve">income </w:t>
      </w:r>
      <w:r w:rsidRPr="00A95E07">
        <w:rPr>
          <w:szCs w:val="24"/>
        </w:rPr>
        <w:t>tax liability.</w:t>
      </w:r>
    </w:p>
    <w:p w14:paraId="1D34FB2F" w14:textId="77777777" w:rsidR="004712F0" w:rsidRPr="00A95E07" w:rsidRDefault="004712F0" w:rsidP="008A430D">
      <w:pPr>
        <w:pStyle w:val="Chapter1"/>
        <w:numPr>
          <w:ilvl w:val="0"/>
          <w:numId w:val="0"/>
        </w:numPr>
        <w:ind w:left="851"/>
      </w:pPr>
    </w:p>
    <w:p w14:paraId="07F9C353" w14:textId="77777777" w:rsidR="008A430D" w:rsidRPr="00A95E07" w:rsidRDefault="008A430D" w:rsidP="008A430D">
      <w:pPr>
        <w:pStyle w:val="Chapter1"/>
        <w:numPr>
          <w:ilvl w:val="0"/>
          <w:numId w:val="0"/>
        </w:numPr>
        <w:ind w:left="851"/>
      </w:pPr>
    </w:p>
    <w:p w14:paraId="1494EE61" w14:textId="77777777" w:rsidR="004712F0" w:rsidRPr="00A95E07" w:rsidRDefault="000847E3" w:rsidP="000847E3">
      <w:pPr>
        <w:pStyle w:val="Heading1"/>
        <w:rPr>
          <w:lang w:val="en-NZ"/>
        </w:rPr>
      </w:pPr>
      <w:bookmarkStart w:id="20" w:name="_Toc507152277"/>
      <w:bookmarkStart w:id="21" w:name="_Toc510082293"/>
      <w:r w:rsidRPr="00A95E07">
        <w:rPr>
          <w:lang w:val="en-NZ"/>
        </w:rPr>
        <w:t>Current settings</w:t>
      </w:r>
      <w:bookmarkEnd w:id="20"/>
      <w:bookmarkEnd w:id="21"/>
    </w:p>
    <w:p w14:paraId="3089AA79" w14:textId="77777777" w:rsidR="004712F0" w:rsidRPr="00A95E07" w:rsidRDefault="004712F0" w:rsidP="004712F0">
      <w:pPr>
        <w:pStyle w:val="Chapter1"/>
        <w:numPr>
          <w:ilvl w:val="0"/>
          <w:numId w:val="0"/>
        </w:numPr>
        <w:ind w:left="851"/>
      </w:pPr>
    </w:p>
    <w:p w14:paraId="2C5DB661" w14:textId="67321117" w:rsidR="00BC1513" w:rsidRPr="00A95E07" w:rsidRDefault="00BC1513" w:rsidP="00926D28">
      <w:pPr>
        <w:pStyle w:val="Chapter1"/>
      </w:pPr>
      <w:r w:rsidRPr="00A95E07">
        <w:t xml:space="preserve">Under </w:t>
      </w:r>
      <w:r w:rsidR="00BA55F6" w:rsidRPr="00A95E07">
        <w:t xml:space="preserve">current </w:t>
      </w:r>
      <w:r w:rsidRPr="00A95E07">
        <w:t xml:space="preserve">New Zealand tax settings, tax is applied on </w:t>
      </w:r>
      <w:r w:rsidR="00BA55F6" w:rsidRPr="00A95E07">
        <w:t>a person’s</w:t>
      </w:r>
      <w:r w:rsidRPr="00A95E07">
        <w:t xml:space="preserve"> net income.  We do not generally ring-fence income and losses from particular activities or investments.  This means that there is generally no restriction on losses from one source reducing income from other sources – though there are some exceptions to this general treatment.</w:t>
      </w:r>
      <w:r w:rsidR="00D14038" w:rsidRPr="00A95E07">
        <w:rPr>
          <w:rStyle w:val="FootnoteReference"/>
        </w:rPr>
        <w:footnoteReference w:id="2"/>
      </w:r>
    </w:p>
    <w:p w14:paraId="222A7996" w14:textId="77777777" w:rsidR="00BC1513" w:rsidRPr="00A95E07" w:rsidRDefault="00BC1513" w:rsidP="008A430D">
      <w:pPr>
        <w:pStyle w:val="Chapter1"/>
        <w:numPr>
          <w:ilvl w:val="0"/>
          <w:numId w:val="0"/>
        </w:numPr>
        <w:ind w:left="851"/>
      </w:pPr>
    </w:p>
    <w:p w14:paraId="52873ADF" w14:textId="072D31BB" w:rsidR="00BC1513" w:rsidRPr="00A95E07" w:rsidRDefault="00BC1513" w:rsidP="00926D28">
      <w:pPr>
        <w:pStyle w:val="Chapter1"/>
      </w:pPr>
      <w:r w:rsidRPr="00A95E07">
        <w:rPr>
          <w:color w:val="000000"/>
          <w:szCs w:val="24"/>
        </w:rPr>
        <w:t>Investment</w:t>
      </w:r>
      <w:r w:rsidRPr="00A95E07">
        <w:t xml:space="preserve"> housing is currently taxed under the same rules that generally apply to other investments.  This means that rents are income, and interest and other expenses (other than capital improvements) are deductible.  </w:t>
      </w:r>
      <w:r w:rsidR="008E5751" w:rsidRPr="00A95E07">
        <w:t xml:space="preserve">Capital gains on </w:t>
      </w:r>
      <w:r w:rsidRPr="00A95E07">
        <w:t xml:space="preserve">sale of the property </w:t>
      </w:r>
      <w:r w:rsidR="008E5751" w:rsidRPr="00A95E07">
        <w:t xml:space="preserve">are </w:t>
      </w:r>
      <w:r w:rsidRPr="00A95E07">
        <w:t>not taxed</w:t>
      </w:r>
      <w:r w:rsidR="008E5751" w:rsidRPr="00A95E07">
        <w:t xml:space="preserve"> unless the property is on revenue account.  This could be, for example, because you are in a land-related business (</w:t>
      </w:r>
      <w:r w:rsidR="00E74B37" w:rsidRPr="00A95E07">
        <w:t>for example</w:t>
      </w:r>
      <w:r w:rsidR="008E5751" w:rsidRPr="00A95E07">
        <w:t xml:space="preserve">, a land dealer or developer), bought the land for resale, or sell the property within </w:t>
      </w:r>
      <w:r w:rsidR="00D14038" w:rsidRPr="00A95E07">
        <w:t>the bright-line period of either two or five years (depending on when you first had an interest in the land)</w:t>
      </w:r>
      <w:r w:rsidR="008E5751" w:rsidRPr="00A95E07">
        <w:t>.</w:t>
      </w:r>
      <w:r w:rsidR="008E5751" w:rsidRPr="00A95E07">
        <w:rPr>
          <w:rStyle w:val="FootnoteReference"/>
        </w:rPr>
        <w:footnoteReference w:id="3"/>
      </w:r>
      <w:r w:rsidR="008E5751" w:rsidRPr="00A95E07">
        <w:t xml:space="preserve"> </w:t>
      </w:r>
      <w:r w:rsidR="00681115" w:rsidRPr="00A95E07">
        <w:t xml:space="preserve"> </w:t>
      </w:r>
      <w:r w:rsidRPr="00A95E07">
        <w:t>Most rental property investors hold their property on capital account and are not subject to tax on the capital gain.</w:t>
      </w:r>
    </w:p>
    <w:p w14:paraId="28EA4C83" w14:textId="77777777" w:rsidR="00BC1513" w:rsidRPr="00A95E07" w:rsidRDefault="00BC1513" w:rsidP="008A430D">
      <w:pPr>
        <w:pStyle w:val="Chapter1"/>
        <w:numPr>
          <w:ilvl w:val="0"/>
          <w:numId w:val="0"/>
        </w:numPr>
        <w:ind w:left="851"/>
      </w:pPr>
    </w:p>
    <w:p w14:paraId="3F860CB7" w14:textId="448F3B5B" w:rsidR="004712F0" w:rsidRPr="00A95E07" w:rsidRDefault="00BC1513" w:rsidP="004712F0">
      <w:pPr>
        <w:pStyle w:val="Chapter1"/>
      </w:pPr>
      <w:r w:rsidRPr="00A95E07">
        <w:t xml:space="preserve">While rental </w:t>
      </w:r>
      <w:r w:rsidRPr="00A95E07">
        <w:rPr>
          <w:color w:val="000000"/>
          <w:szCs w:val="24"/>
        </w:rPr>
        <w:t>housing</w:t>
      </w:r>
      <w:r w:rsidRPr="00A95E07">
        <w:t xml:space="preserve"> is not formally tax favoured, there is an argument that it may be under-taxed given that tax-free capital gains are often realised when rental properties are sold.  The fact that rental property investors often make persistent tax losses indicat</w:t>
      </w:r>
      <w:r w:rsidR="007A6DAA" w:rsidRPr="00A95E07">
        <w:t>es</w:t>
      </w:r>
      <w:r w:rsidRPr="00A95E07">
        <w:t xml:space="preserve"> that expected capital gains are an important motivation for many investors purchasing rental property.  While interest and other expenses are fully deductible, in the absence of a comprehensive capital gains tax, not all of the economic income generated from rental housing is subject to tax.  There is therefore an argument that, to the extent deductible expenses in the long-term exceed income from rents, those expenses in fact relate to the capital gain, so should not be deductible unless the capital gain is taxed.</w:t>
      </w:r>
    </w:p>
    <w:p w14:paraId="14A29B21" w14:textId="77777777" w:rsidR="004712F0" w:rsidRPr="00A95E07" w:rsidRDefault="004712F0" w:rsidP="008A430D">
      <w:pPr>
        <w:pStyle w:val="Chapter1"/>
        <w:numPr>
          <w:ilvl w:val="0"/>
          <w:numId w:val="0"/>
        </w:numPr>
        <w:ind w:left="851"/>
      </w:pPr>
    </w:p>
    <w:p w14:paraId="7147F925" w14:textId="77777777" w:rsidR="008A430D" w:rsidRPr="00A95E07" w:rsidRDefault="008A430D" w:rsidP="008A430D">
      <w:pPr>
        <w:pStyle w:val="Chapter1"/>
        <w:numPr>
          <w:ilvl w:val="0"/>
          <w:numId w:val="0"/>
        </w:numPr>
        <w:ind w:left="851"/>
      </w:pPr>
    </w:p>
    <w:p w14:paraId="3D2601E0" w14:textId="15EE47DF" w:rsidR="003A31FD" w:rsidRPr="00A95E07" w:rsidRDefault="000847E3" w:rsidP="000847E3">
      <w:pPr>
        <w:pStyle w:val="Heading1"/>
        <w:rPr>
          <w:lang w:val="en-NZ"/>
        </w:rPr>
      </w:pPr>
      <w:bookmarkStart w:id="22" w:name="_Toc507152278"/>
      <w:bookmarkStart w:id="23" w:name="_Toc510082294"/>
      <w:r w:rsidRPr="00A95E07">
        <w:rPr>
          <w:lang w:val="en-NZ"/>
        </w:rPr>
        <w:t xml:space="preserve">Aim of the </w:t>
      </w:r>
      <w:r w:rsidR="00681115" w:rsidRPr="00A95E07">
        <w:rPr>
          <w:lang w:val="en-NZ"/>
        </w:rPr>
        <w:t>propos</w:t>
      </w:r>
      <w:r w:rsidRPr="00A95E07">
        <w:rPr>
          <w:lang w:val="en-NZ"/>
        </w:rPr>
        <w:t>ed changes</w:t>
      </w:r>
      <w:bookmarkEnd w:id="22"/>
      <w:bookmarkEnd w:id="23"/>
    </w:p>
    <w:p w14:paraId="7622D3C0" w14:textId="77777777" w:rsidR="00280E8E" w:rsidRPr="00A95E07" w:rsidRDefault="00280E8E" w:rsidP="008A430D">
      <w:pPr>
        <w:pStyle w:val="Chapter1"/>
        <w:numPr>
          <w:ilvl w:val="0"/>
          <w:numId w:val="0"/>
        </w:numPr>
        <w:ind w:left="851"/>
      </w:pPr>
    </w:p>
    <w:p w14:paraId="312263BD" w14:textId="77777777" w:rsidR="00B61F79" w:rsidRPr="00A95E07" w:rsidRDefault="00BE758A" w:rsidP="00D424F2">
      <w:pPr>
        <w:pStyle w:val="Chapter1"/>
      </w:pPr>
      <w:r w:rsidRPr="00A95E07">
        <w:t>The introduction of loss ring-fencing rules is aimed at</w:t>
      </w:r>
      <w:r w:rsidRPr="00A95E07">
        <w:rPr>
          <w:color w:val="000000"/>
          <w:szCs w:val="24"/>
        </w:rPr>
        <w:t xml:space="preserve"> levelling</w:t>
      </w:r>
      <w:r w:rsidR="00280E8E" w:rsidRPr="00A95E07">
        <w:rPr>
          <w:color w:val="000000"/>
          <w:szCs w:val="24"/>
        </w:rPr>
        <w:t xml:space="preserve"> the playing field between property speculators/investors and home buyers.  </w:t>
      </w:r>
      <w:r w:rsidR="00681115" w:rsidRPr="00A95E07">
        <w:rPr>
          <w:szCs w:val="24"/>
        </w:rPr>
        <w:t>Currently</w:t>
      </w:r>
      <w:r w:rsidR="00280E8E" w:rsidRPr="00A95E07">
        <w:rPr>
          <w:szCs w:val="24"/>
        </w:rPr>
        <w:t xml:space="preserve"> investors (particularly highly-geared investors) hav</w:t>
      </w:r>
      <w:r w:rsidR="00681115" w:rsidRPr="00A95E07">
        <w:rPr>
          <w:szCs w:val="24"/>
        </w:rPr>
        <w:t>e</w:t>
      </w:r>
      <w:r w:rsidR="00280E8E" w:rsidRPr="00A95E07">
        <w:rPr>
          <w:szCs w:val="24"/>
        </w:rPr>
        <w:t xml:space="preserve"> part of the cost of servicing their</w:t>
      </w:r>
      <w:r w:rsidR="00280E8E" w:rsidRPr="00A95E07">
        <w:t xml:space="preserve"> mortgages subsidised by the reduced tax on their other income sources, helping them to outbid owner-occupiers for properties.  </w:t>
      </w:r>
      <w:r w:rsidR="00A95BAA" w:rsidRPr="00A95E07">
        <w:t xml:space="preserve">Rules that </w:t>
      </w:r>
      <w:r w:rsidRPr="00A95E07">
        <w:t>r</w:t>
      </w:r>
      <w:r w:rsidR="00280E8E" w:rsidRPr="00A95E07">
        <w:t>ing-fenc</w:t>
      </w:r>
      <w:r w:rsidR="007A6DAA" w:rsidRPr="00A95E07">
        <w:t>e</w:t>
      </w:r>
      <w:r w:rsidR="00280E8E" w:rsidRPr="00A95E07">
        <w:t xml:space="preserve"> residential </w:t>
      </w:r>
      <w:r w:rsidR="002F20C8" w:rsidRPr="00A95E07">
        <w:t>property</w:t>
      </w:r>
      <w:r w:rsidR="00280E8E" w:rsidRPr="00A95E07">
        <w:t xml:space="preserve"> losses</w:t>
      </w:r>
      <w:r w:rsidR="00A95BAA" w:rsidRPr="00A95E07">
        <w:t>, so they cannot be used to reduce tax on other income,</w:t>
      </w:r>
      <w:r w:rsidR="00280E8E" w:rsidRPr="00A95E07">
        <w:t xml:space="preserve"> </w:t>
      </w:r>
      <w:r w:rsidRPr="00A95E07">
        <w:t>is intended to</w:t>
      </w:r>
      <w:r w:rsidR="00280E8E" w:rsidRPr="00A95E07">
        <w:t xml:space="preserve"> help reduce this advantage and perceived unfairness.</w:t>
      </w:r>
    </w:p>
    <w:p w14:paraId="0F590E39" w14:textId="77777777" w:rsidR="00B61F79" w:rsidRPr="00A95E07" w:rsidRDefault="00B61F79" w:rsidP="008A430D">
      <w:pPr>
        <w:pStyle w:val="Chapter1"/>
        <w:numPr>
          <w:ilvl w:val="0"/>
          <w:numId w:val="0"/>
        </w:numPr>
        <w:ind w:left="851"/>
      </w:pPr>
    </w:p>
    <w:p w14:paraId="66835BE6" w14:textId="77777777" w:rsidR="00B61F79" w:rsidRPr="00A95E07" w:rsidRDefault="00B61F79" w:rsidP="00926D28">
      <w:pPr>
        <w:pStyle w:val="Chapter1"/>
      </w:pPr>
      <w:r w:rsidRPr="00A95E07">
        <w:t>Officials are interested in feedback on the suggested changes outlined in this paper.</w:t>
      </w:r>
    </w:p>
    <w:p w14:paraId="5869736D" w14:textId="77777777" w:rsidR="00BF2FC2" w:rsidRPr="00A95E07" w:rsidRDefault="00BF2FC2" w:rsidP="000360A6">
      <w:pPr>
        <w:pStyle w:val="Chapter1"/>
        <w:numPr>
          <w:ilvl w:val="0"/>
          <w:numId w:val="0"/>
        </w:numPr>
        <w:ind w:left="851"/>
      </w:pPr>
    </w:p>
    <w:p w14:paraId="607DF383" w14:textId="77777777" w:rsidR="008840A1" w:rsidRPr="00A95E07" w:rsidRDefault="008840A1" w:rsidP="000360A6">
      <w:pPr>
        <w:pStyle w:val="Chapter1"/>
        <w:numPr>
          <w:ilvl w:val="0"/>
          <w:numId w:val="0"/>
        </w:numPr>
        <w:ind w:left="851"/>
      </w:pPr>
    </w:p>
    <w:p w14:paraId="5AF3DD67" w14:textId="77777777" w:rsidR="00430BB2" w:rsidRPr="00A95E07" w:rsidRDefault="00297E55" w:rsidP="00D40CED">
      <w:pPr>
        <w:pStyle w:val="Heading1"/>
        <w:rPr>
          <w:lang w:val="en-NZ"/>
        </w:rPr>
      </w:pPr>
      <w:bookmarkStart w:id="24" w:name="_Toc507152279"/>
      <w:bookmarkStart w:id="25" w:name="_Toc510082295"/>
      <w:r w:rsidRPr="00A95E07">
        <w:rPr>
          <w:lang w:val="en-NZ"/>
        </w:rPr>
        <w:t>How to make a submission</w:t>
      </w:r>
      <w:bookmarkEnd w:id="24"/>
      <w:bookmarkEnd w:id="25"/>
    </w:p>
    <w:p w14:paraId="58819913" w14:textId="77777777" w:rsidR="00430BB2" w:rsidRPr="00A95E07" w:rsidRDefault="00430BB2" w:rsidP="000360A6">
      <w:pPr>
        <w:pStyle w:val="Chapter1"/>
        <w:numPr>
          <w:ilvl w:val="0"/>
          <w:numId w:val="0"/>
        </w:numPr>
        <w:ind w:left="851"/>
      </w:pPr>
    </w:p>
    <w:p w14:paraId="1B7F2958" w14:textId="6DD5AB32" w:rsidR="005A2A76" w:rsidRPr="00A95E07" w:rsidRDefault="005A2A76" w:rsidP="00706693">
      <w:pPr>
        <w:pStyle w:val="Chapter1"/>
      </w:pPr>
      <w:r w:rsidRPr="00A95E07">
        <w:t xml:space="preserve">Officials invite submissions on the suggested changes </w:t>
      </w:r>
      <w:r w:rsidR="00A60D5C" w:rsidRPr="00A95E07">
        <w:t xml:space="preserve">and points raised </w:t>
      </w:r>
      <w:r w:rsidRPr="00A95E07">
        <w:t xml:space="preserve">in this issues paper.  </w:t>
      </w:r>
      <w:r w:rsidR="00706693" w:rsidRPr="00A95E07">
        <w:t xml:space="preserve">Send your submission to </w:t>
      </w:r>
      <w:hyperlink r:id="rId10" w:history="1">
        <w:r w:rsidRPr="00A95E07">
          <w:rPr>
            <w:rStyle w:val="Hyperlink"/>
          </w:rPr>
          <w:t>policy.webmaster@ird.govt.nz</w:t>
        </w:r>
      </w:hyperlink>
      <w:r w:rsidRPr="00A95E07">
        <w:t xml:space="preserve"> with </w:t>
      </w:r>
      <w:r w:rsidR="00DC63AA" w:rsidRPr="00A95E07">
        <w:t>“Ring-fencing rent</w:t>
      </w:r>
      <w:r w:rsidR="00706693" w:rsidRPr="00A95E07">
        <w:t>al losses” in the subject line.</w:t>
      </w:r>
    </w:p>
    <w:p w14:paraId="7861D328" w14:textId="77777777" w:rsidR="00DC63AA" w:rsidRPr="00A95E07" w:rsidRDefault="00DC63AA" w:rsidP="005A2A76">
      <w:pPr>
        <w:pStyle w:val="Chapter1"/>
        <w:numPr>
          <w:ilvl w:val="0"/>
          <w:numId w:val="0"/>
        </w:numPr>
        <w:ind w:left="851"/>
      </w:pPr>
    </w:p>
    <w:p w14:paraId="5BEE9C97" w14:textId="6A98B361" w:rsidR="00DC63AA" w:rsidRPr="00A95E07" w:rsidRDefault="00706693" w:rsidP="00706693">
      <w:pPr>
        <w:pStyle w:val="Chapter1"/>
      </w:pPr>
      <w:r w:rsidRPr="00A95E07">
        <w:t>Alternatively, submissions can be sent to</w:t>
      </w:r>
      <w:r w:rsidR="00DC63AA" w:rsidRPr="00A95E07">
        <w:t>:</w:t>
      </w:r>
    </w:p>
    <w:p w14:paraId="6BFA3ED2" w14:textId="77777777" w:rsidR="00DC63AA" w:rsidRPr="00A95E07" w:rsidRDefault="00DC63AA" w:rsidP="005A2A76">
      <w:pPr>
        <w:pStyle w:val="Chapter1"/>
        <w:numPr>
          <w:ilvl w:val="0"/>
          <w:numId w:val="0"/>
        </w:numPr>
        <w:ind w:left="851"/>
      </w:pPr>
    </w:p>
    <w:p w14:paraId="7A48E2B1" w14:textId="77777777" w:rsidR="00DC63AA" w:rsidRPr="00A95E07" w:rsidRDefault="00DC63AA" w:rsidP="005A2A76">
      <w:pPr>
        <w:pStyle w:val="Chapter1"/>
        <w:numPr>
          <w:ilvl w:val="0"/>
          <w:numId w:val="0"/>
        </w:numPr>
        <w:ind w:left="851"/>
      </w:pPr>
      <w:r w:rsidRPr="00A95E07">
        <w:t>Ring-fencing rental losses</w:t>
      </w:r>
    </w:p>
    <w:p w14:paraId="592D896D" w14:textId="77777777" w:rsidR="00DC63AA" w:rsidRPr="00A95E07" w:rsidRDefault="00DC63AA" w:rsidP="005A2A76">
      <w:pPr>
        <w:pStyle w:val="Chapter1"/>
        <w:numPr>
          <w:ilvl w:val="0"/>
          <w:numId w:val="0"/>
        </w:numPr>
        <w:ind w:left="851"/>
      </w:pPr>
      <w:r w:rsidRPr="00A95E07">
        <w:t>C/- Deputy Commissioner, Policy and Strategy</w:t>
      </w:r>
    </w:p>
    <w:p w14:paraId="42FDEE71" w14:textId="77777777" w:rsidR="00DC63AA" w:rsidRPr="00A95E07" w:rsidRDefault="00DC63AA" w:rsidP="005A2A76">
      <w:pPr>
        <w:pStyle w:val="Chapter1"/>
        <w:numPr>
          <w:ilvl w:val="0"/>
          <w:numId w:val="0"/>
        </w:numPr>
        <w:ind w:left="851"/>
      </w:pPr>
      <w:r w:rsidRPr="00A95E07">
        <w:t>Inland Revenue Department</w:t>
      </w:r>
    </w:p>
    <w:p w14:paraId="22B148B5" w14:textId="77777777" w:rsidR="00DC63AA" w:rsidRPr="00A95E07" w:rsidRDefault="00DC63AA" w:rsidP="005A2A76">
      <w:pPr>
        <w:pStyle w:val="Chapter1"/>
        <w:numPr>
          <w:ilvl w:val="0"/>
          <w:numId w:val="0"/>
        </w:numPr>
        <w:ind w:left="851"/>
      </w:pPr>
      <w:r w:rsidRPr="00A95E07">
        <w:t>PO Box 2198</w:t>
      </w:r>
    </w:p>
    <w:p w14:paraId="063F1190" w14:textId="77777777" w:rsidR="00DC63AA" w:rsidRPr="00A95E07" w:rsidRDefault="00DC63AA" w:rsidP="005A2A76">
      <w:pPr>
        <w:pStyle w:val="Chapter1"/>
        <w:numPr>
          <w:ilvl w:val="0"/>
          <w:numId w:val="0"/>
        </w:numPr>
        <w:ind w:left="851"/>
      </w:pPr>
      <w:r w:rsidRPr="00A95E07">
        <w:t>Wellington 6140</w:t>
      </w:r>
    </w:p>
    <w:p w14:paraId="3C917191" w14:textId="77777777" w:rsidR="00DC63AA" w:rsidRPr="00A95E07" w:rsidRDefault="00DC63AA" w:rsidP="005A2A76">
      <w:pPr>
        <w:pStyle w:val="Chapter1"/>
        <w:numPr>
          <w:ilvl w:val="0"/>
          <w:numId w:val="0"/>
        </w:numPr>
        <w:ind w:left="851"/>
      </w:pPr>
    </w:p>
    <w:p w14:paraId="32BEA09E" w14:textId="1D4C9110" w:rsidR="00DC63AA" w:rsidRPr="00A95E07" w:rsidRDefault="00DC63AA" w:rsidP="00706693">
      <w:pPr>
        <w:pStyle w:val="Chapter1"/>
      </w:pPr>
      <w:r w:rsidRPr="00A95E07">
        <w:t xml:space="preserve">The closing date for submissions is </w:t>
      </w:r>
      <w:r w:rsidR="005E0A50" w:rsidRPr="00A95E07">
        <w:rPr>
          <w:b/>
        </w:rPr>
        <w:t>11</w:t>
      </w:r>
      <w:r w:rsidRPr="00A95E07">
        <w:rPr>
          <w:b/>
        </w:rPr>
        <w:t xml:space="preserve"> M</w:t>
      </w:r>
      <w:r w:rsidR="007228DD" w:rsidRPr="00A95E07">
        <w:rPr>
          <w:b/>
        </w:rPr>
        <w:t>ay</w:t>
      </w:r>
      <w:r w:rsidRPr="00A95E07">
        <w:rPr>
          <w:b/>
        </w:rPr>
        <w:t xml:space="preserve"> 2018</w:t>
      </w:r>
      <w:r w:rsidRPr="00A95E07">
        <w:t>.</w:t>
      </w:r>
    </w:p>
    <w:p w14:paraId="5624982D" w14:textId="77777777" w:rsidR="005A2A76" w:rsidRPr="00A95E07" w:rsidRDefault="005A2A76" w:rsidP="005A2A76">
      <w:pPr>
        <w:pStyle w:val="Chapter1"/>
        <w:numPr>
          <w:ilvl w:val="0"/>
          <w:numId w:val="0"/>
        </w:numPr>
        <w:ind w:left="851"/>
      </w:pPr>
    </w:p>
    <w:p w14:paraId="54EEDAD3" w14:textId="77777777" w:rsidR="005A2A76" w:rsidRPr="00A95E07" w:rsidRDefault="00DC63AA" w:rsidP="00373F5D">
      <w:pPr>
        <w:pStyle w:val="Chapter1"/>
      </w:pPr>
      <w:r w:rsidRPr="00A95E07">
        <w:t>Submissions should include a brief summary of major points and recommendations.  They should also indicate whether it would be acceptable for Inland Revenue and Treasury officials to contact those making the submission to discuss the points raised, if required.</w:t>
      </w:r>
    </w:p>
    <w:p w14:paraId="6A4DC0BE" w14:textId="77777777" w:rsidR="00DC63AA" w:rsidRPr="00A95E07" w:rsidRDefault="00DC63AA" w:rsidP="00DC63AA">
      <w:pPr>
        <w:pStyle w:val="Chapter1"/>
        <w:numPr>
          <w:ilvl w:val="0"/>
          <w:numId w:val="0"/>
        </w:numPr>
        <w:ind w:left="851"/>
      </w:pPr>
    </w:p>
    <w:p w14:paraId="75087EA7" w14:textId="400C146B" w:rsidR="000360A6" w:rsidRPr="00A95E07" w:rsidRDefault="00DC63AA" w:rsidP="000360A6">
      <w:pPr>
        <w:pStyle w:val="Chapter1"/>
      </w:pPr>
      <w:r w:rsidRPr="00A95E07">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14:paraId="58470C48" w14:textId="77777777" w:rsidR="00373F5D" w:rsidRPr="00A95E07" w:rsidRDefault="00373F5D" w:rsidP="00D10025">
      <w:pPr>
        <w:pStyle w:val="Chapterheading"/>
        <w:rPr>
          <w:lang w:val="en-NZ"/>
        </w:rPr>
      </w:pPr>
      <w:r w:rsidRPr="00A95E07">
        <w:rPr>
          <w:lang w:val="en-NZ"/>
        </w:rPr>
        <w:br w:type="page"/>
      </w:r>
      <w:bookmarkStart w:id="26" w:name="_Toc147567996"/>
      <w:bookmarkStart w:id="27" w:name="_Toc505074088"/>
      <w:bookmarkStart w:id="28" w:name="_Toc506216602"/>
      <w:bookmarkStart w:id="29" w:name="_Toc506219970"/>
      <w:bookmarkStart w:id="30" w:name="_Toc506477382"/>
      <w:bookmarkStart w:id="31" w:name="_Toc507152280"/>
      <w:bookmarkStart w:id="32" w:name="_Toc509922280"/>
      <w:bookmarkStart w:id="33" w:name="_Toc510021167"/>
      <w:bookmarkStart w:id="34" w:name="_Toc510022585"/>
      <w:bookmarkStart w:id="35" w:name="_Toc510022803"/>
      <w:bookmarkStart w:id="36" w:name="_Toc510026867"/>
      <w:bookmarkStart w:id="37" w:name="_Toc510082193"/>
      <w:bookmarkStart w:id="38" w:name="_Toc510082296"/>
      <w:r w:rsidR="001005B7" w:rsidRPr="00A95E07">
        <w:rPr>
          <w:lang w:val="en-NZ"/>
        </w:rPr>
        <w:t xml:space="preserve">CHAPTER </w:t>
      </w:r>
      <w:r w:rsidRPr="00A95E07">
        <w:rPr>
          <w:lang w:val="en-NZ"/>
        </w:rPr>
        <w:t>2</w:t>
      </w:r>
      <w:bookmarkEnd w:id="26"/>
      <w:bookmarkEnd w:id="27"/>
      <w:bookmarkEnd w:id="28"/>
      <w:bookmarkEnd w:id="29"/>
      <w:bookmarkEnd w:id="30"/>
      <w:bookmarkEnd w:id="31"/>
      <w:bookmarkEnd w:id="32"/>
      <w:bookmarkEnd w:id="33"/>
      <w:bookmarkEnd w:id="34"/>
      <w:bookmarkEnd w:id="35"/>
      <w:bookmarkEnd w:id="36"/>
      <w:bookmarkEnd w:id="37"/>
      <w:bookmarkEnd w:id="38"/>
    </w:p>
    <w:p w14:paraId="38AF0E28" w14:textId="77777777" w:rsidR="00373F5D" w:rsidRPr="00A95E07" w:rsidRDefault="00373F5D" w:rsidP="00D10025">
      <w:pPr>
        <w:pStyle w:val="Chapterheading"/>
        <w:rPr>
          <w:lang w:val="en-NZ"/>
        </w:rPr>
      </w:pPr>
    </w:p>
    <w:p w14:paraId="2EBEF2DE" w14:textId="48E53766" w:rsidR="00373F5D" w:rsidRPr="00A95E07" w:rsidRDefault="00F62C7B" w:rsidP="00D10025">
      <w:pPr>
        <w:pStyle w:val="Chapterheading"/>
        <w:rPr>
          <w:lang w:val="en-NZ"/>
        </w:rPr>
      </w:pPr>
      <w:bookmarkStart w:id="39" w:name="_Toc507152281"/>
      <w:bookmarkStart w:id="40" w:name="_Toc510082297"/>
      <w:r w:rsidRPr="00A95E07">
        <w:rPr>
          <w:caps w:val="0"/>
          <w:lang w:val="en-NZ"/>
        </w:rPr>
        <w:t xml:space="preserve">Summary of </w:t>
      </w:r>
      <w:r w:rsidR="00FE15FC" w:rsidRPr="00A95E07">
        <w:rPr>
          <w:caps w:val="0"/>
          <w:lang w:val="en-NZ"/>
        </w:rPr>
        <w:t xml:space="preserve">the </w:t>
      </w:r>
      <w:r w:rsidRPr="00A95E07">
        <w:rPr>
          <w:caps w:val="0"/>
          <w:lang w:val="en-NZ"/>
        </w:rPr>
        <w:t>suggested changes</w:t>
      </w:r>
      <w:bookmarkEnd w:id="39"/>
      <w:bookmarkEnd w:id="40"/>
    </w:p>
    <w:p w14:paraId="6E77FC6C" w14:textId="77777777" w:rsidR="00373F5D" w:rsidRPr="00A95E07" w:rsidRDefault="00373F5D" w:rsidP="000360A6">
      <w:pPr>
        <w:pStyle w:val="Chapter2"/>
        <w:numPr>
          <w:ilvl w:val="0"/>
          <w:numId w:val="0"/>
        </w:numPr>
        <w:ind w:left="851"/>
      </w:pPr>
    </w:p>
    <w:p w14:paraId="0C1BA9E8" w14:textId="77777777" w:rsidR="00373F5D" w:rsidRPr="00A95E07" w:rsidRDefault="00373F5D" w:rsidP="000360A6">
      <w:pPr>
        <w:pStyle w:val="Chapter2"/>
        <w:numPr>
          <w:ilvl w:val="0"/>
          <w:numId w:val="0"/>
        </w:numPr>
        <w:ind w:left="851"/>
      </w:pPr>
    </w:p>
    <w:p w14:paraId="1C51E7B3" w14:textId="5353FD41" w:rsidR="00A95BAA" w:rsidRPr="00A95E07" w:rsidRDefault="00A95BAA" w:rsidP="00926D28">
      <w:pPr>
        <w:pStyle w:val="Chapter2"/>
      </w:pPr>
      <w:r w:rsidRPr="00A95E07">
        <w:t>The proposed l</w:t>
      </w:r>
      <w:r w:rsidRPr="00A95E07">
        <w:rPr>
          <w:color w:val="000000"/>
          <w:szCs w:val="24"/>
        </w:rPr>
        <w:t xml:space="preserve">oss ring-fencing rules will mean that </w:t>
      </w:r>
      <w:r w:rsidR="00FE57D6" w:rsidRPr="00A95E07">
        <w:rPr>
          <w:color w:val="000000"/>
          <w:szCs w:val="24"/>
        </w:rPr>
        <w:t>speculators and investors</w:t>
      </w:r>
      <w:r w:rsidRPr="00A95E07">
        <w:rPr>
          <w:color w:val="000000"/>
          <w:szCs w:val="24"/>
        </w:rPr>
        <w:t xml:space="preserve"> with residential propert</w:t>
      </w:r>
      <w:r w:rsidR="005B606A" w:rsidRPr="00A95E07">
        <w:rPr>
          <w:color w:val="000000"/>
          <w:szCs w:val="24"/>
        </w:rPr>
        <w:t>ies</w:t>
      </w:r>
      <w:r w:rsidRPr="00A95E07">
        <w:rPr>
          <w:color w:val="000000"/>
          <w:szCs w:val="24"/>
        </w:rPr>
        <w:t xml:space="preserve"> </w:t>
      </w:r>
      <w:r w:rsidRPr="00A95E07">
        <w:rPr>
          <w:szCs w:val="24"/>
        </w:rPr>
        <w:t>will no longer be able to offset tax losses from th</w:t>
      </w:r>
      <w:r w:rsidR="00FE57D6" w:rsidRPr="00A95E07">
        <w:rPr>
          <w:szCs w:val="24"/>
        </w:rPr>
        <w:t>ose</w:t>
      </w:r>
      <w:r w:rsidRPr="00A95E07">
        <w:rPr>
          <w:szCs w:val="24"/>
        </w:rPr>
        <w:t xml:space="preserve"> properties against their other income (</w:t>
      </w:r>
      <w:r w:rsidR="00E74B37" w:rsidRPr="00A95E07">
        <w:rPr>
          <w:szCs w:val="24"/>
        </w:rPr>
        <w:t>for example</w:t>
      </w:r>
      <w:r w:rsidRPr="00A95E07">
        <w:rPr>
          <w:szCs w:val="24"/>
        </w:rPr>
        <w:t>, salary or wages, or business income), to reduce their tax liability.</w:t>
      </w:r>
      <w:r w:rsidR="005B606A" w:rsidRPr="00A95E07">
        <w:rPr>
          <w:szCs w:val="24"/>
        </w:rPr>
        <w:t xml:space="preserve">  The losses can be used in future years, when the properties are making profits, or if the person is taxed on the sale of land.</w:t>
      </w:r>
    </w:p>
    <w:p w14:paraId="0D327D45" w14:textId="77777777" w:rsidR="00A95BAA" w:rsidRPr="00A95E07" w:rsidRDefault="00A95BAA" w:rsidP="000360A6">
      <w:pPr>
        <w:pStyle w:val="Chapter2"/>
        <w:numPr>
          <w:ilvl w:val="0"/>
          <w:numId w:val="0"/>
        </w:numPr>
        <w:ind w:left="851"/>
      </w:pPr>
    </w:p>
    <w:p w14:paraId="64FC7F3B" w14:textId="77777777" w:rsidR="00373F5D" w:rsidRPr="00A95E07" w:rsidRDefault="00A60D5C" w:rsidP="00926D28">
      <w:pPr>
        <w:pStyle w:val="Chapter2"/>
      </w:pPr>
      <w:r w:rsidRPr="00A95E07">
        <w:t xml:space="preserve">A summary of officials’ suggestions for the design of the loss ring-fencing rules is set out below.  These </w:t>
      </w:r>
      <w:r w:rsidR="008D1CD4" w:rsidRPr="00A95E07">
        <w:t>design issues are discussed in more detail in the chapters that follow.</w:t>
      </w:r>
    </w:p>
    <w:p w14:paraId="45A9D8FE" w14:textId="77777777" w:rsidR="00373F5D" w:rsidRPr="00A95E07" w:rsidRDefault="00373F5D" w:rsidP="000360A6">
      <w:pPr>
        <w:pStyle w:val="Chapter2"/>
        <w:numPr>
          <w:ilvl w:val="0"/>
          <w:numId w:val="0"/>
        </w:numPr>
        <w:ind w:left="851"/>
      </w:pPr>
    </w:p>
    <w:p w14:paraId="1FF66AF5" w14:textId="77777777" w:rsidR="00373F5D" w:rsidRPr="00A95E07" w:rsidRDefault="00373F5D" w:rsidP="000360A6">
      <w:pPr>
        <w:pStyle w:val="Chapter2"/>
        <w:numPr>
          <w:ilvl w:val="0"/>
          <w:numId w:val="0"/>
        </w:numPr>
        <w:ind w:left="851"/>
      </w:pPr>
    </w:p>
    <w:p w14:paraId="4B71F4F2" w14:textId="77777777" w:rsidR="00373F5D" w:rsidRPr="00A95E07" w:rsidRDefault="00297E55" w:rsidP="00373F5D">
      <w:pPr>
        <w:pStyle w:val="Heading1"/>
        <w:rPr>
          <w:lang w:val="en-NZ"/>
        </w:rPr>
      </w:pPr>
      <w:bookmarkStart w:id="41" w:name="_Toc507152282"/>
      <w:bookmarkStart w:id="42" w:name="_Toc510082298"/>
      <w:r w:rsidRPr="00A95E07">
        <w:rPr>
          <w:lang w:val="en-NZ"/>
        </w:rPr>
        <w:t>Property the rules will apply to</w:t>
      </w:r>
      <w:bookmarkEnd w:id="41"/>
      <w:bookmarkEnd w:id="42"/>
    </w:p>
    <w:p w14:paraId="6DCECDBD" w14:textId="77777777" w:rsidR="00373F5D" w:rsidRPr="00A95E07" w:rsidRDefault="00373F5D" w:rsidP="000360A6">
      <w:pPr>
        <w:pStyle w:val="Chapter2"/>
        <w:numPr>
          <w:ilvl w:val="0"/>
          <w:numId w:val="0"/>
        </w:numPr>
        <w:ind w:left="851"/>
      </w:pPr>
    </w:p>
    <w:p w14:paraId="31B7C618" w14:textId="35246F14" w:rsidR="00B61F79" w:rsidRPr="00A95E07" w:rsidRDefault="00B61F79" w:rsidP="00926D28">
      <w:pPr>
        <w:pStyle w:val="Chapter2"/>
      </w:pPr>
      <w:r w:rsidRPr="00A95E07">
        <w:t xml:space="preserve">It is </w:t>
      </w:r>
      <w:r w:rsidR="005B606A" w:rsidRPr="00A95E07">
        <w:t>propos</w:t>
      </w:r>
      <w:r w:rsidRPr="00A95E07">
        <w:t>ed that the loss ring-fencing rules w</w:t>
      </w:r>
      <w:r w:rsidR="007317EC" w:rsidRPr="00A95E07">
        <w:t>ill</w:t>
      </w:r>
      <w:r w:rsidRPr="00A95E07">
        <w:t xml:space="preserve"> apply to “residential land”.  </w:t>
      </w:r>
      <w:r w:rsidR="005B606A" w:rsidRPr="00A95E07">
        <w:t>We suggest</w:t>
      </w:r>
      <w:r w:rsidRPr="00A95E07">
        <w:t xml:space="preserve"> that the rules use</w:t>
      </w:r>
      <w:r w:rsidR="00706693" w:rsidRPr="00A95E07">
        <w:t xml:space="preserve"> </w:t>
      </w:r>
      <w:r w:rsidRPr="00A95E07">
        <w:t xml:space="preserve"> the definition of “residential land”</w:t>
      </w:r>
      <w:r w:rsidR="0012126D" w:rsidRPr="00A95E07">
        <w:rPr>
          <w:rStyle w:val="FootnoteReference"/>
        </w:rPr>
        <w:footnoteReference w:id="4"/>
      </w:r>
      <w:r w:rsidRPr="00A95E07">
        <w:t xml:space="preserve"> that already exists for the bright-line test</w:t>
      </w:r>
      <w:r w:rsidR="007A6DAA" w:rsidRPr="00A95E07">
        <w:t xml:space="preserve"> which taxes sales of residential land bought and sold within </w:t>
      </w:r>
      <w:r w:rsidR="007E65E2" w:rsidRPr="00A95E07">
        <w:t xml:space="preserve">either </w:t>
      </w:r>
      <w:r w:rsidR="007A6DAA" w:rsidRPr="00A95E07">
        <w:t xml:space="preserve">two </w:t>
      </w:r>
      <w:r w:rsidR="007E65E2" w:rsidRPr="00A95E07">
        <w:t xml:space="preserve">or five </w:t>
      </w:r>
      <w:r w:rsidR="007A6DAA" w:rsidRPr="00A95E07">
        <w:t>years</w:t>
      </w:r>
      <w:r w:rsidRPr="00A95E07">
        <w:t>.</w:t>
      </w:r>
      <w:r w:rsidR="007A6DAA" w:rsidRPr="00A95E07">
        <w:rPr>
          <w:rStyle w:val="FootnoteReference"/>
        </w:rPr>
        <w:footnoteReference w:id="5"/>
      </w:r>
    </w:p>
    <w:p w14:paraId="723758EA" w14:textId="77777777" w:rsidR="00B61F79" w:rsidRPr="00A95E07" w:rsidRDefault="00B61F79" w:rsidP="00B61F79">
      <w:pPr>
        <w:pStyle w:val="Chapter2"/>
        <w:numPr>
          <w:ilvl w:val="0"/>
          <w:numId w:val="0"/>
        </w:numPr>
        <w:ind w:left="851"/>
      </w:pPr>
    </w:p>
    <w:p w14:paraId="505AECD0" w14:textId="77777777" w:rsidR="00373F5D" w:rsidRPr="00A95E07" w:rsidRDefault="00B61F79" w:rsidP="00926D28">
      <w:pPr>
        <w:pStyle w:val="Chapter2"/>
      </w:pPr>
      <w:r w:rsidRPr="00A95E07">
        <w:t xml:space="preserve">The rules would </w:t>
      </w:r>
      <w:r w:rsidRPr="00A95E07">
        <w:rPr>
          <w:b/>
        </w:rPr>
        <w:t>not</w:t>
      </w:r>
      <w:r w:rsidRPr="00A95E07">
        <w:t xml:space="preserve"> apply to:</w:t>
      </w:r>
    </w:p>
    <w:p w14:paraId="1E258D01" w14:textId="77777777" w:rsidR="00706693" w:rsidRPr="00A95E07" w:rsidRDefault="00706693" w:rsidP="00706693">
      <w:pPr>
        <w:pStyle w:val="Chapter2"/>
        <w:numPr>
          <w:ilvl w:val="0"/>
          <w:numId w:val="0"/>
        </w:numPr>
        <w:ind w:left="851"/>
      </w:pPr>
    </w:p>
    <w:p w14:paraId="4B3BBF4E" w14:textId="413C3D75" w:rsidR="00B61F79" w:rsidRPr="00A95E07" w:rsidRDefault="00FA401B" w:rsidP="00EB1886">
      <w:pPr>
        <w:pStyle w:val="Bullet1stlevel"/>
        <w:rPr>
          <w:lang w:val="en-NZ"/>
        </w:rPr>
      </w:pPr>
      <w:r w:rsidRPr="00A95E07">
        <w:rPr>
          <w:lang w:val="en-NZ"/>
        </w:rPr>
        <w:t>a</w:t>
      </w:r>
      <w:r w:rsidR="00B61F79" w:rsidRPr="00A95E07">
        <w:rPr>
          <w:lang w:val="en-NZ"/>
        </w:rPr>
        <w:t xml:space="preserve"> person’s main home</w:t>
      </w:r>
      <w:r w:rsidR="00706693" w:rsidRPr="00A95E07">
        <w:rPr>
          <w:lang w:val="en-NZ"/>
        </w:rPr>
        <w:t>;</w:t>
      </w:r>
    </w:p>
    <w:p w14:paraId="4E26E1B6" w14:textId="73487A52" w:rsidR="00B61F79" w:rsidRPr="00A95E07" w:rsidRDefault="00FA401B" w:rsidP="00EB1886">
      <w:pPr>
        <w:pStyle w:val="Bullet1stlevel"/>
        <w:rPr>
          <w:lang w:val="en-NZ"/>
        </w:rPr>
      </w:pPr>
      <w:r w:rsidRPr="00A95E07">
        <w:rPr>
          <w:lang w:val="en-NZ"/>
        </w:rPr>
        <w:t>a</w:t>
      </w:r>
      <w:r w:rsidR="00B61F79" w:rsidRPr="00A95E07">
        <w:rPr>
          <w:lang w:val="en-NZ"/>
        </w:rPr>
        <w:t xml:space="preserve"> property that is subject to the mixed-use assets rules (</w:t>
      </w:r>
      <w:r w:rsidR="00E74B37" w:rsidRPr="00A95E07">
        <w:rPr>
          <w:lang w:val="en-NZ"/>
        </w:rPr>
        <w:t>for example</w:t>
      </w:r>
      <w:r w:rsidR="00B61F79" w:rsidRPr="00A95E07">
        <w:rPr>
          <w:lang w:val="en-NZ"/>
        </w:rPr>
        <w:t>, a bach that is sometimes used privately and sometimes rented out)</w:t>
      </w:r>
      <w:r w:rsidR="00706693" w:rsidRPr="00A95E07">
        <w:rPr>
          <w:lang w:val="en-NZ"/>
        </w:rPr>
        <w:t xml:space="preserve">; </w:t>
      </w:r>
      <w:r w:rsidR="00A16442" w:rsidRPr="00A95E07">
        <w:rPr>
          <w:lang w:val="en-NZ"/>
        </w:rPr>
        <w:t>or</w:t>
      </w:r>
    </w:p>
    <w:p w14:paraId="44ADDCCE" w14:textId="2034ACCF" w:rsidR="00B61F79" w:rsidRPr="00A95E07" w:rsidRDefault="00FA401B" w:rsidP="00EB1886">
      <w:pPr>
        <w:pStyle w:val="Bullet1stlevel"/>
        <w:spacing w:after="0"/>
        <w:rPr>
          <w:lang w:val="en-NZ"/>
        </w:rPr>
      </w:pPr>
      <w:proofErr w:type="gramStart"/>
      <w:r w:rsidRPr="00A95E07">
        <w:rPr>
          <w:lang w:val="en-NZ"/>
        </w:rPr>
        <w:t>l</w:t>
      </w:r>
      <w:r w:rsidR="00B61F79" w:rsidRPr="00A95E07">
        <w:rPr>
          <w:lang w:val="en-NZ"/>
        </w:rPr>
        <w:t>and</w:t>
      </w:r>
      <w:proofErr w:type="gramEnd"/>
      <w:r w:rsidR="00B61F79" w:rsidRPr="00A95E07">
        <w:rPr>
          <w:lang w:val="en-NZ"/>
        </w:rPr>
        <w:t xml:space="preserve"> that is on revenue account because it is </w:t>
      </w:r>
      <w:r w:rsidR="00A16442" w:rsidRPr="00A95E07">
        <w:rPr>
          <w:lang w:val="en-NZ"/>
        </w:rPr>
        <w:t>held</w:t>
      </w:r>
      <w:r w:rsidR="00091095" w:rsidRPr="00A95E07">
        <w:rPr>
          <w:lang w:val="en-NZ"/>
        </w:rPr>
        <w:t xml:space="preserve"> in a land-related business</w:t>
      </w:r>
      <w:r w:rsidR="00091095" w:rsidRPr="00A95E07">
        <w:rPr>
          <w:rStyle w:val="FootnoteReference"/>
          <w:lang w:val="en-NZ"/>
        </w:rPr>
        <w:footnoteReference w:id="6"/>
      </w:r>
      <w:r w:rsidR="00091095" w:rsidRPr="00A95E07">
        <w:rPr>
          <w:lang w:val="en-NZ"/>
        </w:rPr>
        <w:t xml:space="preserve"> (</w:t>
      </w:r>
      <w:r w:rsidR="00E74B37" w:rsidRPr="00A95E07">
        <w:rPr>
          <w:lang w:val="en-NZ"/>
        </w:rPr>
        <w:t>that is</w:t>
      </w:r>
      <w:r w:rsidR="00091095" w:rsidRPr="00A95E07">
        <w:rPr>
          <w:lang w:val="en-NZ"/>
        </w:rPr>
        <w:t xml:space="preserve">, </w:t>
      </w:r>
      <w:r w:rsidR="00B61F79" w:rsidRPr="00A95E07">
        <w:rPr>
          <w:lang w:val="en-NZ"/>
        </w:rPr>
        <w:t>a</w:t>
      </w:r>
      <w:r w:rsidR="00091095" w:rsidRPr="00A95E07">
        <w:rPr>
          <w:lang w:val="en-NZ"/>
        </w:rPr>
        <w:t xml:space="preserve"> business of land dealing, development of land, division of land, or building).</w:t>
      </w:r>
    </w:p>
    <w:p w14:paraId="5CFCB4EF" w14:textId="77777777" w:rsidR="00297E55" w:rsidRPr="00A95E07" w:rsidRDefault="00297E55" w:rsidP="000360A6">
      <w:pPr>
        <w:pStyle w:val="Chapter2"/>
        <w:numPr>
          <w:ilvl w:val="0"/>
          <w:numId w:val="0"/>
        </w:numPr>
        <w:ind w:left="851"/>
      </w:pPr>
    </w:p>
    <w:p w14:paraId="195D6D4F" w14:textId="77777777" w:rsidR="008A430D" w:rsidRPr="00A95E07" w:rsidRDefault="008A430D" w:rsidP="000360A6">
      <w:pPr>
        <w:pStyle w:val="Chapter2"/>
        <w:numPr>
          <w:ilvl w:val="0"/>
          <w:numId w:val="0"/>
        </w:numPr>
        <w:ind w:left="851"/>
      </w:pPr>
    </w:p>
    <w:p w14:paraId="65B61674" w14:textId="77777777" w:rsidR="00297E55" w:rsidRPr="00A95E07" w:rsidRDefault="00297E55" w:rsidP="00297E55">
      <w:pPr>
        <w:pStyle w:val="Heading1"/>
        <w:rPr>
          <w:lang w:val="en-NZ"/>
        </w:rPr>
      </w:pPr>
      <w:bookmarkStart w:id="43" w:name="_Toc507152283"/>
      <w:bookmarkStart w:id="44" w:name="_Toc510082299"/>
      <w:r w:rsidRPr="00A95E07">
        <w:rPr>
          <w:lang w:val="en-NZ"/>
        </w:rPr>
        <w:t>Portfolio basis</w:t>
      </w:r>
      <w:bookmarkEnd w:id="43"/>
      <w:bookmarkEnd w:id="44"/>
    </w:p>
    <w:p w14:paraId="158853FC" w14:textId="77777777" w:rsidR="00297E55" w:rsidRPr="00A95E07" w:rsidRDefault="00297E55" w:rsidP="000360A6">
      <w:pPr>
        <w:pStyle w:val="Chapter2"/>
        <w:numPr>
          <w:ilvl w:val="0"/>
          <w:numId w:val="0"/>
        </w:numPr>
        <w:ind w:left="851"/>
      </w:pPr>
    </w:p>
    <w:p w14:paraId="2A0A96FB" w14:textId="77777777" w:rsidR="00297E55" w:rsidRPr="00A95E07" w:rsidRDefault="00B61F79" w:rsidP="00926D28">
      <w:pPr>
        <w:pStyle w:val="Chapter2"/>
      </w:pPr>
      <w:r w:rsidRPr="00A95E07">
        <w:t>It is suggested that the loss ring-fencing rules should apply on a portfolio basis.  That would mean that investors would be able to offset losses from one rental property against rental income from other properties – calculating their overall profit or loss across their portfolio.</w:t>
      </w:r>
    </w:p>
    <w:p w14:paraId="734EEA01" w14:textId="77777777" w:rsidR="00297E55" w:rsidRPr="00A95E07" w:rsidRDefault="00297E55" w:rsidP="000360A6">
      <w:pPr>
        <w:pStyle w:val="Chapter2"/>
        <w:numPr>
          <w:ilvl w:val="0"/>
          <w:numId w:val="0"/>
        </w:numPr>
        <w:ind w:left="851"/>
      </w:pPr>
    </w:p>
    <w:p w14:paraId="30372EDD" w14:textId="77777777" w:rsidR="008A430D" w:rsidRPr="00A95E07" w:rsidRDefault="008A430D" w:rsidP="000360A6">
      <w:pPr>
        <w:pStyle w:val="Chapter2"/>
        <w:numPr>
          <w:ilvl w:val="0"/>
          <w:numId w:val="0"/>
        </w:numPr>
        <w:ind w:left="851"/>
      </w:pPr>
    </w:p>
    <w:p w14:paraId="72F70001" w14:textId="77777777" w:rsidR="00706693" w:rsidRPr="00A95E07" w:rsidRDefault="00706693" w:rsidP="00706693">
      <w:pPr>
        <w:pStyle w:val="Chapter2"/>
        <w:numPr>
          <w:ilvl w:val="0"/>
          <w:numId w:val="0"/>
        </w:numPr>
        <w:ind w:left="851"/>
      </w:pPr>
      <w:bookmarkStart w:id="45" w:name="_Toc507152284"/>
      <w:r w:rsidRPr="00A95E07">
        <w:br w:type="page"/>
      </w:r>
    </w:p>
    <w:p w14:paraId="35742BDD" w14:textId="69120281" w:rsidR="00297E55" w:rsidRPr="00A95E07" w:rsidRDefault="00297E55" w:rsidP="00297E55">
      <w:pPr>
        <w:pStyle w:val="Heading1"/>
        <w:rPr>
          <w:lang w:val="en-NZ"/>
        </w:rPr>
      </w:pPr>
      <w:bookmarkStart w:id="46" w:name="_Toc510082300"/>
      <w:r w:rsidRPr="00A95E07">
        <w:rPr>
          <w:lang w:val="en-NZ"/>
        </w:rPr>
        <w:t>Using ring-fenced losses</w:t>
      </w:r>
      <w:bookmarkEnd w:id="45"/>
      <w:bookmarkEnd w:id="46"/>
    </w:p>
    <w:p w14:paraId="44C38EBB" w14:textId="77777777" w:rsidR="00297E55" w:rsidRPr="00A95E07" w:rsidRDefault="00297E55" w:rsidP="000360A6">
      <w:pPr>
        <w:pStyle w:val="Chapter2"/>
        <w:numPr>
          <w:ilvl w:val="0"/>
          <w:numId w:val="0"/>
        </w:numPr>
        <w:ind w:left="851"/>
      </w:pPr>
    </w:p>
    <w:p w14:paraId="1D4786C9" w14:textId="77777777" w:rsidR="00297E55" w:rsidRPr="00A95E07" w:rsidRDefault="00B61F79" w:rsidP="00926D28">
      <w:pPr>
        <w:pStyle w:val="Chapter2"/>
      </w:pPr>
      <w:r w:rsidRPr="00A95E07">
        <w:t xml:space="preserve">Under the suggested changes, </w:t>
      </w:r>
      <w:r w:rsidR="0012126D" w:rsidRPr="00A95E07">
        <w:t xml:space="preserve">a person’s </w:t>
      </w:r>
      <w:r w:rsidRPr="00A95E07">
        <w:t xml:space="preserve">ring-fenced </w:t>
      </w:r>
      <w:r w:rsidR="00B9061E" w:rsidRPr="00A95E07">
        <w:t xml:space="preserve">residential </w:t>
      </w:r>
      <w:r w:rsidR="006B7A3B" w:rsidRPr="00A95E07">
        <w:t xml:space="preserve">rental or other </w:t>
      </w:r>
      <w:r w:rsidRPr="00A95E07">
        <w:t xml:space="preserve">losses from one year </w:t>
      </w:r>
      <w:r w:rsidR="00D424F2" w:rsidRPr="00A95E07">
        <w:t>could</w:t>
      </w:r>
      <w:r w:rsidRPr="00A95E07">
        <w:t xml:space="preserve"> be offset against</w:t>
      </w:r>
      <w:r w:rsidR="0012126D" w:rsidRPr="00A95E07">
        <w:t xml:space="preserve"> their</w:t>
      </w:r>
      <w:r w:rsidRPr="00A95E07">
        <w:t>:</w:t>
      </w:r>
    </w:p>
    <w:p w14:paraId="0087690F" w14:textId="77777777" w:rsidR="00EB1886" w:rsidRPr="00A95E07" w:rsidRDefault="00EB1886" w:rsidP="00EB1886">
      <w:pPr>
        <w:pStyle w:val="Chapter2"/>
        <w:numPr>
          <w:ilvl w:val="0"/>
          <w:numId w:val="0"/>
        </w:numPr>
        <w:ind w:left="851"/>
      </w:pPr>
    </w:p>
    <w:p w14:paraId="5C0A813E" w14:textId="7753F31C" w:rsidR="00B61F79" w:rsidRPr="00A95E07" w:rsidRDefault="00B61F79" w:rsidP="00EB1886">
      <w:pPr>
        <w:pStyle w:val="Bullet1stlevel"/>
        <w:rPr>
          <w:lang w:val="en-NZ"/>
        </w:rPr>
      </w:pPr>
      <w:r w:rsidRPr="00A95E07">
        <w:rPr>
          <w:lang w:val="en-NZ"/>
        </w:rPr>
        <w:t>residential rental income from future years (from any property)</w:t>
      </w:r>
      <w:r w:rsidR="008A430D" w:rsidRPr="00A95E07">
        <w:rPr>
          <w:lang w:val="en-NZ"/>
        </w:rPr>
        <w:t>; and</w:t>
      </w:r>
    </w:p>
    <w:p w14:paraId="1A0D1885" w14:textId="77777777" w:rsidR="00B61F79" w:rsidRPr="00A95E07" w:rsidRDefault="00B61F79" w:rsidP="00EB1886">
      <w:pPr>
        <w:pStyle w:val="Bullet1stlevel"/>
        <w:spacing w:after="0"/>
        <w:rPr>
          <w:lang w:val="en-NZ"/>
        </w:rPr>
      </w:pPr>
      <w:proofErr w:type="gramStart"/>
      <w:r w:rsidRPr="00A95E07">
        <w:rPr>
          <w:lang w:val="en-NZ"/>
        </w:rPr>
        <w:t>taxable</w:t>
      </w:r>
      <w:proofErr w:type="gramEnd"/>
      <w:r w:rsidRPr="00A95E07">
        <w:rPr>
          <w:lang w:val="en-NZ"/>
        </w:rPr>
        <w:t xml:space="preserve"> </w:t>
      </w:r>
      <w:r w:rsidR="00C737A9" w:rsidRPr="00A95E07">
        <w:rPr>
          <w:lang w:val="en-NZ"/>
        </w:rPr>
        <w:t>income</w:t>
      </w:r>
      <w:r w:rsidRPr="00A95E07">
        <w:rPr>
          <w:lang w:val="en-NZ"/>
        </w:rPr>
        <w:t xml:space="preserve"> on the sale of any residential land.</w:t>
      </w:r>
    </w:p>
    <w:p w14:paraId="03725680" w14:textId="77777777" w:rsidR="00297E55" w:rsidRPr="00A95E07" w:rsidRDefault="00297E55" w:rsidP="000360A6">
      <w:pPr>
        <w:pStyle w:val="Chapter2"/>
        <w:numPr>
          <w:ilvl w:val="0"/>
          <w:numId w:val="0"/>
        </w:numPr>
        <w:ind w:left="851"/>
      </w:pPr>
    </w:p>
    <w:p w14:paraId="500DB2D8" w14:textId="77777777" w:rsidR="008A430D" w:rsidRPr="00A95E07" w:rsidRDefault="008A430D" w:rsidP="000360A6">
      <w:pPr>
        <w:pStyle w:val="Chapter2"/>
        <w:numPr>
          <w:ilvl w:val="0"/>
          <w:numId w:val="0"/>
        </w:numPr>
        <w:ind w:left="851"/>
      </w:pPr>
    </w:p>
    <w:p w14:paraId="546D181B" w14:textId="77777777" w:rsidR="00297E55" w:rsidRPr="00A95E07" w:rsidRDefault="00297E55" w:rsidP="00297E55">
      <w:pPr>
        <w:pStyle w:val="Heading1"/>
        <w:rPr>
          <w:lang w:val="en-NZ"/>
        </w:rPr>
      </w:pPr>
      <w:bookmarkStart w:id="47" w:name="_Toc507152285"/>
      <w:bookmarkStart w:id="48" w:name="_Toc510082301"/>
      <w:r w:rsidRPr="00A95E07">
        <w:rPr>
          <w:lang w:val="en-NZ"/>
        </w:rPr>
        <w:t>Interposed entities</w:t>
      </w:r>
      <w:bookmarkEnd w:id="47"/>
      <w:bookmarkEnd w:id="48"/>
    </w:p>
    <w:p w14:paraId="7842B911" w14:textId="77777777" w:rsidR="00297E55" w:rsidRPr="00A95E07" w:rsidRDefault="00297E55" w:rsidP="000360A6">
      <w:pPr>
        <w:pStyle w:val="Chapter2"/>
        <w:numPr>
          <w:ilvl w:val="0"/>
          <w:numId w:val="0"/>
        </w:numPr>
        <w:ind w:left="851"/>
      </w:pPr>
    </w:p>
    <w:p w14:paraId="32C2CBA5" w14:textId="7B824704" w:rsidR="00297E55" w:rsidRPr="00A95E07" w:rsidRDefault="00536625" w:rsidP="00926D28">
      <w:pPr>
        <w:pStyle w:val="Chapter2"/>
      </w:pPr>
      <w:r w:rsidRPr="00A95E07">
        <w:t xml:space="preserve">Under the suggested changes, there would be special rules to ensure that trust, company, partnership, or look-through </w:t>
      </w:r>
      <w:proofErr w:type="gramStart"/>
      <w:r w:rsidRPr="00A95E07">
        <w:t>company</w:t>
      </w:r>
      <w:proofErr w:type="gramEnd"/>
      <w:r w:rsidRPr="00A95E07">
        <w:t xml:space="preserve"> cannot be used to get around the ring-fencing rules.  It is proposed that such an entity will be regarded as “residential property land-rich” if over 50</w:t>
      </w:r>
      <w:r w:rsidR="001941C2" w:rsidRPr="00A95E07">
        <w:t xml:space="preserve"> percent</w:t>
      </w:r>
      <w:r w:rsidRPr="00A95E07">
        <w:t xml:space="preserve"> of its assets are residential properties within the scope of the ring-fencing rules, and/or shares or interests in other residential property land-rich entities.  Where that is the case, it is suggested that any interest a person incurs on money they borrow to acquire an interest in the entity (</w:t>
      </w:r>
      <w:r w:rsidR="00E74B37" w:rsidRPr="00A95E07">
        <w:t>for example</w:t>
      </w:r>
      <w:r w:rsidRPr="00A95E07">
        <w:t>, shares, securities, a partnership interest, or an interest in the trust estate) would be treated as rental property loan interest.  The rules could then ensure that the interest deduction is only allocated to the income year in question to the extent it did not exceed the distributions from the entity (deemed rental property income), any other residential rental income, and residential land sale income.  Any excess of interest over distributions, rental income, and land sale income would be carried forward and treated as “rental property loan interest” for the next income year.</w:t>
      </w:r>
    </w:p>
    <w:p w14:paraId="760B4631" w14:textId="77777777" w:rsidR="00297E55" w:rsidRPr="00A95E07" w:rsidRDefault="00297E55" w:rsidP="000360A6">
      <w:pPr>
        <w:pStyle w:val="Chapter2"/>
        <w:numPr>
          <w:ilvl w:val="0"/>
          <w:numId w:val="0"/>
        </w:numPr>
        <w:ind w:left="851"/>
      </w:pPr>
    </w:p>
    <w:p w14:paraId="72235724" w14:textId="77777777" w:rsidR="008A430D" w:rsidRPr="00A95E07" w:rsidRDefault="008A430D" w:rsidP="000360A6">
      <w:pPr>
        <w:pStyle w:val="Chapter2"/>
        <w:numPr>
          <w:ilvl w:val="0"/>
          <w:numId w:val="0"/>
        </w:numPr>
        <w:ind w:left="851"/>
      </w:pPr>
    </w:p>
    <w:p w14:paraId="2990AA0E" w14:textId="38D27D69" w:rsidR="00297E55" w:rsidRPr="00A95E07" w:rsidRDefault="00297E55" w:rsidP="00297E55">
      <w:pPr>
        <w:pStyle w:val="Heading1"/>
        <w:rPr>
          <w:lang w:val="en-NZ"/>
        </w:rPr>
      </w:pPr>
      <w:bookmarkStart w:id="49" w:name="_Toc507152286"/>
      <w:bookmarkStart w:id="50" w:name="_Toc510082302"/>
      <w:r w:rsidRPr="00A95E07">
        <w:rPr>
          <w:lang w:val="en-NZ"/>
        </w:rPr>
        <w:t xml:space="preserve">Timing of </w:t>
      </w:r>
      <w:r w:rsidR="006765C6" w:rsidRPr="00A95E07">
        <w:rPr>
          <w:lang w:val="en-NZ"/>
        </w:rPr>
        <w:t xml:space="preserve">the </w:t>
      </w:r>
      <w:r w:rsidRPr="00A95E07">
        <w:rPr>
          <w:lang w:val="en-NZ"/>
        </w:rPr>
        <w:t>introduction of the rules</w:t>
      </w:r>
      <w:bookmarkEnd w:id="49"/>
      <w:bookmarkEnd w:id="50"/>
    </w:p>
    <w:p w14:paraId="2DD8B646" w14:textId="77777777" w:rsidR="00297E55" w:rsidRPr="00A95E07" w:rsidRDefault="00297E55" w:rsidP="000360A6">
      <w:pPr>
        <w:pStyle w:val="Chapter2"/>
        <w:numPr>
          <w:ilvl w:val="0"/>
          <w:numId w:val="0"/>
        </w:numPr>
        <w:ind w:left="851"/>
      </w:pPr>
    </w:p>
    <w:p w14:paraId="6DD57770" w14:textId="2ED205EF" w:rsidR="00373F5D" w:rsidRPr="00A95E07" w:rsidRDefault="003E2353" w:rsidP="001941C2">
      <w:pPr>
        <w:pStyle w:val="Chapter2"/>
      </w:pPr>
      <w:r w:rsidRPr="00A95E07">
        <w:t xml:space="preserve">It is proposed that the loss ring-fencing rules will apply </w:t>
      </w:r>
      <w:r w:rsidR="009C1F1B" w:rsidRPr="00A95E07">
        <w:t xml:space="preserve">from </w:t>
      </w:r>
      <w:r w:rsidR="00D424F2" w:rsidRPr="00A95E07">
        <w:t xml:space="preserve">the start of </w:t>
      </w:r>
      <w:r w:rsidR="009C1F1B" w:rsidRPr="00A95E07">
        <w:t>the 2019</w:t>
      </w:r>
      <w:r w:rsidR="001941C2" w:rsidRPr="00A95E07">
        <w:t>–</w:t>
      </w:r>
      <w:r w:rsidR="009C1F1B" w:rsidRPr="00A95E07">
        <w:t xml:space="preserve">20 income </w:t>
      </w:r>
      <w:proofErr w:type="gramStart"/>
      <w:r w:rsidR="009C1F1B" w:rsidRPr="00A95E07">
        <w:t>year</w:t>
      </w:r>
      <w:proofErr w:type="gramEnd"/>
      <w:r w:rsidR="009C1F1B" w:rsidRPr="00A95E07">
        <w:t xml:space="preserve">.  The rules could either apply </w:t>
      </w:r>
      <w:r w:rsidRPr="00A95E07">
        <w:t xml:space="preserve">in full from the </w:t>
      </w:r>
      <w:r w:rsidR="009C1F1B" w:rsidRPr="00A95E07">
        <w:t>outset, or they could</w:t>
      </w:r>
      <w:r w:rsidRPr="00A95E07">
        <w:t xml:space="preserve"> be phased in over two or three years.  We are interested in feedback on which </w:t>
      </w:r>
      <w:r w:rsidR="009C1F1B" w:rsidRPr="00A95E07">
        <w:t xml:space="preserve">of those </w:t>
      </w:r>
      <w:r w:rsidRPr="00A95E07">
        <w:t>approach</w:t>
      </w:r>
      <w:r w:rsidR="009C1F1B" w:rsidRPr="00A95E07">
        <w:t>es</w:t>
      </w:r>
      <w:r w:rsidRPr="00A95E07">
        <w:t xml:space="preserve"> should be taken.</w:t>
      </w:r>
    </w:p>
    <w:p w14:paraId="315405FD" w14:textId="77777777" w:rsidR="00CA33EC" w:rsidRPr="00A95E07" w:rsidRDefault="00CA33EC" w:rsidP="000360A6">
      <w:pPr>
        <w:pStyle w:val="Chapter2"/>
        <w:numPr>
          <w:ilvl w:val="0"/>
          <w:numId w:val="0"/>
        </w:numPr>
        <w:ind w:left="851"/>
      </w:pPr>
    </w:p>
    <w:p w14:paraId="7F768FF3" w14:textId="77777777" w:rsidR="00CA33EC" w:rsidRPr="00A95E07" w:rsidRDefault="00CA33EC" w:rsidP="00CA33EC">
      <w:pPr>
        <w:rPr>
          <w:lang w:val="en-NZ"/>
        </w:rPr>
      </w:pPr>
      <w:r w:rsidRPr="00A95E07">
        <w:rPr>
          <w:lang w:val="en-NZ"/>
        </w:rPr>
        <w:br w:type="page"/>
      </w:r>
    </w:p>
    <w:p w14:paraId="027D63B4" w14:textId="77777777" w:rsidR="00CA33EC" w:rsidRPr="00A95E07" w:rsidRDefault="001005B7" w:rsidP="00D10025">
      <w:pPr>
        <w:pStyle w:val="Chapterheading"/>
        <w:rPr>
          <w:lang w:val="en-NZ"/>
        </w:rPr>
      </w:pPr>
      <w:bookmarkStart w:id="51" w:name="_Toc147568000"/>
      <w:bookmarkStart w:id="52" w:name="_Toc505074095"/>
      <w:bookmarkStart w:id="53" w:name="_Toc506216609"/>
      <w:bookmarkStart w:id="54" w:name="_Toc506219977"/>
      <w:bookmarkStart w:id="55" w:name="_Toc506477389"/>
      <w:bookmarkStart w:id="56" w:name="_Toc507152287"/>
      <w:bookmarkStart w:id="57" w:name="_Toc509922287"/>
      <w:bookmarkStart w:id="58" w:name="_Toc510021174"/>
      <w:bookmarkStart w:id="59" w:name="_Toc510022592"/>
      <w:bookmarkStart w:id="60" w:name="_Toc510022810"/>
      <w:bookmarkStart w:id="61" w:name="_Toc510026874"/>
      <w:bookmarkStart w:id="62" w:name="_Toc510082200"/>
      <w:bookmarkStart w:id="63" w:name="_Toc510082303"/>
      <w:r w:rsidRPr="00A95E07">
        <w:rPr>
          <w:lang w:val="en-NZ"/>
        </w:rPr>
        <w:t xml:space="preserve">CHAPTER </w:t>
      </w:r>
      <w:r w:rsidR="00CA33EC" w:rsidRPr="00A95E07">
        <w:rPr>
          <w:lang w:val="en-NZ"/>
        </w:rPr>
        <w:t>3</w:t>
      </w:r>
      <w:bookmarkEnd w:id="51"/>
      <w:bookmarkEnd w:id="52"/>
      <w:bookmarkEnd w:id="53"/>
      <w:bookmarkEnd w:id="54"/>
      <w:bookmarkEnd w:id="55"/>
      <w:bookmarkEnd w:id="56"/>
      <w:bookmarkEnd w:id="57"/>
      <w:bookmarkEnd w:id="58"/>
      <w:bookmarkEnd w:id="59"/>
      <w:bookmarkEnd w:id="60"/>
      <w:bookmarkEnd w:id="61"/>
      <w:bookmarkEnd w:id="62"/>
      <w:bookmarkEnd w:id="63"/>
    </w:p>
    <w:p w14:paraId="1F669EA0" w14:textId="77777777" w:rsidR="00CA33EC" w:rsidRPr="00A95E07" w:rsidRDefault="00CA33EC" w:rsidP="00D10025">
      <w:pPr>
        <w:pStyle w:val="Chapterheading"/>
        <w:rPr>
          <w:lang w:val="en-NZ"/>
        </w:rPr>
      </w:pPr>
    </w:p>
    <w:p w14:paraId="3EE01660" w14:textId="77777777" w:rsidR="00CA33EC" w:rsidRPr="00A95E07" w:rsidRDefault="00F62C7B" w:rsidP="00D10025">
      <w:pPr>
        <w:pStyle w:val="Chapterheading"/>
        <w:rPr>
          <w:lang w:val="en-NZ"/>
        </w:rPr>
      </w:pPr>
      <w:bookmarkStart w:id="64" w:name="_Toc507152288"/>
      <w:bookmarkStart w:id="65" w:name="_Toc510082304"/>
      <w:r w:rsidRPr="00A95E07">
        <w:rPr>
          <w:caps w:val="0"/>
          <w:lang w:val="en-NZ"/>
        </w:rPr>
        <w:t>Property the rules will apply to</w:t>
      </w:r>
      <w:bookmarkEnd w:id="64"/>
      <w:bookmarkEnd w:id="65"/>
    </w:p>
    <w:p w14:paraId="35C73ED6" w14:textId="77777777" w:rsidR="00CA33EC" w:rsidRPr="00A95E07" w:rsidRDefault="00CA33EC" w:rsidP="008538BE">
      <w:pPr>
        <w:pStyle w:val="Chapter3"/>
        <w:numPr>
          <w:ilvl w:val="0"/>
          <w:numId w:val="0"/>
        </w:numPr>
        <w:ind w:left="851"/>
      </w:pPr>
    </w:p>
    <w:p w14:paraId="37C2690A" w14:textId="77777777" w:rsidR="00CA33EC" w:rsidRPr="00A95E07" w:rsidRDefault="00CA33EC" w:rsidP="008538BE">
      <w:pPr>
        <w:pStyle w:val="Chapter3"/>
        <w:numPr>
          <w:ilvl w:val="0"/>
          <w:numId w:val="0"/>
        </w:numPr>
        <w:ind w:left="851"/>
      </w:pPr>
    </w:p>
    <w:p w14:paraId="3844818B" w14:textId="3255CDE3" w:rsidR="00B61F79" w:rsidRPr="00A95E07" w:rsidRDefault="008D1CD4" w:rsidP="00CA33EC">
      <w:pPr>
        <w:pStyle w:val="Chapter3"/>
      </w:pPr>
      <w:r w:rsidRPr="00A95E07">
        <w:t xml:space="preserve">Under the </w:t>
      </w:r>
      <w:r w:rsidR="00F308FE" w:rsidRPr="00A95E07">
        <w:t>propos</w:t>
      </w:r>
      <w:r w:rsidRPr="00A95E07">
        <w:t xml:space="preserve">ed changes, the loss ring-fencing rules would apply to </w:t>
      </w:r>
      <w:r w:rsidR="00CA0A50" w:rsidRPr="00A95E07">
        <w:t>“residential land”</w:t>
      </w:r>
      <w:r w:rsidR="003A03E8" w:rsidRPr="00A95E07">
        <w:t>.  The rules w</w:t>
      </w:r>
      <w:r w:rsidR="00564FEC" w:rsidRPr="00A95E07">
        <w:t>ould</w:t>
      </w:r>
      <w:r w:rsidR="003A03E8" w:rsidRPr="00A95E07">
        <w:t xml:space="preserve"> use the </w:t>
      </w:r>
      <w:r w:rsidR="00CA0A50" w:rsidRPr="00A95E07">
        <w:t>defin</w:t>
      </w:r>
      <w:r w:rsidR="003A03E8" w:rsidRPr="00A95E07">
        <w:t>ition of “residential land” that already exists</w:t>
      </w:r>
      <w:r w:rsidR="00CA0A50" w:rsidRPr="00A95E07">
        <w:t xml:space="preserve"> for the bright-line test.</w:t>
      </w:r>
    </w:p>
    <w:p w14:paraId="372A9454" w14:textId="77777777" w:rsidR="00B61F79" w:rsidRPr="00A95E07" w:rsidRDefault="00B61F79" w:rsidP="00B61F79">
      <w:pPr>
        <w:pStyle w:val="Chapter3"/>
        <w:numPr>
          <w:ilvl w:val="0"/>
          <w:numId w:val="0"/>
        </w:numPr>
        <w:ind w:left="851"/>
      </w:pPr>
    </w:p>
    <w:p w14:paraId="77892464" w14:textId="402DAB2F" w:rsidR="00E15ED9" w:rsidRPr="00A95E07" w:rsidRDefault="00CA0A50" w:rsidP="00CA33EC">
      <w:pPr>
        <w:pStyle w:val="Chapter3"/>
      </w:pPr>
      <w:r w:rsidRPr="00A95E07">
        <w:t xml:space="preserve">The rules would </w:t>
      </w:r>
      <w:r w:rsidRPr="00A95E07">
        <w:rPr>
          <w:b/>
        </w:rPr>
        <w:t>not</w:t>
      </w:r>
      <w:r w:rsidRPr="00A95E07">
        <w:t xml:space="preserve"> apply to</w:t>
      </w:r>
      <w:r w:rsidR="00E15ED9" w:rsidRPr="00A95E07">
        <w:t>:</w:t>
      </w:r>
    </w:p>
    <w:p w14:paraId="6EB1CCCB" w14:textId="77777777" w:rsidR="00EB1886" w:rsidRPr="00A95E07" w:rsidRDefault="00EB1886" w:rsidP="00EB1886">
      <w:pPr>
        <w:pStyle w:val="Chapter3"/>
        <w:numPr>
          <w:ilvl w:val="0"/>
          <w:numId w:val="0"/>
        </w:numPr>
        <w:ind w:left="851"/>
      </w:pPr>
    </w:p>
    <w:p w14:paraId="63461446" w14:textId="4FF33463" w:rsidR="00E15ED9" w:rsidRPr="00A95E07" w:rsidRDefault="00FA401B" w:rsidP="00EB1886">
      <w:pPr>
        <w:pStyle w:val="Bullet1stlevel"/>
        <w:rPr>
          <w:lang w:val="en-NZ"/>
        </w:rPr>
      </w:pPr>
      <w:r w:rsidRPr="00A95E07">
        <w:rPr>
          <w:lang w:val="en-NZ"/>
        </w:rPr>
        <w:t>a</w:t>
      </w:r>
      <w:r w:rsidR="00CA0A50" w:rsidRPr="00A95E07">
        <w:rPr>
          <w:lang w:val="en-NZ"/>
        </w:rPr>
        <w:t xml:space="preserve"> person’s main home</w:t>
      </w:r>
      <w:r w:rsidR="008A430D" w:rsidRPr="00A95E07">
        <w:rPr>
          <w:lang w:val="en-NZ"/>
        </w:rPr>
        <w:t>;</w:t>
      </w:r>
    </w:p>
    <w:p w14:paraId="1284BCB1" w14:textId="202A2F26" w:rsidR="00E15ED9" w:rsidRPr="00A95E07" w:rsidRDefault="00FA401B" w:rsidP="00EB1886">
      <w:pPr>
        <w:pStyle w:val="Bullet1stlevel"/>
        <w:rPr>
          <w:lang w:val="en-NZ"/>
        </w:rPr>
      </w:pPr>
      <w:r w:rsidRPr="00A95E07">
        <w:rPr>
          <w:lang w:val="en-NZ"/>
        </w:rPr>
        <w:t>a</w:t>
      </w:r>
      <w:r w:rsidR="00CA0A50" w:rsidRPr="00A95E07">
        <w:rPr>
          <w:lang w:val="en-NZ"/>
        </w:rPr>
        <w:t xml:space="preserve"> propert</w:t>
      </w:r>
      <w:r w:rsidR="00E15ED9" w:rsidRPr="00A95E07">
        <w:rPr>
          <w:lang w:val="en-NZ"/>
        </w:rPr>
        <w:t>y</w:t>
      </w:r>
      <w:r w:rsidR="00CA0A50" w:rsidRPr="00A95E07">
        <w:rPr>
          <w:lang w:val="en-NZ"/>
        </w:rPr>
        <w:t xml:space="preserve"> that </w:t>
      </w:r>
      <w:r w:rsidR="00E15ED9" w:rsidRPr="00A95E07">
        <w:rPr>
          <w:lang w:val="en-NZ"/>
        </w:rPr>
        <w:t>is</w:t>
      </w:r>
      <w:r w:rsidR="00CA0A50" w:rsidRPr="00A95E07">
        <w:rPr>
          <w:lang w:val="en-NZ"/>
        </w:rPr>
        <w:t xml:space="preserve"> subject to the mixed-use assets rules (</w:t>
      </w:r>
      <w:r w:rsidR="00E74B37" w:rsidRPr="00A95E07">
        <w:rPr>
          <w:lang w:val="en-NZ"/>
        </w:rPr>
        <w:t>for example</w:t>
      </w:r>
      <w:r w:rsidR="00CA0A50" w:rsidRPr="00A95E07">
        <w:rPr>
          <w:lang w:val="en-NZ"/>
        </w:rPr>
        <w:t>, a bach that is sometimes used privately and sometimes rented out)</w:t>
      </w:r>
      <w:r w:rsidR="00A16442" w:rsidRPr="00A95E07">
        <w:rPr>
          <w:lang w:val="en-NZ"/>
        </w:rPr>
        <w:t>; or</w:t>
      </w:r>
    </w:p>
    <w:p w14:paraId="09477E10" w14:textId="2425A8D7" w:rsidR="00CA33EC" w:rsidRPr="00A95E07" w:rsidRDefault="00FA401B" w:rsidP="005E0A50">
      <w:pPr>
        <w:pStyle w:val="Bullet1stlevel"/>
        <w:spacing w:after="0"/>
        <w:rPr>
          <w:lang w:val="en-NZ"/>
        </w:rPr>
      </w:pPr>
      <w:proofErr w:type="gramStart"/>
      <w:r w:rsidRPr="00A95E07">
        <w:rPr>
          <w:lang w:val="en-NZ"/>
        </w:rPr>
        <w:t>l</w:t>
      </w:r>
      <w:r w:rsidR="00091095" w:rsidRPr="00A95E07">
        <w:rPr>
          <w:lang w:val="en-NZ"/>
        </w:rPr>
        <w:t>and</w:t>
      </w:r>
      <w:proofErr w:type="gramEnd"/>
      <w:r w:rsidR="00091095" w:rsidRPr="00A95E07">
        <w:rPr>
          <w:lang w:val="en-NZ"/>
        </w:rPr>
        <w:t xml:space="preserve"> that is on revenue account because it is </w:t>
      </w:r>
      <w:r w:rsidR="00A16442" w:rsidRPr="00A95E07">
        <w:rPr>
          <w:lang w:val="en-NZ"/>
        </w:rPr>
        <w:t>held</w:t>
      </w:r>
      <w:r w:rsidR="00091095" w:rsidRPr="00A95E07">
        <w:rPr>
          <w:lang w:val="en-NZ"/>
        </w:rPr>
        <w:t xml:space="preserve"> in a land-related business</w:t>
      </w:r>
      <w:r w:rsidR="00091095" w:rsidRPr="00A95E07">
        <w:rPr>
          <w:rStyle w:val="FootnoteReference"/>
          <w:lang w:val="en-NZ"/>
        </w:rPr>
        <w:footnoteReference w:id="7"/>
      </w:r>
      <w:r w:rsidR="00091095" w:rsidRPr="00A95E07">
        <w:rPr>
          <w:lang w:val="en-NZ"/>
        </w:rPr>
        <w:t xml:space="preserve"> (</w:t>
      </w:r>
      <w:r w:rsidR="00E74B37" w:rsidRPr="00A95E07">
        <w:rPr>
          <w:lang w:val="en-NZ"/>
        </w:rPr>
        <w:t>that is</w:t>
      </w:r>
      <w:r w:rsidR="00091095" w:rsidRPr="00A95E07">
        <w:rPr>
          <w:lang w:val="en-NZ"/>
        </w:rPr>
        <w:t>, a business of land dealing, development of land, division of land, or building).</w:t>
      </w:r>
    </w:p>
    <w:p w14:paraId="16BBE24A" w14:textId="77777777" w:rsidR="00CA33EC" w:rsidRPr="00A95E07" w:rsidRDefault="00CA33EC" w:rsidP="008538BE">
      <w:pPr>
        <w:pStyle w:val="Chapter3"/>
        <w:numPr>
          <w:ilvl w:val="0"/>
          <w:numId w:val="0"/>
        </w:numPr>
        <w:ind w:left="851"/>
      </w:pPr>
    </w:p>
    <w:p w14:paraId="6BAE078D" w14:textId="77777777" w:rsidR="008A430D" w:rsidRPr="00A95E07" w:rsidRDefault="008A430D" w:rsidP="008538BE">
      <w:pPr>
        <w:pStyle w:val="Chapter3"/>
        <w:numPr>
          <w:ilvl w:val="0"/>
          <w:numId w:val="0"/>
        </w:numPr>
        <w:ind w:left="851"/>
      </w:pPr>
    </w:p>
    <w:p w14:paraId="40E4E662" w14:textId="77777777" w:rsidR="00CA33EC" w:rsidRPr="00A95E07" w:rsidRDefault="00933D88" w:rsidP="00CA33EC">
      <w:pPr>
        <w:pStyle w:val="Heading1"/>
        <w:rPr>
          <w:lang w:val="en-NZ"/>
        </w:rPr>
      </w:pPr>
      <w:bookmarkStart w:id="66" w:name="_Toc507152289"/>
      <w:bookmarkStart w:id="67" w:name="_Toc510082305"/>
      <w:r w:rsidRPr="00A95E07">
        <w:rPr>
          <w:lang w:val="en-NZ"/>
        </w:rPr>
        <w:t>Definition of “residential land”</w:t>
      </w:r>
      <w:bookmarkEnd w:id="66"/>
      <w:bookmarkEnd w:id="67"/>
    </w:p>
    <w:p w14:paraId="28670B9B" w14:textId="77777777" w:rsidR="00CA33EC" w:rsidRPr="00A95E07" w:rsidRDefault="00CA33EC" w:rsidP="008538BE">
      <w:pPr>
        <w:pStyle w:val="Chapter3"/>
        <w:numPr>
          <w:ilvl w:val="0"/>
          <w:numId w:val="0"/>
        </w:numPr>
        <w:ind w:left="851"/>
      </w:pPr>
    </w:p>
    <w:p w14:paraId="1434F029" w14:textId="77777777" w:rsidR="00CA33EC" w:rsidRPr="00A95E07" w:rsidRDefault="008728B0" w:rsidP="00926D28">
      <w:pPr>
        <w:pStyle w:val="Chapter3"/>
      </w:pPr>
      <w:r w:rsidRPr="00A95E07">
        <w:t xml:space="preserve">There is already a definition of “residential land” in the </w:t>
      </w:r>
      <w:r w:rsidRPr="00A95E07">
        <w:rPr>
          <w:color w:val="000000"/>
          <w:szCs w:val="24"/>
        </w:rPr>
        <w:t>Income</w:t>
      </w:r>
      <w:r w:rsidRPr="00A95E07">
        <w:t xml:space="preserve"> Tax Act</w:t>
      </w:r>
      <w:r w:rsidR="00F308FE" w:rsidRPr="00A95E07">
        <w:t>, which is used for the bright-line test which taxes sales of residential land bought and sold within two years.  I</w:t>
      </w:r>
      <w:r w:rsidRPr="00A95E07">
        <w:t>t is proposed that the loss ring-fencing rules apply to land within that definition – with the exceptions discussed below.  Using the definition already in the legislation would avoid the additional complexity of having different definitions for different rules.</w:t>
      </w:r>
    </w:p>
    <w:p w14:paraId="4DEE06DF" w14:textId="77777777" w:rsidR="003A03E8" w:rsidRPr="00A95E07" w:rsidRDefault="003A03E8" w:rsidP="008538BE">
      <w:pPr>
        <w:pStyle w:val="Chapter3"/>
        <w:numPr>
          <w:ilvl w:val="0"/>
          <w:numId w:val="0"/>
        </w:numPr>
        <w:ind w:left="851"/>
      </w:pPr>
    </w:p>
    <w:p w14:paraId="3F8A78C5" w14:textId="77777777" w:rsidR="003A03E8" w:rsidRPr="00A95E07" w:rsidRDefault="003A03E8" w:rsidP="00926D28">
      <w:pPr>
        <w:pStyle w:val="Chapter3"/>
      </w:pPr>
      <w:r w:rsidRPr="00A95E07">
        <w:t>“Residential land” means:</w:t>
      </w:r>
    </w:p>
    <w:p w14:paraId="408C4423" w14:textId="77777777" w:rsidR="005E0A50" w:rsidRPr="00A95E07" w:rsidRDefault="005E0A50" w:rsidP="005E0A50">
      <w:pPr>
        <w:pStyle w:val="Chapter3"/>
        <w:numPr>
          <w:ilvl w:val="0"/>
          <w:numId w:val="0"/>
        </w:numPr>
        <w:ind w:left="851"/>
      </w:pPr>
    </w:p>
    <w:p w14:paraId="3E47FCA7" w14:textId="454099E7" w:rsidR="003A03E8" w:rsidRPr="00A95E07" w:rsidRDefault="003A03E8" w:rsidP="005E0A50">
      <w:pPr>
        <w:pStyle w:val="Bullet1stlevel"/>
        <w:rPr>
          <w:lang w:val="en-NZ"/>
        </w:rPr>
      </w:pPr>
      <w:r w:rsidRPr="00A95E07">
        <w:rPr>
          <w:lang w:val="en-NZ"/>
        </w:rPr>
        <w:t>land that has a dwelling on it</w:t>
      </w:r>
      <w:r w:rsidR="008A430D" w:rsidRPr="00A95E07">
        <w:rPr>
          <w:lang w:val="en-NZ"/>
        </w:rPr>
        <w:t>;</w:t>
      </w:r>
    </w:p>
    <w:p w14:paraId="6AB45966" w14:textId="3D85EE3F" w:rsidR="003A03E8" w:rsidRPr="00A95E07" w:rsidRDefault="003A03E8" w:rsidP="005E0A50">
      <w:pPr>
        <w:pStyle w:val="Bullet1stlevel"/>
        <w:rPr>
          <w:lang w:val="en-NZ"/>
        </w:rPr>
      </w:pPr>
      <w:r w:rsidRPr="00A95E07">
        <w:rPr>
          <w:lang w:val="en-NZ"/>
        </w:rPr>
        <w:t>land for which there is an arrangement to build a dwelling on it</w:t>
      </w:r>
      <w:r w:rsidR="008A430D" w:rsidRPr="00A95E07">
        <w:rPr>
          <w:lang w:val="en-NZ"/>
        </w:rPr>
        <w:t>; and</w:t>
      </w:r>
    </w:p>
    <w:p w14:paraId="23D689E1" w14:textId="78CCE063" w:rsidR="003A03E8" w:rsidRPr="00A95E07" w:rsidRDefault="003A03E8" w:rsidP="005E0A50">
      <w:pPr>
        <w:pStyle w:val="Bullet1stlevel"/>
        <w:spacing w:after="0"/>
        <w:rPr>
          <w:lang w:val="en-NZ"/>
        </w:rPr>
      </w:pPr>
      <w:proofErr w:type="gramStart"/>
      <w:r w:rsidRPr="00A95E07">
        <w:rPr>
          <w:lang w:val="en-NZ"/>
        </w:rPr>
        <w:t>bare</w:t>
      </w:r>
      <w:proofErr w:type="gramEnd"/>
      <w:r w:rsidRPr="00A95E07">
        <w:rPr>
          <w:lang w:val="en-NZ"/>
        </w:rPr>
        <w:t xml:space="preserve"> land that may have a dwelling built on it under the relevant operative district plan rules</w:t>
      </w:r>
      <w:r w:rsidR="006765C6" w:rsidRPr="00A95E07">
        <w:rPr>
          <w:lang w:val="en-NZ"/>
        </w:rPr>
        <w:t>.</w:t>
      </w:r>
    </w:p>
    <w:p w14:paraId="78743ED2" w14:textId="77777777" w:rsidR="003A03E8" w:rsidRPr="00A95E07" w:rsidRDefault="003A03E8" w:rsidP="003A03E8">
      <w:pPr>
        <w:pStyle w:val="Chapter3"/>
        <w:numPr>
          <w:ilvl w:val="0"/>
          <w:numId w:val="0"/>
        </w:numPr>
        <w:ind w:left="851"/>
      </w:pPr>
    </w:p>
    <w:p w14:paraId="1E9B0670" w14:textId="0510FDDB" w:rsidR="003A03E8" w:rsidRPr="00A95E07" w:rsidRDefault="006765C6" w:rsidP="003A03E8">
      <w:pPr>
        <w:pStyle w:val="Chapter3"/>
        <w:numPr>
          <w:ilvl w:val="0"/>
          <w:numId w:val="0"/>
        </w:numPr>
        <w:ind w:left="851"/>
      </w:pPr>
      <w:r w:rsidRPr="00A95E07">
        <w:t xml:space="preserve">However, </w:t>
      </w:r>
      <w:r w:rsidR="00A16442" w:rsidRPr="00A95E07">
        <w:rPr>
          <w:color w:val="000000"/>
          <w:szCs w:val="24"/>
        </w:rPr>
        <w:t xml:space="preserve">“residential land” </w:t>
      </w:r>
      <w:r w:rsidR="003A03E8" w:rsidRPr="00A95E07">
        <w:t xml:space="preserve">does </w:t>
      </w:r>
      <w:r w:rsidR="003A03E8" w:rsidRPr="00A95E07">
        <w:rPr>
          <w:b/>
        </w:rPr>
        <w:t>not</w:t>
      </w:r>
      <w:r w:rsidR="003A03E8" w:rsidRPr="00A95E07">
        <w:t xml:space="preserve"> include:</w:t>
      </w:r>
    </w:p>
    <w:p w14:paraId="1D4FDEE8" w14:textId="77777777" w:rsidR="005E0A50" w:rsidRPr="00A95E07" w:rsidRDefault="005E0A50" w:rsidP="003A03E8">
      <w:pPr>
        <w:pStyle w:val="Chapter3"/>
        <w:numPr>
          <w:ilvl w:val="0"/>
          <w:numId w:val="0"/>
        </w:numPr>
        <w:ind w:left="851"/>
      </w:pPr>
    </w:p>
    <w:p w14:paraId="3C52ABD0" w14:textId="005DE54B" w:rsidR="003A03E8" w:rsidRPr="00A95E07" w:rsidRDefault="003A03E8" w:rsidP="005E0A50">
      <w:pPr>
        <w:pStyle w:val="Bullet1stlevel"/>
        <w:rPr>
          <w:lang w:val="en-NZ"/>
        </w:rPr>
      </w:pPr>
      <w:r w:rsidRPr="00A95E07">
        <w:rPr>
          <w:lang w:val="en-NZ"/>
        </w:rPr>
        <w:t>farmland</w:t>
      </w:r>
      <w:r w:rsidR="008A430D" w:rsidRPr="00A95E07">
        <w:rPr>
          <w:lang w:val="en-NZ"/>
        </w:rPr>
        <w:t>; and</w:t>
      </w:r>
    </w:p>
    <w:p w14:paraId="4A961C16" w14:textId="77777777" w:rsidR="003A03E8" w:rsidRPr="00A95E07" w:rsidRDefault="003A03E8" w:rsidP="005E0A50">
      <w:pPr>
        <w:pStyle w:val="Bullet1stlevel"/>
        <w:spacing w:after="0"/>
        <w:rPr>
          <w:lang w:val="en-NZ"/>
        </w:rPr>
      </w:pPr>
      <w:proofErr w:type="gramStart"/>
      <w:r w:rsidRPr="00A95E07">
        <w:rPr>
          <w:lang w:val="en-NZ"/>
        </w:rPr>
        <w:t>land</w:t>
      </w:r>
      <w:proofErr w:type="gramEnd"/>
      <w:r w:rsidRPr="00A95E07">
        <w:rPr>
          <w:lang w:val="en-NZ"/>
        </w:rPr>
        <w:t xml:space="preserve"> used predominantly as business premises.</w:t>
      </w:r>
    </w:p>
    <w:p w14:paraId="7BC04371" w14:textId="77777777" w:rsidR="003A03E8" w:rsidRPr="00A95E07" w:rsidRDefault="003A03E8" w:rsidP="008A430D">
      <w:pPr>
        <w:pStyle w:val="Chapter3"/>
        <w:numPr>
          <w:ilvl w:val="0"/>
          <w:numId w:val="0"/>
        </w:numPr>
        <w:ind w:left="851"/>
      </w:pPr>
    </w:p>
    <w:p w14:paraId="19E842E2" w14:textId="77777777" w:rsidR="006B15FD" w:rsidRPr="00A95E07" w:rsidRDefault="006B15FD" w:rsidP="00926D28">
      <w:pPr>
        <w:pStyle w:val="Chapter3"/>
      </w:pPr>
      <w:r w:rsidRPr="00A95E07">
        <w:rPr>
          <w:color w:val="000000"/>
          <w:szCs w:val="24"/>
        </w:rPr>
        <w:t xml:space="preserve">“Residential land” is not limited to land in New Zealand – it would extend to overseas land.  This means that losses from overseas residential rental investments </w:t>
      </w:r>
      <w:r w:rsidR="00D424F2" w:rsidRPr="00A95E07">
        <w:rPr>
          <w:color w:val="000000"/>
          <w:szCs w:val="24"/>
        </w:rPr>
        <w:t>could not</w:t>
      </w:r>
      <w:r w:rsidRPr="00A95E07">
        <w:rPr>
          <w:color w:val="000000"/>
          <w:szCs w:val="24"/>
        </w:rPr>
        <w:t xml:space="preserve"> be offset against other income in New Zealand.</w:t>
      </w:r>
    </w:p>
    <w:p w14:paraId="7E5AA31A" w14:textId="77777777" w:rsidR="006B15FD" w:rsidRPr="00A95E07" w:rsidRDefault="006B15FD" w:rsidP="006B15FD">
      <w:pPr>
        <w:pStyle w:val="Chapter3"/>
        <w:numPr>
          <w:ilvl w:val="0"/>
          <w:numId w:val="0"/>
        </w:numPr>
        <w:ind w:left="851"/>
      </w:pPr>
    </w:p>
    <w:p w14:paraId="763015D3" w14:textId="77777777" w:rsidR="003A03E8" w:rsidRPr="00A95E07" w:rsidRDefault="00423B0A" w:rsidP="00926D28">
      <w:pPr>
        <w:pStyle w:val="Chapter3"/>
      </w:pPr>
      <w:r w:rsidRPr="00A95E07">
        <w:t>Apart from the exceptions below, t</w:t>
      </w:r>
      <w:r w:rsidR="00E35CEC" w:rsidRPr="00A95E07">
        <w:t>he rules w</w:t>
      </w:r>
      <w:r w:rsidR="00564FEC" w:rsidRPr="00A95E07">
        <w:t>ould</w:t>
      </w:r>
      <w:r w:rsidR="00E35CEC" w:rsidRPr="00A95E07">
        <w:t xml:space="preserve"> apply to </w:t>
      </w:r>
      <w:r w:rsidR="00F74872" w:rsidRPr="00A95E07">
        <w:t>all residential land</w:t>
      </w:r>
      <w:r w:rsidRPr="00A95E07">
        <w:t>,</w:t>
      </w:r>
      <w:r w:rsidR="00F74872" w:rsidRPr="00A95E07">
        <w:t xml:space="preserve"> whether or not it is currently rented out</w:t>
      </w:r>
      <w:r w:rsidR="00DE4705" w:rsidRPr="00A95E07">
        <w:t>, including bare land</w:t>
      </w:r>
      <w:r w:rsidR="00F74872" w:rsidRPr="00A95E07">
        <w:t xml:space="preserve">.  This is </w:t>
      </w:r>
      <w:r w:rsidR="00DE4705" w:rsidRPr="00A95E07">
        <w:t xml:space="preserve">because the proposed rules are aimed at levelling the playing field between residential property </w:t>
      </w:r>
      <w:r w:rsidR="0031215A" w:rsidRPr="00A95E07">
        <w:t>speculators/</w:t>
      </w:r>
      <w:r w:rsidR="00E35CEC" w:rsidRPr="00A95E07">
        <w:t>investor</w:t>
      </w:r>
      <w:r w:rsidR="00DE4705" w:rsidRPr="00A95E07">
        <w:t>s and people looking to buy their own home or land to build a home on.</w:t>
      </w:r>
    </w:p>
    <w:p w14:paraId="2DC249BF" w14:textId="77777777" w:rsidR="002E4252" w:rsidRPr="00A95E07" w:rsidRDefault="002E4252" w:rsidP="002E4252">
      <w:pPr>
        <w:pStyle w:val="Chapter3"/>
        <w:numPr>
          <w:ilvl w:val="0"/>
          <w:numId w:val="0"/>
        </w:numPr>
        <w:ind w:left="851"/>
      </w:pPr>
    </w:p>
    <w:p w14:paraId="6A3B24BD" w14:textId="77777777" w:rsidR="008A430D" w:rsidRPr="00A95E07" w:rsidRDefault="008A430D" w:rsidP="002E4252">
      <w:pPr>
        <w:pStyle w:val="Chapter3"/>
        <w:numPr>
          <w:ilvl w:val="0"/>
          <w:numId w:val="0"/>
        </w:numPr>
        <w:ind w:left="851"/>
      </w:pPr>
    </w:p>
    <w:p w14:paraId="1193F53D" w14:textId="77777777" w:rsidR="002E4252" w:rsidRPr="00A95E07" w:rsidRDefault="002E4252" w:rsidP="003A03E8">
      <w:pPr>
        <w:pStyle w:val="Heading1"/>
        <w:rPr>
          <w:lang w:val="en-NZ"/>
        </w:rPr>
      </w:pPr>
      <w:bookmarkStart w:id="68" w:name="_Toc507152290"/>
      <w:bookmarkStart w:id="69" w:name="_Toc510082306"/>
      <w:r w:rsidRPr="00A95E07">
        <w:rPr>
          <w:lang w:val="en-NZ"/>
        </w:rPr>
        <w:t>Main home</w:t>
      </w:r>
      <w:bookmarkEnd w:id="68"/>
      <w:bookmarkEnd w:id="69"/>
    </w:p>
    <w:p w14:paraId="7433D842" w14:textId="77777777" w:rsidR="00933D88" w:rsidRPr="00A95E07" w:rsidRDefault="00933D88" w:rsidP="00933D88">
      <w:pPr>
        <w:pStyle w:val="Chapter3"/>
        <w:numPr>
          <w:ilvl w:val="0"/>
          <w:numId w:val="0"/>
        </w:numPr>
        <w:ind w:left="851"/>
      </w:pPr>
    </w:p>
    <w:p w14:paraId="03FC578A" w14:textId="119CD684" w:rsidR="002E4252" w:rsidRPr="00A95E07" w:rsidRDefault="008728B0" w:rsidP="008728B0">
      <w:pPr>
        <w:pStyle w:val="Chapter3"/>
      </w:pPr>
      <w:r w:rsidRPr="00A95E07">
        <w:t>The</w:t>
      </w:r>
      <w:r w:rsidR="00564FEC" w:rsidRPr="00A95E07">
        <w:t xml:space="preserve"> proposed</w:t>
      </w:r>
      <w:r w:rsidRPr="00A95E07">
        <w:t xml:space="preserve"> loss ring-fencing rules</w:t>
      </w:r>
      <w:r w:rsidR="00933D88" w:rsidRPr="00A95E07">
        <w:t xml:space="preserve"> will not </w:t>
      </w:r>
      <w:r w:rsidRPr="00A95E07">
        <w:t>apply to a person’s</w:t>
      </w:r>
      <w:r w:rsidR="00933D88" w:rsidRPr="00A95E07">
        <w:t xml:space="preserve"> main home</w:t>
      </w:r>
      <w:r w:rsidRPr="00A95E07">
        <w:t xml:space="preserve">.  </w:t>
      </w:r>
      <w:r w:rsidR="008708A8" w:rsidRPr="00A95E07">
        <w:t xml:space="preserve">This </w:t>
      </w:r>
      <w:r w:rsidR="00564FEC" w:rsidRPr="00A95E07">
        <w:t>is to</w:t>
      </w:r>
      <w:r w:rsidR="00044143" w:rsidRPr="00A95E07">
        <w:t xml:space="preserve"> ensure that a person who has a boarder in their main home, or who rents out a spare room occasionally, would not have to apply these rules, which are primarily targeted at residential investment properties</w:t>
      </w:r>
      <w:r w:rsidR="008708A8" w:rsidRPr="00A95E07">
        <w:t xml:space="preserve">.  </w:t>
      </w:r>
      <w:r w:rsidRPr="00A95E07">
        <w:t>The meaning of “main home” would be the same as for the bright-line test, wh</w:t>
      </w:r>
      <w:r w:rsidR="002E4252" w:rsidRPr="00A95E07">
        <w:t>ich has a main home exclusion.</w:t>
      </w:r>
    </w:p>
    <w:p w14:paraId="02B6EA7B" w14:textId="77777777" w:rsidR="002E4252" w:rsidRPr="00A95E07" w:rsidRDefault="002E4252" w:rsidP="008A430D">
      <w:pPr>
        <w:pStyle w:val="Chapter3"/>
        <w:numPr>
          <w:ilvl w:val="0"/>
          <w:numId w:val="0"/>
        </w:numPr>
        <w:ind w:left="851"/>
      </w:pPr>
    </w:p>
    <w:p w14:paraId="3E4E1DA4" w14:textId="77777777" w:rsidR="00933D88" w:rsidRPr="00A95E07" w:rsidRDefault="002E4252" w:rsidP="008728B0">
      <w:pPr>
        <w:pStyle w:val="Chapter3"/>
      </w:pPr>
      <w:r w:rsidRPr="00A95E07">
        <w:t>A person can only have one main home at a time.  If someone has more than one residence, their “main home” w</w:t>
      </w:r>
      <w:r w:rsidR="00564FEC" w:rsidRPr="00A95E07">
        <w:t>ould</w:t>
      </w:r>
      <w:r w:rsidRPr="00A95E07">
        <w:t xml:space="preserve"> be the one they have the greatest connection with.  That w</w:t>
      </w:r>
      <w:r w:rsidR="00564FEC" w:rsidRPr="00A95E07">
        <w:t>ould</w:t>
      </w:r>
      <w:r w:rsidRPr="00A95E07">
        <w:t xml:space="preserve"> be determined by looking at factors such as:</w:t>
      </w:r>
    </w:p>
    <w:p w14:paraId="1640852B" w14:textId="77777777" w:rsidR="005E0A50" w:rsidRPr="00A95E07" w:rsidRDefault="005E0A50" w:rsidP="005E0A50">
      <w:pPr>
        <w:pStyle w:val="Chapter3"/>
        <w:numPr>
          <w:ilvl w:val="0"/>
          <w:numId w:val="0"/>
        </w:numPr>
        <w:ind w:left="851"/>
      </w:pPr>
    </w:p>
    <w:p w14:paraId="55D3F5D2" w14:textId="77777777" w:rsidR="002E4252" w:rsidRPr="00A95E07" w:rsidRDefault="002E4252" w:rsidP="005E0A50">
      <w:pPr>
        <w:pStyle w:val="Bullet1stlevel"/>
        <w:rPr>
          <w:lang w:val="en-NZ"/>
        </w:rPr>
      </w:pPr>
      <w:r w:rsidRPr="00A95E07">
        <w:rPr>
          <w:lang w:val="en-NZ"/>
        </w:rPr>
        <w:t>the amount of time the person occupies the dwelling;</w:t>
      </w:r>
    </w:p>
    <w:p w14:paraId="3F8A5095" w14:textId="77777777" w:rsidR="002E4252" w:rsidRPr="00A95E07" w:rsidRDefault="002E4252" w:rsidP="005E0A50">
      <w:pPr>
        <w:pStyle w:val="Bullet1stlevel"/>
        <w:rPr>
          <w:lang w:val="en-NZ"/>
        </w:rPr>
      </w:pPr>
      <w:r w:rsidRPr="00A95E07">
        <w:rPr>
          <w:lang w:val="en-NZ"/>
        </w:rPr>
        <w:t>where their immediate family live;</w:t>
      </w:r>
    </w:p>
    <w:p w14:paraId="38422F0F" w14:textId="77777777" w:rsidR="002E4252" w:rsidRPr="00A95E07" w:rsidRDefault="002E4252" w:rsidP="005E0A50">
      <w:pPr>
        <w:pStyle w:val="Bullet1stlevel"/>
        <w:rPr>
          <w:lang w:val="en-NZ"/>
        </w:rPr>
      </w:pPr>
      <w:r w:rsidRPr="00A95E07">
        <w:rPr>
          <w:lang w:val="en-NZ"/>
        </w:rPr>
        <w:t>where their social ties are strongest;</w:t>
      </w:r>
    </w:p>
    <w:p w14:paraId="5E141E80" w14:textId="77777777" w:rsidR="002E4252" w:rsidRPr="00A95E07" w:rsidRDefault="002E4252" w:rsidP="005E0A50">
      <w:pPr>
        <w:pStyle w:val="Bullet1stlevel"/>
        <w:rPr>
          <w:lang w:val="en-NZ"/>
        </w:rPr>
      </w:pPr>
      <w:r w:rsidRPr="00A95E07">
        <w:rPr>
          <w:lang w:val="en-NZ"/>
        </w:rPr>
        <w:t>their use of the dwelling;</w:t>
      </w:r>
    </w:p>
    <w:p w14:paraId="44E2FC5A" w14:textId="77777777" w:rsidR="002E4252" w:rsidRPr="00A95E07" w:rsidRDefault="002E4252" w:rsidP="005E0A50">
      <w:pPr>
        <w:pStyle w:val="Bullet1stlevel"/>
        <w:rPr>
          <w:lang w:val="en-NZ"/>
        </w:rPr>
      </w:pPr>
      <w:r w:rsidRPr="00A95E07">
        <w:rPr>
          <w:lang w:val="en-NZ"/>
        </w:rPr>
        <w:t>their employment, business interests and economic ties to the area where the dwelling is located; and</w:t>
      </w:r>
    </w:p>
    <w:p w14:paraId="52F7D918" w14:textId="77777777" w:rsidR="002E4252" w:rsidRPr="00A95E07" w:rsidRDefault="002E4252" w:rsidP="005E0A50">
      <w:pPr>
        <w:pStyle w:val="Bullet1stlevel"/>
        <w:spacing w:after="0"/>
        <w:rPr>
          <w:lang w:val="en-NZ"/>
        </w:rPr>
      </w:pPr>
      <w:proofErr w:type="gramStart"/>
      <w:r w:rsidRPr="00A95E07">
        <w:rPr>
          <w:lang w:val="en-NZ"/>
        </w:rPr>
        <w:t>where</w:t>
      </w:r>
      <w:proofErr w:type="gramEnd"/>
      <w:r w:rsidRPr="00A95E07">
        <w:rPr>
          <w:lang w:val="en-NZ"/>
        </w:rPr>
        <w:t xml:space="preserve"> their personal property is kept.</w:t>
      </w:r>
    </w:p>
    <w:p w14:paraId="095043BD" w14:textId="77777777" w:rsidR="00D97FE2" w:rsidRPr="00A95E07" w:rsidRDefault="00D97FE2" w:rsidP="008A430D">
      <w:pPr>
        <w:pStyle w:val="Chapter3"/>
        <w:numPr>
          <w:ilvl w:val="0"/>
          <w:numId w:val="0"/>
        </w:numPr>
        <w:ind w:left="851"/>
      </w:pPr>
    </w:p>
    <w:p w14:paraId="67437137" w14:textId="77777777" w:rsidR="00933D88" w:rsidRPr="00A95E07" w:rsidRDefault="003A03E8" w:rsidP="003A03E8">
      <w:pPr>
        <w:pStyle w:val="Heading2"/>
        <w:rPr>
          <w:lang w:val="en-NZ"/>
        </w:rPr>
      </w:pPr>
      <w:bookmarkStart w:id="70" w:name="_Toc507152291"/>
      <w:bookmarkStart w:id="71" w:name="_Toc510082204"/>
      <w:r w:rsidRPr="00A95E07">
        <w:rPr>
          <w:lang w:val="en-NZ"/>
        </w:rPr>
        <w:t>Trusts</w:t>
      </w:r>
      <w:bookmarkEnd w:id="70"/>
      <w:bookmarkEnd w:id="71"/>
    </w:p>
    <w:p w14:paraId="215B36BB" w14:textId="77777777" w:rsidR="003A03E8" w:rsidRPr="00A95E07" w:rsidRDefault="003A03E8" w:rsidP="008A430D">
      <w:pPr>
        <w:pStyle w:val="Chapter3"/>
        <w:numPr>
          <w:ilvl w:val="0"/>
          <w:numId w:val="0"/>
        </w:numPr>
        <w:ind w:left="851"/>
      </w:pPr>
    </w:p>
    <w:p w14:paraId="434F5F0D" w14:textId="77777777" w:rsidR="002E4252" w:rsidRPr="00A95E07" w:rsidRDefault="00802E9C" w:rsidP="00926D28">
      <w:pPr>
        <w:pStyle w:val="Chapter3"/>
        <w:rPr>
          <w:szCs w:val="24"/>
        </w:rPr>
      </w:pPr>
      <w:r w:rsidRPr="00A95E07">
        <w:rPr>
          <w:szCs w:val="24"/>
        </w:rPr>
        <w:t>A significant number of family homes in New Zealand are owned by family trusts.  The definition of “main home” w</w:t>
      </w:r>
      <w:r w:rsidR="00564FEC" w:rsidRPr="00A95E07">
        <w:rPr>
          <w:szCs w:val="24"/>
        </w:rPr>
        <w:t>ould</w:t>
      </w:r>
      <w:r w:rsidRPr="00A95E07">
        <w:rPr>
          <w:szCs w:val="24"/>
        </w:rPr>
        <w:t xml:space="preserve"> therefore ensure that a home owned by a trust can be regarded as a main home.</w:t>
      </w:r>
    </w:p>
    <w:p w14:paraId="56FE5BA0" w14:textId="77777777" w:rsidR="00D97FE2" w:rsidRPr="00A95E07" w:rsidRDefault="00D97FE2" w:rsidP="00D97FE2">
      <w:pPr>
        <w:pStyle w:val="Chapter3"/>
        <w:numPr>
          <w:ilvl w:val="0"/>
          <w:numId w:val="0"/>
        </w:numPr>
        <w:ind w:left="851"/>
        <w:rPr>
          <w:szCs w:val="24"/>
        </w:rPr>
      </w:pPr>
    </w:p>
    <w:p w14:paraId="770DE429" w14:textId="77777777" w:rsidR="00D97FE2" w:rsidRPr="00A95E07" w:rsidRDefault="00D97FE2" w:rsidP="00E03F4B">
      <w:pPr>
        <w:pStyle w:val="Chapter3"/>
        <w:rPr>
          <w:szCs w:val="24"/>
        </w:rPr>
      </w:pPr>
      <w:r w:rsidRPr="00A95E07">
        <w:rPr>
          <w:szCs w:val="24"/>
        </w:rPr>
        <w:t xml:space="preserve">Like with the bright-line rules, we suggest that a dwelling </w:t>
      </w:r>
      <w:r w:rsidR="00E03F4B" w:rsidRPr="00A95E07">
        <w:rPr>
          <w:szCs w:val="24"/>
        </w:rPr>
        <w:t xml:space="preserve">owned by a trust </w:t>
      </w:r>
      <w:r w:rsidRPr="00A95E07">
        <w:rPr>
          <w:szCs w:val="24"/>
        </w:rPr>
        <w:t>only be considered a main home</w:t>
      </w:r>
      <w:r w:rsidR="00E03F4B" w:rsidRPr="00A95E07">
        <w:rPr>
          <w:szCs w:val="24"/>
        </w:rPr>
        <w:t xml:space="preserve"> </w:t>
      </w:r>
      <w:r w:rsidRPr="00A95E07">
        <w:rPr>
          <w:szCs w:val="24"/>
        </w:rPr>
        <w:t>(so not subject to the loss ring-fencing ru</w:t>
      </w:r>
      <w:r w:rsidR="00E03F4B" w:rsidRPr="00A95E07">
        <w:rPr>
          <w:szCs w:val="24"/>
        </w:rPr>
        <w:t xml:space="preserve">les) if it is the main home for </w:t>
      </w:r>
      <w:r w:rsidRPr="00A95E07">
        <w:rPr>
          <w:szCs w:val="24"/>
        </w:rPr>
        <w:t xml:space="preserve">a </w:t>
      </w:r>
      <w:r w:rsidRPr="00A95E07">
        <w:t>beneficiary</w:t>
      </w:r>
      <w:r w:rsidR="00E03F4B" w:rsidRPr="00A95E07">
        <w:rPr>
          <w:szCs w:val="24"/>
        </w:rPr>
        <w:t xml:space="preserve"> of the trust, provided that a</w:t>
      </w:r>
      <w:r w:rsidRPr="00A95E07">
        <w:rPr>
          <w:szCs w:val="24"/>
        </w:rPr>
        <w:t xml:space="preserve"> principal settlor of the trust does not have a different main home.</w:t>
      </w:r>
    </w:p>
    <w:p w14:paraId="6AF6ED55" w14:textId="77777777" w:rsidR="00D97FE2" w:rsidRPr="00A95E07" w:rsidRDefault="00D97FE2" w:rsidP="008A430D">
      <w:pPr>
        <w:pStyle w:val="Chapter3"/>
        <w:numPr>
          <w:ilvl w:val="0"/>
          <w:numId w:val="0"/>
        </w:numPr>
        <w:ind w:left="851"/>
        <w:rPr>
          <w:szCs w:val="24"/>
        </w:rPr>
      </w:pPr>
    </w:p>
    <w:p w14:paraId="1DFBBA0F" w14:textId="77777777" w:rsidR="00933D88" w:rsidRPr="00A95E07" w:rsidRDefault="00D97FE2" w:rsidP="006B15FD">
      <w:pPr>
        <w:pStyle w:val="Chapter3"/>
        <w:rPr>
          <w:szCs w:val="24"/>
        </w:rPr>
      </w:pPr>
      <w:r w:rsidRPr="00A95E07">
        <w:rPr>
          <w:szCs w:val="24"/>
        </w:rPr>
        <w:t xml:space="preserve">This </w:t>
      </w:r>
      <w:r w:rsidR="00E03F4B" w:rsidRPr="00A95E07">
        <w:rPr>
          <w:szCs w:val="24"/>
        </w:rPr>
        <w:t xml:space="preserve">restriction </w:t>
      </w:r>
      <w:r w:rsidRPr="00A95E07">
        <w:rPr>
          <w:szCs w:val="24"/>
        </w:rPr>
        <w:t>would ensure that trust ownership cannot be used to claim multiple properties as main homes, and so not subject to the loss ring-fencing rules.</w:t>
      </w:r>
    </w:p>
    <w:p w14:paraId="5D1DA5BE" w14:textId="77777777" w:rsidR="00CA33EC" w:rsidRPr="00A95E07" w:rsidRDefault="00CA33EC" w:rsidP="008A430D">
      <w:pPr>
        <w:pStyle w:val="Chapter3"/>
        <w:numPr>
          <w:ilvl w:val="0"/>
          <w:numId w:val="0"/>
        </w:numPr>
        <w:ind w:left="851"/>
        <w:rPr>
          <w:szCs w:val="24"/>
        </w:rPr>
      </w:pPr>
    </w:p>
    <w:p w14:paraId="17A589C3" w14:textId="77777777" w:rsidR="008A430D" w:rsidRPr="00A95E07" w:rsidRDefault="008A430D" w:rsidP="008A430D">
      <w:pPr>
        <w:pStyle w:val="Chapter3"/>
        <w:numPr>
          <w:ilvl w:val="0"/>
          <w:numId w:val="0"/>
        </w:numPr>
        <w:ind w:left="851"/>
        <w:rPr>
          <w:szCs w:val="24"/>
        </w:rPr>
      </w:pPr>
    </w:p>
    <w:p w14:paraId="556C5120" w14:textId="77777777" w:rsidR="00CA33EC" w:rsidRPr="00A95E07" w:rsidRDefault="00933D88" w:rsidP="00933D88">
      <w:pPr>
        <w:pStyle w:val="Heading1"/>
        <w:rPr>
          <w:lang w:val="en-NZ"/>
        </w:rPr>
      </w:pPr>
      <w:bookmarkStart w:id="72" w:name="_Toc507152292"/>
      <w:bookmarkStart w:id="73" w:name="_Toc510082307"/>
      <w:r w:rsidRPr="00A95E07">
        <w:rPr>
          <w:lang w:val="en-NZ"/>
        </w:rPr>
        <w:t>Mixed-use assets</w:t>
      </w:r>
      <w:bookmarkEnd w:id="72"/>
      <w:bookmarkEnd w:id="73"/>
    </w:p>
    <w:p w14:paraId="37711011" w14:textId="77777777" w:rsidR="00CA33EC" w:rsidRPr="00A95E07" w:rsidRDefault="00CA33EC" w:rsidP="008A430D">
      <w:pPr>
        <w:pStyle w:val="Chapter3"/>
        <w:numPr>
          <w:ilvl w:val="0"/>
          <w:numId w:val="0"/>
        </w:numPr>
        <w:ind w:left="851"/>
        <w:rPr>
          <w:szCs w:val="24"/>
        </w:rPr>
      </w:pPr>
    </w:p>
    <w:p w14:paraId="0782350B" w14:textId="77777777" w:rsidR="00CA33EC" w:rsidRPr="00A95E07" w:rsidRDefault="00CB37E7" w:rsidP="00017E9E">
      <w:pPr>
        <w:pStyle w:val="Chapter3"/>
      </w:pPr>
      <w:r w:rsidRPr="00A95E07">
        <w:t>The existing definition of “residential land” in the Income Tax Act would also include holiday houses that are sometimes used priva</w:t>
      </w:r>
      <w:r w:rsidR="00017E9E" w:rsidRPr="00A95E07">
        <w:t xml:space="preserve">tely and sometimes rented out.  </w:t>
      </w:r>
      <w:r w:rsidRPr="00A95E07">
        <w:t>However, many such properties would be subject to the mixed-use asset rules, which already provide for the quarantining (or ring-fencing) of losses where there is low income-earning use of the asset.</w:t>
      </w:r>
    </w:p>
    <w:p w14:paraId="2939AACF" w14:textId="77777777" w:rsidR="00CB37E7" w:rsidRPr="00A95E07" w:rsidRDefault="00CB37E7" w:rsidP="008A430D">
      <w:pPr>
        <w:pStyle w:val="Chapter3"/>
        <w:numPr>
          <w:ilvl w:val="0"/>
          <w:numId w:val="0"/>
        </w:numPr>
        <w:ind w:left="851"/>
        <w:rPr>
          <w:szCs w:val="24"/>
        </w:rPr>
      </w:pPr>
    </w:p>
    <w:p w14:paraId="245A8970" w14:textId="77777777" w:rsidR="00CB37E7" w:rsidRPr="00A95E07" w:rsidRDefault="00017E9E" w:rsidP="00933D88">
      <w:pPr>
        <w:pStyle w:val="Chapter3"/>
      </w:pPr>
      <w:r w:rsidRPr="00A95E07">
        <w:t>We suggest</w:t>
      </w:r>
      <w:r w:rsidR="00CB37E7" w:rsidRPr="00A95E07">
        <w:t xml:space="preserve"> that property subject to the mixed-use asset rules should be scoped out of the </w:t>
      </w:r>
      <w:r w:rsidRPr="00A95E07">
        <w:t xml:space="preserve">rental loss </w:t>
      </w:r>
      <w:r w:rsidR="00CB37E7" w:rsidRPr="00A95E07">
        <w:t>ring-fencing rules, because the mixed-use asset quarantine rules will cover most if not all mixed-use asset losses.</w:t>
      </w:r>
      <w:r w:rsidRPr="00A95E07">
        <w:t xml:space="preserve">  We are interested in feedback on whether property subject to the mixed-use asset rules should be outside the scope of the loss ring-fencing rules.</w:t>
      </w:r>
    </w:p>
    <w:p w14:paraId="4057570B" w14:textId="77777777" w:rsidR="00933D88" w:rsidRPr="00A95E07" w:rsidRDefault="00933D88" w:rsidP="008A430D">
      <w:pPr>
        <w:pStyle w:val="Chapter3"/>
        <w:numPr>
          <w:ilvl w:val="0"/>
          <w:numId w:val="0"/>
        </w:numPr>
        <w:ind w:left="851"/>
        <w:rPr>
          <w:szCs w:val="24"/>
        </w:rPr>
      </w:pPr>
    </w:p>
    <w:p w14:paraId="11D123EF" w14:textId="77777777" w:rsidR="008A430D" w:rsidRPr="00A95E07" w:rsidRDefault="008A430D" w:rsidP="008A430D">
      <w:pPr>
        <w:pStyle w:val="Chapter3"/>
        <w:numPr>
          <w:ilvl w:val="0"/>
          <w:numId w:val="0"/>
        </w:numPr>
        <w:ind w:left="851"/>
        <w:rPr>
          <w:szCs w:val="24"/>
        </w:rPr>
      </w:pPr>
    </w:p>
    <w:p w14:paraId="71B3142A" w14:textId="52C1C006" w:rsidR="00933D88" w:rsidRPr="00A95E07" w:rsidRDefault="00933D88" w:rsidP="00933D88">
      <w:pPr>
        <w:pStyle w:val="Heading1"/>
        <w:rPr>
          <w:lang w:val="en-NZ"/>
        </w:rPr>
      </w:pPr>
      <w:bookmarkStart w:id="74" w:name="_Toc507152293"/>
      <w:bookmarkStart w:id="75" w:name="_Toc510082308"/>
      <w:r w:rsidRPr="00A95E07">
        <w:rPr>
          <w:lang w:val="en-NZ"/>
        </w:rPr>
        <w:t xml:space="preserve">Revenue account land </w:t>
      </w:r>
      <w:r w:rsidR="00A16442" w:rsidRPr="00A95E07">
        <w:rPr>
          <w:lang w:val="en-NZ"/>
        </w:rPr>
        <w:t>in dealing, development, subdivision and building businesses</w:t>
      </w:r>
      <w:bookmarkEnd w:id="74"/>
      <w:bookmarkEnd w:id="75"/>
    </w:p>
    <w:p w14:paraId="7E1980EC" w14:textId="77777777" w:rsidR="00933D88" w:rsidRPr="00A95E07" w:rsidRDefault="00933D88" w:rsidP="008A430D">
      <w:pPr>
        <w:pStyle w:val="Chapter3"/>
        <w:numPr>
          <w:ilvl w:val="0"/>
          <w:numId w:val="0"/>
        </w:numPr>
        <w:ind w:left="851"/>
        <w:rPr>
          <w:szCs w:val="24"/>
        </w:rPr>
      </w:pPr>
    </w:p>
    <w:p w14:paraId="3373CCB4" w14:textId="682C162E" w:rsidR="00933D88" w:rsidRPr="00A95E07" w:rsidRDefault="00A16442" w:rsidP="00933D88">
      <w:pPr>
        <w:pStyle w:val="Chapter3"/>
      </w:pPr>
      <w:r w:rsidRPr="00A95E07">
        <w:rPr>
          <w:color w:val="000000"/>
          <w:szCs w:val="24"/>
        </w:rPr>
        <w:t xml:space="preserve">Land that is held </w:t>
      </w:r>
      <w:r w:rsidR="00017E9E" w:rsidRPr="00A95E07">
        <w:rPr>
          <w:color w:val="000000"/>
          <w:szCs w:val="24"/>
        </w:rPr>
        <w:t>in certain land</w:t>
      </w:r>
      <w:r w:rsidRPr="00A95E07">
        <w:rPr>
          <w:color w:val="000000"/>
          <w:szCs w:val="24"/>
        </w:rPr>
        <w:t>-related business is</w:t>
      </w:r>
      <w:r w:rsidR="00017E9E" w:rsidRPr="00A95E07">
        <w:rPr>
          <w:color w:val="000000"/>
          <w:szCs w:val="24"/>
        </w:rPr>
        <w:t xml:space="preserve"> on revenue account, so the profits on sale </w:t>
      </w:r>
      <w:r w:rsidR="00564FEC" w:rsidRPr="00A95E07">
        <w:rPr>
          <w:color w:val="000000"/>
          <w:szCs w:val="24"/>
        </w:rPr>
        <w:t>are</w:t>
      </w:r>
      <w:r w:rsidRPr="00A95E07">
        <w:rPr>
          <w:color w:val="000000"/>
          <w:szCs w:val="24"/>
        </w:rPr>
        <w:t xml:space="preserve"> taxed.  This applies to land held in</w:t>
      </w:r>
      <w:r w:rsidR="00017E9E" w:rsidRPr="00A95E07">
        <w:rPr>
          <w:color w:val="000000"/>
          <w:szCs w:val="24"/>
        </w:rPr>
        <w:t xml:space="preserve"> dealing</w:t>
      </w:r>
      <w:r w:rsidRPr="00A95E07">
        <w:rPr>
          <w:color w:val="000000"/>
          <w:szCs w:val="24"/>
        </w:rPr>
        <w:t>, development, subdivision, and building businesses</w:t>
      </w:r>
      <w:r w:rsidR="00017E9E" w:rsidRPr="00A95E07">
        <w:rPr>
          <w:color w:val="000000"/>
          <w:szCs w:val="24"/>
        </w:rPr>
        <w:t>.</w:t>
      </w:r>
    </w:p>
    <w:p w14:paraId="7C80EFAD" w14:textId="77777777" w:rsidR="00017E9E" w:rsidRPr="00A95E07" w:rsidRDefault="00017E9E" w:rsidP="00017E9E">
      <w:pPr>
        <w:pStyle w:val="Chapter3"/>
        <w:numPr>
          <w:ilvl w:val="0"/>
          <w:numId w:val="0"/>
        </w:numPr>
        <w:ind w:left="851"/>
      </w:pPr>
    </w:p>
    <w:p w14:paraId="7977BB54" w14:textId="5025EE83" w:rsidR="00017E9E" w:rsidRPr="00A95E07" w:rsidRDefault="00296637" w:rsidP="00933D88">
      <w:pPr>
        <w:pStyle w:val="Chapter3"/>
      </w:pPr>
      <w:r w:rsidRPr="00A95E07">
        <w:rPr>
          <w:color w:val="000000"/>
          <w:szCs w:val="24"/>
        </w:rPr>
        <w:t xml:space="preserve">At balance date, taxpayers </w:t>
      </w:r>
      <w:r w:rsidR="00A16442" w:rsidRPr="00A95E07">
        <w:rPr>
          <w:color w:val="000000"/>
          <w:szCs w:val="24"/>
        </w:rPr>
        <w:t xml:space="preserve">in these businesses </w:t>
      </w:r>
      <w:r w:rsidRPr="00A95E07">
        <w:rPr>
          <w:color w:val="000000"/>
          <w:szCs w:val="24"/>
        </w:rPr>
        <w:t xml:space="preserve">are likely to have a number of properties on hand, though they </w:t>
      </w:r>
      <w:r w:rsidR="00CE7663" w:rsidRPr="00A95E07">
        <w:rPr>
          <w:color w:val="000000"/>
          <w:szCs w:val="24"/>
        </w:rPr>
        <w:t>may</w:t>
      </w:r>
      <w:r w:rsidRPr="00A95E07">
        <w:rPr>
          <w:color w:val="000000"/>
          <w:szCs w:val="24"/>
        </w:rPr>
        <w:t xml:space="preserve"> not be currently rented out.</w:t>
      </w:r>
    </w:p>
    <w:p w14:paraId="015A6C8C" w14:textId="77777777" w:rsidR="00017E9E" w:rsidRPr="00A95E07" w:rsidRDefault="00017E9E" w:rsidP="008A430D">
      <w:pPr>
        <w:pStyle w:val="Chapter3"/>
        <w:numPr>
          <w:ilvl w:val="0"/>
          <w:numId w:val="0"/>
        </w:numPr>
        <w:ind w:left="851"/>
      </w:pPr>
    </w:p>
    <w:p w14:paraId="0502E10C" w14:textId="46635799" w:rsidR="00017E9E" w:rsidRPr="00A95E07" w:rsidRDefault="00733BEC" w:rsidP="00933D88">
      <w:pPr>
        <w:pStyle w:val="Chapter3"/>
      </w:pPr>
      <w:r w:rsidRPr="00A95E07">
        <w:rPr>
          <w:color w:val="000000"/>
          <w:szCs w:val="24"/>
        </w:rPr>
        <w:t>As discussed in c</w:t>
      </w:r>
      <w:r w:rsidR="00296637" w:rsidRPr="00A95E07">
        <w:rPr>
          <w:color w:val="000000"/>
          <w:szCs w:val="24"/>
        </w:rPr>
        <w:t xml:space="preserve">hapter 5, it is proposed that </w:t>
      </w:r>
      <w:r w:rsidR="00B9061E" w:rsidRPr="00A95E07">
        <w:rPr>
          <w:color w:val="000000"/>
          <w:szCs w:val="24"/>
        </w:rPr>
        <w:t xml:space="preserve">residential </w:t>
      </w:r>
      <w:r w:rsidR="006B7A3B" w:rsidRPr="00A95E07">
        <w:rPr>
          <w:color w:val="000000"/>
          <w:szCs w:val="24"/>
        </w:rPr>
        <w:t>rental or other</w:t>
      </w:r>
      <w:r w:rsidR="00B9061E" w:rsidRPr="00A95E07">
        <w:rPr>
          <w:color w:val="000000"/>
          <w:szCs w:val="24"/>
        </w:rPr>
        <w:t xml:space="preserve"> </w:t>
      </w:r>
      <w:r w:rsidR="00296637" w:rsidRPr="00A95E07">
        <w:rPr>
          <w:color w:val="000000"/>
          <w:szCs w:val="24"/>
        </w:rPr>
        <w:t xml:space="preserve">losses </w:t>
      </w:r>
      <w:r w:rsidR="00D424F2" w:rsidRPr="00A95E07">
        <w:rPr>
          <w:color w:val="000000"/>
          <w:szCs w:val="24"/>
        </w:rPr>
        <w:t>could</w:t>
      </w:r>
      <w:r w:rsidR="00296637" w:rsidRPr="00A95E07">
        <w:rPr>
          <w:color w:val="000000"/>
          <w:szCs w:val="24"/>
        </w:rPr>
        <w:t xml:space="preserve"> be used against taxable land sales </w:t>
      </w:r>
      <w:r w:rsidR="00296637" w:rsidRPr="00A95E07">
        <w:t xml:space="preserve">to reduce the taxable gain to nil, with any further unused losses remaining ring-fenced to future rental income or taxable </w:t>
      </w:r>
      <w:r w:rsidR="00C737A9" w:rsidRPr="00A95E07">
        <w:t>income</w:t>
      </w:r>
      <w:r w:rsidR="00296637" w:rsidRPr="00A95E07">
        <w:t xml:space="preserve"> on land sales.  While taxpayers </w:t>
      </w:r>
      <w:r w:rsidR="00CE7663" w:rsidRPr="00A95E07">
        <w:t>in the business of</w:t>
      </w:r>
      <w:r w:rsidR="00296637" w:rsidRPr="00A95E07">
        <w:t xml:space="preserve"> </w:t>
      </w:r>
      <w:r w:rsidR="00CE7663" w:rsidRPr="00A95E07">
        <w:t xml:space="preserve">land dealing, </w:t>
      </w:r>
      <w:r w:rsidR="00296637" w:rsidRPr="00A95E07">
        <w:t>develop</w:t>
      </w:r>
      <w:r w:rsidR="00CE7663" w:rsidRPr="00A95E07">
        <w:t>ment</w:t>
      </w:r>
      <w:r w:rsidR="00091095" w:rsidRPr="00A95E07">
        <w:t xml:space="preserve"> of land</w:t>
      </w:r>
      <w:r w:rsidR="00296637" w:rsidRPr="00A95E07">
        <w:t xml:space="preserve">, </w:t>
      </w:r>
      <w:r w:rsidR="00091095" w:rsidRPr="00A95E07">
        <w:t>d</w:t>
      </w:r>
      <w:r w:rsidR="00CE7663" w:rsidRPr="00A95E07">
        <w:t>ivision</w:t>
      </w:r>
      <w:r w:rsidR="00091095" w:rsidRPr="00A95E07">
        <w:t xml:space="preserve"> of land</w:t>
      </w:r>
      <w:r w:rsidR="00CE7663" w:rsidRPr="00A95E07">
        <w:t>,</w:t>
      </w:r>
      <w:r w:rsidR="00296637" w:rsidRPr="00A95E07">
        <w:t xml:space="preserve"> or build</w:t>
      </w:r>
      <w:r w:rsidR="00CE7663" w:rsidRPr="00A95E07">
        <w:t>ing</w:t>
      </w:r>
      <w:r w:rsidR="00296637" w:rsidRPr="00A95E07">
        <w:t xml:space="preserve"> may have losses in respect of properties on hand at balance date, those losses being able to be used against income from other sales or rental activity in the year would mean that their businesses would be unlikely to be disadvantaged by the ring-fencing rules.  In most cases the income from their sale or rental activity would be expected to exceed their losses.</w:t>
      </w:r>
    </w:p>
    <w:p w14:paraId="5A8046F3" w14:textId="77777777" w:rsidR="00017E9E" w:rsidRPr="00A95E07" w:rsidRDefault="00017E9E" w:rsidP="0008013D">
      <w:pPr>
        <w:pStyle w:val="Chapter3"/>
        <w:numPr>
          <w:ilvl w:val="0"/>
          <w:numId w:val="0"/>
        </w:numPr>
        <w:ind w:left="851"/>
      </w:pPr>
    </w:p>
    <w:p w14:paraId="062EC976" w14:textId="63689F85" w:rsidR="00017E9E" w:rsidRPr="00A95E07" w:rsidRDefault="00185857" w:rsidP="00185857">
      <w:pPr>
        <w:pStyle w:val="Chapter3"/>
      </w:pPr>
      <w:r w:rsidRPr="00A95E07">
        <w:t xml:space="preserve">However, in any overall loss-making year, </w:t>
      </w:r>
      <w:r w:rsidR="00564FEC" w:rsidRPr="00A95E07">
        <w:t>we do</w:t>
      </w:r>
      <w:r w:rsidRPr="00A95E07">
        <w:t xml:space="preserve"> not consider</w:t>
      </w:r>
      <w:r w:rsidR="00564FEC" w:rsidRPr="00A95E07">
        <w:t xml:space="preserve"> it</w:t>
      </w:r>
      <w:r w:rsidRPr="00A95E07">
        <w:t xml:space="preserve"> </w:t>
      </w:r>
      <w:r w:rsidR="00CE7663" w:rsidRPr="00A95E07">
        <w:t>necessary</w:t>
      </w:r>
      <w:r w:rsidRPr="00A95E07">
        <w:t xml:space="preserve"> to ring-fence losses for </w:t>
      </w:r>
      <w:r w:rsidR="00A16442" w:rsidRPr="00A95E07">
        <w:t xml:space="preserve">land held in </w:t>
      </w:r>
      <w:r w:rsidRPr="00A95E07">
        <w:t>these</w:t>
      </w:r>
      <w:r w:rsidR="00A16442" w:rsidRPr="00A95E07">
        <w:t xml:space="preserve"> businesses</w:t>
      </w:r>
      <w:r w:rsidR="00CE7663" w:rsidRPr="00A95E07">
        <w:t xml:space="preserve">.  There is not the same concern about any of the deductible expenses </w:t>
      </w:r>
      <w:r w:rsidR="00414E24" w:rsidRPr="00A95E07">
        <w:t>in relation to land in these businesses</w:t>
      </w:r>
      <w:r w:rsidR="00414E24" w:rsidRPr="00A95E07">
        <w:t xml:space="preserve"> </w:t>
      </w:r>
      <w:r w:rsidR="00CE7663" w:rsidRPr="00A95E07">
        <w:t>relating to untaxed gains, as all of the</w:t>
      </w:r>
      <w:r w:rsidR="00A16442" w:rsidRPr="00A95E07">
        <w:t xml:space="preserve"> businesses’</w:t>
      </w:r>
      <w:r w:rsidR="00CE7663" w:rsidRPr="00A95E07">
        <w:t xml:space="preserve"> land is on revenue account.</w:t>
      </w:r>
      <w:r w:rsidRPr="00A95E07">
        <w:t xml:space="preserve"> </w:t>
      </w:r>
      <w:r w:rsidR="00CE7663" w:rsidRPr="00A95E07">
        <w:t xml:space="preserve"> </w:t>
      </w:r>
      <w:r w:rsidRPr="00A95E07">
        <w:t xml:space="preserve">Therefore, we propose that the ring-fencing rules not apply to land </w:t>
      </w:r>
      <w:r w:rsidR="00A16442" w:rsidRPr="00A95E07">
        <w:t xml:space="preserve">that is </w:t>
      </w:r>
      <w:r w:rsidRPr="00A95E07">
        <w:t xml:space="preserve">on revenue account because </w:t>
      </w:r>
      <w:r w:rsidR="00A16442" w:rsidRPr="00A95E07">
        <w:t>it is held</w:t>
      </w:r>
      <w:r w:rsidRPr="00A95E07">
        <w:t xml:space="preserve"> in a land-related business.</w:t>
      </w:r>
      <w:r w:rsidR="00076714" w:rsidRPr="00A95E07">
        <w:rPr>
          <w:rStyle w:val="FootnoteReference"/>
        </w:rPr>
        <w:footnoteReference w:id="8"/>
      </w:r>
      <w:r w:rsidRPr="00A95E07">
        <w:t xml:space="preserve">  This would enable taxpayers </w:t>
      </w:r>
      <w:r w:rsidR="00A16442" w:rsidRPr="00A95E07">
        <w:t xml:space="preserve">in these businesses </w:t>
      </w:r>
      <w:r w:rsidRPr="00A95E07">
        <w:t xml:space="preserve">to use losses </w:t>
      </w:r>
      <w:r w:rsidR="00076714" w:rsidRPr="00A95E07">
        <w:t xml:space="preserve">arising </w:t>
      </w:r>
      <w:r w:rsidRPr="00A95E07">
        <w:t>in any year against other income – for example within their co</w:t>
      </w:r>
      <w:r w:rsidR="00D424F2" w:rsidRPr="00A95E07">
        <w:t>rporate</w:t>
      </w:r>
      <w:r w:rsidRPr="00A95E07">
        <w:t xml:space="preserve"> group (as they are likely to be companies).</w:t>
      </w:r>
    </w:p>
    <w:p w14:paraId="4BF36253" w14:textId="77777777" w:rsidR="00933D88" w:rsidRPr="00A95E07" w:rsidRDefault="00933D88" w:rsidP="0008013D">
      <w:pPr>
        <w:pStyle w:val="Chapter3"/>
        <w:numPr>
          <w:ilvl w:val="0"/>
          <w:numId w:val="0"/>
        </w:numPr>
        <w:ind w:left="851"/>
      </w:pPr>
    </w:p>
    <w:p w14:paraId="3A5D03D2" w14:textId="77777777" w:rsidR="008A430D" w:rsidRPr="00A95E07" w:rsidRDefault="008A430D" w:rsidP="0008013D">
      <w:pPr>
        <w:pStyle w:val="Chapter3"/>
        <w:numPr>
          <w:ilvl w:val="0"/>
          <w:numId w:val="0"/>
        </w:numPr>
        <w:ind w:left="851"/>
      </w:pPr>
    </w:p>
    <w:p w14:paraId="530FD54E" w14:textId="77777777" w:rsidR="00933D88" w:rsidRPr="00A95E07" w:rsidRDefault="00076714" w:rsidP="00933D88">
      <w:pPr>
        <w:pStyle w:val="Heading1"/>
        <w:rPr>
          <w:lang w:val="en-NZ"/>
        </w:rPr>
      </w:pPr>
      <w:bookmarkStart w:id="76" w:name="_Toc507152294"/>
      <w:bookmarkStart w:id="77" w:name="_Toc510082309"/>
      <w:r w:rsidRPr="00A95E07">
        <w:rPr>
          <w:lang w:val="en-NZ"/>
        </w:rPr>
        <w:t>Property owned by c</w:t>
      </w:r>
      <w:r w:rsidR="00933D88" w:rsidRPr="00A95E07">
        <w:rPr>
          <w:lang w:val="en-NZ"/>
        </w:rPr>
        <w:t>ompanies and trusts</w:t>
      </w:r>
      <w:bookmarkEnd w:id="76"/>
      <w:bookmarkEnd w:id="77"/>
    </w:p>
    <w:p w14:paraId="2176F24C" w14:textId="77777777" w:rsidR="00933D88" w:rsidRPr="00A95E07" w:rsidRDefault="00933D88" w:rsidP="0008013D">
      <w:pPr>
        <w:pStyle w:val="Chapter3"/>
        <w:numPr>
          <w:ilvl w:val="0"/>
          <w:numId w:val="0"/>
        </w:numPr>
        <w:ind w:left="851"/>
      </w:pPr>
    </w:p>
    <w:p w14:paraId="6B3A02BB" w14:textId="56BDE4E5" w:rsidR="00933D88" w:rsidRPr="00A95E07" w:rsidRDefault="008252E1" w:rsidP="00933D88">
      <w:pPr>
        <w:pStyle w:val="Chapter3"/>
      </w:pPr>
      <w:r w:rsidRPr="00A95E07">
        <w:t>There is an argument that the loss ring-fencing rules should apply only to indiv</w:t>
      </w:r>
      <w:r w:rsidR="00E74B37" w:rsidRPr="00A95E07">
        <w:t>iduals (that is</w:t>
      </w:r>
      <w:r w:rsidR="003C31BE" w:rsidRPr="00A95E07">
        <w:t>, natural persons),</w:t>
      </w:r>
      <w:r w:rsidR="003C31BE" w:rsidRPr="00A95E07">
        <w:rPr>
          <w:rStyle w:val="FootnoteReference"/>
        </w:rPr>
        <w:footnoteReference w:id="9"/>
      </w:r>
      <w:r w:rsidRPr="00A95E07">
        <w:t xml:space="preserve"> and not to companies or trusts.  This argument could be made because company losses are effectively ring-fenced inside the company, as are losses in a trust.</w:t>
      </w:r>
    </w:p>
    <w:p w14:paraId="2B87B7D2" w14:textId="77777777" w:rsidR="008252E1" w:rsidRPr="00A95E07" w:rsidRDefault="008252E1" w:rsidP="0008013D">
      <w:pPr>
        <w:pStyle w:val="Chapter3"/>
        <w:numPr>
          <w:ilvl w:val="0"/>
          <w:numId w:val="0"/>
        </w:numPr>
        <w:ind w:left="851"/>
      </w:pPr>
    </w:p>
    <w:p w14:paraId="10A3BEBF" w14:textId="699B674E" w:rsidR="003C31BE" w:rsidRPr="00A95E07" w:rsidRDefault="003C31BE" w:rsidP="00933D88">
      <w:pPr>
        <w:pStyle w:val="Chapter3"/>
      </w:pPr>
      <w:r w:rsidRPr="00A95E07">
        <w:rPr>
          <w:szCs w:val="24"/>
        </w:rPr>
        <w:t>However, such an approach</w:t>
      </w:r>
      <w:r w:rsidR="008252E1" w:rsidRPr="00A95E07">
        <w:rPr>
          <w:szCs w:val="24"/>
        </w:rPr>
        <w:t xml:space="preserve"> would leave open the possibility of </w:t>
      </w:r>
      <w:r w:rsidR="00A449E8" w:rsidRPr="00A95E07">
        <w:rPr>
          <w:szCs w:val="24"/>
        </w:rPr>
        <w:t>individual</w:t>
      </w:r>
      <w:r w:rsidR="00B9061E" w:rsidRPr="00A95E07">
        <w:rPr>
          <w:szCs w:val="24"/>
        </w:rPr>
        <w:t xml:space="preserve"> speculators or investors</w:t>
      </w:r>
      <w:r w:rsidR="008252E1" w:rsidRPr="00A95E07">
        <w:rPr>
          <w:szCs w:val="24"/>
        </w:rPr>
        <w:t xml:space="preserve"> operating through a company or trading trust, holding their </w:t>
      </w:r>
      <w:r w:rsidR="00B9061E" w:rsidRPr="00A95E07">
        <w:rPr>
          <w:szCs w:val="24"/>
        </w:rPr>
        <w:t>residential</w:t>
      </w:r>
      <w:r w:rsidR="008252E1" w:rsidRPr="00A95E07">
        <w:rPr>
          <w:szCs w:val="24"/>
        </w:rPr>
        <w:t xml:space="preserve"> properties in that vehicle, and offsetting the losses against their labour income.  It would also mean that a family trust holding residential rental property and also some other investments could offset rental property losses against income from the other investments.</w:t>
      </w:r>
      <w:r w:rsidR="00A449E8" w:rsidRPr="00A95E07">
        <w:rPr>
          <w:szCs w:val="24"/>
        </w:rPr>
        <w:t xml:space="preserve">  For example, it would not be fair for a professional operating through a company or trust to not be subject to the ring-fencing rules where another person operating as a sole trader would be.</w:t>
      </w:r>
    </w:p>
    <w:p w14:paraId="74D9557D" w14:textId="77777777" w:rsidR="003C31BE" w:rsidRPr="00A95E07" w:rsidRDefault="003C31BE" w:rsidP="0008013D">
      <w:pPr>
        <w:pStyle w:val="Chapter3"/>
        <w:numPr>
          <w:ilvl w:val="0"/>
          <w:numId w:val="0"/>
        </w:numPr>
        <w:ind w:left="851"/>
      </w:pPr>
    </w:p>
    <w:p w14:paraId="4698DE63" w14:textId="393BE53A" w:rsidR="00926D28" w:rsidRPr="00A95E07" w:rsidRDefault="00A449E8" w:rsidP="008538BE">
      <w:pPr>
        <w:pStyle w:val="Chapter3"/>
      </w:pPr>
      <w:r w:rsidRPr="00A95E07">
        <w:rPr>
          <w:szCs w:val="24"/>
        </w:rPr>
        <w:t>It is acknowledged that there may be some compliance costs for some corporates that own some residential property incidentally to their business.  However</w:t>
      </w:r>
      <w:r w:rsidR="003C31BE" w:rsidRPr="00A95E07">
        <w:rPr>
          <w:szCs w:val="24"/>
        </w:rPr>
        <w:t>, it is considered that l</w:t>
      </w:r>
      <w:r w:rsidR="008252E1" w:rsidRPr="00A95E07">
        <w:rPr>
          <w:szCs w:val="24"/>
        </w:rPr>
        <w:t>imiting the ring-fencing rules to individuals would significantly undermine the fairness of the rules.</w:t>
      </w:r>
      <w:r w:rsidR="003C31BE" w:rsidRPr="00A95E07">
        <w:rPr>
          <w:szCs w:val="24"/>
        </w:rPr>
        <w:t xml:space="preserve">  For this reason, we suggest that the ring-fencing rules should apply to all taxpayers, not only to individual taxpayers.</w:t>
      </w:r>
    </w:p>
    <w:p w14:paraId="719866A9" w14:textId="77777777" w:rsidR="00CA33EC" w:rsidRPr="00A95E07" w:rsidRDefault="00CA33EC" w:rsidP="00D10025">
      <w:pPr>
        <w:pStyle w:val="Chapterheading"/>
        <w:rPr>
          <w:lang w:val="en-NZ"/>
        </w:rPr>
      </w:pPr>
      <w:r w:rsidRPr="00A95E07">
        <w:rPr>
          <w:lang w:val="en-NZ"/>
        </w:rPr>
        <w:br w:type="page"/>
      </w:r>
      <w:bookmarkStart w:id="78" w:name="_Toc147568004"/>
      <w:bookmarkStart w:id="79" w:name="_Toc505074101"/>
      <w:bookmarkStart w:id="80" w:name="_Toc506216617"/>
      <w:bookmarkStart w:id="81" w:name="_Toc506219985"/>
      <w:bookmarkStart w:id="82" w:name="_Toc506477397"/>
      <w:bookmarkStart w:id="83" w:name="_Toc507152295"/>
      <w:bookmarkStart w:id="84" w:name="_Toc509922295"/>
      <w:bookmarkStart w:id="85" w:name="_Toc510021182"/>
      <w:bookmarkStart w:id="86" w:name="_Toc510022600"/>
      <w:bookmarkStart w:id="87" w:name="_Toc510022818"/>
      <w:bookmarkStart w:id="88" w:name="_Toc510026882"/>
      <w:bookmarkStart w:id="89" w:name="_Toc510082208"/>
      <w:bookmarkStart w:id="90" w:name="_Toc510082310"/>
      <w:r w:rsidR="001005B7" w:rsidRPr="00A95E07">
        <w:rPr>
          <w:lang w:val="en-NZ"/>
        </w:rPr>
        <w:t xml:space="preserve">CHAPTER </w:t>
      </w:r>
      <w:r w:rsidRPr="00A95E07">
        <w:rPr>
          <w:lang w:val="en-NZ"/>
        </w:rPr>
        <w:t>4</w:t>
      </w:r>
      <w:bookmarkEnd w:id="78"/>
      <w:bookmarkEnd w:id="79"/>
      <w:bookmarkEnd w:id="80"/>
      <w:bookmarkEnd w:id="81"/>
      <w:bookmarkEnd w:id="82"/>
      <w:bookmarkEnd w:id="83"/>
      <w:bookmarkEnd w:id="84"/>
      <w:bookmarkEnd w:id="85"/>
      <w:bookmarkEnd w:id="86"/>
      <w:bookmarkEnd w:id="87"/>
      <w:bookmarkEnd w:id="88"/>
      <w:bookmarkEnd w:id="89"/>
      <w:bookmarkEnd w:id="90"/>
    </w:p>
    <w:p w14:paraId="7EA75468" w14:textId="77777777" w:rsidR="00CA33EC" w:rsidRPr="00A95E07" w:rsidRDefault="00CA33EC" w:rsidP="00D10025">
      <w:pPr>
        <w:pStyle w:val="Chapterheading"/>
        <w:rPr>
          <w:lang w:val="en-NZ"/>
        </w:rPr>
      </w:pPr>
    </w:p>
    <w:p w14:paraId="745E1316" w14:textId="77777777" w:rsidR="00CA33EC" w:rsidRPr="00A95E07" w:rsidRDefault="00F62C7B" w:rsidP="00D10025">
      <w:pPr>
        <w:pStyle w:val="Chapterheading"/>
        <w:rPr>
          <w:lang w:val="en-NZ"/>
        </w:rPr>
      </w:pPr>
      <w:bookmarkStart w:id="91" w:name="_Toc507152296"/>
      <w:bookmarkStart w:id="92" w:name="_Toc510082311"/>
      <w:r w:rsidRPr="00A95E07">
        <w:rPr>
          <w:caps w:val="0"/>
          <w:lang w:val="en-NZ"/>
        </w:rPr>
        <w:t>Portfolio basis</w:t>
      </w:r>
      <w:bookmarkEnd w:id="91"/>
      <w:bookmarkEnd w:id="92"/>
    </w:p>
    <w:p w14:paraId="5A9ED1BD" w14:textId="77777777" w:rsidR="00CA33EC" w:rsidRPr="00A95E07" w:rsidRDefault="00CA33EC" w:rsidP="008538BE">
      <w:pPr>
        <w:pStyle w:val="Chapter4"/>
        <w:numPr>
          <w:ilvl w:val="0"/>
          <w:numId w:val="0"/>
        </w:numPr>
        <w:ind w:left="851"/>
      </w:pPr>
    </w:p>
    <w:p w14:paraId="25F8BDF1" w14:textId="77777777" w:rsidR="008538BE" w:rsidRPr="00A95E07" w:rsidRDefault="008538BE" w:rsidP="008538BE">
      <w:pPr>
        <w:pStyle w:val="Chapter4"/>
        <w:numPr>
          <w:ilvl w:val="0"/>
          <w:numId w:val="0"/>
        </w:numPr>
        <w:ind w:left="851"/>
      </w:pPr>
    </w:p>
    <w:p w14:paraId="19E114A2" w14:textId="4F895C53" w:rsidR="00AF539C" w:rsidRPr="00A95E07" w:rsidRDefault="00743E06" w:rsidP="00743E06">
      <w:pPr>
        <w:pStyle w:val="Chapter4"/>
      </w:pPr>
      <w:r w:rsidRPr="00A95E07">
        <w:t>It is suggested that the loss ring-fencing rules should apply on a portfolio basis.  That would mean that investors would be able to offset losses from one rental property against rental income from other properties – calculating their overall profit or loss across their portfolio.</w:t>
      </w:r>
    </w:p>
    <w:p w14:paraId="6AE13D93" w14:textId="77777777" w:rsidR="00AF539C" w:rsidRPr="00A95E07" w:rsidRDefault="00AF539C" w:rsidP="00AF539C">
      <w:pPr>
        <w:pStyle w:val="Chapter4"/>
        <w:numPr>
          <w:ilvl w:val="0"/>
          <w:numId w:val="0"/>
        </w:numPr>
        <w:ind w:left="851"/>
      </w:pPr>
    </w:p>
    <w:p w14:paraId="5E042F7B" w14:textId="77777777" w:rsidR="00042E7B" w:rsidRPr="00A95E07" w:rsidRDefault="00743E06" w:rsidP="00743E06">
      <w:pPr>
        <w:pStyle w:val="Chapter4"/>
      </w:pPr>
      <w:r w:rsidRPr="00A95E07">
        <w:t>The alternative</w:t>
      </w:r>
      <w:r w:rsidR="00D424F2" w:rsidRPr="00A95E07">
        <w:t xml:space="preserve"> –</w:t>
      </w:r>
      <w:r w:rsidRPr="00A95E07">
        <w:t xml:space="preserve"> a property by property basis</w:t>
      </w:r>
      <w:r w:rsidR="00D424F2" w:rsidRPr="00A95E07">
        <w:t xml:space="preserve"> –</w:t>
      </w:r>
      <w:r w:rsidRPr="00A95E07">
        <w:t xml:space="preserve"> would mean that each property would need to be looked at separately, with losses on one not able to be offset against income from another.</w:t>
      </w:r>
    </w:p>
    <w:p w14:paraId="619E5DEB" w14:textId="77777777" w:rsidR="00042E7B" w:rsidRPr="00A95E07" w:rsidRDefault="00042E7B" w:rsidP="00042E7B">
      <w:pPr>
        <w:pStyle w:val="Chapter4"/>
        <w:numPr>
          <w:ilvl w:val="0"/>
          <w:numId w:val="0"/>
        </w:numPr>
        <w:ind w:left="851"/>
      </w:pPr>
    </w:p>
    <w:p w14:paraId="1385F137" w14:textId="35907257" w:rsidR="00174E54" w:rsidRPr="00A95E07" w:rsidRDefault="00042E7B" w:rsidP="00AC1736">
      <w:pPr>
        <w:pStyle w:val="Chapter4"/>
      </w:pPr>
      <w:r w:rsidRPr="00A95E07">
        <w:t xml:space="preserve">A </w:t>
      </w:r>
      <w:r w:rsidRPr="00A95E07">
        <w:rPr>
          <w:color w:val="000000"/>
          <w:szCs w:val="24"/>
        </w:rPr>
        <w:t>property</w:t>
      </w:r>
      <w:r w:rsidRPr="00A95E07">
        <w:t xml:space="preserve"> by property approach would be stricter than a portfolio approach, </w:t>
      </w:r>
      <w:r w:rsidR="00174E54" w:rsidRPr="00A95E07">
        <w:t>achieving</w:t>
      </w:r>
      <w:r w:rsidRPr="00A95E07">
        <w:t xml:space="preserve"> the highest level of ring-fencing.  </w:t>
      </w:r>
      <w:r w:rsidRPr="00A95E07">
        <w:rPr>
          <w:szCs w:val="24"/>
        </w:rPr>
        <w:t xml:space="preserve">However, </w:t>
      </w:r>
      <w:r w:rsidR="00A449E8" w:rsidRPr="00A95E07">
        <w:rPr>
          <w:szCs w:val="24"/>
        </w:rPr>
        <w:t>it would add complexity</w:t>
      </w:r>
      <w:r w:rsidR="00656A22" w:rsidRPr="00A95E07">
        <w:rPr>
          <w:szCs w:val="24"/>
        </w:rPr>
        <w:t>, as losses would need to be tracked separately for each property</w:t>
      </w:r>
      <w:r w:rsidR="00A449E8" w:rsidRPr="00A95E07">
        <w:rPr>
          <w:szCs w:val="24"/>
        </w:rPr>
        <w:t>.</w:t>
      </w:r>
      <w:r w:rsidR="00656A22" w:rsidRPr="00A95E07">
        <w:rPr>
          <w:szCs w:val="24"/>
        </w:rPr>
        <w:t xml:space="preserve">  Moreover, </w:t>
      </w:r>
      <w:r w:rsidR="00174E54" w:rsidRPr="00A95E07">
        <w:t xml:space="preserve">a </w:t>
      </w:r>
      <w:r w:rsidRPr="00A95E07">
        <w:t xml:space="preserve">property by property </w:t>
      </w:r>
      <w:r w:rsidR="00174E54" w:rsidRPr="00A95E07">
        <w:t xml:space="preserve">approach </w:t>
      </w:r>
      <w:r w:rsidRPr="00A95E07">
        <w:t xml:space="preserve">may </w:t>
      </w:r>
      <w:r w:rsidR="00AC1736" w:rsidRPr="00A95E07">
        <w:t xml:space="preserve">just </w:t>
      </w:r>
      <w:r w:rsidR="00174E54" w:rsidRPr="00A95E07">
        <w:t xml:space="preserve">result in </w:t>
      </w:r>
      <w:r w:rsidR="00AC1736" w:rsidRPr="00A95E07">
        <w:t>t</w:t>
      </w:r>
      <w:r w:rsidRPr="00A95E07">
        <w:t>axpayers with portfolios</w:t>
      </w:r>
      <w:r w:rsidR="00174E54" w:rsidRPr="00A95E07">
        <w:t xml:space="preserve"> </w:t>
      </w:r>
      <w:r w:rsidRPr="00A95E07">
        <w:t>re-balancing their debt funding to avoid having loss-making properties (or at least minimising the extent to which any partic</w:t>
      </w:r>
      <w:r w:rsidR="00AC1736" w:rsidRPr="00A95E07">
        <w:t xml:space="preserve">ular property is loss-making).  That response to the rules applying on a property by property basis would be inefficient, and may mean that </w:t>
      </w:r>
      <w:r w:rsidR="00D424F2" w:rsidRPr="00A95E07">
        <w:t>this</w:t>
      </w:r>
      <w:r w:rsidR="00AC1736" w:rsidRPr="00A95E07">
        <w:t xml:space="preserve"> approach</w:t>
      </w:r>
      <w:r w:rsidRPr="00A95E07">
        <w:t xml:space="preserve"> may have no real advantage over a portfolio approach – adding </w:t>
      </w:r>
      <w:r w:rsidR="00174E54" w:rsidRPr="00A95E07">
        <w:t xml:space="preserve">considerable </w:t>
      </w:r>
      <w:r w:rsidRPr="00A95E07">
        <w:t xml:space="preserve">complexity and increasing compliance costs for no </w:t>
      </w:r>
      <w:r w:rsidR="00174E54" w:rsidRPr="00A95E07">
        <w:t xml:space="preserve">real </w:t>
      </w:r>
      <w:r w:rsidRPr="00A95E07">
        <w:t>gain.</w:t>
      </w:r>
    </w:p>
    <w:p w14:paraId="14839397" w14:textId="77777777" w:rsidR="00174E54" w:rsidRPr="00A95E07" w:rsidRDefault="00174E54" w:rsidP="00541B8D">
      <w:pPr>
        <w:pStyle w:val="Chapter4"/>
        <w:numPr>
          <w:ilvl w:val="0"/>
          <w:numId w:val="0"/>
        </w:numPr>
        <w:ind w:left="851"/>
      </w:pPr>
    </w:p>
    <w:p w14:paraId="16C1BBB5" w14:textId="77777777" w:rsidR="00CA33EC" w:rsidRPr="00A95E07" w:rsidRDefault="00174E54" w:rsidP="001764DF">
      <w:pPr>
        <w:pStyle w:val="Chapter4"/>
      </w:pPr>
      <w:r w:rsidRPr="00A95E07">
        <w:t>Also, a property by property approach may be seen as</w:t>
      </w:r>
      <w:r w:rsidR="00042E7B" w:rsidRPr="00A95E07">
        <w:t xml:space="preserve"> unfair in that if a taxpayer has two properties and breaks even on the portfolio overall, the taxpayer’s tax position w</w:t>
      </w:r>
      <w:r w:rsidR="00564FEC" w:rsidRPr="00A95E07">
        <w:t>ould</w:t>
      </w:r>
      <w:r w:rsidR="00042E7B" w:rsidRPr="00A95E07">
        <w:t xml:space="preserve"> depend on whether they break even on both properties or make a gain on one and a loss on the other.</w:t>
      </w:r>
    </w:p>
    <w:p w14:paraId="214ADCE8" w14:textId="77777777" w:rsidR="00042E7B" w:rsidRPr="00A95E07" w:rsidRDefault="00042E7B" w:rsidP="00541B8D">
      <w:pPr>
        <w:pStyle w:val="Chapter4"/>
        <w:numPr>
          <w:ilvl w:val="0"/>
          <w:numId w:val="0"/>
        </w:numPr>
        <w:ind w:left="851"/>
      </w:pPr>
    </w:p>
    <w:p w14:paraId="50097511" w14:textId="77777777" w:rsidR="00F62C7B" w:rsidRPr="00A95E07" w:rsidRDefault="00174E54" w:rsidP="00FD6576">
      <w:pPr>
        <w:pStyle w:val="Chapter4"/>
      </w:pPr>
      <w:r w:rsidRPr="00A95E07">
        <w:t>We therefore suggest that the</w:t>
      </w:r>
      <w:r w:rsidR="00042E7B" w:rsidRPr="00A95E07">
        <w:rPr>
          <w:color w:val="000000"/>
          <w:szCs w:val="24"/>
        </w:rPr>
        <w:t xml:space="preserve"> ring-fencing </w:t>
      </w:r>
      <w:r w:rsidRPr="00A95E07">
        <w:rPr>
          <w:color w:val="000000"/>
          <w:szCs w:val="24"/>
        </w:rPr>
        <w:t xml:space="preserve">rules apply </w:t>
      </w:r>
      <w:r w:rsidR="00042E7B" w:rsidRPr="00A95E07">
        <w:rPr>
          <w:color w:val="000000"/>
          <w:szCs w:val="24"/>
        </w:rPr>
        <w:t>on a portfolio basis</w:t>
      </w:r>
      <w:r w:rsidR="001764DF" w:rsidRPr="00A95E07">
        <w:rPr>
          <w:color w:val="000000"/>
          <w:szCs w:val="24"/>
        </w:rPr>
        <w:t>, so a person with multiple properties would calculate their overall profit or loss across their whole residential portfolio</w:t>
      </w:r>
      <w:r w:rsidR="00042E7B" w:rsidRPr="00A95E07">
        <w:t>.</w:t>
      </w:r>
    </w:p>
    <w:p w14:paraId="15DCDD47" w14:textId="77777777" w:rsidR="00F62C7B" w:rsidRPr="00A95E07" w:rsidRDefault="00F62C7B">
      <w:pPr>
        <w:jc w:val="left"/>
        <w:rPr>
          <w:i/>
          <w:lang w:val="en-NZ"/>
        </w:rPr>
      </w:pPr>
      <w:r w:rsidRPr="00A95E07">
        <w:rPr>
          <w:lang w:val="en-NZ"/>
        </w:rPr>
        <w:br w:type="page"/>
      </w:r>
    </w:p>
    <w:p w14:paraId="3F7226FF" w14:textId="77777777" w:rsidR="00F62C7B" w:rsidRPr="00A95E07" w:rsidRDefault="00F62C7B" w:rsidP="00F62C7B">
      <w:pPr>
        <w:pStyle w:val="Chapterheading"/>
        <w:rPr>
          <w:lang w:val="en-NZ"/>
        </w:rPr>
      </w:pPr>
      <w:bookmarkStart w:id="93" w:name="_Toc505074104"/>
      <w:bookmarkStart w:id="94" w:name="_Toc506216619"/>
      <w:bookmarkStart w:id="95" w:name="_Toc506219987"/>
      <w:bookmarkStart w:id="96" w:name="_Toc506477399"/>
      <w:bookmarkStart w:id="97" w:name="_Toc507152297"/>
      <w:bookmarkStart w:id="98" w:name="_Toc509922297"/>
      <w:bookmarkStart w:id="99" w:name="_Toc510021184"/>
      <w:bookmarkStart w:id="100" w:name="_Toc510022602"/>
      <w:bookmarkStart w:id="101" w:name="_Toc510022820"/>
      <w:bookmarkStart w:id="102" w:name="_Toc510026884"/>
      <w:bookmarkStart w:id="103" w:name="_Toc510082210"/>
      <w:bookmarkStart w:id="104" w:name="_Toc510082312"/>
      <w:r w:rsidRPr="00A95E07">
        <w:rPr>
          <w:lang w:val="en-NZ"/>
        </w:rPr>
        <w:t>CHAPTER 5</w:t>
      </w:r>
      <w:bookmarkEnd w:id="93"/>
      <w:bookmarkEnd w:id="94"/>
      <w:bookmarkEnd w:id="95"/>
      <w:bookmarkEnd w:id="96"/>
      <w:bookmarkEnd w:id="97"/>
      <w:bookmarkEnd w:id="98"/>
      <w:bookmarkEnd w:id="99"/>
      <w:bookmarkEnd w:id="100"/>
      <w:bookmarkEnd w:id="101"/>
      <w:bookmarkEnd w:id="102"/>
      <w:bookmarkEnd w:id="103"/>
      <w:bookmarkEnd w:id="104"/>
    </w:p>
    <w:p w14:paraId="194EC9E0" w14:textId="77777777" w:rsidR="00F62C7B" w:rsidRPr="00A95E07" w:rsidRDefault="00F62C7B" w:rsidP="00F62C7B">
      <w:pPr>
        <w:pStyle w:val="Chapterheading"/>
        <w:rPr>
          <w:lang w:val="en-NZ"/>
        </w:rPr>
      </w:pPr>
    </w:p>
    <w:p w14:paraId="7EA3438E" w14:textId="77777777" w:rsidR="00F62C7B" w:rsidRPr="00A95E07" w:rsidRDefault="00F62C7B" w:rsidP="00F62C7B">
      <w:pPr>
        <w:pStyle w:val="Chapterheading"/>
        <w:rPr>
          <w:lang w:val="en-NZ"/>
        </w:rPr>
      </w:pPr>
      <w:bookmarkStart w:id="105" w:name="_Toc507152298"/>
      <w:bookmarkStart w:id="106" w:name="_Toc510082313"/>
      <w:r w:rsidRPr="00A95E07">
        <w:rPr>
          <w:caps w:val="0"/>
          <w:lang w:val="en-NZ"/>
        </w:rPr>
        <w:t>Using ring-fenced losses</w:t>
      </w:r>
      <w:bookmarkEnd w:id="105"/>
      <w:bookmarkEnd w:id="106"/>
    </w:p>
    <w:p w14:paraId="58638CBB" w14:textId="77777777" w:rsidR="00F62C7B" w:rsidRPr="00A95E07" w:rsidRDefault="00F62C7B" w:rsidP="008538BE">
      <w:pPr>
        <w:pStyle w:val="Chapter5"/>
        <w:numPr>
          <w:ilvl w:val="0"/>
          <w:numId w:val="0"/>
        </w:numPr>
        <w:ind w:left="851"/>
      </w:pPr>
    </w:p>
    <w:p w14:paraId="7E1ABC38" w14:textId="77777777" w:rsidR="00F62C7B" w:rsidRPr="00A95E07" w:rsidRDefault="00F62C7B" w:rsidP="008538BE">
      <w:pPr>
        <w:pStyle w:val="Chapter5"/>
        <w:numPr>
          <w:ilvl w:val="0"/>
          <w:numId w:val="0"/>
        </w:numPr>
        <w:ind w:left="851"/>
      </w:pPr>
    </w:p>
    <w:p w14:paraId="62B3ABD3" w14:textId="77777777" w:rsidR="003A4BB5" w:rsidRPr="00A95E07" w:rsidRDefault="00FD6576" w:rsidP="00F62C7B">
      <w:pPr>
        <w:pStyle w:val="Chapter5"/>
      </w:pPr>
      <w:r w:rsidRPr="00A95E07">
        <w:t xml:space="preserve">Under the suggested changes, </w:t>
      </w:r>
      <w:r w:rsidR="009D01F5" w:rsidRPr="00A95E07">
        <w:t xml:space="preserve">ring-fenced </w:t>
      </w:r>
      <w:r w:rsidR="00B9061E" w:rsidRPr="00A95E07">
        <w:t xml:space="preserve">residential </w:t>
      </w:r>
      <w:r w:rsidR="006B7A3B" w:rsidRPr="00A95E07">
        <w:rPr>
          <w:color w:val="000000"/>
          <w:szCs w:val="24"/>
        </w:rPr>
        <w:t>rental or other</w:t>
      </w:r>
      <w:r w:rsidR="00B9061E" w:rsidRPr="00A95E07">
        <w:t xml:space="preserve"> </w:t>
      </w:r>
      <w:r w:rsidR="009D01F5" w:rsidRPr="00A95E07">
        <w:t xml:space="preserve">losses from one year would </w:t>
      </w:r>
      <w:r w:rsidR="001777A8" w:rsidRPr="00A95E07">
        <w:t>could</w:t>
      </w:r>
      <w:r w:rsidR="009D01F5" w:rsidRPr="00A95E07">
        <w:t xml:space="preserve"> be offset against</w:t>
      </w:r>
      <w:r w:rsidR="003A4BB5" w:rsidRPr="00A95E07">
        <w:t>:</w:t>
      </w:r>
    </w:p>
    <w:p w14:paraId="28F5B702" w14:textId="77777777" w:rsidR="005E0A50" w:rsidRPr="00A95E07" w:rsidRDefault="005E0A50" w:rsidP="005E0A50">
      <w:pPr>
        <w:pStyle w:val="Chapter5"/>
        <w:numPr>
          <w:ilvl w:val="0"/>
          <w:numId w:val="0"/>
        </w:numPr>
        <w:ind w:left="851"/>
      </w:pPr>
    </w:p>
    <w:p w14:paraId="21D3A4AE" w14:textId="13DAEE4F" w:rsidR="003A4BB5" w:rsidRPr="00A95E07" w:rsidRDefault="00AE1495" w:rsidP="005E0A50">
      <w:pPr>
        <w:pStyle w:val="Bullet1stlevel"/>
        <w:rPr>
          <w:lang w:val="en-NZ"/>
        </w:rPr>
      </w:pPr>
      <w:r w:rsidRPr="00A95E07">
        <w:rPr>
          <w:lang w:val="en-NZ"/>
        </w:rPr>
        <w:t xml:space="preserve">residential </w:t>
      </w:r>
      <w:r w:rsidR="009D01F5" w:rsidRPr="00A95E07">
        <w:rPr>
          <w:szCs w:val="24"/>
          <w:lang w:val="en-NZ"/>
        </w:rPr>
        <w:t>rental</w:t>
      </w:r>
      <w:r w:rsidR="009D01F5" w:rsidRPr="00A95E07">
        <w:rPr>
          <w:lang w:val="en-NZ"/>
        </w:rPr>
        <w:t xml:space="preserve"> income from future years</w:t>
      </w:r>
      <w:r w:rsidR="006B550B" w:rsidRPr="00A95E07">
        <w:rPr>
          <w:lang w:val="en-NZ"/>
        </w:rPr>
        <w:t xml:space="preserve"> (from any property)</w:t>
      </w:r>
      <w:r w:rsidR="00541B8D" w:rsidRPr="00A95E07">
        <w:rPr>
          <w:lang w:val="en-NZ"/>
        </w:rPr>
        <w:t>; and</w:t>
      </w:r>
    </w:p>
    <w:p w14:paraId="4F6177AF" w14:textId="7B640082" w:rsidR="006B550B" w:rsidRPr="00A95E07" w:rsidRDefault="003A4BB5" w:rsidP="005E0A50">
      <w:pPr>
        <w:pStyle w:val="Bullet1stlevel"/>
        <w:spacing w:after="0"/>
        <w:rPr>
          <w:lang w:val="en-NZ"/>
        </w:rPr>
      </w:pPr>
      <w:proofErr w:type="gramStart"/>
      <w:r w:rsidRPr="00A95E07">
        <w:rPr>
          <w:lang w:val="en-NZ"/>
        </w:rPr>
        <w:t>taxable</w:t>
      </w:r>
      <w:proofErr w:type="gramEnd"/>
      <w:r w:rsidRPr="00A95E07">
        <w:rPr>
          <w:lang w:val="en-NZ"/>
        </w:rPr>
        <w:t xml:space="preserve"> </w:t>
      </w:r>
      <w:r w:rsidR="00C737A9" w:rsidRPr="00A95E07">
        <w:rPr>
          <w:szCs w:val="24"/>
          <w:lang w:val="en-NZ"/>
        </w:rPr>
        <w:t>income</w:t>
      </w:r>
      <w:r w:rsidR="004B7871" w:rsidRPr="00A95E07">
        <w:rPr>
          <w:lang w:val="en-NZ"/>
        </w:rPr>
        <w:t xml:space="preserve"> on </w:t>
      </w:r>
      <w:r w:rsidR="00B676B5" w:rsidRPr="00A95E07">
        <w:rPr>
          <w:lang w:val="en-NZ"/>
        </w:rPr>
        <w:t xml:space="preserve">the sale of </w:t>
      </w:r>
      <w:r w:rsidR="006B550B" w:rsidRPr="00A95E07">
        <w:rPr>
          <w:lang w:val="en-NZ"/>
        </w:rPr>
        <w:t xml:space="preserve">any </w:t>
      </w:r>
      <w:r w:rsidR="00B676B5" w:rsidRPr="00A95E07">
        <w:rPr>
          <w:lang w:val="en-NZ"/>
        </w:rPr>
        <w:t xml:space="preserve">residential </w:t>
      </w:r>
      <w:r w:rsidRPr="00A95E07">
        <w:rPr>
          <w:lang w:val="en-NZ"/>
        </w:rPr>
        <w:t>land</w:t>
      </w:r>
      <w:r w:rsidR="009D01F5" w:rsidRPr="00A95E07">
        <w:rPr>
          <w:lang w:val="en-NZ"/>
        </w:rPr>
        <w:t>.</w:t>
      </w:r>
    </w:p>
    <w:p w14:paraId="6939518F" w14:textId="77777777" w:rsidR="009233EC" w:rsidRPr="00A95E07" w:rsidRDefault="009233EC" w:rsidP="00541B8D">
      <w:pPr>
        <w:pStyle w:val="Chapter5"/>
        <w:numPr>
          <w:ilvl w:val="0"/>
          <w:numId w:val="0"/>
        </w:numPr>
        <w:ind w:left="851"/>
      </w:pPr>
    </w:p>
    <w:p w14:paraId="56FAC4BF" w14:textId="2F1DD850" w:rsidR="006B550B" w:rsidRPr="00A95E07" w:rsidRDefault="003B2CB8" w:rsidP="003B2CB8">
      <w:pPr>
        <w:pStyle w:val="Chapter5"/>
      </w:pPr>
      <w:r w:rsidRPr="00A95E07">
        <w:t xml:space="preserve">Most residential rental investors are not subject to tax on the sale of their investment properties under current tax rules.  However, in some circumstances, the sale of a residential rental property may be taxed </w:t>
      </w:r>
      <w:proofErr w:type="gramStart"/>
      <w:r w:rsidRPr="00A95E07">
        <w:t>under</w:t>
      </w:r>
      <w:proofErr w:type="gramEnd"/>
      <w:r w:rsidRPr="00A95E07">
        <w:t xml:space="preserve"> one of the land sale rules in the Income Tax Act – or the taxpayer may have taxable </w:t>
      </w:r>
      <w:r w:rsidR="00C737A9" w:rsidRPr="00A95E07">
        <w:t>income</w:t>
      </w:r>
      <w:r w:rsidRPr="00A95E07">
        <w:t xml:space="preserve"> on the sale of other residential property (not rented out).</w:t>
      </w:r>
      <w:r w:rsidR="00A0009C" w:rsidRPr="00A95E07">
        <w:t xml:space="preserve"> </w:t>
      </w:r>
      <w:r w:rsidRPr="00A95E07">
        <w:rPr>
          <w:color w:val="000000"/>
          <w:szCs w:val="24"/>
        </w:rPr>
        <w:t xml:space="preserve"> </w:t>
      </w:r>
      <w:r w:rsidRPr="00A95E07">
        <w:t>This could be the case, for example, because the taxpayer is in a land-related business (</w:t>
      </w:r>
      <w:r w:rsidR="00E74B37" w:rsidRPr="00A95E07">
        <w:t>for example</w:t>
      </w:r>
      <w:r w:rsidRPr="00A95E07">
        <w:t>, a land dealer or developer), bought the land for resale, or sells the property within the bright-line period of either two or five years (depending on when they first had an interest in the land).</w:t>
      </w:r>
      <w:r w:rsidRPr="00A95E07">
        <w:rPr>
          <w:rStyle w:val="FootnoteReference"/>
        </w:rPr>
        <w:footnoteReference w:id="10"/>
      </w:r>
    </w:p>
    <w:p w14:paraId="6D5ABF81" w14:textId="77777777" w:rsidR="006B550B" w:rsidRPr="00A95E07" w:rsidRDefault="006B550B" w:rsidP="006B550B">
      <w:pPr>
        <w:pStyle w:val="Chapter5"/>
        <w:numPr>
          <w:ilvl w:val="0"/>
          <w:numId w:val="0"/>
        </w:numPr>
        <w:ind w:left="851"/>
      </w:pPr>
    </w:p>
    <w:p w14:paraId="4D71BC30" w14:textId="2733A673" w:rsidR="002C37A6" w:rsidRPr="00A95E07" w:rsidRDefault="006B550B" w:rsidP="006B550B">
      <w:pPr>
        <w:pStyle w:val="Chapter5"/>
      </w:pPr>
      <w:r w:rsidRPr="00A95E07">
        <w:t>U</w:t>
      </w:r>
      <w:r w:rsidR="003A4BB5" w:rsidRPr="00A95E07">
        <w:t>nder the suggested changes</w:t>
      </w:r>
      <w:r w:rsidRPr="00A95E07">
        <w:t>, where a taxpayer sells a property that is subject to the ring-fencing rules (</w:t>
      </w:r>
      <w:r w:rsidR="00E74B37" w:rsidRPr="00A95E07">
        <w:t>that is</w:t>
      </w:r>
      <w:r w:rsidRPr="00A95E07">
        <w:t>, a residential property) and the sale is taxed,</w:t>
      </w:r>
      <w:r w:rsidR="003A4BB5" w:rsidRPr="00A95E07">
        <w:t xml:space="preserve"> </w:t>
      </w:r>
      <w:r w:rsidR="002C37A6" w:rsidRPr="00A95E07">
        <w:t>any</w:t>
      </w:r>
      <w:r w:rsidR="003A4BB5" w:rsidRPr="00A95E07">
        <w:t xml:space="preserve"> ring-fenced losses </w:t>
      </w:r>
      <w:r w:rsidR="002C37A6" w:rsidRPr="00A95E07">
        <w:t xml:space="preserve">the taxpayer has </w:t>
      </w:r>
      <w:r w:rsidR="003A4BB5" w:rsidRPr="00A95E07">
        <w:t xml:space="preserve">could be used to reduce the taxable gain on sale to nil.  Any remaining unused losses would stay ring-fenced, and could be used against any future </w:t>
      </w:r>
      <w:r w:rsidRPr="00A95E07">
        <w:t xml:space="preserve">residential </w:t>
      </w:r>
      <w:r w:rsidR="003A4BB5" w:rsidRPr="00A95E07">
        <w:t xml:space="preserve">rental income or taxable </w:t>
      </w:r>
      <w:r w:rsidR="00C737A9" w:rsidRPr="00A95E07">
        <w:t>income</w:t>
      </w:r>
      <w:r w:rsidR="003A4BB5" w:rsidRPr="00A95E07">
        <w:t xml:space="preserve"> on other </w:t>
      </w:r>
      <w:r w:rsidRPr="00A95E07">
        <w:t xml:space="preserve">residential </w:t>
      </w:r>
      <w:r w:rsidR="003A4BB5" w:rsidRPr="00A95E07">
        <w:t>land sales.</w:t>
      </w:r>
    </w:p>
    <w:p w14:paraId="1F4D4EBD" w14:textId="77777777" w:rsidR="003A4BB5" w:rsidRPr="00A95E07" w:rsidRDefault="003A4BB5" w:rsidP="00541B8D">
      <w:pPr>
        <w:pStyle w:val="Chapter5"/>
        <w:numPr>
          <w:ilvl w:val="0"/>
          <w:numId w:val="0"/>
        </w:numPr>
        <w:ind w:left="851"/>
      </w:pPr>
    </w:p>
    <w:p w14:paraId="73D25F35" w14:textId="2CB3BA48" w:rsidR="006B550B" w:rsidRPr="00A95E07" w:rsidRDefault="00A0009C" w:rsidP="00F62C7B">
      <w:pPr>
        <w:pStyle w:val="Chapter5"/>
      </w:pPr>
      <w:r w:rsidRPr="00A95E07">
        <w:t>There is an argument</w:t>
      </w:r>
      <w:r w:rsidR="00BA76A6" w:rsidRPr="00A95E07">
        <w:t xml:space="preserve"> that</w:t>
      </w:r>
      <w:r w:rsidR="006B550B" w:rsidRPr="00A95E07">
        <w:t xml:space="preserve"> in the case of a property with ring-fenced losses that is taxed under one of the land sale rules on disposal, the losses should be able to fully utilised (</w:t>
      </w:r>
      <w:r w:rsidR="00E74B37" w:rsidRPr="00A95E07">
        <w:t>that is</w:t>
      </w:r>
      <w:r w:rsidR="006B550B" w:rsidRPr="00A95E07">
        <w:t>, un-fenced) at that point, and be used to offset any other income of the taxpayer.  This would reflect that all of the economic income from the investment has been taxed (the rental stream and the capital gain), and that the investor should not be penalised for making an overall loss on the investment.</w:t>
      </w:r>
    </w:p>
    <w:p w14:paraId="689B5715" w14:textId="77777777" w:rsidR="006B550B" w:rsidRPr="00A95E07" w:rsidRDefault="006B550B" w:rsidP="00541B8D">
      <w:pPr>
        <w:pStyle w:val="Chapter5"/>
        <w:numPr>
          <w:ilvl w:val="0"/>
          <w:numId w:val="0"/>
        </w:numPr>
        <w:ind w:left="851"/>
      </w:pPr>
    </w:p>
    <w:p w14:paraId="2A68B0F3" w14:textId="47EC8704" w:rsidR="006B550B" w:rsidRPr="00A95E07" w:rsidRDefault="006B550B" w:rsidP="00F62C7B">
      <w:pPr>
        <w:pStyle w:val="Chapter5"/>
      </w:pPr>
      <w:r w:rsidRPr="00A95E07">
        <w:t xml:space="preserve">However, if the rules are </w:t>
      </w:r>
      <w:r w:rsidR="00BA76A6" w:rsidRPr="00A95E07">
        <w:t xml:space="preserve">to </w:t>
      </w:r>
      <w:r w:rsidRPr="00A95E07">
        <w:t>appl</w:t>
      </w:r>
      <w:r w:rsidR="00BA76A6" w:rsidRPr="00A95E07">
        <w:t>y</w:t>
      </w:r>
      <w:r w:rsidRPr="00A95E07">
        <w:t xml:space="preserve"> on a portfolio basis</w:t>
      </w:r>
      <w:r w:rsidR="00BA76A6" w:rsidRPr="00A95E07">
        <w:t>, as suggested,</w:t>
      </w:r>
      <w:r w:rsidRPr="00A95E07">
        <w:t xml:space="preserve"> a</w:t>
      </w:r>
      <w:r w:rsidRPr="00A95E07">
        <w:rPr>
          <w:color w:val="000000"/>
          <w:szCs w:val="24"/>
        </w:rPr>
        <w:t>llowing</w:t>
      </w:r>
      <w:r w:rsidRPr="00A95E07">
        <w:t xml:space="preserve"> accumulated losses to give rise to a tax loss on a disposal subject to one of the land sale rules would create risks.  For example, it would enable a portfolio investor to sell a property that has made a small capital gain within the bright-line period, offset that gain with ring-fenced losses from across their portfolio, and apply any remaining losses from the portfolio against other income.  While there are ring-fencing rules in relation to the bright-line test, they only apply to deductions for the cost of the land, not other costs.</w:t>
      </w:r>
    </w:p>
    <w:p w14:paraId="0D591879" w14:textId="77777777" w:rsidR="006B550B" w:rsidRPr="00A95E07" w:rsidRDefault="006B550B" w:rsidP="00541B8D">
      <w:pPr>
        <w:pStyle w:val="Chapter5"/>
        <w:numPr>
          <w:ilvl w:val="0"/>
          <w:numId w:val="0"/>
        </w:numPr>
        <w:ind w:left="851"/>
      </w:pPr>
    </w:p>
    <w:p w14:paraId="2E0C844B" w14:textId="77777777" w:rsidR="00BA76A6" w:rsidRPr="00A95E07" w:rsidRDefault="00BA76A6" w:rsidP="00F62C7B">
      <w:pPr>
        <w:pStyle w:val="Chapter5"/>
      </w:pPr>
      <w:r w:rsidRPr="00A95E07">
        <w:t>Enabling taxpayers to sell their lowest capital gain makers within the bright-line period and access what might be substantial portfolio-wide accumulated ring-fenced losses would significantly undermine the credibility of the rules.</w:t>
      </w:r>
    </w:p>
    <w:p w14:paraId="313BFCC6" w14:textId="77777777" w:rsidR="00BA76A6" w:rsidRPr="00A95E07" w:rsidRDefault="00BA76A6" w:rsidP="00541B8D">
      <w:pPr>
        <w:pStyle w:val="Chapter5"/>
        <w:numPr>
          <w:ilvl w:val="0"/>
          <w:numId w:val="0"/>
        </w:numPr>
        <w:ind w:left="851"/>
      </w:pPr>
    </w:p>
    <w:p w14:paraId="655D155D" w14:textId="580482DD" w:rsidR="00F62C7B" w:rsidRPr="00A95E07" w:rsidRDefault="00BA76A6" w:rsidP="00541B8D">
      <w:pPr>
        <w:pStyle w:val="Chapter5"/>
      </w:pPr>
      <w:r w:rsidRPr="00A95E07">
        <w:t xml:space="preserve">For this reason, we </w:t>
      </w:r>
      <w:r w:rsidR="00A0009C" w:rsidRPr="00A95E07">
        <w:t>propose</w:t>
      </w:r>
      <w:r w:rsidRPr="00A95E07">
        <w:t xml:space="preserve"> that where a disposal is caught by one of the land sale rules, ring-fenced losses should be allowed to be used only to the extent they reduce the taxable gain to nil, with any further unused losses remaining ring-fenced.</w:t>
      </w:r>
      <w:r w:rsidR="00F62C7B" w:rsidRPr="00A95E07">
        <w:br w:type="page"/>
      </w:r>
    </w:p>
    <w:p w14:paraId="3F097E08" w14:textId="77777777" w:rsidR="00F62C7B" w:rsidRPr="00A95E07" w:rsidRDefault="00F62C7B" w:rsidP="00F62C7B">
      <w:pPr>
        <w:pStyle w:val="Chapterheading"/>
        <w:rPr>
          <w:lang w:val="en-NZ"/>
        </w:rPr>
      </w:pPr>
      <w:bookmarkStart w:id="107" w:name="_Toc505074108"/>
      <w:bookmarkStart w:id="108" w:name="_Toc506216621"/>
      <w:bookmarkStart w:id="109" w:name="_Toc506219989"/>
      <w:bookmarkStart w:id="110" w:name="_Toc506477401"/>
      <w:bookmarkStart w:id="111" w:name="_Toc507152299"/>
      <w:bookmarkStart w:id="112" w:name="_Toc509922299"/>
      <w:bookmarkStart w:id="113" w:name="_Toc510021186"/>
      <w:bookmarkStart w:id="114" w:name="_Toc510022604"/>
      <w:bookmarkStart w:id="115" w:name="_Toc510022822"/>
      <w:bookmarkStart w:id="116" w:name="_Toc510026886"/>
      <w:bookmarkStart w:id="117" w:name="_Toc510082212"/>
      <w:bookmarkStart w:id="118" w:name="_Toc510082314"/>
      <w:r w:rsidRPr="00A95E07">
        <w:rPr>
          <w:lang w:val="en-NZ"/>
        </w:rPr>
        <w:t>CHAPTER 6</w:t>
      </w:r>
      <w:bookmarkEnd w:id="107"/>
      <w:bookmarkEnd w:id="108"/>
      <w:bookmarkEnd w:id="109"/>
      <w:bookmarkEnd w:id="110"/>
      <w:bookmarkEnd w:id="111"/>
      <w:bookmarkEnd w:id="112"/>
      <w:bookmarkEnd w:id="113"/>
      <w:bookmarkEnd w:id="114"/>
      <w:bookmarkEnd w:id="115"/>
      <w:bookmarkEnd w:id="116"/>
      <w:bookmarkEnd w:id="117"/>
      <w:bookmarkEnd w:id="118"/>
    </w:p>
    <w:p w14:paraId="6A34CC4D" w14:textId="77777777" w:rsidR="00F62C7B" w:rsidRPr="00A95E07" w:rsidRDefault="00F62C7B" w:rsidP="00F62C7B">
      <w:pPr>
        <w:pStyle w:val="Chapterheading"/>
        <w:rPr>
          <w:lang w:val="en-NZ"/>
        </w:rPr>
      </w:pPr>
    </w:p>
    <w:p w14:paraId="068E862F" w14:textId="77777777" w:rsidR="00F62C7B" w:rsidRPr="00A95E07" w:rsidRDefault="00A67262" w:rsidP="00F62C7B">
      <w:pPr>
        <w:pStyle w:val="Chapterheading"/>
        <w:rPr>
          <w:lang w:val="en-NZ"/>
        </w:rPr>
      </w:pPr>
      <w:bookmarkStart w:id="119" w:name="_Toc507152300"/>
      <w:bookmarkStart w:id="120" w:name="_Toc510082315"/>
      <w:r w:rsidRPr="00A95E07">
        <w:rPr>
          <w:caps w:val="0"/>
          <w:lang w:val="en-NZ"/>
        </w:rPr>
        <w:t>Structuring around the rules</w:t>
      </w:r>
      <w:bookmarkEnd w:id="119"/>
      <w:bookmarkEnd w:id="120"/>
    </w:p>
    <w:p w14:paraId="24BE753E" w14:textId="77777777" w:rsidR="00A67262" w:rsidRPr="00A95E07" w:rsidRDefault="00A67262" w:rsidP="008538BE">
      <w:pPr>
        <w:pStyle w:val="Chapter6"/>
        <w:numPr>
          <w:ilvl w:val="0"/>
          <w:numId w:val="0"/>
        </w:numPr>
        <w:ind w:left="851"/>
        <w:rPr>
          <w:lang w:val="en-NZ"/>
        </w:rPr>
      </w:pPr>
    </w:p>
    <w:p w14:paraId="39A49FE5" w14:textId="77777777" w:rsidR="00A67262" w:rsidRPr="00A95E07" w:rsidRDefault="00A67262" w:rsidP="008538BE">
      <w:pPr>
        <w:pStyle w:val="Chapter6"/>
        <w:numPr>
          <w:ilvl w:val="0"/>
          <w:numId w:val="0"/>
        </w:numPr>
        <w:ind w:left="851"/>
        <w:rPr>
          <w:lang w:val="en-NZ"/>
        </w:rPr>
      </w:pPr>
    </w:p>
    <w:p w14:paraId="7B96DBE5" w14:textId="77777777" w:rsidR="00A67262" w:rsidRPr="00A95E07" w:rsidRDefault="00A67262" w:rsidP="00F62C7B">
      <w:pPr>
        <w:pStyle w:val="Chapter6"/>
        <w:rPr>
          <w:lang w:val="en-NZ"/>
        </w:rPr>
      </w:pPr>
      <w:r w:rsidRPr="00A95E07">
        <w:rPr>
          <w:color w:val="000000"/>
          <w:szCs w:val="24"/>
          <w:lang w:val="en-NZ"/>
        </w:rPr>
        <w:t>There</w:t>
      </w:r>
      <w:r w:rsidRPr="00A95E07">
        <w:rPr>
          <w:lang w:val="en-NZ"/>
        </w:rPr>
        <w:t xml:space="preserve"> are two main structuring opportunities that we have considered creating specific rules to deal with.  These concern interest allocation and the interposing of entities.</w:t>
      </w:r>
    </w:p>
    <w:p w14:paraId="657ED9DF" w14:textId="77777777" w:rsidR="00A67262" w:rsidRPr="00A95E07" w:rsidRDefault="00A67262" w:rsidP="00541B8D">
      <w:pPr>
        <w:pStyle w:val="Chapter6"/>
        <w:numPr>
          <w:ilvl w:val="0"/>
          <w:numId w:val="0"/>
        </w:numPr>
        <w:ind w:left="851"/>
        <w:rPr>
          <w:lang w:val="en-NZ"/>
        </w:rPr>
      </w:pPr>
    </w:p>
    <w:p w14:paraId="3DA1E6B6" w14:textId="77777777" w:rsidR="00541B8D" w:rsidRPr="00A95E07" w:rsidRDefault="00541B8D" w:rsidP="00541B8D">
      <w:pPr>
        <w:pStyle w:val="Chapter6"/>
        <w:numPr>
          <w:ilvl w:val="0"/>
          <w:numId w:val="0"/>
        </w:numPr>
        <w:ind w:left="851"/>
        <w:rPr>
          <w:lang w:val="en-NZ"/>
        </w:rPr>
      </w:pPr>
    </w:p>
    <w:p w14:paraId="4E793F9D" w14:textId="77777777" w:rsidR="00A67262" w:rsidRPr="00A95E07" w:rsidRDefault="00A67262" w:rsidP="00A67262">
      <w:pPr>
        <w:pStyle w:val="Heading1"/>
        <w:rPr>
          <w:lang w:val="en-NZ"/>
        </w:rPr>
      </w:pPr>
      <w:bookmarkStart w:id="121" w:name="_Toc507152301"/>
      <w:bookmarkStart w:id="122" w:name="_Toc510082316"/>
      <w:r w:rsidRPr="00A95E07">
        <w:rPr>
          <w:lang w:val="en-NZ"/>
        </w:rPr>
        <w:t>Interest allocation</w:t>
      </w:r>
      <w:bookmarkEnd w:id="121"/>
      <w:bookmarkEnd w:id="122"/>
    </w:p>
    <w:p w14:paraId="1C8A50B0" w14:textId="77777777" w:rsidR="00A67262" w:rsidRPr="00A95E07" w:rsidRDefault="00A67262" w:rsidP="00541B8D">
      <w:pPr>
        <w:pStyle w:val="Chapter6"/>
        <w:numPr>
          <w:ilvl w:val="0"/>
          <w:numId w:val="0"/>
        </w:numPr>
        <w:ind w:left="851"/>
        <w:rPr>
          <w:lang w:val="en-NZ"/>
        </w:rPr>
      </w:pPr>
    </w:p>
    <w:p w14:paraId="014643F0" w14:textId="77777777" w:rsidR="00A67262" w:rsidRPr="00A95E07" w:rsidRDefault="00A67262" w:rsidP="00E67EA0">
      <w:pPr>
        <w:pStyle w:val="Chapter6"/>
        <w:rPr>
          <w:lang w:val="en-NZ"/>
        </w:rPr>
      </w:pPr>
      <w:r w:rsidRPr="00A95E07">
        <w:rPr>
          <w:lang w:val="en-NZ"/>
        </w:rPr>
        <w:t>We have considered whether specific interest allocation rules are required</w:t>
      </w:r>
      <w:r w:rsidR="00E67EA0" w:rsidRPr="00A95E07">
        <w:rPr>
          <w:lang w:val="en-NZ"/>
        </w:rPr>
        <w:t>, as without them</w:t>
      </w:r>
      <w:r w:rsidRPr="00A95E07">
        <w:rPr>
          <w:lang w:val="en-NZ"/>
        </w:rPr>
        <w:t xml:space="preserve"> investors</w:t>
      </w:r>
      <w:r w:rsidR="00E67EA0" w:rsidRPr="00A95E07">
        <w:rPr>
          <w:lang w:val="en-NZ"/>
        </w:rPr>
        <w:t xml:space="preserve"> may be able</w:t>
      </w:r>
      <w:r w:rsidRPr="00A95E07">
        <w:rPr>
          <w:lang w:val="en-NZ"/>
        </w:rPr>
        <w:t xml:space="preserve"> to structure around </w:t>
      </w:r>
      <w:r w:rsidR="00E67EA0" w:rsidRPr="00A95E07">
        <w:rPr>
          <w:lang w:val="en-NZ"/>
        </w:rPr>
        <w:t xml:space="preserve">the </w:t>
      </w:r>
      <w:r w:rsidRPr="00A95E07">
        <w:rPr>
          <w:lang w:val="en-NZ"/>
        </w:rPr>
        <w:t>loss ring-fencing rules.  For example, this could be done by reorganising funding so that business assets other than rental properties are debt-funded, and rental properties are equity-funded to the greatest extent possible.</w:t>
      </w:r>
    </w:p>
    <w:p w14:paraId="7FA8F30C" w14:textId="77777777" w:rsidR="00A67262" w:rsidRPr="00A95E07" w:rsidRDefault="00A67262" w:rsidP="00541B8D">
      <w:pPr>
        <w:pStyle w:val="Chapter6"/>
        <w:numPr>
          <w:ilvl w:val="0"/>
          <w:numId w:val="0"/>
        </w:numPr>
        <w:ind w:left="851"/>
        <w:rPr>
          <w:lang w:val="en-NZ"/>
        </w:rPr>
      </w:pPr>
    </w:p>
    <w:p w14:paraId="0F8121A7" w14:textId="14F647CE" w:rsidR="00133755" w:rsidRPr="00A95E07" w:rsidRDefault="00E67EA0" w:rsidP="00F62C7B">
      <w:pPr>
        <w:pStyle w:val="Chapter6"/>
        <w:rPr>
          <w:lang w:val="en-NZ"/>
        </w:rPr>
      </w:pPr>
      <w:r w:rsidRPr="00A95E07">
        <w:rPr>
          <w:lang w:val="en-NZ"/>
        </w:rPr>
        <w:t xml:space="preserve">However, </w:t>
      </w:r>
      <w:r w:rsidR="00133755" w:rsidRPr="00A95E07">
        <w:rPr>
          <w:lang w:val="en-NZ"/>
        </w:rPr>
        <w:t>interest allocation rules would add substantial complexity and compliance costs.  Because money is fungible, it is very difficult to attempt to match borrowings to particular investments (tracing).  Stacking rules (</w:t>
      </w:r>
      <w:r w:rsidR="00E74B37" w:rsidRPr="00A95E07">
        <w:rPr>
          <w:lang w:val="en-NZ"/>
        </w:rPr>
        <w:t>for example</w:t>
      </w:r>
      <w:r w:rsidR="00133755" w:rsidRPr="00A95E07">
        <w:rPr>
          <w:lang w:val="en-NZ"/>
        </w:rPr>
        <w:t>, allocating debt firstly to ring-fenced investments) may be seen as unfair.  And pro rata interest allocation between assets that are subject to the ring-fencing rules and those that are not would require regular valuation of assets.</w:t>
      </w:r>
    </w:p>
    <w:p w14:paraId="67F4C022" w14:textId="77777777" w:rsidR="00133755" w:rsidRPr="00A95E07" w:rsidRDefault="00133755" w:rsidP="00541B8D">
      <w:pPr>
        <w:pStyle w:val="Chapter6"/>
        <w:numPr>
          <w:ilvl w:val="0"/>
          <w:numId w:val="0"/>
        </w:numPr>
        <w:ind w:left="851"/>
        <w:rPr>
          <w:lang w:val="en-NZ"/>
        </w:rPr>
      </w:pPr>
    </w:p>
    <w:p w14:paraId="337BC898" w14:textId="77777777" w:rsidR="00A67262" w:rsidRPr="00A95E07" w:rsidRDefault="00133755" w:rsidP="00F62C7B">
      <w:pPr>
        <w:pStyle w:val="Chapter6"/>
        <w:rPr>
          <w:lang w:val="en-NZ"/>
        </w:rPr>
      </w:pPr>
      <w:r w:rsidRPr="00A95E07">
        <w:rPr>
          <w:szCs w:val="24"/>
          <w:lang w:val="en-NZ"/>
        </w:rPr>
        <w:t xml:space="preserve">If interest on any loan that was secured by a residential property was included in the rules, this would create issues for </w:t>
      </w:r>
      <w:r w:rsidR="00A67262" w:rsidRPr="00A95E07">
        <w:rPr>
          <w:szCs w:val="24"/>
          <w:lang w:val="en-NZ"/>
        </w:rPr>
        <w:t xml:space="preserve">many people </w:t>
      </w:r>
      <w:r w:rsidRPr="00A95E07">
        <w:rPr>
          <w:szCs w:val="24"/>
          <w:lang w:val="en-NZ"/>
        </w:rPr>
        <w:t xml:space="preserve">who </w:t>
      </w:r>
      <w:r w:rsidR="00A67262" w:rsidRPr="00A95E07">
        <w:rPr>
          <w:szCs w:val="24"/>
          <w:lang w:val="en-NZ"/>
        </w:rPr>
        <w:t>use their rental properties to secure loans for their business</w:t>
      </w:r>
      <w:r w:rsidR="00E67EA0" w:rsidRPr="00A95E07">
        <w:rPr>
          <w:szCs w:val="24"/>
          <w:lang w:val="en-NZ"/>
        </w:rPr>
        <w:t>es</w:t>
      </w:r>
      <w:r w:rsidRPr="00A95E07">
        <w:rPr>
          <w:szCs w:val="24"/>
          <w:lang w:val="en-NZ"/>
        </w:rPr>
        <w:t xml:space="preserve">.  This would </w:t>
      </w:r>
      <w:r w:rsidR="00E67EA0" w:rsidRPr="00A95E07">
        <w:rPr>
          <w:szCs w:val="24"/>
          <w:lang w:val="en-NZ"/>
        </w:rPr>
        <w:t xml:space="preserve">impact on small and medium business’ access to </w:t>
      </w:r>
      <w:r w:rsidR="00A67262" w:rsidRPr="00A95E07">
        <w:rPr>
          <w:szCs w:val="24"/>
          <w:lang w:val="en-NZ"/>
        </w:rPr>
        <w:t>capital.  In addition, many arrangements could be even more difficult to apply interest allocation rules to, as revolving credit facilities are often used to fund both a rental property and a business.</w:t>
      </w:r>
    </w:p>
    <w:p w14:paraId="2ECB4CCE" w14:textId="77777777" w:rsidR="00A67262" w:rsidRPr="00A95E07" w:rsidRDefault="00A67262" w:rsidP="00541B8D">
      <w:pPr>
        <w:pStyle w:val="Chapter6"/>
        <w:numPr>
          <w:ilvl w:val="0"/>
          <w:numId w:val="0"/>
        </w:numPr>
        <w:ind w:left="851"/>
        <w:rPr>
          <w:lang w:val="en-NZ"/>
        </w:rPr>
      </w:pPr>
    </w:p>
    <w:p w14:paraId="484E4FA8" w14:textId="77777777" w:rsidR="00A67262" w:rsidRPr="00A95E07" w:rsidRDefault="00170128" w:rsidP="00F62C7B">
      <w:pPr>
        <w:pStyle w:val="Chapter6"/>
        <w:rPr>
          <w:lang w:val="en-NZ"/>
        </w:rPr>
      </w:pPr>
      <w:r w:rsidRPr="00A95E07">
        <w:rPr>
          <w:lang w:val="en-NZ"/>
        </w:rPr>
        <w:t xml:space="preserve">We do not propose specific interest allocation rules </w:t>
      </w:r>
      <w:r w:rsidR="00E71453" w:rsidRPr="00A95E07">
        <w:rPr>
          <w:lang w:val="en-NZ"/>
        </w:rPr>
        <w:t>because of</w:t>
      </w:r>
      <w:r w:rsidRPr="00A95E07">
        <w:rPr>
          <w:lang w:val="en-NZ"/>
        </w:rPr>
        <w:t xml:space="preserve"> the considerable</w:t>
      </w:r>
      <w:r w:rsidR="00A67262" w:rsidRPr="00A95E07">
        <w:rPr>
          <w:lang w:val="en-NZ"/>
        </w:rPr>
        <w:t xml:space="preserve"> complexity</w:t>
      </w:r>
      <w:r w:rsidRPr="00A95E07">
        <w:rPr>
          <w:lang w:val="en-NZ"/>
        </w:rPr>
        <w:t xml:space="preserve"> and compliance costs they would add</w:t>
      </w:r>
      <w:r w:rsidR="00A67262" w:rsidRPr="00A95E07">
        <w:rPr>
          <w:lang w:val="en-NZ"/>
        </w:rPr>
        <w:t>, which would be particularly onerous on smaller taxpayers</w:t>
      </w:r>
      <w:r w:rsidRPr="00A95E07">
        <w:rPr>
          <w:lang w:val="en-NZ"/>
        </w:rPr>
        <w:t>.</w:t>
      </w:r>
    </w:p>
    <w:p w14:paraId="7F52AB2E" w14:textId="77777777" w:rsidR="00A67262" w:rsidRPr="00A95E07" w:rsidRDefault="00A67262" w:rsidP="00541B8D">
      <w:pPr>
        <w:pStyle w:val="Chapter6"/>
        <w:numPr>
          <w:ilvl w:val="0"/>
          <w:numId w:val="0"/>
        </w:numPr>
        <w:ind w:left="851"/>
        <w:rPr>
          <w:lang w:val="en-NZ"/>
        </w:rPr>
      </w:pPr>
    </w:p>
    <w:p w14:paraId="25E8D265" w14:textId="77777777" w:rsidR="00541B8D" w:rsidRPr="00A95E07" w:rsidRDefault="00541B8D" w:rsidP="00541B8D">
      <w:pPr>
        <w:pStyle w:val="Chapter6"/>
        <w:numPr>
          <w:ilvl w:val="0"/>
          <w:numId w:val="0"/>
        </w:numPr>
        <w:ind w:left="851"/>
        <w:rPr>
          <w:lang w:val="en-NZ"/>
        </w:rPr>
      </w:pPr>
    </w:p>
    <w:p w14:paraId="217E0B09" w14:textId="77777777" w:rsidR="00A67262" w:rsidRPr="00A95E07" w:rsidRDefault="00A67262" w:rsidP="00A67262">
      <w:pPr>
        <w:pStyle w:val="Heading1"/>
        <w:rPr>
          <w:lang w:val="en-NZ"/>
        </w:rPr>
      </w:pPr>
      <w:bookmarkStart w:id="123" w:name="_Toc507152302"/>
      <w:bookmarkStart w:id="124" w:name="_Toc510082317"/>
      <w:r w:rsidRPr="00A95E07">
        <w:rPr>
          <w:lang w:val="en-NZ"/>
        </w:rPr>
        <w:t>Interposed entities</w:t>
      </w:r>
      <w:bookmarkEnd w:id="123"/>
      <w:bookmarkEnd w:id="124"/>
    </w:p>
    <w:p w14:paraId="7B7A0D64" w14:textId="77777777" w:rsidR="00A67262" w:rsidRPr="00A95E07" w:rsidRDefault="00A67262" w:rsidP="00541B8D">
      <w:pPr>
        <w:pStyle w:val="Chapter6"/>
        <w:numPr>
          <w:ilvl w:val="0"/>
          <w:numId w:val="0"/>
        </w:numPr>
        <w:ind w:left="851"/>
        <w:rPr>
          <w:lang w:val="en-NZ"/>
        </w:rPr>
      </w:pPr>
    </w:p>
    <w:p w14:paraId="1460AD37" w14:textId="4C3889FD" w:rsidR="00F62C7B" w:rsidRPr="00A95E07" w:rsidRDefault="00046E66" w:rsidP="00F62C7B">
      <w:pPr>
        <w:pStyle w:val="Chapter6"/>
        <w:rPr>
          <w:lang w:val="en-NZ"/>
        </w:rPr>
      </w:pPr>
      <w:r w:rsidRPr="00A95E07">
        <w:rPr>
          <w:lang w:val="en-NZ"/>
        </w:rPr>
        <w:t>Under the suggested changes, there would be special rules to ensure that a trust</w:t>
      </w:r>
      <w:r w:rsidR="00640A94" w:rsidRPr="00A95E07">
        <w:rPr>
          <w:lang w:val="en-NZ"/>
        </w:rPr>
        <w:t xml:space="preserve">, </w:t>
      </w:r>
      <w:r w:rsidR="00103D84" w:rsidRPr="00A95E07">
        <w:rPr>
          <w:lang w:val="en-NZ"/>
        </w:rPr>
        <w:t xml:space="preserve">company, </w:t>
      </w:r>
      <w:r w:rsidR="00640A94" w:rsidRPr="00A95E07">
        <w:rPr>
          <w:lang w:val="en-NZ"/>
        </w:rPr>
        <w:t>partnership,</w:t>
      </w:r>
      <w:r w:rsidRPr="00A95E07">
        <w:rPr>
          <w:lang w:val="en-NZ"/>
        </w:rPr>
        <w:t xml:space="preserve"> or </w:t>
      </w:r>
      <w:r w:rsidR="00103D84" w:rsidRPr="00A95E07">
        <w:rPr>
          <w:lang w:val="en-NZ"/>
        </w:rPr>
        <w:t>look-through company</w:t>
      </w:r>
      <w:r w:rsidRPr="00A95E07">
        <w:rPr>
          <w:lang w:val="en-NZ"/>
        </w:rPr>
        <w:t xml:space="preserve"> cannot be used to get around the ring-fencing rules.</w:t>
      </w:r>
      <w:r w:rsidR="00103D84" w:rsidRPr="00A95E07">
        <w:rPr>
          <w:lang w:val="en-NZ"/>
        </w:rPr>
        <w:t xml:space="preserve">  These ownership structures are referred to </w:t>
      </w:r>
      <w:r w:rsidR="004E275B" w:rsidRPr="00A95E07">
        <w:rPr>
          <w:lang w:val="en-NZ"/>
        </w:rPr>
        <w:t xml:space="preserve">here </w:t>
      </w:r>
      <w:r w:rsidR="00103D84" w:rsidRPr="00A95E07">
        <w:rPr>
          <w:lang w:val="en-NZ"/>
        </w:rPr>
        <w:t>as entities for simplicity.</w:t>
      </w:r>
    </w:p>
    <w:p w14:paraId="5BE1E26F" w14:textId="77777777" w:rsidR="00046E66" w:rsidRPr="00A95E07" w:rsidRDefault="00046E66" w:rsidP="00541B8D">
      <w:pPr>
        <w:pStyle w:val="Chapter6"/>
        <w:numPr>
          <w:ilvl w:val="0"/>
          <w:numId w:val="0"/>
        </w:numPr>
        <w:ind w:left="851"/>
        <w:rPr>
          <w:lang w:val="en-NZ"/>
        </w:rPr>
      </w:pPr>
    </w:p>
    <w:p w14:paraId="03B892CC" w14:textId="7474BBD9" w:rsidR="00975B6A" w:rsidRPr="00A95E07" w:rsidRDefault="00E86901" w:rsidP="00F62C7B">
      <w:pPr>
        <w:pStyle w:val="Chapter6"/>
        <w:rPr>
          <w:lang w:val="en-NZ"/>
        </w:rPr>
      </w:pPr>
      <w:r w:rsidRPr="00A95E07">
        <w:rPr>
          <w:lang w:val="en-NZ"/>
        </w:rPr>
        <w:t xml:space="preserve">Otherwise a simple way to get around the ring-fencing rules </w:t>
      </w:r>
      <w:r w:rsidR="00421C4D" w:rsidRPr="00A95E07">
        <w:rPr>
          <w:lang w:val="en-NZ"/>
        </w:rPr>
        <w:t xml:space="preserve">would be </w:t>
      </w:r>
      <w:r w:rsidR="00873DA8" w:rsidRPr="00A95E07">
        <w:rPr>
          <w:lang w:val="en-NZ"/>
        </w:rPr>
        <w:t xml:space="preserve">for a taxpayer </w:t>
      </w:r>
      <w:r w:rsidRPr="00A95E07">
        <w:rPr>
          <w:lang w:val="en-NZ"/>
        </w:rPr>
        <w:t>to</w:t>
      </w:r>
      <w:r w:rsidR="00421C4D" w:rsidRPr="00A95E07">
        <w:rPr>
          <w:lang w:val="en-NZ"/>
        </w:rPr>
        <w:t xml:space="preserve"> interpos</w:t>
      </w:r>
      <w:r w:rsidRPr="00A95E07">
        <w:rPr>
          <w:lang w:val="en-NZ"/>
        </w:rPr>
        <w:t>e</w:t>
      </w:r>
      <w:r w:rsidR="00421C4D" w:rsidRPr="00A95E07">
        <w:rPr>
          <w:lang w:val="en-NZ"/>
        </w:rPr>
        <w:t xml:space="preserve"> </w:t>
      </w:r>
      <w:r w:rsidR="00103D84" w:rsidRPr="00A95E07">
        <w:rPr>
          <w:lang w:val="en-NZ"/>
        </w:rPr>
        <w:t>an entity</w:t>
      </w:r>
      <w:r w:rsidR="00820939" w:rsidRPr="00A95E07">
        <w:rPr>
          <w:lang w:val="en-NZ"/>
        </w:rPr>
        <w:t xml:space="preserve"> </w:t>
      </w:r>
      <w:r w:rsidR="00723150" w:rsidRPr="00A95E07">
        <w:rPr>
          <w:lang w:val="en-NZ"/>
        </w:rPr>
        <w:t>to hold a residential rental property</w:t>
      </w:r>
      <w:r w:rsidR="00820939" w:rsidRPr="00A95E07">
        <w:rPr>
          <w:lang w:val="en-NZ"/>
        </w:rPr>
        <w:t>, and borrow money to invest in or acquire an interest in the entity</w:t>
      </w:r>
      <w:r w:rsidR="00723150" w:rsidRPr="00A95E07">
        <w:rPr>
          <w:lang w:val="en-NZ"/>
        </w:rPr>
        <w:t xml:space="preserve">.  </w:t>
      </w:r>
      <w:r w:rsidR="00820939" w:rsidRPr="00A95E07">
        <w:rPr>
          <w:lang w:val="en-NZ"/>
        </w:rPr>
        <w:t>For example, a</w:t>
      </w:r>
      <w:r w:rsidR="00723150" w:rsidRPr="00A95E07">
        <w:rPr>
          <w:lang w:val="en-NZ"/>
        </w:rPr>
        <w:t xml:space="preserve"> taxpayer could borrow money to buy shares in </w:t>
      </w:r>
      <w:r w:rsidR="00820939" w:rsidRPr="00A95E07">
        <w:rPr>
          <w:lang w:val="en-NZ"/>
        </w:rPr>
        <w:t>a</w:t>
      </w:r>
      <w:r w:rsidR="00723150" w:rsidRPr="00A95E07">
        <w:rPr>
          <w:lang w:val="en-NZ"/>
        </w:rPr>
        <w:t xml:space="preserve"> company, </w:t>
      </w:r>
      <w:r w:rsidR="00820939" w:rsidRPr="00A95E07">
        <w:rPr>
          <w:lang w:val="en-NZ"/>
        </w:rPr>
        <w:t>which</w:t>
      </w:r>
      <w:r w:rsidR="00723150" w:rsidRPr="00A95E07">
        <w:rPr>
          <w:lang w:val="en-NZ"/>
        </w:rPr>
        <w:t xml:space="preserve"> us</w:t>
      </w:r>
      <w:r w:rsidR="00820939" w:rsidRPr="00A95E07">
        <w:rPr>
          <w:lang w:val="en-NZ"/>
        </w:rPr>
        <w:t>es</w:t>
      </w:r>
      <w:r w:rsidR="00723150" w:rsidRPr="00A95E07">
        <w:rPr>
          <w:lang w:val="en-NZ"/>
        </w:rPr>
        <w:t xml:space="preserve"> those funds to buy </w:t>
      </w:r>
      <w:r w:rsidR="00820939" w:rsidRPr="00A95E07">
        <w:rPr>
          <w:lang w:val="en-NZ"/>
        </w:rPr>
        <w:t>a residential investment</w:t>
      </w:r>
      <w:r w:rsidR="00723150" w:rsidRPr="00A95E07">
        <w:rPr>
          <w:lang w:val="en-NZ"/>
        </w:rPr>
        <w:t xml:space="preserve"> property.</w:t>
      </w:r>
      <w:r w:rsidR="00431894" w:rsidRPr="00A95E07">
        <w:rPr>
          <w:lang w:val="en-NZ"/>
        </w:rPr>
        <w:t xml:space="preserve">  Because the money is borrowed to buy shares, the </w:t>
      </w:r>
      <w:r w:rsidR="00B211B0" w:rsidRPr="00A95E07">
        <w:rPr>
          <w:lang w:val="en-NZ"/>
        </w:rPr>
        <w:t xml:space="preserve">individual taxpayer would be able to claim deductions for the </w:t>
      </w:r>
      <w:r w:rsidR="00431894" w:rsidRPr="00A95E07">
        <w:rPr>
          <w:lang w:val="en-NZ"/>
        </w:rPr>
        <w:t>interest on the borrowings</w:t>
      </w:r>
      <w:r w:rsidR="00B211B0" w:rsidRPr="00A95E07">
        <w:rPr>
          <w:lang w:val="en-NZ"/>
        </w:rPr>
        <w:t>, and offset those amounts against other income sources.</w:t>
      </w:r>
    </w:p>
    <w:p w14:paraId="5AE440BF" w14:textId="77777777" w:rsidR="00975B6A" w:rsidRPr="00A95E07" w:rsidRDefault="00975B6A" w:rsidP="00541B8D">
      <w:pPr>
        <w:pStyle w:val="Chapter6"/>
        <w:numPr>
          <w:ilvl w:val="0"/>
          <w:numId w:val="0"/>
        </w:numPr>
        <w:ind w:left="851"/>
        <w:rPr>
          <w:lang w:val="en-NZ"/>
        </w:rPr>
      </w:pPr>
    </w:p>
    <w:p w14:paraId="0194D8C6" w14:textId="77777777" w:rsidR="00975B6A" w:rsidRPr="00A95E07" w:rsidRDefault="00B211B0" w:rsidP="00F62C7B">
      <w:pPr>
        <w:pStyle w:val="Chapter6"/>
        <w:rPr>
          <w:lang w:val="en-NZ"/>
        </w:rPr>
      </w:pPr>
      <w:r w:rsidRPr="00A95E07">
        <w:rPr>
          <w:lang w:val="en-NZ"/>
        </w:rPr>
        <w:t>However, if the taxpayer had used the borrowed money to purchase the property directly themselves, the interest expense would be attributable to the residential rental investment, not shares, so would be taken into account in determining whether the person’s residential rental activity was profit or loss-making.</w:t>
      </w:r>
      <w:r w:rsidR="00975B6A" w:rsidRPr="00A95E07">
        <w:rPr>
          <w:lang w:val="en-NZ"/>
        </w:rPr>
        <w:t xml:space="preserve">  And if the rental activity was loss-making, losses would be ring-fenced under the proposal rules.</w:t>
      </w:r>
    </w:p>
    <w:p w14:paraId="464CE14C" w14:textId="77777777" w:rsidR="00280A9D" w:rsidRPr="00A95E07" w:rsidRDefault="00280A9D" w:rsidP="00541B8D">
      <w:pPr>
        <w:pStyle w:val="Chapter6"/>
        <w:numPr>
          <w:ilvl w:val="0"/>
          <w:numId w:val="0"/>
        </w:numPr>
        <w:ind w:left="851"/>
        <w:rPr>
          <w:lang w:val="en-NZ"/>
        </w:rPr>
      </w:pPr>
    </w:p>
    <w:p w14:paraId="0E6BF163" w14:textId="43C7BF6D" w:rsidR="00280A9D" w:rsidRPr="00A95E07" w:rsidRDefault="00280A9D" w:rsidP="00F62C7B">
      <w:pPr>
        <w:pStyle w:val="Chapter6"/>
        <w:rPr>
          <w:lang w:val="en-NZ"/>
        </w:rPr>
      </w:pPr>
      <w:r w:rsidRPr="00A95E07">
        <w:rPr>
          <w:lang w:val="en-NZ"/>
        </w:rPr>
        <w:t xml:space="preserve">This simple mechanism </w:t>
      </w:r>
      <w:r w:rsidR="006765C6" w:rsidRPr="00A95E07">
        <w:rPr>
          <w:lang w:val="en-NZ"/>
        </w:rPr>
        <w:t xml:space="preserve">is </w:t>
      </w:r>
      <w:r w:rsidRPr="00A95E07">
        <w:rPr>
          <w:lang w:val="en-NZ"/>
        </w:rPr>
        <w:t xml:space="preserve">illustrated </w:t>
      </w:r>
      <w:r w:rsidR="006765C6" w:rsidRPr="00A95E07">
        <w:rPr>
          <w:lang w:val="en-NZ"/>
        </w:rPr>
        <w:t>in figure 1.</w:t>
      </w:r>
    </w:p>
    <w:p w14:paraId="5E181A8F" w14:textId="77777777" w:rsidR="00280A9D" w:rsidRPr="00A95E07" w:rsidRDefault="00280A9D" w:rsidP="00541B8D">
      <w:pPr>
        <w:pStyle w:val="Chapter6"/>
        <w:numPr>
          <w:ilvl w:val="0"/>
          <w:numId w:val="0"/>
        </w:numPr>
        <w:ind w:left="851"/>
        <w:rPr>
          <w:lang w:val="en-NZ"/>
        </w:rPr>
      </w:pPr>
    </w:p>
    <w:tbl>
      <w:tblPr>
        <w:tblStyle w:val="TableGrid"/>
        <w:tblW w:w="0" w:type="auto"/>
        <w:tblInd w:w="959" w:type="dxa"/>
        <w:tblBorders>
          <w:insideH w:val="none" w:sz="0" w:space="0" w:color="auto"/>
          <w:insideV w:val="none" w:sz="0" w:space="0" w:color="auto"/>
        </w:tblBorders>
        <w:tblLayout w:type="fixed"/>
        <w:tblLook w:val="04A0" w:firstRow="1" w:lastRow="0" w:firstColumn="1" w:lastColumn="0" w:noHBand="0" w:noVBand="1"/>
      </w:tblPr>
      <w:tblGrid>
        <w:gridCol w:w="3402"/>
        <w:gridCol w:w="4167"/>
      </w:tblGrid>
      <w:tr w:rsidR="001364B3" w:rsidRPr="00A95E07" w14:paraId="3216E66F" w14:textId="77777777" w:rsidTr="001364B3">
        <w:tc>
          <w:tcPr>
            <w:tcW w:w="7569" w:type="dxa"/>
            <w:gridSpan w:val="2"/>
          </w:tcPr>
          <w:p w14:paraId="7022C361" w14:textId="77777777" w:rsidR="001364B3" w:rsidRPr="003A597D" w:rsidRDefault="001364B3" w:rsidP="001364B3">
            <w:pPr>
              <w:pStyle w:val="Bullets2ndlevel"/>
              <w:numPr>
                <w:ilvl w:val="0"/>
                <w:numId w:val="0"/>
              </w:numPr>
              <w:tabs>
                <w:tab w:val="clear" w:pos="1418"/>
              </w:tabs>
              <w:spacing w:before="40" w:after="40"/>
              <w:rPr>
                <w:sz w:val="16"/>
                <w:szCs w:val="16"/>
                <w:lang w:val="en-NZ"/>
              </w:rPr>
            </w:pPr>
          </w:p>
          <w:p w14:paraId="4C8B9D01" w14:textId="37139957" w:rsidR="001364B3" w:rsidRPr="00E82F00" w:rsidRDefault="00E82F00" w:rsidP="00E82F00">
            <w:pPr>
              <w:pStyle w:val="Bullets2ndlevel"/>
              <w:numPr>
                <w:ilvl w:val="0"/>
                <w:numId w:val="0"/>
              </w:numPr>
              <w:tabs>
                <w:tab w:val="clear" w:pos="1418"/>
              </w:tabs>
              <w:spacing w:before="40" w:after="40"/>
              <w:jc w:val="center"/>
              <w:rPr>
                <w:sz w:val="20"/>
              </w:rPr>
            </w:pPr>
            <w:r>
              <w:object w:dxaOrig="8011" w:dyaOrig="6286" w14:anchorId="0164E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85pt" o:ole="">
                  <v:imagedata r:id="rId11" o:title=""/>
                </v:shape>
                <o:OLEObject Type="Embed" ProgID="Visio.Drawing.15" ShapeID="_x0000_i1025" DrawAspect="Content" ObjectID="_1583824194" r:id="rId12"/>
              </w:object>
            </w:r>
          </w:p>
          <w:p w14:paraId="73FC535C" w14:textId="4F2C91D6" w:rsidR="00E82F00" w:rsidRPr="00E82F00" w:rsidRDefault="00E82F00" w:rsidP="00E82F00">
            <w:pPr>
              <w:pStyle w:val="Bullets2ndlevel"/>
              <w:numPr>
                <w:ilvl w:val="0"/>
                <w:numId w:val="0"/>
              </w:numPr>
              <w:tabs>
                <w:tab w:val="clear" w:pos="1418"/>
              </w:tabs>
              <w:spacing w:after="0"/>
              <w:rPr>
                <w:sz w:val="20"/>
                <w:lang w:val="en-NZ"/>
              </w:rPr>
            </w:pPr>
          </w:p>
        </w:tc>
      </w:tr>
      <w:tr w:rsidR="0010174D" w:rsidRPr="00A95E07" w14:paraId="0B9C2082" w14:textId="77777777" w:rsidTr="001364B3">
        <w:tc>
          <w:tcPr>
            <w:tcW w:w="3402" w:type="dxa"/>
          </w:tcPr>
          <w:p w14:paraId="4BFE5E2C" w14:textId="62A49965" w:rsidR="00400979" w:rsidRPr="001364B3" w:rsidRDefault="00400979" w:rsidP="003A597D">
            <w:pPr>
              <w:pStyle w:val="Bullets2ndlevel"/>
              <w:numPr>
                <w:ilvl w:val="0"/>
                <w:numId w:val="23"/>
              </w:numPr>
              <w:spacing w:before="40" w:after="40"/>
              <w:ind w:left="460" w:right="176" w:hanging="284"/>
              <w:rPr>
                <w:sz w:val="20"/>
                <w:lang w:val="en-NZ"/>
              </w:rPr>
            </w:pPr>
            <w:r w:rsidRPr="001364B3">
              <w:rPr>
                <w:sz w:val="20"/>
                <w:lang w:val="en-NZ"/>
              </w:rPr>
              <w:t>Person borrows money $1m from bank.</w:t>
            </w:r>
          </w:p>
          <w:p w14:paraId="786F9D37" w14:textId="5F9DB27F" w:rsidR="00400979" w:rsidRPr="001364B3" w:rsidRDefault="00400979" w:rsidP="003A597D">
            <w:pPr>
              <w:pStyle w:val="Bullets2ndlevel"/>
              <w:numPr>
                <w:ilvl w:val="0"/>
                <w:numId w:val="23"/>
              </w:numPr>
              <w:spacing w:before="40" w:after="40"/>
              <w:ind w:left="460" w:right="176" w:hanging="284"/>
              <w:rPr>
                <w:sz w:val="20"/>
                <w:lang w:val="en-NZ"/>
              </w:rPr>
            </w:pPr>
            <w:r w:rsidRPr="001364B3">
              <w:rPr>
                <w:sz w:val="20"/>
                <w:lang w:val="en-NZ"/>
              </w:rPr>
              <w:t>Person purchases residential rental property for $1m using loaned money.</w:t>
            </w:r>
          </w:p>
          <w:p w14:paraId="5C7FE845" w14:textId="3FD5A72D" w:rsidR="0010174D" w:rsidRPr="001364B3" w:rsidRDefault="00400979" w:rsidP="003A597D">
            <w:pPr>
              <w:pStyle w:val="Bullets2ndlevel"/>
              <w:numPr>
                <w:ilvl w:val="0"/>
                <w:numId w:val="23"/>
              </w:numPr>
              <w:spacing w:before="40" w:after="40"/>
              <w:ind w:left="460" w:right="176" w:hanging="284"/>
              <w:rPr>
                <w:sz w:val="20"/>
                <w:lang w:val="en-NZ"/>
              </w:rPr>
            </w:pPr>
            <w:r w:rsidRPr="001364B3">
              <w:rPr>
                <w:sz w:val="20"/>
                <w:lang w:val="en-NZ"/>
              </w:rPr>
              <w:t>Interest paid to bank is directly attributable to residential rental property.</w:t>
            </w:r>
          </w:p>
        </w:tc>
        <w:tc>
          <w:tcPr>
            <w:tcW w:w="4167" w:type="dxa"/>
          </w:tcPr>
          <w:p w14:paraId="214F4F7A" w14:textId="78B6B496" w:rsidR="00400979" w:rsidRPr="001364B3" w:rsidRDefault="00400979" w:rsidP="003A597D">
            <w:pPr>
              <w:pStyle w:val="Bullets2ndlevel"/>
              <w:numPr>
                <w:ilvl w:val="0"/>
                <w:numId w:val="23"/>
              </w:numPr>
              <w:tabs>
                <w:tab w:val="clear" w:pos="1418"/>
              </w:tabs>
              <w:spacing w:before="40" w:after="40"/>
              <w:ind w:left="602" w:right="91" w:hanging="284"/>
              <w:rPr>
                <w:sz w:val="20"/>
                <w:lang w:val="en-NZ"/>
              </w:rPr>
            </w:pPr>
            <w:r w:rsidRPr="001364B3">
              <w:rPr>
                <w:sz w:val="20"/>
                <w:lang w:val="en-NZ"/>
              </w:rPr>
              <w:t xml:space="preserve">Person sets up </w:t>
            </w:r>
            <w:r w:rsidR="00E82F00">
              <w:rPr>
                <w:sz w:val="20"/>
                <w:lang w:val="en-NZ"/>
              </w:rPr>
              <w:t>C</w:t>
            </w:r>
            <w:r w:rsidRPr="001364B3">
              <w:rPr>
                <w:sz w:val="20"/>
                <w:lang w:val="en-NZ"/>
              </w:rPr>
              <w:t>ompany X.</w:t>
            </w:r>
          </w:p>
          <w:p w14:paraId="7AA8B46A" w14:textId="4FB56447" w:rsidR="00400979" w:rsidRPr="001364B3" w:rsidRDefault="00400979" w:rsidP="003A597D">
            <w:pPr>
              <w:pStyle w:val="Bullets2ndlevel"/>
              <w:numPr>
                <w:ilvl w:val="0"/>
                <w:numId w:val="23"/>
              </w:numPr>
              <w:tabs>
                <w:tab w:val="clear" w:pos="1418"/>
              </w:tabs>
              <w:spacing w:before="40" w:after="40"/>
              <w:ind w:left="602" w:right="91" w:hanging="284"/>
              <w:rPr>
                <w:sz w:val="20"/>
                <w:lang w:val="en-NZ"/>
              </w:rPr>
            </w:pPr>
            <w:r w:rsidRPr="001364B3">
              <w:rPr>
                <w:sz w:val="20"/>
                <w:lang w:val="en-NZ"/>
              </w:rPr>
              <w:t>Person borrows money $1m from bank.</w:t>
            </w:r>
          </w:p>
          <w:p w14:paraId="351E3015" w14:textId="31672572" w:rsidR="00400979" w:rsidRPr="001364B3" w:rsidRDefault="00400979" w:rsidP="003A597D">
            <w:pPr>
              <w:pStyle w:val="Bullets2ndlevel"/>
              <w:numPr>
                <w:ilvl w:val="0"/>
                <w:numId w:val="23"/>
              </w:numPr>
              <w:tabs>
                <w:tab w:val="clear" w:pos="1418"/>
              </w:tabs>
              <w:spacing w:before="40" w:after="40"/>
              <w:ind w:left="602" w:right="91" w:hanging="284"/>
              <w:rPr>
                <w:sz w:val="20"/>
                <w:lang w:val="en-NZ"/>
              </w:rPr>
            </w:pPr>
            <w:r w:rsidRPr="001364B3">
              <w:rPr>
                <w:sz w:val="20"/>
                <w:lang w:val="en-NZ"/>
              </w:rPr>
              <w:t xml:space="preserve">Person purchases shares in </w:t>
            </w:r>
            <w:r w:rsidR="00E82F00">
              <w:rPr>
                <w:sz w:val="20"/>
                <w:lang w:val="en-NZ"/>
              </w:rPr>
              <w:t>C</w:t>
            </w:r>
            <w:r w:rsidRPr="001364B3">
              <w:rPr>
                <w:sz w:val="20"/>
                <w:lang w:val="en-NZ"/>
              </w:rPr>
              <w:t>ompany X for $1m.</w:t>
            </w:r>
          </w:p>
          <w:p w14:paraId="5610F030" w14:textId="77777777" w:rsidR="00400979" w:rsidRPr="001364B3" w:rsidRDefault="00400979" w:rsidP="003A597D">
            <w:pPr>
              <w:pStyle w:val="Bullets2ndlevel"/>
              <w:numPr>
                <w:ilvl w:val="0"/>
                <w:numId w:val="23"/>
              </w:numPr>
              <w:tabs>
                <w:tab w:val="clear" w:pos="1418"/>
              </w:tabs>
              <w:spacing w:before="40" w:after="40"/>
              <w:ind w:left="602" w:right="91" w:hanging="284"/>
              <w:rPr>
                <w:sz w:val="20"/>
                <w:lang w:val="en-NZ"/>
              </w:rPr>
            </w:pPr>
            <w:r w:rsidRPr="001364B3">
              <w:rPr>
                <w:sz w:val="20"/>
                <w:lang w:val="en-NZ"/>
              </w:rPr>
              <w:t>Company X purchases residential rental property for $1m using capital from shareholder.</w:t>
            </w:r>
          </w:p>
          <w:p w14:paraId="4BDA73EA" w14:textId="77777777" w:rsidR="0010174D" w:rsidRDefault="00400979" w:rsidP="003A597D">
            <w:pPr>
              <w:pStyle w:val="Bullets2ndlevel"/>
              <w:numPr>
                <w:ilvl w:val="0"/>
                <w:numId w:val="23"/>
              </w:numPr>
              <w:tabs>
                <w:tab w:val="clear" w:pos="1418"/>
              </w:tabs>
              <w:spacing w:before="40" w:after="40"/>
              <w:ind w:left="602" w:right="91" w:hanging="284"/>
              <w:rPr>
                <w:sz w:val="20"/>
                <w:lang w:val="en-NZ"/>
              </w:rPr>
            </w:pPr>
            <w:r w:rsidRPr="001364B3">
              <w:rPr>
                <w:sz w:val="20"/>
                <w:lang w:val="en-NZ"/>
              </w:rPr>
              <w:t>Interest person pays to bank is directly attributable to acquiring shares rather than residential rental property, and therefore not ring-fenced unless specifically covered.</w:t>
            </w:r>
          </w:p>
          <w:p w14:paraId="31FE80B3" w14:textId="62DB39ED" w:rsidR="001364B3" w:rsidRPr="003A597D" w:rsidRDefault="001364B3" w:rsidP="00F20E5B">
            <w:pPr>
              <w:pStyle w:val="Bullets2ndlevel"/>
              <w:numPr>
                <w:ilvl w:val="0"/>
                <w:numId w:val="0"/>
              </w:numPr>
              <w:tabs>
                <w:tab w:val="clear" w:pos="1418"/>
              </w:tabs>
              <w:spacing w:after="0"/>
              <w:rPr>
                <w:sz w:val="16"/>
                <w:szCs w:val="16"/>
                <w:lang w:val="en-NZ"/>
              </w:rPr>
            </w:pPr>
          </w:p>
        </w:tc>
      </w:tr>
    </w:tbl>
    <w:p w14:paraId="32C98424" w14:textId="77777777" w:rsidR="001364B3" w:rsidRDefault="001364B3" w:rsidP="00541B8D">
      <w:pPr>
        <w:pStyle w:val="Chapter6"/>
        <w:numPr>
          <w:ilvl w:val="0"/>
          <w:numId w:val="0"/>
        </w:numPr>
        <w:ind w:left="851"/>
        <w:rPr>
          <w:lang w:val="en-NZ"/>
        </w:rPr>
      </w:pPr>
    </w:p>
    <w:p w14:paraId="3214829B" w14:textId="77777777" w:rsidR="003A597D" w:rsidRPr="00A95E07" w:rsidRDefault="003A597D" w:rsidP="00541B8D">
      <w:pPr>
        <w:pStyle w:val="Chapter6"/>
        <w:numPr>
          <w:ilvl w:val="0"/>
          <w:numId w:val="0"/>
        </w:numPr>
        <w:ind w:left="851"/>
        <w:rPr>
          <w:lang w:val="en-NZ"/>
        </w:rPr>
      </w:pPr>
    </w:p>
    <w:p w14:paraId="133EB9D4" w14:textId="77777777" w:rsidR="00046E66" w:rsidRPr="00A95E07" w:rsidRDefault="00975B6A" w:rsidP="000360A6">
      <w:pPr>
        <w:pStyle w:val="Chapter6"/>
        <w:rPr>
          <w:lang w:val="en-NZ"/>
        </w:rPr>
      </w:pPr>
      <w:r w:rsidRPr="00A95E07">
        <w:rPr>
          <w:lang w:val="en-NZ"/>
        </w:rPr>
        <w:t>A specific rule to deal with the interposing of entities w</w:t>
      </w:r>
      <w:r w:rsidR="00564FEC" w:rsidRPr="00A95E07">
        <w:rPr>
          <w:lang w:val="en-NZ"/>
        </w:rPr>
        <w:t>ould</w:t>
      </w:r>
      <w:r w:rsidRPr="00A95E07">
        <w:rPr>
          <w:lang w:val="en-NZ"/>
        </w:rPr>
        <w:t xml:space="preserve"> ensure that this simple mechanism cannot be used to get around the loss ring-fencing rules, undermining their credibility.</w:t>
      </w:r>
    </w:p>
    <w:p w14:paraId="686BB62E" w14:textId="77777777" w:rsidR="00352FEF" w:rsidRPr="00A95E07" w:rsidRDefault="00352FEF" w:rsidP="00541B8D">
      <w:pPr>
        <w:pStyle w:val="Chapter6"/>
        <w:numPr>
          <w:ilvl w:val="0"/>
          <w:numId w:val="0"/>
        </w:numPr>
        <w:ind w:left="851"/>
        <w:rPr>
          <w:lang w:val="en-NZ"/>
        </w:rPr>
      </w:pPr>
    </w:p>
    <w:p w14:paraId="0738FD73" w14:textId="1A1B1A42" w:rsidR="008D534E" w:rsidRPr="00A95E07" w:rsidRDefault="00536625" w:rsidP="00F62C7B">
      <w:pPr>
        <w:pStyle w:val="Chapter6"/>
        <w:rPr>
          <w:lang w:val="en-NZ"/>
        </w:rPr>
      </w:pPr>
      <w:r w:rsidRPr="00A95E07">
        <w:rPr>
          <w:lang w:val="en-NZ"/>
        </w:rPr>
        <w:t xml:space="preserve">A </w:t>
      </w:r>
      <w:r w:rsidRPr="00A95E07">
        <w:rPr>
          <w:color w:val="000000"/>
          <w:szCs w:val="24"/>
          <w:lang w:val="en-NZ"/>
        </w:rPr>
        <w:t>suggested</w:t>
      </w:r>
      <w:r w:rsidRPr="00A95E07">
        <w:rPr>
          <w:lang w:val="en-NZ"/>
        </w:rPr>
        <w:t xml:space="preserve"> approach to dealing with interposed entities is to specifically define when such entities w</w:t>
      </w:r>
      <w:r w:rsidR="00564FEC" w:rsidRPr="00A95E07">
        <w:rPr>
          <w:lang w:val="en-NZ"/>
        </w:rPr>
        <w:t>ould</w:t>
      </w:r>
      <w:r w:rsidRPr="00A95E07">
        <w:rPr>
          <w:lang w:val="en-NZ"/>
        </w:rPr>
        <w:t xml:space="preserve"> be “residential property land-rich”.  It is proposed that this would be the case where over 50</w:t>
      </w:r>
      <w:r w:rsidR="001941C2" w:rsidRPr="00A95E07">
        <w:rPr>
          <w:lang w:val="en-NZ"/>
        </w:rPr>
        <w:t xml:space="preserve"> percent</w:t>
      </w:r>
      <w:r w:rsidRPr="00A95E07">
        <w:rPr>
          <w:lang w:val="en-NZ"/>
        </w:rPr>
        <w:t xml:space="preserve"> of the entity’s assets are residential properties within the scope of the ring-fencing rules, and/or shares or interests in other residential property land-rich entities.  The rules could then treat dividends, interest, or distributions from the entity as being “rental property income”, and treat interest on borrowings to acquire an interest in the entity (</w:t>
      </w:r>
      <w:r w:rsidR="00E74B37" w:rsidRPr="00A95E07">
        <w:rPr>
          <w:lang w:val="en-NZ"/>
        </w:rPr>
        <w:t>for example</w:t>
      </w:r>
      <w:r w:rsidRPr="00A95E07">
        <w:rPr>
          <w:lang w:val="en-NZ"/>
        </w:rPr>
        <w:t>, shares, securities, a partnership interest, or an interest in the trust estate), as “rental property loan interest”.  The rules could then ensure that the interest deduction is only allocated to the income year in question to the extent it did not exceed the distributions from the entity (deemed rental property income), any other residential rental income, and residential lan</w:t>
      </w:r>
      <w:r w:rsidR="00733BEC" w:rsidRPr="00A95E07">
        <w:rPr>
          <w:lang w:val="en-NZ"/>
        </w:rPr>
        <w:t>d sale income (as discussed in c</w:t>
      </w:r>
      <w:r w:rsidRPr="00A95E07">
        <w:rPr>
          <w:lang w:val="en-NZ"/>
        </w:rPr>
        <w:t>hapter 5).  Any excess of interest over distributions, rental income, and land sale income would be carried forward and treated as “rental property loan interest” for the next income year.  This would mean that losses from rental properties would not reduce the tax on other sources of income.</w:t>
      </w:r>
    </w:p>
    <w:p w14:paraId="305FC61F" w14:textId="77777777" w:rsidR="00352FEF" w:rsidRPr="00A95E07" w:rsidRDefault="00352FEF" w:rsidP="00541B8D">
      <w:pPr>
        <w:pStyle w:val="Chapter6"/>
        <w:numPr>
          <w:ilvl w:val="0"/>
          <w:numId w:val="0"/>
        </w:numPr>
        <w:ind w:left="851"/>
        <w:rPr>
          <w:lang w:val="en-NZ"/>
        </w:rPr>
      </w:pPr>
    </w:p>
    <w:p w14:paraId="65406694" w14:textId="21B21041" w:rsidR="00352FEF" w:rsidRDefault="00352FEF" w:rsidP="00F62C7B">
      <w:pPr>
        <w:pStyle w:val="Chapter6"/>
        <w:rPr>
          <w:lang w:val="en-NZ"/>
        </w:rPr>
      </w:pPr>
      <w:r w:rsidRPr="00A95E07">
        <w:rPr>
          <w:lang w:val="en-NZ"/>
        </w:rPr>
        <w:t xml:space="preserve">This suggested approach </w:t>
      </w:r>
      <w:r w:rsidR="0010174D" w:rsidRPr="00A95E07">
        <w:rPr>
          <w:lang w:val="en-NZ"/>
        </w:rPr>
        <w:t>is</w:t>
      </w:r>
      <w:r w:rsidRPr="00A95E07">
        <w:rPr>
          <w:lang w:val="en-NZ"/>
        </w:rPr>
        <w:t xml:space="preserve"> illustrated </w:t>
      </w:r>
      <w:r w:rsidR="0010174D" w:rsidRPr="00A95E07">
        <w:rPr>
          <w:lang w:val="en-NZ"/>
        </w:rPr>
        <w:t>in figure 2.</w:t>
      </w:r>
    </w:p>
    <w:p w14:paraId="34D60DCF" w14:textId="77777777" w:rsidR="001364B3" w:rsidRPr="00A95E07" w:rsidRDefault="001364B3" w:rsidP="001364B3">
      <w:pPr>
        <w:pStyle w:val="Chapter6"/>
        <w:numPr>
          <w:ilvl w:val="0"/>
          <w:numId w:val="0"/>
        </w:numPr>
        <w:ind w:left="851"/>
        <w:rPr>
          <w:lang w:val="en-NZ"/>
        </w:rPr>
      </w:pPr>
    </w:p>
    <w:tbl>
      <w:tblPr>
        <w:tblStyle w:val="TableGrid"/>
        <w:tblW w:w="0" w:type="auto"/>
        <w:tblInd w:w="851" w:type="dxa"/>
        <w:tblLook w:val="04A0" w:firstRow="1" w:lastRow="0" w:firstColumn="1" w:lastColumn="0" w:noHBand="0" w:noVBand="1"/>
      </w:tblPr>
      <w:tblGrid>
        <w:gridCol w:w="7677"/>
      </w:tblGrid>
      <w:tr w:rsidR="001364B3" w14:paraId="54AFBEEF" w14:textId="77777777" w:rsidTr="001364B3">
        <w:tc>
          <w:tcPr>
            <w:tcW w:w="8528" w:type="dxa"/>
          </w:tcPr>
          <w:p w14:paraId="2AC26C8D" w14:textId="77777777" w:rsidR="001364B3" w:rsidRPr="003A597D" w:rsidRDefault="001364B3" w:rsidP="00541B8D">
            <w:pPr>
              <w:pStyle w:val="Chapter6"/>
              <w:numPr>
                <w:ilvl w:val="0"/>
                <w:numId w:val="0"/>
              </w:numPr>
              <w:rPr>
                <w:sz w:val="16"/>
                <w:szCs w:val="16"/>
                <w:lang w:val="en-NZ"/>
              </w:rPr>
            </w:pPr>
          </w:p>
          <w:p w14:paraId="2F194697" w14:textId="64B0B396" w:rsidR="001364B3" w:rsidRPr="00E82F00" w:rsidRDefault="00E82F00" w:rsidP="001364B3">
            <w:pPr>
              <w:pStyle w:val="Chapter6"/>
              <w:numPr>
                <w:ilvl w:val="0"/>
                <w:numId w:val="0"/>
              </w:numPr>
              <w:rPr>
                <w:sz w:val="20"/>
                <w:lang w:val="en-NZ"/>
              </w:rPr>
            </w:pPr>
            <w:r>
              <w:object w:dxaOrig="7980" w:dyaOrig="5145" w14:anchorId="5A1BB403">
                <v:shape id="_x0000_i1026" type="#_x0000_t75" style="width:369.75pt;height:238.5pt" o:ole="">
                  <v:imagedata r:id="rId13" o:title=""/>
                </v:shape>
                <o:OLEObject Type="Embed" ProgID="Visio.Drawing.15" ShapeID="_x0000_i1026" DrawAspect="Content" ObjectID="_1583824195" r:id="rId14"/>
              </w:object>
            </w:r>
          </w:p>
          <w:p w14:paraId="6EBD741E" w14:textId="77777777" w:rsidR="00F20E5B" w:rsidRPr="00F20E5B" w:rsidRDefault="00F20E5B" w:rsidP="001364B3">
            <w:pPr>
              <w:pStyle w:val="Chapter6"/>
              <w:numPr>
                <w:ilvl w:val="0"/>
                <w:numId w:val="0"/>
              </w:numPr>
              <w:rPr>
                <w:sz w:val="20"/>
                <w:lang w:val="en-NZ"/>
              </w:rPr>
            </w:pPr>
          </w:p>
          <w:p w14:paraId="77B5E385" w14:textId="77777777" w:rsidR="001364B3" w:rsidRPr="001364B3" w:rsidRDefault="001364B3" w:rsidP="003A597D">
            <w:pPr>
              <w:pStyle w:val="Bullet1stlevel"/>
              <w:tabs>
                <w:tab w:val="clear" w:pos="1418"/>
                <w:tab w:val="left" w:pos="1134"/>
              </w:tabs>
              <w:spacing w:before="40" w:after="40"/>
              <w:ind w:left="566" w:right="232" w:hanging="283"/>
              <w:rPr>
                <w:sz w:val="20"/>
                <w:lang w:val="en-NZ"/>
              </w:rPr>
            </w:pPr>
            <w:r w:rsidRPr="001364B3">
              <w:rPr>
                <w:sz w:val="20"/>
                <w:lang w:val="en-NZ"/>
              </w:rPr>
              <w:t>More than 50 percent of Company X’s assets are residential property, so Company X is “residential property land-rich”.</w:t>
            </w:r>
          </w:p>
          <w:p w14:paraId="17E66F43" w14:textId="77777777" w:rsidR="001364B3" w:rsidRPr="001364B3" w:rsidRDefault="001364B3" w:rsidP="003A597D">
            <w:pPr>
              <w:pStyle w:val="Bullet1stlevel"/>
              <w:tabs>
                <w:tab w:val="clear" w:pos="1418"/>
                <w:tab w:val="left" w:pos="1134"/>
              </w:tabs>
              <w:spacing w:before="40" w:after="40"/>
              <w:ind w:left="566" w:right="232" w:hanging="283"/>
              <w:rPr>
                <w:sz w:val="20"/>
                <w:lang w:val="en-NZ"/>
              </w:rPr>
            </w:pPr>
            <w:r w:rsidRPr="001364B3">
              <w:rPr>
                <w:sz w:val="20"/>
                <w:lang w:val="en-NZ"/>
              </w:rPr>
              <w:t>Because Company X is “residential property land-rich”:</w:t>
            </w:r>
          </w:p>
          <w:p w14:paraId="7E47203F" w14:textId="77777777" w:rsidR="001364B3" w:rsidRPr="001364B3" w:rsidRDefault="001364B3" w:rsidP="003A597D">
            <w:pPr>
              <w:pStyle w:val="Bullets2ndlevel"/>
              <w:spacing w:before="40" w:after="40"/>
              <w:ind w:left="851" w:right="232" w:hanging="284"/>
              <w:rPr>
                <w:sz w:val="20"/>
                <w:lang w:val="en-NZ"/>
              </w:rPr>
            </w:pPr>
            <w:r w:rsidRPr="001364B3">
              <w:rPr>
                <w:sz w:val="20"/>
                <w:lang w:val="en-NZ"/>
              </w:rPr>
              <w:t>the $40,000 dividend the person receives is treated as “rental property income”; and</w:t>
            </w:r>
          </w:p>
          <w:p w14:paraId="09AD18F6" w14:textId="77777777" w:rsidR="001364B3" w:rsidRPr="001364B3" w:rsidRDefault="001364B3" w:rsidP="003A597D">
            <w:pPr>
              <w:pStyle w:val="Bullets2ndlevel"/>
              <w:spacing w:before="40" w:after="40"/>
              <w:ind w:left="850" w:right="232" w:hanging="284"/>
              <w:rPr>
                <w:sz w:val="20"/>
                <w:lang w:val="en-NZ"/>
              </w:rPr>
            </w:pPr>
            <w:proofErr w:type="gramStart"/>
            <w:r w:rsidRPr="001364B3">
              <w:rPr>
                <w:sz w:val="20"/>
                <w:lang w:val="en-NZ"/>
              </w:rPr>
              <w:t>the</w:t>
            </w:r>
            <w:proofErr w:type="gramEnd"/>
            <w:r w:rsidRPr="001364B3">
              <w:rPr>
                <w:sz w:val="20"/>
                <w:lang w:val="en-NZ"/>
              </w:rPr>
              <w:t xml:space="preserve"> $45,000 interest on the loan to buy shares in the Company X is treated as “rental property loan interest”.</w:t>
            </w:r>
          </w:p>
          <w:p w14:paraId="50A34373" w14:textId="77777777" w:rsidR="001364B3" w:rsidRPr="001364B3" w:rsidRDefault="001364B3" w:rsidP="003A597D">
            <w:pPr>
              <w:pStyle w:val="Bullet1stlevel"/>
              <w:tabs>
                <w:tab w:val="clear" w:pos="1418"/>
                <w:tab w:val="left" w:pos="1134"/>
              </w:tabs>
              <w:spacing w:before="40" w:after="40"/>
              <w:ind w:left="566" w:right="232" w:hanging="283"/>
              <w:rPr>
                <w:sz w:val="20"/>
                <w:lang w:val="en-NZ"/>
              </w:rPr>
            </w:pPr>
            <w:r w:rsidRPr="001364B3">
              <w:rPr>
                <w:sz w:val="20"/>
                <w:lang w:val="en-NZ"/>
              </w:rPr>
              <w:t>The $45,000 deduction for “rental property loan interest” is more than the “rental property income” of $40,000, so only $40,000 of the deduction is allocated to this income year.</w:t>
            </w:r>
          </w:p>
          <w:p w14:paraId="5DBD65BB" w14:textId="77777777" w:rsidR="001364B3" w:rsidRDefault="001364B3" w:rsidP="003A597D">
            <w:pPr>
              <w:pStyle w:val="Bullet1stlevel"/>
              <w:tabs>
                <w:tab w:val="clear" w:pos="1418"/>
                <w:tab w:val="left" w:pos="1134"/>
              </w:tabs>
              <w:spacing w:before="40" w:after="40"/>
              <w:ind w:left="568" w:right="232" w:hanging="284"/>
              <w:rPr>
                <w:sz w:val="20"/>
                <w:lang w:val="en-NZ"/>
              </w:rPr>
            </w:pPr>
            <w:r w:rsidRPr="001364B3">
              <w:rPr>
                <w:sz w:val="20"/>
                <w:lang w:val="en-NZ"/>
              </w:rPr>
              <w:t>The remaining $5,000 deduction is carried forward and treated as “rental property loan interest” for the next income year.</w:t>
            </w:r>
          </w:p>
          <w:p w14:paraId="7A20BAEB" w14:textId="42672CBC" w:rsidR="001364B3" w:rsidRPr="003A597D" w:rsidRDefault="001364B3" w:rsidP="001364B3">
            <w:pPr>
              <w:pStyle w:val="Bullet1stlevel"/>
              <w:numPr>
                <w:ilvl w:val="0"/>
                <w:numId w:val="0"/>
              </w:numPr>
              <w:tabs>
                <w:tab w:val="clear" w:pos="1418"/>
                <w:tab w:val="left" w:pos="1134"/>
              </w:tabs>
              <w:spacing w:after="0"/>
              <w:ind w:left="1418" w:right="232" w:hanging="567"/>
              <w:rPr>
                <w:sz w:val="16"/>
                <w:szCs w:val="16"/>
                <w:lang w:val="en-NZ"/>
              </w:rPr>
            </w:pPr>
          </w:p>
        </w:tc>
      </w:tr>
    </w:tbl>
    <w:p w14:paraId="591F35A6" w14:textId="77777777" w:rsidR="001364B3" w:rsidRDefault="001364B3" w:rsidP="0010174D">
      <w:pPr>
        <w:pStyle w:val="Chapter6"/>
        <w:numPr>
          <w:ilvl w:val="0"/>
          <w:numId w:val="0"/>
        </w:numPr>
        <w:ind w:left="851"/>
        <w:rPr>
          <w:lang w:val="en-NZ"/>
        </w:rPr>
      </w:pPr>
    </w:p>
    <w:p w14:paraId="736718C2" w14:textId="77777777" w:rsidR="003A597D" w:rsidRPr="00A95E07" w:rsidRDefault="003A597D" w:rsidP="0010174D">
      <w:pPr>
        <w:pStyle w:val="Chapter6"/>
        <w:numPr>
          <w:ilvl w:val="0"/>
          <w:numId w:val="0"/>
        </w:numPr>
        <w:ind w:left="851"/>
        <w:rPr>
          <w:lang w:val="en-NZ"/>
        </w:rPr>
      </w:pPr>
    </w:p>
    <w:p w14:paraId="4ED365EE" w14:textId="77777777" w:rsidR="003A597D" w:rsidRDefault="008D534E" w:rsidP="003A597D">
      <w:pPr>
        <w:pStyle w:val="Chapter6"/>
        <w:rPr>
          <w:lang w:val="en-NZ"/>
        </w:rPr>
      </w:pPr>
      <w:r w:rsidRPr="00A95E07">
        <w:rPr>
          <w:lang w:val="en-NZ"/>
        </w:rPr>
        <w:t xml:space="preserve">We are interested in feedback on this suggested </w:t>
      </w:r>
      <w:r w:rsidR="00975B6A" w:rsidRPr="00A95E07">
        <w:rPr>
          <w:lang w:val="en-NZ"/>
        </w:rPr>
        <w:t xml:space="preserve">approach </w:t>
      </w:r>
      <w:r w:rsidRPr="00A95E07">
        <w:rPr>
          <w:lang w:val="en-NZ"/>
        </w:rPr>
        <w:t>to</w:t>
      </w:r>
      <w:r w:rsidR="00975B6A" w:rsidRPr="00A95E07">
        <w:rPr>
          <w:lang w:val="en-NZ"/>
        </w:rPr>
        <w:t xml:space="preserve"> prevent</w:t>
      </w:r>
      <w:r w:rsidRPr="00A95E07">
        <w:rPr>
          <w:lang w:val="en-NZ"/>
        </w:rPr>
        <w:t>ing</w:t>
      </w:r>
      <w:r w:rsidR="00975B6A" w:rsidRPr="00A95E07">
        <w:rPr>
          <w:lang w:val="en-NZ"/>
        </w:rPr>
        <w:t xml:space="preserve"> the simple interposition of an entity to get around the ring-fencing rules.</w:t>
      </w:r>
    </w:p>
    <w:p w14:paraId="22AA5BE8" w14:textId="1EFA3BE5" w:rsidR="00F62C7B" w:rsidRPr="003A597D" w:rsidRDefault="00F62C7B" w:rsidP="003A597D">
      <w:pPr>
        <w:pStyle w:val="Chapter6"/>
        <w:rPr>
          <w:lang w:val="en-NZ"/>
        </w:rPr>
      </w:pPr>
      <w:r w:rsidRPr="003A597D">
        <w:rPr>
          <w:lang w:val="en-NZ"/>
        </w:rPr>
        <w:br w:type="page"/>
      </w:r>
    </w:p>
    <w:p w14:paraId="7C949CC8" w14:textId="77777777" w:rsidR="00F62C7B" w:rsidRPr="00A95E07" w:rsidRDefault="00F62C7B" w:rsidP="00F62C7B">
      <w:pPr>
        <w:pStyle w:val="Chapterheading"/>
        <w:rPr>
          <w:lang w:val="en-NZ"/>
        </w:rPr>
      </w:pPr>
      <w:bookmarkStart w:id="125" w:name="_Toc505074111"/>
      <w:bookmarkStart w:id="126" w:name="_Toc506216623"/>
      <w:bookmarkStart w:id="127" w:name="_Toc506219991"/>
      <w:bookmarkStart w:id="128" w:name="_Toc506477405"/>
      <w:bookmarkStart w:id="129" w:name="_Toc507152303"/>
      <w:bookmarkStart w:id="130" w:name="_Toc509922303"/>
      <w:bookmarkStart w:id="131" w:name="_Toc510021190"/>
      <w:bookmarkStart w:id="132" w:name="_Toc510022608"/>
      <w:bookmarkStart w:id="133" w:name="_Toc510022826"/>
      <w:bookmarkStart w:id="134" w:name="_Toc510026890"/>
      <w:bookmarkStart w:id="135" w:name="_Toc510082216"/>
      <w:bookmarkStart w:id="136" w:name="_Toc510082318"/>
      <w:r w:rsidRPr="00A95E07">
        <w:rPr>
          <w:lang w:val="en-NZ"/>
        </w:rPr>
        <w:t>CHAPTER 7</w:t>
      </w:r>
      <w:bookmarkEnd w:id="125"/>
      <w:bookmarkEnd w:id="126"/>
      <w:bookmarkEnd w:id="127"/>
      <w:bookmarkEnd w:id="128"/>
      <w:bookmarkEnd w:id="129"/>
      <w:bookmarkEnd w:id="130"/>
      <w:bookmarkEnd w:id="131"/>
      <w:bookmarkEnd w:id="132"/>
      <w:bookmarkEnd w:id="133"/>
      <w:bookmarkEnd w:id="134"/>
      <w:bookmarkEnd w:id="135"/>
      <w:bookmarkEnd w:id="136"/>
    </w:p>
    <w:p w14:paraId="6C4FAC20" w14:textId="77777777" w:rsidR="00F62C7B" w:rsidRPr="00A95E07" w:rsidRDefault="00F62C7B" w:rsidP="00F62C7B">
      <w:pPr>
        <w:pStyle w:val="Chapterheading"/>
        <w:rPr>
          <w:lang w:val="en-NZ"/>
        </w:rPr>
      </w:pPr>
    </w:p>
    <w:p w14:paraId="478B310D" w14:textId="62BD5BB5" w:rsidR="00F62C7B" w:rsidRPr="00A95E07" w:rsidRDefault="00297E55" w:rsidP="00F62C7B">
      <w:pPr>
        <w:pStyle w:val="Chapterheading"/>
        <w:rPr>
          <w:lang w:val="en-NZ"/>
        </w:rPr>
      </w:pPr>
      <w:bookmarkStart w:id="137" w:name="_Toc507152304"/>
      <w:bookmarkStart w:id="138" w:name="_Toc510082319"/>
      <w:r w:rsidRPr="00A95E07">
        <w:rPr>
          <w:caps w:val="0"/>
          <w:lang w:val="en-NZ"/>
        </w:rPr>
        <w:t xml:space="preserve">Timing </w:t>
      </w:r>
      <w:r w:rsidR="001364B3">
        <w:rPr>
          <w:caps w:val="0"/>
          <w:lang w:val="en-NZ"/>
        </w:rPr>
        <w:t>of</w:t>
      </w:r>
      <w:r w:rsidR="0010174D" w:rsidRPr="00A95E07">
        <w:rPr>
          <w:caps w:val="0"/>
          <w:lang w:val="en-NZ"/>
        </w:rPr>
        <w:t xml:space="preserve"> </w:t>
      </w:r>
      <w:r w:rsidRPr="00A95E07">
        <w:rPr>
          <w:caps w:val="0"/>
          <w:lang w:val="en-NZ"/>
        </w:rPr>
        <w:t>i</w:t>
      </w:r>
      <w:r w:rsidR="00F62C7B" w:rsidRPr="00A95E07">
        <w:rPr>
          <w:caps w:val="0"/>
          <w:lang w:val="en-NZ"/>
        </w:rPr>
        <w:t>ntroduction of the rules</w:t>
      </w:r>
      <w:bookmarkEnd w:id="137"/>
      <w:bookmarkEnd w:id="138"/>
    </w:p>
    <w:p w14:paraId="41E58914" w14:textId="77777777" w:rsidR="00F62C7B" w:rsidRPr="00A95E07" w:rsidRDefault="00F62C7B" w:rsidP="000360A6">
      <w:pPr>
        <w:pStyle w:val="Chapter7"/>
        <w:numPr>
          <w:ilvl w:val="0"/>
          <w:numId w:val="0"/>
        </w:numPr>
        <w:ind w:left="851"/>
      </w:pPr>
    </w:p>
    <w:p w14:paraId="1DC89770" w14:textId="77777777" w:rsidR="00F62C7B" w:rsidRPr="00A95E07" w:rsidRDefault="00F62C7B" w:rsidP="000360A6">
      <w:pPr>
        <w:pStyle w:val="Chapter7"/>
        <w:numPr>
          <w:ilvl w:val="0"/>
          <w:numId w:val="0"/>
        </w:numPr>
        <w:ind w:left="851"/>
      </w:pPr>
    </w:p>
    <w:p w14:paraId="33666EFE" w14:textId="0E8554C0" w:rsidR="00F62C7B" w:rsidRPr="00A95E07" w:rsidRDefault="00D24740" w:rsidP="000360A6">
      <w:pPr>
        <w:pStyle w:val="Chapter7"/>
      </w:pPr>
      <w:r w:rsidRPr="00A95E07">
        <w:t xml:space="preserve">It is proposed that the loss ring-fencing rules will apply from the </w:t>
      </w:r>
      <w:r w:rsidR="001777A8" w:rsidRPr="00A95E07">
        <w:t xml:space="preserve">start of the </w:t>
      </w:r>
      <w:r w:rsidRPr="00A95E07">
        <w:t>2019</w:t>
      </w:r>
      <w:r w:rsidR="001941C2" w:rsidRPr="00A95E07">
        <w:t>–</w:t>
      </w:r>
      <w:r w:rsidRPr="00A95E07">
        <w:t xml:space="preserve">20 income </w:t>
      </w:r>
      <w:proofErr w:type="gramStart"/>
      <w:r w:rsidRPr="00A95E07">
        <w:t>year</w:t>
      </w:r>
      <w:proofErr w:type="gramEnd"/>
      <w:r w:rsidRPr="00A95E07">
        <w:t>.</w:t>
      </w:r>
    </w:p>
    <w:p w14:paraId="7BBCCECD" w14:textId="77777777" w:rsidR="00067B01" w:rsidRPr="00A95E07" w:rsidRDefault="00067B01" w:rsidP="000360A6">
      <w:pPr>
        <w:pStyle w:val="Chapter7"/>
        <w:numPr>
          <w:ilvl w:val="0"/>
          <w:numId w:val="0"/>
        </w:numPr>
        <w:ind w:left="851"/>
      </w:pPr>
    </w:p>
    <w:p w14:paraId="15568816" w14:textId="2783DB9A" w:rsidR="00067B01" w:rsidRPr="00A95E07" w:rsidRDefault="00091095" w:rsidP="000360A6">
      <w:pPr>
        <w:pStyle w:val="Chapter7"/>
      </w:pPr>
      <w:r w:rsidRPr="00A95E07">
        <w:t>The rules could either apply in full from the outset, or alternatively they could</w:t>
      </w:r>
      <w:r w:rsidR="00067B01" w:rsidRPr="00A95E07">
        <w:t xml:space="preserve"> be phased in over two or three years.  </w:t>
      </w:r>
      <w:r w:rsidRPr="00A95E07">
        <w:t>If the rules are phased in, t</w:t>
      </w:r>
      <w:r w:rsidR="00067B01" w:rsidRPr="00A95E07">
        <w:t>his would be done by reducing the proportion of losses that could be used to offset other income over a two or three year period, until no losses could be used to offset other income sources.</w:t>
      </w:r>
      <w:r w:rsidR="00A0009C" w:rsidRPr="00A95E07">
        <w:t xml:space="preserve">  For example, if phased in over two years, 50 percent of residential investment losses could be used to offset other income in 2019</w:t>
      </w:r>
      <w:r w:rsidR="001941C2" w:rsidRPr="00A95E07">
        <w:t>–</w:t>
      </w:r>
      <w:r w:rsidR="00A0009C" w:rsidRPr="00A95E07">
        <w:t>20, and no offsetting would be allowed in 2020</w:t>
      </w:r>
      <w:r w:rsidR="001941C2" w:rsidRPr="00A95E07">
        <w:t>–</w:t>
      </w:r>
      <w:r w:rsidR="00A0009C" w:rsidRPr="00A95E07">
        <w:t>21.</w:t>
      </w:r>
    </w:p>
    <w:p w14:paraId="33AF5FFA" w14:textId="77777777" w:rsidR="00067B01" w:rsidRPr="00A95E07" w:rsidRDefault="00067B01" w:rsidP="000360A6">
      <w:pPr>
        <w:pStyle w:val="Chapter7"/>
        <w:numPr>
          <w:ilvl w:val="0"/>
          <w:numId w:val="0"/>
        </w:numPr>
        <w:ind w:left="851"/>
      </w:pPr>
    </w:p>
    <w:p w14:paraId="6A01C532" w14:textId="7747B1D3" w:rsidR="00183053" w:rsidRPr="00A95E07" w:rsidRDefault="00067B01" w:rsidP="000360A6">
      <w:pPr>
        <w:pStyle w:val="Chapter7"/>
      </w:pPr>
      <w:r w:rsidRPr="00A95E07">
        <w:t xml:space="preserve">Tax law changes are not usually phased in.  But this possible approach has been suggested to allow affected investors more time to adjust to the new rules, or to rearrange their affairs before the rules apply in full.  </w:t>
      </w:r>
      <w:r w:rsidR="00B065E0" w:rsidRPr="00A95E07">
        <w:t>However, w</w:t>
      </w:r>
      <w:r w:rsidRPr="00A95E07">
        <w:t>e note that phased introduction of the rules would result in some additional complexity.</w:t>
      </w:r>
    </w:p>
    <w:p w14:paraId="60F70506" w14:textId="77777777" w:rsidR="00183053" w:rsidRPr="00A95E07" w:rsidRDefault="00183053" w:rsidP="000360A6">
      <w:pPr>
        <w:pStyle w:val="Chapter7"/>
        <w:numPr>
          <w:ilvl w:val="0"/>
          <w:numId w:val="0"/>
        </w:numPr>
        <w:ind w:left="851"/>
      </w:pPr>
    </w:p>
    <w:p w14:paraId="0A58BC88" w14:textId="11AEDD30" w:rsidR="00A449E8" w:rsidRPr="00A95E07" w:rsidRDefault="00183053" w:rsidP="000360A6">
      <w:pPr>
        <w:pStyle w:val="Chapter7"/>
      </w:pPr>
      <w:r w:rsidRPr="00A95E07">
        <w:t>We are interested in feedback on whether the loss ring-fencing rules should apply in full from the 2019</w:t>
      </w:r>
      <w:r w:rsidR="001941C2" w:rsidRPr="00A95E07">
        <w:t>–</w:t>
      </w:r>
      <w:r w:rsidRPr="00A95E07">
        <w:t xml:space="preserve">20 income year </w:t>
      </w:r>
      <w:r w:rsidR="00FE15FC" w:rsidRPr="00A95E07">
        <w:t xml:space="preserve">– the simpler approach – </w:t>
      </w:r>
      <w:r w:rsidRPr="00A95E07">
        <w:t>or be phased in over two or three years.</w:t>
      </w:r>
    </w:p>
    <w:sectPr w:rsidR="00A449E8" w:rsidRPr="00A95E07" w:rsidSect="006042D1">
      <w:footerReference w:type="even" r:id="rId15"/>
      <w:footerReference w:type="default" r:id="rId16"/>
      <w:footerReference w:type="first" r:id="rId17"/>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1D365" w14:textId="77777777" w:rsidR="006765C6" w:rsidRDefault="006765C6">
      <w:r>
        <w:separator/>
      </w:r>
    </w:p>
  </w:endnote>
  <w:endnote w:type="continuationSeparator" w:id="0">
    <w:p w14:paraId="3C8860C4" w14:textId="77777777" w:rsidR="006765C6" w:rsidRDefault="006765C6">
      <w:r>
        <w:continuationSeparator/>
      </w:r>
    </w:p>
  </w:endnote>
  <w:endnote w:type="continuationNotice" w:id="1">
    <w:p w14:paraId="0BE85C95" w14:textId="77777777" w:rsidR="006765C6" w:rsidRDefault="00676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C940" w14:textId="77777777" w:rsidR="006765C6" w:rsidRDefault="006765C6"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33AB" w14:textId="77777777" w:rsidR="006765C6" w:rsidRDefault="006765C6"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941ABF">
      <w:rPr>
        <w:rStyle w:val="PageNumber"/>
        <w:noProof/>
      </w:rPr>
      <w:t>14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488E" w14:textId="77777777" w:rsidR="006765C6" w:rsidRPr="0003164B" w:rsidRDefault="006765C6"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941ABF">
      <w:rPr>
        <w:rStyle w:val="PageNumber"/>
        <w:noProof/>
      </w:rPr>
      <w:t>13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2EE9" w14:textId="77777777" w:rsidR="006765C6" w:rsidRDefault="006765C6" w:rsidP="00096603">
    <w:pPr>
      <w:pStyle w:val="Footer"/>
      <w:jc w:val="center"/>
    </w:pPr>
    <w:r>
      <w:fldChar w:fldCharType="begin"/>
    </w:r>
    <w:r>
      <w:rPr>
        <w:rStyle w:val="PageNumber"/>
      </w:rPr>
      <w:instrText xml:space="preserve"> PAGE </w:instrText>
    </w:r>
    <w:r>
      <w:fldChar w:fldCharType="separate"/>
    </w:r>
    <w:r w:rsidR="00414E24">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754DD" w14:textId="77777777" w:rsidR="006765C6" w:rsidRDefault="006765C6">
      <w:r>
        <w:separator/>
      </w:r>
    </w:p>
  </w:footnote>
  <w:footnote w:type="continuationSeparator" w:id="0">
    <w:p w14:paraId="290160B5" w14:textId="77777777" w:rsidR="006765C6" w:rsidRDefault="006765C6">
      <w:r>
        <w:continuationSeparator/>
      </w:r>
    </w:p>
  </w:footnote>
  <w:footnote w:type="continuationNotice" w:id="1">
    <w:p w14:paraId="035171DB" w14:textId="77777777" w:rsidR="006765C6" w:rsidRDefault="006765C6"/>
  </w:footnote>
  <w:footnote w:id="2">
    <w:p w14:paraId="09457365" w14:textId="77777777" w:rsidR="006765C6" w:rsidRDefault="006765C6">
      <w:pPr>
        <w:pStyle w:val="FootnoteText"/>
      </w:pPr>
      <w:r>
        <w:rPr>
          <w:rStyle w:val="FootnoteReference"/>
        </w:rPr>
        <w:footnoteRef/>
      </w:r>
      <w:r>
        <w:t xml:space="preserve"> For example, there are</w:t>
      </w:r>
      <w:r w:rsidRPr="00D14038">
        <w:t xml:space="preserve"> </w:t>
      </w:r>
      <w:r>
        <w:t>loss ring-fencing rules in relation to the bright-line test, which taxes sales of residential land bought and sold within either two or five years (depending on when you first had an interest in the land), and also in relation to the mixed-use asset rules, which may apply to assets that are used both privately and to earn income.</w:t>
      </w:r>
    </w:p>
  </w:footnote>
  <w:footnote w:id="3">
    <w:p w14:paraId="48688FD4" w14:textId="4583490B" w:rsidR="006765C6" w:rsidRDefault="006765C6">
      <w:pPr>
        <w:pStyle w:val="FootnoteText"/>
      </w:pPr>
      <w:r>
        <w:rPr>
          <w:rStyle w:val="FootnoteReference"/>
        </w:rPr>
        <w:footnoteRef/>
      </w:r>
      <w:r>
        <w:t xml:space="preserve"> The bright-line period is two years if you first acquired an estate or interest in the land on or after 1 October 2015, but </w:t>
      </w:r>
      <w:r w:rsidRPr="007A6DAA">
        <w:t>is five years</w:t>
      </w:r>
      <w:r>
        <w:t xml:space="preserve"> if you first acquired an estate or interest in the land on or after the date the Taxation (Annual Rates for 2017–18, Employment and Investment Income, and Remedial Matters) Act 2017 </w:t>
      </w:r>
      <w:r w:rsidR="00FE15FC">
        <w:t>is enacted</w:t>
      </w:r>
      <w:r>
        <w:t>.</w:t>
      </w:r>
    </w:p>
  </w:footnote>
  <w:footnote w:id="4">
    <w:p w14:paraId="6E62A34F" w14:textId="77777777" w:rsidR="006765C6" w:rsidRDefault="006765C6">
      <w:pPr>
        <w:pStyle w:val="FootnoteText"/>
      </w:pPr>
      <w:r>
        <w:rPr>
          <w:rStyle w:val="FootnoteReference"/>
        </w:rPr>
        <w:footnoteRef/>
      </w:r>
      <w:r>
        <w:t xml:space="preserve"> In section YA 1 of the Income Tax Act 2007.</w:t>
      </w:r>
    </w:p>
  </w:footnote>
  <w:footnote w:id="5">
    <w:p w14:paraId="59201219" w14:textId="768ED4E9" w:rsidR="006765C6" w:rsidRDefault="006765C6">
      <w:pPr>
        <w:pStyle w:val="FootnoteText"/>
      </w:pPr>
      <w:r>
        <w:rPr>
          <w:rStyle w:val="FootnoteReference"/>
        </w:rPr>
        <w:footnoteRef/>
      </w:r>
      <w:r>
        <w:t xml:space="preserve"> The bright-line period is two years if you first acquired an estate or interest in the land on or after 1 October 2015, but </w:t>
      </w:r>
      <w:r w:rsidRPr="007A6DAA">
        <w:t>is five years</w:t>
      </w:r>
      <w:r>
        <w:t xml:space="preserve"> if you first acquired an estate or interest in the land on or after the date the Taxation (Annual Rates for 2017–18, Employment and Investment Income, and Remedial Matters) Act 2017 is enacted.</w:t>
      </w:r>
    </w:p>
  </w:footnote>
  <w:footnote w:id="6">
    <w:p w14:paraId="3E63216C" w14:textId="77777777" w:rsidR="006765C6" w:rsidRDefault="006765C6">
      <w:pPr>
        <w:pStyle w:val="FootnoteText"/>
      </w:pPr>
      <w:r>
        <w:rPr>
          <w:rStyle w:val="FootnoteReference"/>
        </w:rPr>
        <w:footnoteRef/>
      </w:r>
      <w:r>
        <w:t xml:space="preserve"> </w:t>
      </w:r>
      <w:proofErr w:type="gramStart"/>
      <w:r>
        <w:t>As per section CB 7 of the Income Tax Act 2007.</w:t>
      </w:r>
      <w:proofErr w:type="gramEnd"/>
    </w:p>
  </w:footnote>
  <w:footnote w:id="7">
    <w:p w14:paraId="7C060BFD" w14:textId="77777777" w:rsidR="006765C6" w:rsidRDefault="006765C6" w:rsidP="00091095">
      <w:pPr>
        <w:pStyle w:val="FootnoteText"/>
      </w:pPr>
      <w:r>
        <w:rPr>
          <w:rStyle w:val="FootnoteReference"/>
        </w:rPr>
        <w:footnoteRef/>
      </w:r>
      <w:r>
        <w:t xml:space="preserve"> </w:t>
      </w:r>
      <w:proofErr w:type="gramStart"/>
      <w:r>
        <w:t>As per section CB 7 of the Income Tax Act 2007.</w:t>
      </w:r>
      <w:proofErr w:type="gramEnd"/>
    </w:p>
  </w:footnote>
  <w:footnote w:id="8">
    <w:p w14:paraId="0F06EE5C" w14:textId="77777777" w:rsidR="006765C6" w:rsidRDefault="006765C6">
      <w:pPr>
        <w:pStyle w:val="FootnoteText"/>
      </w:pPr>
      <w:r>
        <w:rPr>
          <w:rStyle w:val="FootnoteReference"/>
        </w:rPr>
        <w:footnoteRef/>
      </w:r>
      <w:r>
        <w:t xml:space="preserve"> </w:t>
      </w:r>
      <w:proofErr w:type="gramStart"/>
      <w:r>
        <w:t>As per section CB 7 of the Income Tax Act 2007.</w:t>
      </w:r>
      <w:proofErr w:type="gramEnd"/>
    </w:p>
  </w:footnote>
  <w:footnote w:id="9">
    <w:p w14:paraId="17F3063B" w14:textId="77777777" w:rsidR="006765C6" w:rsidRDefault="006765C6">
      <w:pPr>
        <w:pStyle w:val="FootnoteText"/>
      </w:pPr>
      <w:r>
        <w:rPr>
          <w:rStyle w:val="FootnoteReference"/>
        </w:rPr>
        <w:footnoteRef/>
      </w:r>
      <w:r>
        <w:t xml:space="preserve"> This would include a natural person with an effective interest in a look-through company with residential property losses.</w:t>
      </w:r>
    </w:p>
  </w:footnote>
  <w:footnote w:id="10">
    <w:p w14:paraId="6142D1DC" w14:textId="7D735C42" w:rsidR="006765C6" w:rsidRDefault="006765C6" w:rsidP="003B2CB8">
      <w:pPr>
        <w:pStyle w:val="FootnoteText"/>
      </w:pPr>
      <w:r>
        <w:rPr>
          <w:rStyle w:val="FootnoteReference"/>
        </w:rPr>
        <w:footnoteRef/>
      </w:r>
      <w:r>
        <w:t xml:space="preserve"> The bright-line period is two years if you first acquired an estate or interest in the land on or after 1 October 2015, but </w:t>
      </w:r>
      <w:r w:rsidRPr="007A6DAA">
        <w:t>is five years</w:t>
      </w:r>
      <w:r>
        <w:t xml:space="preserve"> if you first acquired an estate or interest in the land on or after the date the Taxation (Annual Rates for 2017–18, Employment and Investment Income, and Remedial Matters) Act 2017 is enacted.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FD"/>
    <w:multiLevelType w:val="hybridMultilevel"/>
    <w:tmpl w:val="67AA6DF0"/>
    <w:lvl w:ilvl="0" w:tplc="40845E0C">
      <w:start w:val="1"/>
      <w:numFmt w:val="bullet"/>
      <w:lvlText w:val="•"/>
      <w:lvlJc w:val="left"/>
      <w:pPr>
        <w:ind w:left="1211" w:hanging="360"/>
      </w:pPr>
      <w:rPr>
        <w:rFonts w:ascii="Times New Roman" w:hAnsi="Times New Roman" w:cs="Times New Roman"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nsid w:val="016D5F9F"/>
    <w:multiLevelType w:val="hybridMultilevel"/>
    <w:tmpl w:val="696E0122"/>
    <w:lvl w:ilvl="0" w:tplc="0D2CA55A">
      <w:start w:val="1"/>
      <w:numFmt w:val="decimal"/>
      <w:pStyle w:val="Chapter7"/>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50F4892"/>
    <w:multiLevelType w:val="hybridMultilevel"/>
    <w:tmpl w:val="B06A4B56"/>
    <w:lvl w:ilvl="0" w:tplc="A37C3AC2">
      <w:start w:val="1"/>
      <w:numFmt w:val="bullet"/>
      <w:pStyle w:val="Bullet1stlevel"/>
      <w:lvlText w:val=""/>
      <w:lvlJc w:val="left"/>
      <w:pPr>
        <w:ind w:left="121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nsid w:val="05105DEB"/>
    <w:multiLevelType w:val="hybridMultilevel"/>
    <w:tmpl w:val="4D482ADE"/>
    <w:lvl w:ilvl="0" w:tplc="3E827426">
      <w:start w:val="1"/>
      <w:numFmt w:val="bullet"/>
      <w:pStyle w:val="Bullets2ndlevel"/>
      <w:lvlText w:val="–"/>
      <w:lvlJc w:val="left"/>
      <w:pPr>
        <w:ind w:left="1494" w:hanging="360"/>
      </w:pPr>
      <w:rPr>
        <w:rFonts w:ascii="Times New Roman" w:hAnsi="Times New Roman"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4">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5">
    <w:nsid w:val="15936E75"/>
    <w:multiLevelType w:val="hybridMultilevel"/>
    <w:tmpl w:val="5704BDD4"/>
    <w:lvl w:ilvl="0" w:tplc="E5104A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7">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6864BCC"/>
    <w:multiLevelType w:val="hybridMultilevel"/>
    <w:tmpl w:val="A9548F28"/>
    <w:lvl w:ilvl="0" w:tplc="12AE0262">
      <w:start w:val="1"/>
      <w:numFmt w:val="bullet"/>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2">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63EA5283"/>
    <w:multiLevelType w:val="hybridMultilevel"/>
    <w:tmpl w:val="6D967D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6">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2"/>
  </w:num>
  <w:num w:numId="4">
    <w:abstractNumId w:val="13"/>
  </w:num>
  <w:num w:numId="5">
    <w:abstractNumId w:val="18"/>
  </w:num>
  <w:num w:numId="6">
    <w:abstractNumId w:val="6"/>
  </w:num>
  <w:num w:numId="7">
    <w:abstractNumId w:val="15"/>
  </w:num>
  <w:num w:numId="8">
    <w:abstractNumId w:val="9"/>
  </w:num>
  <w:num w:numId="9">
    <w:abstractNumId w:val="4"/>
  </w:num>
  <w:num w:numId="10">
    <w:abstractNumId w:val="5"/>
  </w:num>
  <w:num w:numId="11">
    <w:abstractNumId w:val="8"/>
  </w:num>
  <w:num w:numId="12">
    <w:abstractNumId w:val="19"/>
  </w:num>
  <w:num w:numId="13">
    <w:abstractNumId w:val="16"/>
  </w:num>
  <w:num w:numId="14">
    <w:abstractNumId w:val="17"/>
  </w:num>
  <w:num w:numId="15">
    <w:abstractNumId w:val="10"/>
  </w:num>
  <w:num w:numId="16">
    <w:abstractNumId w:val="14"/>
  </w:num>
  <w:num w:numId="17">
    <w:abstractNumId w:val="1"/>
  </w:num>
  <w:num w:numId="18">
    <w:abstractNumId w:val="2"/>
  </w:num>
  <w:num w:numId="19">
    <w:abstractNumId w:val="3"/>
  </w:num>
  <w:num w:numId="20">
    <w:abstractNumId w:val="5"/>
  </w:num>
  <w:num w:numId="21">
    <w:abstractNumId w:val="5"/>
  </w:num>
  <w:num w:numId="22">
    <w:abstractNumId w:val="5"/>
  </w:num>
  <w:num w:numId="23">
    <w:abstractNumId w:val="0"/>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36"/>
    <w:rsid w:val="000022EC"/>
    <w:rsid w:val="0000377B"/>
    <w:rsid w:val="00003908"/>
    <w:rsid w:val="00004945"/>
    <w:rsid w:val="00006422"/>
    <w:rsid w:val="00007351"/>
    <w:rsid w:val="00012289"/>
    <w:rsid w:val="00014230"/>
    <w:rsid w:val="00015410"/>
    <w:rsid w:val="00015F50"/>
    <w:rsid w:val="0001695D"/>
    <w:rsid w:val="000171CE"/>
    <w:rsid w:val="00017E9E"/>
    <w:rsid w:val="0002323A"/>
    <w:rsid w:val="0002340B"/>
    <w:rsid w:val="00023739"/>
    <w:rsid w:val="000250E7"/>
    <w:rsid w:val="000251CA"/>
    <w:rsid w:val="00027B73"/>
    <w:rsid w:val="0003027F"/>
    <w:rsid w:val="00031162"/>
    <w:rsid w:val="0003124A"/>
    <w:rsid w:val="0003164B"/>
    <w:rsid w:val="000317D5"/>
    <w:rsid w:val="00033150"/>
    <w:rsid w:val="00033259"/>
    <w:rsid w:val="00033F9A"/>
    <w:rsid w:val="000344D8"/>
    <w:rsid w:val="00034917"/>
    <w:rsid w:val="00035F81"/>
    <w:rsid w:val="000360A6"/>
    <w:rsid w:val="00037A83"/>
    <w:rsid w:val="000407DB"/>
    <w:rsid w:val="00041A29"/>
    <w:rsid w:val="00041E24"/>
    <w:rsid w:val="00042E7B"/>
    <w:rsid w:val="00043BEF"/>
    <w:rsid w:val="00044143"/>
    <w:rsid w:val="00046E66"/>
    <w:rsid w:val="00047CC7"/>
    <w:rsid w:val="00047FF9"/>
    <w:rsid w:val="00050E51"/>
    <w:rsid w:val="00051E9F"/>
    <w:rsid w:val="000523E0"/>
    <w:rsid w:val="00053A26"/>
    <w:rsid w:val="00053BF5"/>
    <w:rsid w:val="0005471A"/>
    <w:rsid w:val="00055518"/>
    <w:rsid w:val="000570B4"/>
    <w:rsid w:val="0005761B"/>
    <w:rsid w:val="000578D5"/>
    <w:rsid w:val="00063049"/>
    <w:rsid w:val="00064C13"/>
    <w:rsid w:val="00064CDF"/>
    <w:rsid w:val="00067972"/>
    <w:rsid w:val="00067B01"/>
    <w:rsid w:val="00070A6E"/>
    <w:rsid w:val="00072271"/>
    <w:rsid w:val="00074205"/>
    <w:rsid w:val="0007577B"/>
    <w:rsid w:val="00076714"/>
    <w:rsid w:val="0008013D"/>
    <w:rsid w:val="00081340"/>
    <w:rsid w:val="00083D81"/>
    <w:rsid w:val="000847E3"/>
    <w:rsid w:val="00084ED4"/>
    <w:rsid w:val="00090841"/>
    <w:rsid w:val="00091095"/>
    <w:rsid w:val="00091439"/>
    <w:rsid w:val="00096603"/>
    <w:rsid w:val="00096828"/>
    <w:rsid w:val="000972F9"/>
    <w:rsid w:val="000A1039"/>
    <w:rsid w:val="000A1D11"/>
    <w:rsid w:val="000A21B8"/>
    <w:rsid w:val="000A2369"/>
    <w:rsid w:val="000A55B7"/>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F7B"/>
    <w:rsid w:val="000D154C"/>
    <w:rsid w:val="000D431B"/>
    <w:rsid w:val="000D477E"/>
    <w:rsid w:val="000D5566"/>
    <w:rsid w:val="000E0528"/>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174D"/>
    <w:rsid w:val="00103D84"/>
    <w:rsid w:val="001078F8"/>
    <w:rsid w:val="00110264"/>
    <w:rsid w:val="0011420A"/>
    <w:rsid w:val="001142E4"/>
    <w:rsid w:val="00117C16"/>
    <w:rsid w:val="001201B6"/>
    <w:rsid w:val="0012126D"/>
    <w:rsid w:val="00121752"/>
    <w:rsid w:val="001232B6"/>
    <w:rsid w:val="0012550F"/>
    <w:rsid w:val="00126F60"/>
    <w:rsid w:val="001278A2"/>
    <w:rsid w:val="00131616"/>
    <w:rsid w:val="00131B6A"/>
    <w:rsid w:val="001324ED"/>
    <w:rsid w:val="00133755"/>
    <w:rsid w:val="001348E3"/>
    <w:rsid w:val="00134C59"/>
    <w:rsid w:val="001353EA"/>
    <w:rsid w:val="001364B3"/>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128"/>
    <w:rsid w:val="001702CB"/>
    <w:rsid w:val="001713B3"/>
    <w:rsid w:val="001722B8"/>
    <w:rsid w:val="00174E54"/>
    <w:rsid w:val="001764DF"/>
    <w:rsid w:val="00176CEC"/>
    <w:rsid w:val="00176E74"/>
    <w:rsid w:val="001777A8"/>
    <w:rsid w:val="00177C80"/>
    <w:rsid w:val="00180ED9"/>
    <w:rsid w:val="00182551"/>
    <w:rsid w:val="00183053"/>
    <w:rsid w:val="001836E5"/>
    <w:rsid w:val="00183F66"/>
    <w:rsid w:val="00185857"/>
    <w:rsid w:val="001941C2"/>
    <w:rsid w:val="00196612"/>
    <w:rsid w:val="00197444"/>
    <w:rsid w:val="001A2A81"/>
    <w:rsid w:val="001A2BCA"/>
    <w:rsid w:val="001A3053"/>
    <w:rsid w:val="001A385F"/>
    <w:rsid w:val="001A6A36"/>
    <w:rsid w:val="001A721B"/>
    <w:rsid w:val="001B1FAA"/>
    <w:rsid w:val="001B57E9"/>
    <w:rsid w:val="001C1154"/>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7D14"/>
    <w:rsid w:val="001F0321"/>
    <w:rsid w:val="001F1432"/>
    <w:rsid w:val="001F1B9D"/>
    <w:rsid w:val="001F35C8"/>
    <w:rsid w:val="001F441E"/>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6F83"/>
    <w:rsid w:val="00217C12"/>
    <w:rsid w:val="0022388C"/>
    <w:rsid w:val="00231C75"/>
    <w:rsid w:val="002325A4"/>
    <w:rsid w:val="00232C5B"/>
    <w:rsid w:val="0023315E"/>
    <w:rsid w:val="00233203"/>
    <w:rsid w:val="002334CC"/>
    <w:rsid w:val="002343E9"/>
    <w:rsid w:val="002357D6"/>
    <w:rsid w:val="0023589C"/>
    <w:rsid w:val="002361A0"/>
    <w:rsid w:val="002365D0"/>
    <w:rsid w:val="0023748D"/>
    <w:rsid w:val="00237EF2"/>
    <w:rsid w:val="00240DCC"/>
    <w:rsid w:val="0024175F"/>
    <w:rsid w:val="00244391"/>
    <w:rsid w:val="0025084A"/>
    <w:rsid w:val="002516B4"/>
    <w:rsid w:val="00253969"/>
    <w:rsid w:val="00254177"/>
    <w:rsid w:val="0026027E"/>
    <w:rsid w:val="00260B59"/>
    <w:rsid w:val="00260ED8"/>
    <w:rsid w:val="00263E47"/>
    <w:rsid w:val="00267C0F"/>
    <w:rsid w:val="0027067F"/>
    <w:rsid w:val="00271089"/>
    <w:rsid w:val="00273349"/>
    <w:rsid w:val="002739EA"/>
    <w:rsid w:val="00277C44"/>
    <w:rsid w:val="00277CEE"/>
    <w:rsid w:val="00277F21"/>
    <w:rsid w:val="00280A9D"/>
    <w:rsid w:val="00280E8E"/>
    <w:rsid w:val="00283A2A"/>
    <w:rsid w:val="00286748"/>
    <w:rsid w:val="00290180"/>
    <w:rsid w:val="00291A59"/>
    <w:rsid w:val="0029316E"/>
    <w:rsid w:val="002960FD"/>
    <w:rsid w:val="00296637"/>
    <w:rsid w:val="00296FC3"/>
    <w:rsid w:val="00297E55"/>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1E7"/>
    <w:rsid w:val="002C1491"/>
    <w:rsid w:val="002C3344"/>
    <w:rsid w:val="002C37A6"/>
    <w:rsid w:val="002C3D65"/>
    <w:rsid w:val="002C4868"/>
    <w:rsid w:val="002C5860"/>
    <w:rsid w:val="002C5E5F"/>
    <w:rsid w:val="002C723A"/>
    <w:rsid w:val="002C7AD2"/>
    <w:rsid w:val="002D08DF"/>
    <w:rsid w:val="002D0B41"/>
    <w:rsid w:val="002D48CB"/>
    <w:rsid w:val="002D78AA"/>
    <w:rsid w:val="002D7CEB"/>
    <w:rsid w:val="002E05EC"/>
    <w:rsid w:val="002E093E"/>
    <w:rsid w:val="002E102D"/>
    <w:rsid w:val="002E13A5"/>
    <w:rsid w:val="002E227E"/>
    <w:rsid w:val="002E3A75"/>
    <w:rsid w:val="002E4252"/>
    <w:rsid w:val="002F082A"/>
    <w:rsid w:val="002F102C"/>
    <w:rsid w:val="002F20C8"/>
    <w:rsid w:val="002F2C39"/>
    <w:rsid w:val="002F46B3"/>
    <w:rsid w:val="002F5A43"/>
    <w:rsid w:val="0030295B"/>
    <w:rsid w:val="003048A8"/>
    <w:rsid w:val="0030508B"/>
    <w:rsid w:val="0030535A"/>
    <w:rsid w:val="0030684E"/>
    <w:rsid w:val="00311DBB"/>
    <w:rsid w:val="003120D8"/>
    <w:rsid w:val="0031215A"/>
    <w:rsid w:val="00317CA5"/>
    <w:rsid w:val="00320319"/>
    <w:rsid w:val="0032154C"/>
    <w:rsid w:val="0032499B"/>
    <w:rsid w:val="00325904"/>
    <w:rsid w:val="003265FB"/>
    <w:rsid w:val="00331093"/>
    <w:rsid w:val="0033227F"/>
    <w:rsid w:val="00333F40"/>
    <w:rsid w:val="003356AC"/>
    <w:rsid w:val="003413ED"/>
    <w:rsid w:val="00341557"/>
    <w:rsid w:val="0034165E"/>
    <w:rsid w:val="00343FC6"/>
    <w:rsid w:val="0034639D"/>
    <w:rsid w:val="003473DB"/>
    <w:rsid w:val="003504B0"/>
    <w:rsid w:val="00352FEF"/>
    <w:rsid w:val="00354453"/>
    <w:rsid w:val="003563D9"/>
    <w:rsid w:val="0036156A"/>
    <w:rsid w:val="00362461"/>
    <w:rsid w:val="00365401"/>
    <w:rsid w:val="00367337"/>
    <w:rsid w:val="00367C7B"/>
    <w:rsid w:val="00370F9D"/>
    <w:rsid w:val="00371125"/>
    <w:rsid w:val="0037173A"/>
    <w:rsid w:val="00373D19"/>
    <w:rsid w:val="00373E7D"/>
    <w:rsid w:val="00373F5D"/>
    <w:rsid w:val="003742E3"/>
    <w:rsid w:val="00374BD9"/>
    <w:rsid w:val="00374E66"/>
    <w:rsid w:val="003754D0"/>
    <w:rsid w:val="00377524"/>
    <w:rsid w:val="00380CAC"/>
    <w:rsid w:val="00381ABC"/>
    <w:rsid w:val="00382E2E"/>
    <w:rsid w:val="00384C7E"/>
    <w:rsid w:val="0038645D"/>
    <w:rsid w:val="0038680A"/>
    <w:rsid w:val="00387D1E"/>
    <w:rsid w:val="00390F8D"/>
    <w:rsid w:val="00391A22"/>
    <w:rsid w:val="00391B92"/>
    <w:rsid w:val="00392924"/>
    <w:rsid w:val="003944D6"/>
    <w:rsid w:val="00394CF8"/>
    <w:rsid w:val="00395475"/>
    <w:rsid w:val="00395B3F"/>
    <w:rsid w:val="003962BF"/>
    <w:rsid w:val="00396824"/>
    <w:rsid w:val="00397856"/>
    <w:rsid w:val="003A03E8"/>
    <w:rsid w:val="003A31FD"/>
    <w:rsid w:val="003A4BB5"/>
    <w:rsid w:val="003A4D95"/>
    <w:rsid w:val="003A5393"/>
    <w:rsid w:val="003A5488"/>
    <w:rsid w:val="003A597D"/>
    <w:rsid w:val="003A5C2F"/>
    <w:rsid w:val="003B2CB8"/>
    <w:rsid w:val="003B397F"/>
    <w:rsid w:val="003C055A"/>
    <w:rsid w:val="003C31BE"/>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2353"/>
    <w:rsid w:val="003E44F6"/>
    <w:rsid w:val="003E51E2"/>
    <w:rsid w:val="003E7906"/>
    <w:rsid w:val="003E7977"/>
    <w:rsid w:val="003F03E7"/>
    <w:rsid w:val="003F352B"/>
    <w:rsid w:val="003F5739"/>
    <w:rsid w:val="003F6AB6"/>
    <w:rsid w:val="003F6E87"/>
    <w:rsid w:val="00400979"/>
    <w:rsid w:val="00401F0F"/>
    <w:rsid w:val="0040231F"/>
    <w:rsid w:val="00403468"/>
    <w:rsid w:val="00404CDB"/>
    <w:rsid w:val="00405235"/>
    <w:rsid w:val="0040742C"/>
    <w:rsid w:val="00413004"/>
    <w:rsid w:val="004137E5"/>
    <w:rsid w:val="0041492E"/>
    <w:rsid w:val="00414AC0"/>
    <w:rsid w:val="00414E24"/>
    <w:rsid w:val="00414F89"/>
    <w:rsid w:val="00421C4D"/>
    <w:rsid w:val="0042286D"/>
    <w:rsid w:val="00423B0A"/>
    <w:rsid w:val="004243F7"/>
    <w:rsid w:val="004258D6"/>
    <w:rsid w:val="004306CC"/>
    <w:rsid w:val="00430BB2"/>
    <w:rsid w:val="00431555"/>
    <w:rsid w:val="00431894"/>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3713"/>
    <w:rsid w:val="00454686"/>
    <w:rsid w:val="00455B3C"/>
    <w:rsid w:val="00456DE8"/>
    <w:rsid w:val="004603E1"/>
    <w:rsid w:val="004649DC"/>
    <w:rsid w:val="004712F0"/>
    <w:rsid w:val="004714F2"/>
    <w:rsid w:val="00477B93"/>
    <w:rsid w:val="00482460"/>
    <w:rsid w:val="00482B21"/>
    <w:rsid w:val="00485CD4"/>
    <w:rsid w:val="004865E4"/>
    <w:rsid w:val="00486F76"/>
    <w:rsid w:val="00493A9F"/>
    <w:rsid w:val="004955E2"/>
    <w:rsid w:val="00495F1D"/>
    <w:rsid w:val="004A0BAE"/>
    <w:rsid w:val="004A11C8"/>
    <w:rsid w:val="004A1DEC"/>
    <w:rsid w:val="004A4529"/>
    <w:rsid w:val="004A6E86"/>
    <w:rsid w:val="004B0926"/>
    <w:rsid w:val="004B1B92"/>
    <w:rsid w:val="004B36B0"/>
    <w:rsid w:val="004B37FB"/>
    <w:rsid w:val="004B659E"/>
    <w:rsid w:val="004B684C"/>
    <w:rsid w:val="004B6F8B"/>
    <w:rsid w:val="004B749D"/>
    <w:rsid w:val="004B7871"/>
    <w:rsid w:val="004C1701"/>
    <w:rsid w:val="004C2444"/>
    <w:rsid w:val="004C2DB8"/>
    <w:rsid w:val="004C5738"/>
    <w:rsid w:val="004C73E4"/>
    <w:rsid w:val="004D298A"/>
    <w:rsid w:val="004D2B7A"/>
    <w:rsid w:val="004D6158"/>
    <w:rsid w:val="004D773C"/>
    <w:rsid w:val="004E10A4"/>
    <w:rsid w:val="004E275B"/>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105C2"/>
    <w:rsid w:val="00512EC7"/>
    <w:rsid w:val="00513EFC"/>
    <w:rsid w:val="00514F79"/>
    <w:rsid w:val="00517261"/>
    <w:rsid w:val="005209B8"/>
    <w:rsid w:val="00521C06"/>
    <w:rsid w:val="00530A3D"/>
    <w:rsid w:val="0053146F"/>
    <w:rsid w:val="0053156B"/>
    <w:rsid w:val="00536625"/>
    <w:rsid w:val="0054074E"/>
    <w:rsid w:val="00541932"/>
    <w:rsid w:val="00541B8D"/>
    <w:rsid w:val="00542C0A"/>
    <w:rsid w:val="00543138"/>
    <w:rsid w:val="005453ED"/>
    <w:rsid w:val="00546695"/>
    <w:rsid w:val="005471D8"/>
    <w:rsid w:val="00547515"/>
    <w:rsid w:val="00550F68"/>
    <w:rsid w:val="00551C9D"/>
    <w:rsid w:val="00551EBF"/>
    <w:rsid w:val="00551FAE"/>
    <w:rsid w:val="0055286A"/>
    <w:rsid w:val="00552DD1"/>
    <w:rsid w:val="005544C1"/>
    <w:rsid w:val="0055476A"/>
    <w:rsid w:val="00554E3A"/>
    <w:rsid w:val="00557701"/>
    <w:rsid w:val="00560940"/>
    <w:rsid w:val="005614DF"/>
    <w:rsid w:val="00561AEA"/>
    <w:rsid w:val="00561BA6"/>
    <w:rsid w:val="00562990"/>
    <w:rsid w:val="00564FEC"/>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2A76"/>
    <w:rsid w:val="005A3D08"/>
    <w:rsid w:val="005A3D33"/>
    <w:rsid w:val="005A5CF8"/>
    <w:rsid w:val="005A5EFE"/>
    <w:rsid w:val="005A629E"/>
    <w:rsid w:val="005A76F3"/>
    <w:rsid w:val="005B06C3"/>
    <w:rsid w:val="005B1EAC"/>
    <w:rsid w:val="005B46A5"/>
    <w:rsid w:val="005B47D8"/>
    <w:rsid w:val="005B606A"/>
    <w:rsid w:val="005B729B"/>
    <w:rsid w:val="005C1D28"/>
    <w:rsid w:val="005C3DE8"/>
    <w:rsid w:val="005C6E37"/>
    <w:rsid w:val="005D1902"/>
    <w:rsid w:val="005D1BD6"/>
    <w:rsid w:val="005D1CBA"/>
    <w:rsid w:val="005D2143"/>
    <w:rsid w:val="005D3A47"/>
    <w:rsid w:val="005D51C1"/>
    <w:rsid w:val="005D6E01"/>
    <w:rsid w:val="005E0A50"/>
    <w:rsid w:val="005E0A51"/>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69BE"/>
    <w:rsid w:val="00617CE2"/>
    <w:rsid w:val="00617DFC"/>
    <w:rsid w:val="00617FD2"/>
    <w:rsid w:val="00620585"/>
    <w:rsid w:val="00624899"/>
    <w:rsid w:val="00627E1F"/>
    <w:rsid w:val="00631AD7"/>
    <w:rsid w:val="00632A6B"/>
    <w:rsid w:val="006350A3"/>
    <w:rsid w:val="00635E6E"/>
    <w:rsid w:val="00635EB8"/>
    <w:rsid w:val="00636058"/>
    <w:rsid w:val="00640A94"/>
    <w:rsid w:val="00642559"/>
    <w:rsid w:val="00642F45"/>
    <w:rsid w:val="00647202"/>
    <w:rsid w:val="006515C5"/>
    <w:rsid w:val="0065219C"/>
    <w:rsid w:val="00652798"/>
    <w:rsid w:val="00652E32"/>
    <w:rsid w:val="0065392C"/>
    <w:rsid w:val="006549EB"/>
    <w:rsid w:val="00654A37"/>
    <w:rsid w:val="00654BCA"/>
    <w:rsid w:val="00654C0C"/>
    <w:rsid w:val="00655851"/>
    <w:rsid w:val="00656A22"/>
    <w:rsid w:val="00662E92"/>
    <w:rsid w:val="00662F7B"/>
    <w:rsid w:val="006644EE"/>
    <w:rsid w:val="0066498C"/>
    <w:rsid w:val="00665DEA"/>
    <w:rsid w:val="00670383"/>
    <w:rsid w:val="0067137C"/>
    <w:rsid w:val="0067215C"/>
    <w:rsid w:val="0067287E"/>
    <w:rsid w:val="006735D1"/>
    <w:rsid w:val="00675264"/>
    <w:rsid w:val="006765C6"/>
    <w:rsid w:val="006772F4"/>
    <w:rsid w:val="0068022E"/>
    <w:rsid w:val="00681115"/>
    <w:rsid w:val="00681F0D"/>
    <w:rsid w:val="00683EB1"/>
    <w:rsid w:val="00686E61"/>
    <w:rsid w:val="00690DC4"/>
    <w:rsid w:val="006922FB"/>
    <w:rsid w:val="00692772"/>
    <w:rsid w:val="006959A8"/>
    <w:rsid w:val="006A23A6"/>
    <w:rsid w:val="006A2BE5"/>
    <w:rsid w:val="006A6B54"/>
    <w:rsid w:val="006B0566"/>
    <w:rsid w:val="006B1316"/>
    <w:rsid w:val="006B15FD"/>
    <w:rsid w:val="006B2A85"/>
    <w:rsid w:val="006B5427"/>
    <w:rsid w:val="006B550B"/>
    <w:rsid w:val="006B598A"/>
    <w:rsid w:val="006B7A3B"/>
    <w:rsid w:val="006C0008"/>
    <w:rsid w:val="006D1287"/>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4AD1"/>
    <w:rsid w:val="007055A3"/>
    <w:rsid w:val="007056D0"/>
    <w:rsid w:val="00706693"/>
    <w:rsid w:val="00713702"/>
    <w:rsid w:val="00714A4F"/>
    <w:rsid w:val="00715279"/>
    <w:rsid w:val="00715D61"/>
    <w:rsid w:val="007161D3"/>
    <w:rsid w:val="00717673"/>
    <w:rsid w:val="007228DD"/>
    <w:rsid w:val="00723150"/>
    <w:rsid w:val="00724ECE"/>
    <w:rsid w:val="0072539E"/>
    <w:rsid w:val="00725975"/>
    <w:rsid w:val="00725B0D"/>
    <w:rsid w:val="00726C4D"/>
    <w:rsid w:val="007276C0"/>
    <w:rsid w:val="00727B0E"/>
    <w:rsid w:val="007317EC"/>
    <w:rsid w:val="0073368E"/>
    <w:rsid w:val="00733BEC"/>
    <w:rsid w:val="007343A9"/>
    <w:rsid w:val="007351D5"/>
    <w:rsid w:val="007357CF"/>
    <w:rsid w:val="00736162"/>
    <w:rsid w:val="007369E2"/>
    <w:rsid w:val="00743E06"/>
    <w:rsid w:val="007444CE"/>
    <w:rsid w:val="007452FA"/>
    <w:rsid w:val="00746725"/>
    <w:rsid w:val="00746D40"/>
    <w:rsid w:val="0074770F"/>
    <w:rsid w:val="00747BCE"/>
    <w:rsid w:val="00750168"/>
    <w:rsid w:val="007510CF"/>
    <w:rsid w:val="007526F1"/>
    <w:rsid w:val="00753E8F"/>
    <w:rsid w:val="0075609C"/>
    <w:rsid w:val="00757846"/>
    <w:rsid w:val="00757E1F"/>
    <w:rsid w:val="00761884"/>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135"/>
    <w:rsid w:val="007958B8"/>
    <w:rsid w:val="00795D94"/>
    <w:rsid w:val="007961D3"/>
    <w:rsid w:val="007976E4"/>
    <w:rsid w:val="007A186C"/>
    <w:rsid w:val="007A204E"/>
    <w:rsid w:val="007A3CFC"/>
    <w:rsid w:val="007A4CC6"/>
    <w:rsid w:val="007A59B3"/>
    <w:rsid w:val="007A6DAA"/>
    <w:rsid w:val="007B0045"/>
    <w:rsid w:val="007B06B7"/>
    <w:rsid w:val="007B3F45"/>
    <w:rsid w:val="007B454F"/>
    <w:rsid w:val="007B5A67"/>
    <w:rsid w:val="007B6B9F"/>
    <w:rsid w:val="007C033B"/>
    <w:rsid w:val="007C0792"/>
    <w:rsid w:val="007C23A7"/>
    <w:rsid w:val="007C2425"/>
    <w:rsid w:val="007C28DB"/>
    <w:rsid w:val="007C2F1B"/>
    <w:rsid w:val="007C5126"/>
    <w:rsid w:val="007D2C18"/>
    <w:rsid w:val="007E3625"/>
    <w:rsid w:val="007E65E2"/>
    <w:rsid w:val="007F1E98"/>
    <w:rsid w:val="007F5EF1"/>
    <w:rsid w:val="007F662E"/>
    <w:rsid w:val="007F68CB"/>
    <w:rsid w:val="0080092E"/>
    <w:rsid w:val="00802E9C"/>
    <w:rsid w:val="00811AAE"/>
    <w:rsid w:val="00813605"/>
    <w:rsid w:val="00816367"/>
    <w:rsid w:val="008164DA"/>
    <w:rsid w:val="008177B1"/>
    <w:rsid w:val="008201B3"/>
    <w:rsid w:val="00820687"/>
    <w:rsid w:val="00820939"/>
    <w:rsid w:val="00821169"/>
    <w:rsid w:val="008252E1"/>
    <w:rsid w:val="00830AC3"/>
    <w:rsid w:val="00831363"/>
    <w:rsid w:val="00832939"/>
    <w:rsid w:val="00833BEF"/>
    <w:rsid w:val="00834092"/>
    <w:rsid w:val="00834C8A"/>
    <w:rsid w:val="00837387"/>
    <w:rsid w:val="00837D98"/>
    <w:rsid w:val="008421B3"/>
    <w:rsid w:val="008423EA"/>
    <w:rsid w:val="0084257B"/>
    <w:rsid w:val="008430E9"/>
    <w:rsid w:val="008464AB"/>
    <w:rsid w:val="00847671"/>
    <w:rsid w:val="0085013C"/>
    <w:rsid w:val="00850F10"/>
    <w:rsid w:val="00851B2F"/>
    <w:rsid w:val="00852377"/>
    <w:rsid w:val="008525B1"/>
    <w:rsid w:val="008529E2"/>
    <w:rsid w:val="008537EA"/>
    <w:rsid w:val="008538BE"/>
    <w:rsid w:val="0085447D"/>
    <w:rsid w:val="00854B9D"/>
    <w:rsid w:val="00854C43"/>
    <w:rsid w:val="00854D7E"/>
    <w:rsid w:val="00854DFA"/>
    <w:rsid w:val="008569FB"/>
    <w:rsid w:val="00856C3E"/>
    <w:rsid w:val="00861702"/>
    <w:rsid w:val="00863BEF"/>
    <w:rsid w:val="008654D3"/>
    <w:rsid w:val="00867922"/>
    <w:rsid w:val="008708A8"/>
    <w:rsid w:val="008728B0"/>
    <w:rsid w:val="00873A37"/>
    <w:rsid w:val="00873DA8"/>
    <w:rsid w:val="008740E7"/>
    <w:rsid w:val="0087438E"/>
    <w:rsid w:val="00882647"/>
    <w:rsid w:val="008840A1"/>
    <w:rsid w:val="00886A68"/>
    <w:rsid w:val="00890CD7"/>
    <w:rsid w:val="00891892"/>
    <w:rsid w:val="008938CF"/>
    <w:rsid w:val="00893C67"/>
    <w:rsid w:val="0089509C"/>
    <w:rsid w:val="00895302"/>
    <w:rsid w:val="00896B56"/>
    <w:rsid w:val="008A3229"/>
    <w:rsid w:val="008A339E"/>
    <w:rsid w:val="008A3428"/>
    <w:rsid w:val="008A36A9"/>
    <w:rsid w:val="008A430D"/>
    <w:rsid w:val="008A58F1"/>
    <w:rsid w:val="008B371A"/>
    <w:rsid w:val="008B60D9"/>
    <w:rsid w:val="008C03D1"/>
    <w:rsid w:val="008C1ACF"/>
    <w:rsid w:val="008C3025"/>
    <w:rsid w:val="008C3D45"/>
    <w:rsid w:val="008C44B8"/>
    <w:rsid w:val="008C4809"/>
    <w:rsid w:val="008C49ED"/>
    <w:rsid w:val="008C59DF"/>
    <w:rsid w:val="008C639C"/>
    <w:rsid w:val="008C7648"/>
    <w:rsid w:val="008C78BD"/>
    <w:rsid w:val="008D004A"/>
    <w:rsid w:val="008D1CD4"/>
    <w:rsid w:val="008D4E6B"/>
    <w:rsid w:val="008D534E"/>
    <w:rsid w:val="008E29D4"/>
    <w:rsid w:val="008E520E"/>
    <w:rsid w:val="008E5751"/>
    <w:rsid w:val="008E5FD9"/>
    <w:rsid w:val="008E6715"/>
    <w:rsid w:val="008F0649"/>
    <w:rsid w:val="008F1B05"/>
    <w:rsid w:val="008F3A34"/>
    <w:rsid w:val="008F64CF"/>
    <w:rsid w:val="008F7416"/>
    <w:rsid w:val="00900193"/>
    <w:rsid w:val="00902A72"/>
    <w:rsid w:val="0091275E"/>
    <w:rsid w:val="009165B1"/>
    <w:rsid w:val="00921EBA"/>
    <w:rsid w:val="00923151"/>
    <w:rsid w:val="009233EC"/>
    <w:rsid w:val="009234BB"/>
    <w:rsid w:val="00924AC6"/>
    <w:rsid w:val="00925651"/>
    <w:rsid w:val="00925E43"/>
    <w:rsid w:val="00926D28"/>
    <w:rsid w:val="00930D24"/>
    <w:rsid w:val="00933D88"/>
    <w:rsid w:val="00933E77"/>
    <w:rsid w:val="009368ED"/>
    <w:rsid w:val="00937E27"/>
    <w:rsid w:val="00941ABF"/>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66EF6"/>
    <w:rsid w:val="00975B6A"/>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8CA"/>
    <w:rsid w:val="009B14AC"/>
    <w:rsid w:val="009B151A"/>
    <w:rsid w:val="009B32A4"/>
    <w:rsid w:val="009B408D"/>
    <w:rsid w:val="009B7311"/>
    <w:rsid w:val="009C1F1B"/>
    <w:rsid w:val="009C2842"/>
    <w:rsid w:val="009C5032"/>
    <w:rsid w:val="009C69CB"/>
    <w:rsid w:val="009C7462"/>
    <w:rsid w:val="009D01F5"/>
    <w:rsid w:val="009D34C0"/>
    <w:rsid w:val="009D4F0D"/>
    <w:rsid w:val="009E0AD0"/>
    <w:rsid w:val="009E11B3"/>
    <w:rsid w:val="009E1E3B"/>
    <w:rsid w:val="009E3C5E"/>
    <w:rsid w:val="009E4D3B"/>
    <w:rsid w:val="009E4DD2"/>
    <w:rsid w:val="009E59BC"/>
    <w:rsid w:val="009E59D6"/>
    <w:rsid w:val="009E79DB"/>
    <w:rsid w:val="009F0E76"/>
    <w:rsid w:val="009F2FD1"/>
    <w:rsid w:val="009F471E"/>
    <w:rsid w:val="009F5253"/>
    <w:rsid w:val="009F54C0"/>
    <w:rsid w:val="009F5816"/>
    <w:rsid w:val="00A0009C"/>
    <w:rsid w:val="00A01DB8"/>
    <w:rsid w:val="00A0205D"/>
    <w:rsid w:val="00A0658C"/>
    <w:rsid w:val="00A06F5B"/>
    <w:rsid w:val="00A071FB"/>
    <w:rsid w:val="00A11690"/>
    <w:rsid w:val="00A11BB8"/>
    <w:rsid w:val="00A13880"/>
    <w:rsid w:val="00A15951"/>
    <w:rsid w:val="00A16442"/>
    <w:rsid w:val="00A23555"/>
    <w:rsid w:val="00A23F7A"/>
    <w:rsid w:val="00A24CA9"/>
    <w:rsid w:val="00A27E9E"/>
    <w:rsid w:val="00A32DB0"/>
    <w:rsid w:val="00A331A0"/>
    <w:rsid w:val="00A33724"/>
    <w:rsid w:val="00A35A6F"/>
    <w:rsid w:val="00A36B22"/>
    <w:rsid w:val="00A36C68"/>
    <w:rsid w:val="00A3741A"/>
    <w:rsid w:val="00A37AFC"/>
    <w:rsid w:val="00A4184E"/>
    <w:rsid w:val="00A429E0"/>
    <w:rsid w:val="00A449E8"/>
    <w:rsid w:val="00A44DA0"/>
    <w:rsid w:val="00A456F6"/>
    <w:rsid w:val="00A4660C"/>
    <w:rsid w:val="00A46BEC"/>
    <w:rsid w:val="00A47873"/>
    <w:rsid w:val="00A524BD"/>
    <w:rsid w:val="00A53438"/>
    <w:rsid w:val="00A55BC9"/>
    <w:rsid w:val="00A56B86"/>
    <w:rsid w:val="00A57421"/>
    <w:rsid w:val="00A603D5"/>
    <w:rsid w:val="00A60D5C"/>
    <w:rsid w:val="00A6138F"/>
    <w:rsid w:val="00A61A7A"/>
    <w:rsid w:val="00A64CED"/>
    <w:rsid w:val="00A654A2"/>
    <w:rsid w:val="00A6726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2D9B"/>
    <w:rsid w:val="00A94E6A"/>
    <w:rsid w:val="00A95BAA"/>
    <w:rsid w:val="00A95E07"/>
    <w:rsid w:val="00A97A29"/>
    <w:rsid w:val="00A97A68"/>
    <w:rsid w:val="00AA0311"/>
    <w:rsid w:val="00AA0C0C"/>
    <w:rsid w:val="00AA0E96"/>
    <w:rsid w:val="00AA5C50"/>
    <w:rsid w:val="00AA79D8"/>
    <w:rsid w:val="00AB4BE6"/>
    <w:rsid w:val="00AB531F"/>
    <w:rsid w:val="00AB6656"/>
    <w:rsid w:val="00AC1736"/>
    <w:rsid w:val="00AC22BF"/>
    <w:rsid w:val="00AC2600"/>
    <w:rsid w:val="00AC4AFF"/>
    <w:rsid w:val="00AC65A1"/>
    <w:rsid w:val="00AC7AF4"/>
    <w:rsid w:val="00AE0153"/>
    <w:rsid w:val="00AE1349"/>
    <w:rsid w:val="00AE1495"/>
    <w:rsid w:val="00AE3239"/>
    <w:rsid w:val="00AE4560"/>
    <w:rsid w:val="00AE5041"/>
    <w:rsid w:val="00AE7C32"/>
    <w:rsid w:val="00AF27A9"/>
    <w:rsid w:val="00AF2CF1"/>
    <w:rsid w:val="00AF2D32"/>
    <w:rsid w:val="00AF360B"/>
    <w:rsid w:val="00AF48FB"/>
    <w:rsid w:val="00AF539C"/>
    <w:rsid w:val="00AF641C"/>
    <w:rsid w:val="00AF66E6"/>
    <w:rsid w:val="00AF7D2E"/>
    <w:rsid w:val="00B00624"/>
    <w:rsid w:val="00B015E3"/>
    <w:rsid w:val="00B065E0"/>
    <w:rsid w:val="00B13479"/>
    <w:rsid w:val="00B211B0"/>
    <w:rsid w:val="00B22A79"/>
    <w:rsid w:val="00B22D45"/>
    <w:rsid w:val="00B260AF"/>
    <w:rsid w:val="00B31398"/>
    <w:rsid w:val="00B32385"/>
    <w:rsid w:val="00B33B3A"/>
    <w:rsid w:val="00B37D85"/>
    <w:rsid w:val="00B41A2D"/>
    <w:rsid w:val="00B41FA8"/>
    <w:rsid w:val="00B42473"/>
    <w:rsid w:val="00B42C69"/>
    <w:rsid w:val="00B43E3E"/>
    <w:rsid w:val="00B44ABC"/>
    <w:rsid w:val="00B45404"/>
    <w:rsid w:val="00B46566"/>
    <w:rsid w:val="00B465D6"/>
    <w:rsid w:val="00B4770F"/>
    <w:rsid w:val="00B505E2"/>
    <w:rsid w:val="00B51BDC"/>
    <w:rsid w:val="00B539DE"/>
    <w:rsid w:val="00B53D41"/>
    <w:rsid w:val="00B55968"/>
    <w:rsid w:val="00B566D9"/>
    <w:rsid w:val="00B60E0C"/>
    <w:rsid w:val="00B61516"/>
    <w:rsid w:val="00B6161E"/>
    <w:rsid w:val="00B61F79"/>
    <w:rsid w:val="00B62657"/>
    <w:rsid w:val="00B65BA0"/>
    <w:rsid w:val="00B6659E"/>
    <w:rsid w:val="00B676B5"/>
    <w:rsid w:val="00B75517"/>
    <w:rsid w:val="00B80202"/>
    <w:rsid w:val="00B82CE2"/>
    <w:rsid w:val="00B82D7E"/>
    <w:rsid w:val="00B83BAD"/>
    <w:rsid w:val="00B84903"/>
    <w:rsid w:val="00B854CC"/>
    <w:rsid w:val="00B9061E"/>
    <w:rsid w:val="00B94457"/>
    <w:rsid w:val="00B9700A"/>
    <w:rsid w:val="00B97CF9"/>
    <w:rsid w:val="00B97E0D"/>
    <w:rsid w:val="00BA0664"/>
    <w:rsid w:val="00BA186B"/>
    <w:rsid w:val="00BA282A"/>
    <w:rsid w:val="00BA2F5B"/>
    <w:rsid w:val="00BA4082"/>
    <w:rsid w:val="00BA4B09"/>
    <w:rsid w:val="00BA55F6"/>
    <w:rsid w:val="00BA591D"/>
    <w:rsid w:val="00BA76A6"/>
    <w:rsid w:val="00BB0122"/>
    <w:rsid w:val="00BB07FC"/>
    <w:rsid w:val="00BB099F"/>
    <w:rsid w:val="00BB307D"/>
    <w:rsid w:val="00BB5895"/>
    <w:rsid w:val="00BB74A5"/>
    <w:rsid w:val="00BB75AF"/>
    <w:rsid w:val="00BC1513"/>
    <w:rsid w:val="00BC195E"/>
    <w:rsid w:val="00BC261C"/>
    <w:rsid w:val="00BC34B3"/>
    <w:rsid w:val="00BC40EC"/>
    <w:rsid w:val="00BC496E"/>
    <w:rsid w:val="00BC4FA2"/>
    <w:rsid w:val="00BC5DD5"/>
    <w:rsid w:val="00BD31D0"/>
    <w:rsid w:val="00BD3764"/>
    <w:rsid w:val="00BD4E89"/>
    <w:rsid w:val="00BD5387"/>
    <w:rsid w:val="00BD7ECC"/>
    <w:rsid w:val="00BE2385"/>
    <w:rsid w:val="00BE32DE"/>
    <w:rsid w:val="00BE4424"/>
    <w:rsid w:val="00BE4680"/>
    <w:rsid w:val="00BE5341"/>
    <w:rsid w:val="00BE5D13"/>
    <w:rsid w:val="00BE758A"/>
    <w:rsid w:val="00BE7C01"/>
    <w:rsid w:val="00BE7E9F"/>
    <w:rsid w:val="00BF1ADD"/>
    <w:rsid w:val="00BF2EF2"/>
    <w:rsid w:val="00BF2FC2"/>
    <w:rsid w:val="00BF381D"/>
    <w:rsid w:val="00BF3E8E"/>
    <w:rsid w:val="00BF542A"/>
    <w:rsid w:val="00BF5C75"/>
    <w:rsid w:val="00BF68EE"/>
    <w:rsid w:val="00BF69D8"/>
    <w:rsid w:val="00BF77DF"/>
    <w:rsid w:val="00BF79FE"/>
    <w:rsid w:val="00BF7B13"/>
    <w:rsid w:val="00C001D3"/>
    <w:rsid w:val="00C007BA"/>
    <w:rsid w:val="00C00A9C"/>
    <w:rsid w:val="00C01BB5"/>
    <w:rsid w:val="00C048EF"/>
    <w:rsid w:val="00C063A1"/>
    <w:rsid w:val="00C0665C"/>
    <w:rsid w:val="00C07899"/>
    <w:rsid w:val="00C113F3"/>
    <w:rsid w:val="00C15011"/>
    <w:rsid w:val="00C15065"/>
    <w:rsid w:val="00C15285"/>
    <w:rsid w:val="00C213D1"/>
    <w:rsid w:val="00C2295C"/>
    <w:rsid w:val="00C2477F"/>
    <w:rsid w:val="00C30A17"/>
    <w:rsid w:val="00C31F9D"/>
    <w:rsid w:val="00C33442"/>
    <w:rsid w:val="00C3361B"/>
    <w:rsid w:val="00C35A93"/>
    <w:rsid w:val="00C40C63"/>
    <w:rsid w:val="00C41427"/>
    <w:rsid w:val="00C41571"/>
    <w:rsid w:val="00C43493"/>
    <w:rsid w:val="00C438AE"/>
    <w:rsid w:val="00C44DCF"/>
    <w:rsid w:val="00C468BD"/>
    <w:rsid w:val="00C50DBF"/>
    <w:rsid w:val="00C540CC"/>
    <w:rsid w:val="00C55759"/>
    <w:rsid w:val="00C55E01"/>
    <w:rsid w:val="00C56D16"/>
    <w:rsid w:val="00C60712"/>
    <w:rsid w:val="00C62970"/>
    <w:rsid w:val="00C65986"/>
    <w:rsid w:val="00C727C3"/>
    <w:rsid w:val="00C737A9"/>
    <w:rsid w:val="00C748C2"/>
    <w:rsid w:val="00C74BA9"/>
    <w:rsid w:val="00C7580C"/>
    <w:rsid w:val="00C77CF4"/>
    <w:rsid w:val="00C81DDE"/>
    <w:rsid w:val="00C83FA4"/>
    <w:rsid w:val="00C86B11"/>
    <w:rsid w:val="00C86C43"/>
    <w:rsid w:val="00C86EA7"/>
    <w:rsid w:val="00C86FB2"/>
    <w:rsid w:val="00C912FB"/>
    <w:rsid w:val="00C92BAA"/>
    <w:rsid w:val="00C93EEC"/>
    <w:rsid w:val="00C9417E"/>
    <w:rsid w:val="00C94D20"/>
    <w:rsid w:val="00C97186"/>
    <w:rsid w:val="00CA040E"/>
    <w:rsid w:val="00CA0A50"/>
    <w:rsid w:val="00CA2FDE"/>
    <w:rsid w:val="00CA33EC"/>
    <w:rsid w:val="00CA429C"/>
    <w:rsid w:val="00CA62FA"/>
    <w:rsid w:val="00CA6A71"/>
    <w:rsid w:val="00CA6D27"/>
    <w:rsid w:val="00CB0403"/>
    <w:rsid w:val="00CB37E7"/>
    <w:rsid w:val="00CB471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A5A"/>
    <w:rsid w:val="00CD7BE9"/>
    <w:rsid w:val="00CD7C3C"/>
    <w:rsid w:val="00CE0083"/>
    <w:rsid w:val="00CE0435"/>
    <w:rsid w:val="00CE272B"/>
    <w:rsid w:val="00CE3301"/>
    <w:rsid w:val="00CE52B3"/>
    <w:rsid w:val="00CE56DF"/>
    <w:rsid w:val="00CE5C4D"/>
    <w:rsid w:val="00CE62AE"/>
    <w:rsid w:val="00CE7663"/>
    <w:rsid w:val="00CF0525"/>
    <w:rsid w:val="00CF2E35"/>
    <w:rsid w:val="00CF767D"/>
    <w:rsid w:val="00D01708"/>
    <w:rsid w:val="00D01D38"/>
    <w:rsid w:val="00D03B5C"/>
    <w:rsid w:val="00D05FF5"/>
    <w:rsid w:val="00D06CB1"/>
    <w:rsid w:val="00D10025"/>
    <w:rsid w:val="00D14038"/>
    <w:rsid w:val="00D142DF"/>
    <w:rsid w:val="00D159C4"/>
    <w:rsid w:val="00D15E55"/>
    <w:rsid w:val="00D178A8"/>
    <w:rsid w:val="00D21CEF"/>
    <w:rsid w:val="00D227C1"/>
    <w:rsid w:val="00D24740"/>
    <w:rsid w:val="00D2582C"/>
    <w:rsid w:val="00D25ADF"/>
    <w:rsid w:val="00D25D7B"/>
    <w:rsid w:val="00D27C1F"/>
    <w:rsid w:val="00D343C2"/>
    <w:rsid w:val="00D34A62"/>
    <w:rsid w:val="00D34BF2"/>
    <w:rsid w:val="00D34FD8"/>
    <w:rsid w:val="00D36967"/>
    <w:rsid w:val="00D40395"/>
    <w:rsid w:val="00D40489"/>
    <w:rsid w:val="00D40CED"/>
    <w:rsid w:val="00D40D21"/>
    <w:rsid w:val="00D424F2"/>
    <w:rsid w:val="00D44877"/>
    <w:rsid w:val="00D44AA1"/>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C38"/>
    <w:rsid w:val="00D872DE"/>
    <w:rsid w:val="00D92359"/>
    <w:rsid w:val="00D9235C"/>
    <w:rsid w:val="00D92DBB"/>
    <w:rsid w:val="00D931AC"/>
    <w:rsid w:val="00D9428D"/>
    <w:rsid w:val="00D95D4A"/>
    <w:rsid w:val="00D96E48"/>
    <w:rsid w:val="00D972B1"/>
    <w:rsid w:val="00D97734"/>
    <w:rsid w:val="00D97F80"/>
    <w:rsid w:val="00D97FE2"/>
    <w:rsid w:val="00DA01A3"/>
    <w:rsid w:val="00DA05CA"/>
    <w:rsid w:val="00DA0AC5"/>
    <w:rsid w:val="00DA5729"/>
    <w:rsid w:val="00DA67EF"/>
    <w:rsid w:val="00DA701D"/>
    <w:rsid w:val="00DA7AFB"/>
    <w:rsid w:val="00DB2E6B"/>
    <w:rsid w:val="00DB3414"/>
    <w:rsid w:val="00DB3494"/>
    <w:rsid w:val="00DB4B7D"/>
    <w:rsid w:val="00DC0193"/>
    <w:rsid w:val="00DC0AE9"/>
    <w:rsid w:val="00DC257B"/>
    <w:rsid w:val="00DC2AA9"/>
    <w:rsid w:val="00DC4C41"/>
    <w:rsid w:val="00DC5A64"/>
    <w:rsid w:val="00DC63AA"/>
    <w:rsid w:val="00DC645C"/>
    <w:rsid w:val="00DD0318"/>
    <w:rsid w:val="00DD0B87"/>
    <w:rsid w:val="00DD2224"/>
    <w:rsid w:val="00DD3074"/>
    <w:rsid w:val="00DD30AA"/>
    <w:rsid w:val="00DD36E6"/>
    <w:rsid w:val="00DD37AC"/>
    <w:rsid w:val="00DD4569"/>
    <w:rsid w:val="00DD4609"/>
    <w:rsid w:val="00DD7B6D"/>
    <w:rsid w:val="00DE18C3"/>
    <w:rsid w:val="00DE27E9"/>
    <w:rsid w:val="00DE4705"/>
    <w:rsid w:val="00DE7BB3"/>
    <w:rsid w:val="00DF1E8F"/>
    <w:rsid w:val="00DF3470"/>
    <w:rsid w:val="00DF3FBD"/>
    <w:rsid w:val="00E0134D"/>
    <w:rsid w:val="00E013D5"/>
    <w:rsid w:val="00E016B7"/>
    <w:rsid w:val="00E03F4B"/>
    <w:rsid w:val="00E0570F"/>
    <w:rsid w:val="00E07D47"/>
    <w:rsid w:val="00E109A5"/>
    <w:rsid w:val="00E1246F"/>
    <w:rsid w:val="00E13118"/>
    <w:rsid w:val="00E13EBD"/>
    <w:rsid w:val="00E15ED9"/>
    <w:rsid w:val="00E17C9F"/>
    <w:rsid w:val="00E202F4"/>
    <w:rsid w:val="00E205BA"/>
    <w:rsid w:val="00E210FE"/>
    <w:rsid w:val="00E253EA"/>
    <w:rsid w:val="00E301A5"/>
    <w:rsid w:val="00E31CE9"/>
    <w:rsid w:val="00E35CEC"/>
    <w:rsid w:val="00E3614C"/>
    <w:rsid w:val="00E371C8"/>
    <w:rsid w:val="00E40A6C"/>
    <w:rsid w:val="00E40BF5"/>
    <w:rsid w:val="00E432F5"/>
    <w:rsid w:val="00E44E50"/>
    <w:rsid w:val="00E45366"/>
    <w:rsid w:val="00E511A0"/>
    <w:rsid w:val="00E53DD6"/>
    <w:rsid w:val="00E54DD0"/>
    <w:rsid w:val="00E55DF2"/>
    <w:rsid w:val="00E56819"/>
    <w:rsid w:val="00E570E8"/>
    <w:rsid w:val="00E5753C"/>
    <w:rsid w:val="00E6063A"/>
    <w:rsid w:val="00E6109D"/>
    <w:rsid w:val="00E65978"/>
    <w:rsid w:val="00E65B69"/>
    <w:rsid w:val="00E67EA0"/>
    <w:rsid w:val="00E71453"/>
    <w:rsid w:val="00E749F0"/>
    <w:rsid w:val="00E74B37"/>
    <w:rsid w:val="00E75715"/>
    <w:rsid w:val="00E76BE8"/>
    <w:rsid w:val="00E82596"/>
    <w:rsid w:val="00E82F00"/>
    <w:rsid w:val="00E833E7"/>
    <w:rsid w:val="00E86901"/>
    <w:rsid w:val="00E939A9"/>
    <w:rsid w:val="00EA014C"/>
    <w:rsid w:val="00EA0226"/>
    <w:rsid w:val="00EA287A"/>
    <w:rsid w:val="00EA2C69"/>
    <w:rsid w:val="00EA2C7B"/>
    <w:rsid w:val="00EA330F"/>
    <w:rsid w:val="00EA3913"/>
    <w:rsid w:val="00EA492C"/>
    <w:rsid w:val="00EA546F"/>
    <w:rsid w:val="00EA7304"/>
    <w:rsid w:val="00EB1886"/>
    <w:rsid w:val="00EB2A2E"/>
    <w:rsid w:val="00EB2A90"/>
    <w:rsid w:val="00EB2CEA"/>
    <w:rsid w:val="00EB39C6"/>
    <w:rsid w:val="00EB4577"/>
    <w:rsid w:val="00EB4672"/>
    <w:rsid w:val="00EB7C38"/>
    <w:rsid w:val="00EC192C"/>
    <w:rsid w:val="00EC1D0C"/>
    <w:rsid w:val="00EC4084"/>
    <w:rsid w:val="00EC6C95"/>
    <w:rsid w:val="00ED2ECA"/>
    <w:rsid w:val="00ED3065"/>
    <w:rsid w:val="00ED34D4"/>
    <w:rsid w:val="00ED4462"/>
    <w:rsid w:val="00ED45F2"/>
    <w:rsid w:val="00ED6BCA"/>
    <w:rsid w:val="00EE0020"/>
    <w:rsid w:val="00EE0128"/>
    <w:rsid w:val="00EE0CF4"/>
    <w:rsid w:val="00EE1B7B"/>
    <w:rsid w:val="00EE1C9E"/>
    <w:rsid w:val="00EE75AF"/>
    <w:rsid w:val="00EE7A56"/>
    <w:rsid w:val="00EF2E52"/>
    <w:rsid w:val="00EF3B15"/>
    <w:rsid w:val="00EF45E5"/>
    <w:rsid w:val="00EF4832"/>
    <w:rsid w:val="00EF4BC6"/>
    <w:rsid w:val="00EF4E96"/>
    <w:rsid w:val="00EF6574"/>
    <w:rsid w:val="00EF69A0"/>
    <w:rsid w:val="00EF78D5"/>
    <w:rsid w:val="00EF7CD8"/>
    <w:rsid w:val="00EF7FF3"/>
    <w:rsid w:val="00F03A3A"/>
    <w:rsid w:val="00F044D3"/>
    <w:rsid w:val="00F066BF"/>
    <w:rsid w:val="00F10C04"/>
    <w:rsid w:val="00F10FEA"/>
    <w:rsid w:val="00F11255"/>
    <w:rsid w:val="00F11498"/>
    <w:rsid w:val="00F11C72"/>
    <w:rsid w:val="00F13EC5"/>
    <w:rsid w:val="00F156B4"/>
    <w:rsid w:val="00F15772"/>
    <w:rsid w:val="00F20E5B"/>
    <w:rsid w:val="00F2131E"/>
    <w:rsid w:val="00F22381"/>
    <w:rsid w:val="00F23CE9"/>
    <w:rsid w:val="00F24F51"/>
    <w:rsid w:val="00F2515C"/>
    <w:rsid w:val="00F276D3"/>
    <w:rsid w:val="00F308FE"/>
    <w:rsid w:val="00F33841"/>
    <w:rsid w:val="00F348C4"/>
    <w:rsid w:val="00F36FF2"/>
    <w:rsid w:val="00F41228"/>
    <w:rsid w:val="00F413EE"/>
    <w:rsid w:val="00F41E01"/>
    <w:rsid w:val="00F42493"/>
    <w:rsid w:val="00F44E85"/>
    <w:rsid w:val="00F4543B"/>
    <w:rsid w:val="00F46053"/>
    <w:rsid w:val="00F46CDD"/>
    <w:rsid w:val="00F470B1"/>
    <w:rsid w:val="00F470C9"/>
    <w:rsid w:val="00F506B7"/>
    <w:rsid w:val="00F5748F"/>
    <w:rsid w:val="00F62C7B"/>
    <w:rsid w:val="00F6425E"/>
    <w:rsid w:val="00F651C3"/>
    <w:rsid w:val="00F66195"/>
    <w:rsid w:val="00F70596"/>
    <w:rsid w:val="00F7068F"/>
    <w:rsid w:val="00F74872"/>
    <w:rsid w:val="00F752FE"/>
    <w:rsid w:val="00F77C81"/>
    <w:rsid w:val="00F800F8"/>
    <w:rsid w:val="00F814F2"/>
    <w:rsid w:val="00F82570"/>
    <w:rsid w:val="00F84DCA"/>
    <w:rsid w:val="00F862CB"/>
    <w:rsid w:val="00F86D96"/>
    <w:rsid w:val="00F90F96"/>
    <w:rsid w:val="00F92BED"/>
    <w:rsid w:val="00F967D5"/>
    <w:rsid w:val="00FA145B"/>
    <w:rsid w:val="00FA401B"/>
    <w:rsid w:val="00FB12F1"/>
    <w:rsid w:val="00FB1F12"/>
    <w:rsid w:val="00FB475F"/>
    <w:rsid w:val="00FB54FA"/>
    <w:rsid w:val="00FB65E5"/>
    <w:rsid w:val="00FB7A2A"/>
    <w:rsid w:val="00FC0646"/>
    <w:rsid w:val="00FC075C"/>
    <w:rsid w:val="00FC2A5D"/>
    <w:rsid w:val="00FC30C6"/>
    <w:rsid w:val="00FC39F7"/>
    <w:rsid w:val="00FC3A2C"/>
    <w:rsid w:val="00FC63C7"/>
    <w:rsid w:val="00FC7146"/>
    <w:rsid w:val="00FC76A2"/>
    <w:rsid w:val="00FD11ED"/>
    <w:rsid w:val="00FD1414"/>
    <w:rsid w:val="00FD40B4"/>
    <w:rsid w:val="00FD5F9B"/>
    <w:rsid w:val="00FD6576"/>
    <w:rsid w:val="00FD6A9D"/>
    <w:rsid w:val="00FD6AFD"/>
    <w:rsid w:val="00FE15FC"/>
    <w:rsid w:val="00FE1B44"/>
    <w:rsid w:val="00FE4758"/>
    <w:rsid w:val="00FE5296"/>
    <w:rsid w:val="00FE57D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93"/>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12126D"/>
    <w:rPr>
      <w:color w:val="1F497D" w:themeColor="text2"/>
      <w:u w:val="single" w:color="1F497D" w:themeColor="text2"/>
    </w:rPr>
  </w:style>
  <w:style w:type="paragraph" w:styleId="FootnoteText">
    <w:name w:val="footnote text"/>
    <w:basedOn w:val="Normal"/>
    <w:rsid w:val="006765C6"/>
    <w:rPr>
      <w:rFonts w:eastAsia="MS Mincho"/>
      <w:sz w:val="18"/>
      <w:szCs w:val="18"/>
      <w:lang w:val="en-NZ" w:eastAsia="ja-JP"/>
    </w:rPr>
  </w:style>
  <w:style w:type="character" w:styleId="FootnoteReference">
    <w:name w:val="footnote reference"/>
    <w:basedOn w:val="DefaultParagraphFont"/>
    <w:rsid w:val="006765C6"/>
    <w:rPr>
      <w:rFonts w:ascii="Times New Roman" w:hAnsi="Times New Roman"/>
      <w:sz w:val="22"/>
      <w:szCs w:val="18"/>
      <w:vertAlign w:val="superscript"/>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
    <w:name w:val="Chapter 7"/>
    <w:basedOn w:val="Chapter1"/>
    <w:link w:val="Chapter7Char"/>
    <w:rsid w:val="000360A6"/>
    <w:pPr>
      <w:numPr>
        <w:numId w:val="17"/>
      </w:numPr>
      <w:ind w:left="851" w:hanging="851"/>
    </w:pPr>
    <w:rPr>
      <w:szCs w:val="24"/>
    </w:rPr>
  </w:style>
  <w:style w:type="character" w:customStyle="1" w:styleId="Chapter7Char">
    <w:name w:val="Chapter 7 Char"/>
    <w:link w:val="Chapter7"/>
    <w:rsid w:val="000360A6"/>
    <w:rPr>
      <w:sz w:val="24"/>
      <w:szCs w:val="24"/>
      <w:lang w:eastAsia="en-AU"/>
    </w:rPr>
  </w:style>
  <w:style w:type="paragraph" w:customStyle="1" w:styleId="Chapter8">
    <w:name w:val="Chapter 8"/>
    <w:basedOn w:val="Chapter1"/>
    <w:link w:val="Chapter8Char"/>
    <w:rsid w:val="00311DBB"/>
    <w:pPr>
      <w:numPr>
        <w:numId w:val="13"/>
      </w:numPr>
      <w:ind w:left="851" w:hanging="851"/>
    </w:pPr>
    <w:rPr>
      <w:szCs w:val="24"/>
      <w:lang w:val="en-AU"/>
    </w:rPr>
  </w:style>
  <w:style w:type="character" w:customStyle="1" w:styleId="Chapter8Char">
    <w:name w:val="Chapter 8 Char"/>
    <w:basedOn w:val="DefaultParagraphFont"/>
    <w:link w:val="Chapter8"/>
    <w:rsid w:val="00541B8D"/>
    <w:rPr>
      <w:sz w:val="24"/>
      <w:szCs w:val="24"/>
      <w:lang w:val="en-AU" w:eastAsia="en-AU"/>
    </w:rPr>
  </w:style>
  <w:style w:type="paragraph" w:customStyle="1" w:styleId="Chapter9">
    <w:name w:val="Chapter 9"/>
    <w:basedOn w:val="Normal"/>
    <w:link w:val="Chapter9Char"/>
    <w:rsid w:val="00311DBB"/>
    <w:pPr>
      <w:numPr>
        <w:numId w:val="4"/>
      </w:numPr>
      <w:tabs>
        <w:tab w:val="clear" w:pos="567"/>
        <w:tab w:val="num" w:pos="851"/>
      </w:tabs>
      <w:ind w:left="851" w:hanging="851"/>
    </w:pPr>
    <w:rPr>
      <w:szCs w:val="24"/>
      <w:lang w:val="en-AU"/>
    </w:rPr>
  </w:style>
  <w:style w:type="character" w:customStyle="1" w:styleId="Chapter9Char">
    <w:name w:val="Chapter 9 Char"/>
    <w:basedOn w:val="DefaultParagraphFont"/>
    <w:link w:val="Chapter9"/>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4"/>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1stlevel">
    <w:name w:val="Bullet 1st level"/>
    <w:basedOn w:val="Normal"/>
    <w:rsid w:val="0022388C"/>
    <w:pPr>
      <w:numPr>
        <w:numId w:val="18"/>
      </w:numPr>
      <w:tabs>
        <w:tab w:val="left" w:pos="1418"/>
      </w:tabs>
      <w:spacing w:after="140"/>
      <w:ind w:left="1418" w:hanging="567"/>
    </w:pPr>
  </w:style>
  <w:style w:type="paragraph" w:customStyle="1" w:styleId="Chapter1">
    <w:name w:val="Chapter 1"/>
    <w:link w:val="Chapter1Char1"/>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
    <w:name w:val="Chapter 5"/>
    <w:basedOn w:val="Chapter1"/>
    <w:link w:val="Chapter5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Indentbullet">
    <w:name w:val="Indent bullet"/>
    <w:basedOn w:val="Normal"/>
    <w:rsid w:val="00725975"/>
    <w:pPr>
      <w:numPr>
        <w:numId w:val="12"/>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A95E07"/>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5"/>
      </w:numPr>
    </w:pPr>
  </w:style>
  <w:style w:type="paragraph" w:customStyle="1" w:styleId="Bullets2ndlevel">
    <w:name w:val="Bullets 2nd level"/>
    <w:basedOn w:val="Bullet1stlevel"/>
    <w:link w:val="Bullets2ndlevelChar"/>
    <w:rsid w:val="0010174D"/>
    <w:pPr>
      <w:numPr>
        <w:numId w:val="19"/>
      </w:numPr>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
    <w:name w:val="Chapter 5 Char"/>
    <w:basedOn w:val="Chapter1Char1"/>
    <w:link w:val="Chapter5"/>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2ndlevelChar">
    <w:name w:val="Bullets 2nd level Char"/>
    <w:basedOn w:val="DefaultParagraphFont"/>
    <w:link w:val="Bullets2ndlevel"/>
    <w:rsid w:val="001017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character" w:styleId="PlaceholderText">
    <w:name w:val="Placeholder Text"/>
    <w:basedOn w:val="DefaultParagraphFont"/>
    <w:uiPriority w:val="99"/>
    <w:semiHidden/>
    <w:rsid w:val="00F62C7B"/>
    <w:rPr>
      <w:color w:val="808080"/>
    </w:rPr>
  </w:style>
  <w:style w:type="paragraph" w:styleId="ListParagraph">
    <w:name w:val="List Paragraph"/>
    <w:basedOn w:val="Normal"/>
    <w:uiPriority w:val="34"/>
    <w:qFormat/>
    <w:rsid w:val="00933D88"/>
    <w:pPr>
      <w:ind w:left="720"/>
      <w:contextualSpacing/>
    </w:pPr>
  </w:style>
  <w:style w:type="character" w:styleId="FollowedHyperlink">
    <w:name w:val="FollowedHyperlink"/>
    <w:basedOn w:val="DefaultParagraphFont"/>
    <w:uiPriority w:val="99"/>
    <w:semiHidden/>
    <w:unhideWhenUsed/>
    <w:rsid w:val="005A2A76"/>
    <w:rPr>
      <w:color w:val="800080" w:themeColor="followedHyperlink"/>
      <w:u w:val="single"/>
    </w:rPr>
  </w:style>
  <w:style w:type="paragraph" w:customStyle="1" w:styleId="Default">
    <w:name w:val="Default"/>
    <w:rsid w:val="00D97FE2"/>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93"/>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12126D"/>
    <w:rPr>
      <w:color w:val="1F497D" w:themeColor="text2"/>
      <w:u w:val="single" w:color="1F497D" w:themeColor="text2"/>
    </w:rPr>
  </w:style>
  <w:style w:type="paragraph" w:styleId="FootnoteText">
    <w:name w:val="footnote text"/>
    <w:basedOn w:val="Normal"/>
    <w:rsid w:val="006765C6"/>
    <w:rPr>
      <w:rFonts w:eastAsia="MS Mincho"/>
      <w:sz w:val="18"/>
      <w:szCs w:val="18"/>
      <w:lang w:val="en-NZ" w:eastAsia="ja-JP"/>
    </w:rPr>
  </w:style>
  <w:style w:type="character" w:styleId="FootnoteReference">
    <w:name w:val="footnote reference"/>
    <w:basedOn w:val="DefaultParagraphFont"/>
    <w:rsid w:val="006765C6"/>
    <w:rPr>
      <w:rFonts w:ascii="Times New Roman" w:hAnsi="Times New Roman"/>
      <w:sz w:val="22"/>
      <w:szCs w:val="18"/>
      <w:vertAlign w:val="superscript"/>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
    <w:name w:val="Chapter 7"/>
    <w:basedOn w:val="Chapter1"/>
    <w:link w:val="Chapter7Char"/>
    <w:rsid w:val="000360A6"/>
    <w:pPr>
      <w:numPr>
        <w:numId w:val="17"/>
      </w:numPr>
      <w:ind w:left="851" w:hanging="851"/>
    </w:pPr>
    <w:rPr>
      <w:szCs w:val="24"/>
    </w:rPr>
  </w:style>
  <w:style w:type="character" w:customStyle="1" w:styleId="Chapter7Char">
    <w:name w:val="Chapter 7 Char"/>
    <w:link w:val="Chapter7"/>
    <w:rsid w:val="000360A6"/>
    <w:rPr>
      <w:sz w:val="24"/>
      <w:szCs w:val="24"/>
      <w:lang w:eastAsia="en-AU"/>
    </w:rPr>
  </w:style>
  <w:style w:type="paragraph" w:customStyle="1" w:styleId="Chapter8">
    <w:name w:val="Chapter 8"/>
    <w:basedOn w:val="Chapter1"/>
    <w:link w:val="Chapter8Char"/>
    <w:rsid w:val="00311DBB"/>
    <w:pPr>
      <w:numPr>
        <w:numId w:val="13"/>
      </w:numPr>
      <w:ind w:left="851" w:hanging="851"/>
    </w:pPr>
    <w:rPr>
      <w:szCs w:val="24"/>
      <w:lang w:val="en-AU"/>
    </w:rPr>
  </w:style>
  <w:style w:type="character" w:customStyle="1" w:styleId="Chapter8Char">
    <w:name w:val="Chapter 8 Char"/>
    <w:basedOn w:val="DefaultParagraphFont"/>
    <w:link w:val="Chapter8"/>
    <w:rsid w:val="00541B8D"/>
    <w:rPr>
      <w:sz w:val="24"/>
      <w:szCs w:val="24"/>
      <w:lang w:val="en-AU" w:eastAsia="en-AU"/>
    </w:rPr>
  </w:style>
  <w:style w:type="paragraph" w:customStyle="1" w:styleId="Chapter9">
    <w:name w:val="Chapter 9"/>
    <w:basedOn w:val="Normal"/>
    <w:link w:val="Chapter9Char"/>
    <w:rsid w:val="00311DBB"/>
    <w:pPr>
      <w:numPr>
        <w:numId w:val="4"/>
      </w:numPr>
      <w:tabs>
        <w:tab w:val="clear" w:pos="567"/>
        <w:tab w:val="num" w:pos="851"/>
      </w:tabs>
      <w:ind w:left="851" w:hanging="851"/>
    </w:pPr>
    <w:rPr>
      <w:szCs w:val="24"/>
      <w:lang w:val="en-AU"/>
    </w:rPr>
  </w:style>
  <w:style w:type="character" w:customStyle="1" w:styleId="Chapter9Char">
    <w:name w:val="Chapter 9 Char"/>
    <w:basedOn w:val="DefaultParagraphFont"/>
    <w:link w:val="Chapter9"/>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4"/>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1stlevel">
    <w:name w:val="Bullet 1st level"/>
    <w:basedOn w:val="Normal"/>
    <w:rsid w:val="0022388C"/>
    <w:pPr>
      <w:numPr>
        <w:numId w:val="18"/>
      </w:numPr>
      <w:tabs>
        <w:tab w:val="left" w:pos="1418"/>
      </w:tabs>
      <w:spacing w:after="140"/>
      <w:ind w:left="1418" w:hanging="567"/>
    </w:pPr>
  </w:style>
  <w:style w:type="paragraph" w:customStyle="1" w:styleId="Chapter1">
    <w:name w:val="Chapter 1"/>
    <w:link w:val="Chapter1Char1"/>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
    <w:name w:val="Chapter 5"/>
    <w:basedOn w:val="Chapter1"/>
    <w:link w:val="Chapter5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Indentbullet">
    <w:name w:val="Indent bullet"/>
    <w:basedOn w:val="Normal"/>
    <w:rsid w:val="00725975"/>
    <w:pPr>
      <w:numPr>
        <w:numId w:val="12"/>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A95E07"/>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5"/>
      </w:numPr>
    </w:pPr>
  </w:style>
  <w:style w:type="paragraph" w:customStyle="1" w:styleId="Bullets2ndlevel">
    <w:name w:val="Bullets 2nd level"/>
    <w:basedOn w:val="Bullet1stlevel"/>
    <w:link w:val="Bullets2ndlevelChar"/>
    <w:rsid w:val="0010174D"/>
    <w:pPr>
      <w:numPr>
        <w:numId w:val="19"/>
      </w:numPr>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
    <w:name w:val="Chapter 5 Char"/>
    <w:basedOn w:val="Chapter1Char1"/>
    <w:link w:val="Chapter5"/>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2ndlevelChar">
    <w:name w:val="Bullets 2nd level Char"/>
    <w:basedOn w:val="DefaultParagraphFont"/>
    <w:link w:val="Bullets2ndlevel"/>
    <w:rsid w:val="001017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character" w:styleId="PlaceholderText">
    <w:name w:val="Placeholder Text"/>
    <w:basedOn w:val="DefaultParagraphFont"/>
    <w:uiPriority w:val="99"/>
    <w:semiHidden/>
    <w:rsid w:val="00F62C7B"/>
    <w:rPr>
      <w:color w:val="808080"/>
    </w:rPr>
  </w:style>
  <w:style w:type="paragraph" w:styleId="ListParagraph">
    <w:name w:val="List Paragraph"/>
    <w:basedOn w:val="Normal"/>
    <w:uiPriority w:val="34"/>
    <w:qFormat/>
    <w:rsid w:val="00933D88"/>
    <w:pPr>
      <w:ind w:left="720"/>
      <w:contextualSpacing/>
    </w:pPr>
  </w:style>
  <w:style w:type="character" w:styleId="FollowedHyperlink">
    <w:name w:val="FollowedHyperlink"/>
    <w:basedOn w:val="DefaultParagraphFont"/>
    <w:uiPriority w:val="99"/>
    <w:semiHidden/>
    <w:unhideWhenUsed/>
    <w:rsid w:val="005A2A76"/>
    <w:rPr>
      <w:color w:val="800080" w:themeColor="followedHyperlink"/>
      <w:u w:val="single"/>
    </w:rPr>
  </w:style>
  <w:style w:type="paragraph" w:customStyle="1" w:styleId="Default">
    <w:name w:val="Default"/>
    <w:rsid w:val="00D97FE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licy.webmaster@ird.govt.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7E3C-C478-4077-8F89-563C719A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4704</Words>
  <Characters>24372</Characters>
  <Application>Microsoft Office Word</Application>
  <DocSecurity>0</DocSecurity>
  <Lines>738</Lines>
  <Paragraphs>212</Paragraphs>
  <ScaleCrop>false</ScaleCrop>
  <HeadingPairs>
    <vt:vector size="2" baseType="variant">
      <vt:variant>
        <vt:lpstr>Title</vt:lpstr>
      </vt:variant>
      <vt:variant>
        <vt:i4>1</vt:i4>
      </vt:variant>
    </vt:vector>
  </HeadingPairs>
  <TitlesOfParts>
    <vt:vector size="1" baseType="lpstr">
      <vt:lpstr>Ring-fencing rental losses – an officials’ issues paper (March 2018)</vt:lpstr>
    </vt:vector>
  </TitlesOfParts>
  <Company>Inland Revenue</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Ring-fencing rental losses – an officials’ issues paper (March 2018)</dc:title>
  <dc:creator>Policy and Strategy</dc:creator>
  <cp:lastModifiedBy>Charles Ngaki</cp:lastModifiedBy>
  <cp:revision>2</cp:revision>
  <dcterms:created xsi:type="dcterms:W3CDTF">2018-03-28T21:23:00Z</dcterms:created>
  <dcterms:modified xsi:type="dcterms:W3CDTF">2018-03-28T21:23:00Z</dcterms:modified>
</cp:coreProperties>
</file>