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93226" w14:textId="77777777" w:rsidR="00CE2585" w:rsidRPr="00CE2585" w:rsidRDefault="00CE2585" w:rsidP="00CE2585">
      <w:pPr>
        <w:rPr>
          <w:rFonts w:eastAsia="Times New Roman" w:cs="Times New Roman"/>
          <w:szCs w:val="20"/>
          <w:lang w:eastAsia="en-AU"/>
        </w:rPr>
      </w:pPr>
      <w:bookmarkStart w:id="0" w:name="_Toc429977995"/>
    </w:p>
    <w:p w14:paraId="3405AE3A" w14:textId="77777777" w:rsidR="00CE2585" w:rsidRPr="00CE2585" w:rsidRDefault="00CE2585" w:rsidP="00CE2585">
      <w:pPr>
        <w:rPr>
          <w:rFonts w:eastAsia="Times New Roman" w:cs="Times New Roman"/>
          <w:szCs w:val="20"/>
          <w:lang w:eastAsia="en-AU"/>
        </w:rPr>
      </w:pPr>
    </w:p>
    <w:p w14:paraId="58F9B96A" w14:textId="77777777" w:rsidR="00CE2585" w:rsidRPr="00CE2585" w:rsidRDefault="00CE2585" w:rsidP="00CE2585">
      <w:pPr>
        <w:rPr>
          <w:rFonts w:eastAsia="Times New Roman" w:cs="Times New Roman"/>
          <w:szCs w:val="20"/>
          <w:lang w:eastAsia="en-AU"/>
        </w:rPr>
      </w:pPr>
    </w:p>
    <w:p w14:paraId="7F4B093F" w14:textId="77777777" w:rsidR="00CE2585" w:rsidRPr="00CE2585" w:rsidRDefault="00CE2585" w:rsidP="00CE2585">
      <w:pPr>
        <w:rPr>
          <w:rFonts w:eastAsia="Times New Roman" w:cs="Times New Roman"/>
          <w:szCs w:val="20"/>
          <w:lang w:eastAsia="en-AU"/>
        </w:rPr>
      </w:pPr>
    </w:p>
    <w:p w14:paraId="7CAEABBF" w14:textId="77777777" w:rsidR="00CE2585" w:rsidRPr="00CE2585" w:rsidRDefault="00CE2585" w:rsidP="00CE2585">
      <w:pPr>
        <w:rPr>
          <w:rFonts w:eastAsia="Times New Roman" w:cs="Times New Roman"/>
          <w:szCs w:val="20"/>
          <w:lang w:eastAsia="en-AU"/>
        </w:rPr>
      </w:pPr>
    </w:p>
    <w:p w14:paraId="53FFB3F3" w14:textId="77777777" w:rsidR="00CE2585" w:rsidRPr="00CE2585" w:rsidRDefault="00CE2585" w:rsidP="00CE2585">
      <w:pPr>
        <w:rPr>
          <w:rFonts w:eastAsia="Times New Roman" w:cs="Times New Roman"/>
          <w:szCs w:val="20"/>
          <w:lang w:eastAsia="en-AU"/>
        </w:rPr>
      </w:pPr>
    </w:p>
    <w:p w14:paraId="13A74AF8" w14:textId="77777777" w:rsidR="00CE2585" w:rsidRPr="00CE2585" w:rsidRDefault="00CE2585" w:rsidP="00CE2585">
      <w:pPr>
        <w:rPr>
          <w:rFonts w:eastAsia="Times New Roman" w:cs="Times New Roman"/>
          <w:szCs w:val="20"/>
          <w:lang w:eastAsia="en-AU"/>
        </w:rPr>
      </w:pPr>
    </w:p>
    <w:p w14:paraId="13F3CFD5" w14:textId="77777777" w:rsidR="00CE2585" w:rsidRPr="00CE2585" w:rsidRDefault="00CE2585" w:rsidP="00CE2585">
      <w:pPr>
        <w:rPr>
          <w:rFonts w:eastAsia="Times New Roman" w:cs="Times New Roman"/>
          <w:szCs w:val="20"/>
          <w:lang w:eastAsia="en-AU"/>
        </w:rPr>
      </w:pPr>
    </w:p>
    <w:p w14:paraId="0B78D9A7" w14:textId="77777777" w:rsidR="00CE2585" w:rsidRPr="00CE2585" w:rsidRDefault="00CE2585" w:rsidP="00CE2585">
      <w:pPr>
        <w:rPr>
          <w:rFonts w:eastAsia="Times New Roman" w:cs="Times New Roman"/>
          <w:szCs w:val="20"/>
          <w:lang w:eastAsia="en-AU"/>
        </w:rPr>
      </w:pPr>
    </w:p>
    <w:p w14:paraId="364282C8" w14:textId="77777777" w:rsidR="00CE2585" w:rsidRPr="00CE2585" w:rsidRDefault="00CE2585" w:rsidP="00CE2585">
      <w:pPr>
        <w:rPr>
          <w:rFonts w:eastAsia="Times New Roman" w:cs="Times New Roman"/>
          <w:szCs w:val="20"/>
          <w:lang w:eastAsia="en-AU"/>
        </w:rPr>
      </w:pPr>
    </w:p>
    <w:p w14:paraId="582407ED" w14:textId="7251E51C" w:rsidR="000A412F" w:rsidRPr="000A412F" w:rsidRDefault="000A412F" w:rsidP="000A412F">
      <w:pPr>
        <w:pBdr>
          <w:bottom w:val="single" w:sz="4" w:space="6" w:color="auto"/>
        </w:pBdr>
        <w:jc w:val="left"/>
        <w:rPr>
          <w:rFonts w:eastAsia="Times New Roman" w:cs="Times New Roman"/>
          <w:b/>
          <w:sz w:val="48"/>
          <w:szCs w:val="20"/>
          <w:lang w:val="en-US" w:eastAsia="en-AU"/>
        </w:rPr>
      </w:pPr>
      <w:bookmarkStart w:id="1" w:name="_GoBack"/>
      <w:r w:rsidRPr="000A412F">
        <w:rPr>
          <w:rFonts w:eastAsia="Times New Roman" w:cs="Times New Roman"/>
          <w:b/>
          <w:sz w:val="48"/>
          <w:szCs w:val="20"/>
          <w:lang w:val="en-US" w:eastAsia="en-AU"/>
        </w:rPr>
        <w:t>Taxation (Research and Development Tax Credits) Bill</w:t>
      </w:r>
      <w:bookmarkEnd w:id="1"/>
    </w:p>
    <w:p w14:paraId="05FE01F8" w14:textId="77777777" w:rsidR="00CE2585" w:rsidRPr="00CE2585" w:rsidRDefault="00CE2585" w:rsidP="00350365">
      <w:pPr>
        <w:rPr>
          <w:rFonts w:eastAsia="Times New Roman" w:cs="Times New Roman"/>
          <w:szCs w:val="20"/>
          <w:lang w:eastAsia="en-AU"/>
        </w:rPr>
      </w:pPr>
    </w:p>
    <w:p w14:paraId="7C9E3DDD" w14:textId="77777777" w:rsidR="00CE2585" w:rsidRPr="00CE2585" w:rsidRDefault="00CE2585" w:rsidP="00CE2585">
      <w:pPr>
        <w:rPr>
          <w:rFonts w:eastAsia="Times New Roman" w:cs="Times New Roman"/>
          <w:szCs w:val="20"/>
          <w:lang w:eastAsia="en-AU"/>
        </w:rPr>
      </w:pPr>
    </w:p>
    <w:p w14:paraId="5DB83F05" w14:textId="77777777" w:rsidR="00CE2585" w:rsidRPr="00D50DD6" w:rsidRDefault="00CE2585" w:rsidP="00D50DD6">
      <w:pPr>
        <w:rPr>
          <w:i/>
          <w:sz w:val="36"/>
          <w:szCs w:val="36"/>
          <w:lang w:eastAsia="en-AU"/>
        </w:rPr>
      </w:pPr>
      <w:r w:rsidRPr="00D50DD6">
        <w:rPr>
          <w:i/>
          <w:sz w:val="36"/>
          <w:szCs w:val="36"/>
          <w:lang w:eastAsia="en-AU"/>
        </w:rPr>
        <w:t>Commentary on the Bill</w:t>
      </w:r>
    </w:p>
    <w:p w14:paraId="005686DA" w14:textId="77777777" w:rsidR="00CE2585" w:rsidRPr="00CE2585" w:rsidRDefault="00CE2585" w:rsidP="00CE2585">
      <w:pPr>
        <w:rPr>
          <w:rFonts w:eastAsia="Times New Roman" w:cs="Times New Roman"/>
          <w:szCs w:val="20"/>
          <w:lang w:eastAsia="en-AU"/>
        </w:rPr>
      </w:pPr>
    </w:p>
    <w:p w14:paraId="127FF91E" w14:textId="77777777" w:rsidR="00CE2585" w:rsidRPr="00CE2585" w:rsidRDefault="00CE2585" w:rsidP="00CE2585">
      <w:pPr>
        <w:rPr>
          <w:rFonts w:eastAsia="Times New Roman" w:cs="Times New Roman"/>
          <w:szCs w:val="20"/>
          <w:lang w:eastAsia="en-AU"/>
        </w:rPr>
      </w:pPr>
    </w:p>
    <w:p w14:paraId="5284B5E9" w14:textId="77777777" w:rsidR="00CE2585" w:rsidRPr="00CE2585" w:rsidRDefault="00CE2585" w:rsidP="00CE2585">
      <w:pPr>
        <w:rPr>
          <w:rFonts w:eastAsia="Times New Roman" w:cs="Times New Roman"/>
          <w:szCs w:val="20"/>
          <w:lang w:eastAsia="en-AU"/>
        </w:rPr>
      </w:pPr>
    </w:p>
    <w:p w14:paraId="484394D3" w14:textId="77777777" w:rsidR="00CE2585" w:rsidRPr="00CE2585" w:rsidRDefault="00CE2585" w:rsidP="00CE2585">
      <w:pPr>
        <w:rPr>
          <w:rFonts w:eastAsia="Times New Roman" w:cs="Times New Roman"/>
          <w:szCs w:val="20"/>
          <w:lang w:eastAsia="en-AU"/>
        </w:rPr>
      </w:pPr>
    </w:p>
    <w:p w14:paraId="63B14542" w14:textId="77777777" w:rsidR="00CE2585" w:rsidRPr="00CE2585" w:rsidRDefault="00CE2585" w:rsidP="00CE2585">
      <w:pPr>
        <w:rPr>
          <w:rFonts w:eastAsia="Times New Roman" w:cs="Times New Roman"/>
          <w:szCs w:val="20"/>
          <w:lang w:eastAsia="en-AU"/>
        </w:rPr>
      </w:pPr>
    </w:p>
    <w:p w14:paraId="22BAD051" w14:textId="77777777" w:rsidR="00CE2585" w:rsidRPr="00CE2585" w:rsidRDefault="00CE2585" w:rsidP="00CE2585">
      <w:pPr>
        <w:rPr>
          <w:rFonts w:eastAsia="Times New Roman" w:cs="Times New Roman"/>
          <w:szCs w:val="20"/>
          <w:lang w:eastAsia="en-AU"/>
        </w:rPr>
      </w:pPr>
    </w:p>
    <w:p w14:paraId="73D67702" w14:textId="77777777" w:rsidR="00CE2585" w:rsidRPr="00CE2585" w:rsidRDefault="00CE2585" w:rsidP="00CE2585">
      <w:pPr>
        <w:rPr>
          <w:rFonts w:eastAsia="Times New Roman" w:cs="Times New Roman"/>
          <w:szCs w:val="20"/>
          <w:lang w:eastAsia="en-AU"/>
        </w:rPr>
      </w:pPr>
    </w:p>
    <w:p w14:paraId="05A081CA" w14:textId="77777777" w:rsidR="00CE2585" w:rsidRPr="00CE2585" w:rsidRDefault="00CE2585" w:rsidP="00CE2585">
      <w:pPr>
        <w:rPr>
          <w:rFonts w:eastAsia="Times New Roman" w:cs="Times New Roman"/>
          <w:szCs w:val="20"/>
          <w:lang w:eastAsia="en-AU"/>
        </w:rPr>
      </w:pPr>
    </w:p>
    <w:p w14:paraId="799FD1CF" w14:textId="77777777" w:rsidR="00CE2585" w:rsidRPr="00CE2585" w:rsidRDefault="00CE2585" w:rsidP="00CE2585">
      <w:pPr>
        <w:rPr>
          <w:rFonts w:eastAsia="Times New Roman" w:cs="Times New Roman"/>
          <w:szCs w:val="20"/>
          <w:lang w:eastAsia="en-AU"/>
        </w:rPr>
      </w:pPr>
    </w:p>
    <w:p w14:paraId="0340F195" w14:textId="77777777" w:rsidR="00CE2585" w:rsidRPr="00CE2585" w:rsidRDefault="00CE2585" w:rsidP="00CE2585">
      <w:pPr>
        <w:rPr>
          <w:rFonts w:eastAsia="Times New Roman" w:cs="Times New Roman"/>
          <w:szCs w:val="20"/>
          <w:lang w:eastAsia="en-AU"/>
        </w:rPr>
      </w:pPr>
    </w:p>
    <w:p w14:paraId="6D808C83" w14:textId="77777777" w:rsidR="00CE2585" w:rsidRPr="00CE2585" w:rsidRDefault="00CE2585" w:rsidP="00CE2585">
      <w:pPr>
        <w:rPr>
          <w:rFonts w:eastAsia="Times New Roman" w:cs="Times New Roman"/>
          <w:szCs w:val="20"/>
          <w:lang w:eastAsia="en-AU"/>
        </w:rPr>
      </w:pPr>
    </w:p>
    <w:p w14:paraId="779B5DF2" w14:textId="77777777" w:rsidR="00CE2585" w:rsidRPr="00CE2585" w:rsidRDefault="00CE2585" w:rsidP="00CE2585">
      <w:pPr>
        <w:rPr>
          <w:rFonts w:eastAsia="Times New Roman" w:cs="Times New Roman"/>
          <w:szCs w:val="20"/>
          <w:lang w:eastAsia="en-AU"/>
        </w:rPr>
      </w:pPr>
    </w:p>
    <w:p w14:paraId="1E701476" w14:textId="77777777" w:rsidR="00CE2585" w:rsidRPr="00CE2585" w:rsidRDefault="00CE2585" w:rsidP="00CE2585">
      <w:pPr>
        <w:rPr>
          <w:rFonts w:eastAsia="Times New Roman" w:cs="Times New Roman"/>
          <w:szCs w:val="20"/>
          <w:lang w:eastAsia="en-AU"/>
        </w:rPr>
      </w:pPr>
    </w:p>
    <w:p w14:paraId="4CCDBCF9" w14:textId="77777777" w:rsidR="00CE2585" w:rsidRPr="00CE2585" w:rsidRDefault="00CE2585" w:rsidP="00CE2585">
      <w:pPr>
        <w:rPr>
          <w:rFonts w:eastAsia="Times New Roman" w:cs="Times New Roman"/>
          <w:szCs w:val="20"/>
          <w:lang w:eastAsia="en-AU"/>
        </w:rPr>
      </w:pPr>
    </w:p>
    <w:p w14:paraId="0BD76896" w14:textId="77777777" w:rsidR="00CE2585" w:rsidRPr="00CE2585" w:rsidRDefault="00CE2585" w:rsidP="00CE2585">
      <w:pPr>
        <w:rPr>
          <w:rFonts w:eastAsia="Times New Roman" w:cs="Times New Roman"/>
          <w:szCs w:val="20"/>
          <w:lang w:eastAsia="en-AU"/>
        </w:rPr>
      </w:pPr>
    </w:p>
    <w:p w14:paraId="61D40AF2" w14:textId="77777777" w:rsidR="00CE2585" w:rsidRPr="00CE2585" w:rsidRDefault="00CE2585" w:rsidP="00CE2585">
      <w:pPr>
        <w:rPr>
          <w:rFonts w:eastAsia="Times New Roman" w:cs="Times New Roman"/>
          <w:szCs w:val="20"/>
          <w:lang w:eastAsia="en-AU"/>
        </w:rPr>
      </w:pPr>
    </w:p>
    <w:p w14:paraId="1EB4D88F" w14:textId="77777777" w:rsidR="00CE2585" w:rsidRPr="00CE2585" w:rsidRDefault="00CE2585" w:rsidP="00CE2585">
      <w:pPr>
        <w:rPr>
          <w:rFonts w:eastAsia="Times New Roman" w:cs="Times New Roman"/>
          <w:szCs w:val="20"/>
          <w:lang w:eastAsia="en-AU"/>
        </w:rPr>
      </w:pPr>
    </w:p>
    <w:p w14:paraId="1AE495FB" w14:textId="77777777" w:rsidR="00CE2585" w:rsidRPr="00CE2585" w:rsidRDefault="00CE2585" w:rsidP="00CE2585">
      <w:pPr>
        <w:rPr>
          <w:rFonts w:eastAsia="Times New Roman" w:cs="Times New Roman"/>
          <w:szCs w:val="20"/>
          <w:lang w:eastAsia="en-AU"/>
        </w:rPr>
      </w:pPr>
    </w:p>
    <w:p w14:paraId="4E5A8238" w14:textId="77777777" w:rsidR="00CE2585" w:rsidRPr="00CE2585" w:rsidRDefault="00CE2585" w:rsidP="00CE2585">
      <w:pPr>
        <w:rPr>
          <w:rFonts w:eastAsia="Times New Roman" w:cs="Times New Roman"/>
          <w:szCs w:val="20"/>
          <w:lang w:eastAsia="en-AU"/>
        </w:rPr>
      </w:pPr>
    </w:p>
    <w:p w14:paraId="0142757D" w14:textId="77777777" w:rsidR="00CE2585" w:rsidRDefault="00CE2585" w:rsidP="00CE2585">
      <w:pPr>
        <w:rPr>
          <w:rFonts w:eastAsia="Times New Roman" w:cs="Times New Roman"/>
          <w:szCs w:val="20"/>
          <w:lang w:eastAsia="en-AU"/>
        </w:rPr>
      </w:pPr>
    </w:p>
    <w:p w14:paraId="11944682" w14:textId="77777777" w:rsidR="000A412F" w:rsidRDefault="000A412F" w:rsidP="00CE2585">
      <w:pPr>
        <w:rPr>
          <w:rFonts w:eastAsia="Times New Roman" w:cs="Times New Roman"/>
          <w:szCs w:val="20"/>
          <w:lang w:eastAsia="en-AU"/>
        </w:rPr>
      </w:pPr>
    </w:p>
    <w:p w14:paraId="3A9D6462" w14:textId="77777777" w:rsidR="000A412F" w:rsidRPr="00CE2585" w:rsidRDefault="000A412F" w:rsidP="00CE2585">
      <w:pPr>
        <w:rPr>
          <w:rFonts w:eastAsia="Times New Roman" w:cs="Times New Roman"/>
          <w:szCs w:val="20"/>
          <w:lang w:eastAsia="en-AU"/>
        </w:rPr>
      </w:pPr>
    </w:p>
    <w:p w14:paraId="6DA1F966" w14:textId="77777777" w:rsidR="00CE2585" w:rsidRPr="00CE2585" w:rsidRDefault="00CE2585" w:rsidP="00CE2585">
      <w:pPr>
        <w:rPr>
          <w:rFonts w:eastAsia="Times New Roman" w:cs="Times New Roman"/>
          <w:szCs w:val="20"/>
          <w:lang w:eastAsia="en-AU"/>
        </w:rPr>
      </w:pPr>
    </w:p>
    <w:p w14:paraId="79E9B8B6" w14:textId="77777777" w:rsidR="00CE2585" w:rsidRPr="00CE2585" w:rsidRDefault="00CE2585" w:rsidP="00CE2585">
      <w:pPr>
        <w:rPr>
          <w:rFonts w:eastAsia="Times New Roman" w:cs="Times New Roman"/>
          <w:szCs w:val="20"/>
          <w:lang w:eastAsia="en-AU"/>
        </w:rPr>
      </w:pPr>
    </w:p>
    <w:p w14:paraId="166010D6" w14:textId="77777777" w:rsidR="00CE2585" w:rsidRPr="00CE2585" w:rsidRDefault="00CE2585" w:rsidP="00CE2585">
      <w:pPr>
        <w:rPr>
          <w:rFonts w:eastAsia="Times New Roman" w:cs="Times New Roman"/>
          <w:szCs w:val="20"/>
          <w:lang w:eastAsia="en-AU"/>
        </w:rPr>
      </w:pPr>
    </w:p>
    <w:p w14:paraId="7E7298D0" w14:textId="77777777" w:rsidR="00CE2585" w:rsidRPr="00CE2585" w:rsidRDefault="00CE2585" w:rsidP="00CE2585">
      <w:pPr>
        <w:rPr>
          <w:rFonts w:eastAsia="Times New Roman" w:cs="Times New Roman"/>
          <w:szCs w:val="20"/>
          <w:lang w:eastAsia="en-AU"/>
        </w:rPr>
      </w:pPr>
    </w:p>
    <w:p w14:paraId="0D5D50D0" w14:textId="57BCB904" w:rsidR="00CE2585" w:rsidRPr="00D50DD6" w:rsidRDefault="008E6674" w:rsidP="00D50DD6">
      <w:pPr>
        <w:rPr>
          <w:b/>
          <w:sz w:val="28"/>
          <w:szCs w:val="28"/>
          <w:lang w:eastAsia="en-AU"/>
        </w:rPr>
      </w:pPr>
      <w:r w:rsidRPr="00D50DD6">
        <w:rPr>
          <w:b/>
          <w:sz w:val="28"/>
          <w:szCs w:val="28"/>
          <w:lang w:eastAsia="en-AU"/>
        </w:rPr>
        <w:t>Hon</w:t>
      </w:r>
      <w:r w:rsidR="00AA129C" w:rsidRPr="00D50DD6">
        <w:rPr>
          <w:b/>
          <w:sz w:val="28"/>
          <w:szCs w:val="28"/>
          <w:lang w:eastAsia="en-AU"/>
        </w:rPr>
        <w:t xml:space="preserve"> Dr</w:t>
      </w:r>
      <w:r w:rsidRPr="00D50DD6">
        <w:rPr>
          <w:b/>
          <w:sz w:val="28"/>
          <w:szCs w:val="28"/>
          <w:lang w:eastAsia="en-AU"/>
        </w:rPr>
        <w:t xml:space="preserve"> Megan Woods</w:t>
      </w:r>
    </w:p>
    <w:p w14:paraId="4FF1E8BE" w14:textId="77777777" w:rsidR="008E6674" w:rsidRPr="00D50DD6" w:rsidRDefault="008E6674" w:rsidP="00D50DD6">
      <w:pPr>
        <w:rPr>
          <w:sz w:val="28"/>
          <w:szCs w:val="28"/>
          <w:lang w:eastAsia="en-AU"/>
        </w:rPr>
      </w:pPr>
      <w:r w:rsidRPr="00D50DD6">
        <w:rPr>
          <w:sz w:val="28"/>
          <w:szCs w:val="28"/>
          <w:lang w:eastAsia="en-AU"/>
        </w:rPr>
        <w:t>Minister of Research, Science and Innovation</w:t>
      </w:r>
    </w:p>
    <w:p w14:paraId="0E7AAF2C" w14:textId="77777777" w:rsidR="00CE2585" w:rsidRPr="00D50DD6" w:rsidRDefault="00CE2585" w:rsidP="00D50DD6">
      <w:pPr>
        <w:rPr>
          <w:sz w:val="28"/>
          <w:szCs w:val="28"/>
          <w:lang w:eastAsia="en-AU"/>
        </w:rPr>
      </w:pPr>
    </w:p>
    <w:p w14:paraId="139EDEEA" w14:textId="77777777" w:rsidR="00CE2585" w:rsidRPr="00D50DD6" w:rsidRDefault="00CE2585" w:rsidP="00D50DD6">
      <w:pPr>
        <w:rPr>
          <w:sz w:val="28"/>
          <w:szCs w:val="28"/>
          <w:lang w:eastAsia="en-AU"/>
        </w:rPr>
      </w:pPr>
    </w:p>
    <w:p w14:paraId="50DA65C3" w14:textId="77777777" w:rsidR="00CE2585" w:rsidRPr="00D50DD6" w:rsidRDefault="00CE2585" w:rsidP="00D50DD6">
      <w:pPr>
        <w:rPr>
          <w:b/>
          <w:sz w:val="28"/>
          <w:szCs w:val="28"/>
          <w:lang w:eastAsia="en-AU"/>
        </w:rPr>
      </w:pPr>
      <w:r w:rsidRPr="00D50DD6">
        <w:rPr>
          <w:b/>
          <w:sz w:val="28"/>
          <w:szCs w:val="28"/>
          <w:lang w:eastAsia="en-AU"/>
        </w:rPr>
        <w:t>Hon Stuart Nash</w:t>
      </w:r>
    </w:p>
    <w:p w14:paraId="657ED0DD" w14:textId="77777777" w:rsidR="00CE2585" w:rsidRPr="00D50DD6" w:rsidRDefault="00CE2585" w:rsidP="00D50DD6">
      <w:pPr>
        <w:rPr>
          <w:sz w:val="28"/>
          <w:szCs w:val="28"/>
          <w:lang w:eastAsia="en-AU"/>
        </w:rPr>
      </w:pPr>
      <w:r w:rsidRPr="00D50DD6">
        <w:rPr>
          <w:sz w:val="28"/>
          <w:szCs w:val="28"/>
          <w:lang w:eastAsia="en-AU"/>
        </w:rPr>
        <w:t>Minister of Revenue</w:t>
      </w:r>
    </w:p>
    <w:p w14:paraId="520E733F" w14:textId="7DF5705C" w:rsidR="00D50DD6" w:rsidRDefault="00D50DD6">
      <w:pPr>
        <w:spacing w:after="200" w:line="276" w:lineRule="auto"/>
        <w:jc w:val="left"/>
        <w:rPr>
          <w:rFonts w:eastAsia="Times New Roman" w:cs="Times New Roman"/>
          <w:sz w:val="20"/>
          <w:szCs w:val="20"/>
          <w:lang w:eastAsia="en-AU"/>
        </w:rPr>
      </w:pPr>
      <w:r>
        <w:rPr>
          <w:rFonts w:eastAsia="Times New Roman" w:cs="Times New Roman"/>
          <w:sz w:val="20"/>
          <w:szCs w:val="20"/>
          <w:lang w:eastAsia="en-AU"/>
        </w:rPr>
        <w:br w:type="page"/>
      </w:r>
    </w:p>
    <w:p w14:paraId="4BE47BCC" w14:textId="77777777" w:rsidR="00CE2585" w:rsidRPr="00CE2585" w:rsidRDefault="00CE2585" w:rsidP="00CE2585">
      <w:pPr>
        <w:rPr>
          <w:rFonts w:eastAsia="Times New Roman" w:cs="Times New Roman"/>
          <w:sz w:val="20"/>
          <w:szCs w:val="20"/>
          <w:lang w:eastAsia="en-AU"/>
        </w:rPr>
      </w:pPr>
    </w:p>
    <w:p w14:paraId="0F6821B0" w14:textId="77777777" w:rsidR="00CE2585" w:rsidRPr="00CE2585" w:rsidRDefault="00CE2585" w:rsidP="00CE2585">
      <w:pPr>
        <w:rPr>
          <w:rFonts w:eastAsia="Times New Roman" w:cs="Times New Roman"/>
          <w:sz w:val="20"/>
          <w:szCs w:val="20"/>
          <w:lang w:eastAsia="en-AU"/>
        </w:rPr>
      </w:pPr>
    </w:p>
    <w:p w14:paraId="28E122B3" w14:textId="77777777" w:rsidR="00CE2585" w:rsidRPr="00CE2585" w:rsidRDefault="00CE2585" w:rsidP="00CE2585">
      <w:pPr>
        <w:rPr>
          <w:rFonts w:eastAsia="Times New Roman" w:cs="Times New Roman"/>
          <w:sz w:val="20"/>
          <w:szCs w:val="20"/>
          <w:lang w:eastAsia="en-AU"/>
        </w:rPr>
      </w:pPr>
    </w:p>
    <w:p w14:paraId="5FFCE49F" w14:textId="77777777" w:rsidR="00CE2585" w:rsidRPr="00CE2585" w:rsidRDefault="00CE2585" w:rsidP="00CE2585">
      <w:pPr>
        <w:rPr>
          <w:rFonts w:eastAsia="Times New Roman" w:cs="Times New Roman"/>
          <w:sz w:val="20"/>
          <w:szCs w:val="20"/>
          <w:lang w:eastAsia="en-AU"/>
        </w:rPr>
      </w:pPr>
    </w:p>
    <w:p w14:paraId="03DB9F6D" w14:textId="77777777" w:rsidR="00CE2585" w:rsidRPr="00CE2585" w:rsidRDefault="00CE2585" w:rsidP="00CE2585">
      <w:pPr>
        <w:rPr>
          <w:rFonts w:eastAsia="Times New Roman" w:cs="Times New Roman"/>
          <w:sz w:val="20"/>
          <w:szCs w:val="20"/>
          <w:lang w:eastAsia="en-AU"/>
        </w:rPr>
      </w:pPr>
    </w:p>
    <w:p w14:paraId="1B7FCF26" w14:textId="77777777" w:rsidR="00CE2585" w:rsidRPr="00CE2585" w:rsidRDefault="00CE2585" w:rsidP="00CE2585">
      <w:pPr>
        <w:rPr>
          <w:rFonts w:eastAsia="Times New Roman" w:cs="Times New Roman"/>
          <w:sz w:val="20"/>
          <w:szCs w:val="20"/>
          <w:lang w:eastAsia="en-AU"/>
        </w:rPr>
      </w:pPr>
    </w:p>
    <w:p w14:paraId="113AA146" w14:textId="77777777" w:rsidR="00CE2585" w:rsidRPr="00CE2585" w:rsidRDefault="00CE2585" w:rsidP="00CE2585">
      <w:pPr>
        <w:rPr>
          <w:rFonts w:eastAsia="Times New Roman" w:cs="Times New Roman"/>
          <w:sz w:val="20"/>
          <w:szCs w:val="20"/>
          <w:lang w:eastAsia="en-AU"/>
        </w:rPr>
      </w:pPr>
    </w:p>
    <w:p w14:paraId="1149C450" w14:textId="77777777" w:rsidR="00CE2585" w:rsidRPr="00CE2585" w:rsidRDefault="00CE2585" w:rsidP="00CE2585">
      <w:pPr>
        <w:rPr>
          <w:rFonts w:eastAsia="Times New Roman" w:cs="Times New Roman"/>
          <w:sz w:val="20"/>
          <w:szCs w:val="20"/>
          <w:lang w:eastAsia="en-AU"/>
        </w:rPr>
      </w:pPr>
    </w:p>
    <w:p w14:paraId="55FCE849" w14:textId="77777777" w:rsidR="00CE2585" w:rsidRPr="00CE2585" w:rsidRDefault="00CE2585" w:rsidP="00CE2585">
      <w:pPr>
        <w:rPr>
          <w:rFonts w:eastAsia="Times New Roman" w:cs="Times New Roman"/>
          <w:sz w:val="20"/>
          <w:szCs w:val="20"/>
          <w:lang w:eastAsia="en-AU"/>
        </w:rPr>
      </w:pPr>
    </w:p>
    <w:p w14:paraId="62680D56" w14:textId="77777777" w:rsidR="00CE2585" w:rsidRPr="00CE2585" w:rsidRDefault="00CE2585" w:rsidP="00CE2585">
      <w:pPr>
        <w:rPr>
          <w:rFonts w:eastAsia="Times New Roman" w:cs="Times New Roman"/>
          <w:sz w:val="20"/>
          <w:szCs w:val="20"/>
          <w:lang w:eastAsia="en-AU"/>
        </w:rPr>
      </w:pPr>
    </w:p>
    <w:p w14:paraId="4CD48DC2" w14:textId="77777777" w:rsidR="00CE2585" w:rsidRPr="00CE2585" w:rsidRDefault="00CE2585" w:rsidP="00CE2585">
      <w:pPr>
        <w:rPr>
          <w:rFonts w:eastAsia="Times New Roman" w:cs="Times New Roman"/>
          <w:sz w:val="20"/>
          <w:szCs w:val="20"/>
          <w:lang w:eastAsia="en-AU"/>
        </w:rPr>
      </w:pPr>
    </w:p>
    <w:p w14:paraId="114F2C70" w14:textId="77777777" w:rsidR="00CE2585" w:rsidRPr="00CE2585" w:rsidRDefault="00CE2585" w:rsidP="00CE2585">
      <w:pPr>
        <w:rPr>
          <w:rFonts w:eastAsia="Times New Roman" w:cs="Times New Roman"/>
          <w:sz w:val="20"/>
          <w:szCs w:val="20"/>
          <w:lang w:eastAsia="en-AU"/>
        </w:rPr>
      </w:pPr>
    </w:p>
    <w:p w14:paraId="256879D0" w14:textId="77777777" w:rsidR="00CE2585" w:rsidRPr="00CE2585" w:rsidRDefault="00CE2585" w:rsidP="00CE2585">
      <w:pPr>
        <w:rPr>
          <w:rFonts w:eastAsia="Times New Roman" w:cs="Times New Roman"/>
          <w:sz w:val="20"/>
          <w:szCs w:val="20"/>
          <w:lang w:eastAsia="en-AU"/>
        </w:rPr>
      </w:pPr>
    </w:p>
    <w:p w14:paraId="3415F216" w14:textId="77777777" w:rsidR="00CE2585" w:rsidRPr="00CE2585" w:rsidRDefault="00CE2585" w:rsidP="00CE2585">
      <w:pPr>
        <w:rPr>
          <w:rFonts w:eastAsia="Times New Roman" w:cs="Times New Roman"/>
          <w:sz w:val="20"/>
          <w:szCs w:val="20"/>
          <w:lang w:eastAsia="en-AU"/>
        </w:rPr>
      </w:pPr>
    </w:p>
    <w:p w14:paraId="48F50172" w14:textId="77777777" w:rsidR="00CE2585" w:rsidRPr="00CE2585" w:rsidRDefault="00CE2585" w:rsidP="00CE2585">
      <w:pPr>
        <w:rPr>
          <w:rFonts w:eastAsia="Times New Roman" w:cs="Times New Roman"/>
          <w:sz w:val="20"/>
          <w:szCs w:val="20"/>
          <w:lang w:eastAsia="en-AU"/>
        </w:rPr>
      </w:pPr>
    </w:p>
    <w:p w14:paraId="7A4548E1" w14:textId="77777777" w:rsidR="00CE2585" w:rsidRPr="00CE2585" w:rsidRDefault="00CE2585" w:rsidP="00CE2585">
      <w:pPr>
        <w:rPr>
          <w:rFonts w:eastAsia="Times New Roman" w:cs="Times New Roman"/>
          <w:sz w:val="20"/>
          <w:szCs w:val="20"/>
          <w:lang w:eastAsia="en-AU"/>
        </w:rPr>
      </w:pPr>
    </w:p>
    <w:p w14:paraId="4F09D11B" w14:textId="77777777" w:rsidR="00CE2585" w:rsidRPr="00CE2585" w:rsidRDefault="00CE2585" w:rsidP="00CE2585">
      <w:pPr>
        <w:rPr>
          <w:rFonts w:eastAsia="Times New Roman" w:cs="Times New Roman"/>
          <w:sz w:val="20"/>
          <w:szCs w:val="20"/>
          <w:lang w:eastAsia="en-AU"/>
        </w:rPr>
      </w:pPr>
    </w:p>
    <w:p w14:paraId="46A7CBE7" w14:textId="77777777" w:rsidR="00CE2585" w:rsidRPr="00CE2585" w:rsidRDefault="00CE2585" w:rsidP="00CE2585">
      <w:pPr>
        <w:rPr>
          <w:rFonts w:eastAsia="Times New Roman" w:cs="Times New Roman"/>
          <w:sz w:val="20"/>
          <w:szCs w:val="20"/>
          <w:lang w:eastAsia="en-AU"/>
        </w:rPr>
      </w:pPr>
    </w:p>
    <w:p w14:paraId="2E46479E" w14:textId="77777777" w:rsidR="00CE2585" w:rsidRPr="00CE2585" w:rsidRDefault="00CE2585" w:rsidP="00CE2585">
      <w:pPr>
        <w:rPr>
          <w:rFonts w:eastAsia="Times New Roman" w:cs="Times New Roman"/>
          <w:sz w:val="20"/>
          <w:szCs w:val="20"/>
          <w:lang w:eastAsia="en-AU"/>
        </w:rPr>
      </w:pPr>
    </w:p>
    <w:p w14:paraId="5936450D" w14:textId="77777777" w:rsidR="00CE2585" w:rsidRPr="00CE2585" w:rsidRDefault="00CE2585" w:rsidP="00CE2585">
      <w:pPr>
        <w:rPr>
          <w:rFonts w:eastAsia="Times New Roman" w:cs="Times New Roman"/>
          <w:sz w:val="20"/>
          <w:szCs w:val="20"/>
          <w:lang w:eastAsia="en-AU"/>
        </w:rPr>
      </w:pPr>
    </w:p>
    <w:p w14:paraId="1203D699" w14:textId="77777777" w:rsidR="00CE2585" w:rsidRPr="00CE2585" w:rsidRDefault="00CE2585" w:rsidP="00CE2585">
      <w:pPr>
        <w:rPr>
          <w:rFonts w:eastAsia="Times New Roman" w:cs="Times New Roman"/>
          <w:sz w:val="20"/>
          <w:szCs w:val="20"/>
          <w:lang w:eastAsia="en-AU"/>
        </w:rPr>
      </w:pPr>
    </w:p>
    <w:p w14:paraId="384C5B03" w14:textId="77777777" w:rsidR="00CE2585" w:rsidRPr="00CE2585" w:rsidRDefault="00CE2585" w:rsidP="00CE2585">
      <w:pPr>
        <w:rPr>
          <w:rFonts w:eastAsia="Times New Roman" w:cs="Times New Roman"/>
          <w:sz w:val="20"/>
          <w:szCs w:val="20"/>
          <w:lang w:eastAsia="en-AU"/>
        </w:rPr>
      </w:pPr>
    </w:p>
    <w:p w14:paraId="644C5B1A" w14:textId="77777777" w:rsidR="00CE2585" w:rsidRPr="00CE2585" w:rsidRDefault="00CE2585" w:rsidP="00CE2585">
      <w:pPr>
        <w:rPr>
          <w:rFonts w:eastAsia="Times New Roman" w:cs="Times New Roman"/>
          <w:sz w:val="20"/>
          <w:szCs w:val="20"/>
          <w:lang w:eastAsia="en-AU"/>
        </w:rPr>
      </w:pPr>
    </w:p>
    <w:p w14:paraId="604FEC8E" w14:textId="77777777" w:rsidR="00CE2585" w:rsidRPr="00CE2585" w:rsidRDefault="00CE2585" w:rsidP="00CE2585">
      <w:pPr>
        <w:rPr>
          <w:rFonts w:eastAsia="Times New Roman" w:cs="Times New Roman"/>
          <w:sz w:val="20"/>
          <w:szCs w:val="20"/>
          <w:lang w:eastAsia="en-AU"/>
        </w:rPr>
      </w:pPr>
    </w:p>
    <w:p w14:paraId="7532E3F1" w14:textId="77777777" w:rsidR="00CE2585" w:rsidRPr="00CE2585" w:rsidRDefault="00CE2585" w:rsidP="00CE2585">
      <w:pPr>
        <w:rPr>
          <w:rFonts w:eastAsia="Times New Roman" w:cs="Times New Roman"/>
          <w:sz w:val="20"/>
          <w:szCs w:val="20"/>
          <w:lang w:eastAsia="en-AU"/>
        </w:rPr>
      </w:pPr>
    </w:p>
    <w:p w14:paraId="3C5F8505" w14:textId="77777777" w:rsidR="00CE2585" w:rsidRPr="00CE2585" w:rsidRDefault="00CE2585" w:rsidP="00CE2585">
      <w:pPr>
        <w:rPr>
          <w:rFonts w:eastAsia="Times New Roman" w:cs="Times New Roman"/>
          <w:sz w:val="20"/>
          <w:szCs w:val="20"/>
          <w:lang w:eastAsia="en-AU"/>
        </w:rPr>
      </w:pPr>
    </w:p>
    <w:p w14:paraId="377EDD05" w14:textId="77777777" w:rsidR="00CE2585" w:rsidRPr="00CE2585" w:rsidRDefault="00CE2585" w:rsidP="00CE2585">
      <w:pPr>
        <w:rPr>
          <w:rFonts w:eastAsia="Times New Roman" w:cs="Times New Roman"/>
          <w:sz w:val="20"/>
          <w:szCs w:val="20"/>
          <w:lang w:eastAsia="en-AU"/>
        </w:rPr>
      </w:pPr>
    </w:p>
    <w:p w14:paraId="18F1D83E" w14:textId="77777777" w:rsidR="00CE2585" w:rsidRPr="00CE2585" w:rsidRDefault="00CE2585" w:rsidP="00CE2585">
      <w:pPr>
        <w:rPr>
          <w:rFonts w:eastAsia="Times New Roman" w:cs="Times New Roman"/>
          <w:sz w:val="20"/>
          <w:szCs w:val="20"/>
          <w:lang w:eastAsia="en-AU"/>
        </w:rPr>
      </w:pPr>
    </w:p>
    <w:p w14:paraId="11018AAF" w14:textId="77777777" w:rsidR="00CE2585" w:rsidRPr="00CE2585" w:rsidRDefault="00CE2585" w:rsidP="00CE2585">
      <w:pPr>
        <w:rPr>
          <w:rFonts w:eastAsia="Times New Roman" w:cs="Times New Roman"/>
          <w:sz w:val="20"/>
          <w:szCs w:val="20"/>
          <w:lang w:eastAsia="en-AU"/>
        </w:rPr>
      </w:pPr>
    </w:p>
    <w:p w14:paraId="03320BFB" w14:textId="77777777" w:rsidR="00CE2585" w:rsidRPr="00CE2585" w:rsidRDefault="00CE2585" w:rsidP="00CE2585">
      <w:pPr>
        <w:rPr>
          <w:rFonts w:eastAsia="Times New Roman" w:cs="Times New Roman"/>
          <w:sz w:val="20"/>
          <w:szCs w:val="20"/>
          <w:lang w:eastAsia="en-AU"/>
        </w:rPr>
      </w:pPr>
    </w:p>
    <w:p w14:paraId="32025CB3" w14:textId="77777777" w:rsidR="00CE2585" w:rsidRPr="00CE2585" w:rsidRDefault="00CE2585" w:rsidP="00CE2585">
      <w:pPr>
        <w:rPr>
          <w:rFonts w:eastAsia="Times New Roman" w:cs="Times New Roman"/>
          <w:sz w:val="20"/>
          <w:szCs w:val="20"/>
          <w:lang w:eastAsia="en-AU"/>
        </w:rPr>
      </w:pPr>
    </w:p>
    <w:p w14:paraId="1FAB0191" w14:textId="77777777" w:rsidR="00CE2585" w:rsidRPr="00CE2585" w:rsidRDefault="00CE2585" w:rsidP="00CE2585">
      <w:pPr>
        <w:rPr>
          <w:rFonts w:eastAsia="Times New Roman" w:cs="Times New Roman"/>
          <w:sz w:val="20"/>
          <w:szCs w:val="20"/>
          <w:lang w:eastAsia="en-AU"/>
        </w:rPr>
      </w:pPr>
    </w:p>
    <w:p w14:paraId="7E67ED8A" w14:textId="77777777" w:rsidR="00CE2585" w:rsidRPr="00CE2585" w:rsidRDefault="00CE2585" w:rsidP="00CE2585">
      <w:pPr>
        <w:rPr>
          <w:rFonts w:eastAsia="Times New Roman" w:cs="Times New Roman"/>
          <w:sz w:val="20"/>
          <w:szCs w:val="20"/>
          <w:lang w:eastAsia="en-AU"/>
        </w:rPr>
      </w:pPr>
    </w:p>
    <w:p w14:paraId="7410CD7A" w14:textId="77777777" w:rsidR="00CE2585" w:rsidRPr="00CE2585" w:rsidRDefault="00CE2585" w:rsidP="00CE2585">
      <w:pPr>
        <w:rPr>
          <w:rFonts w:eastAsia="Times New Roman" w:cs="Times New Roman"/>
          <w:sz w:val="20"/>
          <w:szCs w:val="20"/>
          <w:lang w:eastAsia="en-AU"/>
        </w:rPr>
      </w:pPr>
    </w:p>
    <w:p w14:paraId="43A7B562" w14:textId="77777777" w:rsidR="00CE2585" w:rsidRPr="00CE2585" w:rsidRDefault="00CE2585" w:rsidP="00CE2585">
      <w:pPr>
        <w:rPr>
          <w:rFonts w:eastAsia="Times New Roman" w:cs="Times New Roman"/>
          <w:sz w:val="20"/>
          <w:szCs w:val="20"/>
          <w:lang w:eastAsia="en-AU"/>
        </w:rPr>
      </w:pPr>
    </w:p>
    <w:p w14:paraId="13E65861" w14:textId="77777777" w:rsidR="00CE2585" w:rsidRPr="00CE2585" w:rsidRDefault="00CE2585" w:rsidP="00CE2585">
      <w:pPr>
        <w:rPr>
          <w:rFonts w:eastAsia="Times New Roman" w:cs="Times New Roman"/>
          <w:sz w:val="20"/>
          <w:szCs w:val="20"/>
          <w:lang w:eastAsia="en-AU"/>
        </w:rPr>
      </w:pPr>
    </w:p>
    <w:p w14:paraId="06D94AAC" w14:textId="77777777" w:rsidR="00CE2585" w:rsidRPr="00CE2585" w:rsidRDefault="00CE2585" w:rsidP="00CE2585">
      <w:pPr>
        <w:rPr>
          <w:rFonts w:eastAsia="Times New Roman" w:cs="Times New Roman"/>
          <w:sz w:val="20"/>
          <w:szCs w:val="20"/>
          <w:lang w:eastAsia="en-AU"/>
        </w:rPr>
      </w:pPr>
    </w:p>
    <w:p w14:paraId="59125C42" w14:textId="77777777" w:rsidR="00CE2585" w:rsidRPr="00CE2585" w:rsidRDefault="00CE2585" w:rsidP="00CE2585">
      <w:pPr>
        <w:rPr>
          <w:rFonts w:eastAsia="Times New Roman" w:cs="Times New Roman"/>
          <w:sz w:val="20"/>
          <w:szCs w:val="20"/>
          <w:lang w:eastAsia="en-AU"/>
        </w:rPr>
      </w:pPr>
    </w:p>
    <w:p w14:paraId="7FA62107" w14:textId="77777777" w:rsidR="00DA5318" w:rsidRDefault="00DA5318" w:rsidP="00CE2585">
      <w:pPr>
        <w:rPr>
          <w:rFonts w:eastAsia="Times New Roman" w:cs="Times New Roman"/>
          <w:sz w:val="20"/>
          <w:szCs w:val="20"/>
          <w:lang w:eastAsia="en-AU"/>
        </w:rPr>
      </w:pPr>
    </w:p>
    <w:p w14:paraId="234E04BA" w14:textId="77777777" w:rsidR="00DA5318" w:rsidRPr="00CE2585" w:rsidRDefault="00DA5318" w:rsidP="00CE2585">
      <w:pPr>
        <w:rPr>
          <w:rFonts w:eastAsia="Times New Roman" w:cs="Times New Roman"/>
          <w:sz w:val="20"/>
          <w:szCs w:val="20"/>
          <w:lang w:eastAsia="en-AU"/>
        </w:rPr>
      </w:pPr>
    </w:p>
    <w:p w14:paraId="1427C154" w14:textId="77777777" w:rsidR="00CE2585" w:rsidRPr="00CE2585" w:rsidRDefault="00CE2585" w:rsidP="00CE2585">
      <w:pPr>
        <w:rPr>
          <w:rFonts w:eastAsia="Times New Roman" w:cs="Times New Roman"/>
          <w:sz w:val="20"/>
          <w:szCs w:val="20"/>
          <w:lang w:eastAsia="en-AU"/>
        </w:rPr>
      </w:pPr>
    </w:p>
    <w:p w14:paraId="54307DB2" w14:textId="77777777" w:rsidR="00CE2585" w:rsidRPr="00CE2585" w:rsidRDefault="00CE2585" w:rsidP="00CE2585">
      <w:pPr>
        <w:rPr>
          <w:rFonts w:eastAsia="Times New Roman" w:cs="Times New Roman"/>
          <w:sz w:val="20"/>
          <w:szCs w:val="20"/>
          <w:lang w:eastAsia="en-AU"/>
        </w:rPr>
      </w:pPr>
    </w:p>
    <w:p w14:paraId="6352E8C2" w14:textId="77777777" w:rsidR="00CE2585" w:rsidRPr="00CE2585" w:rsidRDefault="00CE2585" w:rsidP="00CE2585">
      <w:pPr>
        <w:rPr>
          <w:rFonts w:eastAsia="Times New Roman" w:cs="Times New Roman"/>
          <w:sz w:val="20"/>
          <w:szCs w:val="20"/>
          <w:lang w:eastAsia="en-AU"/>
        </w:rPr>
      </w:pPr>
    </w:p>
    <w:p w14:paraId="7EB8452C" w14:textId="77777777" w:rsidR="00CE2585" w:rsidRPr="00CE2585" w:rsidRDefault="00CE2585" w:rsidP="00CE2585">
      <w:pPr>
        <w:rPr>
          <w:rFonts w:eastAsia="Times New Roman" w:cs="Times New Roman"/>
          <w:sz w:val="20"/>
          <w:szCs w:val="20"/>
          <w:lang w:eastAsia="en-AU"/>
        </w:rPr>
      </w:pPr>
    </w:p>
    <w:p w14:paraId="7E429BFF" w14:textId="77777777" w:rsidR="00CE2585" w:rsidRPr="00CE2585" w:rsidRDefault="00CE2585" w:rsidP="00CE2585">
      <w:pPr>
        <w:rPr>
          <w:rFonts w:eastAsia="Times New Roman" w:cs="Times New Roman"/>
          <w:sz w:val="20"/>
          <w:szCs w:val="20"/>
          <w:lang w:eastAsia="en-AU"/>
        </w:rPr>
      </w:pPr>
    </w:p>
    <w:p w14:paraId="222E4399" w14:textId="77777777" w:rsidR="000A412F" w:rsidRPr="00CE2585" w:rsidRDefault="000A412F" w:rsidP="00CE2585">
      <w:pPr>
        <w:rPr>
          <w:rFonts w:eastAsia="Times New Roman" w:cs="Times New Roman"/>
          <w:sz w:val="20"/>
          <w:szCs w:val="20"/>
          <w:lang w:eastAsia="en-AU"/>
        </w:rPr>
      </w:pPr>
    </w:p>
    <w:p w14:paraId="623361B4" w14:textId="0C7EC82F" w:rsidR="00CC19E2" w:rsidRPr="00CC19E2" w:rsidRDefault="00CC19E2" w:rsidP="00CC19E2">
      <w:pPr>
        <w:rPr>
          <w:rFonts w:eastAsia="Times New Roman" w:cs="Times New Roman"/>
          <w:sz w:val="20"/>
          <w:szCs w:val="20"/>
          <w:lang w:eastAsia="en-AU"/>
        </w:rPr>
      </w:pPr>
      <w:r w:rsidRPr="00CC19E2">
        <w:rPr>
          <w:rFonts w:eastAsia="Times New Roman" w:cs="Times New Roman"/>
          <w:sz w:val="20"/>
          <w:szCs w:val="20"/>
          <w:lang w:eastAsia="en-AU"/>
        </w:rPr>
        <w:t xml:space="preserve">First published in </w:t>
      </w:r>
      <w:r>
        <w:rPr>
          <w:rFonts w:eastAsia="Times New Roman" w:cs="Times New Roman"/>
          <w:sz w:val="20"/>
          <w:szCs w:val="20"/>
          <w:lang w:eastAsia="en-AU"/>
        </w:rPr>
        <w:t>October 2018</w:t>
      </w:r>
      <w:r w:rsidRPr="00CC19E2">
        <w:rPr>
          <w:rFonts w:eastAsia="Times New Roman" w:cs="Times New Roman"/>
          <w:sz w:val="20"/>
          <w:szCs w:val="20"/>
          <w:lang w:eastAsia="en-AU"/>
        </w:rPr>
        <w:t xml:space="preserve"> by Policy and Strategy, Inland Revenue, PO Box 2198,</w:t>
      </w:r>
      <w:r w:rsidRPr="00CC19E2">
        <w:rPr>
          <w:rFonts w:eastAsia="Times New Roman" w:cs="Times New Roman"/>
          <w:sz w:val="20"/>
          <w:szCs w:val="20"/>
          <w:lang w:eastAsia="en-AU"/>
        </w:rPr>
        <w:br/>
        <w:t>Wellington 6140.</w:t>
      </w:r>
    </w:p>
    <w:p w14:paraId="6838189F" w14:textId="77777777" w:rsidR="00CC19E2" w:rsidRPr="00CC19E2" w:rsidRDefault="00CC19E2" w:rsidP="00CC19E2">
      <w:pPr>
        <w:rPr>
          <w:rFonts w:eastAsia="Times New Roman" w:cs="Times New Roman"/>
          <w:sz w:val="20"/>
          <w:szCs w:val="20"/>
          <w:lang w:eastAsia="en-AU"/>
        </w:rPr>
      </w:pPr>
    </w:p>
    <w:p w14:paraId="019DD66C" w14:textId="4FAB2959" w:rsidR="00CC19E2" w:rsidRPr="00CE2585" w:rsidRDefault="00CC19E2" w:rsidP="00CC19E2">
      <w:pPr>
        <w:rPr>
          <w:rFonts w:eastAsia="Times New Roman" w:cs="Times New Roman"/>
          <w:sz w:val="20"/>
          <w:szCs w:val="20"/>
          <w:lang w:eastAsia="en-AU"/>
        </w:rPr>
      </w:pPr>
      <w:r w:rsidRPr="00CE2585">
        <w:rPr>
          <w:rFonts w:eastAsia="Times New Roman" w:cs="Times New Roman"/>
          <w:sz w:val="20"/>
          <w:szCs w:val="20"/>
          <w:lang w:eastAsia="en-AU"/>
        </w:rPr>
        <w:t>Taxation (</w:t>
      </w:r>
      <w:r>
        <w:rPr>
          <w:rFonts w:eastAsia="Times New Roman" w:cs="Times New Roman"/>
          <w:sz w:val="20"/>
          <w:szCs w:val="20"/>
          <w:lang w:eastAsia="en-AU"/>
        </w:rPr>
        <w:t>Research and Development Tax Credits) Bill –</w:t>
      </w:r>
      <w:r w:rsidRPr="00CE2585">
        <w:rPr>
          <w:rFonts w:eastAsia="Times New Roman" w:cs="Times New Roman"/>
          <w:sz w:val="20"/>
          <w:szCs w:val="20"/>
          <w:lang w:eastAsia="en-AU"/>
        </w:rPr>
        <w:t xml:space="preserve"> </w:t>
      </w:r>
      <w:r>
        <w:rPr>
          <w:rFonts w:eastAsia="Times New Roman" w:cs="Times New Roman"/>
          <w:sz w:val="20"/>
          <w:szCs w:val="20"/>
          <w:lang w:eastAsia="en-AU"/>
        </w:rPr>
        <w:t>C</w:t>
      </w:r>
      <w:r w:rsidRPr="00CE2585">
        <w:rPr>
          <w:rFonts w:eastAsia="Times New Roman" w:cs="Times New Roman"/>
          <w:sz w:val="20"/>
          <w:szCs w:val="20"/>
          <w:lang w:eastAsia="en-AU"/>
        </w:rPr>
        <w:t>ommentary on the Bill.</w:t>
      </w:r>
    </w:p>
    <w:p w14:paraId="0FA82DF5" w14:textId="0D3730AD" w:rsidR="00CC19E2" w:rsidRPr="00CC19E2" w:rsidRDefault="00CC19E2" w:rsidP="00CC19E2">
      <w:pPr>
        <w:rPr>
          <w:rFonts w:eastAsia="Times New Roman" w:cs="Times New Roman"/>
          <w:sz w:val="20"/>
          <w:szCs w:val="20"/>
          <w:lang w:eastAsia="en-AU"/>
        </w:rPr>
      </w:pPr>
      <w:r w:rsidRPr="00CC19E2">
        <w:rPr>
          <w:rFonts w:eastAsia="Times New Roman" w:cs="Times New Roman"/>
          <w:sz w:val="20"/>
          <w:szCs w:val="20"/>
          <w:lang w:eastAsia="en-AU"/>
        </w:rPr>
        <w:t>ISBN 978-1-98-857301-4 (Online)</w:t>
      </w:r>
    </w:p>
    <w:p w14:paraId="41F7BB76" w14:textId="77777777" w:rsidR="00CC19E2" w:rsidRPr="00CC19E2" w:rsidRDefault="00CC19E2" w:rsidP="00CC19E2">
      <w:pPr>
        <w:rPr>
          <w:rFonts w:eastAsia="Times New Roman" w:cs="Times New Roman"/>
          <w:sz w:val="20"/>
          <w:szCs w:val="20"/>
          <w:highlight w:val="yellow"/>
          <w:lang w:eastAsia="en-AU"/>
        </w:rPr>
      </w:pPr>
    </w:p>
    <w:p w14:paraId="57DF8531" w14:textId="77777777" w:rsidR="00CC19E2" w:rsidRPr="00CC19E2" w:rsidRDefault="00CC19E2" w:rsidP="00CC19E2">
      <w:pPr>
        <w:tabs>
          <w:tab w:val="left" w:pos="1560"/>
        </w:tabs>
        <w:rPr>
          <w:rFonts w:eastAsia="Times New Roman" w:cs="Times New Roman"/>
          <w:sz w:val="20"/>
          <w:szCs w:val="20"/>
          <w:lang w:eastAsia="en-AU"/>
        </w:rPr>
      </w:pPr>
      <w:r w:rsidRPr="00CC19E2">
        <w:rPr>
          <w:rFonts w:eastAsia="Times New Roman" w:cs="Times New Roman"/>
          <w:noProof/>
          <w:sz w:val="20"/>
          <w:szCs w:val="20"/>
          <w:lang w:eastAsia="en-NZ"/>
        </w:rPr>
        <w:drawing>
          <wp:anchor distT="0" distB="0" distL="114300" distR="114300" simplePos="0" relativeHeight="251669504" behindDoc="1" locked="0" layoutInCell="1" allowOverlap="1" wp14:anchorId="4988E4B9" wp14:editId="23BB706A">
            <wp:simplePos x="0" y="0"/>
            <wp:positionH relativeFrom="column">
              <wp:posOffset>1905</wp:posOffset>
            </wp:positionH>
            <wp:positionV relativeFrom="paragraph">
              <wp:posOffset>4445</wp:posOffset>
            </wp:positionV>
            <wp:extent cx="838200" cy="295275"/>
            <wp:effectExtent l="0" t="0" r="0" b="9525"/>
            <wp:wrapThrough wrapText="bothSides">
              <wp:wrapPolygon edited="0">
                <wp:start x="0" y="0"/>
                <wp:lineTo x="0" y="20903"/>
                <wp:lineTo x="21109" y="20903"/>
                <wp:lineTo x="21109" y="0"/>
                <wp:lineTo x="0" y="0"/>
              </wp:wrapPolygon>
            </wp:wrapThrough>
            <wp:docPr id="4" name="Picture 4" descr="Creative Commons Attribution 4.0 International Licence" title="Creative Commons Attribution 4.0 International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4 88x31.png"/>
                    <pic:cNvPicPr/>
                  </pic:nvPicPr>
                  <pic:blipFill>
                    <a:blip r:embed="rId9">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sidRPr="00CC19E2">
        <w:rPr>
          <w:rFonts w:eastAsia="Times New Roman" w:cs="Times New Roman"/>
          <w:sz w:val="20"/>
          <w:szCs w:val="20"/>
          <w:lang w:eastAsia="en-AU"/>
        </w:rPr>
        <w:t>© Crown Copyright</w:t>
      </w:r>
    </w:p>
    <w:p w14:paraId="35059526" w14:textId="77777777" w:rsidR="00CC19E2" w:rsidRPr="00CC19E2" w:rsidRDefault="00CC19E2" w:rsidP="00CC19E2">
      <w:pPr>
        <w:tabs>
          <w:tab w:val="left" w:pos="1560"/>
        </w:tabs>
        <w:rPr>
          <w:rFonts w:eastAsia="Times New Roman" w:cs="Times New Roman"/>
          <w:sz w:val="20"/>
          <w:szCs w:val="20"/>
          <w:lang w:eastAsia="en-AU"/>
        </w:rPr>
      </w:pPr>
    </w:p>
    <w:p w14:paraId="32379F4F" w14:textId="77777777" w:rsidR="00CC19E2" w:rsidRPr="00CC19E2" w:rsidRDefault="00CC19E2" w:rsidP="00CC19E2">
      <w:pPr>
        <w:tabs>
          <w:tab w:val="left" w:pos="1560"/>
        </w:tabs>
        <w:rPr>
          <w:rFonts w:eastAsia="Times New Roman" w:cs="Times New Roman"/>
          <w:sz w:val="20"/>
          <w:szCs w:val="20"/>
          <w:lang w:eastAsia="en-AU"/>
        </w:rPr>
      </w:pPr>
    </w:p>
    <w:p w14:paraId="1AE75EA3" w14:textId="77777777" w:rsidR="00CC19E2" w:rsidRPr="00CC19E2" w:rsidRDefault="00CC19E2" w:rsidP="00CC19E2">
      <w:pPr>
        <w:tabs>
          <w:tab w:val="left" w:pos="1560"/>
        </w:tabs>
        <w:rPr>
          <w:rFonts w:eastAsia="Times New Roman" w:cs="Times New Roman"/>
          <w:sz w:val="20"/>
          <w:szCs w:val="20"/>
          <w:lang w:eastAsia="en-AU"/>
        </w:rPr>
      </w:pPr>
      <w:r w:rsidRPr="00CC19E2">
        <w:rPr>
          <w:rFonts w:eastAsia="Times New Roman" w:cs="Times New Roman"/>
          <w:sz w:val="20"/>
          <w:szCs w:val="20"/>
          <w:lang w:eastAsia="en-AU"/>
        </w:rPr>
        <w:t>This work is licensed under the Creative Commons Attribution 4.0 International Licence. In essence, you are free to copy, distribute and adapt the work, as long as you attribute the work to the Crown and abide by the other licence terms.</w:t>
      </w:r>
    </w:p>
    <w:p w14:paraId="39264AE3" w14:textId="77777777" w:rsidR="00CC19E2" w:rsidRPr="00CC19E2" w:rsidRDefault="00CC19E2" w:rsidP="00CC19E2">
      <w:pPr>
        <w:rPr>
          <w:rFonts w:eastAsia="Times New Roman" w:cs="Times New Roman"/>
          <w:sz w:val="20"/>
          <w:szCs w:val="20"/>
          <w:lang w:eastAsia="en-AU"/>
        </w:rPr>
      </w:pPr>
    </w:p>
    <w:p w14:paraId="0D13BEBC" w14:textId="41E063CA" w:rsidR="00CC19E2" w:rsidRPr="00CC19E2" w:rsidRDefault="00CC19E2" w:rsidP="00CC19E2">
      <w:pPr>
        <w:jc w:val="left"/>
        <w:rPr>
          <w:rFonts w:eastAsia="Times New Roman" w:cs="Times New Roman"/>
          <w:sz w:val="20"/>
          <w:szCs w:val="20"/>
          <w:lang w:eastAsia="en-AU"/>
        </w:rPr>
      </w:pPr>
      <w:r w:rsidRPr="00CC19E2">
        <w:rPr>
          <w:rFonts w:eastAsia="Times New Roman" w:cs="Times New Roman"/>
          <w:sz w:val="20"/>
          <w:szCs w:val="20"/>
          <w:lang w:eastAsia="en-AU"/>
        </w:rPr>
        <w:t>The document is available at</w:t>
      </w:r>
      <w:r w:rsidRPr="00CC19E2">
        <w:rPr>
          <w:rFonts w:eastAsia="Times New Roman" w:cs="Times New Roman"/>
          <w:sz w:val="20"/>
          <w:szCs w:val="20"/>
          <w:lang w:eastAsia="en-AU"/>
        </w:rPr>
        <w:br/>
      </w:r>
      <w:hyperlink r:id="rId10" w:history="1">
        <w:r w:rsidRPr="00CC19E2">
          <w:rPr>
            <w:rStyle w:val="Hyperlink"/>
            <w:rFonts w:eastAsia="Times New Roman" w:cs="Times New Roman"/>
            <w:sz w:val="20"/>
            <w:szCs w:val="20"/>
            <w:lang w:eastAsia="en-AU"/>
          </w:rPr>
          <w:t>http://taxpolicy.ird.govt.nz/publications/2018-commentary-rdtc-bill/overview</w:t>
        </w:r>
      </w:hyperlink>
    </w:p>
    <w:p w14:paraId="7BB68CED" w14:textId="77777777" w:rsidR="00CE2585" w:rsidRPr="00CC19E2" w:rsidRDefault="00CE2585" w:rsidP="00CC19E2">
      <w:pPr>
        <w:rPr>
          <w:rFonts w:eastAsia="Times New Roman" w:cs="Times New Roman"/>
          <w:sz w:val="20"/>
          <w:szCs w:val="20"/>
          <w:lang w:eastAsia="en-AU"/>
        </w:rPr>
      </w:pPr>
    </w:p>
    <w:p w14:paraId="586106B6" w14:textId="77777777" w:rsidR="00CC19E2" w:rsidRPr="00CC19E2" w:rsidRDefault="00CC19E2" w:rsidP="00CC19E2">
      <w:pPr>
        <w:rPr>
          <w:rFonts w:eastAsia="Times New Roman" w:cs="Times New Roman"/>
          <w:sz w:val="20"/>
          <w:szCs w:val="20"/>
          <w:lang w:eastAsia="en-AU"/>
        </w:rPr>
        <w:sectPr w:rsidR="00CC19E2" w:rsidRPr="00CC19E2" w:rsidSect="00CE2585">
          <w:footerReference w:type="even" r:id="rId11"/>
          <w:pgSz w:w="11906" w:h="16838" w:code="9"/>
          <w:pgMar w:top="1304" w:right="1797" w:bottom="1134" w:left="1797" w:header="720" w:footer="567" w:gutter="0"/>
          <w:pgNumType w:start="1"/>
          <w:cols w:space="720"/>
          <w:titlePg/>
        </w:sectPr>
      </w:pPr>
    </w:p>
    <w:p w14:paraId="7A019CD2" w14:textId="77777777" w:rsidR="00E4115B" w:rsidRDefault="00E4115B" w:rsidP="00E4115B">
      <w:pPr>
        <w:jc w:val="center"/>
        <w:rPr>
          <w:b/>
          <w:sz w:val="28"/>
        </w:rPr>
      </w:pPr>
      <w:r>
        <w:rPr>
          <w:b/>
          <w:sz w:val="28"/>
        </w:rPr>
        <w:t>CONTENTS</w:t>
      </w:r>
    </w:p>
    <w:p w14:paraId="7061EBBB" w14:textId="77777777" w:rsidR="00E4115B" w:rsidRDefault="00E4115B" w:rsidP="00FD03D4">
      <w:pPr>
        <w:pStyle w:val="TOC1"/>
      </w:pPr>
    </w:p>
    <w:p w14:paraId="5A305CBE" w14:textId="77777777" w:rsidR="00AB5AF9" w:rsidRDefault="00E4115B">
      <w:pPr>
        <w:pStyle w:val="TOC1"/>
        <w:rPr>
          <w:rFonts w:asciiTheme="minorHAnsi" w:eastAsiaTheme="minorEastAsia" w:hAnsiTheme="minorHAnsi"/>
          <w:b w:val="0"/>
          <w:noProof/>
          <w:sz w:val="22"/>
          <w:lang w:eastAsia="en-NZ"/>
        </w:rPr>
      </w:pPr>
      <w:r>
        <w:rPr>
          <w:noProof/>
        </w:rPr>
        <w:fldChar w:fldCharType="begin"/>
      </w:r>
      <w:r>
        <w:instrText xml:space="preserve"> TOC \t "Heading 1,2,Section heading,1" </w:instrText>
      </w:r>
      <w:r>
        <w:rPr>
          <w:noProof/>
        </w:rPr>
        <w:fldChar w:fldCharType="separate"/>
      </w:r>
      <w:r w:rsidR="00AB5AF9">
        <w:rPr>
          <w:noProof/>
        </w:rPr>
        <w:t>Introduction</w:t>
      </w:r>
      <w:r w:rsidR="00AB5AF9">
        <w:rPr>
          <w:noProof/>
        </w:rPr>
        <w:tab/>
      </w:r>
      <w:r w:rsidR="00AB5AF9">
        <w:rPr>
          <w:noProof/>
        </w:rPr>
        <w:fldChar w:fldCharType="begin"/>
      </w:r>
      <w:r w:rsidR="00AB5AF9">
        <w:rPr>
          <w:noProof/>
        </w:rPr>
        <w:instrText xml:space="preserve"> PAGEREF _Toc528195570 \h </w:instrText>
      </w:r>
      <w:r w:rsidR="00AB5AF9">
        <w:rPr>
          <w:noProof/>
        </w:rPr>
      </w:r>
      <w:r w:rsidR="00AB5AF9">
        <w:rPr>
          <w:noProof/>
        </w:rPr>
        <w:fldChar w:fldCharType="separate"/>
      </w:r>
      <w:r w:rsidR="001171D5">
        <w:rPr>
          <w:noProof/>
        </w:rPr>
        <w:t>1</w:t>
      </w:r>
      <w:r w:rsidR="00AB5AF9">
        <w:rPr>
          <w:noProof/>
        </w:rPr>
        <w:fldChar w:fldCharType="end"/>
      </w:r>
    </w:p>
    <w:p w14:paraId="4745CE30" w14:textId="77777777" w:rsidR="00AB5AF9" w:rsidRDefault="00AB5AF9">
      <w:pPr>
        <w:pStyle w:val="TOC1"/>
        <w:rPr>
          <w:rFonts w:asciiTheme="minorHAnsi" w:eastAsiaTheme="minorEastAsia" w:hAnsiTheme="minorHAnsi"/>
          <w:b w:val="0"/>
          <w:noProof/>
          <w:sz w:val="22"/>
          <w:lang w:eastAsia="en-NZ"/>
        </w:rPr>
      </w:pPr>
      <w:r>
        <w:rPr>
          <w:noProof/>
        </w:rPr>
        <w:t>Eligibility</w:t>
      </w:r>
      <w:r>
        <w:rPr>
          <w:noProof/>
        </w:rPr>
        <w:tab/>
      </w:r>
      <w:r>
        <w:rPr>
          <w:noProof/>
        </w:rPr>
        <w:fldChar w:fldCharType="begin"/>
      </w:r>
      <w:r>
        <w:rPr>
          <w:noProof/>
        </w:rPr>
        <w:instrText xml:space="preserve"> PAGEREF _Toc528195572 \h </w:instrText>
      </w:r>
      <w:r>
        <w:rPr>
          <w:noProof/>
        </w:rPr>
      </w:r>
      <w:r>
        <w:rPr>
          <w:noProof/>
        </w:rPr>
        <w:fldChar w:fldCharType="separate"/>
      </w:r>
      <w:r w:rsidR="001171D5">
        <w:rPr>
          <w:noProof/>
        </w:rPr>
        <w:t>7</w:t>
      </w:r>
      <w:r>
        <w:rPr>
          <w:noProof/>
        </w:rPr>
        <w:fldChar w:fldCharType="end"/>
      </w:r>
    </w:p>
    <w:p w14:paraId="5C03E971" w14:textId="77777777" w:rsidR="00AB5AF9" w:rsidRDefault="00AB5AF9">
      <w:pPr>
        <w:pStyle w:val="TOC2"/>
        <w:rPr>
          <w:rFonts w:asciiTheme="minorHAnsi" w:eastAsiaTheme="minorEastAsia" w:hAnsiTheme="minorHAnsi"/>
          <w:noProof/>
          <w:sz w:val="22"/>
          <w:lang w:eastAsia="en-NZ"/>
        </w:rPr>
      </w:pPr>
      <w:r>
        <w:rPr>
          <w:noProof/>
        </w:rPr>
        <w:t>Eligible persons</w:t>
      </w:r>
      <w:r>
        <w:rPr>
          <w:noProof/>
        </w:rPr>
        <w:tab/>
      </w:r>
      <w:r>
        <w:rPr>
          <w:noProof/>
        </w:rPr>
        <w:fldChar w:fldCharType="begin"/>
      </w:r>
      <w:r>
        <w:rPr>
          <w:noProof/>
        </w:rPr>
        <w:instrText xml:space="preserve"> PAGEREF _Toc528195573 \h </w:instrText>
      </w:r>
      <w:r>
        <w:rPr>
          <w:noProof/>
        </w:rPr>
      </w:r>
      <w:r>
        <w:rPr>
          <w:noProof/>
        </w:rPr>
        <w:fldChar w:fldCharType="separate"/>
      </w:r>
      <w:r w:rsidR="001171D5">
        <w:rPr>
          <w:noProof/>
        </w:rPr>
        <w:t>9</w:t>
      </w:r>
      <w:r>
        <w:rPr>
          <w:noProof/>
        </w:rPr>
        <w:fldChar w:fldCharType="end"/>
      </w:r>
    </w:p>
    <w:p w14:paraId="1D1F845F" w14:textId="77777777" w:rsidR="00AB5AF9" w:rsidRDefault="00AB5AF9">
      <w:pPr>
        <w:pStyle w:val="TOC2"/>
        <w:rPr>
          <w:rFonts w:asciiTheme="minorHAnsi" w:eastAsiaTheme="minorEastAsia" w:hAnsiTheme="minorHAnsi"/>
          <w:noProof/>
          <w:sz w:val="22"/>
          <w:lang w:eastAsia="en-NZ"/>
        </w:rPr>
      </w:pPr>
      <w:r>
        <w:rPr>
          <w:noProof/>
        </w:rPr>
        <w:t>R&amp;D activities</w:t>
      </w:r>
      <w:r>
        <w:rPr>
          <w:noProof/>
        </w:rPr>
        <w:tab/>
      </w:r>
      <w:r>
        <w:rPr>
          <w:noProof/>
        </w:rPr>
        <w:fldChar w:fldCharType="begin"/>
      </w:r>
      <w:r>
        <w:rPr>
          <w:noProof/>
        </w:rPr>
        <w:instrText xml:space="preserve"> PAGEREF _Toc528195574 \h </w:instrText>
      </w:r>
      <w:r>
        <w:rPr>
          <w:noProof/>
        </w:rPr>
      </w:r>
      <w:r>
        <w:rPr>
          <w:noProof/>
        </w:rPr>
        <w:fldChar w:fldCharType="separate"/>
      </w:r>
      <w:r w:rsidR="001171D5">
        <w:rPr>
          <w:noProof/>
        </w:rPr>
        <w:t>14</w:t>
      </w:r>
      <w:r>
        <w:rPr>
          <w:noProof/>
        </w:rPr>
        <w:fldChar w:fldCharType="end"/>
      </w:r>
    </w:p>
    <w:p w14:paraId="5D25EEB3" w14:textId="77777777" w:rsidR="00AB5AF9" w:rsidRDefault="00AB5AF9">
      <w:pPr>
        <w:pStyle w:val="TOC2"/>
        <w:rPr>
          <w:rFonts w:asciiTheme="minorHAnsi" w:eastAsiaTheme="minorEastAsia" w:hAnsiTheme="minorHAnsi"/>
          <w:noProof/>
          <w:sz w:val="22"/>
          <w:lang w:eastAsia="en-NZ"/>
        </w:rPr>
      </w:pPr>
      <w:r>
        <w:rPr>
          <w:noProof/>
        </w:rPr>
        <w:t>Excluded activities</w:t>
      </w:r>
      <w:r>
        <w:rPr>
          <w:noProof/>
        </w:rPr>
        <w:tab/>
      </w:r>
      <w:r>
        <w:rPr>
          <w:noProof/>
        </w:rPr>
        <w:fldChar w:fldCharType="begin"/>
      </w:r>
      <w:r>
        <w:rPr>
          <w:noProof/>
        </w:rPr>
        <w:instrText xml:space="preserve"> PAGEREF _Toc528195575 \h </w:instrText>
      </w:r>
      <w:r>
        <w:rPr>
          <w:noProof/>
        </w:rPr>
      </w:r>
      <w:r>
        <w:rPr>
          <w:noProof/>
        </w:rPr>
        <w:fldChar w:fldCharType="separate"/>
      </w:r>
      <w:r w:rsidR="001171D5">
        <w:rPr>
          <w:noProof/>
        </w:rPr>
        <w:t>19</w:t>
      </w:r>
      <w:r>
        <w:rPr>
          <w:noProof/>
        </w:rPr>
        <w:fldChar w:fldCharType="end"/>
      </w:r>
    </w:p>
    <w:p w14:paraId="13434017" w14:textId="77777777" w:rsidR="00AB5AF9" w:rsidRDefault="00AB5AF9">
      <w:pPr>
        <w:pStyle w:val="TOC2"/>
        <w:rPr>
          <w:rFonts w:asciiTheme="minorHAnsi" w:eastAsiaTheme="minorEastAsia" w:hAnsiTheme="minorHAnsi"/>
          <w:noProof/>
          <w:sz w:val="22"/>
          <w:lang w:eastAsia="en-NZ"/>
        </w:rPr>
      </w:pPr>
      <w:r>
        <w:rPr>
          <w:noProof/>
        </w:rPr>
        <w:t>Internal software development</w:t>
      </w:r>
      <w:r>
        <w:rPr>
          <w:noProof/>
        </w:rPr>
        <w:tab/>
      </w:r>
      <w:r>
        <w:rPr>
          <w:noProof/>
        </w:rPr>
        <w:fldChar w:fldCharType="begin"/>
      </w:r>
      <w:r>
        <w:rPr>
          <w:noProof/>
        </w:rPr>
        <w:instrText xml:space="preserve"> PAGEREF _Toc528195576 \h </w:instrText>
      </w:r>
      <w:r>
        <w:rPr>
          <w:noProof/>
        </w:rPr>
      </w:r>
      <w:r>
        <w:rPr>
          <w:noProof/>
        </w:rPr>
        <w:fldChar w:fldCharType="separate"/>
      </w:r>
      <w:r w:rsidR="001171D5">
        <w:rPr>
          <w:noProof/>
        </w:rPr>
        <w:t>27</w:t>
      </w:r>
      <w:r>
        <w:rPr>
          <w:noProof/>
        </w:rPr>
        <w:fldChar w:fldCharType="end"/>
      </w:r>
    </w:p>
    <w:p w14:paraId="15FE7DE3" w14:textId="77777777" w:rsidR="00AB5AF9" w:rsidRDefault="00AB5AF9">
      <w:pPr>
        <w:pStyle w:val="TOC2"/>
        <w:rPr>
          <w:rFonts w:asciiTheme="minorHAnsi" w:eastAsiaTheme="minorEastAsia" w:hAnsiTheme="minorHAnsi"/>
          <w:noProof/>
          <w:sz w:val="22"/>
          <w:lang w:eastAsia="en-NZ"/>
        </w:rPr>
      </w:pPr>
      <w:r>
        <w:rPr>
          <w:noProof/>
        </w:rPr>
        <w:t>Eligible expenditure</w:t>
      </w:r>
      <w:r>
        <w:rPr>
          <w:noProof/>
        </w:rPr>
        <w:tab/>
      </w:r>
      <w:r>
        <w:rPr>
          <w:noProof/>
        </w:rPr>
        <w:fldChar w:fldCharType="begin"/>
      </w:r>
      <w:r>
        <w:rPr>
          <w:noProof/>
        </w:rPr>
        <w:instrText xml:space="preserve"> PAGEREF _Toc528195577 \h </w:instrText>
      </w:r>
      <w:r>
        <w:rPr>
          <w:noProof/>
        </w:rPr>
      </w:r>
      <w:r>
        <w:rPr>
          <w:noProof/>
        </w:rPr>
        <w:fldChar w:fldCharType="separate"/>
      </w:r>
      <w:r w:rsidR="001171D5">
        <w:rPr>
          <w:noProof/>
        </w:rPr>
        <w:t>30</w:t>
      </w:r>
      <w:r>
        <w:rPr>
          <w:noProof/>
        </w:rPr>
        <w:fldChar w:fldCharType="end"/>
      </w:r>
    </w:p>
    <w:p w14:paraId="5F302489" w14:textId="77777777" w:rsidR="00AB5AF9" w:rsidRDefault="00AB5AF9">
      <w:pPr>
        <w:pStyle w:val="TOC2"/>
        <w:rPr>
          <w:rFonts w:asciiTheme="minorHAnsi" w:eastAsiaTheme="minorEastAsia" w:hAnsiTheme="minorHAnsi"/>
          <w:noProof/>
          <w:sz w:val="22"/>
          <w:lang w:eastAsia="en-NZ"/>
        </w:rPr>
      </w:pPr>
      <w:r>
        <w:rPr>
          <w:noProof/>
        </w:rPr>
        <w:t>Contracted expenditure</w:t>
      </w:r>
      <w:r>
        <w:rPr>
          <w:noProof/>
        </w:rPr>
        <w:tab/>
      </w:r>
      <w:r>
        <w:rPr>
          <w:noProof/>
        </w:rPr>
        <w:fldChar w:fldCharType="begin"/>
      </w:r>
      <w:r>
        <w:rPr>
          <w:noProof/>
        </w:rPr>
        <w:instrText xml:space="preserve"> PAGEREF _Toc528195578 \h </w:instrText>
      </w:r>
      <w:r>
        <w:rPr>
          <w:noProof/>
        </w:rPr>
      </w:r>
      <w:r>
        <w:rPr>
          <w:noProof/>
        </w:rPr>
        <w:fldChar w:fldCharType="separate"/>
      </w:r>
      <w:r w:rsidR="001171D5">
        <w:rPr>
          <w:noProof/>
        </w:rPr>
        <w:t>33</w:t>
      </w:r>
      <w:r>
        <w:rPr>
          <w:noProof/>
        </w:rPr>
        <w:fldChar w:fldCharType="end"/>
      </w:r>
    </w:p>
    <w:p w14:paraId="54F68904" w14:textId="77777777" w:rsidR="00AB5AF9" w:rsidRDefault="00AB5AF9">
      <w:pPr>
        <w:pStyle w:val="TOC2"/>
        <w:rPr>
          <w:rFonts w:asciiTheme="minorHAnsi" w:eastAsiaTheme="minorEastAsia" w:hAnsiTheme="minorHAnsi"/>
          <w:noProof/>
          <w:sz w:val="22"/>
          <w:lang w:eastAsia="en-NZ"/>
        </w:rPr>
      </w:pPr>
      <w:r>
        <w:rPr>
          <w:noProof/>
        </w:rPr>
        <w:t>Foreign expenditure</w:t>
      </w:r>
      <w:r>
        <w:rPr>
          <w:noProof/>
        </w:rPr>
        <w:tab/>
      </w:r>
      <w:r>
        <w:rPr>
          <w:noProof/>
        </w:rPr>
        <w:fldChar w:fldCharType="begin"/>
      </w:r>
      <w:r>
        <w:rPr>
          <w:noProof/>
        </w:rPr>
        <w:instrText xml:space="preserve"> PAGEREF _Toc528195579 \h </w:instrText>
      </w:r>
      <w:r>
        <w:rPr>
          <w:noProof/>
        </w:rPr>
      </w:r>
      <w:r>
        <w:rPr>
          <w:noProof/>
        </w:rPr>
        <w:fldChar w:fldCharType="separate"/>
      </w:r>
      <w:r w:rsidR="001171D5">
        <w:rPr>
          <w:noProof/>
        </w:rPr>
        <w:t>35</w:t>
      </w:r>
      <w:r>
        <w:rPr>
          <w:noProof/>
        </w:rPr>
        <w:fldChar w:fldCharType="end"/>
      </w:r>
    </w:p>
    <w:p w14:paraId="10F331DA" w14:textId="77777777" w:rsidR="00AB5AF9" w:rsidRDefault="00AB5AF9">
      <w:pPr>
        <w:pStyle w:val="TOC2"/>
        <w:rPr>
          <w:rFonts w:asciiTheme="minorHAnsi" w:eastAsiaTheme="minorEastAsia" w:hAnsiTheme="minorHAnsi"/>
          <w:noProof/>
          <w:sz w:val="22"/>
          <w:lang w:eastAsia="en-NZ"/>
        </w:rPr>
      </w:pPr>
      <w:r>
        <w:rPr>
          <w:noProof/>
        </w:rPr>
        <w:t>Eligible and ineligible expenditure: schedule 21B</w:t>
      </w:r>
      <w:r>
        <w:rPr>
          <w:noProof/>
        </w:rPr>
        <w:tab/>
      </w:r>
      <w:r>
        <w:rPr>
          <w:noProof/>
        </w:rPr>
        <w:fldChar w:fldCharType="begin"/>
      </w:r>
      <w:r>
        <w:rPr>
          <w:noProof/>
        </w:rPr>
        <w:instrText xml:space="preserve"> PAGEREF _Toc528195580 \h </w:instrText>
      </w:r>
      <w:r>
        <w:rPr>
          <w:noProof/>
        </w:rPr>
      </w:r>
      <w:r>
        <w:rPr>
          <w:noProof/>
        </w:rPr>
        <w:fldChar w:fldCharType="separate"/>
      </w:r>
      <w:r w:rsidR="001171D5">
        <w:rPr>
          <w:noProof/>
        </w:rPr>
        <w:t>39</w:t>
      </w:r>
      <w:r>
        <w:rPr>
          <w:noProof/>
        </w:rPr>
        <w:fldChar w:fldCharType="end"/>
      </w:r>
    </w:p>
    <w:p w14:paraId="5CCC320A" w14:textId="77777777" w:rsidR="00AB5AF9" w:rsidRDefault="00AB5AF9">
      <w:pPr>
        <w:pStyle w:val="TOC1"/>
        <w:rPr>
          <w:rFonts w:asciiTheme="minorHAnsi" w:eastAsiaTheme="minorEastAsia" w:hAnsiTheme="minorHAnsi"/>
          <w:b w:val="0"/>
          <w:noProof/>
          <w:sz w:val="22"/>
          <w:lang w:eastAsia="en-NZ"/>
        </w:rPr>
      </w:pPr>
      <w:r>
        <w:rPr>
          <w:noProof/>
        </w:rPr>
        <w:t>Calculating the tax credit</w:t>
      </w:r>
      <w:r>
        <w:rPr>
          <w:noProof/>
        </w:rPr>
        <w:tab/>
      </w:r>
      <w:r>
        <w:rPr>
          <w:noProof/>
        </w:rPr>
        <w:fldChar w:fldCharType="begin"/>
      </w:r>
      <w:r>
        <w:rPr>
          <w:noProof/>
        </w:rPr>
        <w:instrText xml:space="preserve"> PAGEREF _Toc528195581 \h </w:instrText>
      </w:r>
      <w:r>
        <w:rPr>
          <w:noProof/>
        </w:rPr>
      </w:r>
      <w:r>
        <w:rPr>
          <w:noProof/>
        </w:rPr>
        <w:fldChar w:fldCharType="separate"/>
      </w:r>
      <w:r w:rsidR="001171D5">
        <w:rPr>
          <w:noProof/>
        </w:rPr>
        <w:t>47</w:t>
      </w:r>
      <w:r>
        <w:rPr>
          <w:noProof/>
        </w:rPr>
        <w:fldChar w:fldCharType="end"/>
      </w:r>
    </w:p>
    <w:p w14:paraId="20A88C2A" w14:textId="77777777" w:rsidR="00AB5AF9" w:rsidRDefault="00AB5AF9">
      <w:pPr>
        <w:pStyle w:val="TOC2"/>
        <w:rPr>
          <w:rFonts w:asciiTheme="minorHAnsi" w:eastAsiaTheme="minorEastAsia" w:hAnsiTheme="minorHAnsi"/>
          <w:noProof/>
          <w:sz w:val="22"/>
          <w:lang w:eastAsia="en-NZ"/>
        </w:rPr>
      </w:pPr>
      <w:r>
        <w:rPr>
          <w:noProof/>
        </w:rPr>
        <w:t>Minimum threshold</w:t>
      </w:r>
      <w:r>
        <w:rPr>
          <w:noProof/>
        </w:rPr>
        <w:tab/>
      </w:r>
      <w:r>
        <w:rPr>
          <w:noProof/>
        </w:rPr>
        <w:fldChar w:fldCharType="begin"/>
      </w:r>
      <w:r>
        <w:rPr>
          <w:noProof/>
        </w:rPr>
        <w:instrText xml:space="preserve"> PAGEREF _Toc528195582 \h </w:instrText>
      </w:r>
      <w:r>
        <w:rPr>
          <w:noProof/>
        </w:rPr>
      </w:r>
      <w:r>
        <w:rPr>
          <w:noProof/>
        </w:rPr>
        <w:fldChar w:fldCharType="separate"/>
      </w:r>
      <w:r w:rsidR="001171D5">
        <w:rPr>
          <w:noProof/>
        </w:rPr>
        <w:t>49</w:t>
      </w:r>
      <w:r>
        <w:rPr>
          <w:noProof/>
        </w:rPr>
        <w:fldChar w:fldCharType="end"/>
      </w:r>
    </w:p>
    <w:p w14:paraId="7D15FBA0" w14:textId="77777777" w:rsidR="00AB5AF9" w:rsidRDefault="00AB5AF9">
      <w:pPr>
        <w:pStyle w:val="TOC2"/>
        <w:rPr>
          <w:rFonts w:asciiTheme="minorHAnsi" w:eastAsiaTheme="minorEastAsia" w:hAnsiTheme="minorHAnsi"/>
          <w:noProof/>
          <w:sz w:val="22"/>
          <w:lang w:eastAsia="en-NZ"/>
        </w:rPr>
      </w:pPr>
      <w:r>
        <w:rPr>
          <w:noProof/>
        </w:rPr>
        <w:t>Expenditure cap (including approved R&amp;D caps)</w:t>
      </w:r>
      <w:r>
        <w:rPr>
          <w:noProof/>
        </w:rPr>
        <w:tab/>
      </w:r>
      <w:r>
        <w:rPr>
          <w:noProof/>
        </w:rPr>
        <w:fldChar w:fldCharType="begin"/>
      </w:r>
      <w:r>
        <w:rPr>
          <w:noProof/>
        </w:rPr>
        <w:instrText xml:space="preserve"> PAGEREF _Toc528195583 \h </w:instrText>
      </w:r>
      <w:r>
        <w:rPr>
          <w:noProof/>
        </w:rPr>
      </w:r>
      <w:r>
        <w:rPr>
          <w:noProof/>
        </w:rPr>
        <w:fldChar w:fldCharType="separate"/>
      </w:r>
      <w:r w:rsidR="001171D5">
        <w:rPr>
          <w:noProof/>
        </w:rPr>
        <w:t>51</w:t>
      </w:r>
      <w:r>
        <w:rPr>
          <w:noProof/>
        </w:rPr>
        <w:fldChar w:fldCharType="end"/>
      </w:r>
    </w:p>
    <w:p w14:paraId="4F631732" w14:textId="77777777" w:rsidR="00AB5AF9" w:rsidRDefault="00AB5AF9">
      <w:pPr>
        <w:pStyle w:val="TOC2"/>
        <w:rPr>
          <w:rFonts w:asciiTheme="minorHAnsi" w:eastAsiaTheme="minorEastAsia" w:hAnsiTheme="minorHAnsi"/>
          <w:noProof/>
          <w:sz w:val="22"/>
          <w:lang w:eastAsia="en-NZ"/>
        </w:rPr>
      </w:pPr>
      <w:r>
        <w:rPr>
          <w:noProof/>
        </w:rPr>
        <w:t>Tax credit rate and calculation</w:t>
      </w:r>
      <w:r>
        <w:rPr>
          <w:noProof/>
        </w:rPr>
        <w:tab/>
      </w:r>
      <w:r>
        <w:rPr>
          <w:noProof/>
        </w:rPr>
        <w:fldChar w:fldCharType="begin"/>
      </w:r>
      <w:r>
        <w:rPr>
          <w:noProof/>
        </w:rPr>
        <w:instrText xml:space="preserve"> PAGEREF _Toc528195584 \h </w:instrText>
      </w:r>
      <w:r>
        <w:rPr>
          <w:noProof/>
        </w:rPr>
      </w:r>
      <w:r>
        <w:rPr>
          <w:noProof/>
        </w:rPr>
        <w:fldChar w:fldCharType="separate"/>
      </w:r>
      <w:r w:rsidR="001171D5">
        <w:rPr>
          <w:noProof/>
        </w:rPr>
        <w:t>53</w:t>
      </w:r>
      <w:r>
        <w:rPr>
          <w:noProof/>
        </w:rPr>
        <w:fldChar w:fldCharType="end"/>
      </w:r>
    </w:p>
    <w:p w14:paraId="277DAC90" w14:textId="77777777" w:rsidR="00AB5AF9" w:rsidRDefault="00AB5AF9">
      <w:pPr>
        <w:pStyle w:val="TOC2"/>
        <w:rPr>
          <w:rFonts w:asciiTheme="minorHAnsi" w:eastAsiaTheme="minorEastAsia" w:hAnsiTheme="minorHAnsi"/>
          <w:noProof/>
          <w:sz w:val="22"/>
          <w:lang w:eastAsia="en-NZ"/>
        </w:rPr>
      </w:pPr>
      <w:r>
        <w:rPr>
          <w:noProof/>
        </w:rPr>
        <w:t>Stripping out GST inputs</w:t>
      </w:r>
      <w:r>
        <w:rPr>
          <w:noProof/>
        </w:rPr>
        <w:tab/>
      </w:r>
      <w:r>
        <w:rPr>
          <w:noProof/>
        </w:rPr>
        <w:fldChar w:fldCharType="begin"/>
      </w:r>
      <w:r>
        <w:rPr>
          <w:noProof/>
        </w:rPr>
        <w:instrText xml:space="preserve"> PAGEREF _Toc528195585 \h </w:instrText>
      </w:r>
      <w:r>
        <w:rPr>
          <w:noProof/>
        </w:rPr>
      </w:r>
      <w:r>
        <w:rPr>
          <w:noProof/>
        </w:rPr>
        <w:fldChar w:fldCharType="separate"/>
      </w:r>
      <w:r w:rsidR="001171D5">
        <w:rPr>
          <w:noProof/>
        </w:rPr>
        <w:t>54</w:t>
      </w:r>
      <w:r>
        <w:rPr>
          <w:noProof/>
        </w:rPr>
        <w:fldChar w:fldCharType="end"/>
      </w:r>
    </w:p>
    <w:p w14:paraId="1B51CA29" w14:textId="77777777" w:rsidR="00AB5AF9" w:rsidRDefault="00AB5AF9">
      <w:pPr>
        <w:pStyle w:val="TOC2"/>
        <w:rPr>
          <w:rFonts w:asciiTheme="minorHAnsi" w:eastAsiaTheme="minorEastAsia" w:hAnsiTheme="minorHAnsi"/>
          <w:noProof/>
          <w:sz w:val="22"/>
          <w:lang w:eastAsia="en-NZ"/>
        </w:rPr>
      </w:pPr>
      <w:r>
        <w:rPr>
          <w:noProof/>
        </w:rPr>
        <w:t>Refundability</w:t>
      </w:r>
      <w:r>
        <w:rPr>
          <w:noProof/>
        </w:rPr>
        <w:tab/>
      </w:r>
      <w:r>
        <w:rPr>
          <w:noProof/>
        </w:rPr>
        <w:fldChar w:fldCharType="begin"/>
      </w:r>
      <w:r>
        <w:rPr>
          <w:noProof/>
        </w:rPr>
        <w:instrText xml:space="preserve"> PAGEREF _Toc528195586 \h </w:instrText>
      </w:r>
      <w:r>
        <w:rPr>
          <w:noProof/>
        </w:rPr>
      </w:r>
      <w:r>
        <w:rPr>
          <w:noProof/>
        </w:rPr>
        <w:fldChar w:fldCharType="separate"/>
      </w:r>
      <w:r w:rsidR="001171D5">
        <w:rPr>
          <w:noProof/>
        </w:rPr>
        <w:t>56</w:t>
      </w:r>
      <w:r>
        <w:rPr>
          <w:noProof/>
        </w:rPr>
        <w:fldChar w:fldCharType="end"/>
      </w:r>
    </w:p>
    <w:p w14:paraId="2BC54310" w14:textId="77777777" w:rsidR="00AB5AF9" w:rsidRDefault="00AB5AF9">
      <w:pPr>
        <w:pStyle w:val="TOC2"/>
        <w:rPr>
          <w:rFonts w:asciiTheme="minorHAnsi" w:eastAsiaTheme="minorEastAsia" w:hAnsiTheme="minorHAnsi"/>
          <w:noProof/>
          <w:sz w:val="22"/>
          <w:lang w:eastAsia="en-NZ"/>
        </w:rPr>
      </w:pPr>
      <w:r>
        <w:rPr>
          <w:noProof/>
        </w:rPr>
        <w:t>Carrying forward surplus R&amp;D tax credits</w:t>
      </w:r>
      <w:r>
        <w:rPr>
          <w:noProof/>
        </w:rPr>
        <w:tab/>
      </w:r>
      <w:r>
        <w:rPr>
          <w:noProof/>
        </w:rPr>
        <w:fldChar w:fldCharType="begin"/>
      </w:r>
      <w:r>
        <w:rPr>
          <w:noProof/>
        </w:rPr>
        <w:instrText xml:space="preserve"> PAGEREF _Toc528195587 \h </w:instrText>
      </w:r>
      <w:r>
        <w:rPr>
          <w:noProof/>
        </w:rPr>
      </w:r>
      <w:r>
        <w:rPr>
          <w:noProof/>
        </w:rPr>
        <w:fldChar w:fldCharType="separate"/>
      </w:r>
      <w:r w:rsidR="001171D5">
        <w:rPr>
          <w:noProof/>
        </w:rPr>
        <w:t>59</w:t>
      </w:r>
      <w:r>
        <w:rPr>
          <w:noProof/>
        </w:rPr>
        <w:fldChar w:fldCharType="end"/>
      </w:r>
    </w:p>
    <w:p w14:paraId="49AA912E" w14:textId="77777777" w:rsidR="00AB5AF9" w:rsidRDefault="00AB5AF9">
      <w:pPr>
        <w:pStyle w:val="TOC1"/>
        <w:rPr>
          <w:rFonts w:asciiTheme="minorHAnsi" w:eastAsiaTheme="minorEastAsia" w:hAnsiTheme="minorHAnsi"/>
          <w:b w:val="0"/>
          <w:noProof/>
          <w:sz w:val="22"/>
          <w:lang w:eastAsia="en-NZ"/>
        </w:rPr>
      </w:pPr>
      <w:r>
        <w:rPr>
          <w:noProof/>
        </w:rPr>
        <w:t>Other matters</w:t>
      </w:r>
      <w:r>
        <w:rPr>
          <w:noProof/>
        </w:rPr>
        <w:tab/>
      </w:r>
      <w:r>
        <w:rPr>
          <w:noProof/>
        </w:rPr>
        <w:fldChar w:fldCharType="begin"/>
      </w:r>
      <w:r>
        <w:rPr>
          <w:noProof/>
        </w:rPr>
        <w:instrText xml:space="preserve"> PAGEREF _Toc528195588 \h </w:instrText>
      </w:r>
      <w:r>
        <w:rPr>
          <w:noProof/>
        </w:rPr>
      </w:r>
      <w:r>
        <w:rPr>
          <w:noProof/>
        </w:rPr>
        <w:fldChar w:fldCharType="separate"/>
      </w:r>
      <w:r w:rsidR="001171D5">
        <w:rPr>
          <w:noProof/>
        </w:rPr>
        <w:t>63</w:t>
      </w:r>
      <w:r>
        <w:rPr>
          <w:noProof/>
        </w:rPr>
        <w:fldChar w:fldCharType="end"/>
      </w:r>
    </w:p>
    <w:p w14:paraId="2F907FC8" w14:textId="77777777" w:rsidR="00AB5AF9" w:rsidRDefault="00AB5AF9">
      <w:pPr>
        <w:pStyle w:val="TOC2"/>
        <w:rPr>
          <w:rFonts w:asciiTheme="minorHAnsi" w:eastAsiaTheme="minorEastAsia" w:hAnsiTheme="minorHAnsi"/>
          <w:noProof/>
          <w:sz w:val="22"/>
          <w:lang w:eastAsia="en-NZ"/>
        </w:rPr>
      </w:pPr>
      <w:r>
        <w:rPr>
          <w:noProof/>
        </w:rPr>
        <w:t>Approved research providers</w:t>
      </w:r>
      <w:r>
        <w:rPr>
          <w:noProof/>
        </w:rPr>
        <w:tab/>
      </w:r>
      <w:r>
        <w:rPr>
          <w:noProof/>
        </w:rPr>
        <w:fldChar w:fldCharType="begin"/>
      </w:r>
      <w:r>
        <w:rPr>
          <w:noProof/>
        </w:rPr>
        <w:instrText xml:space="preserve"> PAGEREF _Toc528195589 \h </w:instrText>
      </w:r>
      <w:r>
        <w:rPr>
          <w:noProof/>
        </w:rPr>
      </w:r>
      <w:r>
        <w:rPr>
          <w:noProof/>
        </w:rPr>
        <w:fldChar w:fldCharType="separate"/>
      </w:r>
      <w:r w:rsidR="001171D5">
        <w:rPr>
          <w:noProof/>
        </w:rPr>
        <w:t>65</w:t>
      </w:r>
      <w:r>
        <w:rPr>
          <w:noProof/>
        </w:rPr>
        <w:fldChar w:fldCharType="end"/>
      </w:r>
    </w:p>
    <w:p w14:paraId="5582EEFA" w14:textId="77777777" w:rsidR="00AB5AF9" w:rsidRDefault="00AB5AF9">
      <w:pPr>
        <w:pStyle w:val="TOC2"/>
        <w:rPr>
          <w:rFonts w:asciiTheme="minorHAnsi" w:eastAsiaTheme="minorEastAsia" w:hAnsiTheme="minorHAnsi"/>
          <w:noProof/>
          <w:sz w:val="22"/>
          <w:lang w:eastAsia="en-NZ"/>
        </w:rPr>
      </w:pPr>
      <w:r>
        <w:rPr>
          <w:noProof/>
        </w:rPr>
        <w:t>Provisional tax</w:t>
      </w:r>
      <w:r>
        <w:rPr>
          <w:noProof/>
        </w:rPr>
        <w:tab/>
      </w:r>
      <w:r>
        <w:rPr>
          <w:noProof/>
        </w:rPr>
        <w:fldChar w:fldCharType="begin"/>
      </w:r>
      <w:r>
        <w:rPr>
          <w:noProof/>
        </w:rPr>
        <w:instrText xml:space="preserve"> PAGEREF _Toc528195590 \h </w:instrText>
      </w:r>
      <w:r>
        <w:rPr>
          <w:noProof/>
        </w:rPr>
      </w:r>
      <w:r>
        <w:rPr>
          <w:noProof/>
        </w:rPr>
        <w:fldChar w:fldCharType="separate"/>
      </w:r>
      <w:r w:rsidR="001171D5">
        <w:rPr>
          <w:noProof/>
        </w:rPr>
        <w:t>66</w:t>
      </w:r>
      <w:r>
        <w:rPr>
          <w:noProof/>
        </w:rPr>
        <w:fldChar w:fldCharType="end"/>
      </w:r>
    </w:p>
    <w:p w14:paraId="1B16C610" w14:textId="77777777" w:rsidR="00AB5AF9" w:rsidRDefault="00AB5AF9">
      <w:pPr>
        <w:pStyle w:val="TOC2"/>
        <w:rPr>
          <w:rFonts w:asciiTheme="minorHAnsi" w:eastAsiaTheme="minorEastAsia" w:hAnsiTheme="minorHAnsi"/>
          <w:noProof/>
          <w:sz w:val="22"/>
          <w:lang w:eastAsia="en-NZ"/>
        </w:rPr>
      </w:pPr>
      <w:r>
        <w:rPr>
          <w:noProof/>
        </w:rPr>
        <w:t>Ordering rules</w:t>
      </w:r>
      <w:r>
        <w:rPr>
          <w:noProof/>
        </w:rPr>
        <w:tab/>
      </w:r>
      <w:r>
        <w:rPr>
          <w:noProof/>
        </w:rPr>
        <w:fldChar w:fldCharType="begin"/>
      </w:r>
      <w:r>
        <w:rPr>
          <w:noProof/>
        </w:rPr>
        <w:instrText xml:space="preserve"> PAGEREF _Toc528195591 \h </w:instrText>
      </w:r>
      <w:r>
        <w:rPr>
          <w:noProof/>
        </w:rPr>
      </w:r>
      <w:r>
        <w:rPr>
          <w:noProof/>
        </w:rPr>
        <w:fldChar w:fldCharType="separate"/>
      </w:r>
      <w:r w:rsidR="001171D5">
        <w:rPr>
          <w:noProof/>
        </w:rPr>
        <w:t>67</w:t>
      </w:r>
      <w:r>
        <w:rPr>
          <w:noProof/>
        </w:rPr>
        <w:fldChar w:fldCharType="end"/>
      </w:r>
    </w:p>
    <w:p w14:paraId="53B9141A" w14:textId="77777777" w:rsidR="00AB5AF9" w:rsidRDefault="00AB5AF9">
      <w:pPr>
        <w:pStyle w:val="TOC2"/>
        <w:rPr>
          <w:rFonts w:asciiTheme="minorHAnsi" w:eastAsiaTheme="minorEastAsia" w:hAnsiTheme="minorHAnsi"/>
          <w:noProof/>
          <w:sz w:val="22"/>
          <w:lang w:eastAsia="en-NZ"/>
        </w:rPr>
      </w:pPr>
      <w:r>
        <w:rPr>
          <w:noProof/>
        </w:rPr>
        <w:t>Imputation and Māori authority credits</w:t>
      </w:r>
      <w:r>
        <w:rPr>
          <w:noProof/>
        </w:rPr>
        <w:tab/>
      </w:r>
      <w:r>
        <w:rPr>
          <w:noProof/>
        </w:rPr>
        <w:fldChar w:fldCharType="begin"/>
      </w:r>
      <w:r>
        <w:rPr>
          <w:noProof/>
        </w:rPr>
        <w:instrText xml:space="preserve"> PAGEREF _Toc528195592 \h </w:instrText>
      </w:r>
      <w:r>
        <w:rPr>
          <w:noProof/>
        </w:rPr>
      </w:r>
      <w:r>
        <w:rPr>
          <w:noProof/>
        </w:rPr>
        <w:fldChar w:fldCharType="separate"/>
      </w:r>
      <w:r w:rsidR="001171D5">
        <w:rPr>
          <w:noProof/>
        </w:rPr>
        <w:t>69</w:t>
      </w:r>
      <w:r>
        <w:rPr>
          <w:noProof/>
        </w:rPr>
        <w:fldChar w:fldCharType="end"/>
      </w:r>
    </w:p>
    <w:p w14:paraId="7E44FD70" w14:textId="77777777" w:rsidR="00AB5AF9" w:rsidRDefault="00AB5AF9">
      <w:pPr>
        <w:pStyle w:val="TOC1"/>
        <w:rPr>
          <w:rFonts w:asciiTheme="minorHAnsi" w:eastAsiaTheme="minorEastAsia" w:hAnsiTheme="minorHAnsi"/>
          <w:b w:val="0"/>
          <w:noProof/>
          <w:sz w:val="22"/>
          <w:lang w:eastAsia="en-NZ"/>
        </w:rPr>
      </w:pPr>
      <w:r w:rsidRPr="00284735">
        <w:rPr>
          <w:noProof/>
          <w:lang w:val="en-GB"/>
        </w:rPr>
        <w:t>Administrative requirements</w:t>
      </w:r>
      <w:r>
        <w:rPr>
          <w:noProof/>
        </w:rPr>
        <w:tab/>
      </w:r>
      <w:r>
        <w:rPr>
          <w:noProof/>
        </w:rPr>
        <w:fldChar w:fldCharType="begin"/>
      </w:r>
      <w:r>
        <w:rPr>
          <w:noProof/>
        </w:rPr>
        <w:instrText xml:space="preserve"> PAGEREF _Toc528195593 \h </w:instrText>
      </w:r>
      <w:r>
        <w:rPr>
          <w:noProof/>
        </w:rPr>
      </w:r>
      <w:r>
        <w:rPr>
          <w:noProof/>
        </w:rPr>
        <w:fldChar w:fldCharType="separate"/>
      </w:r>
      <w:r w:rsidR="001171D5">
        <w:rPr>
          <w:noProof/>
        </w:rPr>
        <w:t>73</w:t>
      </w:r>
      <w:r>
        <w:rPr>
          <w:noProof/>
        </w:rPr>
        <w:fldChar w:fldCharType="end"/>
      </w:r>
    </w:p>
    <w:p w14:paraId="37BBA348" w14:textId="77777777" w:rsidR="00AB5AF9" w:rsidRDefault="00AB5AF9">
      <w:pPr>
        <w:pStyle w:val="TOC2"/>
        <w:rPr>
          <w:rFonts w:asciiTheme="minorHAnsi" w:eastAsiaTheme="minorEastAsia" w:hAnsiTheme="minorHAnsi"/>
          <w:noProof/>
          <w:sz w:val="22"/>
          <w:lang w:eastAsia="en-NZ"/>
        </w:rPr>
      </w:pPr>
      <w:r>
        <w:rPr>
          <w:noProof/>
        </w:rPr>
        <w:t>Record keeping</w:t>
      </w:r>
      <w:r>
        <w:rPr>
          <w:noProof/>
        </w:rPr>
        <w:tab/>
      </w:r>
      <w:r>
        <w:rPr>
          <w:noProof/>
        </w:rPr>
        <w:fldChar w:fldCharType="begin"/>
      </w:r>
      <w:r>
        <w:rPr>
          <w:noProof/>
        </w:rPr>
        <w:instrText xml:space="preserve"> PAGEREF _Toc528195594 \h </w:instrText>
      </w:r>
      <w:r>
        <w:rPr>
          <w:noProof/>
        </w:rPr>
      </w:r>
      <w:r>
        <w:rPr>
          <w:noProof/>
        </w:rPr>
        <w:fldChar w:fldCharType="separate"/>
      </w:r>
      <w:r w:rsidR="001171D5">
        <w:rPr>
          <w:noProof/>
        </w:rPr>
        <w:t>75</w:t>
      </w:r>
      <w:r>
        <w:rPr>
          <w:noProof/>
        </w:rPr>
        <w:fldChar w:fldCharType="end"/>
      </w:r>
    </w:p>
    <w:p w14:paraId="3473C2B8" w14:textId="77777777" w:rsidR="00AB5AF9" w:rsidRDefault="00AB5AF9">
      <w:pPr>
        <w:pStyle w:val="TOC2"/>
        <w:rPr>
          <w:rFonts w:asciiTheme="minorHAnsi" w:eastAsiaTheme="minorEastAsia" w:hAnsiTheme="minorHAnsi"/>
          <w:noProof/>
          <w:sz w:val="22"/>
          <w:lang w:eastAsia="en-NZ"/>
        </w:rPr>
      </w:pPr>
      <w:r>
        <w:rPr>
          <w:noProof/>
        </w:rPr>
        <w:t>R&amp;D supplementary returns</w:t>
      </w:r>
      <w:r>
        <w:rPr>
          <w:noProof/>
        </w:rPr>
        <w:tab/>
      </w:r>
      <w:r>
        <w:rPr>
          <w:noProof/>
        </w:rPr>
        <w:fldChar w:fldCharType="begin"/>
      </w:r>
      <w:r>
        <w:rPr>
          <w:noProof/>
        </w:rPr>
        <w:instrText xml:space="preserve"> PAGEREF _Toc528195595 \h </w:instrText>
      </w:r>
      <w:r>
        <w:rPr>
          <w:noProof/>
        </w:rPr>
      </w:r>
      <w:r>
        <w:rPr>
          <w:noProof/>
        </w:rPr>
        <w:fldChar w:fldCharType="separate"/>
      </w:r>
      <w:r w:rsidR="001171D5">
        <w:rPr>
          <w:noProof/>
        </w:rPr>
        <w:t>78</w:t>
      </w:r>
      <w:r>
        <w:rPr>
          <w:noProof/>
        </w:rPr>
        <w:fldChar w:fldCharType="end"/>
      </w:r>
    </w:p>
    <w:p w14:paraId="5801E436" w14:textId="77777777" w:rsidR="00AB5AF9" w:rsidRDefault="00AB5AF9">
      <w:pPr>
        <w:pStyle w:val="TOC1"/>
        <w:rPr>
          <w:rFonts w:asciiTheme="minorHAnsi" w:eastAsiaTheme="minorEastAsia" w:hAnsiTheme="minorHAnsi"/>
          <w:b w:val="0"/>
          <w:noProof/>
          <w:sz w:val="22"/>
          <w:lang w:eastAsia="en-NZ"/>
        </w:rPr>
      </w:pPr>
      <w:r>
        <w:rPr>
          <w:noProof/>
        </w:rPr>
        <w:t>Integrity measures</w:t>
      </w:r>
      <w:r>
        <w:rPr>
          <w:noProof/>
        </w:rPr>
        <w:tab/>
      </w:r>
      <w:r>
        <w:rPr>
          <w:noProof/>
        </w:rPr>
        <w:fldChar w:fldCharType="begin"/>
      </w:r>
      <w:r>
        <w:rPr>
          <w:noProof/>
        </w:rPr>
        <w:instrText xml:space="preserve"> PAGEREF _Toc528195596 \h </w:instrText>
      </w:r>
      <w:r>
        <w:rPr>
          <w:noProof/>
        </w:rPr>
      </w:r>
      <w:r>
        <w:rPr>
          <w:noProof/>
        </w:rPr>
        <w:fldChar w:fldCharType="separate"/>
      </w:r>
      <w:r w:rsidR="001171D5">
        <w:rPr>
          <w:noProof/>
        </w:rPr>
        <w:t>81</w:t>
      </w:r>
      <w:r>
        <w:rPr>
          <w:noProof/>
        </w:rPr>
        <w:fldChar w:fldCharType="end"/>
      </w:r>
    </w:p>
    <w:p w14:paraId="5B9CBD83" w14:textId="77777777" w:rsidR="00AB5AF9" w:rsidRDefault="00AB5AF9">
      <w:pPr>
        <w:pStyle w:val="TOC2"/>
        <w:rPr>
          <w:rFonts w:asciiTheme="minorHAnsi" w:eastAsiaTheme="minorEastAsia" w:hAnsiTheme="minorHAnsi"/>
          <w:noProof/>
          <w:sz w:val="22"/>
          <w:lang w:eastAsia="en-NZ"/>
        </w:rPr>
      </w:pPr>
      <w:r>
        <w:rPr>
          <w:noProof/>
        </w:rPr>
        <w:t>Amendments to secrecy provisions</w:t>
      </w:r>
      <w:r>
        <w:rPr>
          <w:noProof/>
        </w:rPr>
        <w:tab/>
      </w:r>
      <w:r>
        <w:rPr>
          <w:noProof/>
        </w:rPr>
        <w:fldChar w:fldCharType="begin"/>
      </w:r>
      <w:r>
        <w:rPr>
          <w:noProof/>
        </w:rPr>
        <w:instrText xml:space="preserve"> PAGEREF _Toc528195597 \h </w:instrText>
      </w:r>
      <w:r>
        <w:rPr>
          <w:noProof/>
        </w:rPr>
      </w:r>
      <w:r>
        <w:rPr>
          <w:noProof/>
        </w:rPr>
        <w:fldChar w:fldCharType="separate"/>
      </w:r>
      <w:r w:rsidR="001171D5">
        <w:rPr>
          <w:noProof/>
        </w:rPr>
        <w:t>83</w:t>
      </w:r>
      <w:r>
        <w:rPr>
          <w:noProof/>
        </w:rPr>
        <w:fldChar w:fldCharType="end"/>
      </w:r>
    </w:p>
    <w:p w14:paraId="271F38E3" w14:textId="77777777" w:rsidR="00AB5AF9" w:rsidRDefault="00AB5AF9">
      <w:pPr>
        <w:pStyle w:val="TOC2"/>
        <w:rPr>
          <w:rFonts w:asciiTheme="minorHAnsi" w:eastAsiaTheme="minorEastAsia" w:hAnsiTheme="minorHAnsi"/>
          <w:noProof/>
          <w:sz w:val="22"/>
          <w:lang w:eastAsia="en-NZ"/>
        </w:rPr>
      </w:pPr>
      <w:r>
        <w:rPr>
          <w:noProof/>
        </w:rPr>
        <w:t>Publication of claim details</w:t>
      </w:r>
      <w:r>
        <w:rPr>
          <w:noProof/>
        </w:rPr>
        <w:tab/>
      </w:r>
      <w:r>
        <w:rPr>
          <w:noProof/>
        </w:rPr>
        <w:fldChar w:fldCharType="begin"/>
      </w:r>
      <w:r>
        <w:rPr>
          <w:noProof/>
        </w:rPr>
        <w:instrText xml:space="preserve"> PAGEREF _Toc528195598 \h </w:instrText>
      </w:r>
      <w:r>
        <w:rPr>
          <w:noProof/>
        </w:rPr>
      </w:r>
      <w:r>
        <w:rPr>
          <w:noProof/>
        </w:rPr>
        <w:fldChar w:fldCharType="separate"/>
      </w:r>
      <w:r w:rsidR="001171D5">
        <w:rPr>
          <w:noProof/>
        </w:rPr>
        <w:t>85</w:t>
      </w:r>
      <w:r>
        <w:rPr>
          <w:noProof/>
        </w:rPr>
        <w:fldChar w:fldCharType="end"/>
      </w:r>
    </w:p>
    <w:p w14:paraId="73D61E53" w14:textId="77777777" w:rsidR="00AB5AF9" w:rsidRDefault="00AB5AF9">
      <w:pPr>
        <w:pStyle w:val="TOC2"/>
        <w:rPr>
          <w:rFonts w:asciiTheme="minorHAnsi" w:eastAsiaTheme="minorEastAsia" w:hAnsiTheme="minorHAnsi"/>
          <w:noProof/>
          <w:sz w:val="22"/>
          <w:lang w:eastAsia="en-NZ"/>
        </w:rPr>
      </w:pPr>
      <w:r>
        <w:rPr>
          <w:noProof/>
        </w:rPr>
        <w:t>Evaluation</w:t>
      </w:r>
      <w:r>
        <w:rPr>
          <w:noProof/>
        </w:rPr>
        <w:tab/>
      </w:r>
      <w:r>
        <w:rPr>
          <w:noProof/>
        </w:rPr>
        <w:fldChar w:fldCharType="begin"/>
      </w:r>
      <w:r>
        <w:rPr>
          <w:noProof/>
        </w:rPr>
        <w:instrText xml:space="preserve"> PAGEREF _Toc528195599 \h </w:instrText>
      </w:r>
      <w:r>
        <w:rPr>
          <w:noProof/>
        </w:rPr>
      </w:r>
      <w:r>
        <w:rPr>
          <w:noProof/>
        </w:rPr>
        <w:fldChar w:fldCharType="separate"/>
      </w:r>
      <w:r w:rsidR="001171D5">
        <w:rPr>
          <w:noProof/>
        </w:rPr>
        <w:t>86</w:t>
      </w:r>
      <w:r>
        <w:rPr>
          <w:noProof/>
        </w:rPr>
        <w:fldChar w:fldCharType="end"/>
      </w:r>
    </w:p>
    <w:p w14:paraId="78564964" w14:textId="77777777" w:rsidR="00AB5AF9" w:rsidRDefault="00AB5AF9">
      <w:pPr>
        <w:pStyle w:val="TOC2"/>
        <w:rPr>
          <w:rFonts w:asciiTheme="minorHAnsi" w:eastAsiaTheme="minorEastAsia" w:hAnsiTheme="minorHAnsi"/>
          <w:noProof/>
          <w:sz w:val="22"/>
          <w:lang w:eastAsia="en-NZ"/>
        </w:rPr>
      </w:pPr>
      <w:r>
        <w:rPr>
          <w:noProof/>
        </w:rPr>
        <w:t>Flexibility: Orders in Council</w:t>
      </w:r>
      <w:r>
        <w:rPr>
          <w:noProof/>
        </w:rPr>
        <w:tab/>
      </w:r>
      <w:r>
        <w:rPr>
          <w:noProof/>
        </w:rPr>
        <w:fldChar w:fldCharType="begin"/>
      </w:r>
      <w:r>
        <w:rPr>
          <w:noProof/>
        </w:rPr>
        <w:instrText xml:space="preserve"> PAGEREF _Toc528195600 \h </w:instrText>
      </w:r>
      <w:r>
        <w:rPr>
          <w:noProof/>
        </w:rPr>
      </w:r>
      <w:r>
        <w:rPr>
          <w:noProof/>
        </w:rPr>
        <w:fldChar w:fldCharType="separate"/>
      </w:r>
      <w:r w:rsidR="001171D5">
        <w:rPr>
          <w:noProof/>
        </w:rPr>
        <w:t>87</w:t>
      </w:r>
      <w:r>
        <w:rPr>
          <w:noProof/>
        </w:rPr>
        <w:fldChar w:fldCharType="end"/>
      </w:r>
    </w:p>
    <w:p w14:paraId="214A691B" w14:textId="77777777" w:rsidR="00AB5AF9" w:rsidRDefault="00AB5AF9">
      <w:pPr>
        <w:pStyle w:val="TOC2"/>
        <w:rPr>
          <w:rFonts w:asciiTheme="minorHAnsi" w:eastAsiaTheme="minorEastAsia" w:hAnsiTheme="minorHAnsi"/>
          <w:noProof/>
          <w:sz w:val="22"/>
          <w:lang w:eastAsia="en-NZ"/>
        </w:rPr>
      </w:pPr>
      <w:r>
        <w:rPr>
          <w:noProof/>
        </w:rPr>
        <w:t>Binding rulings</w:t>
      </w:r>
      <w:r>
        <w:rPr>
          <w:noProof/>
        </w:rPr>
        <w:tab/>
      </w:r>
      <w:r>
        <w:rPr>
          <w:noProof/>
        </w:rPr>
        <w:fldChar w:fldCharType="begin"/>
      </w:r>
      <w:r>
        <w:rPr>
          <w:noProof/>
        </w:rPr>
        <w:instrText xml:space="preserve"> PAGEREF _Toc528195601 \h </w:instrText>
      </w:r>
      <w:r>
        <w:rPr>
          <w:noProof/>
        </w:rPr>
      </w:r>
      <w:r>
        <w:rPr>
          <w:noProof/>
        </w:rPr>
        <w:fldChar w:fldCharType="separate"/>
      </w:r>
      <w:r w:rsidR="001171D5">
        <w:rPr>
          <w:noProof/>
        </w:rPr>
        <w:t>88</w:t>
      </w:r>
      <w:r>
        <w:rPr>
          <w:noProof/>
        </w:rPr>
        <w:fldChar w:fldCharType="end"/>
      </w:r>
    </w:p>
    <w:p w14:paraId="3EAEFA50" w14:textId="77777777" w:rsidR="00AB5AF9" w:rsidRDefault="00AB5AF9">
      <w:pPr>
        <w:pStyle w:val="TOC2"/>
        <w:rPr>
          <w:rFonts w:asciiTheme="minorHAnsi" w:eastAsiaTheme="minorEastAsia" w:hAnsiTheme="minorHAnsi"/>
          <w:noProof/>
          <w:sz w:val="22"/>
          <w:lang w:eastAsia="en-NZ"/>
        </w:rPr>
      </w:pPr>
      <w:r>
        <w:rPr>
          <w:noProof/>
        </w:rPr>
        <w:t>Anti-avoidance rule</w:t>
      </w:r>
      <w:r>
        <w:rPr>
          <w:noProof/>
        </w:rPr>
        <w:tab/>
      </w:r>
      <w:r>
        <w:rPr>
          <w:noProof/>
        </w:rPr>
        <w:fldChar w:fldCharType="begin"/>
      </w:r>
      <w:r>
        <w:rPr>
          <w:noProof/>
        </w:rPr>
        <w:instrText xml:space="preserve"> PAGEREF _Toc528195602 \h </w:instrText>
      </w:r>
      <w:r>
        <w:rPr>
          <w:noProof/>
        </w:rPr>
      </w:r>
      <w:r>
        <w:rPr>
          <w:noProof/>
        </w:rPr>
        <w:fldChar w:fldCharType="separate"/>
      </w:r>
      <w:r w:rsidR="001171D5">
        <w:rPr>
          <w:noProof/>
        </w:rPr>
        <w:t>89</w:t>
      </w:r>
      <w:r>
        <w:rPr>
          <w:noProof/>
        </w:rPr>
        <w:fldChar w:fldCharType="end"/>
      </w:r>
    </w:p>
    <w:p w14:paraId="59C5B02B" w14:textId="77777777" w:rsidR="00AB5AF9" w:rsidRDefault="00AB5AF9">
      <w:pPr>
        <w:pStyle w:val="TOC2"/>
        <w:rPr>
          <w:rFonts w:asciiTheme="minorHAnsi" w:eastAsiaTheme="minorEastAsia" w:hAnsiTheme="minorHAnsi"/>
          <w:noProof/>
          <w:sz w:val="22"/>
          <w:lang w:eastAsia="en-NZ"/>
        </w:rPr>
      </w:pPr>
      <w:r>
        <w:rPr>
          <w:noProof/>
        </w:rPr>
        <w:t>Penalties</w:t>
      </w:r>
      <w:r>
        <w:rPr>
          <w:noProof/>
        </w:rPr>
        <w:tab/>
      </w:r>
      <w:r>
        <w:rPr>
          <w:noProof/>
        </w:rPr>
        <w:fldChar w:fldCharType="begin"/>
      </w:r>
      <w:r>
        <w:rPr>
          <w:noProof/>
        </w:rPr>
        <w:instrText xml:space="preserve"> PAGEREF _Toc528195603 \h </w:instrText>
      </w:r>
      <w:r>
        <w:rPr>
          <w:noProof/>
        </w:rPr>
      </w:r>
      <w:r>
        <w:rPr>
          <w:noProof/>
        </w:rPr>
        <w:fldChar w:fldCharType="separate"/>
      </w:r>
      <w:r w:rsidR="001171D5">
        <w:rPr>
          <w:noProof/>
        </w:rPr>
        <w:t>90</w:t>
      </w:r>
      <w:r>
        <w:rPr>
          <w:noProof/>
        </w:rPr>
        <w:fldChar w:fldCharType="end"/>
      </w:r>
    </w:p>
    <w:p w14:paraId="10044B0C" w14:textId="77777777" w:rsidR="00AB5AF9" w:rsidRDefault="00AB5AF9">
      <w:pPr>
        <w:pStyle w:val="TOC2"/>
        <w:rPr>
          <w:rFonts w:asciiTheme="minorHAnsi" w:eastAsiaTheme="minorEastAsia" w:hAnsiTheme="minorHAnsi"/>
          <w:noProof/>
          <w:sz w:val="22"/>
          <w:lang w:eastAsia="en-NZ"/>
        </w:rPr>
      </w:pPr>
      <w:r>
        <w:rPr>
          <w:noProof/>
        </w:rPr>
        <w:t>Deadlines for filing and amending assessments</w:t>
      </w:r>
      <w:r>
        <w:rPr>
          <w:noProof/>
        </w:rPr>
        <w:tab/>
      </w:r>
      <w:r>
        <w:rPr>
          <w:noProof/>
        </w:rPr>
        <w:fldChar w:fldCharType="begin"/>
      </w:r>
      <w:r>
        <w:rPr>
          <w:noProof/>
        </w:rPr>
        <w:instrText xml:space="preserve"> PAGEREF _Toc528195604 \h </w:instrText>
      </w:r>
      <w:r>
        <w:rPr>
          <w:noProof/>
        </w:rPr>
      </w:r>
      <w:r>
        <w:rPr>
          <w:noProof/>
        </w:rPr>
        <w:fldChar w:fldCharType="separate"/>
      </w:r>
      <w:r w:rsidR="001171D5">
        <w:rPr>
          <w:noProof/>
        </w:rPr>
        <w:t>91</w:t>
      </w:r>
      <w:r>
        <w:rPr>
          <w:noProof/>
        </w:rPr>
        <w:fldChar w:fldCharType="end"/>
      </w:r>
    </w:p>
    <w:p w14:paraId="0FBFD4A4" w14:textId="77777777" w:rsidR="00AB5AF9" w:rsidRDefault="00AB5AF9">
      <w:pPr>
        <w:pStyle w:val="TOC1"/>
        <w:rPr>
          <w:rFonts w:asciiTheme="minorHAnsi" w:eastAsiaTheme="minorEastAsia" w:hAnsiTheme="minorHAnsi"/>
          <w:b w:val="0"/>
          <w:noProof/>
          <w:sz w:val="22"/>
          <w:lang w:eastAsia="en-NZ"/>
        </w:rPr>
      </w:pPr>
      <w:r>
        <w:rPr>
          <w:noProof/>
        </w:rPr>
        <w:t>In-year approval</w:t>
      </w:r>
      <w:r>
        <w:rPr>
          <w:noProof/>
        </w:rPr>
        <w:tab/>
      </w:r>
      <w:r>
        <w:rPr>
          <w:noProof/>
        </w:rPr>
        <w:fldChar w:fldCharType="begin"/>
      </w:r>
      <w:r>
        <w:rPr>
          <w:noProof/>
        </w:rPr>
        <w:instrText xml:space="preserve"> PAGEREF _Toc528195605 \h </w:instrText>
      </w:r>
      <w:r>
        <w:rPr>
          <w:noProof/>
        </w:rPr>
      </w:r>
      <w:r>
        <w:rPr>
          <w:noProof/>
        </w:rPr>
        <w:fldChar w:fldCharType="separate"/>
      </w:r>
      <w:r w:rsidR="001171D5">
        <w:rPr>
          <w:noProof/>
        </w:rPr>
        <w:t>93</w:t>
      </w:r>
      <w:r>
        <w:rPr>
          <w:noProof/>
        </w:rPr>
        <w:fldChar w:fldCharType="end"/>
      </w:r>
    </w:p>
    <w:p w14:paraId="4D4D63C8" w14:textId="77777777" w:rsidR="00AB5AF9" w:rsidRDefault="00AB5AF9">
      <w:pPr>
        <w:pStyle w:val="TOC2"/>
        <w:rPr>
          <w:rFonts w:asciiTheme="minorHAnsi" w:eastAsiaTheme="minorEastAsia" w:hAnsiTheme="minorHAnsi"/>
          <w:noProof/>
          <w:sz w:val="22"/>
          <w:lang w:eastAsia="en-NZ"/>
        </w:rPr>
      </w:pPr>
      <w:r>
        <w:rPr>
          <w:noProof/>
        </w:rPr>
        <w:t>Approval: general approval process (year two)</w:t>
      </w:r>
      <w:r>
        <w:rPr>
          <w:noProof/>
        </w:rPr>
        <w:tab/>
      </w:r>
      <w:r>
        <w:rPr>
          <w:noProof/>
        </w:rPr>
        <w:fldChar w:fldCharType="begin"/>
      </w:r>
      <w:r>
        <w:rPr>
          <w:noProof/>
        </w:rPr>
        <w:instrText xml:space="preserve"> PAGEREF _Toc528195606 \h </w:instrText>
      </w:r>
      <w:r>
        <w:rPr>
          <w:noProof/>
        </w:rPr>
      </w:r>
      <w:r>
        <w:rPr>
          <w:noProof/>
        </w:rPr>
        <w:fldChar w:fldCharType="separate"/>
      </w:r>
      <w:r w:rsidR="001171D5">
        <w:rPr>
          <w:noProof/>
        </w:rPr>
        <w:t>95</w:t>
      </w:r>
      <w:r>
        <w:rPr>
          <w:noProof/>
        </w:rPr>
        <w:fldChar w:fldCharType="end"/>
      </w:r>
    </w:p>
    <w:p w14:paraId="2CF9BF15" w14:textId="77777777" w:rsidR="00AB5AF9" w:rsidRDefault="00AB5AF9">
      <w:pPr>
        <w:pStyle w:val="TOC2"/>
        <w:rPr>
          <w:rFonts w:asciiTheme="minorHAnsi" w:eastAsiaTheme="minorEastAsia" w:hAnsiTheme="minorHAnsi"/>
          <w:noProof/>
          <w:sz w:val="22"/>
          <w:lang w:eastAsia="en-NZ"/>
        </w:rPr>
      </w:pPr>
      <w:r>
        <w:rPr>
          <w:noProof/>
        </w:rPr>
        <w:t>Approval: significant performer regime (year two)</w:t>
      </w:r>
      <w:r>
        <w:rPr>
          <w:noProof/>
        </w:rPr>
        <w:tab/>
      </w:r>
      <w:r>
        <w:rPr>
          <w:noProof/>
        </w:rPr>
        <w:fldChar w:fldCharType="begin"/>
      </w:r>
      <w:r>
        <w:rPr>
          <w:noProof/>
        </w:rPr>
        <w:instrText xml:space="preserve"> PAGEREF _Toc528195607 \h </w:instrText>
      </w:r>
      <w:r>
        <w:rPr>
          <w:noProof/>
        </w:rPr>
      </w:r>
      <w:r>
        <w:rPr>
          <w:noProof/>
        </w:rPr>
        <w:fldChar w:fldCharType="separate"/>
      </w:r>
      <w:r w:rsidR="001171D5">
        <w:rPr>
          <w:noProof/>
        </w:rPr>
        <w:t>99</w:t>
      </w:r>
      <w:r>
        <w:rPr>
          <w:noProof/>
        </w:rPr>
        <w:fldChar w:fldCharType="end"/>
      </w:r>
    </w:p>
    <w:p w14:paraId="042450CA" w14:textId="77777777" w:rsidR="00AB5AF9" w:rsidRDefault="00AB5AF9">
      <w:pPr>
        <w:pStyle w:val="TOC1"/>
        <w:rPr>
          <w:rFonts w:asciiTheme="minorHAnsi" w:eastAsiaTheme="minorEastAsia" w:hAnsiTheme="minorHAnsi"/>
          <w:b w:val="0"/>
          <w:noProof/>
          <w:sz w:val="22"/>
          <w:lang w:eastAsia="en-NZ"/>
        </w:rPr>
      </w:pPr>
      <w:r>
        <w:rPr>
          <w:noProof/>
        </w:rPr>
        <w:t>Appendices</w:t>
      </w:r>
      <w:r>
        <w:rPr>
          <w:noProof/>
        </w:rPr>
        <w:tab/>
      </w:r>
      <w:r>
        <w:rPr>
          <w:noProof/>
        </w:rPr>
        <w:fldChar w:fldCharType="begin"/>
      </w:r>
      <w:r>
        <w:rPr>
          <w:noProof/>
        </w:rPr>
        <w:instrText xml:space="preserve"> PAGEREF _Toc528195608 \h </w:instrText>
      </w:r>
      <w:r>
        <w:rPr>
          <w:noProof/>
        </w:rPr>
      </w:r>
      <w:r>
        <w:rPr>
          <w:noProof/>
        </w:rPr>
        <w:fldChar w:fldCharType="separate"/>
      </w:r>
      <w:r w:rsidR="001171D5">
        <w:rPr>
          <w:noProof/>
        </w:rPr>
        <w:t>105</w:t>
      </w:r>
      <w:r>
        <w:rPr>
          <w:noProof/>
        </w:rPr>
        <w:fldChar w:fldCharType="end"/>
      </w:r>
    </w:p>
    <w:p w14:paraId="003C05CA" w14:textId="77777777" w:rsidR="00AB5AF9" w:rsidRDefault="00AB5AF9">
      <w:pPr>
        <w:pStyle w:val="TOC2"/>
        <w:rPr>
          <w:rFonts w:asciiTheme="minorHAnsi" w:eastAsiaTheme="minorEastAsia" w:hAnsiTheme="minorHAnsi"/>
          <w:noProof/>
          <w:sz w:val="22"/>
          <w:lang w:eastAsia="en-NZ"/>
        </w:rPr>
      </w:pPr>
      <w:r>
        <w:rPr>
          <w:noProof/>
        </w:rPr>
        <w:t>Appendix 1: Administration</w:t>
      </w:r>
      <w:r>
        <w:rPr>
          <w:noProof/>
        </w:rPr>
        <w:tab/>
      </w:r>
      <w:r>
        <w:rPr>
          <w:noProof/>
        </w:rPr>
        <w:fldChar w:fldCharType="begin"/>
      </w:r>
      <w:r>
        <w:rPr>
          <w:noProof/>
        </w:rPr>
        <w:instrText xml:space="preserve"> PAGEREF _Toc528195609 \h </w:instrText>
      </w:r>
      <w:r>
        <w:rPr>
          <w:noProof/>
        </w:rPr>
      </w:r>
      <w:r>
        <w:rPr>
          <w:noProof/>
        </w:rPr>
        <w:fldChar w:fldCharType="separate"/>
      </w:r>
      <w:r w:rsidR="001171D5">
        <w:rPr>
          <w:noProof/>
        </w:rPr>
        <w:t>107</w:t>
      </w:r>
      <w:r>
        <w:rPr>
          <w:noProof/>
        </w:rPr>
        <w:fldChar w:fldCharType="end"/>
      </w:r>
    </w:p>
    <w:p w14:paraId="19B6D6E6" w14:textId="77777777" w:rsidR="00AB5AF9" w:rsidRDefault="00AB5AF9">
      <w:pPr>
        <w:pStyle w:val="TOC2"/>
        <w:rPr>
          <w:rFonts w:asciiTheme="minorHAnsi" w:eastAsiaTheme="minorEastAsia" w:hAnsiTheme="minorHAnsi"/>
          <w:noProof/>
          <w:sz w:val="22"/>
          <w:lang w:eastAsia="en-NZ"/>
        </w:rPr>
      </w:pPr>
      <w:r>
        <w:rPr>
          <w:noProof/>
        </w:rPr>
        <w:t>Appendix 2: Flow charts</w:t>
      </w:r>
      <w:r>
        <w:rPr>
          <w:noProof/>
        </w:rPr>
        <w:tab/>
      </w:r>
      <w:r>
        <w:rPr>
          <w:noProof/>
        </w:rPr>
        <w:fldChar w:fldCharType="begin"/>
      </w:r>
      <w:r>
        <w:rPr>
          <w:noProof/>
        </w:rPr>
        <w:instrText xml:space="preserve"> PAGEREF _Toc528195610 \h </w:instrText>
      </w:r>
      <w:r>
        <w:rPr>
          <w:noProof/>
        </w:rPr>
      </w:r>
      <w:r>
        <w:rPr>
          <w:noProof/>
        </w:rPr>
        <w:fldChar w:fldCharType="separate"/>
      </w:r>
      <w:r w:rsidR="001171D5">
        <w:rPr>
          <w:noProof/>
        </w:rPr>
        <w:t>109</w:t>
      </w:r>
      <w:r>
        <w:rPr>
          <w:noProof/>
        </w:rPr>
        <w:fldChar w:fldCharType="end"/>
      </w:r>
    </w:p>
    <w:p w14:paraId="25495E34" w14:textId="538E128C" w:rsidR="00E4115B" w:rsidRPr="001F46A8" w:rsidRDefault="00E4115B" w:rsidP="00E4115B">
      <w:pPr>
        <w:jc w:val="center"/>
        <w:rPr>
          <w:rFonts w:eastAsia="Times New Roman" w:cs="Times New Roman"/>
          <w:b/>
          <w:sz w:val="28"/>
          <w:szCs w:val="20"/>
          <w:lang w:eastAsia="en-AU"/>
        </w:rPr>
      </w:pPr>
      <w:r>
        <w:rPr>
          <w:b/>
        </w:rPr>
        <w:fldChar w:fldCharType="end"/>
      </w:r>
      <w:bookmarkStart w:id="2" w:name="_Hlt478443407"/>
      <w:bookmarkEnd w:id="0"/>
      <w:bookmarkEnd w:id="2"/>
    </w:p>
    <w:p w14:paraId="64BAF23B" w14:textId="72A3FBA1" w:rsidR="00CE2585" w:rsidRPr="001F46A8" w:rsidRDefault="00CE2585" w:rsidP="00FD03D4">
      <w:pPr>
        <w:pStyle w:val="TOC2"/>
        <w:rPr>
          <w:lang w:eastAsia="en-AU"/>
        </w:rPr>
        <w:sectPr w:rsidR="00CE2585" w:rsidRPr="001F46A8">
          <w:footerReference w:type="even" r:id="rId12"/>
          <w:footerReference w:type="default" r:id="rId13"/>
          <w:footerReference w:type="first" r:id="rId14"/>
          <w:type w:val="nextColumn"/>
          <w:pgSz w:w="11906" w:h="16838" w:code="9"/>
          <w:pgMar w:top="1304" w:right="1797" w:bottom="1134" w:left="1797" w:header="720" w:footer="567" w:gutter="0"/>
          <w:pgNumType w:start="1"/>
          <w:cols w:space="720"/>
          <w:titlePg/>
        </w:sectPr>
      </w:pPr>
    </w:p>
    <w:p w14:paraId="72EBA755" w14:textId="77777777" w:rsidR="00CE2585" w:rsidRPr="00CE2585" w:rsidRDefault="00CE2585" w:rsidP="004F6B5E">
      <w:pPr>
        <w:rPr>
          <w:lang w:eastAsia="en-AU"/>
        </w:rPr>
      </w:pPr>
    </w:p>
    <w:p w14:paraId="557F6947" w14:textId="03181EBA" w:rsidR="004C2634" w:rsidRDefault="004C2634">
      <w:pPr>
        <w:rPr>
          <w:lang w:eastAsia="en-AU"/>
        </w:rPr>
      </w:pPr>
    </w:p>
    <w:p w14:paraId="13F6BD4F" w14:textId="77777777" w:rsidR="00CE2585" w:rsidRPr="00CE2585" w:rsidRDefault="00CE2585" w:rsidP="004F6B5E">
      <w:pPr>
        <w:rPr>
          <w:lang w:eastAsia="en-AU"/>
        </w:rPr>
      </w:pPr>
    </w:p>
    <w:p w14:paraId="7BC9447B" w14:textId="77777777" w:rsidR="00CE2585" w:rsidRPr="00CE2585" w:rsidRDefault="00CE2585" w:rsidP="004F6B5E">
      <w:pPr>
        <w:rPr>
          <w:lang w:eastAsia="en-AU"/>
        </w:rPr>
      </w:pPr>
    </w:p>
    <w:p w14:paraId="73551924" w14:textId="77777777" w:rsidR="00CE2585" w:rsidRPr="00CE2585" w:rsidRDefault="00CE2585" w:rsidP="00CE2585">
      <w:pPr>
        <w:rPr>
          <w:rFonts w:eastAsia="Times New Roman" w:cs="Times New Roman"/>
          <w:szCs w:val="20"/>
          <w:lang w:eastAsia="en-AU"/>
        </w:rPr>
      </w:pPr>
    </w:p>
    <w:p w14:paraId="22B28107" w14:textId="77777777" w:rsidR="00CE2585" w:rsidRPr="00CE2585" w:rsidRDefault="00CE2585" w:rsidP="00CE2585">
      <w:pPr>
        <w:rPr>
          <w:rFonts w:eastAsia="Times New Roman" w:cs="Times New Roman"/>
          <w:szCs w:val="20"/>
          <w:lang w:eastAsia="en-AU"/>
        </w:rPr>
      </w:pPr>
    </w:p>
    <w:p w14:paraId="350CA244" w14:textId="77777777" w:rsidR="00CE2585" w:rsidRPr="00CE2585" w:rsidRDefault="00CE2585" w:rsidP="00CE2585">
      <w:pPr>
        <w:rPr>
          <w:rFonts w:eastAsia="Times New Roman" w:cs="Times New Roman"/>
          <w:szCs w:val="20"/>
          <w:lang w:eastAsia="en-AU"/>
        </w:rPr>
      </w:pPr>
    </w:p>
    <w:p w14:paraId="40B9D170" w14:textId="77777777" w:rsidR="00CE2585" w:rsidRPr="00CE2585" w:rsidRDefault="00CE2585" w:rsidP="00CE2585">
      <w:pPr>
        <w:rPr>
          <w:rFonts w:eastAsia="Times New Roman" w:cs="Times New Roman"/>
          <w:szCs w:val="20"/>
          <w:lang w:eastAsia="en-AU"/>
        </w:rPr>
      </w:pPr>
    </w:p>
    <w:p w14:paraId="33A47B26" w14:textId="77777777" w:rsidR="00CE2585" w:rsidRPr="00CE2585" w:rsidRDefault="00CE2585" w:rsidP="00CE2585">
      <w:pPr>
        <w:rPr>
          <w:rFonts w:eastAsia="Times New Roman" w:cs="Times New Roman"/>
          <w:szCs w:val="20"/>
          <w:lang w:eastAsia="en-AU"/>
        </w:rPr>
      </w:pPr>
    </w:p>
    <w:p w14:paraId="481522E4" w14:textId="77777777" w:rsidR="00CE2585" w:rsidRPr="00CE2585" w:rsidRDefault="00CE2585" w:rsidP="00CE2585">
      <w:pPr>
        <w:rPr>
          <w:rFonts w:eastAsia="Times New Roman" w:cs="Times New Roman"/>
          <w:szCs w:val="20"/>
          <w:lang w:eastAsia="en-AU"/>
        </w:rPr>
      </w:pPr>
    </w:p>
    <w:p w14:paraId="6DE8669B" w14:textId="77777777" w:rsidR="00CE2585" w:rsidRPr="00CE2585" w:rsidRDefault="00CE2585" w:rsidP="00CE2585">
      <w:pPr>
        <w:rPr>
          <w:rFonts w:eastAsia="Times New Roman" w:cs="Times New Roman"/>
          <w:szCs w:val="20"/>
          <w:lang w:eastAsia="en-AU"/>
        </w:rPr>
      </w:pPr>
    </w:p>
    <w:p w14:paraId="07B54A17" w14:textId="77777777" w:rsidR="00CE2585" w:rsidRPr="00CE2585" w:rsidRDefault="00CE2585" w:rsidP="00CE2585">
      <w:pPr>
        <w:rPr>
          <w:rFonts w:eastAsia="Times New Roman" w:cs="Times New Roman"/>
          <w:szCs w:val="20"/>
          <w:lang w:eastAsia="en-AU"/>
        </w:rPr>
      </w:pPr>
    </w:p>
    <w:p w14:paraId="50E7F88C" w14:textId="1B1C13D1" w:rsidR="00CE2585" w:rsidRPr="004F6B5E" w:rsidRDefault="00EC2FC9" w:rsidP="00BD3CA4">
      <w:pPr>
        <w:pStyle w:val="Sectionheading"/>
      </w:pPr>
      <w:bookmarkStart w:id="3" w:name="_Toc528195570"/>
      <w:r>
        <w:t>Introduction</w:t>
      </w:r>
      <w:bookmarkEnd w:id="3"/>
    </w:p>
    <w:p w14:paraId="6E36E26E" w14:textId="77777777" w:rsidR="00CE2585" w:rsidRPr="00CE2585" w:rsidRDefault="00CE2585" w:rsidP="00CE2585">
      <w:pPr>
        <w:rPr>
          <w:rFonts w:eastAsia="Times New Roman" w:cs="Times New Roman"/>
          <w:szCs w:val="20"/>
          <w:lang w:eastAsia="en-AU"/>
        </w:rPr>
        <w:sectPr w:rsidR="00CE2585" w:rsidRPr="00CE2585">
          <w:footerReference w:type="even" r:id="rId15"/>
          <w:footerReference w:type="default" r:id="rId16"/>
          <w:footerReference w:type="first" r:id="rId17"/>
          <w:type w:val="oddPage"/>
          <w:pgSz w:w="11906" w:h="16838" w:code="9"/>
          <w:pgMar w:top="1304" w:right="1797" w:bottom="1134" w:left="1797" w:header="720" w:footer="567" w:gutter="0"/>
          <w:pgNumType w:start="1"/>
          <w:cols w:space="720"/>
          <w:titlePg/>
        </w:sectPr>
      </w:pPr>
    </w:p>
    <w:p w14:paraId="4A99926B" w14:textId="77777777" w:rsidR="004C2634" w:rsidRDefault="004C2634">
      <w:pPr>
        <w:rPr>
          <w:rFonts w:eastAsia="Times New Roman" w:cs="Times New Roman"/>
          <w:b/>
          <w:caps/>
          <w:sz w:val="26"/>
          <w:szCs w:val="20"/>
          <w:lang w:eastAsia="en-AU"/>
        </w:rPr>
      </w:pPr>
      <w:bookmarkStart w:id="4" w:name="_Toc527103245"/>
      <w:bookmarkStart w:id="5" w:name="_Hlt509367909"/>
      <w:r>
        <w:br w:type="page"/>
      </w:r>
    </w:p>
    <w:p w14:paraId="0092E17A" w14:textId="77777777" w:rsidR="00800C55" w:rsidRPr="00800C55" w:rsidRDefault="00800C55" w:rsidP="00800C55">
      <w:pPr>
        <w:pStyle w:val="Heading1"/>
      </w:pPr>
      <w:bookmarkStart w:id="6" w:name="_Toc528157353"/>
      <w:bookmarkStart w:id="7" w:name="_Toc528178135"/>
      <w:bookmarkStart w:id="8" w:name="_Toc528181483"/>
      <w:bookmarkStart w:id="9" w:name="_Toc528186082"/>
      <w:bookmarkStart w:id="10" w:name="_Toc528188433"/>
      <w:bookmarkStart w:id="11" w:name="_Toc528194788"/>
      <w:bookmarkStart w:id="12" w:name="_Toc528195571"/>
      <w:r w:rsidRPr="00800C55">
        <w:t>Overview</w:t>
      </w:r>
      <w:bookmarkEnd w:id="4"/>
      <w:bookmarkEnd w:id="6"/>
      <w:bookmarkEnd w:id="7"/>
      <w:bookmarkEnd w:id="8"/>
      <w:bookmarkEnd w:id="9"/>
      <w:bookmarkEnd w:id="10"/>
      <w:bookmarkEnd w:id="11"/>
      <w:bookmarkEnd w:id="12"/>
    </w:p>
    <w:p w14:paraId="1DE0A731" w14:textId="7947E2B4" w:rsidR="00800C55" w:rsidRPr="003A4092" w:rsidRDefault="00800C55" w:rsidP="003A4092">
      <w:pPr>
        <w:rPr>
          <w:rFonts w:cs="Times New Roman"/>
          <w:szCs w:val="24"/>
          <w:lang w:eastAsia="en-AU"/>
        </w:rPr>
      </w:pPr>
      <w:r w:rsidRPr="003A4092">
        <w:rPr>
          <w:rFonts w:cs="Times New Roman"/>
          <w:szCs w:val="24"/>
          <w:lang w:eastAsia="en-AU"/>
        </w:rPr>
        <w:t xml:space="preserve">The </w:t>
      </w:r>
      <w:r w:rsidR="00665EE4" w:rsidRPr="003A4092">
        <w:rPr>
          <w:rFonts w:cs="Times New Roman"/>
          <w:szCs w:val="24"/>
          <w:lang w:eastAsia="en-AU"/>
        </w:rPr>
        <w:t>Taxation (Research and Development Tax Credits) Bill (</w:t>
      </w:r>
      <w:r w:rsidR="00A05758">
        <w:rPr>
          <w:rFonts w:cs="Times New Roman"/>
          <w:szCs w:val="24"/>
          <w:lang w:eastAsia="en-AU"/>
        </w:rPr>
        <w:t>t</w:t>
      </w:r>
      <w:r w:rsidR="00665EE4" w:rsidRPr="003A4092">
        <w:rPr>
          <w:rFonts w:cs="Times New Roman"/>
          <w:szCs w:val="24"/>
          <w:lang w:eastAsia="en-AU"/>
        </w:rPr>
        <w:t xml:space="preserve">he </w:t>
      </w:r>
      <w:r w:rsidR="00723CE2" w:rsidRPr="003A4092">
        <w:rPr>
          <w:rFonts w:cs="Times New Roman"/>
          <w:szCs w:val="24"/>
          <w:lang w:eastAsia="en-AU"/>
        </w:rPr>
        <w:t>Bill</w:t>
      </w:r>
      <w:r w:rsidR="00665EE4" w:rsidRPr="003A4092">
        <w:rPr>
          <w:rFonts w:cs="Times New Roman"/>
          <w:szCs w:val="24"/>
          <w:lang w:eastAsia="en-AU"/>
        </w:rPr>
        <w:t>)</w:t>
      </w:r>
      <w:r w:rsidRPr="003A4092">
        <w:rPr>
          <w:rFonts w:cs="Times New Roman"/>
          <w:szCs w:val="24"/>
          <w:lang w:eastAsia="en-AU"/>
        </w:rPr>
        <w:t xml:space="preserve"> proposes to introduce a research and development tax credit </w:t>
      </w:r>
      <w:r w:rsidR="00E25F05" w:rsidRPr="003A4092">
        <w:rPr>
          <w:rFonts w:cs="Times New Roman"/>
          <w:szCs w:val="24"/>
          <w:lang w:eastAsia="en-AU"/>
        </w:rPr>
        <w:t xml:space="preserve">(R&amp;D tax credit) </w:t>
      </w:r>
      <w:r w:rsidRPr="003A4092">
        <w:rPr>
          <w:rFonts w:cs="Times New Roman"/>
          <w:szCs w:val="24"/>
          <w:lang w:eastAsia="en-AU"/>
        </w:rPr>
        <w:t>to incentivise businesses to perform research and development (R&amp;D). It does so by amending the Income Tax Act 2007</w:t>
      </w:r>
      <w:r w:rsidR="00946882" w:rsidRPr="003A4092">
        <w:rPr>
          <w:rFonts w:cs="Times New Roman"/>
          <w:szCs w:val="24"/>
          <w:lang w:eastAsia="en-AU"/>
        </w:rPr>
        <w:t xml:space="preserve"> (ITA)</w:t>
      </w:r>
      <w:r w:rsidRPr="003A4092">
        <w:rPr>
          <w:rFonts w:cs="Times New Roman"/>
          <w:szCs w:val="24"/>
          <w:lang w:eastAsia="en-AU"/>
        </w:rPr>
        <w:t xml:space="preserve"> and the Tax Administration Act 1994</w:t>
      </w:r>
      <w:r w:rsidR="00946882" w:rsidRPr="003A4092">
        <w:rPr>
          <w:rFonts w:cs="Times New Roman"/>
          <w:szCs w:val="24"/>
          <w:lang w:eastAsia="en-AU"/>
        </w:rPr>
        <w:t xml:space="preserve"> (TAA)</w:t>
      </w:r>
      <w:r w:rsidRPr="003A4092">
        <w:rPr>
          <w:rFonts w:cs="Times New Roman"/>
          <w:szCs w:val="24"/>
          <w:lang w:eastAsia="en-AU"/>
        </w:rPr>
        <w:t>.</w:t>
      </w:r>
    </w:p>
    <w:p w14:paraId="70A4075D" w14:textId="77777777" w:rsidR="00F87581" w:rsidRPr="003A4092" w:rsidRDefault="00F87581" w:rsidP="003A4092">
      <w:pPr>
        <w:rPr>
          <w:rFonts w:cs="Times New Roman"/>
          <w:szCs w:val="24"/>
          <w:lang w:eastAsia="en-AU"/>
        </w:rPr>
      </w:pPr>
    </w:p>
    <w:p w14:paraId="4E7ABA2C" w14:textId="0537BEF1" w:rsidR="00800C55" w:rsidRPr="003A4092" w:rsidRDefault="00800C55" w:rsidP="003A4092">
      <w:pPr>
        <w:rPr>
          <w:rFonts w:cs="Times New Roman"/>
          <w:szCs w:val="24"/>
          <w:lang w:eastAsia="en-AU"/>
        </w:rPr>
      </w:pPr>
      <w:r w:rsidRPr="003A4092">
        <w:rPr>
          <w:rFonts w:cs="Times New Roman"/>
          <w:szCs w:val="24"/>
          <w:lang w:eastAsia="en-AU"/>
        </w:rPr>
        <w:t xml:space="preserve">The Government’s goal is to increase the amount of </w:t>
      </w:r>
      <w:r w:rsidR="00946882" w:rsidRPr="003A4092">
        <w:rPr>
          <w:rFonts w:cs="Times New Roman"/>
          <w:szCs w:val="24"/>
          <w:lang w:eastAsia="en-AU"/>
        </w:rPr>
        <w:t xml:space="preserve">business R&amp;D </w:t>
      </w:r>
      <w:r w:rsidRPr="003A4092">
        <w:rPr>
          <w:rFonts w:cs="Times New Roman"/>
          <w:szCs w:val="24"/>
          <w:lang w:eastAsia="en-AU"/>
        </w:rPr>
        <w:t xml:space="preserve">undertaken in New Zealand. It has set a target of raising the amount of R&amp;D undertaken in New Zealand to </w:t>
      </w:r>
      <w:r w:rsidR="004360B9">
        <w:rPr>
          <w:rFonts w:cs="Times New Roman"/>
          <w:szCs w:val="24"/>
          <w:lang w:eastAsia="en-AU"/>
        </w:rPr>
        <w:t>two percent</w:t>
      </w:r>
      <w:r w:rsidRPr="003A4092">
        <w:rPr>
          <w:rFonts w:cs="Times New Roman"/>
          <w:szCs w:val="24"/>
          <w:lang w:eastAsia="en-AU"/>
        </w:rPr>
        <w:t xml:space="preserve"> of </w:t>
      </w:r>
      <w:r w:rsidR="00946882" w:rsidRPr="003A4092">
        <w:rPr>
          <w:rFonts w:cs="Times New Roman"/>
          <w:szCs w:val="24"/>
          <w:lang w:eastAsia="en-AU"/>
        </w:rPr>
        <w:t>gross domestic product (</w:t>
      </w:r>
      <w:r w:rsidRPr="003A4092">
        <w:rPr>
          <w:rFonts w:cs="Times New Roman"/>
          <w:szCs w:val="24"/>
          <w:lang w:eastAsia="en-AU"/>
        </w:rPr>
        <w:t>GDP</w:t>
      </w:r>
      <w:r w:rsidR="00946882" w:rsidRPr="003A4092">
        <w:rPr>
          <w:rFonts w:cs="Times New Roman"/>
          <w:szCs w:val="24"/>
          <w:lang w:eastAsia="en-AU"/>
        </w:rPr>
        <w:t>)</w:t>
      </w:r>
      <w:r w:rsidRPr="003A4092">
        <w:rPr>
          <w:rFonts w:cs="Times New Roman"/>
          <w:szCs w:val="24"/>
          <w:lang w:eastAsia="en-AU"/>
        </w:rPr>
        <w:t xml:space="preserve"> by 2028.</w:t>
      </w:r>
    </w:p>
    <w:p w14:paraId="74ABC8F4" w14:textId="77777777" w:rsidR="00F87581" w:rsidRPr="003A4092" w:rsidRDefault="00F87581" w:rsidP="003A4092">
      <w:pPr>
        <w:rPr>
          <w:rFonts w:cs="Times New Roman"/>
          <w:szCs w:val="24"/>
          <w:lang w:eastAsia="en-AU"/>
        </w:rPr>
      </w:pPr>
    </w:p>
    <w:p w14:paraId="5545183E" w14:textId="728E76E8" w:rsidR="00800C55" w:rsidRPr="003A4092" w:rsidRDefault="00800C55" w:rsidP="003A4092">
      <w:pPr>
        <w:rPr>
          <w:rFonts w:cs="Times New Roman"/>
          <w:szCs w:val="24"/>
          <w:lang w:eastAsia="en-AU"/>
        </w:rPr>
      </w:pPr>
      <w:r w:rsidRPr="003A4092">
        <w:rPr>
          <w:rFonts w:cs="Times New Roman"/>
          <w:szCs w:val="24"/>
          <w:lang w:eastAsia="en-AU"/>
        </w:rPr>
        <w:t xml:space="preserve">By providing a tax </w:t>
      </w:r>
      <w:r w:rsidR="00C249A3" w:rsidRPr="003A4092">
        <w:rPr>
          <w:rFonts w:cs="Times New Roman"/>
          <w:szCs w:val="24"/>
          <w:lang w:eastAsia="en-AU"/>
        </w:rPr>
        <w:t xml:space="preserve">incentive in the form of a tax </w:t>
      </w:r>
      <w:r w:rsidRPr="003A4092">
        <w:rPr>
          <w:rFonts w:cs="Times New Roman"/>
          <w:szCs w:val="24"/>
          <w:lang w:eastAsia="en-AU"/>
        </w:rPr>
        <w:t xml:space="preserve">credit, the Government will lower the cost to businesses of performing </w:t>
      </w:r>
      <w:r w:rsidR="00946882" w:rsidRPr="003A4092">
        <w:rPr>
          <w:rFonts w:cs="Times New Roman"/>
          <w:szCs w:val="24"/>
          <w:lang w:eastAsia="en-AU"/>
        </w:rPr>
        <w:t>R&amp;D</w:t>
      </w:r>
      <w:r w:rsidRPr="003A4092">
        <w:rPr>
          <w:rFonts w:cs="Times New Roman"/>
          <w:szCs w:val="24"/>
          <w:lang w:eastAsia="en-AU"/>
        </w:rPr>
        <w:t xml:space="preserve">. This will create an incentive for firms already performing </w:t>
      </w:r>
      <w:r w:rsidR="00946882" w:rsidRPr="003A4092">
        <w:rPr>
          <w:rFonts w:cs="Times New Roman"/>
          <w:szCs w:val="24"/>
          <w:lang w:eastAsia="en-AU"/>
        </w:rPr>
        <w:t xml:space="preserve">R&amp;D </w:t>
      </w:r>
      <w:r w:rsidRPr="003A4092">
        <w:rPr>
          <w:rFonts w:cs="Times New Roman"/>
          <w:szCs w:val="24"/>
          <w:lang w:eastAsia="en-AU"/>
        </w:rPr>
        <w:t xml:space="preserve">to do more, and for other firms to start undertaking </w:t>
      </w:r>
      <w:r w:rsidR="00946882" w:rsidRPr="003A4092">
        <w:rPr>
          <w:rFonts w:cs="Times New Roman"/>
          <w:szCs w:val="24"/>
          <w:lang w:eastAsia="en-AU"/>
        </w:rPr>
        <w:t>R&amp;D</w:t>
      </w:r>
      <w:r w:rsidRPr="003A4092">
        <w:rPr>
          <w:rFonts w:cs="Times New Roman"/>
          <w:szCs w:val="24"/>
          <w:lang w:eastAsia="en-AU"/>
        </w:rPr>
        <w:t>.</w:t>
      </w:r>
    </w:p>
    <w:p w14:paraId="7E35FB48" w14:textId="77777777" w:rsidR="00F87581" w:rsidRPr="003A4092" w:rsidRDefault="00F87581" w:rsidP="003A4092">
      <w:pPr>
        <w:rPr>
          <w:rFonts w:cs="Times New Roman"/>
          <w:szCs w:val="24"/>
          <w:lang w:eastAsia="en-AU"/>
        </w:rPr>
      </w:pPr>
    </w:p>
    <w:p w14:paraId="56BFD40B" w14:textId="0221F387" w:rsidR="00800C55" w:rsidRPr="003A4092" w:rsidRDefault="00800C55" w:rsidP="003A4092">
      <w:pPr>
        <w:rPr>
          <w:rFonts w:cs="Times New Roman"/>
          <w:szCs w:val="24"/>
          <w:lang w:eastAsia="en-AU"/>
        </w:rPr>
      </w:pPr>
      <w:r w:rsidRPr="003A4092">
        <w:rPr>
          <w:rFonts w:cs="Times New Roman"/>
          <w:szCs w:val="24"/>
          <w:lang w:eastAsia="en-AU"/>
        </w:rPr>
        <w:t xml:space="preserve">The rationale for </w:t>
      </w:r>
      <w:r w:rsidR="00946882" w:rsidRPr="003A4092">
        <w:rPr>
          <w:rFonts w:cs="Times New Roman"/>
          <w:szCs w:val="24"/>
          <w:lang w:eastAsia="en-AU"/>
        </w:rPr>
        <w:t xml:space="preserve">providing R&amp;D tax credits to businesses </w:t>
      </w:r>
      <w:r w:rsidRPr="003A4092">
        <w:rPr>
          <w:rFonts w:cs="Times New Roman"/>
          <w:szCs w:val="24"/>
          <w:lang w:eastAsia="en-AU"/>
        </w:rPr>
        <w:t xml:space="preserve">is that there is under-investment by businesses in R&amp;D because the investing firm does not capture all the benefits of the investment. </w:t>
      </w:r>
      <w:r w:rsidR="00B81A72" w:rsidRPr="003A4092">
        <w:rPr>
          <w:rFonts w:cs="Times New Roman"/>
          <w:szCs w:val="24"/>
          <w:lang w:eastAsia="en-AU"/>
        </w:rPr>
        <w:t xml:space="preserve">The wider societal benefits of knowledge created through business R&amp;D tends to be distributed widely rather than staying with the firm. </w:t>
      </w:r>
      <w:r w:rsidRPr="003A4092">
        <w:rPr>
          <w:rFonts w:cs="Times New Roman"/>
          <w:szCs w:val="24"/>
          <w:lang w:eastAsia="en-AU"/>
        </w:rPr>
        <w:t xml:space="preserve">The </w:t>
      </w:r>
      <w:r w:rsidR="00CC27F5" w:rsidRPr="003A4092">
        <w:rPr>
          <w:rFonts w:cs="Times New Roman"/>
          <w:szCs w:val="24"/>
          <w:lang w:eastAsia="en-AU"/>
        </w:rPr>
        <w:t>G</w:t>
      </w:r>
      <w:r w:rsidRPr="003A4092">
        <w:rPr>
          <w:rFonts w:cs="Times New Roman"/>
          <w:szCs w:val="24"/>
          <w:lang w:eastAsia="en-AU"/>
        </w:rPr>
        <w:t>overnment considers the wider benefits to New Zealand when businesses invest in R&amp;D warrant the provision of a subsidy.</w:t>
      </w:r>
    </w:p>
    <w:p w14:paraId="2F24B5EF" w14:textId="77777777" w:rsidR="00F87581" w:rsidRPr="003A4092" w:rsidRDefault="00F87581" w:rsidP="003A4092">
      <w:pPr>
        <w:rPr>
          <w:rFonts w:cs="Times New Roman"/>
          <w:szCs w:val="24"/>
          <w:lang w:eastAsia="en-AU"/>
        </w:rPr>
      </w:pPr>
    </w:p>
    <w:p w14:paraId="18369BD1" w14:textId="5AEBFFA4" w:rsidR="00800C55" w:rsidRPr="003A4092" w:rsidRDefault="00800C55" w:rsidP="003A4092">
      <w:pPr>
        <w:rPr>
          <w:rFonts w:cs="Times New Roman"/>
          <w:szCs w:val="24"/>
          <w:lang w:eastAsia="en-AU"/>
        </w:rPr>
      </w:pPr>
      <w:r w:rsidRPr="003A4092">
        <w:rPr>
          <w:rFonts w:cs="Times New Roman"/>
          <w:szCs w:val="24"/>
          <w:lang w:eastAsia="en-AU"/>
        </w:rPr>
        <w:t xml:space="preserve">A tax credit has been selected as the instrument for providing </w:t>
      </w:r>
      <w:r w:rsidR="00946882" w:rsidRPr="003A4092">
        <w:rPr>
          <w:rFonts w:cs="Times New Roman"/>
          <w:szCs w:val="24"/>
          <w:lang w:eastAsia="en-AU"/>
        </w:rPr>
        <w:t xml:space="preserve">the </w:t>
      </w:r>
      <w:r w:rsidRPr="003A4092">
        <w:rPr>
          <w:rFonts w:cs="Times New Roman"/>
          <w:szCs w:val="24"/>
          <w:lang w:eastAsia="en-AU"/>
        </w:rPr>
        <w:t xml:space="preserve">subsidy because of the wide reach of the tax system. </w:t>
      </w:r>
      <w:r w:rsidR="00B81A72" w:rsidRPr="003A4092">
        <w:rPr>
          <w:rFonts w:cs="Times New Roman"/>
          <w:szCs w:val="24"/>
          <w:lang w:eastAsia="en-AU"/>
        </w:rPr>
        <w:t>The tax system also provides certainty because firms are able to access sup</w:t>
      </w:r>
      <w:r w:rsidR="009C670D">
        <w:rPr>
          <w:rFonts w:cs="Times New Roman"/>
          <w:szCs w:val="24"/>
          <w:lang w:eastAsia="en-AU"/>
        </w:rPr>
        <w:t>port based on predefined rules.</w:t>
      </w:r>
    </w:p>
    <w:p w14:paraId="5ADCC8F3" w14:textId="77777777" w:rsidR="00F87581" w:rsidRPr="003A4092" w:rsidRDefault="00F87581" w:rsidP="003A4092">
      <w:pPr>
        <w:rPr>
          <w:rFonts w:cs="Times New Roman"/>
          <w:szCs w:val="24"/>
          <w:lang w:eastAsia="en-AU"/>
        </w:rPr>
      </w:pPr>
    </w:p>
    <w:p w14:paraId="02045109" w14:textId="01CB137D" w:rsidR="0056141C" w:rsidRPr="003A4092" w:rsidRDefault="00800C55" w:rsidP="003A4092">
      <w:pPr>
        <w:rPr>
          <w:rFonts w:cs="Times New Roman"/>
          <w:szCs w:val="24"/>
          <w:lang w:eastAsia="en-AU"/>
        </w:rPr>
      </w:pPr>
      <w:r w:rsidRPr="003A4092">
        <w:rPr>
          <w:rFonts w:cs="Times New Roman"/>
          <w:szCs w:val="24"/>
          <w:lang w:eastAsia="en-AU"/>
        </w:rPr>
        <w:t xml:space="preserve">The Bill sets out the conditions which need to be satisfied for a firm to receive </w:t>
      </w:r>
      <w:r w:rsidR="00723CE2" w:rsidRPr="003A4092">
        <w:rPr>
          <w:rFonts w:cs="Times New Roman"/>
          <w:szCs w:val="24"/>
          <w:lang w:eastAsia="en-AU"/>
        </w:rPr>
        <w:t xml:space="preserve">an R&amp;D </w:t>
      </w:r>
      <w:r w:rsidRPr="003A4092">
        <w:rPr>
          <w:rFonts w:cs="Times New Roman"/>
          <w:szCs w:val="24"/>
          <w:lang w:eastAsia="en-AU"/>
        </w:rPr>
        <w:t xml:space="preserve">tax credit. The corollary of providing an incentive for </w:t>
      </w:r>
      <w:r w:rsidR="00723CE2" w:rsidRPr="003A4092">
        <w:rPr>
          <w:rFonts w:cs="Times New Roman"/>
          <w:szCs w:val="24"/>
          <w:lang w:eastAsia="en-AU"/>
        </w:rPr>
        <w:t xml:space="preserve">R&amp;D </w:t>
      </w:r>
      <w:r w:rsidRPr="003A4092">
        <w:rPr>
          <w:rFonts w:cs="Times New Roman"/>
          <w:szCs w:val="24"/>
          <w:lang w:eastAsia="en-AU"/>
        </w:rPr>
        <w:t xml:space="preserve">is ensuring that firms that are not performing </w:t>
      </w:r>
      <w:r w:rsidR="00723CE2" w:rsidRPr="003A4092">
        <w:rPr>
          <w:rFonts w:cs="Times New Roman"/>
          <w:szCs w:val="24"/>
          <w:lang w:eastAsia="en-AU"/>
        </w:rPr>
        <w:t>R&amp;D</w:t>
      </w:r>
      <w:r w:rsidRPr="003A4092">
        <w:rPr>
          <w:rFonts w:cs="Times New Roman"/>
          <w:szCs w:val="24"/>
          <w:lang w:eastAsia="en-AU"/>
        </w:rPr>
        <w:t xml:space="preserve"> do not receive </w:t>
      </w:r>
      <w:r w:rsidR="00723CE2" w:rsidRPr="003A4092">
        <w:rPr>
          <w:rFonts w:cs="Times New Roman"/>
          <w:szCs w:val="24"/>
          <w:lang w:eastAsia="en-AU"/>
        </w:rPr>
        <w:t xml:space="preserve">R&amp;D </w:t>
      </w:r>
      <w:r w:rsidRPr="003A4092">
        <w:rPr>
          <w:rFonts w:cs="Times New Roman"/>
          <w:szCs w:val="24"/>
          <w:lang w:eastAsia="en-AU"/>
        </w:rPr>
        <w:t>tax credit</w:t>
      </w:r>
      <w:r w:rsidR="00723CE2" w:rsidRPr="003A4092">
        <w:rPr>
          <w:rFonts w:cs="Times New Roman"/>
          <w:szCs w:val="24"/>
          <w:lang w:eastAsia="en-AU"/>
        </w:rPr>
        <w:t>s</w:t>
      </w:r>
      <w:r w:rsidRPr="003A4092">
        <w:rPr>
          <w:rFonts w:cs="Times New Roman"/>
          <w:szCs w:val="24"/>
          <w:lang w:eastAsia="en-AU"/>
        </w:rPr>
        <w:t>. The Bill therefore establishes boundaries around categories of expenditure so that routine business</w:t>
      </w:r>
      <w:r w:rsidR="00B349F9">
        <w:rPr>
          <w:rFonts w:cs="Times New Roman"/>
          <w:szCs w:val="24"/>
          <w:lang w:eastAsia="en-AU"/>
        </w:rPr>
        <w:t xml:space="preserve"> </w:t>
      </w:r>
      <w:r w:rsidRPr="003A4092">
        <w:rPr>
          <w:rFonts w:cs="Times New Roman"/>
          <w:szCs w:val="24"/>
          <w:lang w:eastAsia="en-AU"/>
        </w:rPr>
        <w:t>as</w:t>
      </w:r>
      <w:r w:rsidR="00B349F9">
        <w:rPr>
          <w:rFonts w:cs="Times New Roman"/>
          <w:szCs w:val="24"/>
          <w:lang w:eastAsia="en-AU"/>
        </w:rPr>
        <w:t xml:space="preserve"> </w:t>
      </w:r>
      <w:r w:rsidRPr="003A4092">
        <w:rPr>
          <w:rFonts w:cs="Times New Roman"/>
          <w:szCs w:val="24"/>
          <w:lang w:eastAsia="en-AU"/>
        </w:rPr>
        <w:t xml:space="preserve">usual expenditure does not qualify for the </w:t>
      </w:r>
      <w:r w:rsidR="00723CE2" w:rsidRPr="003A4092">
        <w:rPr>
          <w:rFonts w:cs="Times New Roman"/>
          <w:szCs w:val="24"/>
          <w:lang w:eastAsia="en-AU"/>
        </w:rPr>
        <w:t xml:space="preserve">R&amp;D </w:t>
      </w:r>
      <w:r w:rsidRPr="003A4092">
        <w:rPr>
          <w:rFonts w:cs="Times New Roman"/>
          <w:szCs w:val="24"/>
          <w:lang w:eastAsia="en-AU"/>
        </w:rPr>
        <w:t>tax credit</w:t>
      </w:r>
      <w:r w:rsidR="00723CE2" w:rsidRPr="003A4092">
        <w:rPr>
          <w:rFonts w:cs="Times New Roman"/>
          <w:szCs w:val="24"/>
          <w:lang w:eastAsia="en-AU"/>
        </w:rPr>
        <w:t>s</w:t>
      </w:r>
      <w:r w:rsidRPr="003A4092">
        <w:rPr>
          <w:rFonts w:cs="Times New Roman"/>
          <w:szCs w:val="24"/>
          <w:lang w:eastAsia="en-AU"/>
        </w:rPr>
        <w:t>.</w:t>
      </w:r>
      <w:r w:rsidR="0056141C" w:rsidRPr="003A4092">
        <w:rPr>
          <w:rFonts w:cs="Times New Roman"/>
          <w:szCs w:val="24"/>
          <w:lang w:eastAsia="en-AU"/>
        </w:rPr>
        <w:t xml:space="preserve"> The Bill also introduces the ability for the Government to set rules </w:t>
      </w:r>
      <w:r w:rsidR="00B349F9">
        <w:rPr>
          <w:rFonts w:cs="Times New Roman"/>
          <w:szCs w:val="24"/>
          <w:lang w:eastAsia="en-AU"/>
        </w:rPr>
        <w:t>by</w:t>
      </w:r>
      <w:r w:rsidR="0056141C" w:rsidRPr="003A4092">
        <w:rPr>
          <w:rFonts w:cs="Times New Roman"/>
          <w:szCs w:val="24"/>
          <w:lang w:eastAsia="en-AU"/>
        </w:rPr>
        <w:t xml:space="preserve"> </w:t>
      </w:r>
      <w:r w:rsidR="00723CE2" w:rsidRPr="003A4092">
        <w:rPr>
          <w:rFonts w:cs="Times New Roman"/>
          <w:szCs w:val="24"/>
          <w:lang w:eastAsia="en-AU"/>
        </w:rPr>
        <w:t xml:space="preserve">Order </w:t>
      </w:r>
      <w:r w:rsidR="0056141C" w:rsidRPr="003A4092">
        <w:rPr>
          <w:rFonts w:cs="Times New Roman"/>
          <w:szCs w:val="24"/>
          <w:lang w:eastAsia="en-AU"/>
        </w:rPr>
        <w:t xml:space="preserve">in </w:t>
      </w:r>
      <w:r w:rsidR="00723CE2" w:rsidRPr="003A4092">
        <w:rPr>
          <w:rFonts w:cs="Times New Roman"/>
          <w:szCs w:val="24"/>
          <w:lang w:eastAsia="en-AU"/>
        </w:rPr>
        <w:t>Council</w:t>
      </w:r>
      <w:r w:rsidR="0056141C" w:rsidRPr="003A4092">
        <w:rPr>
          <w:rFonts w:cs="Times New Roman"/>
          <w:szCs w:val="24"/>
          <w:lang w:eastAsia="en-AU"/>
        </w:rPr>
        <w:t xml:space="preserve">, to ensure </w:t>
      </w:r>
      <w:r w:rsidR="00B349F9">
        <w:rPr>
          <w:rFonts w:cs="Times New Roman"/>
          <w:szCs w:val="24"/>
          <w:lang w:eastAsia="en-AU"/>
        </w:rPr>
        <w:t>business as usual</w:t>
      </w:r>
      <w:r w:rsidR="0056141C" w:rsidRPr="003A4092">
        <w:rPr>
          <w:rFonts w:cs="Times New Roman"/>
          <w:szCs w:val="24"/>
          <w:lang w:eastAsia="en-AU"/>
        </w:rPr>
        <w:t xml:space="preserve"> expenditure does not qualify.</w:t>
      </w:r>
    </w:p>
    <w:p w14:paraId="5D043611" w14:textId="77777777" w:rsidR="00F87581" w:rsidRPr="003A4092" w:rsidRDefault="00F87581" w:rsidP="003A4092">
      <w:pPr>
        <w:rPr>
          <w:rFonts w:cs="Times New Roman"/>
          <w:szCs w:val="24"/>
          <w:lang w:eastAsia="en-AU"/>
        </w:rPr>
      </w:pPr>
    </w:p>
    <w:p w14:paraId="7AA56AE8" w14:textId="374A7BFB" w:rsidR="00B81A72" w:rsidRPr="003A4092" w:rsidRDefault="00800C55" w:rsidP="003A4092">
      <w:pPr>
        <w:rPr>
          <w:rFonts w:cs="Times New Roman"/>
          <w:szCs w:val="24"/>
          <w:lang w:eastAsia="en-AU"/>
        </w:rPr>
      </w:pPr>
      <w:r w:rsidRPr="003A4092">
        <w:rPr>
          <w:rFonts w:cs="Times New Roman"/>
          <w:szCs w:val="24"/>
          <w:lang w:eastAsia="en-AU"/>
        </w:rPr>
        <w:t xml:space="preserve">A </w:t>
      </w:r>
      <w:r w:rsidR="00723CE2" w:rsidRPr="003A4092">
        <w:rPr>
          <w:rFonts w:cs="Times New Roman"/>
          <w:szCs w:val="24"/>
          <w:lang w:eastAsia="en-AU"/>
        </w:rPr>
        <w:t xml:space="preserve">discussion document </w:t>
      </w:r>
      <w:r w:rsidRPr="003A4092">
        <w:rPr>
          <w:rFonts w:cs="Times New Roman"/>
          <w:szCs w:val="24"/>
          <w:lang w:eastAsia="en-AU"/>
        </w:rPr>
        <w:t xml:space="preserve">on the proposed policy was released in April 2018. Submissions on that </w:t>
      </w:r>
      <w:r w:rsidR="0056141C" w:rsidRPr="003A4092">
        <w:rPr>
          <w:rFonts w:cs="Times New Roman"/>
          <w:szCs w:val="24"/>
          <w:lang w:eastAsia="en-AU"/>
        </w:rPr>
        <w:t>d</w:t>
      </w:r>
      <w:r w:rsidRPr="003A4092">
        <w:rPr>
          <w:rFonts w:cs="Times New Roman"/>
          <w:szCs w:val="24"/>
          <w:lang w:eastAsia="en-AU"/>
        </w:rPr>
        <w:t>ocument have influenced the policy. The Government has also been guided by the New Zealand experience of an R&amp;D tax credit in 2008</w:t>
      </w:r>
      <w:r w:rsidR="002149C8">
        <w:rPr>
          <w:rFonts w:cs="Times New Roman"/>
          <w:szCs w:val="24"/>
          <w:lang w:eastAsia="en-AU"/>
        </w:rPr>
        <w:t>–</w:t>
      </w:r>
      <w:r w:rsidRPr="003A4092">
        <w:rPr>
          <w:rFonts w:cs="Times New Roman"/>
          <w:szCs w:val="24"/>
          <w:lang w:eastAsia="en-AU"/>
        </w:rPr>
        <w:t xml:space="preserve">09 </w:t>
      </w:r>
      <w:r w:rsidR="00723CE2" w:rsidRPr="003A4092">
        <w:rPr>
          <w:rFonts w:cs="Times New Roman"/>
          <w:szCs w:val="24"/>
          <w:lang w:eastAsia="en-AU"/>
        </w:rPr>
        <w:t>(2008 regime)</w:t>
      </w:r>
      <w:r w:rsidR="00B81A72" w:rsidRPr="003A4092">
        <w:rPr>
          <w:rFonts w:cs="Times New Roman"/>
          <w:szCs w:val="24"/>
          <w:lang w:eastAsia="en-AU"/>
        </w:rPr>
        <w:t>, changes in the business environment since then,</w:t>
      </w:r>
      <w:r w:rsidR="00723CE2" w:rsidRPr="003A4092">
        <w:rPr>
          <w:rFonts w:cs="Times New Roman"/>
          <w:szCs w:val="24"/>
          <w:lang w:eastAsia="en-AU"/>
        </w:rPr>
        <w:t xml:space="preserve"> </w:t>
      </w:r>
      <w:r w:rsidRPr="003A4092">
        <w:rPr>
          <w:rFonts w:cs="Times New Roman"/>
          <w:szCs w:val="24"/>
          <w:lang w:eastAsia="en-AU"/>
        </w:rPr>
        <w:t>and how such schemes operate in other countries.</w:t>
      </w:r>
      <w:r w:rsidR="0056141C" w:rsidRPr="003A4092">
        <w:rPr>
          <w:rFonts w:cs="Times New Roman"/>
          <w:szCs w:val="24"/>
          <w:lang w:eastAsia="en-AU"/>
        </w:rPr>
        <w:t xml:space="preserve"> The Government will monitor </w:t>
      </w:r>
      <w:r w:rsidR="00532482" w:rsidRPr="003A4092">
        <w:rPr>
          <w:rFonts w:cs="Times New Roman"/>
          <w:szCs w:val="24"/>
          <w:lang w:eastAsia="en-AU"/>
        </w:rPr>
        <w:t>operation of the R&amp;D tax credit regime and adjust it to ensure it continues to meet the policy intent.</w:t>
      </w:r>
    </w:p>
    <w:p w14:paraId="28AACB78" w14:textId="77777777" w:rsidR="00F87581" w:rsidRPr="003A4092" w:rsidRDefault="00F87581" w:rsidP="003A4092">
      <w:pPr>
        <w:rPr>
          <w:rFonts w:cs="Times New Roman"/>
          <w:szCs w:val="24"/>
        </w:rPr>
      </w:pPr>
    </w:p>
    <w:p w14:paraId="37033FAB" w14:textId="5DE1F0E7" w:rsidR="00800C55" w:rsidRPr="003A4092" w:rsidRDefault="00B81A72" w:rsidP="003A4092">
      <w:pPr>
        <w:rPr>
          <w:rFonts w:cs="Times New Roman"/>
          <w:szCs w:val="24"/>
        </w:rPr>
      </w:pPr>
      <w:r w:rsidRPr="003A4092">
        <w:rPr>
          <w:rFonts w:cs="Times New Roman"/>
          <w:szCs w:val="24"/>
        </w:rPr>
        <w:t xml:space="preserve">For more detail on the policy underpinning the Bill, </w:t>
      </w:r>
      <w:r w:rsidR="007F004A">
        <w:rPr>
          <w:rFonts w:cs="Times New Roman"/>
          <w:szCs w:val="24"/>
        </w:rPr>
        <w:t>see the</w:t>
      </w:r>
      <w:r w:rsidRPr="003A4092">
        <w:rPr>
          <w:rFonts w:cs="Times New Roman"/>
          <w:szCs w:val="24"/>
        </w:rPr>
        <w:t xml:space="preserve"> </w:t>
      </w:r>
      <w:r w:rsidR="007F004A">
        <w:rPr>
          <w:rFonts w:cs="Times New Roman"/>
          <w:szCs w:val="24"/>
        </w:rPr>
        <w:t>Ministry of Business, Innovation and Employment</w:t>
      </w:r>
      <w:r w:rsidR="00A05758">
        <w:rPr>
          <w:rFonts w:cs="Times New Roman"/>
          <w:szCs w:val="24"/>
        </w:rPr>
        <w:t>’s</w:t>
      </w:r>
      <w:r w:rsidR="007F004A">
        <w:rPr>
          <w:rFonts w:cs="Times New Roman"/>
          <w:szCs w:val="24"/>
        </w:rPr>
        <w:t xml:space="preserve"> </w:t>
      </w:r>
      <w:r w:rsidR="007F004A" w:rsidRPr="00C91B59">
        <w:t>website</w:t>
      </w:r>
      <w:r w:rsidRPr="003A4092">
        <w:rPr>
          <w:rFonts w:cs="Times New Roman"/>
          <w:szCs w:val="24"/>
        </w:rPr>
        <w:t>,</w:t>
      </w:r>
      <w:r w:rsidR="007F004A">
        <w:rPr>
          <w:rStyle w:val="FootnoteReference"/>
          <w:rFonts w:cs="Times New Roman"/>
          <w:szCs w:val="24"/>
        </w:rPr>
        <w:footnoteReference w:id="1"/>
      </w:r>
      <w:r w:rsidRPr="003A4092">
        <w:rPr>
          <w:rFonts w:cs="Times New Roman"/>
          <w:szCs w:val="24"/>
        </w:rPr>
        <w:t xml:space="preserve"> which has links to various policy documents. This includes briefing documents and submissio</w:t>
      </w:r>
      <w:r w:rsidR="00D409AC" w:rsidRPr="003A4092">
        <w:rPr>
          <w:rFonts w:cs="Times New Roman"/>
          <w:szCs w:val="24"/>
        </w:rPr>
        <w:t xml:space="preserve">ns on the discussion document. If you have any questions about the proposals, you can also </w:t>
      </w:r>
      <w:r w:rsidR="00C249A3" w:rsidRPr="003A4092">
        <w:rPr>
          <w:rFonts w:cs="Times New Roman"/>
          <w:szCs w:val="24"/>
        </w:rPr>
        <w:t xml:space="preserve">send them to </w:t>
      </w:r>
      <w:hyperlink r:id="rId18" w:history="1">
        <w:r w:rsidR="00D409AC" w:rsidRPr="003A4092">
          <w:rPr>
            <w:rStyle w:val="Hyperlink"/>
            <w:rFonts w:cs="Times New Roman"/>
            <w:szCs w:val="24"/>
          </w:rPr>
          <w:t>R+Dincentive@ird.govt.nz</w:t>
        </w:r>
      </w:hyperlink>
      <w:r w:rsidR="009C670D">
        <w:rPr>
          <w:rFonts w:cs="Times New Roman"/>
          <w:szCs w:val="24"/>
        </w:rPr>
        <w:t>.</w:t>
      </w:r>
    </w:p>
    <w:p w14:paraId="757D1647" w14:textId="77777777" w:rsidR="008E7A3B" w:rsidRPr="003A4092" w:rsidRDefault="008E7A3B" w:rsidP="003A4092">
      <w:pPr>
        <w:rPr>
          <w:rFonts w:cs="Times New Roman"/>
          <w:szCs w:val="24"/>
        </w:rPr>
      </w:pPr>
    </w:p>
    <w:p w14:paraId="5ACC9A0D" w14:textId="36D61A42" w:rsidR="008E7A3B" w:rsidRDefault="008E7A3B" w:rsidP="003A4092">
      <w:pPr>
        <w:rPr>
          <w:rFonts w:cs="Times New Roman"/>
          <w:szCs w:val="24"/>
        </w:rPr>
      </w:pPr>
      <w:r w:rsidRPr="003A4092">
        <w:rPr>
          <w:rFonts w:cs="Times New Roman"/>
          <w:szCs w:val="24"/>
        </w:rPr>
        <w:t xml:space="preserve">For a high level overview of </w:t>
      </w:r>
      <w:r w:rsidR="00C91B59">
        <w:rPr>
          <w:rFonts w:cs="Times New Roman"/>
          <w:szCs w:val="24"/>
        </w:rPr>
        <w:t xml:space="preserve">how </w:t>
      </w:r>
      <w:r w:rsidRPr="003A4092">
        <w:rPr>
          <w:rFonts w:cs="Times New Roman"/>
          <w:szCs w:val="24"/>
        </w:rPr>
        <w:t xml:space="preserve">the R&amp;D tax credit </w:t>
      </w:r>
      <w:r w:rsidR="00821772">
        <w:rPr>
          <w:rFonts w:cs="Times New Roman"/>
          <w:szCs w:val="24"/>
        </w:rPr>
        <w:t>will be administered</w:t>
      </w:r>
      <w:r w:rsidR="00C91B59">
        <w:rPr>
          <w:rFonts w:cs="Times New Roman"/>
          <w:szCs w:val="24"/>
        </w:rPr>
        <w:t xml:space="preserve"> see appendix 1. For the</w:t>
      </w:r>
      <w:r w:rsidR="00821772">
        <w:rPr>
          <w:rFonts w:cs="Times New Roman"/>
          <w:szCs w:val="24"/>
        </w:rPr>
        <w:t xml:space="preserve"> core components </w:t>
      </w:r>
      <w:r w:rsidR="00C91B59">
        <w:rPr>
          <w:rFonts w:cs="Times New Roman"/>
          <w:szCs w:val="24"/>
        </w:rPr>
        <w:t xml:space="preserve">of the policy and </w:t>
      </w:r>
      <w:r w:rsidR="00821772">
        <w:rPr>
          <w:rFonts w:cs="Times New Roman"/>
          <w:szCs w:val="24"/>
        </w:rPr>
        <w:t xml:space="preserve">how they </w:t>
      </w:r>
      <w:r w:rsidRPr="003A4092">
        <w:rPr>
          <w:rFonts w:cs="Times New Roman"/>
          <w:szCs w:val="24"/>
        </w:rPr>
        <w:t>operate</w:t>
      </w:r>
      <w:r w:rsidR="00C91B59">
        <w:rPr>
          <w:rFonts w:cs="Times New Roman"/>
          <w:szCs w:val="24"/>
        </w:rPr>
        <w:t xml:space="preserve"> see the flow</w:t>
      </w:r>
      <w:r w:rsidR="0014370D">
        <w:rPr>
          <w:rFonts w:cs="Times New Roman"/>
          <w:szCs w:val="24"/>
        </w:rPr>
        <w:t xml:space="preserve"> </w:t>
      </w:r>
      <w:r w:rsidR="00C91B59">
        <w:rPr>
          <w:rFonts w:cs="Times New Roman"/>
          <w:szCs w:val="24"/>
        </w:rPr>
        <w:t xml:space="preserve">charts in </w:t>
      </w:r>
      <w:r w:rsidR="00A05758">
        <w:rPr>
          <w:rFonts w:cs="Times New Roman"/>
          <w:szCs w:val="24"/>
        </w:rPr>
        <w:t>a</w:t>
      </w:r>
      <w:r w:rsidR="00821772">
        <w:rPr>
          <w:rFonts w:cs="Times New Roman"/>
          <w:szCs w:val="24"/>
        </w:rPr>
        <w:t>ppendi</w:t>
      </w:r>
      <w:r w:rsidR="00A05758">
        <w:rPr>
          <w:rFonts w:cs="Times New Roman"/>
          <w:szCs w:val="24"/>
        </w:rPr>
        <w:t>x 2</w:t>
      </w:r>
      <w:r w:rsidR="009C670D">
        <w:rPr>
          <w:rFonts w:cs="Times New Roman"/>
          <w:szCs w:val="24"/>
        </w:rPr>
        <w:t>.</w:t>
      </w:r>
    </w:p>
    <w:p w14:paraId="308C0FC7" w14:textId="77777777" w:rsidR="009C670D" w:rsidRDefault="009C670D" w:rsidP="003A4092">
      <w:pPr>
        <w:rPr>
          <w:rFonts w:cs="Times New Roman"/>
          <w:szCs w:val="24"/>
        </w:rPr>
      </w:pPr>
    </w:p>
    <w:p w14:paraId="08460ECD" w14:textId="77777777" w:rsidR="009C670D" w:rsidRPr="003A4092" w:rsidRDefault="009C670D" w:rsidP="003A4092">
      <w:pPr>
        <w:rPr>
          <w:rFonts w:cs="Times New Roman"/>
          <w:szCs w:val="24"/>
        </w:rPr>
      </w:pPr>
    </w:p>
    <w:p w14:paraId="61195FE5" w14:textId="60D1404D" w:rsidR="00800C55" w:rsidRPr="00800C55" w:rsidRDefault="00800C55" w:rsidP="00212E4D">
      <w:pPr>
        <w:pStyle w:val="Heading2"/>
      </w:pPr>
      <w:bookmarkStart w:id="13" w:name="_Toc528157354"/>
      <w:r w:rsidRPr="00800C55">
        <w:t xml:space="preserve">Application </w:t>
      </w:r>
      <w:r>
        <w:t>d</w:t>
      </w:r>
      <w:r w:rsidRPr="00800C55">
        <w:t>ate</w:t>
      </w:r>
      <w:bookmarkEnd w:id="13"/>
      <w:r w:rsidR="00E010FC">
        <w:t>s</w:t>
      </w:r>
    </w:p>
    <w:p w14:paraId="091007A6" w14:textId="77777777" w:rsidR="00212E4D" w:rsidRDefault="00212E4D" w:rsidP="009C670D"/>
    <w:p w14:paraId="6EB7DFEF" w14:textId="111A75CA" w:rsidR="008E7A3B" w:rsidRDefault="00800C55" w:rsidP="009C670D">
      <w:r w:rsidRPr="00800C55">
        <w:t>The credit will appl</w:t>
      </w:r>
      <w:r w:rsidR="003A4092">
        <w:t>y from the 2019</w:t>
      </w:r>
      <w:r w:rsidR="00E010FC">
        <w:rPr>
          <w:rFonts w:cs="Times New Roman"/>
        </w:rPr>
        <w:t>–</w:t>
      </w:r>
      <w:r w:rsidR="003A4092">
        <w:t>20 income year.</w:t>
      </w:r>
    </w:p>
    <w:p w14:paraId="3DFA47ED" w14:textId="77777777" w:rsidR="003A4092" w:rsidRDefault="003A4092" w:rsidP="003A4092"/>
    <w:p w14:paraId="54989AF7" w14:textId="69A037F5" w:rsidR="00800C55" w:rsidRDefault="00800C55" w:rsidP="003A4092">
      <w:r w:rsidRPr="00800C55">
        <w:t xml:space="preserve">The in-year approval requirements of the Bill </w:t>
      </w:r>
      <w:r w:rsidR="00297B2E">
        <w:t>apply from</w:t>
      </w:r>
      <w:r w:rsidRPr="00800C55">
        <w:t xml:space="preserve"> the </w:t>
      </w:r>
      <w:r w:rsidR="00E010FC">
        <w:t>2020–21</w:t>
      </w:r>
      <w:r w:rsidRPr="00800C55">
        <w:t xml:space="preserve"> income year.</w:t>
      </w:r>
    </w:p>
    <w:p w14:paraId="1646EC68" w14:textId="77777777" w:rsidR="009C670D" w:rsidRDefault="009C670D" w:rsidP="003A4092"/>
    <w:p w14:paraId="18631805" w14:textId="77777777" w:rsidR="009C670D" w:rsidRDefault="009C670D" w:rsidP="003A4092"/>
    <w:p w14:paraId="7D7DDB7B" w14:textId="77777777" w:rsidR="00800C55" w:rsidRDefault="00800C55" w:rsidP="00212E4D">
      <w:pPr>
        <w:pStyle w:val="Heading2"/>
      </w:pPr>
      <w:bookmarkStart w:id="14" w:name="_Toc528157355"/>
      <w:r w:rsidRPr="00800C55">
        <w:t xml:space="preserve">Summary of </w:t>
      </w:r>
      <w:r>
        <w:t>k</w:t>
      </w:r>
      <w:r w:rsidRPr="00800C55">
        <w:t xml:space="preserve">ey </w:t>
      </w:r>
      <w:r>
        <w:t>f</w:t>
      </w:r>
      <w:r w:rsidRPr="00800C55">
        <w:t>eatures</w:t>
      </w:r>
      <w:bookmarkEnd w:id="14"/>
    </w:p>
    <w:p w14:paraId="38E442EA" w14:textId="77777777" w:rsidR="00212E4D" w:rsidRDefault="00212E4D" w:rsidP="00212E4D">
      <w:pPr>
        <w:rPr>
          <w:lang w:eastAsia="en-AU"/>
        </w:rPr>
      </w:pPr>
    </w:p>
    <w:p w14:paraId="27E7E1ED" w14:textId="0D084E85" w:rsidR="00212E4D" w:rsidRDefault="00212E4D" w:rsidP="00212E4D">
      <w:pPr>
        <w:pStyle w:val="Heading3"/>
      </w:pPr>
      <w:r>
        <w:t>Eligibility</w:t>
      </w:r>
    </w:p>
    <w:p w14:paraId="05D30F8D" w14:textId="77777777" w:rsidR="00212E4D" w:rsidRPr="00212E4D" w:rsidRDefault="00212E4D" w:rsidP="00212E4D">
      <w:pPr>
        <w:rPr>
          <w:lang w:eastAsia="en-AU"/>
        </w:rPr>
      </w:pPr>
    </w:p>
    <w:p w14:paraId="75851532" w14:textId="43DCCA15" w:rsidR="00255838" w:rsidRDefault="00255838" w:rsidP="00255838">
      <w:pPr>
        <w:rPr>
          <w:rFonts w:cs="Times New Roman"/>
          <w:szCs w:val="24"/>
          <w:lang w:eastAsia="en-AU"/>
        </w:rPr>
      </w:pPr>
      <w:r w:rsidRPr="00255838">
        <w:rPr>
          <w:rFonts w:cs="Times New Roman"/>
          <w:szCs w:val="24"/>
          <w:lang w:eastAsia="en-AU"/>
        </w:rPr>
        <w:t>There are various tests that must be satisfied before a person can receive an R&amp;D tax credit. The</w:t>
      </w:r>
      <w:r w:rsidR="00723CE2">
        <w:rPr>
          <w:rFonts w:cs="Times New Roman"/>
          <w:szCs w:val="24"/>
          <w:lang w:eastAsia="en-AU"/>
        </w:rPr>
        <w:t xml:space="preserve"> tests</w:t>
      </w:r>
      <w:r w:rsidRPr="00255838">
        <w:rPr>
          <w:rFonts w:cs="Times New Roman"/>
          <w:szCs w:val="24"/>
          <w:lang w:eastAsia="en-AU"/>
        </w:rPr>
        <w:t xml:space="preserve"> cover:</w:t>
      </w:r>
    </w:p>
    <w:p w14:paraId="3A3BCBD9" w14:textId="77777777" w:rsidR="009C670D" w:rsidRDefault="009C670D" w:rsidP="00255838">
      <w:pPr>
        <w:rPr>
          <w:rFonts w:cs="Times New Roman"/>
          <w:szCs w:val="24"/>
          <w:lang w:eastAsia="en-AU"/>
        </w:rPr>
      </w:pPr>
    </w:p>
    <w:p w14:paraId="0D8B0991" w14:textId="327103D8" w:rsidR="00255838" w:rsidRPr="00255838" w:rsidRDefault="00086534" w:rsidP="003A4092">
      <w:pPr>
        <w:pStyle w:val="dotpoint"/>
      </w:pPr>
      <w:r>
        <w:t>t</w:t>
      </w:r>
      <w:r w:rsidR="00723CE2" w:rsidRPr="00255838">
        <w:t xml:space="preserve">he </w:t>
      </w:r>
      <w:r w:rsidR="00255838" w:rsidRPr="00255838">
        <w:t>person who is claiming the credit</w:t>
      </w:r>
      <w:r w:rsidR="00723CE2">
        <w:t>;</w:t>
      </w:r>
    </w:p>
    <w:p w14:paraId="29FAB075" w14:textId="73A0CB38" w:rsidR="00255838" w:rsidRPr="00255838" w:rsidRDefault="00086534" w:rsidP="003A4092">
      <w:pPr>
        <w:pStyle w:val="dotpoint"/>
      </w:pPr>
      <w:r>
        <w:t>t</w:t>
      </w:r>
      <w:r w:rsidR="00723CE2" w:rsidRPr="00255838">
        <w:t xml:space="preserve">he </w:t>
      </w:r>
      <w:r w:rsidR="00255838" w:rsidRPr="00255838">
        <w:t>type of activity that qualifies as eligible R&amp;D</w:t>
      </w:r>
      <w:r w:rsidR="00723CE2">
        <w:t>; and</w:t>
      </w:r>
    </w:p>
    <w:p w14:paraId="11503580" w14:textId="11569533" w:rsidR="00800C55" w:rsidRPr="00255838" w:rsidRDefault="00086534" w:rsidP="003A4092">
      <w:pPr>
        <w:pStyle w:val="dotpoint"/>
        <w:spacing w:after="0"/>
      </w:pPr>
      <w:r>
        <w:t>t</w:t>
      </w:r>
      <w:r w:rsidR="00723CE2" w:rsidRPr="00255838">
        <w:t xml:space="preserve">he </w:t>
      </w:r>
      <w:r w:rsidR="00255838" w:rsidRPr="00255838">
        <w:t>type of expenditure that qualifies as eligible R&amp;D expenditure</w:t>
      </w:r>
      <w:r w:rsidR="00255838">
        <w:t>.</w:t>
      </w:r>
    </w:p>
    <w:p w14:paraId="23081F79" w14:textId="77777777" w:rsidR="009C670D" w:rsidRDefault="009C670D" w:rsidP="009C670D"/>
    <w:p w14:paraId="4D211D6E" w14:textId="77777777" w:rsidR="00800C55" w:rsidRPr="00800C55" w:rsidRDefault="00800C55" w:rsidP="00212E4D">
      <w:pPr>
        <w:pStyle w:val="Heading3"/>
      </w:pPr>
      <w:r w:rsidRPr="00255838">
        <w:t>Defining</w:t>
      </w:r>
      <w:r w:rsidRPr="00800C55">
        <w:t xml:space="preserve"> an </w:t>
      </w:r>
      <w:r w:rsidRPr="00612061">
        <w:t>eligible</w:t>
      </w:r>
      <w:r w:rsidRPr="00800C55">
        <w:t xml:space="preserve"> person</w:t>
      </w:r>
    </w:p>
    <w:p w14:paraId="2B09C24C" w14:textId="77777777" w:rsidR="009C670D" w:rsidRDefault="009C670D" w:rsidP="00441027">
      <w:pPr>
        <w:rPr>
          <w:rFonts w:ascii="Times Roman" w:hAnsi="Times Roman"/>
          <w:szCs w:val="24"/>
        </w:rPr>
      </w:pPr>
    </w:p>
    <w:p w14:paraId="0A72EC11" w14:textId="6B8825EE" w:rsidR="00800C55" w:rsidRDefault="00800C55" w:rsidP="00441027">
      <w:pPr>
        <w:rPr>
          <w:rFonts w:ascii="Times Roman" w:hAnsi="Times Roman"/>
          <w:szCs w:val="24"/>
        </w:rPr>
      </w:pPr>
      <w:r w:rsidRPr="00800C55">
        <w:rPr>
          <w:rFonts w:ascii="Times Roman" w:hAnsi="Times Roman"/>
          <w:szCs w:val="24"/>
        </w:rPr>
        <w:t xml:space="preserve">The </w:t>
      </w:r>
      <w:r w:rsidR="00CC27F5">
        <w:rPr>
          <w:rFonts w:ascii="Times Roman" w:hAnsi="Times Roman"/>
          <w:szCs w:val="24"/>
        </w:rPr>
        <w:t>B</w:t>
      </w:r>
      <w:r w:rsidRPr="00800C55">
        <w:rPr>
          <w:rFonts w:ascii="Times Roman" w:hAnsi="Times Roman"/>
          <w:szCs w:val="24"/>
        </w:rPr>
        <w:t>ill proposes requirements for who is eligible for a</w:t>
      </w:r>
      <w:r w:rsidR="00CC27F5">
        <w:rPr>
          <w:rFonts w:ascii="Times Roman" w:hAnsi="Times Roman"/>
          <w:szCs w:val="24"/>
        </w:rPr>
        <w:t>n</w:t>
      </w:r>
      <w:r w:rsidRPr="00800C55">
        <w:rPr>
          <w:rFonts w:ascii="Times Roman" w:hAnsi="Times Roman"/>
          <w:szCs w:val="24"/>
        </w:rPr>
        <w:t xml:space="preserve"> </w:t>
      </w:r>
      <w:r w:rsidR="00723CE2">
        <w:rPr>
          <w:rFonts w:ascii="Times Roman" w:hAnsi="Times Roman"/>
          <w:szCs w:val="24"/>
        </w:rPr>
        <w:t xml:space="preserve">R&amp;D </w:t>
      </w:r>
      <w:r w:rsidRPr="00800C55">
        <w:rPr>
          <w:rFonts w:ascii="Times Roman" w:hAnsi="Times Roman"/>
          <w:szCs w:val="24"/>
        </w:rPr>
        <w:t>tax credit. The key requirements are that a person:</w:t>
      </w:r>
    </w:p>
    <w:p w14:paraId="75D6F940" w14:textId="77777777" w:rsidR="00441027" w:rsidRPr="00800C55" w:rsidRDefault="00441027" w:rsidP="00464B70">
      <w:pPr>
        <w:rPr>
          <w:rFonts w:ascii="Times Roman" w:hAnsi="Times Roman"/>
          <w:szCs w:val="24"/>
        </w:rPr>
      </w:pPr>
    </w:p>
    <w:p w14:paraId="53250B7A" w14:textId="6E93C219" w:rsidR="00800C55" w:rsidRPr="00255838" w:rsidRDefault="00086534" w:rsidP="003A4092">
      <w:pPr>
        <w:pStyle w:val="dotpoint"/>
      </w:pPr>
      <w:r>
        <w:t>p</w:t>
      </w:r>
      <w:r w:rsidR="00C62881" w:rsidRPr="00255838">
        <w:t xml:space="preserve">erforms </w:t>
      </w:r>
      <w:r w:rsidR="00800C55" w:rsidRPr="00255838">
        <w:t xml:space="preserve">a core research and development activity </w:t>
      </w:r>
      <w:r w:rsidR="00723CE2">
        <w:t xml:space="preserve">(“core activity”) </w:t>
      </w:r>
      <w:r w:rsidR="00800C55" w:rsidRPr="00255838">
        <w:t xml:space="preserve">in New Zealand, or a contractor performs </w:t>
      </w:r>
      <w:r w:rsidR="00723CE2">
        <w:t>a core activity</w:t>
      </w:r>
      <w:r w:rsidR="00723CE2" w:rsidRPr="00255838">
        <w:t xml:space="preserve"> </w:t>
      </w:r>
      <w:r w:rsidR="00800C55" w:rsidRPr="00255838">
        <w:t>on their behalf</w:t>
      </w:r>
      <w:r>
        <w:t>;</w:t>
      </w:r>
    </w:p>
    <w:p w14:paraId="4F3631A5" w14:textId="036649EA" w:rsidR="00800C55" w:rsidRPr="00255838" w:rsidRDefault="00086534" w:rsidP="003A4092">
      <w:pPr>
        <w:pStyle w:val="dotpoint"/>
      </w:pPr>
      <w:r>
        <w:t>c</w:t>
      </w:r>
      <w:r w:rsidR="00C62881" w:rsidRPr="00255838">
        <w:t xml:space="preserve">arries </w:t>
      </w:r>
      <w:r w:rsidR="00800C55" w:rsidRPr="00255838">
        <w:t>on a business through a fixed establishment in New Zealand</w:t>
      </w:r>
      <w:r w:rsidR="00C62881">
        <w:t>;</w:t>
      </w:r>
      <w:r w:rsidR="00C62881" w:rsidRPr="00255838">
        <w:t xml:space="preserve"> </w:t>
      </w:r>
      <w:r w:rsidR="00800C55" w:rsidRPr="00255838">
        <w:t>and</w:t>
      </w:r>
    </w:p>
    <w:p w14:paraId="6D1B571D" w14:textId="38477169" w:rsidR="00800C55" w:rsidRPr="00800C55" w:rsidRDefault="00086534" w:rsidP="009C670D">
      <w:pPr>
        <w:pStyle w:val="dotpoint"/>
        <w:spacing w:after="0"/>
        <w:rPr>
          <w:rFonts w:ascii="Times Roman" w:hAnsi="Times Roman"/>
        </w:rPr>
      </w:pPr>
      <w:r>
        <w:t>h</w:t>
      </w:r>
      <w:r w:rsidR="00C62881" w:rsidRPr="00255838">
        <w:t>as</w:t>
      </w:r>
      <w:r w:rsidR="00C62881" w:rsidRPr="00800C55">
        <w:rPr>
          <w:rFonts w:ascii="Times Roman" w:hAnsi="Times Roman"/>
        </w:rPr>
        <w:t xml:space="preserve"> </w:t>
      </w:r>
      <w:r w:rsidR="00D409AC">
        <w:rPr>
          <w:rFonts w:ascii="Times Roman" w:hAnsi="Times Roman"/>
        </w:rPr>
        <w:t xml:space="preserve">R&amp;D controlling rights </w:t>
      </w:r>
      <w:r w:rsidR="00800C55" w:rsidRPr="00800C55">
        <w:rPr>
          <w:rFonts w:ascii="Times Roman" w:hAnsi="Times Roman"/>
        </w:rPr>
        <w:t>over the</w:t>
      </w:r>
      <w:r w:rsidR="00723CE2">
        <w:rPr>
          <w:rFonts w:ascii="Times Roman" w:hAnsi="Times Roman"/>
        </w:rPr>
        <w:t>ir</w:t>
      </w:r>
      <w:r w:rsidR="00800C55" w:rsidRPr="00800C55">
        <w:rPr>
          <w:rFonts w:ascii="Times Roman" w:hAnsi="Times Roman"/>
        </w:rPr>
        <w:t xml:space="preserve"> research and development activities</w:t>
      </w:r>
      <w:r w:rsidR="00723CE2">
        <w:rPr>
          <w:rFonts w:ascii="Times Roman" w:hAnsi="Times Roman"/>
        </w:rPr>
        <w:t xml:space="preserve"> (“R&amp;D activities”)</w:t>
      </w:r>
      <w:r w:rsidR="00800C55" w:rsidRPr="00800C55">
        <w:rPr>
          <w:rFonts w:ascii="Times Roman" w:hAnsi="Times Roman"/>
        </w:rPr>
        <w:t>.</w:t>
      </w:r>
    </w:p>
    <w:p w14:paraId="263AE6AC" w14:textId="77777777" w:rsidR="009C670D" w:rsidRDefault="009C670D" w:rsidP="007A4CBD"/>
    <w:p w14:paraId="4CE9DB03" w14:textId="77777777" w:rsidR="00800C55" w:rsidRDefault="00800C55" w:rsidP="007A4CBD">
      <w:r w:rsidRPr="00800C55">
        <w:t>It is also proposed that the person must satisfy one of the following to be eligible:</w:t>
      </w:r>
    </w:p>
    <w:p w14:paraId="3DF9A25E" w14:textId="77777777" w:rsidR="007A4CBD" w:rsidRPr="00800C55" w:rsidRDefault="007A4CBD" w:rsidP="007A4CBD"/>
    <w:p w14:paraId="4283D616" w14:textId="10E18CFF" w:rsidR="00800C55" w:rsidRPr="00800C55" w:rsidRDefault="00086534" w:rsidP="009C670D">
      <w:pPr>
        <w:pStyle w:val="dotpoint"/>
      </w:pPr>
      <w:r>
        <w:t>t</w:t>
      </w:r>
      <w:r w:rsidR="00C62881" w:rsidRPr="00800C55">
        <w:t xml:space="preserve">he </w:t>
      </w:r>
      <w:r w:rsidR="00800C55" w:rsidRPr="00800C55">
        <w:t>person owns the results of the</w:t>
      </w:r>
      <w:r w:rsidR="00C62881">
        <w:t>ir</w:t>
      </w:r>
      <w:r w:rsidR="00800C55" w:rsidRPr="00800C55">
        <w:t xml:space="preserve"> R&amp;D activities</w:t>
      </w:r>
      <w:r w:rsidR="00C62881">
        <w:t>;</w:t>
      </w:r>
    </w:p>
    <w:p w14:paraId="56B8D538" w14:textId="45FE29DA" w:rsidR="00800C55" w:rsidRPr="00800C55" w:rsidRDefault="00086534" w:rsidP="009C670D">
      <w:pPr>
        <w:pStyle w:val="dotpoint"/>
      </w:pPr>
      <w:r>
        <w:t>t</w:t>
      </w:r>
      <w:r w:rsidR="00C62881" w:rsidRPr="00800C55">
        <w:t xml:space="preserve">he </w:t>
      </w:r>
      <w:r w:rsidR="00800C55" w:rsidRPr="00800C55">
        <w:t>person is able to use the results of the</w:t>
      </w:r>
      <w:r w:rsidR="00C62881">
        <w:t>ir</w:t>
      </w:r>
      <w:r w:rsidR="00800C55" w:rsidRPr="00800C55">
        <w:t xml:space="preserve"> R&amp;D activities for no further consideration</w:t>
      </w:r>
      <w:r w:rsidR="00C62881">
        <w:t>;</w:t>
      </w:r>
      <w:r w:rsidR="00C62881" w:rsidRPr="00800C55">
        <w:t xml:space="preserve"> </w:t>
      </w:r>
      <w:r w:rsidR="00800C55" w:rsidRPr="00800C55">
        <w:t>or</w:t>
      </w:r>
    </w:p>
    <w:p w14:paraId="0BD8AD46" w14:textId="6C8788AC" w:rsidR="00800C55" w:rsidRDefault="00086534" w:rsidP="009C670D">
      <w:pPr>
        <w:pStyle w:val="dotpoint"/>
        <w:spacing w:after="0"/>
      </w:pPr>
      <w:r>
        <w:t>a</w:t>
      </w:r>
      <w:r w:rsidR="00C62881" w:rsidRPr="00800C55">
        <w:t xml:space="preserve"> </w:t>
      </w:r>
      <w:r w:rsidR="00800C55" w:rsidRPr="00800C55">
        <w:t>company in the person’s corporate group owns the</w:t>
      </w:r>
      <w:r w:rsidR="00C62881">
        <w:t xml:space="preserve"> results of the person’s R&amp;D</w:t>
      </w:r>
      <w:r w:rsidR="00800C55" w:rsidRPr="00800C55">
        <w:t xml:space="preserve"> activities, and the company is resident in a jurisdiction with which New Zealand has a double tax agreement.</w:t>
      </w:r>
    </w:p>
    <w:p w14:paraId="0ADA86CB" w14:textId="77777777" w:rsidR="009C670D" w:rsidRPr="00800C55" w:rsidRDefault="009C670D" w:rsidP="009C670D">
      <w:pPr>
        <w:pStyle w:val="dotpoint"/>
        <w:numPr>
          <w:ilvl w:val="0"/>
          <w:numId w:val="0"/>
        </w:numPr>
        <w:spacing w:after="0"/>
        <w:ind w:left="567" w:hanging="567"/>
      </w:pPr>
    </w:p>
    <w:p w14:paraId="1E604740" w14:textId="77777777" w:rsidR="00453540" w:rsidRPr="00453540" w:rsidRDefault="00453540" w:rsidP="00453540">
      <w:r w:rsidRPr="00453540">
        <w:br w:type="page"/>
      </w:r>
    </w:p>
    <w:p w14:paraId="127C0770" w14:textId="04B13C3B" w:rsidR="00800C55" w:rsidRPr="00800C55" w:rsidRDefault="00800C55" w:rsidP="00212E4D">
      <w:pPr>
        <w:pStyle w:val="Heading3"/>
      </w:pPr>
      <w:r w:rsidRPr="00800C55">
        <w:t xml:space="preserve">Defining </w:t>
      </w:r>
      <w:r w:rsidR="00C62881">
        <w:t xml:space="preserve">R&amp;D </w:t>
      </w:r>
      <w:r w:rsidRPr="00800C55">
        <w:t>activity</w:t>
      </w:r>
    </w:p>
    <w:p w14:paraId="7C71D1DD" w14:textId="77777777" w:rsidR="009C670D" w:rsidRDefault="009C670D" w:rsidP="009C670D"/>
    <w:p w14:paraId="3B35FF39" w14:textId="77777777" w:rsidR="00800C55" w:rsidRDefault="00800C55" w:rsidP="009C670D">
      <w:r w:rsidRPr="00800C55">
        <w:t>There must be a core activity for an R&amp;D activity to be eligible. A core activity is an activity that:</w:t>
      </w:r>
    </w:p>
    <w:p w14:paraId="358D0D5D" w14:textId="77777777" w:rsidR="009C670D" w:rsidRPr="00800C55" w:rsidRDefault="009C670D" w:rsidP="009C670D"/>
    <w:p w14:paraId="218CF5A4" w14:textId="743FAC77" w:rsidR="00800C55" w:rsidRPr="00255838" w:rsidRDefault="00086534" w:rsidP="009C670D">
      <w:pPr>
        <w:pStyle w:val="dotpoint"/>
      </w:pPr>
      <w:r>
        <w:t>i</w:t>
      </w:r>
      <w:r w:rsidR="00C62881" w:rsidRPr="00800C55">
        <w:t xml:space="preserve">s </w:t>
      </w:r>
      <w:r w:rsidR="00800C55" w:rsidRPr="00255838">
        <w:t>conducted using a systematic approach;</w:t>
      </w:r>
    </w:p>
    <w:p w14:paraId="37B85671" w14:textId="22A15B40" w:rsidR="00800C55" w:rsidRPr="00255838" w:rsidRDefault="00086534" w:rsidP="009C670D">
      <w:pPr>
        <w:pStyle w:val="dotpoint"/>
      </w:pPr>
      <w:r>
        <w:t>h</w:t>
      </w:r>
      <w:r w:rsidR="00C62881" w:rsidRPr="00255838">
        <w:t xml:space="preserve">as </w:t>
      </w:r>
      <w:r w:rsidR="00800C55" w:rsidRPr="00255838">
        <w:t>the purpose of creating something new; and</w:t>
      </w:r>
    </w:p>
    <w:p w14:paraId="35D8F9EE" w14:textId="7BAEF19A" w:rsidR="00800C55" w:rsidRPr="00800C55" w:rsidRDefault="00086534" w:rsidP="009C670D">
      <w:pPr>
        <w:pStyle w:val="dotpoint"/>
        <w:spacing w:after="0"/>
      </w:pPr>
      <w:r>
        <w:t>h</w:t>
      </w:r>
      <w:r w:rsidR="00C62881" w:rsidRPr="00255838">
        <w:t xml:space="preserve">as </w:t>
      </w:r>
      <w:r w:rsidR="00800C55" w:rsidRPr="00255838">
        <w:t>the purpose</w:t>
      </w:r>
      <w:r w:rsidR="00800C55" w:rsidRPr="00800C55">
        <w:t xml:space="preserve"> of resolving scientific or technological uncertainty.</w:t>
      </w:r>
    </w:p>
    <w:p w14:paraId="7F4668D8" w14:textId="77777777" w:rsidR="009C670D" w:rsidRDefault="009C670D" w:rsidP="00464B70">
      <w:pPr>
        <w:rPr>
          <w:rFonts w:ascii="Times Roman" w:hAnsi="Times Roman"/>
        </w:rPr>
      </w:pPr>
    </w:p>
    <w:p w14:paraId="5FF8E0DF" w14:textId="77777777" w:rsidR="00800C55" w:rsidRDefault="00C62881" w:rsidP="009C670D">
      <w:r>
        <w:t>An activity</w:t>
      </w:r>
      <w:r w:rsidRPr="00800C55">
        <w:t xml:space="preserve"> </w:t>
      </w:r>
      <w:r w:rsidR="00800C55" w:rsidRPr="00800C55">
        <w:t xml:space="preserve">that </w:t>
      </w:r>
      <w:r>
        <w:t xml:space="preserve">is </w:t>
      </w:r>
      <w:r w:rsidR="00800C55" w:rsidRPr="00800C55">
        <w:t xml:space="preserve">not </w:t>
      </w:r>
      <w:r>
        <w:t xml:space="preserve">a </w:t>
      </w:r>
      <w:r w:rsidR="00800C55" w:rsidRPr="00800C55">
        <w:t>core activit</w:t>
      </w:r>
      <w:r>
        <w:t>y</w:t>
      </w:r>
      <w:r w:rsidR="00800C55" w:rsidRPr="00800C55">
        <w:t xml:space="preserve"> will only be eligible if </w:t>
      </w:r>
      <w:r>
        <w:t>it is</w:t>
      </w:r>
      <w:r w:rsidRPr="00800C55">
        <w:t xml:space="preserve"> </w:t>
      </w:r>
      <w:r w:rsidR="00800C55" w:rsidRPr="00800C55">
        <w:t xml:space="preserve">in support of a core activity. Some activities </w:t>
      </w:r>
      <w:r>
        <w:t xml:space="preserve">are </w:t>
      </w:r>
      <w:r w:rsidR="00800C55" w:rsidRPr="00800C55">
        <w:t>explicitly excluded from being core or supporting activit</w:t>
      </w:r>
      <w:r>
        <w:t>ies</w:t>
      </w:r>
      <w:r w:rsidR="00800C55" w:rsidRPr="00800C55">
        <w:t>.</w:t>
      </w:r>
    </w:p>
    <w:p w14:paraId="3962F21D" w14:textId="77777777" w:rsidR="009C670D" w:rsidRPr="00800C55" w:rsidRDefault="009C670D" w:rsidP="009C670D"/>
    <w:p w14:paraId="69D7BACD" w14:textId="77777777" w:rsidR="00800C55" w:rsidRPr="00800C55" w:rsidRDefault="00800C55" w:rsidP="00212E4D">
      <w:pPr>
        <w:pStyle w:val="Heading3"/>
      </w:pPr>
      <w:r w:rsidRPr="00800C55">
        <w:t>Defining eligible research and development expenditure</w:t>
      </w:r>
    </w:p>
    <w:p w14:paraId="1FF7E6FC" w14:textId="77777777" w:rsidR="009C670D" w:rsidRDefault="009C670D" w:rsidP="009C670D">
      <w:pPr>
        <w:rPr>
          <w:lang w:eastAsia="en-AU"/>
        </w:rPr>
      </w:pPr>
    </w:p>
    <w:p w14:paraId="14264AFA" w14:textId="6459EDF8" w:rsidR="00800C55" w:rsidRPr="00612061" w:rsidRDefault="00800C55" w:rsidP="009C670D">
      <w:pPr>
        <w:rPr>
          <w:lang w:eastAsia="en-AU"/>
        </w:rPr>
      </w:pPr>
      <w:r w:rsidRPr="00612061">
        <w:rPr>
          <w:lang w:eastAsia="en-AU"/>
        </w:rPr>
        <w:t xml:space="preserve">Eligible </w:t>
      </w:r>
      <w:r w:rsidR="00C62881" w:rsidRPr="00612061">
        <w:rPr>
          <w:lang w:eastAsia="en-AU"/>
        </w:rPr>
        <w:t xml:space="preserve">research and development </w:t>
      </w:r>
      <w:r w:rsidRPr="00612061">
        <w:rPr>
          <w:lang w:eastAsia="en-AU"/>
        </w:rPr>
        <w:t xml:space="preserve">expenditure </w:t>
      </w:r>
      <w:r w:rsidR="00C62881" w:rsidRPr="00612061">
        <w:rPr>
          <w:lang w:eastAsia="en-AU"/>
        </w:rPr>
        <w:t xml:space="preserve">(eligible expenditure) </w:t>
      </w:r>
      <w:r w:rsidRPr="00612061">
        <w:rPr>
          <w:lang w:eastAsia="en-AU"/>
        </w:rPr>
        <w:t xml:space="preserve">is expenditure incurred on an R&amp;D activity, and includes things like employee salaries, </w:t>
      </w:r>
      <w:r w:rsidR="00C62881" w:rsidRPr="00612061">
        <w:rPr>
          <w:lang w:eastAsia="en-AU"/>
        </w:rPr>
        <w:t xml:space="preserve">expenditure on </w:t>
      </w:r>
      <w:r w:rsidRPr="00612061">
        <w:rPr>
          <w:lang w:eastAsia="en-AU"/>
        </w:rPr>
        <w:t xml:space="preserve">consumables used in </w:t>
      </w:r>
      <w:r w:rsidR="00C62881" w:rsidRPr="00612061">
        <w:rPr>
          <w:lang w:eastAsia="en-AU"/>
        </w:rPr>
        <w:t xml:space="preserve">an </w:t>
      </w:r>
      <w:r w:rsidRPr="00612061">
        <w:rPr>
          <w:lang w:eastAsia="en-AU"/>
        </w:rPr>
        <w:t>R&amp;D process</w:t>
      </w:r>
      <w:r w:rsidR="00C62881" w:rsidRPr="00612061">
        <w:rPr>
          <w:lang w:eastAsia="en-AU"/>
        </w:rPr>
        <w:t>,</w:t>
      </w:r>
      <w:r w:rsidRPr="00612061">
        <w:rPr>
          <w:lang w:eastAsia="en-AU"/>
        </w:rPr>
        <w:t xml:space="preserve"> and depreciation </w:t>
      </w:r>
      <w:r w:rsidR="00C62881" w:rsidRPr="00612061">
        <w:rPr>
          <w:lang w:eastAsia="en-AU"/>
        </w:rPr>
        <w:t xml:space="preserve">loss </w:t>
      </w:r>
      <w:r w:rsidR="00C02DAD">
        <w:rPr>
          <w:lang w:eastAsia="en-AU"/>
        </w:rPr>
        <w:t>for</w:t>
      </w:r>
      <w:r w:rsidRPr="00612061">
        <w:rPr>
          <w:lang w:eastAsia="en-AU"/>
        </w:rPr>
        <w:t xml:space="preserve"> assets used in R&amp;D.</w:t>
      </w:r>
    </w:p>
    <w:p w14:paraId="01F30E81" w14:textId="77777777" w:rsidR="00F87581" w:rsidRPr="00612061" w:rsidRDefault="00F87581" w:rsidP="009C670D">
      <w:pPr>
        <w:rPr>
          <w:lang w:eastAsia="en-AU"/>
        </w:rPr>
      </w:pPr>
    </w:p>
    <w:p w14:paraId="1C172001" w14:textId="26C1EA9C" w:rsidR="00800C55" w:rsidRPr="00612061" w:rsidRDefault="00800C55" w:rsidP="009C670D">
      <w:pPr>
        <w:rPr>
          <w:lang w:eastAsia="en-AU"/>
        </w:rPr>
      </w:pPr>
      <w:r w:rsidRPr="00612061">
        <w:rPr>
          <w:lang w:eastAsia="en-AU"/>
        </w:rPr>
        <w:t>A person may claim a</w:t>
      </w:r>
      <w:r w:rsidR="00C62881" w:rsidRPr="00612061">
        <w:rPr>
          <w:lang w:eastAsia="en-AU"/>
        </w:rPr>
        <w:t>n R&amp;D tax</w:t>
      </w:r>
      <w:r w:rsidRPr="00612061">
        <w:rPr>
          <w:lang w:eastAsia="en-AU"/>
        </w:rPr>
        <w:t xml:space="preserve"> credit where </w:t>
      </w:r>
      <w:r w:rsidR="00C62881" w:rsidRPr="00612061">
        <w:rPr>
          <w:lang w:eastAsia="en-AU"/>
        </w:rPr>
        <w:t xml:space="preserve">they </w:t>
      </w:r>
      <w:r w:rsidRPr="00612061">
        <w:rPr>
          <w:lang w:eastAsia="en-AU"/>
        </w:rPr>
        <w:t xml:space="preserve">contract another party to undertake R&amp;D on </w:t>
      </w:r>
      <w:r w:rsidR="00C62881" w:rsidRPr="00612061">
        <w:rPr>
          <w:lang w:eastAsia="en-AU"/>
        </w:rPr>
        <w:t xml:space="preserve">their </w:t>
      </w:r>
      <w:r w:rsidRPr="00612061">
        <w:rPr>
          <w:lang w:eastAsia="en-AU"/>
        </w:rPr>
        <w:t xml:space="preserve">behalf. </w:t>
      </w:r>
      <w:r w:rsidR="00CD5202" w:rsidRPr="00612061">
        <w:rPr>
          <w:lang w:eastAsia="en-AU"/>
        </w:rPr>
        <w:t xml:space="preserve">Ineligible expenditure must be removed from the contracted amount. Also, the remaining total is reduced by </w:t>
      </w:r>
      <w:r w:rsidR="004360B9">
        <w:rPr>
          <w:lang w:eastAsia="en-AU"/>
        </w:rPr>
        <w:t>twenty percent</w:t>
      </w:r>
      <w:r w:rsidR="00CD5202" w:rsidRPr="00612061">
        <w:rPr>
          <w:lang w:eastAsia="en-AU"/>
        </w:rPr>
        <w:t>.</w:t>
      </w:r>
      <w:r w:rsidRPr="00612061">
        <w:rPr>
          <w:lang w:eastAsia="en-AU"/>
        </w:rPr>
        <w:t xml:space="preserve"> Where R&amp;D is performed on contract, only the party </w:t>
      </w:r>
      <w:r w:rsidR="00C62881" w:rsidRPr="00612061">
        <w:rPr>
          <w:lang w:eastAsia="en-AU"/>
        </w:rPr>
        <w:t xml:space="preserve">(that is, the principal) </w:t>
      </w:r>
      <w:r w:rsidRPr="00612061">
        <w:rPr>
          <w:lang w:eastAsia="en-AU"/>
        </w:rPr>
        <w:t>paying for the work may claim the credit.</w:t>
      </w:r>
    </w:p>
    <w:p w14:paraId="4704C9C3" w14:textId="77777777" w:rsidR="00D409AC" w:rsidRPr="00612061" w:rsidRDefault="00D409AC" w:rsidP="009C670D">
      <w:pPr>
        <w:rPr>
          <w:lang w:eastAsia="en-AU"/>
        </w:rPr>
      </w:pPr>
    </w:p>
    <w:p w14:paraId="3E338F45" w14:textId="27E3E78D" w:rsidR="00800C55" w:rsidRPr="00612061" w:rsidRDefault="00800C55" w:rsidP="009C670D">
      <w:pPr>
        <w:rPr>
          <w:lang w:eastAsia="en-AU"/>
        </w:rPr>
      </w:pPr>
      <w:r w:rsidRPr="00612061">
        <w:rPr>
          <w:lang w:eastAsia="en-AU"/>
        </w:rPr>
        <w:t xml:space="preserve">Primarily, </w:t>
      </w:r>
      <w:r w:rsidR="00C62881" w:rsidRPr="00612061">
        <w:rPr>
          <w:lang w:eastAsia="en-AU"/>
        </w:rPr>
        <w:t xml:space="preserve">R&amp;D </w:t>
      </w:r>
      <w:r w:rsidRPr="00612061">
        <w:rPr>
          <w:lang w:eastAsia="en-AU"/>
        </w:rPr>
        <w:t>tax credit</w:t>
      </w:r>
      <w:r w:rsidR="00C62881" w:rsidRPr="00612061">
        <w:rPr>
          <w:lang w:eastAsia="en-AU"/>
        </w:rPr>
        <w:t>s</w:t>
      </w:r>
      <w:r w:rsidRPr="00612061">
        <w:rPr>
          <w:lang w:eastAsia="en-AU"/>
        </w:rPr>
        <w:t xml:space="preserve"> </w:t>
      </w:r>
      <w:r w:rsidR="00C62881" w:rsidRPr="00612061">
        <w:rPr>
          <w:lang w:eastAsia="en-AU"/>
        </w:rPr>
        <w:t xml:space="preserve">are </w:t>
      </w:r>
      <w:r w:rsidRPr="00612061">
        <w:rPr>
          <w:lang w:eastAsia="en-AU"/>
        </w:rPr>
        <w:t xml:space="preserve">only available for expenditure on </w:t>
      </w:r>
      <w:r w:rsidR="00C62881" w:rsidRPr="00612061">
        <w:rPr>
          <w:lang w:eastAsia="en-AU"/>
        </w:rPr>
        <w:t xml:space="preserve">R&amp;D </w:t>
      </w:r>
      <w:r w:rsidRPr="00612061">
        <w:rPr>
          <w:lang w:eastAsia="en-AU"/>
        </w:rPr>
        <w:t xml:space="preserve">that occurs in New Zealand. Nevertheless, up to </w:t>
      </w:r>
      <w:r w:rsidR="004360B9">
        <w:rPr>
          <w:lang w:eastAsia="en-AU"/>
        </w:rPr>
        <w:t xml:space="preserve">ten </w:t>
      </w:r>
      <w:r w:rsidR="00275FA3">
        <w:rPr>
          <w:lang w:eastAsia="en-AU"/>
        </w:rPr>
        <w:t>percent</w:t>
      </w:r>
      <w:r w:rsidRPr="00612061">
        <w:rPr>
          <w:lang w:eastAsia="en-AU"/>
        </w:rPr>
        <w:t xml:space="preserve"> of an R&amp;D claim can be for </w:t>
      </w:r>
      <w:r w:rsidR="00C62881" w:rsidRPr="00612061">
        <w:rPr>
          <w:lang w:eastAsia="en-AU"/>
        </w:rPr>
        <w:t xml:space="preserve">eligible </w:t>
      </w:r>
      <w:r w:rsidRPr="00612061">
        <w:rPr>
          <w:lang w:eastAsia="en-AU"/>
        </w:rPr>
        <w:t xml:space="preserve">expenditure incurred on </w:t>
      </w:r>
      <w:r w:rsidR="00C62881" w:rsidRPr="00612061">
        <w:rPr>
          <w:lang w:eastAsia="en-AU"/>
        </w:rPr>
        <w:t>R&amp;D</w:t>
      </w:r>
      <w:r w:rsidRPr="00612061">
        <w:rPr>
          <w:lang w:eastAsia="en-AU"/>
        </w:rPr>
        <w:t xml:space="preserve"> activit</w:t>
      </w:r>
      <w:r w:rsidR="00C62881" w:rsidRPr="00612061">
        <w:rPr>
          <w:lang w:eastAsia="en-AU"/>
        </w:rPr>
        <w:t>ies</w:t>
      </w:r>
      <w:r w:rsidRPr="00612061">
        <w:rPr>
          <w:lang w:eastAsia="en-AU"/>
        </w:rPr>
        <w:t xml:space="preserve"> that </w:t>
      </w:r>
      <w:r w:rsidR="00C62881" w:rsidRPr="00612061">
        <w:rPr>
          <w:lang w:eastAsia="en-AU"/>
        </w:rPr>
        <w:t>are performed</w:t>
      </w:r>
      <w:r w:rsidRPr="00612061">
        <w:rPr>
          <w:lang w:eastAsia="en-AU"/>
        </w:rPr>
        <w:t xml:space="preserve"> outside New Zealand.</w:t>
      </w:r>
    </w:p>
    <w:p w14:paraId="2041567E" w14:textId="77777777" w:rsidR="00F87581" w:rsidRPr="00612061" w:rsidRDefault="00F87581" w:rsidP="009C670D">
      <w:pPr>
        <w:rPr>
          <w:lang w:eastAsia="en-AU"/>
        </w:rPr>
      </w:pPr>
    </w:p>
    <w:p w14:paraId="5B0C19CA" w14:textId="77777777" w:rsidR="00800C55" w:rsidRDefault="00800C55" w:rsidP="009C670D">
      <w:pPr>
        <w:rPr>
          <w:lang w:eastAsia="en-AU"/>
        </w:rPr>
      </w:pPr>
      <w:r w:rsidRPr="00612061">
        <w:rPr>
          <w:lang w:eastAsia="en-AU"/>
        </w:rPr>
        <w:t xml:space="preserve">Where expenditure is incurred on an R&amp;D activity performed in the course of commercial production, </w:t>
      </w:r>
      <w:r w:rsidR="00C62881" w:rsidRPr="00612061">
        <w:rPr>
          <w:lang w:eastAsia="en-AU"/>
        </w:rPr>
        <w:t xml:space="preserve">a person’s claim is limited </w:t>
      </w:r>
      <w:r w:rsidRPr="00612061">
        <w:rPr>
          <w:lang w:eastAsia="en-AU"/>
        </w:rPr>
        <w:t>to the additional expenditure incurred because of that R&amp;D activity.</w:t>
      </w:r>
    </w:p>
    <w:p w14:paraId="0465209A" w14:textId="77777777" w:rsidR="009C670D" w:rsidRDefault="009C670D" w:rsidP="009C670D">
      <w:pPr>
        <w:rPr>
          <w:lang w:eastAsia="en-AU"/>
        </w:rPr>
      </w:pPr>
    </w:p>
    <w:p w14:paraId="7A463E69" w14:textId="77777777" w:rsidR="00800C55" w:rsidRPr="00800C55" w:rsidRDefault="00800C55" w:rsidP="00212E4D">
      <w:pPr>
        <w:pStyle w:val="Heading3"/>
      </w:pPr>
      <w:r w:rsidRPr="00800C55">
        <w:t xml:space="preserve">Calculating </w:t>
      </w:r>
      <w:r w:rsidR="00C62881">
        <w:t xml:space="preserve">R&amp;D </w:t>
      </w:r>
      <w:r w:rsidRPr="00800C55">
        <w:t>tax credit</w:t>
      </w:r>
      <w:r w:rsidR="00C62881">
        <w:t>s</w:t>
      </w:r>
    </w:p>
    <w:p w14:paraId="408D2459" w14:textId="77777777" w:rsidR="009C670D" w:rsidRDefault="009C670D" w:rsidP="009C670D">
      <w:pPr>
        <w:rPr>
          <w:lang w:eastAsia="en-AU"/>
        </w:rPr>
      </w:pPr>
    </w:p>
    <w:p w14:paraId="73D52ECA" w14:textId="059FDB1F" w:rsidR="00800C55" w:rsidRPr="00612061" w:rsidRDefault="00800C55" w:rsidP="009C670D">
      <w:pPr>
        <w:rPr>
          <w:lang w:eastAsia="en-AU"/>
        </w:rPr>
      </w:pPr>
      <w:r w:rsidRPr="00612061">
        <w:rPr>
          <w:lang w:eastAsia="en-AU"/>
        </w:rPr>
        <w:t xml:space="preserve">The </w:t>
      </w:r>
      <w:r w:rsidR="00C62881" w:rsidRPr="00612061">
        <w:rPr>
          <w:lang w:eastAsia="en-AU"/>
        </w:rPr>
        <w:t xml:space="preserve">R&amp;D </w:t>
      </w:r>
      <w:r w:rsidRPr="00612061">
        <w:rPr>
          <w:lang w:eastAsia="en-AU"/>
        </w:rPr>
        <w:t xml:space="preserve">tax credit </w:t>
      </w:r>
      <w:r w:rsidR="00C62881" w:rsidRPr="00612061">
        <w:rPr>
          <w:lang w:eastAsia="en-AU"/>
        </w:rPr>
        <w:t xml:space="preserve">regime </w:t>
      </w:r>
      <w:r w:rsidRPr="00612061">
        <w:rPr>
          <w:lang w:eastAsia="en-AU"/>
        </w:rPr>
        <w:t xml:space="preserve">operates with a </w:t>
      </w:r>
      <w:r w:rsidR="00C62881" w:rsidRPr="00612061">
        <w:rPr>
          <w:lang w:eastAsia="en-AU"/>
        </w:rPr>
        <w:t xml:space="preserve">minimum </w:t>
      </w:r>
      <w:r w:rsidRPr="00612061">
        <w:rPr>
          <w:lang w:eastAsia="en-AU"/>
        </w:rPr>
        <w:t>threshold and a</w:t>
      </w:r>
      <w:r w:rsidR="00C62881" w:rsidRPr="00612061">
        <w:rPr>
          <w:lang w:eastAsia="en-AU"/>
        </w:rPr>
        <w:t>n expenditure</w:t>
      </w:r>
      <w:r w:rsidRPr="00612061">
        <w:rPr>
          <w:lang w:eastAsia="en-AU"/>
        </w:rPr>
        <w:t xml:space="preserve"> cap. In general, to be eligible for </w:t>
      </w:r>
      <w:r w:rsidR="00C62881" w:rsidRPr="00612061">
        <w:rPr>
          <w:lang w:eastAsia="en-AU"/>
        </w:rPr>
        <w:t xml:space="preserve">R&amp;D </w:t>
      </w:r>
      <w:r w:rsidRPr="00612061">
        <w:rPr>
          <w:lang w:eastAsia="en-AU"/>
        </w:rPr>
        <w:t>tax credit</w:t>
      </w:r>
      <w:r w:rsidR="00C62881" w:rsidRPr="00612061">
        <w:rPr>
          <w:lang w:eastAsia="en-AU"/>
        </w:rPr>
        <w:t>s</w:t>
      </w:r>
      <w:r w:rsidRPr="00612061">
        <w:rPr>
          <w:lang w:eastAsia="en-AU"/>
        </w:rPr>
        <w:t xml:space="preserve">, the Bill stipulates that a person must have at least $50,000 of eligible expenditure in a given </w:t>
      </w:r>
      <w:r w:rsidR="00C62881" w:rsidRPr="00612061">
        <w:rPr>
          <w:lang w:eastAsia="en-AU"/>
        </w:rPr>
        <w:t xml:space="preserve">income </w:t>
      </w:r>
      <w:r w:rsidRPr="00612061">
        <w:rPr>
          <w:lang w:eastAsia="en-AU"/>
        </w:rPr>
        <w:t xml:space="preserve">year. The maximum expenditure that is eligible for </w:t>
      </w:r>
      <w:r w:rsidR="00C62881" w:rsidRPr="00612061">
        <w:rPr>
          <w:lang w:eastAsia="en-AU"/>
        </w:rPr>
        <w:t xml:space="preserve">R&amp;D </w:t>
      </w:r>
      <w:r w:rsidRPr="00612061">
        <w:rPr>
          <w:lang w:eastAsia="en-AU"/>
        </w:rPr>
        <w:t>tax credit</w:t>
      </w:r>
      <w:r w:rsidR="00C62881" w:rsidRPr="00612061">
        <w:rPr>
          <w:lang w:eastAsia="en-AU"/>
        </w:rPr>
        <w:t>s</w:t>
      </w:r>
      <w:r w:rsidRPr="00612061">
        <w:rPr>
          <w:lang w:eastAsia="en-AU"/>
        </w:rPr>
        <w:t xml:space="preserve"> is $120 million, unless a person has obtained the Commissioner’s approval to exceed the cap.</w:t>
      </w:r>
    </w:p>
    <w:p w14:paraId="60A5E257" w14:textId="77777777" w:rsidR="00F87581" w:rsidRPr="00612061" w:rsidRDefault="00F87581" w:rsidP="009C670D">
      <w:pPr>
        <w:rPr>
          <w:lang w:eastAsia="en-AU"/>
        </w:rPr>
      </w:pPr>
    </w:p>
    <w:p w14:paraId="5470E3E8" w14:textId="6C85CCCF" w:rsidR="00800C55" w:rsidRDefault="00800C55" w:rsidP="009C670D">
      <w:pPr>
        <w:rPr>
          <w:lang w:eastAsia="en-AU"/>
        </w:rPr>
      </w:pPr>
      <w:r w:rsidRPr="00612061">
        <w:rPr>
          <w:lang w:eastAsia="en-AU"/>
        </w:rPr>
        <w:t xml:space="preserve">The </w:t>
      </w:r>
      <w:r w:rsidR="00C62881" w:rsidRPr="00612061">
        <w:rPr>
          <w:lang w:eastAsia="en-AU"/>
        </w:rPr>
        <w:t xml:space="preserve">R&amp;D </w:t>
      </w:r>
      <w:r w:rsidRPr="00612061">
        <w:rPr>
          <w:lang w:eastAsia="en-AU"/>
        </w:rPr>
        <w:t>tax credit</w:t>
      </w:r>
      <w:r w:rsidR="00C62881" w:rsidRPr="00612061">
        <w:rPr>
          <w:lang w:eastAsia="en-AU"/>
        </w:rPr>
        <w:t>s</w:t>
      </w:r>
      <w:r w:rsidRPr="00612061">
        <w:rPr>
          <w:lang w:eastAsia="en-AU"/>
        </w:rPr>
        <w:t xml:space="preserve"> a person receives </w:t>
      </w:r>
      <w:r w:rsidR="00C62881" w:rsidRPr="00612061">
        <w:rPr>
          <w:lang w:eastAsia="en-AU"/>
        </w:rPr>
        <w:t xml:space="preserve">are </w:t>
      </w:r>
      <w:r w:rsidRPr="00612061">
        <w:rPr>
          <w:lang w:eastAsia="en-AU"/>
        </w:rPr>
        <w:t xml:space="preserve">equal to </w:t>
      </w:r>
      <w:r w:rsidR="004360B9">
        <w:rPr>
          <w:lang w:eastAsia="en-AU"/>
        </w:rPr>
        <w:t>15%</w:t>
      </w:r>
      <w:r w:rsidR="009C670D">
        <w:rPr>
          <w:lang w:eastAsia="en-AU"/>
        </w:rPr>
        <w:t xml:space="preserve"> of their eligible expenditure.</w:t>
      </w:r>
    </w:p>
    <w:p w14:paraId="21A63122" w14:textId="77777777" w:rsidR="009C670D" w:rsidRDefault="009C670D" w:rsidP="009C670D">
      <w:pPr>
        <w:rPr>
          <w:lang w:eastAsia="en-AU"/>
        </w:rPr>
      </w:pPr>
    </w:p>
    <w:p w14:paraId="09E4241C" w14:textId="77777777" w:rsidR="00800C55" w:rsidRPr="00800C55" w:rsidRDefault="00800C55" w:rsidP="00212E4D">
      <w:pPr>
        <w:pStyle w:val="Heading3"/>
      </w:pPr>
      <w:r w:rsidRPr="00800C55">
        <w:t>Orders in Council</w:t>
      </w:r>
    </w:p>
    <w:p w14:paraId="45C17CE6" w14:textId="77777777" w:rsidR="009C670D" w:rsidRDefault="009C670D" w:rsidP="009C670D">
      <w:pPr>
        <w:rPr>
          <w:lang w:eastAsia="en-AU"/>
        </w:rPr>
      </w:pPr>
    </w:p>
    <w:p w14:paraId="1049FE12" w14:textId="56E918A4" w:rsidR="00800C55" w:rsidRPr="00612061" w:rsidRDefault="00800C55" w:rsidP="009C670D">
      <w:pPr>
        <w:rPr>
          <w:lang w:eastAsia="en-AU"/>
        </w:rPr>
      </w:pPr>
      <w:r w:rsidRPr="00612061">
        <w:rPr>
          <w:lang w:eastAsia="en-AU"/>
        </w:rPr>
        <w:t xml:space="preserve">The Bill </w:t>
      </w:r>
      <w:r w:rsidR="00327102" w:rsidRPr="00612061">
        <w:rPr>
          <w:lang w:eastAsia="en-AU"/>
        </w:rPr>
        <w:t xml:space="preserve">adds two schedules to the ITA. The first is a </w:t>
      </w:r>
      <w:r w:rsidRPr="00612061">
        <w:rPr>
          <w:lang w:eastAsia="en-AU"/>
        </w:rPr>
        <w:t>schedule of activities that are ineligible</w:t>
      </w:r>
      <w:r w:rsidR="00327102" w:rsidRPr="00612061">
        <w:rPr>
          <w:lang w:eastAsia="en-AU"/>
        </w:rPr>
        <w:t xml:space="preserve"> for the R&amp;D tax credit regime. The second is</w:t>
      </w:r>
      <w:r w:rsidRPr="00612061">
        <w:rPr>
          <w:lang w:eastAsia="en-AU"/>
        </w:rPr>
        <w:t xml:space="preserve"> </w:t>
      </w:r>
      <w:r w:rsidR="00327102" w:rsidRPr="00612061">
        <w:rPr>
          <w:lang w:eastAsia="en-AU"/>
        </w:rPr>
        <w:t>a schedule of</w:t>
      </w:r>
      <w:r w:rsidRPr="00612061">
        <w:rPr>
          <w:lang w:eastAsia="en-AU"/>
        </w:rPr>
        <w:t xml:space="preserve"> </w:t>
      </w:r>
      <w:r w:rsidR="00327102" w:rsidRPr="00612061">
        <w:rPr>
          <w:lang w:eastAsia="en-AU"/>
        </w:rPr>
        <w:t>categories of eligible and ineligible expenditure</w:t>
      </w:r>
      <w:r w:rsidRPr="00612061">
        <w:rPr>
          <w:lang w:eastAsia="en-AU"/>
        </w:rPr>
        <w:t>.</w:t>
      </w:r>
    </w:p>
    <w:p w14:paraId="47634124" w14:textId="77777777" w:rsidR="00F87581" w:rsidRPr="00612061" w:rsidRDefault="00F87581" w:rsidP="009C670D">
      <w:pPr>
        <w:rPr>
          <w:lang w:eastAsia="en-AU"/>
        </w:rPr>
      </w:pPr>
    </w:p>
    <w:p w14:paraId="01A4BF5A" w14:textId="4A60367D" w:rsidR="00800C55" w:rsidRDefault="00327102" w:rsidP="009C670D">
      <w:pPr>
        <w:rPr>
          <w:lang w:eastAsia="en-AU"/>
        </w:rPr>
      </w:pPr>
      <w:r w:rsidRPr="00612061">
        <w:rPr>
          <w:lang w:eastAsia="en-AU"/>
        </w:rPr>
        <w:t>T</w:t>
      </w:r>
      <w:r w:rsidR="00800C55" w:rsidRPr="00612061">
        <w:rPr>
          <w:lang w:eastAsia="en-AU"/>
        </w:rPr>
        <w:t xml:space="preserve">o ensure these schedules remain current as </w:t>
      </w:r>
      <w:r w:rsidRPr="00612061">
        <w:rPr>
          <w:lang w:eastAsia="en-AU"/>
        </w:rPr>
        <w:t xml:space="preserve">the type of R&amp;D performed by businesses </w:t>
      </w:r>
      <w:r w:rsidR="00800C55" w:rsidRPr="00612061">
        <w:rPr>
          <w:lang w:eastAsia="en-AU"/>
        </w:rPr>
        <w:t xml:space="preserve">changes </w:t>
      </w:r>
      <w:r w:rsidRPr="00612061">
        <w:rPr>
          <w:lang w:eastAsia="en-AU"/>
        </w:rPr>
        <w:t xml:space="preserve">over time, </w:t>
      </w:r>
      <w:r w:rsidR="00800C55" w:rsidRPr="00612061">
        <w:rPr>
          <w:lang w:eastAsia="en-AU"/>
        </w:rPr>
        <w:t xml:space="preserve">and to close off problem areas that could impact on the fiscal sustainability of the </w:t>
      </w:r>
      <w:r w:rsidRPr="00612061">
        <w:rPr>
          <w:lang w:eastAsia="en-AU"/>
        </w:rPr>
        <w:t xml:space="preserve">R&amp;D </w:t>
      </w:r>
      <w:r w:rsidR="00800C55" w:rsidRPr="00612061">
        <w:rPr>
          <w:lang w:eastAsia="en-AU"/>
        </w:rPr>
        <w:t>tax credit</w:t>
      </w:r>
      <w:r w:rsidRPr="00612061">
        <w:rPr>
          <w:lang w:eastAsia="en-AU"/>
        </w:rPr>
        <w:t xml:space="preserve"> regime</w:t>
      </w:r>
      <w:r w:rsidR="00086534">
        <w:rPr>
          <w:lang w:eastAsia="en-AU"/>
        </w:rPr>
        <w:t>, the Bill allows the Governor-</w:t>
      </w:r>
      <w:r w:rsidR="00800C55" w:rsidRPr="00612061">
        <w:rPr>
          <w:lang w:eastAsia="en-AU"/>
        </w:rPr>
        <w:t>General, by Order in Council made on the joint recommendation of the Minister of Revenue and the Minister of Research, Science and Innovation, to amend the schedules.</w:t>
      </w:r>
    </w:p>
    <w:p w14:paraId="20AC55AE" w14:textId="77777777" w:rsidR="009C670D" w:rsidRPr="00612061" w:rsidRDefault="009C670D" w:rsidP="009C670D">
      <w:pPr>
        <w:rPr>
          <w:lang w:eastAsia="en-AU"/>
        </w:rPr>
      </w:pPr>
    </w:p>
    <w:p w14:paraId="284D85C3" w14:textId="77777777" w:rsidR="00800C55" w:rsidRPr="00800C55" w:rsidRDefault="00800C55" w:rsidP="00212E4D">
      <w:pPr>
        <w:pStyle w:val="Heading3"/>
      </w:pPr>
      <w:r w:rsidRPr="00800C55">
        <w:t>Evaluation</w:t>
      </w:r>
    </w:p>
    <w:p w14:paraId="42386FCD" w14:textId="77777777" w:rsidR="007A4CBD" w:rsidRDefault="007A4CBD" w:rsidP="007A4CBD">
      <w:pPr>
        <w:rPr>
          <w:lang w:eastAsia="en-AU"/>
        </w:rPr>
      </w:pPr>
    </w:p>
    <w:p w14:paraId="411147CF" w14:textId="5DD5F305" w:rsidR="00800C55" w:rsidRDefault="00800C55" w:rsidP="007A4CBD">
      <w:pPr>
        <w:rPr>
          <w:lang w:eastAsia="en-AU"/>
        </w:rPr>
      </w:pPr>
      <w:r w:rsidRPr="00612061">
        <w:rPr>
          <w:lang w:eastAsia="en-AU"/>
        </w:rPr>
        <w:t xml:space="preserve">The Bill requires the Minister of Research, Science and Innovation to commission a review of the </w:t>
      </w:r>
      <w:r w:rsidR="00327102" w:rsidRPr="00612061">
        <w:rPr>
          <w:lang w:eastAsia="en-AU"/>
        </w:rPr>
        <w:t xml:space="preserve">R&amp;D </w:t>
      </w:r>
      <w:r w:rsidRPr="00612061">
        <w:rPr>
          <w:lang w:eastAsia="en-AU"/>
        </w:rPr>
        <w:t xml:space="preserve">tax credit </w:t>
      </w:r>
      <w:r w:rsidR="00327102" w:rsidRPr="00612061">
        <w:rPr>
          <w:lang w:eastAsia="en-AU"/>
        </w:rPr>
        <w:t xml:space="preserve">regime </w:t>
      </w:r>
      <w:r w:rsidRPr="00612061">
        <w:rPr>
          <w:lang w:eastAsia="en-AU"/>
        </w:rPr>
        <w:t xml:space="preserve">every </w:t>
      </w:r>
      <w:r w:rsidR="00327102" w:rsidRPr="00612061">
        <w:rPr>
          <w:lang w:eastAsia="en-AU"/>
        </w:rPr>
        <w:t xml:space="preserve">five </w:t>
      </w:r>
      <w:r w:rsidRPr="00612061">
        <w:rPr>
          <w:lang w:eastAsia="en-AU"/>
        </w:rPr>
        <w:t>years to evaluate the regime in terms of the delivery of the policy intent, the compliance costs, and the administration of the regime.</w:t>
      </w:r>
    </w:p>
    <w:p w14:paraId="0A25DC66" w14:textId="77777777" w:rsidR="007A4CBD" w:rsidRDefault="007A4CBD" w:rsidP="007A4CBD">
      <w:pPr>
        <w:rPr>
          <w:lang w:eastAsia="en-AU"/>
        </w:rPr>
      </w:pPr>
    </w:p>
    <w:p w14:paraId="4EFC977E" w14:textId="71AC80DC" w:rsidR="00800C55" w:rsidRPr="00800C55" w:rsidRDefault="00800C55" w:rsidP="00212E4D">
      <w:pPr>
        <w:pStyle w:val="Heading3"/>
      </w:pPr>
      <w:r w:rsidRPr="00800C55">
        <w:t xml:space="preserve">Communication by Inland Revenue to other </w:t>
      </w:r>
      <w:r w:rsidR="00D159BF">
        <w:t>g</w:t>
      </w:r>
      <w:r w:rsidRPr="00800C55">
        <w:t>overnment departments and agencies</w:t>
      </w:r>
    </w:p>
    <w:p w14:paraId="2BD66FB3" w14:textId="77777777" w:rsidR="007A4CBD" w:rsidRDefault="007A4CBD" w:rsidP="007A4CBD">
      <w:pPr>
        <w:rPr>
          <w:lang w:eastAsia="en-AU"/>
        </w:rPr>
      </w:pPr>
    </w:p>
    <w:p w14:paraId="4B4CA346" w14:textId="77777777" w:rsidR="00800C55" w:rsidRDefault="00800C55" w:rsidP="007A4CBD">
      <w:pPr>
        <w:rPr>
          <w:lang w:eastAsia="en-AU"/>
        </w:rPr>
      </w:pPr>
      <w:r w:rsidRPr="00612061">
        <w:rPr>
          <w:lang w:eastAsia="en-AU"/>
        </w:rPr>
        <w:t xml:space="preserve">The Bill allows for Inland Revenue to communicate information to relevant people within specific state sector agencies so that they can evaluate, administer, report on, and develop policy for the </w:t>
      </w:r>
      <w:r w:rsidR="00327102" w:rsidRPr="00612061">
        <w:rPr>
          <w:lang w:eastAsia="en-AU"/>
        </w:rPr>
        <w:t xml:space="preserve">R&amp;D </w:t>
      </w:r>
      <w:r w:rsidRPr="00612061">
        <w:rPr>
          <w:lang w:eastAsia="en-AU"/>
        </w:rPr>
        <w:t>tax credit</w:t>
      </w:r>
      <w:r w:rsidR="00327102" w:rsidRPr="00612061">
        <w:rPr>
          <w:lang w:eastAsia="en-AU"/>
        </w:rPr>
        <w:t xml:space="preserve"> regime</w:t>
      </w:r>
      <w:r w:rsidRPr="00612061">
        <w:rPr>
          <w:lang w:eastAsia="en-AU"/>
        </w:rPr>
        <w:t>.</w:t>
      </w:r>
    </w:p>
    <w:p w14:paraId="65C39819" w14:textId="77777777" w:rsidR="007A4CBD" w:rsidRPr="00612061" w:rsidRDefault="007A4CBD" w:rsidP="007A4CBD">
      <w:pPr>
        <w:rPr>
          <w:lang w:eastAsia="en-AU"/>
        </w:rPr>
      </w:pPr>
    </w:p>
    <w:p w14:paraId="5620A0DA" w14:textId="77777777" w:rsidR="00800C55" w:rsidRPr="00800C55" w:rsidRDefault="00800C55" w:rsidP="00212E4D">
      <w:pPr>
        <w:pStyle w:val="Heading3"/>
      </w:pPr>
      <w:r w:rsidRPr="00800C55">
        <w:t>In-year approval</w:t>
      </w:r>
    </w:p>
    <w:p w14:paraId="1BAEE634" w14:textId="77777777" w:rsidR="007A4CBD" w:rsidRDefault="007A4CBD" w:rsidP="007A4CBD">
      <w:pPr>
        <w:rPr>
          <w:lang w:eastAsia="en-AU"/>
        </w:rPr>
      </w:pPr>
    </w:p>
    <w:p w14:paraId="3CC79EAA" w14:textId="1A19B671" w:rsidR="00800C55" w:rsidRPr="00612061" w:rsidRDefault="00800C55" w:rsidP="007A4CBD">
      <w:pPr>
        <w:rPr>
          <w:lang w:eastAsia="en-AU"/>
        </w:rPr>
      </w:pPr>
      <w:r w:rsidRPr="00612061">
        <w:rPr>
          <w:lang w:eastAsia="en-AU"/>
        </w:rPr>
        <w:t xml:space="preserve">Starting from </w:t>
      </w:r>
      <w:r w:rsidR="00CD5202" w:rsidRPr="00612061">
        <w:rPr>
          <w:lang w:eastAsia="en-AU"/>
        </w:rPr>
        <w:t xml:space="preserve">the </w:t>
      </w:r>
      <w:r w:rsidR="00E010FC">
        <w:rPr>
          <w:lang w:eastAsia="en-AU"/>
        </w:rPr>
        <w:t>2020–21</w:t>
      </w:r>
      <w:r w:rsidR="00CD5202" w:rsidRPr="00612061">
        <w:rPr>
          <w:lang w:eastAsia="en-AU"/>
        </w:rPr>
        <w:t xml:space="preserve"> income year</w:t>
      </w:r>
      <w:r w:rsidRPr="00612061">
        <w:rPr>
          <w:lang w:eastAsia="en-AU"/>
        </w:rPr>
        <w:t xml:space="preserve">, persons wanting to receive a tax credit will be required to seek approval that their </w:t>
      </w:r>
      <w:r w:rsidR="00327102" w:rsidRPr="00612061">
        <w:rPr>
          <w:lang w:eastAsia="en-AU"/>
        </w:rPr>
        <w:t xml:space="preserve">R&amp;D </w:t>
      </w:r>
      <w:r w:rsidRPr="00612061">
        <w:rPr>
          <w:lang w:eastAsia="en-AU"/>
        </w:rPr>
        <w:t xml:space="preserve">activities meet </w:t>
      </w:r>
      <w:r w:rsidR="00327102" w:rsidRPr="00612061">
        <w:rPr>
          <w:lang w:eastAsia="en-AU"/>
        </w:rPr>
        <w:t xml:space="preserve">certain </w:t>
      </w:r>
      <w:r w:rsidRPr="00612061">
        <w:rPr>
          <w:lang w:eastAsia="en-AU"/>
        </w:rPr>
        <w:t xml:space="preserve">criteria in the year they are undertaking or contracting for </w:t>
      </w:r>
      <w:r w:rsidR="00327102" w:rsidRPr="00612061">
        <w:rPr>
          <w:lang w:eastAsia="en-AU"/>
        </w:rPr>
        <w:t xml:space="preserve">the R&amp;D </w:t>
      </w:r>
      <w:r w:rsidRPr="00612061">
        <w:rPr>
          <w:lang w:eastAsia="en-AU"/>
        </w:rPr>
        <w:t>activities. If granted, this approval will be binding on the Commissioner.</w:t>
      </w:r>
    </w:p>
    <w:p w14:paraId="511EC6EF" w14:textId="77777777" w:rsidR="00441027" w:rsidRPr="00612061" w:rsidRDefault="00441027" w:rsidP="007A4CBD">
      <w:pPr>
        <w:rPr>
          <w:lang w:eastAsia="en-AU"/>
        </w:rPr>
      </w:pPr>
    </w:p>
    <w:p w14:paraId="24C29D3C" w14:textId="4FD579B7" w:rsidR="00800C55" w:rsidRPr="00612061" w:rsidRDefault="00800C55" w:rsidP="007A4CBD">
      <w:pPr>
        <w:rPr>
          <w:lang w:eastAsia="en-AU"/>
        </w:rPr>
      </w:pPr>
      <w:r w:rsidRPr="00612061">
        <w:rPr>
          <w:lang w:eastAsia="en-AU"/>
        </w:rPr>
        <w:t xml:space="preserve">A person who expects to spend more than $2 million on </w:t>
      </w:r>
      <w:r w:rsidR="00327102" w:rsidRPr="00612061">
        <w:rPr>
          <w:lang w:eastAsia="en-AU"/>
        </w:rPr>
        <w:t>R&amp;D activities</w:t>
      </w:r>
      <w:r w:rsidRPr="00612061">
        <w:rPr>
          <w:lang w:eastAsia="en-AU"/>
        </w:rPr>
        <w:t xml:space="preserve">, or is part of a group of companies that expects to spend more than $2 million on </w:t>
      </w:r>
      <w:r w:rsidR="00327102" w:rsidRPr="00612061">
        <w:rPr>
          <w:lang w:eastAsia="en-AU"/>
        </w:rPr>
        <w:t xml:space="preserve">R&amp;D activities </w:t>
      </w:r>
      <w:r w:rsidRPr="00612061">
        <w:rPr>
          <w:lang w:eastAsia="en-AU"/>
        </w:rPr>
        <w:t>in a given year, can opt out of the general approval process.</w:t>
      </w:r>
    </w:p>
    <w:p w14:paraId="4BAB2EBB" w14:textId="77777777" w:rsidR="00F87581" w:rsidRPr="00612061" w:rsidRDefault="00F87581" w:rsidP="007A4CBD">
      <w:pPr>
        <w:rPr>
          <w:lang w:eastAsia="en-AU"/>
        </w:rPr>
      </w:pPr>
    </w:p>
    <w:p w14:paraId="5916DB8A" w14:textId="74864B1E" w:rsidR="00800C55" w:rsidRDefault="00800C55" w:rsidP="007A4CBD">
      <w:pPr>
        <w:rPr>
          <w:lang w:eastAsia="en-AU"/>
        </w:rPr>
      </w:pPr>
      <w:r w:rsidRPr="00612061">
        <w:rPr>
          <w:lang w:eastAsia="en-AU"/>
        </w:rPr>
        <w:t>A person who opts out of the general approval process must notify the Commissioner of their intention to opt out,</w:t>
      </w:r>
      <w:r w:rsidR="00F87581" w:rsidRPr="00612061">
        <w:rPr>
          <w:lang w:eastAsia="en-AU"/>
        </w:rPr>
        <w:t xml:space="preserve"> </w:t>
      </w:r>
      <w:r w:rsidRPr="00612061">
        <w:rPr>
          <w:lang w:eastAsia="en-AU"/>
        </w:rPr>
        <w:t>and is required to submit a</w:t>
      </w:r>
      <w:r w:rsidR="00CC27F5" w:rsidRPr="00612061">
        <w:rPr>
          <w:lang w:eastAsia="en-AU"/>
        </w:rPr>
        <w:t>n</w:t>
      </w:r>
      <w:r w:rsidRPr="00612061">
        <w:rPr>
          <w:lang w:eastAsia="en-AU"/>
        </w:rPr>
        <w:t xml:space="preserve"> R&amp;D certificate alongside </w:t>
      </w:r>
      <w:r w:rsidR="007A4CBD">
        <w:rPr>
          <w:lang w:eastAsia="en-AU"/>
        </w:rPr>
        <w:t>their R&amp;D supplementary return.</w:t>
      </w:r>
    </w:p>
    <w:p w14:paraId="5EFCA9CB" w14:textId="77777777" w:rsidR="007A4CBD" w:rsidRDefault="007A4CBD" w:rsidP="007A4CBD">
      <w:pPr>
        <w:rPr>
          <w:lang w:eastAsia="en-AU"/>
        </w:rPr>
      </w:pPr>
    </w:p>
    <w:p w14:paraId="5CF127AE" w14:textId="77777777" w:rsidR="00800C55" w:rsidRPr="00800C55" w:rsidRDefault="00800C55" w:rsidP="00212E4D">
      <w:pPr>
        <w:pStyle w:val="Heading3"/>
      </w:pPr>
      <w:r w:rsidRPr="00800C55">
        <w:t>Refunding</w:t>
      </w:r>
      <w:r w:rsidR="00327102">
        <w:t xml:space="preserve"> R&amp;D</w:t>
      </w:r>
      <w:r w:rsidRPr="00800C55">
        <w:t xml:space="preserve"> tax credits</w:t>
      </w:r>
    </w:p>
    <w:p w14:paraId="1D7AE8EC" w14:textId="77777777" w:rsidR="007A4CBD" w:rsidRDefault="007A4CBD" w:rsidP="007A4CBD">
      <w:pPr>
        <w:rPr>
          <w:lang w:eastAsia="en-AU"/>
        </w:rPr>
      </w:pPr>
    </w:p>
    <w:p w14:paraId="2A8C234A" w14:textId="77777777" w:rsidR="00800C55" w:rsidRPr="00612061" w:rsidRDefault="00800C55" w:rsidP="007A4CBD">
      <w:pPr>
        <w:rPr>
          <w:lang w:eastAsia="en-AU"/>
        </w:rPr>
      </w:pPr>
      <w:r w:rsidRPr="00612061">
        <w:rPr>
          <w:lang w:eastAsia="en-AU"/>
        </w:rPr>
        <w:t>When a person</w:t>
      </w:r>
      <w:r w:rsidR="00327102" w:rsidRPr="00612061">
        <w:rPr>
          <w:lang w:eastAsia="en-AU"/>
        </w:rPr>
        <w:t xml:space="preserve"> has more R&amp;D </w:t>
      </w:r>
      <w:r w:rsidRPr="00612061">
        <w:rPr>
          <w:lang w:eastAsia="en-AU"/>
        </w:rPr>
        <w:t>tax credits than their income tax liability, the</w:t>
      </w:r>
      <w:r w:rsidR="00327102" w:rsidRPr="00612061">
        <w:rPr>
          <w:lang w:eastAsia="en-AU"/>
        </w:rPr>
        <w:t>ir R&amp;D</w:t>
      </w:r>
      <w:r w:rsidRPr="00612061">
        <w:rPr>
          <w:lang w:eastAsia="en-AU"/>
        </w:rPr>
        <w:t xml:space="preserve"> tax credits are refunded up to a maximum of $255,000, provided the person meets certain criteria. </w:t>
      </w:r>
      <w:r w:rsidR="00327102" w:rsidRPr="00612061">
        <w:rPr>
          <w:lang w:eastAsia="en-AU"/>
        </w:rPr>
        <w:t xml:space="preserve">R&amp;D tax </w:t>
      </w:r>
      <w:r w:rsidRPr="00612061">
        <w:rPr>
          <w:lang w:eastAsia="en-AU"/>
        </w:rPr>
        <w:t xml:space="preserve">credits that are not refunded are carried forward, subject to the same continuity rules as apply to losses in the </w:t>
      </w:r>
      <w:r w:rsidR="00327102" w:rsidRPr="00612061">
        <w:rPr>
          <w:lang w:eastAsia="en-AU"/>
        </w:rPr>
        <w:t>ITA</w:t>
      </w:r>
      <w:r w:rsidRPr="00612061">
        <w:rPr>
          <w:lang w:eastAsia="en-AU"/>
        </w:rPr>
        <w:t>.</w:t>
      </w:r>
    </w:p>
    <w:p w14:paraId="5D32A8FF" w14:textId="77777777" w:rsidR="00441027" w:rsidRPr="00612061" w:rsidRDefault="00441027" w:rsidP="007A4CBD">
      <w:pPr>
        <w:rPr>
          <w:lang w:eastAsia="en-AU"/>
        </w:rPr>
      </w:pPr>
    </w:p>
    <w:p w14:paraId="7D10DF8C" w14:textId="0E8E2539" w:rsidR="00D409AC" w:rsidRPr="00612061" w:rsidRDefault="00532482" w:rsidP="007A4CBD">
      <w:pPr>
        <w:rPr>
          <w:lang w:eastAsia="en-AU"/>
        </w:rPr>
      </w:pPr>
      <w:r w:rsidRPr="00612061">
        <w:rPr>
          <w:lang w:eastAsia="en-AU"/>
        </w:rPr>
        <w:t>The criteria that define eligibility for refunds have been taken from the R&amp;D tax loss cash out regime (in subpart MX of the Income Tax Act 2007). Apart from this linkage, in the first year the R&amp;D tax credit regime and this scheme will operate separately. The Government is committed to further work examining the policy on refunds and harmonisation of the two regimes, with potential changes effective from 1 April 2020.</w:t>
      </w:r>
    </w:p>
    <w:p w14:paraId="7B21DA44" w14:textId="77777777" w:rsidR="00800C55" w:rsidRPr="00612061" w:rsidRDefault="00800C55" w:rsidP="007A4CBD">
      <w:pPr>
        <w:rPr>
          <w:lang w:eastAsia="en-AU"/>
        </w:rPr>
      </w:pPr>
    </w:p>
    <w:p w14:paraId="5CBF5DCF" w14:textId="336B76DE" w:rsidR="00212E4D" w:rsidRDefault="00800C55">
      <w:pPr>
        <w:spacing w:after="200" w:line="276" w:lineRule="auto"/>
        <w:jc w:val="left"/>
      </w:pPr>
      <w:r>
        <w:br w:type="page"/>
      </w:r>
    </w:p>
    <w:p w14:paraId="47C161EF" w14:textId="77777777" w:rsidR="00212E4D" w:rsidRPr="00CE2585" w:rsidRDefault="00212E4D" w:rsidP="00212E4D">
      <w:pPr>
        <w:rPr>
          <w:lang w:eastAsia="en-AU"/>
        </w:rPr>
      </w:pPr>
    </w:p>
    <w:p w14:paraId="60D6F5C0" w14:textId="77777777" w:rsidR="00212E4D" w:rsidRPr="00CE2585" w:rsidRDefault="00212E4D" w:rsidP="00212E4D">
      <w:pPr>
        <w:rPr>
          <w:rFonts w:eastAsia="Times New Roman" w:cs="Times New Roman"/>
          <w:szCs w:val="20"/>
          <w:lang w:eastAsia="en-AU"/>
        </w:rPr>
      </w:pPr>
    </w:p>
    <w:p w14:paraId="319E9E1E" w14:textId="77777777" w:rsidR="00212E4D" w:rsidRPr="00CE2585" w:rsidRDefault="00212E4D" w:rsidP="00212E4D">
      <w:pPr>
        <w:rPr>
          <w:rFonts w:eastAsia="Times New Roman" w:cs="Times New Roman"/>
          <w:szCs w:val="20"/>
          <w:lang w:eastAsia="en-AU"/>
        </w:rPr>
      </w:pPr>
    </w:p>
    <w:p w14:paraId="2D24B6CC" w14:textId="77777777" w:rsidR="00212E4D" w:rsidRPr="00CE2585" w:rsidRDefault="00212E4D" w:rsidP="00212E4D">
      <w:pPr>
        <w:rPr>
          <w:rFonts w:eastAsia="Times New Roman" w:cs="Times New Roman"/>
          <w:szCs w:val="20"/>
          <w:lang w:eastAsia="en-AU"/>
        </w:rPr>
      </w:pPr>
    </w:p>
    <w:p w14:paraId="7485780A" w14:textId="77777777" w:rsidR="00212E4D" w:rsidRPr="00CE2585" w:rsidRDefault="00212E4D" w:rsidP="00212E4D">
      <w:pPr>
        <w:rPr>
          <w:rFonts w:eastAsia="Times New Roman" w:cs="Times New Roman"/>
          <w:szCs w:val="20"/>
          <w:lang w:eastAsia="en-AU"/>
        </w:rPr>
      </w:pPr>
    </w:p>
    <w:p w14:paraId="3F5AFFDC" w14:textId="77777777" w:rsidR="00212E4D" w:rsidRPr="00CE2585" w:rsidRDefault="00212E4D" w:rsidP="00212E4D">
      <w:pPr>
        <w:rPr>
          <w:rFonts w:eastAsia="Times New Roman" w:cs="Times New Roman"/>
          <w:szCs w:val="20"/>
          <w:lang w:eastAsia="en-AU"/>
        </w:rPr>
      </w:pPr>
    </w:p>
    <w:p w14:paraId="211667E0" w14:textId="77777777" w:rsidR="00212E4D" w:rsidRDefault="00212E4D" w:rsidP="00212E4D">
      <w:pPr>
        <w:rPr>
          <w:rFonts w:eastAsia="Times New Roman" w:cs="Times New Roman"/>
          <w:szCs w:val="20"/>
          <w:lang w:eastAsia="en-AU"/>
        </w:rPr>
      </w:pPr>
    </w:p>
    <w:p w14:paraId="739BC4C1" w14:textId="77777777" w:rsidR="00212E4D" w:rsidRDefault="00212E4D" w:rsidP="00212E4D">
      <w:pPr>
        <w:rPr>
          <w:rFonts w:eastAsia="Times New Roman" w:cs="Times New Roman"/>
          <w:szCs w:val="20"/>
          <w:lang w:eastAsia="en-AU"/>
        </w:rPr>
      </w:pPr>
    </w:p>
    <w:p w14:paraId="39D80BC9" w14:textId="77777777" w:rsidR="00212E4D" w:rsidRPr="00CE2585" w:rsidRDefault="00212E4D" w:rsidP="00212E4D">
      <w:pPr>
        <w:rPr>
          <w:rFonts w:eastAsia="Times New Roman" w:cs="Times New Roman"/>
          <w:szCs w:val="20"/>
          <w:lang w:eastAsia="en-AU"/>
        </w:rPr>
      </w:pPr>
    </w:p>
    <w:p w14:paraId="3048F89C" w14:textId="77777777" w:rsidR="00212E4D" w:rsidRDefault="00212E4D" w:rsidP="00212E4D">
      <w:pPr>
        <w:rPr>
          <w:rFonts w:eastAsia="Times New Roman" w:cs="Times New Roman"/>
          <w:szCs w:val="20"/>
          <w:lang w:eastAsia="en-AU"/>
        </w:rPr>
      </w:pPr>
    </w:p>
    <w:p w14:paraId="6E9A3558" w14:textId="77777777" w:rsidR="00453540" w:rsidRPr="00CE2585" w:rsidRDefault="00453540" w:rsidP="00212E4D">
      <w:pPr>
        <w:rPr>
          <w:rFonts w:eastAsia="Times New Roman" w:cs="Times New Roman"/>
          <w:szCs w:val="20"/>
          <w:lang w:eastAsia="en-AU"/>
        </w:rPr>
      </w:pPr>
    </w:p>
    <w:p w14:paraId="7A76434C" w14:textId="77777777" w:rsidR="00212E4D" w:rsidRPr="00CE2585" w:rsidRDefault="00212E4D" w:rsidP="00212E4D">
      <w:pPr>
        <w:rPr>
          <w:rFonts w:eastAsia="Times New Roman" w:cs="Times New Roman"/>
          <w:szCs w:val="20"/>
          <w:lang w:eastAsia="en-AU"/>
        </w:rPr>
      </w:pPr>
    </w:p>
    <w:p w14:paraId="2600B784" w14:textId="77777777" w:rsidR="00212E4D" w:rsidRPr="00800C55" w:rsidRDefault="00212E4D" w:rsidP="00212E4D">
      <w:pPr>
        <w:pStyle w:val="Sectionheading"/>
      </w:pPr>
      <w:bookmarkStart w:id="15" w:name="_Toc528195572"/>
      <w:r w:rsidRPr="00800C55">
        <w:t>Eligibility</w:t>
      </w:r>
      <w:bookmarkEnd w:id="15"/>
    </w:p>
    <w:p w14:paraId="048D1501" w14:textId="77777777" w:rsidR="00212E4D" w:rsidRDefault="00212E4D" w:rsidP="00212E4D">
      <w:pPr>
        <w:spacing w:after="200" w:line="276" w:lineRule="auto"/>
        <w:jc w:val="left"/>
        <w:rPr>
          <w:rFonts w:cs="Times New Roman"/>
          <w:szCs w:val="24"/>
          <w:lang w:eastAsia="en-AU"/>
        </w:rPr>
      </w:pPr>
      <w:r>
        <w:rPr>
          <w:rFonts w:cs="Times New Roman"/>
          <w:szCs w:val="24"/>
          <w:lang w:eastAsia="en-AU"/>
        </w:rPr>
        <w:br w:type="page"/>
      </w:r>
      <w:r>
        <w:rPr>
          <w:rFonts w:cs="Times New Roman"/>
          <w:szCs w:val="24"/>
          <w:lang w:eastAsia="en-AU"/>
        </w:rPr>
        <w:br w:type="page"/>
      </w:r>
    </w:p>
    <w:p w14:paraId="347EB8D3" w14:textId="77777777" w:rsidR="000B36E9" w:rsidRPr="007923F2" w:rsidRDefault="000B36E9" w:rsidP="00EA5AF3">
      <w:pPr>
        <w:pStyle w:val="Heading1"/>
      </w:pPr>
      <w:bookmarkStart w:id="16" w:name="_Toc528157356"/>
      <w:bookmarkStart w:id="17" w:name="_Toc528195573"/>
      <w:r w:rsidRPr="007923F2">
        <w:t>Eligibl</w:t>
      </w:r>
      <w:r>
        <w:t>e</w:t>
      </w:r>
      <w:r w:rsidRPr="007923F2">
        <w:t xml:space="preserve"> </w:t>
      </w:r>
      <w:r>
        <w:t>p</w:t>
      </w:r>
      <w:r w:rsidRPr="007923F2">
        <w:t>ersons</w:t>
      </w:r>
      <w:bookmarkEnd w:id="16"/>
      <w:bookmarkEnd w:id="17"/>
    </w:p>
    <w:p w14:paraId="7C853C55" w14:textId="3CAA389A" w:rsidR="000B36E9" w:rsidRDefault="000B36E9" w:rsidP="00EA5AF3">
      <w:pPr>
        <w:pStyle w:val="Heading3"/>
      </w:pPr>
      <w:r w:rsidRPr="007923F2">
        <w:t>Clause 10 (proposed new section LY 3)</w:t>
      </w:r>
    </w:p>
    <w:p w14:paraId="335A0268" w14:textId="77777777" w:rsidR="007A4CBD" w:rsidRDefault="007A4CBD" w:rsidP="00EA5AF3">
      <w:pPr>
        <w:rPr>
          <w:lang w:val="en-GB" w:eastAsia="en-AU"/>
        </w:rPr>
      </w:pPr>
    </w:p>
    <w:p w14:paraId="1F1B22BB" w14:textId="77777777" w:rsidR="007A4CBD" w:rsidRPr="007A4CBD" w:rsidRDefault="007A4CBD" w:rsidP="00EA5AF3">
      <w:pPr>
        <w:rPr>
          <w:lang w:val="en-GB" w:eastAsia="en-AU"/>
        </w:rPr>
      </w:pPr>
    </w:p>
    <w:p w14:paraId="1E68863C" w14:textId="35146815" w:rsidR="000B36E9" w:rsidRPr="007923F2" w:rsidRDefault="000B36E9" w:rsidP="00EA5AF3">
      <w:pPr>
        <w:pStyle w:val="Heading2"/>
      </w:pPr>
      <w:r w:rsidRPr="007923F2">
        <w:t>Summary of proposed amendment</w:t>
      </w:r>
    </w:p>
    <w:p w14:paraId="6F101654" w14:textId="77777777" w:rsidR="007A4CBD" w:rsidRDefault="007A4CBD" w:rsidP="00EA5AF3">
      <w:pPr>
        <w:rPr>
          <w:lang w:eastAsia="en-AU"/>
        </w:rPr>
      </w:pPr>
    </w:p>
    <w:p w14:paraId="2AF2814B" w14:textId="6AE9BB67" w:rsidR="000B36E9" w:rsidRDefault="000B36E9" w:rsidP="00EA5AF3">
      <w:pPr>
        <w:rPr>
          <w:lang w:eastAsia="en-AU"/>
        </w:rPr>
      </w:pPr>
      <w:r w:rsidRPr="007923F2">
        <w:rPr>
          <w:lang w:eastAsia="en-AU"/>
        </w:rPr>
        <w:t xml:space="preserve">The </w:t>
      </w:r>
      <w:r w:rsidR="00327102">
        <w:rPr>
          <w:lang w:eastAsia="en-AU"/>
        </w:rPr>
        <w:t>B</w:t>
      </w:r>
      <w:r w:rsidR="00327102" w:rsidRPr="007923F2">
        <w:rPr>
          <w:lang w:eastAsia="en-AU"/>
        </w:rPr>
        <w:t xml:space="preserve">ill </w:t>
      </w:r>
      <w:r w:rsidRPr="007923F2">
        <w:rPr>
          <w:lang w:eastAsia="en-AU"/>
        </w:rPr>
        <w:t xml:space="preserve">proposes that </w:t>
      </w:r>
      <w:r w:rsidR="00DD30A7">
        <w:rPr>
          <w:lang w:eastAsia="en-AU"/>
        </w:rPr>
        <w:t xml:space="preserve">people </w:t>
      </w:r>
      <w:r w:rsidR="00327102">
        <w:rPr>
          <w:lang w:eastAsia="en-AU"/>
        </w:rPr>
        <w:t xml:space="preserve">must </w:t>
      </w:r>
      <w:r w:rsidRPr="007923F2">
        <w:rPr>
          <w:lang w:eastAsia="en-AU"/>
        </w:rPr>
        <w:t xml:space="preserve">satisfy certain general criteria to be eligible for R&amp;D tax credits. </w:t>
      </w:r>
      <w:r w:rsidR="00327102">
        <w:rPr>
          <w:lang w:eastAsia="en-AU"/>
        </w:rPr>
        <w:t>C</w:t>
      </w:r>
      <w:r w:rsidRPr="007923F2">
        <w:rPr>
          <w:lang w:eastAsia="en-AU"/>
        </w:rPr>
        <w:t>ertain persons are excluded from the R&amp;D tax credit regime.</w:t>
      </w:r>
    </w:p>
    <w:p w14:paraId="57358FC6" w14:textId="77777777" w:rsidR="007A4CBD" w:rsidRDefault="007A4CBD" w:rsidP="00EA5AF3">
      <w:pPr>
        <w:rPr>
          <w:lang w:eastAsia="en-AU"/>
        </w:rPr>
      </w:pPr>
    </w:p>
    <w:p w14:paraId="3CD97120" w14:textId="77777777" w:rsidR="007A4CBD" w:rsidRPr="007923F2" w:rsidRDefault="007A4CBD" w:rsidP="00EA5AF3">
      <w:pPr>
        <w:rPr>
          <w:lang w:eastAsia="en-AU"/>
        </w:rPr>
      </w:pPr>
    </w:p>
    <w:p w14:paraId="3456D763" w14:textId="77777777" w:rsidR="000B36E9" w:rsidRPr="007923F2" w:rsidRDefault="000B36E9" w:rsidP="00EA5AF3">
      <w:pPr>
        <w:pStyle w:val="Heading2"/>
      </w:pPr>
      <w:r w:rsidRPr="007923F2">
        <w:t>Application date</w:t>
      </w:r>
    </w:p>
    <w:p w14:paraId="7CD5BC6D" w14:textId="77777777" w:rsidR="007A4CBD" w:rsidRDefault="007A4CBD" w:rsidP="00EA5AF3">
      <w:pPr>
        <w:rPr>
          <w:lang w:eastAsia="en-AU"/>
        </w:rPr>
      </w:pPr>
    </w:p>
    <w:p w14:paraId="0291D333" w14:textId="1D31CC59" w:rsidR="000B36E9" w:rsidRDefault="000B36E9" w:rsidP="00EA5AF3">
      <w:pPr>
        <w:rPr>
          <w:lang w:eastAsia="en-AU"/>
        </w:rPr>
      </w:pPr>
      <w:r w:rsidRPr="007923F2">
        <w:rPr>
          <w:lang w:eastAsia="en-AU"/>
        </w:rPr>
        <w:t xml:space="preserve">From the </w:t>
      </w:r>
      <w:r w:rsidR="00E010FC">
        <w:rPr>
          <w:lang w:eastAsia="en-AU"/>
        </w:rPr>
        <w:t>2019–20</w:t>
      </w:r>
      <w:r w:rsidRPr="007923F2">
        <w:rPr>
          <w:lang w:eastAsia="en-AU"/>
        </w:rPr>
        <w:t xml:space="preserve"> income year.</w:t>
      </w:r>
    </w:p>
    <w:p w14:paraId="2EAA9FB4" w14:textId="77777777" w:rsidR="007A4CBD" w:rsidRDefault="007A4CBD" w:rsidP="00EA5AF3">
      <w:pPr>
        <w:rPr>
          <w:lang w:eastAsia="en-AU"/>
        </w:rPr>
      </w:pPr>
    </w:p>
    <w:p w14:paraId="62BD8AD7" w14:textId="77777777" w:rsidR="007A4CBD" w:rsidRPr="007923F2" w:rsidRDefault="007A4CBD" w:rsidP="00EA5AF3">
      <w:pPr>
        <w:rPr>
          <w:lang w:eastAsia="en-AU"/>
        </w:rPr>
      </w:pPr>
    </w:p>
    <w:p w14:paraId="2F600406" w14:textId="77777777" w:rsidR="000B36E9" w:rsidRPr="007923F2" w:rsidRDefault="000B36E9" w:rsidP="00EA5AF3">
      <w:pPr>
        <w:pStyle w:val="Heading2"/>
      </w:pPr>
      <w:r w:rsidRPr="007923F2">
        <w:t>Key features</w:t>
      </w:r>
    </w:p>
    <w:p w14:paraId="71A5AF7D" w14:textId="77777777" w:rsidR="00EA5AF3" w:rsidRDefault="00EA5AF3" w:rsidP="00EA5AF3"/>
    <w:p w14:paraId="11873260" w14:textId="77777777" w:rsidR="000B36E9" w:rsidRPr="007923F2" w:rsidRDefault="000B36E9" w:rsidP="00EA5AF3">
      <w:pPr>
        <w:pStyle w:val="Heading3"/>
      </w:pPr>
      <w:r w:rsidRPr="007923F2">
        <w:t>General eligibility criteria</w:t>
      </w:r>
    </w:p>
    <w:p w14:paraId="0AA44F57" w14:textId="77777777" w:rsidR="000B36E9" w:rsidRPr="007923F2" w:rsidRDefault="000B36E9" w:rsidP="00EA5AF3">
      <w:pPr>
        <w:rPr>
          <w:lang w:eastAsia="en-AU"/>
        </w:rPr>
      </w:pPr>
    </w:p>
    <w:p w14:paraId="5C847480" w14:textId="2FE529C6" w:rsidR="000B36E9" w:rsidRPr="007923F2" w:rsidRDefault="000B36E9" w:rsidP="00EA5AF3">
      <w:pPr>
        <w:rPr>
          <w:lang w:eastAsia="en-AU"/>
        </w:rPr>
      </w:pPr>
      <w:r w:rsidRPr="007923F2">
        <w:rPr>
          <w:lang w:eastAsia="en-AU"/>
        </w:rPr>
        <w:t xml:space="preserve">Proposed new section LY 3 provides the general criteria that a </w:t>
      </w:r>
      <w:r w:rsidR="00134503">
        <w:rPr>
          <w:lang w:eastAsia="en-AU"/>
        </w:rPr>
        <w:t>person</w:t>
      </w:r>
      <w:r w:rsidR="00134503" w:rsidRPr="007923F2">
        <w:rPr>
          <w:lang w:eastAsia="en-AU"/>
        </w:rPr>
        <w:t xml:space="preserve"> </w:t>
      </w:r>
      <w:r w:rsidRPr="007923F2">
        <w:rPr>
          <w:lang w:eastAsia="en-AU"/>
        </w:rPr>
        <w:t xml:space="preserve">must satisfy to be eligible for R&amp;D tax credits. These criteria are in addition to the requirements that a </w:t>
      </w:r>
      <w:r w:rsidR="00134503">
        <w:rPr>
          <w:lang w:eastAsia="en-AU"/>
        </w:rPr>
        <w:t>person</w:t>
      </w:r>
      <w:r w:rsidR="00134503" w:rsidRPr="007923F2">
        <w:rPr>
          <w:lang w:eastAsia="en-AU"/>
        </w:rPr>
        <w:t xml:space="preserve">’s </w:t>
      </w:r>
      <w:r w:rsidRPr="007923F2">
        <w:rPr>
          <w:lang w:eastAsia="en-AU"/>
        </w:rPr>
        <w:t xml:space="preserve">activities must be R&amp;D activities (see </w:t>
      </w:r>
      <w:r w:rsidR="00327102">
        <w:rPr>
          <w:lang w:eastAsia="en-AU"/>
        </w:rPr>
        <w:t xml:space="preserve">proposed new </w:t>
      </w:r>
      <w:r w:rsidRPr="007923F2">
        <w:rPr>
          <w:lang w:eastAsia="en-AU"/>
        </w:rPr>
        <w:t>section LY 2) and their expenditure must be eligible (see</w:t>
      </w:r>
      <w:r w:rsidR="00327102">
        <w:rPr>
          <w:lang w:eastAsia="en-AU"/>
        </w:rPr>
        <w:t xml:space="preserve"> proposed new</w:t>
      </w:r>
      <w:r w:rsidR="00EA5AF3">
        <w:rPr>
          <w:lang w:eastAsia="en-AU"/>
        </w:rPr>
        <w:t xml:space="preserve"> sections LY 4, 5, 6, and 7).</w:t>
      </w:r>
    </w:p>
    <w:p w14:paraId="60763FAB" w14:textId="77777777" w:rsidR="000B36E9" w:rsidRPr="007923F2" w:rsidRDefault="000B36E9" w:rsidP="00EA5AF3">
      <w:pPr>
        <w:rPr>
          <w:lang w:eastAsia="en-AU"/>
        </w:rPr>
      </w:pPr>
    </w:p>
    <w:p w14:paraId="337575EA" w14:textId="77777777" w:rsidR="000B36E9" w:rsidRPr="007923F2" w:rsidRDefault="000B36E9" w:rsidP="00EA5AF3">
      <w:pPr>
        <w:rPr>
          <w:lang w:eastAsia="en-AU"/>
        </w:rPr>
      </w:pPr>
      <w:r w:rsidRPr="007923F2">
        <w:rPr>
          <w:lang w:eastAsia="en-AU"/>
        </w:rPr>
        <w:t xml:space="preserve">The general criteria in section LY 3(1) require a </w:t>
      </w:r>
      <w:r w:rsidR="00134503">
        <w:rPr>
          <w:lang w:eastAsia="en-AU"/>
        </w:rPr>
        <w:t>person</w:t>
      </w:r>
      <w:r w:rsidR="00134503" w:rsidRPr="007923F2">
        <w:rPr>
          <w:lang w:eastAsia="en-AU"/>
        </w:rPr>
        <w:t xml:space="preserve"> </w:t>
      </w:r>
      <w:r w:rsidRPr="007923F2">
        <w:rPr>
          <w:lang w:eastAsia="en-AU"/>
        </w:rPr>
        <w:t>to:</w:t>
      </w:r>
    </w:p>
    <w:p w14:paraId="3C394FF9" w14:textId="77777777" w:rsidR="000B36E9" w:rsidRPr="007923F2" w:rsidRDefault="000B36E9" w:rsidP="00EA5AF3">
      <w:pPr>
        <w:rPr>
          <w:lang w:eastAsia="en-AU"/>
        </w:rPr>
      </w:pPr>
    </w:p>
    <w:p w14:paraId="7DBDE59C" w14:textId="0EB229D2" w:rsidR="000B36E9" w:rsidRPr="007923F2" w:rsidRDefault="00744C82" w:rsidP="00EA5AF3">
      <w:pPr>
        <w:pStyle w:val="dotpoint"/>
      </w:pPr>
      <w:r>
        <w:t>p</w:t>
      </w:r>
      <w:r w:rsidR="00134503" w:rsidRPr="007923F2">
        <w:t xml:space="preserve">erform </w:t>
      </w:r>
      <w:r w:rsidR="000B36E9" w:rsidRPr="007923F2">
        <w:t>a core activity in New Zealand, either themselves or through an R&amp;D contractor;</w:t>
      </w:r>
    </w:p>
    <w:p w14:paraId="791E8FEC" w14:textId="333A6FCE" w:rsidR="000B36E9" w:rsidRPr="007923F2" w:rsidRDefault="00744C82" w:rsidP="00EA5AF3">
      <w:pPr>
        <w:pStyle w:val="dotpoint"/>
      </w:pPr>
      <w:r>
        <w:t>c</w:t>
      </w:r>
      <w:r w:rsidR="00134503" w:rsidRPr="007923F2">
        <w:t xml:space="preserve">arry </w:t>
      </w:r>
      <w:r w:rsidR="000B36E9" w:rsidRPr="007923F2">
        <w:t>on a business in New Zealand through a fixed es</w:t>
      </w:r>
      <w:r w:rsidR="00EA5AF3">
        <w:t>tablishment in New Zealand; and</w:t>
      </w:r>
    </w:p>
    <w:p w14:paraId="2484537C" w14:textId="24130A32" w:rsidR="000B36E9" w:rsidRPr="007923F2" w:rsidRDefault="00744C82" w:rsidP="00EA5AF3">
      <w:pPr>
        <w:pStyle w:val="dotpoint"/>
        <w:spacing w:after="0"/>
      </w:pPr>
      <w:r>
        <w:t>h</w:t>
      </w:r>
      <w:r w:rsidR="00134503" w:rsidRPr="007923F2">
        <w:t xml:space="preserve">ave </w:t>
      </w:r>
      <w:r w:rsidR="000B36E9" w:rsidRPr="007923F2">
        <w:t>R&amp;D controlling rights in relation to their core activity.</w:t>
      </w:r>
    </w:p>
    <w:p w14:paraId="7C4A4BB0" w14:textId="77777777" w:rsidR="00EA5AF3" w:rsidRDefault="00EA5AF3" w:rsidP="00EA5AF3">
      <w:pPr>
        <w:rPr>
          <w:lang w:eastAsia="en-AU"/>
        </w:rPr>
      </w:pPr>
    </w:p>
    <w:p w14:paraId="69E63976" w14:textId="7E6B5322" w:rsidR="000B36E9" w:rsidRPr="007923F2" w:rsidRDefault="000B36E9" w:rsidP="00EA5AF3">
      <w:pPr>
        <w:rPr>
          <w:lang w:eastAsia="en-AU"/>
        </w:rPr>
      </w:pPr>
      <w:r w:rsidRPr="007923F2">
        <w:rPr>
          <w:lang w:eastAsia="en-AU"/>
        </w:rPr>
        <w:t xml:space="preserve">In addition, the </w:t>
      </w:r>
      <w:r w:rsidR="00134503">
        <w:rPr>
          <w:lang w:eastAsia="en-AU"/>
        </w:rPr>
        <w:t>person</w:t>
      </w:r>
      <w:r w:rsidRPr="007923F2">
        <w:rPr>
          <w:lang w:eastAsia="en-AU"/>
        </w:rPr>
        <w:t xml:space="preserve">, or a member of the </w:t>
      </w:r>
      <w:r w:rsidR="00134503">
        <w:rPr>
          <w:lang w:eastAsia="en-AU"/>
        </w:rPr>
        <w:t>person</w:t>
      </w:r>
      <w:r w:rsidR="00134503" w:rsidRPr="007923F2">
        <w:rPr>
          <w:lang w:eastAsia="en-AU"/>
        </w:rPr>
        <w:t xml:space="preserve">’s </w:t>
      </w:r>
      <w:r w:rsidRPr="007923F2">
        <w:rPr>
          <w:lang w:eastAsia="en-AU"/>
        </w:rPr>
        <w:t>corporate group that is situated in a jurisdiction with which New Zeala</w:t>
      </w:r>
      <w:r w:rsidR="00744C82">
        <w:rPr>
          <w:lang w:eastAsia="en-AU"/>
        </w:rPr>
        <w:t>nd has a double tax agreement (DTA</w:t>
      </w:r>
      <w:r w:rsidRPr="007923F2">
        <w:rPr>
          <w:lang w:eastAsia="en-AU"/>
        </w:rPr>
        <w:t xml:space="preserve">), must own the results of the </w:t>
      </w:r>
      <w:r w:rsidR="00DD30A7">
        <w:rPr>
          <w:lang w:eastAsia="en-AU"/>
        </w:rPr>
        <w:t>person</w:t>
      </w:r>
      <w:r w:rsidR="00DD30A7" w:rsidRPr="007923F2">
        <w:rPr>
          <w:lang w:eastAsia="en-AU"/>
        </w:rPr>
        <w:t xml:space="preserve">’s </w:t>
      </w:r>
      <w:r w:rsidR="00EA5AF3">
        <w:rPr>
          <w:lang w:eastAsia="en-AU"/>
        </w:rPr>
        <w:t>R&amp;D activities.</w:t>
      </w:r>
    </w:p>
    <w:p w14:paraId="40376113" w14:textId="77777777" w:rsidR="000B36E9" w:rsidRPr="007923F2" w:rsidRDefault="000B36E9" w:rsidP="00EA5AF3">
      <w:pPr>
        <w:rPr>
          <w:lang w:eastAsia="en-AU"/>
        </w:rPr>
      </w:pPr>
    </w:p>
    <w:p w14:paraId="2793DD63" w14:textId="68FFB6CB" w:rsidR="000B36E9" w:rsidRDefault="000B36E9" w:rsidP="00EA5AF3">
      <w:pPr>
        <w:rPr>
          <w:lang w:eastAsia="en-AU"/>
        </w:rPr>
      </w:pPr>
      <w:r w:rsidRPr="007923F2">
        <w:rPr>
          <w:lang w:eastAsia="en-AU"/>
        </w:rPr>
        <w:t xml:space="preserve">If the </w:t>
      </w:r>
      <w:r w:rsidR="00134503">
        <w:rPr>
          <w:lang w:eastAsia="en-AU"/>
        </w:rPr>
        <w:t>person</w:t>
      </w:r>
      <w:r w:rsidR="00134503" w:rsidRPr="007923F2">
        <w:rPr>
          <w:lang w:eastAsia="en-AU"/>
        </w:rPr>
        <w:t xml:space="preserve"> </w:t>
      </w:r>
      <w:r w:rsidRPr="007923F2">
        <w:rPr>
          <w:lang w:eastAsia="en-AU"/>
        </w:rPr>
        <w:t>(or a member of their corporate group) does not own the results of the</w:t>
      </w:r>
      <w:r w:rsidR="00134503">
        <w:rPr>
          <w:lang w:eastAsia="en-AU"/>
        </w:rPr>
        <w:t xml:space="preserve"> person’s</w:t>
      </w:r>
      <w:r w:rsidRPr="007923F2">
        <w:rPr>
          <w:lang w:eastAsia="en-AU"/>
        </w:rPr>
        <w:t xml:space="preserve"> R&amp;D activities, then the general criteria are nevertheless satisfied provided the </w:t>
      </w:r>
      <w:r w:rsidR="00134503">
        <w:rPr>
          <w:lang w:eastAsia="en-AU"/>
        </w:rPr>
        <w:t>person</w:t>
      </w:r>
      <w:r w:rsidR="00134503" w:rsidRPr="007923F2">
        <w:rPr>
          <w:lang w:eastAsia="en-AU"/>
        </w:rPr>
        <w:t xml:space="preserve"> </w:t>
      </w:r>
      <w:r w:rsidRPr="007923F2">
        <w:rPr>
          <w:lang w:eastAsia="en-AU"/>
        </w:rPr>
        <w:t>has the right to use the results of their R&amp;D activitie</w:t>
      </w:r>
      <w:r w:rsidR="00EA5AF3">
        <w:rPr>
          <w:lang w:eastAsia="en-AU"/>
        </w:rPr>
        <w:t>s for no further consideration.</w:t>
      </w:r>
    </w:p>
    <w:p w14:paraId="1C843AC4" w14:textId="77777777" w:rsidR="007A4CBD" w:rsidRPr="007923F2" w:rsidRDefault="007A4CBD" w:rsidP="00EA5AF3">
      <w:pPr>
        <w:rPr>
          <w:lang w:eastAsia="en-AU"/>
        </w:rPr>
      </w:pPr>
    </w:p>
    <w:p w14:paraId="6EA0DD61" w14:textId="77777777" w:rsidR="000B36E9" w:rsidRPr="007923F2" w:rsidRDefault="000B36E9" w:rsidP="00EA5AF3">
      <w:pPr>
        <w:pStyle w:val="Heading3"/>
      </w:pPr>
      <w:r w:rsidRPr="007923F2">
        <w:t>Eligible persons</w:t>
      </w:r>
    </w:p>
    <w:p w14:paraId="2C59B7D8" w14:textId="77777777" w:rsidR="000B36E9" w:rsidRPr="007923F2" w:rsidRDefault="000B36E9" w:rsidP="00EA5AF3">
      <w:pPr>
        <w:rPr>
          <w:lang w:eastAsia="en-AU"/>
        </w:rPr>
      </w:pPr>
    </w:p>
    <w:p w14:paraId="08EE98A3" w14:textId="4B0CEA1C" w:rsidR="000B36E9" w:rsidRDefault="000B36E9" w:rsidP="00EA5AF3">
      <w:pPr>
        <w:rPr>
          <w:lang w:eastAsia="en-AU"/>
        </w:rPr>
      </w:pPr>
      <w:r w:rsidRPr="007923F2">
        <w:rPr>
          <w:lang w:eastAsia="en-AU"/>
        </w:rPr>
        <w:t>All types of New Zealand businesses are eligible, whether they are incorporated or not. This includes individuals, companies, partnerships, charities, levy bodies, and trusts. For partnerships and look-through</w:t>
      </w:r>
      <w:r w:rsidR="00892D5F">
        <w:rPr>
          <w:lang w:eastAsia="en-AU"/>
        </w:rPr>
        <w:t xml:space="preserve"> </w:t>
      </w:r>
      <w:r w:rsidRPr="007923F2">
        <w:rPr>
          <w:lang w:eastAsia="en-AU"/>
        </w:rPr>
        <w:t xml:space="preserve">companies (LTCs), </w:t>
      </w:r>
      <w:r w:rsidR="00A742F3">
        <w:rPr>
          <w:lang w:eastAsia="en-AU"/>
        </w:rPr>
        <w:t xml:space="preserve">sections HB 1 and HG 2 (the transparency provisions) apply unless </w:t>
      </w:r>
      <w:r w:rsidR="00D64DA6">
        <w:rPr>
          <w:lang w:eastAsia="en-AU"/>
        </w:rPr>
        <w:t>otherwise specified.</w:t>
      </w:r>
    </w:p>
    <w:p w14:paraId="6C7E5AF5" w14:textId="77777777" w:rsidR="00612061" w:rsidRPr="007923F2" w:rsidRDefault="00612061" w:rsidP="00EA5AF3">
      <w:pPr>
        <w:rPr>
          <w:lang w:eastAsia="en-AU"/>
        </w:rPr>
      </w:pPr>
    </w:p>
    <w:p w14:paraId="0EB27BC7" w14:textId="77777777" w:rsidR="00453540" w:rsidRPr="00453540" w:rsidRDefault="00453540" w:rsidP="00453540">
      <w:r w:rsidRPr="00453540">
        <w:br w:type="page"/>
      </w:r>
    </w:p>
    <w:p w14:paraId="44625D69" w14:textId="2CFD5BAB" w:rsidR="000B36E9" w:rsidRPr="007923F2" w:rsidRDefault="000B36E9" w:rsidP="00EA5AF3">
      <w:pPr>
        <w:pStyle w:val="Heading3"/>
      </w:pPr>
      <w:r w:rsidRPr="007923F2">
        <w:t>Ineligible persons</w:t>
      </w:r>
    </w:p>
    <w:p w14:paraId="0CA667D4" w14:textId="77777777" w:rsidR="000B36E9" w:rsidRPr="007923F2" w:rsidRDefault="000B36E9" w:rsidP="000B36E9">
      <w:pPr>
        <w:rPr>
          <w:rFonts w:eastAsia="Times New Roman" w:cs="Times New Roman"/>
          <w:szCs w:val="20"/>
          <w:lang w:eastAsia="en-AU"/>
        </w:rPr>
      </w:pPr>
    </w:p>
    <w:p w14:paraId="66E9EBF5" w14:textId="77777777" w:rsidR="000B36E9" w:rsidRPr="007923F2" w:rsidRDefault="000B36E9" w:rsidP="00EA5AF3">
      <w:pPr>
        <w:pStyle w:val="Heading4"/>
      </w:pPr>
      <w:r w:rsidRPr="007923F2">
        <w:t>Excluded entities</w:t>
      </w:r>
    </w:p>
    <w:p w14:paraId="370DFBD5" w14:textId="77777777" w:rsidR="000B36E9" w:rsidRPr="007923F2" w:rsidRDefault="000B36E9" w:rsidP="00EA5AF3">
      <w:pPr>
        <w:rPr>
          <w:lang w:eastAsia="en-AU"/>
        </w:rPr>
      </w:pPr>
    </w:p>
    <w:p w14:paraId="2E82EE73" w14:textId="77777777" w:rsidR="000B36E9" w:rsidRPr="007923F2" w:rsidRDefault="000B36E9" w:rsidP="00EA5AF3">
      <w:pPr>
        <w:rPr>
          <w:lang w:eastAsia="en-AU"/>
        </w:rPr>
      </w:pPr>
      <w:r w:rsidRPr="007923F2">
        <w:rPr>
          <w:lang w:eastAsia="en-AU"/>
        </w:rPr>
        <w:t>A person is excluded from the R&amp;D tax credit regime if:</w:t>
      </w:r>
    </w:p>
    <w:p w14:paraId="700283F9" w14:textId="77777777" w:rsidR="000B36E9" w:rsidRPr="007923F2" w:rsidRDefault="000B36E9" w:rsidP="00EA5AF3">
      <w:pPr>
        <w:rPr>
          <w:lang w:eastAsia="en-AU"/>
        </w:rPr>
      </w:pPr>
    </w:p>
    <w:p w14:paraId="2B8DCB43" w14:textId="02FEF763" w:rsidR="000B36E9" w:rsidRPr="007923F2" w:rsidRDefault="00744C82" w:rsidP="00EA5AF3">
      <w:pPr>
        <w:pStyle w:val="dotpoint"/>
      </w:pPr>
      <w:r>
        <w:t>t</w:t>
      </w:r>
      <w:r w:rsidR="000B36E9" w:rsidRPr="007923F2">
        <w:t xml:space="preserve">hey receive a Callaghan Innovation Growth Grant </w:t>
      </w:r>
      <w:r w:rsidR="00576A0D">
        <w:t xml:space="preserve">(Growth Grant) </w:t>
      </w:r>
      <w:r w:rsidR="000B36E9" w:rsidRPr="007923F2">
        <w:t>for the relevant income year</w:t>
      </w:r>
      <w:r w:rsidR="00576A0D">
        <w:t>;</w:t>
      </w:r>
    </w:p>
    <w:p w14:paraId="79BBA114" w14:textId="1F569206" w:rsidR="000B36E9" w:rsidRPr="007923F2" w:rsidRDefault="00744C82" w:rsidP="00EA5AF3">
      <w:pPr>
        <w:pStyle w:val="dotpoint"/>
      </w:pPr>
      <w:r>
        <w:t>t</w:t>
      </w:r>
      <w:r w:rsidR="00576A0D" w:rsidRPr="007923F2">
        <w:t xml:space="preserve">hey </w:t>
      </w:r>
      <w:r w:rsidR="000B36E9" w:rsidRPr="007923F2">
        <w:t>are an R&amp;D contractor in relation to the relevant R&amp;D activity</w:t>
      </w:r>
      <w:r w:rsidR="00C91B59">
        <w:t>;</w:t>
      </w:r>
    </w:p>
    <w:p w14:paraId="2E1F7101" w14:textId="606DEBBB" w:rsidR="000B36E9" w:rsidRDefault="00744C82" w:rsidP="00EA5AF3">
      <w:pPr>
        <w:pStyle w:val="dotpoint"/>
      </w:pPr>
      <w:r>
        <w:t>t</w:t>
      </w:r>
      <w:r w:rsidR="00576A0D" w:rsidRPr="007923F2">
        <w:t xml:space="preserve">hey </w:t>
      </w:r>
      <w:r w:rsidR="000B36E9" w:rsidRPr="007923F2">
        <w:t>are, or are associated with or controlled by, a Crown research institute, district health board or tertiary education organisation</w:t>
      </w:r>
      <w:r w:rsidR="00C91B59">
        <w:t>; or</w:t>
      </w:r>
    </w:p>
    <w:p w14:paraId="49B93093" w14:textId="1E5E330F" w:rsidR="00CD2FA9" w:rsidRPr="00612061" w:rsidRDefault="00744C82" w:rsidP="00EA5AF3">
      <w:pPr>
        <w:pStyle w:val="dotpoint"/>
        <w:spacing w:after="0"/>
      </w:pPr>
      <w:r>
        <w:t>t</w:t>
      </w:r>
      <w:r w:rsidR="00CD2FA9" w:rsidRPr="00612061">
        <w:t>hey are a partner in a partnership or an owner of an LTC, and they are not a New Zealand tax resident for the relevant income year.</w:t>
      </w:r>
    </w:p>
    <w:p w14:paraId="5F6BA788" w14:textId="77777777" w:rsidR="00EA5AF3" w:rsidRDefault="00EA5AF3" w:rsidP="00EA5AF3"/>
    <w:p w14:paraId="18EA5591" w14:textId="77777777" w:rsidR="000B36E9" w:rsidRPr="007923F2" w:rsidRDefault="000B36E9" w:rsidP="00EA5AF3">
      <w:pPr>
        <w:pStyle w:val="Heading4"/>
      </w:pPr>
      <w:r w:rsidRPr="007923F2">
        <w:t>Failure to file causing ineligibility</w:t>
      </w:r>
    </w:p>
    <w:p w14:paraId="70E14EB3" w14:textId="77777777" w:rsidR="000B36E9" w:rsidRPr="007923F2" w:rsidRDefault="000B36E9" w:rsidP="000B36E9">
      <w:pPr>
        <w:rPr>
          <w:rFonts w:eastAsia="Times New Roman" w:cs="Times New Roman"/>
          <w:i/>
          <w:szCs w:val="24"/>
          <w:lang w:val="en-GB" w:eastAsia="en-AU"/>
        </w:rPr>
      </w:pPr>
    </w:p>
    <w:p w14:paraId="0E951D9E" w14:textId="589DF77C" w:rsidR="000B36E9" w:rsidRDefault="000B36E9" w:rsidP="000B36E9">
      <w:pPr>
        <w:rPr>
          <w:rFonts w:eastAsia="Times New Roman" w:cs="Times New Roman"/>
          <w:szCs w:val="24"/>
          <w:lang w:val="en-GB" w:eastAsia="en-AU"/>
        </w:rPr>
      </w:pPr>
      <w:r w:rsidRPr="007923F2">
        <w:rPr>
          <w:rFonts w:eastAsia="Times New Roman" w:cs="Times New Roman"/>
          <w:szCs w:val="24"/>
          <w:lang w:val="en-GB" w:eastAsia="en-AU"/>
        </w:rPr>
        <w:t xml:space="preserve">A person is ineligible for R&amp;D tax credits </w:t>
      </w:r>
      <w:r w:rsidR="00C02DAD">
        <w:rPr>
          <w:rFonts w:eastAsia="Times New Roman" w:cs="Times New Roman"/>
          <w:szCs w:val="24"/>
          <w:lang w:val="en-GB" w:eastAsia="en-AU"/>
        </w:rPr>
        <w:t>for</w:t>
      </w:r>
      <w:r w:rsidRPr="007923F2">
        <w:rPr>
          <w:rFonts w:eastAsia="Times New Roman" w:cs="Times New Roman"/>
          <w:szCs w:val="24"/>
          <w:lang w:val="en-GB" w:eastAsia="en-AU"/>
        </w:rPr>
        <w:t xml:space="preserve"> an income year if they fail to file an income tax return within </w:t>
      </w:r>
      <w:r w:rsidR="00576A0D">
        <w:rPr>
          <w:rFonts w:eastAsia="Times New Roman" w:cs="Times New Roman"/>
          <w:szCs w:val="24"/>
          <w:lang w:val="en-GB" w:eastAsia="en-AU"/>
        </w:rPr>
        <w:t>one</w:t>
      </w:r>
      <w:r w:rsidR="00576A0D" w:rsidRPr="007923F2">
        <w:rPr>
          <w:rFonts w:eastAsia="Times New Roman" w:cs="Times New Roman"/>
          <w:szCs w:val="24"/>
          <w:lang w:val="en-GB" w:eastAsia="en-AU"/>
        </w:rPr>
        <w:t xml:space="preserve"> </w:t>
      </w:r>
      <w:r w:rsidRPr="007923F2">
        <w:rPr>
          <w:rFonts w:eastAsia="Times New Roman" w:cs="Times New Roman"/>
          <w:szCs w:val="24"/>
          <w:lang w:val="en-GB" w:eastAsia="en-AU"/>
        </w:rPr>
        <w:t>year of the latest date for them to file their income tax return.</w:t>
      </w:r>
    </w:p>
    <w:p w14:paraId="17CF30D2" w14:textId="77777777" w:rsidR="007A4CBD" w:rsidRDefault="007A4CBD" w:rsidP="000B36E9">
      <w:pPr>
        <w:rPr>
          <w:rFonts w:eastAsia="Times New Roman" w:cs="Times New Roman"/>
          <w:szCs w:val="24"/>
          <w:lang w:val="en-GB" w:eastAsia="en-AU"/>
        </w:rPr>
      </w:pPr>
    </w:p>
    <w:p w14:paraId="0290A3F0" w14:textId="77777777" w:rsidR="007A4CBD" w:rsidRPr="007923F2" w:rsidRDefault="007A4CBD" w:rsidP="000B36E9">
      <w:pPr>
        <w:rPr>
          <w:rFonts w:eastAsia="Times New Roman" w:cs="Times New Roman"/>
          <w:szCs w:val="24"/>
          <w:lang w:val="en-GB" w:eastAsia="en-AU"/>
        </w:rPr>
      </w:pPr>
    </w:p>
    <w:p w14:paraId="099E0228" w14:textId="77777777" w:rsidR="000B36E9" w:rsidRPr="007923F2" w:rsidRDefault="000B36E9" w:rsidP="00EA5AF3">
      <w:pPr>
        <w:pStyle w:val="Heading2"/>
      </w:pPr>
      <w:r w:rsidRPr="007923F2">
        <w:t>Background</w:t>
      </w:r>
    </w:p>
    <w:p w14:paraId="57262FB5" w14:textId="77777777" w:rsidR="00EA5AF3" w:rsidRDefault="00EA5AF3" w:rsidP="00EA5AF3"/>
    <w:p w14:paraId="0DC55E26" w14:textId="77777777" w:rsidR="000B36E9" w:rsidRPr="007923F2" w:rsidRDefault="000B36E9" w:rsidP="00EA5AF3">
      <w:pPr>
        <w:pStyle w:val="Heading3"/>
      </w:pPr>
      <w:r w:rsidRPr="007923F2">
        <w:t>General eligibility criteria</w:t>
      </w:r>
    </w:p>
    <w:p w14:paraId="67B99252" w14:textId="77777777" w:rsidR="000B36E9" w:rsidRPr="007923F2" w:rsidRDefault="000B36E9" w:rsidP="000B36E9">
      <w:pPr>
        <w:rPr>
          <w:rFonts w:eastAsia="Times New Roman" w:cs="Times New Roman"/>
          <w:i/>
          <w:szCs w:val="24"/>
          <w:lang w:val="en-GB" w:eastAsia="en-AU"/>
        </w:rPr>
      </w:pPr>
    </w:p>
    <w:p w14:paraId="33FAA711" w14:textId="22F2A510" w:rsidR="000B36E9" w:rsidRPr="007923F2" w:rsidRDefault="000B36E9" w:rsidP="00EA5AF3">
      <w:pPr>
        <w:pStyle w:val="Heading4"/>
      </w:pPr>
      <w:r w:rsidRPr="007923F2">
        <w:t xml:space="preserve">Core activity performed by </w:t>
      </w:r>
      <w:r w:rsidR="00E56B56">
        <w:t xml:space="preserve">an </w:t>
      </w:r>
      <w:r w:rsidRPr="007923F2">
        <w:t>R&amp;D contractor</w:t>
      </w:r>
    </w:p>
    <w:p w14:paraId="31E8112A" w14:textId="77777777" w:rsidR="000B36E9" w:rsidRPr="007923F2" w:rsidRDefault="000B36E9" w:rsidP="00EA5AF3">
      <w:pPr>
        <w:rPr>
          <w:lang w:val="en-GB" w:eastAsia="en-AU"/>
        </w:rPr>
      </w:pPr>
    </w:p>
    <w:p w14:paraId="2EE757DE" w14:textId="77777777" w:rsidR="000B36E9" w:rsidRPr="007923F2" w:rsidRDefault="000B36E9" w:rsidP="00EA5AF3">
      <w:pPr>
        <w:rPr>
          <w:lang w:val="en-GB" w:eastAsia="en-AU"/>
        </w:rPr>
      </w:pPr>
      <w:r w:rsidRPr="007923F2">
        <w:rPr>
          <w:lang w:val="en-GB" w:eastAsia="en-AU"/>
        </w:rPr>
        <w:t xml:space="preserve">A </w:t>
      </w:r>
      <w:r w:rsidR="00576A0D">
        <w:rPr>
          <w:lang w:val="en-GB" w:eastAsia="en-AU"/>
        </w:rPr>
        <w:t>person</w:t>
      </w:r>
      <w:r w:rsidR="00576A0D" w:rsidRPr="007923F2">
        <w:rPr>
          <w:lang w:val="en-GB" w:eastAsia="en-AU"/>
        </w:rPr>
        <w:t xml:space="preserve"> </w:t>
      </w:r>
      <w:r w:rsidRPr="007923F2">
        <w:rPr>
          <w:lang w:val="en-GB" w:eastAsia="en-AU"/>
        </w:rPr>
        <w:t>is eligible</w:t>
      </w:r>
      <w:r w:rsidR="00576A0D">
        <w:rPr>
          <w:lang w:val="en-GB" w:eastAsia="en-AU"/>
        </w:rPr>
        <w:t xml:space="preserve"> </w:t>
      </w:r>
      <w:r w:rsidRPr="007923F2">
        <w:rPr>
          <w:lang w:val="en-GB" w:eastAsia="en-AU"/>
        </w:rPr>
        <w:t xml:space="preserve">even if </w:t>
      </w:r>
      <w:r w:rsidR="00576A0D">
        <w:rPr>
          <w:lang w:val="en-GB" w:eastAsia="en-AU"/>
        </w:rPr>
        <w:t xml:space="preserve">their </w:t>
      </w:r>
      <w:r w:rsidRPr="007923F2">
        <w:rPr>
          <w:lang w:val="en-GB" w:eastAsia="en-AU"/>
        </w:rPr>
        <w:t xml:space="preserve">core activity is performed by an R&amp;D contractor, because the </w:t>
      </w:r>
      <w:r w:rsidR="00576A0D">
        <w:rPr>
          <w:lang w:val="en-GB" w:eastAsia="en-AU"/>
        </w:rPr>
        <w:t xml:space="preserve">person </w:t>
      </w:r>
      <w:r w:rsidRPr="007923F2">
        <w:rPr>
          <w:lang w:val="en-GB" w:eastAsia="en-AU"/>
        </w:rPr>
        <w:t xml:space="preserve">is funding and directing the R&amp;D activities. Also, in the absence of the </w:t>
      </w:r>
      <w:r w:rsidR="00576A0D">
        <w:rPr>
          <w:lang w:val="en-GB" w:eastAsia="en-AU"/>
        </w:rPr>
        <w:t>person</w:t>
      </w:r>
      <w:r w:rsidR="00576A0D" w:rsidRPr="007923F2">
        <w:rPr>
          <w:lang w:val="en-GB" w:eastAsia="en-AU"/>
        </w:rPr>
        <w:t xml:space="preserve"> </w:t>
      </w:r>
      <w:r w:rsidRPr="007923F2">
        <w:rPr>
          <w:lang w:val="en-GB" w:eastAsia="en-AU"/>
        </w:rPr>
        <w:t>contracting the</w:t>
      </w:r>
      <w:r w:rsidR="00576A0D">
        <w:rPr>
          <w:lang w:val="en-GB" w:eastAsia="en-AU"/>
        </w:rPr>
        <w:t>ir</w:t>
      </w:r>
      <w:r w:rsidRPr="007923F2">
        <w:rPr>
          <w:lang w:val="en-GB" w:eastAsia="en-AU"/>
        </w:rPr>
        <w:t xml:space="preserve"> core activity to the R&amp;D contractor, it is unlikely that the R&amp;D contractor would have performed the core activity.</w:t>
      </w:r>
    </w:p>
    <w:p w14:paraId="7C22B0CB" w14:textId="77777777" w:rsidR="000B36E9" w:rsidRPr="007923F2" w:rsidRDefault="000B36E9" w:rsidP="00EA5AF3">
      <w:pPr>
        <w:rPr>
          <w:lang w:val="en-GB" w:eastAsia="en-AU"/>
        </w:rPr>
      </w:pPr>
    </w:p>
    <w:p w14:paraId="59E55115" w14:textId="51B3270F" w:rsidR="000B36E9" w:rsidRPr="007923F2" w:rsidRDefault="000B36E9" w:rsidP="00EA5AF3">
      <w:pPr>
        <w:pStyle w:val="Heading4"/>
      </w:pPr>
      <w:r w:rsidRPr="007923F2">
        <w:t>Carry on a business and have</w:t>
      </w:r>
      <w:r w:rsidR="00E56B56">
        <w:t xml:space="preserve"> a</w:t>
      </w:r>
      <w:r w:rsidRPr="007923F2">
        <w:t xml:space="preserve"> fixed establishment in New Zealand</w:t>
      </w:r>
    </w:p>
    <w:p w14:paraId="4D647DDA" w14:textId="77777777" w:rsidR="000B36E9" w:rsidRPr="007923F2" w:rsidRDefault="000B36E9" w:rsidP="00EA5AF3">
      <w:pPr>
        <w:rPr>
          <w:lang w:val="en-GB" w:eastAsia="en-AU"/>
        </w:rPr>
      </w:pPr>
    </w:p>
    <w:p w14:paraId="233CEB44" w14:textId="1AAE0275" w:rsidR="000B36E9" w:rsidRPr="007923F2" w:rsidRDefault="00576A0D" w:rsidP="00EA5AF3">
      <w:pPr>
        <w:rPr>
          <w:lang w:val="en-GB" w:eastAsia="en-AU"/>
        </w:rPr>
      </w:pPr>
      <w:r>
        <w:rPr>
          <w:lang w:val="en-GB" w:eastAsia="en-AU"/>
        </w:rPr>
        <w:t xml:space="preserve">R&amp;D tax credits are intended to be </w:t>
      </w:r>
      <w:r w:rsidR="000B36E9" w:rsidRPr="007923F2">
        <w:rPr>
          <w:lang w:val="en-GB" w:eastAsia="en-AU"/>
        </w:rPr>
        <w:t xml:space="preserve">offset against </w:t>
      </w:r>
      <w:r>
        <w:rPr>
          <w:lang w:val="en-GB" w:eastAsia="en-AU"/>
        </w:rPr>
        <w:t xml:space="preserve">the </w:t>
      </w:r>
      <w:r w:rsidR="000B36E9" w:rsidRPr="007923F2">
        <w:rPr>
          <w:lang w:val="en-GB" w:eastAsia="en-AU"/>
        </w:rPr>
        <w:t>income tax liability</w:t>
      </w:r>
      <w:r>
        <w:rPr>
          <w:lang w:val="en-GB" w:eastAsia="en-AU"/>
        </w:rPr>
        <w:t xml:space="preserve"> of </w:t>
      </w:r>
      <w:r w:rsidR="00CF15A9">
        <w:rPr>
          <w:lang w:val="en-GB" w:eastAsia="en-AU"/>
        </w:rPr>
        <w:t>pe</w:t>
      </w:r>
      <w:r w:rsidR="00F87581">
        <w:rPr>
          <w:lang w:val="en-GB" w:eastAsia="en-AU"/>
        </w:rPr>
        <w:t>rsons making claims</w:t>
      </w:r>
      <w:r w:rsidR="004E20D5">
        <w:rPr>
          <w:lang w:val="en-GB" w:eastAsia="en-AU"/>
        </w:rPr>
        <w:t xml:space="preserve">. </w:t>
      </w:r>
      <w:r w:rsidR="000B36E9" w:rsidRPr="007923F2">
        <w:rPr>
          <w:lang w:val="en-GB" w:eastAsia="en-AU"/>
        </w:rPr>
        <w:t xml:space="preserve">To ensure </w:t>
      </w:r>
      <w:r>
        <w:rPr>
          <w:lang w:val="en-GB" w:eastAsia="en-AU"/>
        </w:rPr>
        <w:t xml:space="preserve">R&amp;D </w:t>
      </w:r>
      <w:r w:rsidR="000B36E9" w:rsidRPr="007923F2">
        <w:rPr>
          <w:lang w:val="en-GB" w:eastAsia="en-AU"/>
        </w:rPr>
        <w:t xml:space="preserve">tax credits are only provided to </w:t>
      </w:r>
      <w:r w:rsidR="00892D5F">
        <w:rPr>
          <w:lang w:val="en-GB" w:eastAsia="en-AU"/>
        </w:rPr>
        <w:t>pe</w:t>
      </w:r>
      <w:r w:rsidR="00F87581">
        <w:rPr>
          <w:lang w:val="en-GB" w:eastAsia="en-AU"/>
        </w:rPr>
        <w:t>rsons</w:t>
      </w:r>
      <w:r>
        <w:rPr>
          <w:lang w:val="en-GB" w:eastAsia="en-AU"/>
        </w:rPr>
        <w:t xml:space="preserve"> with </w:t>
      </w:r>
      <w:r w:rsidR="000B36E9" w:rsidRPr="007923F2">
        <w:rPr>
          <w:lang w:val="en-GB" w:eastAsia="en-AU"/>
        </w:rPr>
        <w:t xml:space="preserve">some presence in New Zealand, </w:t>
      </w:r>
      <w:r>
        <w:rPr>
          <w:lang w:val="en-GB" w:eastAsia="en-AU"/>
        </w:rPr>
        <w:t xml:space="preserve">a person is </w:t>
      </w:r>
      <w:r w:rsidR="000B36E9" w:rsidRPr="007923F2">
        <w:rPr>
          <w:lang w:val="en-GB" w:eastAsia="en-AU"/>
        </w:rPr>
        <w:t>required to carry on business in New Zealand through a fixed establishment in New Zealand</w:t>
      </w:r>
      <w:r>
        <w:rPr>
          <w:lang w:val="en-GB" w:eastAsia="en-AU"/>
        </w:rPr>
        <w:t xml:space="preserve"> to be eligible for the R&amp;D tax credit regime</w:t>
      </w:r>
      <w:r w:rsidR="00EA5AF3">
        <w:rPr>
          <w:lang w:val="en-GB" w:eastAsia="en-AU"/>
        </w:rPr>
        <w:t>.</w:t>
      </w:r>
    </w:p>
    <w:p w14:paraId="731A45B9" w14:textId="77777777" w:rsidR="000B36E9" w:rsidRPr="007923F2" w:rsidRDefault="000B36E9" w:rsidP="00EA5AF3">
      <w:pPr>
        <w:rPr>
          <w:lang w:val="en-GB" w:eastAsia="en-AU"/>
        </w:rPr>
      </w:pPr>
    </w:p>
    <w:p w14:paraId="51F1C8FC" w14:textId="77777777" w:rsidR="000B36E9" w:rsidRPr="007923F2" w:rsidRDefault="000B36E9" w:rsidP="00EA5AF3">
      <w:pPr>
        <w:pStyle w:val="Heading4"/>
      </w:pPr>
      <w:r w:rsidRPr="007923F2">
        <w:t>R&amp;D controlling rights</w:t>
      </w:r>
    </w:p>
    <w:p w14:paraId="43B85246" w14:textId="77777777" w:rsidR="000B36E9" w:rsidRPr="007923F2" w:rsidRDefault="000B36E9" w:rsidP="00EA5AF3">
      <w:pPr>
        <w:rPr>
          <w:lang w:val="en-GB" w:eastAsia="en-AU"/>
        </w:rPr>
      </w:pPr>
    </w:p>
    <w:p w14:paraId="11392265" w14:textId="73F94537" w:rsidR="000B36E9" w:rsidRPr="007923F2" w:rsidRDefault="000B36E9" w:rsidP="00EA5AF3">
      <w:pPr>
        <w:rPr>
          <w:lang w:val="en-GB" w:eastAsia="en-AU"/>
        </w:rPr>
      </w:pPr>
      <w:r w:rsidRPr="007923F2">
        <w:rPr>
          <w:lang w:val="en-GB" w:eastAsia="en-AU"/>
        </w:rPr>
        <w:t xml:space="preserve">The R&amp;D controlling rights requirement is intended to ensure that R&amp;D contractors are not able to claim </w:t>
      </w:r>
      <w:r w:rsidR="00E56B56">
        <w:rPr>
          <w:lang w:val="en-GB" w:eastAsia="en-AU"/>
        </w:rPr>
        <w:t xml:space="preserve">for </w:t>
      </w:r>
      <w:r w:rsidRPr="007923F2">
        <w:rPr>
          <w:lang w:val="en-GB" w:eastAsia="en-AU"/>
        </w:rPr>
        <w:t>R&amp;D activities they are being contracted by another person to perform</w:t>
      </w:r>
      <w:r w:rsidR="00576A0D">
        <w:rPr>
          <w:lang w:val="en-GB" w:eastAsia="en-AU"/>
        </w:rPr>
        <w:t>.</w:t>
      </w:r>
      <w:r w:rsidR="00576A0D" w:rsidRPr="007923F2">
        <w:rPr>
          <w:lang w:val="en-GB" w:eastAsia="en-AU"/>
        </w:rPr>
        <w:t xml:space="preserve"> </w:t>
      </w:r>
      <w:r w:rsidR="00576A0D">
        <w:rPr>
          <w:lang w:val="en-GB" w:eastAsia="en-AU"/>
        </w:rPr>
        <w:t>I</w:t>
      </w:r>
      <w:r w:rsidRPr="007923F2">
        <w:rPr>
          <w:lang w:val="en-GB" w:eastAsia="en-AU"/>
        </w:rPr>
        <w:t>t is expected that only principals will have R&amp;D controlling rights.</w:t>
      </w:r>
    </w:p>
    <w:p w14:paraId="57E943CC" w14:textId="77777777" w:rsidR="000B36E9" w:rsidRPr="007923F2" w:rsidRDefault="000B36E9" w:rsidP="000B36E9">
      <w:pPr>
        <w:rPr>
          <w:rFonts w:eastAsia="Times New Roman" w:cs="Times New Roman"/>
          <w:szCs w:val="24"/>
          <w:lang w:val="en-GB" w:eastAsia="en-AU"/>
        </w:rPr>
      </w:pPr>
    </w:p>
    <w:p w14:paraId="5C40E744" w14:textId="77777777" w:rsidR="00453540" w:rsidRPr="00453540" w:rsidRDefault="00453540" w:rsidP="00453540">
      <w:r w:rsidRPr="00453540">
        <w:br w:type="page"/>
      </w:r>
    </w:p>
    <w:p w14:paraId="2ADAD169" w14:textId="70432DCC" w:rsidR="000B36E9" w:rsidRDefault="000B36E9" w:rsidP="00EA5AF3">
      <w:pPr>
        <w:pStyle w:val="Heading4"/>
      </w:pPr>
      <w:r w:rsidRPr="007923F2">
        <w:t>Ownership of</w:t>
      </w:r>
      <w:r w:rsidR="00E56B56">
        <w:t xml:space="preserve"> the</w:t>
      </w:r>
      <w:r w:rsidRPr="007923F2">
        <w:t xml:space="preserve"> R&amp;D results</w:t>
      </w:r>
    </w:p>
    <w:p w14:paraId="5A9369A6" w14:textId="77777777" w:rsidR="00EA5AF3" w:rsidRDefault="00EA5AF3" w:rsidP="00EA5AF3">
      <w:pPr>
        <w:rPr>
          <w:lang w:val="en-GB" w:eastAsia="en-AU"/>
        </w:rPr>
      </w:pPr>
    </w:p>
    <w:p w14:paraId="52E7D990" w14:textId="73C7B295" w:rsidR="000B36E9" w:rsidRPr="007923F2" w:rsidRDefault="000B36E9" w:rsidP="00EA5AF3">
      <w:pPr>
        <w:rPr>
          <w:lang w:val="en-GB" w:eastAsia="en-AU"/>
        </w:rPr>
      </w:pPr>
      <w:r w:rsidRPr="007923F2">
        <w:rPr>
          <w:lang w:val="en-GB" w:eastAsia="en-AU"/>
        </w:rPr>
        <w:t>Similar to the R&amp;D controlling rights requirement, the ownership and right to use requirements are intended to ensure that R&amp;D contractors are excluded from the R&amp;D tax credit regime to the extent they perform R</w:t>
      </w:r>
      <w:r w:rsidR="00FF4EC8">
        <w:rPr>
          <w:lang w:val="en-GB" w:eastAsia="en-AU"/>
        </w:rPr>
        <w:t>&amp;D activities for other people.</w:t>
      </w:r>
    </w:p>
    <w:p w14:paraId="2392597B" w14:textId="77777777" w:rsidR="000B36E9" w:rsidRPr="007923F2" w:rsidRDefault="000B36E9" w:rsidP="00EA5AF3">
      <w:pPr>
        <w:rPr>
          <w:lang w:val="en-GB" w:eastAsia="en-AU"/>
        </w:rPr>
      </w:pPr>
    </w:p>
    <w:p w14:paraId="407F9A4D" w14:textId="77777777" w:rsidR="000B36E9" w:rsidRPr="007923F2" w:rsidRDefault="000B36E9" w:rsidP="00EA5AF3">
      <w:pPr>
        <w:rPr>
          <w:lang w:val="en-GB" w:eastAsia="en-AU"/>
        </w:rPr>
      </w:pPr>
      <w:r w:rsidRPr="007923F2">
        <w:rPr>
          <w:lang w:val="en-GB" w:eastAsia="en-AU"/>
        </w:rPr>
        <w:t xml:space="preserve">Where the ownership requirements are not met, the right to use requirement ensures a </w:t>
      </w:r>
      <w:r w:rsidR="00576A0D">
        <w:rPr>
          <w:lang w:val="en-GB" w:eastAsia="en-AU"/>
        </w:rPr>
        <w:t>person</w:t>
      </w:r>
      <w:r w:rsidR="00576A0D" w:rsidRPr="007923F2">
        <w:rPr>
          <w:lang w:val="en-GB" w:eastAsia="en-AU"/>
        </w:rPr>
        <w:t xml:space="preserve"> </w:t>
      </w:r>
      <w:r w:rsidRPr="007923F2">
        <w:rPr>
          <w:lang w:val="en-GB" w:eastAsia="en-AU"/>
        </w:rPr>
        <w:t>is able to nevertheless access the</w:t>
      </w:r>
      <w:r w:rsidR="00576A0D">
        <w:rPr>
          <w:lang w:val="en-GB" w:eastAsia="en-AU"/>
        </w:rPr>
        <w:t xml:space="preserve"> results of their</w:t>
      </w:r>
      <w:r w:rsidRPr="007923F2">
        <w:rPr>
          <w:lang w:val="en-GB" w:eastAsia="en-AU"/>
        </w:rPr>
        <w:t xml:space="preserve"> R&amp;D for no further consideration at a future date. It is envisaged that </w:t>
      </w:r>
      <w:r w:rsidR="00C70FB5">
        <w:rPr>
          <w:lang w:val="en-GB" w:eastAsia="en-AU"/>
        </w:rPr>
        <w:t>people</w:t>
      </w:r>
      <w:r w:rsidR="00576A0D">
        <w:rPr>
          <w:lang w:val="en-GB" w:eastAsia="en-AU"/>
        </w:rPr>
        <w:t xml:space="preserve"> will, </w:t>
      </w:r>
      <w:r w:rsidRPr="007923F2">
        <w:rPr>
          <w:lang w:val="en-GB" w:eastAsia="en-AU"/>
        </w:rPr>
        <w:t>for the most part, satisfy the ownership requirements</w:t>
      </w:r>
      <w:r w:rsidR="00576A0D">
        <w:rPr>
          <w:lang w:val="en-GB" w:eastAsia="en-AU"/>
        </w:rPr>
        <w:t>.</w:t>
      </w:r>
      <w:r w:rsidR="00576A0D" w:rsidRPr="007923F2">
        <w:rPr>
          <w:lang w:val="en-GB" w:eastAsia="en-AU"/>
        </w:rPr>
        <w:t xml:space="preserve"> </w:t>
      </w:r>
      <w:r w:rsidR="00576A0D">
        <w:rPr>
          <w:lang w:val="en-GB" w:eastAsia="en-AU"/>
        </w:rPr>
        <w:t>I</w:t>
      </w:r>
      <w:r w:rsidRPr="007923F2">
        <w:rPr>
          <w:lang w:val="en-GB" w:eastAsia="en-AU"/>
        </w:rPr>
        <w:t xml:space="preserve">t is expected that most </w:t>
      </w:r>
      <w:r w:rsidR="00C70FB5">
        <w:rPr>
          <w:lang w:val="en-GB" w:eastAsia="en-AU"/>
        </w:rPr>
        <w:t>people</w:t>
      </w:r>
      <w:r w:rsidR="00C70FB5" w:rsidRPr="007923F2">
        <w:rPr>
          <w:lang w:val="en-GB" w:eastAsia="en-AU"/>
        </w:rPr>
        <w:t xml:space="preserve"> </w:t>
      </w:r>
      <w:r w:rsidRPr="007923F2">
        <w:rPr>
          <w:lang w:val="en-GB" w:eastAsia="en-AU"/>
        </w:rPr>
        <w:t xml:space="preserve">will either own the results of their R&amp;D themselves or the </w:t>
      </w:r>
      <w:r w:rsidR="00576A0D">
        <w:rPr>
          <w:lang w:val="en-GB" w:eastAsia="en-AU"/>
        </w:rPr>
        <w:t>results</w:t>
      </w:r>
      <w:r w:rsidRPr="007923F2">
        <w:rPr>
          <w:lang w:val="en-GB" w:eastAsia="en-AU"/>
        </w:rPr>
        <w:t xml:space="preserve"> will be owned by someone in their corporate group </w:t>
      </w:r>
      <w:r w:rsidR="00576A0D">
        <w:rPr>
          <w:lang w:val="en-GB" w:eastAsia="en-AU"/>
        </w:rPr>
        <w:t>that</w:t>
      </w:r>
      <w:r w:rsidR="00576A0D" w:rsidRPr="007923F2">
        <w:rPr>
          <w:lang w:val="en-GB" w:eastAsia="en-AU"/>
        </w:rPr>
        <w:t xml:space="preserve"> </w:t>
      </w:r>
      <w:r w:rsidRPr="007923F2">
        <w:rPr>
          <w:lang w:val="en-GB" w:eastAsia="en-AU"/>
        </w:rPr>
        <w:t>is located in a jurisdiction with which New Zealand has a DTA.</w:t>
      </w:r>
    </w:p>
    <w:p w14:paraId="7A4F54E9" w14:textId="77777777" w:rsidR="000B36E9" w:rsidRPr="007923F2" w:rsidRDefault="000B36E9" w:rsidP="00EA5AF3">
      <w:pPr>
        <w:rPr>
          <w:lang w:val="en-GB" w:eastAsia="en-AU"/>
        </w:rPr>
      </w:pPr>
    </w:p>
    <w:p w14:paraId="50795FC9" w14:textId="5911DAD5" w:rsidR="000B36E9" w:rsidRPr="007923F2" w:rsidRDefault="000B36E9" w:rsidP="00EA5AF3">
      <w:pPr>
        <w:rPr>
          <w:lang w:val="en-GB" w:eastAsia="en-AU"/>
        </w:rPr>
      </w:pPr>
      <w:r w:rsidRPr="007923F2">
        <w:rPr>
          <w:lang w:val="en-GB" w:eastAsia="en-AU"/>
        </w:rPr>
        <w:t xml:space="preserve">The right to use and ownership requirements are similar to the requirements of the 2008 regime. The requirements in </w:t>
      </w:r>
      <w:r w:rsidR="00C70FB5">
        <w:rPr>
          <w:lang w:val="en-GB" w:eastAsia="en-AU"/>
        </w:rPr>
        <w:t xml:space="preserve">proposed new </w:t>
      </w:r>
      <w:r w:rsidRPr="007923F2">
        <w:rPr>
          <w:lang w:val="en-GB" w:eastAsia="en-AU"/>
        </w:rPr>
        <w:t xml:space="preserve">LY 3(1) are </w:t>
      </w:r>
      <w:r w:rsidR="00B81A72">
        <w:rPr>
          <w:lang w:val="en-GB" w:eastAsia="en-AU"/>
        </w:rPr>
        <w:t xml:space="preserve">more </w:t>
      </w:r>
      <w:r w:rsidRPr="007923F2">
        <w:rPr>
          <w:lang w:val="en-GB" w:eastAsia="en-AU"/>
        </w:rPr>
        <w:t>inclusive than 2008</w:t>
      </w:r>
      <w:r w:rsidR="00C70FB5">
        <w:rPr>
          <w:lang w:val="en-GB" w:eastAsia="en-AU"/>
        </w:rPr>
        <w:t>.</w:t>
      </w:r>
      <w:r w:rsidR="00C70FB5" w:rsidRPr="007923F2">
        <w:rPr>
          <w:lang w:val="en-GB" w:eastAsia="en-AU"/>
        </w:rPr>
        <w:t xml:space="preserve"> </w:t>
      </w:r>
      <w:r w:rsidR="00C70FB5">
        <w:rPr>
          <w:lang w:val="en-GB" w:eastAsia="en-AU"/>
        </w:rPr>
        <w:t xml:space="preserve">This is to </w:t>
      </w:r>
      <w:r w:rsidRPr="007923F2">
        <w:rPr>
          <w:lang w:val="en-GB" w:eastAsia="en-AU"/>
        </w:rPr>
        <w:t>ensure that R&amp;D</w:t>
      </w:r>
      <w:r w:rsidR="00C70FB5">
        <w:rPr>
          <w:lang w:val="en-GB" w:eastAsia="en-AU"/>
        </w:rPr>
        <w:t xml:space="preserve"> performed by a person</w:t>
      </w:r>
      <w:r w:rsidRPr="007923F2">
        <w:rPr>
          <w:lang w:val="en-GB" w:eastAsia="en-AU"/>
        </w:rPr>
        <w:t xml:space="preserve"> that leads to results owned </w:t>
      </w:r>
      <w:r w:rsidR="00C70FB5">
        <w:rPr>
          <w:lang w:val="en-GB" w:eastAsia="en-AU"/>
        </w:rPr>
        <w:t>by someone else in the</w:t>
      </w:r>
      <w:r w:rsidR="00C70FB5" w:rsidRPr="007923F2">
        <w:rPr>
          <w:lang w:val="en-GB" w:eastAsia="en-AU"/>
        </w:rPr>
        <w:t xml:space="preserve"> </w:t>
      </w:r>
      <w:r w:rsidR="00C70FB5">
        <w:rPr>
          <w:lang w:val="en-GB" w:eastAsia="en-AU"/>
        </w:rPr>
        <w:t>person</w:t>
      </w:r>
      <w:r w:rsidR="00C70FB5" w:rsidRPr="007923F2">
        <w:rPr>
          <w:lang w:val="en-GB" w:eastAsia="en-AU"/>
        </w:rPr>
        <w:t xml:space="preserve">’s </w:t>
      </w:r>
      <w:r w:rsidRPr="007923F2">
        <w:rPr>
          <w:lang w:val="en-GB" w:eastAsia="en-AU"/>
        </w:rPr>
        <w:t>corporate group is nevertheless eligible</w:t>
      </w:r>
      <w:r w:rsidR="00FF4EC8">
        <w:rPr>
          <w:lang w:val="en-GB" w:eastAsia="en-AU"/>
        </w:rPr>
        <w:t xml:space="preserve"> for the R&amp;D tax credit regime.</w:t>
      </w:r>
    </w:p>
    <w:p w14:paraId="5B5C86A6" w14:textId="77777777" w:rsidR="000B36E9" w:rsidRPr="007923F2" w:rsidRDefault="000B36E9" w:rsidP="00EA5AF3">
      <w:pPr>
        <w:rPr>
          <w:lang w:val="en-GB" w:eastAsia="en-AU"/>
        </w:rPr>
      </w:pPr>
    </w:p>
    <w:p w14:paraId="07A665F9" w14:textId="77777777" w:rsidR="000B36E9" w:rsidRPr="007923F2" w:rsidRDefault="000B36E9" w:rsidP="00EA5AF3">
      <w:pPr>
        <w:pStyle w:val="Heading4"/>
      </w:pPr>
      <w:r w:rsidRPr="007923F2">
        <w:t>No explicit risk requirement</w:t>
      </w:r>
    </w:p>
    <w:p w14:paraId="15A2C8DE" w14:textId="77777777" w:rsidR="000B36E9" w:rsidRPr="007923F2" w:rsidRDefault="000B36E9" w:rsidP="00EA5AF3">
      <w:pPr>
        <w:rPr>
          <w:lang w:val="en-GB" w:eastAsia="en-AU"/>
        </w:rPr>
      </w:pPr>
    </w:p>
    <w:p w14:paraId="2100A419" w14:textId="3CE1387B" w:rsidR="000B36E9" w:rsidRDefault="00B81A72" w:rsidP="00EA5AF3">
      <w:pPr>
        <w:rPr>
          <w:lang w:val="en-GB" w:eastAsia="en-AU"/>
        </w:rPr>
      </w:pPr>
      <w:r>
        <w:rPr>
          <w:lang w:val="en-GB" w:eastAsia="en-AU"/>
        </w:rPr>
        <w:t>T</w:t>
      </w:r>
      <w:r w:rsidR="000B36E9" w:rsidRPr="007923F2">
        <w:rPr>
          <w:lang w:val="en-GB" w:eastAsia="en-AU"/>
        </w:rPr>
        <w:t xml:space="preserve">here is no explicit requirement for </w:t>
      </w:r>
      <w:r w:rsidR="00C70FB5">
        <w:rPr>
          <w:lang w:val="en-GB" w:eastAsia="en-AU"/>
        </w:rPr>
        <w:t>a person</w:t>
      </w:r>
      <w:r w:rsidR="00C70FB5" w:rsidRPr="007923F2">
        <w:rPr>
          <w:lang w:val="en-GB" w:eastAsia="en-AU"/>
        </w:rPr>
        <w:t xml:space="preserve"> </w:t>
      </w:r>
      <w:r w:rsidR="000B36E9" w:rsidRPr="007923F2">
        <w:rPr>
          <w:lang w:val="en-GB" w:eastAsia="en-AU"/>
        </w:rPr>
        <w:t>to bear the financial risk associ</w:t>
      </w:r>
      <w:r w:rsidR="004E20D5">
        <w:rPr>
          <w:lang w:val="en-GB" w:eastAsia="en-AU"/>
        </w:rPr>
        <w:t xml:space="preserve">ated with their R&amp;D activities. This means that R&amp;D </w:t>
      </w:r>
      <w:r w:rsidR="00C70FB5">
        <w:rPr>
          <w:lang w:val="en-GB" w:eastAsia="en-AU"/>
        </w:rPr>
        <w:t xml:space="preserve">activities </w:t>
      </w:r>
      <w:r w:rsidR="004E20D5">
        <w:rPr>
          <w:lang w:val="en-GB" w:eastAsia="en-AU"/>
        </w:rPr>
        <w:t xml:space="preserve">undertaken by a New Zealand subsidiary at the </w:t>
      </w:r>
      <w:r w:rsidR="00E56B56">
        <w:rPr>
          <w:lang w:val="en-GB" w:eastAsia="en-AU"/>
        </w:rPr>
        <w:t>request</w:t>
      </w:r>
      <w:r w:rsidR="004E20D5">
        <w:rPr>
          <w:lang w:val="en-GB" w:eastAsia="en-AU"/>
        </w:rPr>
        <w:t xml:space="preserve"> of, and on a fee for service basis for, its foreign parent wi</w:t>
      </w:r>
      <w:r w:rsidR="00FF4EC8">
        <w:rPr>
          <w:lang w:val="en-GB" w:eastAsia="en-AU"/>
        </w:rPr>
        <w:t>ll be eligible.</w:t>
      </w:r>
    </w:p>
    <w:p w14:paraId="1DEEA21A" w14:textId="77777777" w:rsidR="007A4CBD" w:rsidRPr="007923F2" w:rsidRDefault="007A4CBD" w:rsidP="00EA5AF3">
      <w:pPr>
        <w:rPr>
          <w:lang w:val="en-GB" w:eastAsia="en-AU"/>
        </w:rPr>
      </w:pPr>
    </w:p>
    <w:p w14:paraId="30A41672" w14:textId="77777777" w:rsidR="000B36E9" w:rsidRPr="007923F2" w:rsidRDefault="000B36E9" w:rsidP="00EA5AF3">
      <w:pPr>
        <w:pStyle w:val="Heading3"/>
      </w:pPr>
      <w:r w:rsidRPr="007923F2">
        <w:t>Ineligible persons</w:t>
      </w:r>
    </w:p>
    <w:p w14:paraId="21FDD235" w14:textId="77777777" w:rsidR="000B36E9" w:rsidRPr="007923F2" w:rsidRDefault="000B36E9" w:rsidP="00EA5AF3">
      <w:pPr>
        <w:rPr>
          <w:lang w:val="en-GB" w:eastAsia="en-AU"/>
        </w:rPr>
      </w:pPr>
    </w:p>
    <w:p w14:paraId="2175F6F9" w14:textId="77777777" w:rsidR="000B36E9" w:rsidRPr="007923F2" w:rsidRDefault="000B36E9" w:rsidP="000B36E9">
      <w:pPr>
        <w:pStyle w:val="Heading4"/>
      </w:pPr>
      <w:r w:rsidRPr="00EA5AF3">
        <w:t>F</w:t>
      </w:r>
      <w:r w:rsidRPr="007923F2">
        <w:t>iling deadline</w:t>
      </w:r>
    </w:p>
    <w:p w14:paraId="45907F61" w14:textId="77777777" w:rsidR="000B36E9" w:rsidRPr="007923F2" w:rsidRDefault="000B36E9" w:rsidP="00EA5AF3">
      <w:pPr>
        <w:rPr>
          <w:lang w:eastAsia="en-AU"/>
        </w:rPr>
      </w:pPr>
    </w:p>
    <w:p w14:paraId="53738CAC" w14:textId="525A218E" w:rsidR="00C70FB5" w:rsidRDefault="00C70FB5" w:rsidP="00EA5AF3">
      <w:pPr>
        <w:rPr>
          <w:lang w:eastAsia="en-AU"/>
        </w:rPr>
      </w:pPr>
      <w:r>
        <w:rPr>
          <w:lang w:eastAsia="en-AU"/>
        </w:rPr>
        <w:t xml:space="preserve">R&amp;D supplementary </w:t>
      </w:r>
      <w:r w:rsidRPr="007923F2">
        <w:rPr>
          <w:lang w:eastAsia="en-AU"/>
        </w:rPr>
        <w:t>return</w:t>
      </w:r>
      <w:r>
        <w:rPr>
          <w:lang w:eastAsia="en-AU"/>
        </w:rPr>
        <w:t>s</w:t>
      </w:r>
      <w:r w:rsidRPr="007923F2">
        <w:rPr>
          <w:lang w:eastAsia="en-AU"/>
        </w:rPr>
        <w:t xml:space="preserve"> </w:t>
      </w:r>
      <w:r>
        <w:rPr>
          <w:lang w:eastAsia="en-AU"/>
        </w:rPr>
        <w:t xml:space="preserve">are </w:t>
      </w:r>
      <w:r w:rsidRPr="007923F2">
        <w:rPr>
          <w:lang w:eastAsia="en-AU"/>
        </w:rPr>
        <w:t xml:space="preserve">due </w:t>
      </w:r>
      <w:r w:rsidR="00CD5202">
        <w:rPr>
          <w:lang w:eastAsia="en-AU"/>
        </w:rPr>
        <w:t xml:space="preserve">within 30 days of </w:t>
      </w:r>
      <w:r w:rsidRPr="007923F2">
        <w:rPr>
          <w:lang w:eastAsia="en-AU"/>
        </w:rPr>
        <w:t xml:space="preserve">the </w:t>
      </w:r>
      <w:r>
        <w:rPr>
          <w:lang w:eastAsia="en-AU"/>
        </w:rPr>
        <w:t xml:space="preserve">usual </w:t>
      </w:r>
      <w:r w:rsidRPr="007923F2">
        <w:rPr>
          <w:lang w:eastAsia="en-AU"/>
        </w:rPr>
        <w:t xml:space="preserve">date prescribed </w:t>
      </w:r>
      <w:r>
        <w:rPr>
          <w:lang w:eastAsia="en-AU"/>
        </w:rPr>
        <w:t xml:space="preserve">by </w:t>
      </w:r>
      <w:r w:rsidRPr="007923F2">
        <w:rPr>
          <w:lang w:eastAsia="en-AU"/>
        </w:rPr>
        <w:t xml:space="preserve">section 37 of </w:t>
      </w:r>
      <w:r>
        <w:rPr>
          <w:lang w:eastAsia="en-AU"/>
        </w:rPr>
        <w:t>TAA</w:t>
      </w:r>
      <w:r w:rsidR="00CD5202">
        <w:rPr>
          <w:lang w:eastAsia="en-AU"/>
        </w:rPr>
        <w:t xml:space="preserve"> for income tax returns</w:t>
      </w:r>
      <w:r w:rsidR="00FF4EC8">
        <w:rPr>
          <w:lang w:eastAsia="en-AU"/>
        </w:rPr>
        <w:t>.</w:t>
      </w:r>
    </w:p>
    <w:p w14:paraId="12E8738F" w14:textId="77777777" w:rsidR="00C70FB5" w:rsidRDefault="00C70FB5" w:rsidP="00EA5AF3">
      <w:pPr>
        <w:rPr>
          <w:lang w:eastAsia="en-AU"/>
        </w:rPr>
      </w:pPr>
    </w:p>
    <w:p w14:paraId="7AA5FCF4" w14:textId="64CE0682" w:rsidR="00C70FB5" w:rsidRPr="007923F2" w:rsidRDefault="00C70FB5" w:rsidP="00EA5AF3">
      <w:pPr>
        <w:rPr>
          <w:lang w:eastAsia="en-AU"/>
        </w:rPr>
      </w:pPr>
      <w:r>
        <w:rPr>
          <w:lang w:eastAsia="en-AU"/>
        </w:rPr>
        <w:t xml:space="preserve">A person may not apply for </w:t>
      </w:r>
      <w:r w:rsidRPr="007923F2">
        <w:rPr>
          <w:lang w:eastAsia="en-AU"/>
        </w:rPr>
        <w:t>R&amp;D tax credit</w:t>
      </w:r>
      <w:r>
        <w:rPr>
          <w:lang w:eastAsia="en-AU"/>
        </w:rPr>
        <w:t>s</w:t>
      </w:r>
      <w:r w:rsidRPr="007923F2">
        <w:rPr>
          <w:lang w:eastAsia="en-AU"/>
        </w:rPr>
        <w:t xml:space="preserve"> if they have not filed </w:t>
      </w:r>
      <w:r>
        <w:rPr>
          <w:lang w:eastAsia="en-AU"/>
        </w:rPr>
        <w:t xml:space="preserve">an </w:t>
      </w:r>
      <w:r w:rsidRPr="007923F2">
        <w:rPr>
          <w:lang w:eastAsia="en-AU"/>
        </w:rPr>
        <w:t>income tax return</w:t>
      </w:r>
      <w:r>
        <w:rPr>
          <w:lang w:eastAsia="en-AU"/>
        </w:rPr>
        <w:t xml:space="preserve"> for the relevant income year </w:t>
      </w:r>
      <w:r w:rsidR="009A06D6">
        <w:rPr>
          <w:lang w:eastAsia="en-AU"/>
        </w:rPr>
        <w:t>(</w:t>
      </w:r>
      <w:r w:rsidRPr="007923F2">
        <w:rPr>
          <w:lang w:eastAsia="en-AU"/>
        </w:rPr>
        <w:t xml:space="preserve">containing their </w:t>
      </w:r>
      <w:r>
        <w:rPr>
          <w:lang w:eastAsia="en-AU"/>
        </w:rPr>
        <w:t xml:space="preserve">R&amp;D </w:t>
      </w:r>
      <w:r w:rsidRPr="007923F2">
        <w:rPr>
          <w:lang w:eastAsia="en-AU"/>
        </w:rPr>
        <w:t>tax credit claim</w:t>
      </w:r>
      <w:r w:rsidR="009A06D6">
        <w:rPr>
          <w:lang w:eastAsia="en-AU"/>
        </w:rPr>
        <w:t>)</w:t>
      </w:r>
      <w:r w:rsidRPr="007923F2">
        <w:rPr>
          <w:lang w:eastAsia="en-AU"/>
        </w:rPr>
        <w:t xml:space="preserve"> within </w:t>
      </w:r>
      <w:r>
        <w:rPr>
          <w:lang w:eastAsia="en-AU"/>
        </w:rPr>
        <w:t>one</w:t>
      </w:r>
      <w:r w:rsidRPr="007923F2">
        <w:rPr>
          <w:lang w:eastAsia="en-AU"/>
        </w:rPr>
        <w:t xml:space="preserve"> year after the latest date for them to file their income tax return. </w:t>
      </w:r>
      <w:r w:rsidR="009A06D6">
        <w:rPr>
          <w:lang w:eastAsia="en-AU"/>
        </w:rPr>
        <w:t>As a result, w</w:t>
      </w:r>
      <w:r w:rsidRPr="007923F2">
        <w:rPr>
          <w:lang w:eastAsia="en-AU"/>
        </w:rPr>
        <w:t xml:space="preserve">here </w:t>
      </w:r>
      <w:r>
        <w:rPr>
          <w:lang w:eastAsia="en-AU"/>
        </w:rPr>
        <w:t xml:space="preserve">a person files their </w:t>
      </w:r>
      <w:r w:rsidRPr="007923F2">
        <w:rPr>
          <w:lang w:eastAsia="en-AU"/>
        </w:rPr>
        <w:t>return late, it may only be up to a year late if the person wishes to claim an R&amp;D tax incentive.</w:t>
      </w:r>
    </w:p>
    <w:p w14:paraId="4CE60BD5" w14:textId="77777777" w:rsidR="00C70FB5" w:rsidRDefault="00C70FB5" w:rsidP="00EA5AF3">
      <w:pPr>
        <w:rPr>
          <w:lang w:eastAsia="en-AU"/>
        </w:rPr>
      </w:pPr>
    </w:p>
    <w:p w14:paraId="3060D980" w14:textId="06C77116" w:rsidR="000B36E9" w:rsidRPr="007923F2" w:rsidRDefault="000B36E9" w:rsidP="00EA5AF3">
      <w:pPr>
        <w:rPr>
          <w:lang w:eastAsia="en-AU"/>
        </w:rPr>
      </w:pPr>
      <w:r w:rsidRPr="007923F2">
        <w:rPr>
          <w:lang w:eastAsia="en-AU"/>
        </w:rPr>
        <w:t>The rationale for this rule is to reduce taxpayers’ ability to retrospectively reclassify expenditure</w:t>
      </w:r>
      <w:r w:rsidR="00485279">
        <w:rPr>
          <w:lang w:eastAsia="en-AU"/>
        </w:rPr>
        <w:t xml:space="preserve">. </w:t>
      </w:r>
      <w:r w:rsidR="00EB7314">
        <w:rPr>
          <w:lang w:eastAsia="en-AU"/>
        </w:rPr>
        <w:t>See the section on</w:t>
      </w:r>
      <w:r w:rsidRPr="008E7A3B">
        <w:rPr>
          <w:lang w:eastAsia="en-AU"/>
        </w:rPr>
        <w:t xml:space="preserve"> </w:t>
      </w:r>
      <w:r w:rsidR="009F07BA" w:rsidRPr="009F07BA">
        <w:rPr>
          <w:rStyle w:val="Emphasis"/>
          <w:lang w:eastAsia="en-AU"/>
        </w:rPr>
        <w:t>Deadlines for filing and amending assessments</w:t>
      </w:r>
      <w:r w:rsidR="009F07BA">
        <w:rPr>
          <w:lang w:eastAsia="en-AU"/>
        </w:rPr>
        <w:t xml:space="preserve"> (</w:t>
      </w:r>
      <w:r w:rsidRPr="008E7A3B">
        <w:rPr>
          <w:lang w:eastAsia="en-AU"/>
        </w:rPr>
        <w:t xml:space="preserve">page </w:t>
      </w:r>
      <w:r w:rsidR="009F07BA">
        <w:rPr>
          <w:lang w:eastAsia="en-AU"/>
        </w:rPr>
        <w:t>91)</w:t>
      </w:r>
      <w:r w:rsidRPr="007923F2">
        <w:rPr>
          <w:lang w:eastAsia="en-AU"/>
        </w:rPr>
        <w:t xml:space="preserve"> for more information.</w:t>
      </w:r>
    </w:p>
    <w:p w14:paraId="0E84C54A" w14:textId="77777777" w:rsidR="000B36E9" w:rsidRPr="007923F2" w:rsidRDefault="000B36E9" w:rsidP="00EA5AF3">
      <w:pPr>
        <w:rPr>
          <w:lang w:eastAsia="en-AU"/>
        </w:rPr>
      </w:pPr>
    </w:p>
    <w:p w14:paraId="16916DCB" w14:textId="77777777" w:rsidR="000B36E9" w:rsidRPr="00EA5AF3" w:rsidRDefault="000B36E9" w:rsidP="00EA5AF3">
      <w:pPr>
        <w:pStyle w:val="Heading4"/>
      </w:pPr>
      <w:r w:rsidRPr="00EA5AF3">
        <w:t xml:space="preserve">Growth </w:t>
      </w:r>
      <w:r w:rsidR="009A06D6" w:rsidRPr="00EA5AF3">
        <w:t>Grants</w:t>
      </w:r>
    </w:p>
    <w:p w14:paraId="642DCA47" w14:textId="77777777" w:rsidR="000B36E9" w:rsidRPr="007923F2" w:rsidRDefault="000B36E9" w:rsidP="00EA5AF3">
      <w:pPr>
        <w:rPr>
          <w:lang w:eastAsia="en-AU"/>
        </w:rPr>
      </w:pPr>
    </w:p>
    <w:p w14:paraId="4BB5F536" w14:textId="3B7AB974" w:rsidR="000B36E9" w:rsidRPr="007923F2" w:rsidRDefault="009A06D6" w:rsidP="00EA5AF3">
      <w:pPr>
        <w:rPr>
          <w:lang w:eastAsia="en-AU"/>
        </w:rPr>
      </w:pPr>
      <w:r>
        <w:rPr>
          <w:lang w:eastAsia="en-AU"/>
        </w:rPr>
        <w:t>A</w:t>
      </w:r>
      <w:r w:rsidR="000B36E9" w:rsidRPr="007923F2">
        <w:rPr>
          <w:lang w:eastAsia="en-AU"/>
        </w:rPr>
        <w:t xml:space="preserve"> person who receives a Callaghan Innovation Growth Grant for </w:t>
      </w:r>
      <w:r w:rsidR="004E20D5">
        <w:rPr>
          <w:lang w:eastAsia="en-AU"/>
        </w:rPr>
        <w:t>the</w:t>
      </w:r>
      <w:r w:rsidR="000B36E9" w:rsidRPr="007923F2">
        <w:rPr>
          <w:lang w:eastAsia="en-AU"/>
        </w:rPr>
        <w:t xml:space="preserve"> </w:t>
      </w:r>
      <w:r w:rsidR="004E20D5">
        <w:rPr>
          <w:lang w:eastAsia="en-AU"/>
        </w:rPr>
        <w:t xml:space="preserve">whole, or a part, of an </w:t>
      </w:r>
      <w:r w:rsidR="000B36E9" w:rsidRPr="007923F2">
        <w:rPr>
          <w:lang w:eastAsia="en-AU"/>
        </w:rPr>
        <w:t>income year is not eligible for the R&amp;D tax credit</w:t>
      </w:r>
      <w:r>
        <w:rPr>
          <w:lang w:eastAsia="en-AU"/>
        </w:rPr>
        <w:t xml:space="preserve"> regime</w:t>
      </w:r>
      <w:r w:rsidR="00CD5202">
        <w:rPr>
          <w:lang w:eastAsia="en-AU"/>
        </w:rPr>
        <w:t xml:space="preserve"> for that year</w:t>
      </w:r>
      <w:r w:rsidR="000B36E9" w:rsidRPr="007923F2">
        <w:rPr>
          <w:lang w:eastAsia="en-AU"/>
        </w:rPr>
        <w:t xml:space="preserve">. This is a broad exclusion and </w:t>
      </w:r>
      <w:r>
        <w:rPr>
          <w:lang w:eastAsia="en-AU"/>
        </w:rPr>
        <w:t xml:space="preserve">even </w:t>
      </w:r>
      <w:r w:rsidR="000B36E9" w:rsidRPr="007923F2">
        <w:rPr>
          <w:lang w:eastAsia="en-AU"/>
        </w:rPr>
        <w:t xml:space="preserve">applies </w:t>
      </w:r>
      <w:r w:rsidR="004E20D5">
        <w:rPr>
          <w:lang w:eastAsia="en-AU"/>
        </w:rPr>
        <w:t xml:space="preserve">to R&amp;D expenditure for which </w:t>
      </w:r>
      <w:r w:rsidR="000B36E9" w:rsidRPr="007923F2">
        <w:rPr>
          <w:lang w:eastAsia="en-AU"/>
        </w:rPr>
        <w:t>the person hasn’t received a Growth Grant</w:t>
      </w:r>
      <w:r w:rsidR="004E20D5">
        <w:rPr>
          <w:lang w:eastAsia="en-AU"/>
        </w:rPr>
        <w:t xml:space="preserve">. The </w:t>
      </w:r>
      <w:r>
        <w:rPr>
          <w:lang w:eastAsia="en-AU"/>
        </w:rPr>
        <w:t xml:space="preserve">R&amp;D </w:t>
      </w:r>
      <w:r w:rsidR="004E20D5">
        <w:rPr>
          <w:lang w:eastAsia="en-AU"/>
        </w:rPr>
        <w:t xml:space="preserve">tax credit </w:t>
      </w:r>
      <w:r>
        <w:rPr>
          <w:lang w:eastAsia="en-AU"/>
        </w:rPr>
        <w:t xml:space="preserve">regime </w:t>
      </w:r>
      <w:r w:rsidR="004E20D5">
        <w:rPr>
          <w:lang w:eastAsia="en-AU"/>
        </w:rPr>
        <w:t>serves as a replacement to the Growth Grant</w:t>
      </w:r>
      <w:r>
        <w:rPr>
          <w:lang w:eastAsia="en-AU"/>
        </w:rPr>
        <w:t xml:space="preserve"> regime</w:t>
      </w:r>
      <w:r w:rsidR="004E20D5">
        <w:rPr>
          <w:lang w:eastAsia="en-AU"/>
        </w:rPr>
        <w:t xml:space="preserve">. For administrative and compliance reasons, firms currently receiving a Growth Grant must choose which scheme they operate under. For </w:t>
      </w:r>
      <w:r w:rsidR="009F07BA">
        <w:rPr>
          <w:lang w:eastAsia="en-AU"/>
        </w:rPr>
        <w:t>more</w:t>
      </w:r>
      <w:r w:rsidR="004E20D5">
        <w:rPr>
          <w:lang w:eastAsia="en-AU"/>
        </w:rPr>
        <w:t xml:space="preserve"> information about transition from </w:t>
      </w:r>
      <w:r>
        <w:rPr>
          <w:lang w:eastAsia="en-AU"/>
        </w:rPr>
        <w:t xml:space="preserve">the </w:t>
      </w:r>
      <w:r w:rsidR="004E20D5">
        <w:rPr>
          <w:lang w:eastAsia="en-AU"/>
        </w:rPr>
        <w:t xml:space="preserve">Growth </w:t>
      </w:r>
      <w:r>
        <w:rPr>
          <w:lang w:eastAsia="en-AU"/>
        </w:rPr>
        <w:t>Grant regime</w:t>
      </w:r>
      <w:r w:rsidR="004E20D5">
        <w:rPr>
          <w:lang w:eastAsia="en-AU"/>
        </w:rPr>
        <w:t xml:space="preserve">, </w:t>
      </w:r>
      <w:r w:rsidR="009F07BA">
        <w:rPr>
          <w:lang w:eastAsia="en-AU"/>
        </w:rPr>
        <w:t xml:space="preserve">see </w:t>
      </w:r>
      <w:r w:rsidR="00E56B56" w:rsidRPr="00C91B59">
        <w:t>Callaghan Innovation</w:t>
      </w:r>
      <w:r w:rsidR="00B128BB">
        <w:rPr>
          <w:rFonts w:eastAsia="Times New Roman" w:cs="Times New Roman"/>
          <w:szCs w:val="20"/>
          <w:lang w:eastAsia="en-AU"/>
        </w:rPr>
        <w:t>’s</w:t>
      </w:r>
      <w:r w:rsidR="00E56B56" w:rsidRPr="00C91B59">
        <w:t xml:space="preserve"> website</w:t>
      </w:r>
      <w:r w:rsidR="004E20D5">
        <w:rPr>
          <w:lang w:eastAsia="en-AU"/>
        </w:rPr>
        <w:t>.</w:t>
      </w:r>
      <w:r w:rsidR="00E56B56">
        <w:rPr>
          <w:rStyle w:val="FootnoteReference"/>
          <w:lang w:eastAsia="en-AU"/>
        </w:rPr>
        <w:footnoteReference w:id="2"/>
      </w:r>
    </w:p>
    <w:p w14:paraId="1E8CF648" w14:textId="77777777" w:rsidR="000B36E9" w:rsidRPr="007923F2" w:rsidRDefault="000B36E9" w:rsidP="00EA5AF3">
      <w:pPr>
        <w:rPr>
          <w:lang w:eastAsia="en-AU"/>
        </w:rPr>
      </w:pPr>
    </w:p>
    <w:p w14:paraId="20D0DD95" w14:textId="77777777" w:rsidR="000B36E9" w:rsidRPr="007923F2" w:rsidRDefault="000B36E9" w:rsidP="00EA5AF3">
      <w:pPr>
        <w:pStyle w:val="Heading4"/>
      </w:pPr>
      <w:r w:rsidRPr="007923F2">
        <w:t>R&amp;D contractors</w:t>
      </w:r>
    </w:p>
    <w:p w14:paraId="07D1642A" w14:textId="77777777" w:rsidR="000B36E9" w:rsidRPr="007923F2" w:rsidRDefault="000B36E9" w:rsidP="00EA5AF3">
      <w:pPr>
        <w:rPr>
          <w:lang w:eastAsia="en-AU"/>
        </w:rPr>
      </w:pPr>
    </w:p>
    <w:p w14:paraId="06FC5A3B" w14:textId="6A582C61" w:rsidR="000B36E9" w:rsidRPr="007923F2" w:rsidRDefault="009A06D6" w:rsidP="00EA5AF3">
      <w:pPr>
        <w:rPr>
          <w:lang w:eastAsia="en-AU"/>
        </w:rPr>
      </w:pPr>
      <w:r>
        <w:rPr>
          <w:lang w:eastAsia="en-AU"/>
        </w:rPr>
        <w:t xml:space="preserve">A person who </w:t>
      </w:r>
      <w:r w:rsidR="00B81A72">
        <w:rPr>
          <w:lang w:eastAsia="en-AU"/>
        </w:rPr>
        <w:t xml:space="preserve">is an </w:t>
      </w:r>
      <w:r w:rsidR="000B36E9" w:rsidRPr="007923F2">
        <w:rPr>
          <w:lang w:eastAsia="en-AU"/>
        </w:rPr>
        <w:t>R&amp;D contractor</w:t>
      </w:r>
      <w:r w:rsidR="00B81A72">
        <w:rPr>
          <w:lang w:eastAsia="en-AU"/>
        </w:rPr>
        <w:t>, and is paid to perform</w:t>
      </w:r>
      <w:r w:rsidR="000B36E9" w:rsidRPr="007923F2">
        <w:rPr>
          <w:lang w:eastAsia="en-AU"/>
        </w:rPr>
        <w:t xml:space="preserve"> an R&amp;D activity</w:t>
      </w:r>
      <w:r w:rsidR="00B81A72">
        <w:rPr>
          <w:lang w:eastAsia="en-AU"/>
        </w:rPr>
        <w:t xml:space="preserve"> on behalf of another person,</w:t>
      </w:r>
      <w:r w:rsidR="000B36E9" w:rsidRPr="007923F2">
        <w:rPr>
          <w:lang w:eastAsia="en-AU"/>
        </w:rPr>
        <w:t xml:space="preserve"> </w:t>
      </w:r>
      <w:r>
        <w:rPr>
          <w:lang w:eastAsia="en-AU"/>
        </w:rPr>
        <w:t xml:space="preserve">is </w:t>
      </w:r>
      <w:r w:rsidR="000B36E9" w:rsidRPr="007923F2">
        <w:rPr>
          <w:lang w:eastAsia="en-AU"/>
        </w:rPr>
        <w:t xml:space="preserve">ineligible for </w:t>
      </w:r>
      <w:r>
        <w:rPr>
          <w:lang w:eastAsia="en-AU"/>
        </w:rPr>
        <w:t xml:space="preserve">R&amp;D </w:t>
      </w:r>
      <w:r w:rsidR="000B36E9" w:rsidRPr="007923F2">
        <w:rPr>
          <w:lang w:eastAsia="en-AU"/>
        </w:rPr>
        <w:t>tax credit</w:t>
      </w:r>
      <w:r>
        <w:rPr>
          <w:lang w:eastAsia="en-AU"/>
        </w:rPr>
        <w:t>s in relation to that activity</w:t>
      </w:r>
      <w:r w:rsidR="00485279">
        <w:rPr>
          <w:lang w:eastAsia="en-AU"/>
        </w:rPr>
        <w:t xml:space="preserve">. </w:t>
      </w:r>
      <w:r w:rsidR="000B36E9" w:rsidRPr="007923F2">
        <w:rPr>
          <w:lang w:eastAsia="en-AU"/>
        </w:rPr>
        <w:t>The intent is that only principals receive the credit</w:t>
      </w:r>
      <w:r w:rsidR="00485279">
        <w:rPr>
          <w:lang w:eastAsia="en-AU"/>
        </w:rPr>
        <w:t xml:space="preserve">. </w:t>
      </w:r>
      <w:r>
        <w:rPr>
          <w:lang w:eastAsia="en-AU"/>
        </w:rPr>
        <w:t>P</w:t>
      </w:r>
      <w:r w:rsidR="000B36E9" w:rsidRPr="007923F2">
        <w:rPr>
          <w:lang w:eastAsia="en-AU"/>
        </w:rPr>
        <w:t>rincipal</w:t>
      </w:r>
      <w:r>
        <w:rPr>
          <w:lang w:eastAsia="en-AU"/>
        </w:rPr>
        <w:t>s</w:t>
      </w:r>
      <w:r w:rsidR="000B36E9" w:rsidRPr="007923F2">
        <w:rPr>
          <w:lang w:eastAsia="en-AU"/>
        </w:rPr>
        <w:t xml:space="preserve"> deci</w:t>
      </w:r>
      <w:r>
        <w:rPr>
          <w:lang w:eastAsia="en-AU"/>
        </w:rPr>
        <w:t>de</w:t>
      </w:r>
      <w:r w:rsidR="000B36E9" w:rsidRPr="007923F2">
        <w:rPr>
          <w:lang w:eastAsia="en-AU"/>
        </w:rPr>
        <w:t xml:space="preserve"> </w:t>
      </w:r>
      <w:r>
        <w:rPr>
          <w:lang w:eastAsia="en-AU"/>
        </w:rPr>
        <w:t xml:space="preserve">whether to </w:t>
      </w:r>
      <w:r w:rsidR="000B36E9" w:rsidRPr="007923F2">
        <w:rPr>
          <w:lang w:eastAsia="en-AU"/>
        </w:rPr>
        <w:t>invest in R&amp;D</w:t>
      </w:r>
      <w:r>
        <w:rPr>
          <w:lang w:eastAsia="en-AU"/>
        </w:rPr>
        <w:t xml:space="preserve"> activities</w:t>
      </w:r>
      <w:r w:rsidR="000B36E9" w:rsidRPr="007923F2">
        <w:rPr>
          <w:lang w:eastAsia="en-AU"/>
        </w:rPr>
        <w:t xml:space="preserve">, </w:t>
      </w:r>
      <w:r>
        <w:rPr>
          <w:lang w:eastAsia="en-AU"/>
        </w:rPr>
        <w:t xml:space="preserve">so </w:t>
      </w:r>
      <w:r w:rsidR="000B36E9" w:rsidRPr="007923F2">
        <w:rPr>
          <w:lang w:eastAsia="en-AU"/>
        </w:rPr>
        <w:t xml:space="preserve">it is appropriate </w:t>
      </w:r>
      <w:r>
        <w:rPr>
          <w:lang w:eastAsia="en-AU"/>
        </w:rPr>
        <w:t xml:space="preserve">for </w:t>
      </w:r>
      <w:r w:rsidR="000B36E9" w:rsidRPr="007923F2">
        <w:rPr>
          <w:lang w:eastAsia="en-AU"/>
        </w:rPr>
        <w:t>principal</w:t>
      </w:r>
      <w:r>
        <w:rPr>
          <w:lang w:eastAsia="en-AU"/>
        </w:rPr>
        <w:t>s to</w:t>
      </w:r>
      <w:r w:rsidR="000B36E9" w:rsidRPr="007923F2">
        <w:rPr>
          <w:lang w:eastAsia="en-AU"/>
        </w:rPr>
        <w:t xml:space="preserve"> receive </w:t>
      </w:r>
      <w:r>
        <w:rPr>
          <w:lang w:eastAsia="en-AU"/>
        </w:rPr>
        <w:t xml:space="preserve">R&amp;D tax </w:t>
      </w:r>
      <w:r w:rsidR="000B36E9" w:rsidRPr="007923F2">
        <w:rPr>
          <w:lang w:eastAsia="en-AU"/>
        </w:rPr>
        <w:t>credit</w:t>
      </w:r>
      <w:r>
        <w:rPr>
          <w:lang w:eastAsia="en-AU"/>
        </w:rPr>
        <w:t>s</w:t>
      </w:r>
      <w:r w:rsidR="000B36E9" w:rsidRPr="007923F2">
        <w:rPr>
          <w:lang w:eastAsia="en-AU"/>
        </w:rPr>
        <w:t xml:space="preserve"> to recognise their investment in R&amp;D and to incentivise further R&amp;D.</w:t>
      </w:r>
    </w:p>
    <w:p w14:paraId="1A1E3B0A" w14:textId="77777777" w:rsidR="000B36E9" w:rsidRPr="007923F2" w:rsidRDefault="000B36E9" w:rsidP="00EA5AF3">
      <w:pPr>
        <w:rPr>
          <w:lang w:eastAsia="en-AU"/>
        </w:rPr>
      </w:pPr>
    </w:p>
    <w:p w14:paraId="14CBAB8D" w14:textId="7650700A" w:rsidR="000B36E9" w:rsidRPr="007923F2" w:rsidRDefault="000B36E9" w:rsidP="00EA5AF3">
      <w:pPr>
        <w:rPr>
          <w:lang w:eastAsia="en-AU"/>
        </w:rPr>
      </w:pPr>
      <w:r w:rsidRPr="007923F2">
        <w:rPr>
          <w:lang w:eastAsia="en-AU"/>
        </w:rPr>
        <w:t>An R&amp;D contractor may be eligible if they are acting in a different capacity</w:t>
      </w:r>
      <w:r w:rsidR="00485279">
        <w:rPr>
          <w:lang w:eastAsia="en-AU"/>
        </w:rPr>
        <w:t xml:space="preserve">. </w:t>
      </w:r>
      <w:r w:rsidRPr="007923F2">
        <w:rPr>
          <w:lang w:eastAsia="en-AU"/>
        </w:rPr>
        <w:t>For example, if a person contracted to perform R&amp;D was also doing some R&amp;D that they were not contracted to perform, then they would not be an R&amp;D contractor in relation to that second activity and may be eligible to receive an R&amp;D tax credit</w:t>
      </w:r>
      <w:r w:rsidR="00B81A72">
        <w:rPr>
          <w:lang w:eastAsia="en-AU"/>
        </w:rPr>
        <w:t xml:space="preserve"> as a principal</w:t>
      </w:r>
      <w:r w:rsidRPr="007923F2">
        <w:rPr>
          <w:lang w:eastAsia="en-AU"/>
        </w:rPr>
        <w:t>.</w:t>
      </w:r>
    </w:p>
    <w:p w14:paraId="64810D8C" w14:textId="77777777" w:rsidR="000B36E9" w:rsidRPr="007923F2" w:rsidRDefault="000B36E9" w:rsidP="00EA5AF3">
      <w:pPr>
        <w:rPr>
          <w:lang w:eastAsia="en-AU"/>
        </w:rPr>
      </w:pPr>
    </w:p>
    <w:p w14:paraId="45F19F15" w14:textId="77777777" w:rsidR="000B36E9" w:rsidRPr="007923F2" w:rsidRDefault="000B36E9" w:rsidP="00FF4EC8">
      <w:pPr>
        <w:pStyle w:val="Heading4"/>
      </w:pPr>
      <w:r w:rsidRPr="007923F2">
        <w:t>Certain Crown entities and their associates</w:t>
      </w:r>
    </w:p>
    <w:p w14:paraId="6170BFB2" w14:textId="77777777" w:rsidR="000B36E9" w:rsidRPr="007923F2" w:rsidRDefault="000B36E9" w:rsidP="00EA5AF3">
      <w:pPr>
        <w:rPr>
          <w:lang w:eastAsia="en-AU"/>
        </w:rPr>
      </w:pPr>
    </w:p>
    <w:p w14:paraId="3D76EC0D" w14:textId="6A9EA6A5" w:rsidR="000B36E9" w:rsidRPr="004E20D5" w:rsidRDefault="000B36E9" w:rsidP="00EA5AF3">
      <w:pPr>
        <w:rPr>
          <w:szCs w:val="24"/>
          <w:lang w:val="en-GB" w:eastAsia="en-AU"/>
        </w:rPr>
      </w:pPr>
      <w:r w:rsidRPr="007923F2">
        <w:rPr>
          <w:lang w:eastAsia="en-AU"/>
        </w:rPr>
        <w:t>Crown research institutes</w:t>
      </w:r>
      <w:r w:rsidR="00F41C40">
        <w:rPr>
          <w:lang w:eastAsia="en-AU"/>
        </w:rPr>
        <w:t xml:space="preserve"> (CRIs)</w:t>
      </w:r>
      <w:r w:rsidRPr="007923F2">
        <w:rPr>
          <w:lang w:eastAsia="en-AU"/>
        </w:rPr>
        <w:t xml:space="preserve">, district health boards </w:t>
      </w:r>
      <w:r w:rsidR="00F41C40">
        <w:rPr>
          <w:lang w:eastAsia="en-AU"/>
        </w:rPr>
        <w:t xml:space="preserve">(DHBs) </w:t>
      </w:r>
      <w:r w:rsidRPr="007923F2">
        <w:rPr>
          <w:lang w:eastAsia="en-AU"/>
        </w:rPr>
        <w:t>and tertiary education organisations</w:t>
      </w:r>
      <w:r w:rsidR="00F41C40">
        <w:rPr>
          <w:lang w:eastAsia="en-AU"/>
        </w:rPr>
        <w:t xml:space="preserve"> (</w:t>
      </w:r>
      <w:r w:rsidR="00B128BB">
        <w:rPr>
          <w:lang w:eastAsia="en-AU"/>
        </w:rPr>
        <w:t>TEO</w:t>
      </w:r>
      <w:r w:rsidR="00F41C40">
        <w:rPr>
          <w:lang w:eastAsia="en-AU"/>
        </w:rPr>
        <w:t>)</w:t>
      </w:r>
      <w:r w:rsidRPr="007923F2">
        <w:rPr>
          <w:lang w:eastAsia="en-AU"/>
        </w:rPr>
        <w:t xml:space="preserve">, their associates and entities controlled by them are not eligible for </w:t>
      </w:r>
      <w:r w:rsidR="00CF15A9">
        <w:rPr>
          <w:lang w:eastAsia="en-AU"/>
        </w:rPr>
        <w:t xml:space="preserve">R&amp;D tax </w:t>
      </w:r>
      <w:r w:rsidRPr="007923F2">
        <w:rPr>
          <w:lang w:eastAsia="en-AU"/>
        </w:rPr>
        <w:t>credit</w:t>
      </w:r>
      <w:r w:rsidR="00CF15A9">
        <w:rPr>
          <w:lang w:eastAsia="en-AU"/>
        </w:rPr>
        <w:t>s</w:t>
      </w:r>
      <w:r w:rsidRPr="007923F2">
        <w:rPr>
          <w:lang w:eastAsia="en-AU"/>
        </w:rPr>
        <w:t xml:space="preserve">. The </w:t>
      </w:r>
      <w:r w:rsidR="00CF15A9">
        <w:rPr>
          <w:lang w:eastAsia="en-AU"/>
        </w:rPr>
        <w:t xml:space="preserve">R&amp;D tax </w:t>
      </w:r>
      <w:r w:rsidRPr="007923F2">
        <w:rPr>
          <w:lang w:eastAsia="en-AU"/>
        </w:rPr>
        <w:t xml:space="preserve">credit </w:t>
      </w:r>
      <w:r w:rsidR="00CF15A9">
        <w:rPr>
          <w:lang w:eastAsia="en-AU"/>
        </w:rPr>
        <w:t xml:space="preserve">regime </w:t>
      </w:r>
      <w:r w:rsidRPr="007923F2">
        <w:rPr>
          <w:lang w:eastAsia="en-AU"/>
        </w:rPr>
        <w:t>is designed to targ</w:t>
      </w:r>
      <w:r w:rsidR="004E20D5">
        <w:rPr>
          <w:lang w:eastAsia="en-AU"/>
        </w:rPr>
        <w:t>et private sector business R&amp;D.</w:t>
      </w:r>
      <w:r w:rsidRPr="007923F2">
        <w:rPr>
          <w:lang w:eastAsia="en-AU"/>
        </w:rPr>
        <w:t xml:space="preserve"> </w:t>
      </w:r>
      <w:r w:rsidR="004E20D5">
        <w:rPr>
          <w:szCs w:val="24"/>
          <w:lang w:val="en-GB" w:eastAsia="en-AU"/>
        </w:rPr>
        <w:t>T</w:t>
      </w:r>
      <w:r w:rsidRPr="007923F2">
        <w:rPr>
          <w:szCs w:val="24"/>
          <w:lang w:val="en-GB" w:eastAsia="en-AU"/>
        </w:rPr>
        <w:t xml:space="preserve">he </w:t>
      </w:r>
      <w:r w:rsidR="00F41C40">
        <w:rPr>
          <w:szCs w:val="24"/>
          <w:lang w:val="en-GB" w:eastAsia="en-AU"/>
        </w:rPr>
        <w:t>G</w:t>
      </w:r>
      <w:r w:rsidR="00F41C40" w:rsidRPr="007923F2">
        <w:rPr>
          <w:szCs w:val="24"/>
          <w:lang w:val="en-GB" w:eastAsia="en-AU"/>
        </w:rPr>
        <w:t xml:space="preserve">overnment </w:t>
      </w:r>
      <w:r w:rsidR="004E20D5">
        <w:rPr>
          <w:szCs w:val="24"/>
          <w:lang w:val="en-GB" w:eastAsia="en-AU"/>
        </w:rPr>
        <w:t xml:space="preserve">has </w:t>
      </w:r>
      <w:r w:rsidRPr="007923F2">
        <w:rPr>
          <w:szCs w:val="24"/>
          <w:lang w:val="en-GB" w:eastAsia="en-AU"/>
        </w:rPr>
        <w:t xml:space="preserve">more effective and appropriate ways to </w:t>
      </w:r>
      <w:r w:rsidR="004E20D5">
        <w:rPr>
          <w:szCs w:val="24"/>
          <w:lang w:val="en-GB" w:eastAsia="en-AU"/>
        </w:rPr>
        <w:t xml:space="preserve">increase the amount of R&amp;D that </w:t>
      </w:r>
      <w:r w:rsidR="00CD5202">
        <w:rPr>
          <w:szCs w:val="24"/>
          <w:lang w:val="en-GB" w:eastAsia="en-AU"/>
        </w:rPr>
        <w:t xml:space="preserve">CRIs, DHBs, and TEOs </w:t>
      </w:r>
      <w:r w:rsidR="00FF4EC8">
        <w:rPr>
          <w:szCs w:val="24"/>
          <w:lang w:val="en-GB" w:eastAsia="en-AU"/>
        </w:rPr>
        <w:t>undertake.</w:t>
      </w:r>
    </w:p>
    <w:p w14:paraId="164A8724" w14:textId="77777777" w:rsidR="000B36E9" w:rsidRPr="007923F2" w:rsidRDefault="000B36E9" w:rsidP="00EA5AF3">
      <w:pPr>
        <w:rPr>
          <w:szCs w:val="24"/>
          <w:lang w:val="en-GB" w:eastAsia="en-AU"/>
        </w:rPr>
      </w:pPr>
    </w:p>
    <w:p w14:paraId="442F3071" w14:textId="77777777" w:rsidR="000B36E9" w:rsidRDefault="000B36E9" w:rsidP="00EA5AF3">
      <w:pPr>
        <w:rPr>
          <w:szCs w:val="24"/>
          <w:lang w:val="en-GB" w:eastAsia="en-AU"/>
        </w:rPr>
      </w:pPr>
      <w:r w:rsidRPr="007923F2">
        <w:rPr>
          <w:szCs w:val="24"/>
          <w:lang w:val="en-GB" w:eastAsia="en-AU"/>
        </w:rPr>
        <w:t xml:space="preserve">The policy to exclude </w:t>
      </w:r>
      <w:r w:rsidR="00F41C40">
        <w:rPr>
          <w:szCs w:val="24"/>
          <w:lang w:val="en-GB" w:eastAsia="en-AU"/>
        </w:rPr>
        <w:t>CRIs</w:t>
      </w:r>
      <w:r w:rsidRPr="007923F2">
        <w:rPr>
          <w:szCs w:val="24"/>
          <w:lang w:val="en-GB" w:eastAsia="en-AU"/>
        </w:rPr>
        <w:t xml:space="preserve">, </w:t>
      </w:r>
      <w:r w:rsidR="00F41C40">
        <w:rPr>
          <w:szCs w:val="24"/>
          <w:lang w:val="en-GB" w:eastAsia="en-AU"/>
        </w:rPr>
        <w:t>TEOs</w:t>
      </w:r>
      <w:r w:rsidRPr="007923F2">
        <w:rPr>
          <w:szCs w:val="24"/>
          <w:lang w:val="en-GB" w:eastAsia="en-AU"/>
        </w:rPr>
        <w:t xml:space="preserve">, and </w:t>
      </w:r>
      <w:r w:rsidR="00F41C40">
        <w:rPr>
          <w:szCs w:val="24"/>
          <w:lang w:val="en-GB" w:eastAsia="en-AU"/>
        </w:rPr>
        <w:t xml:space="preserve">DHBs </w:t>
      </w:r>
      <w:r w:rsidRPr="007923F2">
        <w:rPr>
          <w:szCs w:val="24"/>
          <w:lang w:val="en-GB" w:eastAsia="en-AU"/>
        </w:rPr>
        <w:t xml:space="preserve">from </w:t>
      </w:r>
      <w:r w:rsidR="00F41C40">
        <w:rPr>
          <w:szCs w:val="24"/>
          <w:lang w:val="en-GB" w:eastAsia="en-AU"/>
        </w:rPr>
        <w:t xml:space="preserve">the R&amp;D </w:t>
      </w:r>
      <w:r w:rsidRPr="007923F2">
        <w:rPr>
          <w:szCs w:val="24"/>
          <w:lang w:val="en-GB" w:eastAsia="en-AU"/>
        </w:rPr>
        <w:t xml:space="preserve">tax credit </w:t>
      </w:r>
      <w:r w:rsidR="00F41C40">
        <w:rPr>
          <w:szCs w:val="24"/>
          <w:lang w:val="en-GB" w:eastAsia="en-AU"/>
        </w:rPr>
        <w:t xml:space="preserve">regime </w:t>
      </w:r>
      <w:r w:rsidRPr="007923F2">
        <w:rPr>
          <w:szCs w:val="24"/>
          <w:lang w:val="en-GB" w:eastAsia="en-AU"/>
        </w:rPr>
        <w:t>would be ineffective if associates of these entities were not excluded.</w:t>
      </w:r>
    </w:p>
    <w:p w14:paraId="61623A03" w14:textId="77777777" w:rsidR="004E20D5" w:rsidRDefault="004E20D5" w:rsidP="00EA5AF3">
      <w:pPr>
        <w:rPr>
          <w:szCs w:val="24"/>
          <w:lang w:val="en-GB" w:eastAsia="en-AU"/>
        </w:rPr>
      </w:pPr>
    </w:p>
    <w:p w14:paraId="10587290" w14:textId="66E8C078" w:rsidR="004E20D5" w:rsidRDefault="00F41C40" w:rsidP="00EA5AF3">
      <w:pPr>
        <w:rPr>
          <w:szCs w:val="24"/>
          <w:lang w:val="en-GB" w:eastAsia="en-AU"/>
        </w:rPr>
      </w:pPr>
      <w:r>
        <w:rPr>
          <w:szCs w:val="24"/>
          <w:lang w:val="en-GB" w:eastAsia="en-AU"/>
        </w:rPr>
        <w:t xml:space="preserve">While these entities are excluded, they are able to nevertheless perform R&amp;D for other people as R&amp;D contractors. </w:t>
      </w:r>
      <w:r w:rsidR="00DF5A83">
        <w:rPr>
          <w:szCs w:val="24"/>
          <w:lang w:val="en-GB" w:eastAsia="en-AU"/>
        </w:rPr>
        <w:t xml:space="preserve">It is </w:t>
      </w:r>
      <w:r>
        <w:rPr>
          <w:szCs w:val="24"/>
          <w:lang w:val="en-GB" w:eastAsia="en-AU"/>
        </w:rPr>
        <w:t xml:space="preserve">expected </w:t>
      </w:r>
      <w:r w:rsidR="00DF5A83">
        <w:rPr>
          <w:szCs w:val="24"/>
          <w:lang w:val="en-GB" w:eastAsia="en-AU"/>
        </w:rPr>
        <w:t xml:space="preserve">that some of </w:t>
      </w:r>
      <w:r>
        <w:rPr>
          <w:szCs w:val="24"/>
          <w:lang w:val="en-GB" w:eastAsia="en-AU"/>
        </w:rPr>
        <w:t xml:space="preserve">excluded entities </w:t>
      </w:r>
      <w:r w:rsidR="00DF5A83">
        <w:rPr>
          <w:szCs w:val="24"/>
          <w:lang w:val="en-GB" w:eastAsia="en-AU"/>
        </w:rPr>
        <w:t xml:space="preserve">will </w:t>
      </w:r>
      <w:r>
        <w:rPr>
          <w:szCs w:val="24"/>
          <w:lang w:val="en-GB" w:eastAsia="en-AU"/>
        </w:rPr>
        <w:t>apply to be</w:t>
      </w:r>
      <w:r w:rsidR="00DF5A83">
        <w:rPr>
          <w:szCs w:val="24"/>
          <w:lang w:val="en-GB" w:eastAsia="en-AU"/>
        </w:rPr>
        <w:t xml:space="preserve"> approved research providers</w:t>
      </w:r>
      <w:r w:rsidR="001D48CD">
        <w:rPr>
          <w:szCs w:val="24"/>
          <w:lang w:val="en-GB" w:eastAsia="en-AU"/>
        </w:rPr>
        <w:t xml:space="preserve">. </w:t>
      </w:r>
      <w:r w:rsidR="00EB7314">
        <w:rPr>
          <w:szCs w:val="24"/>
          <w:lang w:val="en-GB" w:eastAsia="en-AU"/>
        </w:rPr>
        <w:t xml:space="preserve">See the section on </w:t>
      </w:r>
      <w:r w:rsidR="001D48CD" w:rsidRPr="001D48CD">
        <w:rPr>
          <w:rStyle w:val="Emphasis"/>
          <w:lang w:val="en-GB" w:eastAsia="en-AU"/>
        </w:rPr>
        <w:t>Approved research providers</w:t>
      </w:r>
      <w:r w:rsidR="001D48CD">
        <w:rPr>
          <w:szCs w:val="24"/>
          <w:lang w:val="en-GB" w:eastAsia="en-AU"/>
        </w:rPr>
        <w:t xml:space="preserve"> (</w:t>
      </w:r>
      <w:r w:rsidRPr="008E7A3B">
        <w:rPr>
          <w:szCs w:val="24"/>
          <w:lang w:val="en-GB" w:eastAsia="en-AU"/>
        </w:rPr>
        <w:t xml:space="preserve">page </w:t>
      </w:r>
      <w:r w:rsidR="001D48CD">
        <w:rPr>
          <w:szCs w:val="24"/>
          <w:lang w:val="en-GB" w:eastAsia="en-AU"/>
        </w:rPr>
        <w:t>65)</w:t>
      </w:r>
      <w:r w:rsidRPr="008E7A3B">
        <w:rPr>
          <w:szCs w:val="24"/>
          <w:lang w:val="en-GB" w:eastAsia="en-AU"/>
        </w:rPr>
        <w:t xml:space="preserve"> </w:t>
      </w:r>
      <w:r>
        <w:rPr>
          <w:szCs w:val="24"/>
          <w:lang w:val="en-GB" w:eastAsia="en-AU"/>
        </w:rPr>
        <w:t>for more information</w:t>
      </w:r>
      <w:r w:rsidR="00DF5A83">
        <w:rPr>
          <w:szCs w:val="24"/>
          <w:lang w:val="en-GB" w:eastAsia="en-AU"/>
        </w:rPr>
        <w:t>.</w:t>
      </w:r>
    </w:p>
    <w:p w14:paraId="2EB16DBB" w14:textId="77777777" w:rsidR="00421265" w:rsidRDefault="00421265" w:rsidP="00EA5AF3">
      <w:pPr>
        <w:rPr>
          <w:szCs w:val="24"/>
          <w:lang w:val="en-GB" w:eastAsia="en-AU"/>
        </w:rPr>
      </w:pPr>
    </w:p>
    <w:p w14:paraId="67CB703B" w14:textId="449108B7" w:rsidR="00421265" w:rsidRPr="00612061" w:rsidRDefault="00E76E58" w:rsidP="00FF4EC8">
      <w:pPr>
        <w:pStyle w:val="Heading4"/>
      </w:pPr>
      <w:r w:rsidRPr="00612061">
        <w:t>Non-resident partners and non-resident owners of LTCs</w:t>
      </w:r>
    </w:p>
    <w:p w14:paraId="6B1F66CC" w14:textId="77777777" w:rsidR="00421265" w:rsidRPr="00612061" w:rsidRDefault="00421265" w:rsidP="00FF4EC8">
      <w:pPr>
        <w:rPr>
          <w:lang w:val="en-GB" w:eastAsia="en-AU"/>
        </w:rPr>
      </w:pPr>
    </w:p>
    <w:p w14:paraId="2EB7905B" w14:textId="0A2AFFC4" w:rsidR="00421265" w:rsidRDefault="00421265" w:rsidP="00FF4EC8">
      <w:pPr>
        <w:rPr>
          <w:lang w:val="en-GB" w:eastAsia="en-AU"/>
        </w:rPr>
      </w:pPr>
      <w:r w:rsidRPr="00612061">
        <w:rPr>
          <w:lang w:val="en-GB" w:eastAsia="en-AU"/>
        </w:rPr>
        <w:t xml:space="preserve">A person who is a partner in a partnership, or an owner of an LTC, must be a tax resident for the relevant income year to claim an R&amp;D tax credit </w:t>
      </w:r>
      <w:r w:rsidR="00B128BB">
        <w:rPr>
          <w:lang w:val="en-GB" w:eastAsia="en-AU"/>
        </w:rPr>
        <w:t>for</w:t>
      </w:r>
      <w:r w:rsidRPr="00612061">
        <w:rPr>
          <w:lang w:val="en-GB" w:eastAsia="en-AU"/>
        </w:rPr>
        <w:t xml:space="preserve"> that year. This is to ensure that only people with sufficient presence in New Zealand receive R&amp;D tax credits.</w:t>
      </w:r>
    </w:p>
    <w:p w14:paraId="66CD849A" w14:textId="77777777" w:rsidR="007A4CBD" w:rsidRDefault="007A4CBD" w:rsidP="00FF4EC8">
      <w:pPr>
        <w:rPr>
          <w:lang w:val="en-GB" w:eastAsia="en-AU"/>
        </w:rPr>
      </w:pPr>
    </w:p>
    <w:p w14:paraId="7564FAE2" w14:textId="77777777" w:rsidR="007A4CBD" w:rsidRPr="00421265" w:rsidRDefault="007A4CBD" w:rsidP="00FF4EC8">
      <w:pPr>
        <w:rPr>
          <w:lang w:val="en-GB" w:eastAsia="en-AU"/>
        </w:rPr>
      </w:pPr>
    </w:p>
    <w:p w14:paraId="2C2FC040" w14:textId="77777777" w:rsidR="000B36E9" w:rsidRPr="007923F2" w:rsidRDefault="000B36E9" w:rsidP="00FF4EC8">
      <w:pPr>
        <w:pStyle w:val="Heading2"/>
      </w:pPr>
      <w:r w:rsidRPr="007923F2">
        <w:t>Detailed analysis</w:t>
      </w:r>
    </w:p>
    <w:p w14:paraId="5136F7DD" w14:textId="77777777" w:rsidR="00FF4EC8" w:rsidRDefault="00FF4EC8" w:rsidP="00FF4EC8"/>
    <w:p w14:paraId="3EEF2B18" w14:textId="77777777" w:rsidR="000B36E9" w:rsidRPr="00FF4EC8" w:rsidRDefault="000B36E9" w:rsidP="00FF4EC8">
      <w:pPr>
        <w:pStyle w:val="Heading3"/>
      </w:pPr>
      <w:r w:rsidRPr="00FF4EC8">
        <w:t>General eligibility criteria</w:t>
      </w:r>
    </w:p>
    <w:p w14:paraId="78551B5F" w14:textId="77777777" w:rsidR="000B36E9" w:rsidRPr="007923F2" w:rsidRDefault="000B36E9" w:rsidP="00FF4EC8">
      <w:pPr>
        <w:rPr>
          <w:lang w:val="en-GB" w:eastAsia="en-AU"/>
        </w:rPr>
      </w:pPr>
    </w:p>
    <w:p w14:paraId="7407FBAD" w14:textId="1CDA9215" w:rsidR="000B36E9" w:rsidRPr="00FF4EC8" w:rsidRDefault="000B36E9" w:rsidP="00FF4EC8">
      <w:pPr>
        <w:pStyle w:val="Heading4"/>
      </w:pPr>
      <w:r w:rsidRPr="00FF4EC8">
        <w:t xml:space="preserve">Carry on </w:t>
      </w:r>
      <w:r w:rsidR="00B128BB">
        <w:t xml:space="preserve">a </w:t>
      </w:r>
      <w:r w:rsidRPr="00FF4EC8">
        <w:t>business in New Zealand</w:t>
      </w:r>
    </w:p>
    <w:p w14:paraId="714F18E6" w14:textId="77777777" w:rsidR="000B36E9" w:rsidRPr="007923F2" w:rsidRDefault="000B36E9" w:rsidP="00FF4EC8">
      <w:pPr>
        <w:rPr>
          <w:lang w:val="en-GB" w:eastAsia="en-AU"/>
        </w:rPr>
      </w:pPr>
    </w:p>
    <w:p w14:paraId="027B35E8" w14:textId="68AB0B5B" w:rsidR="000B36E9" w:rsidRPr="007923F2" w:rsidRDefault="000B36E9" w:rsidP="00FF4EC8">
      <w:pPr>
        <w:rPr>
          <w:lang w:val="en-GB" w:eastAsia="en-AU"/>
        </w:rPr>
      </w:pPr>
      <w:r w:rsidRPr="007923F2">
        <w:rPr>
          <w:lang w:val="en-GB" w:eastAsia="en-AU"/>
        </w:rPr>
        <w:t xml:space="preserve">To be eligible, a </w:t>
      </w:r>
      <w:r w:rsidR="00F41C40">
        <w:rPr>
          <w:lang w:val="en-GB" w:eastAsia="en-AU"/>
        </w:rPr>
        <w:t>person</w:t>
      </w:r>
      <w:r w:rsidR="00F41C40" w:rsidRPr="007923F2">
        <w:rPr>
          <w:lang w:val="en-GB" w:eastAsia="en-AU"/>
        </w:rPr>
        <w:t xml:space="preserve"> </w:t>
      </w:r>
      <w:r w:rsidRPr="007923F2">
        <w:rPr>
          <w:lang w:val="en-GB" w:eastAsia="en-AU"/>
        </w:rPr>
        <w:t xml:space="preserve">must carry on </w:t>
      </w:r>
      <w:r w:rsidR="00B128BB">
        <w:rPr>
          <w:lang w:val="en-GB" w:eastAsia="en-AU"/>
        </w:rPr>
        <w:t xml:space="preserve">a </w:t>
      </w:r>
      <w:r w:rsidRPr="007923F2">
        <w:rPr>
          <w:lang w:val="en-GB" w:eastAsia="en-AU"/>
        </w:rPr>
        <w:t>business in New Zealand through a fixed establishment in New Zealand. This requires their activities to be a profession, trade, manufactur</w:t>
      </w:r>
      <w:r w:rsidR="00B128BB">
        <w:rPr>
          <w:lang w:val="en-GB" w:eastAsia="en-AU"/>
        </w:rPr>
        <w:t>ing</w:t>
      </w:r>
      <w:r w:rsidRPr="007923F2">
        <w:rPr>
          <w:lang w:val="en-GB" w:eastAsia="en-AU"/>
        </w:rPr>
        <w:t xml:space="preserve">, or undertaking and they must have an intention to make a pecuniary profit. Charities and levy bodies, which are referred to as “non-business researchers” in the </w:t>
      </w:r>
      <w:r w:rsidR="00B81A72">
        <w:rPr>
          <w:lang w:val="en-GB" w:eastAsia="en-AU"/>
        </w:rPr>
        <w:t>Bill</w:t>
      </w:r>
      <w:r w:rsidRPr="007923F2">
        <w:rPr>
          <w:lang w:val="en-GB" w:eastAsia="en-AU"/>
        </w:rPr>
        <w:t>, are treated as carrying on a business in New Zealand through a fixed establishment in New Zealand.</w:t>
      </w:r>
    </w:p>
    <w:p w14:paraId="4BCFAC9E" w14:textId="77777777" w:rsidR="000B36E9" w:rsidRPr="007923F2" w:rsidRDefault="000B36E9" w:rsidP="00FF4EC8">
      <w:pPr>
        <w:rPr>
          <w:lang w:val="en-GB" w:eastAsia="en-AU"/>
        </w:rPr>
      </w:pPr>
    </w:p>
    <w:p w14:paraId="791E1119" w14:textId="70E66F79" w:rsidR="000B36E9" w:rsidRPr="007923F2" w:rsidRDefault="000B36E9" w:rsidP="00FF4EC8">
      <w:pPr>
        <w:rPr>
          <w:lang w:val="en-GB" w:eastAsia="en-AU"/>
        </w:rPr>
      </w:pPr>
      <w:r w:rsidRPr="007923F2">
        <w:rPr>
          <w:lang w:val="en-GB" w:eastAsia="en-AU"/>
        </w:rPr>
        <w:t xml:space="preserve">It is important to note that this requirement does not require a </w:t>
      </w:r>
      <w:r w:rsidR="00A742F3">
        <w:rPr>
          <w:lang w:val="en-GB" w:eastAsia="en-AU"/>
        </w:rPr>
        <w:t>person</w:t>
      </w:r>
      <w:r w:rsidR="00A742F3" w:rsidRPr="007923F2">
        <w:rPr>
          <w:lang w:val="en-GB" w:eastAsia="en-AU"/>
        </w:rPr>
        <w:t xml:space="preserve">’s </w:t>
      </w:r>
      <w:r w:rsidRPr="007923F2">
        <w:rPr>
          <w:lang w:val="en-GB" w:eastAsia="en-AU"/>
        </w:rPr>
        <w:t xml:space="preserve">R&amp;D to relate to their New Zealand business. It is sufficient if the </w:t>
      </w:r>
      <w:r w:rsidR="00A742F3">
        <w:rPr>
          <w:lang w:val="en-GB" w:eastAsia="en-AU"/>
        </w:rPr>
        <w:t xml:space="preserve">person </w:t>
      </w:r>
      <w:r w:rsidRPr="007923F2">
        <w:rPr>
          <w:lang w:val="en-GB" w:eastAsia="en-AU"/>
        </w:rPr>
        <w:t>carries on a business in New Zealand through a fixed establishment</w:t>
      </w:r>
      <w:r w:rsidR="00A742F3">
        <w:rPr>
          <w:lang w:val="en-GB" w:eastAsia="en-AU"/>
        </w:rPr>
        <w:t xml:space="preserve">. </w:t>
      </w:r>
      <w:r w:rsidRPr="007923F2">
        <w:rPr>
          <w:lang w:val="en-GB" w:eastAsia="en-AU"/>
        </w:rPr>
        <w:t xml:space="preserve">This is different from the 2008 rules, which required a </w:t>
      </w:r>
      <w:r w:rsidR="00A742F3">
        <w:rPr>
          <w:lang w:val="en-GB" w:eastAsia="en-AU"/>
        </w:rPr>
        <w:t>person</w:t>
      </w:r>
      <w:r w:rsidR="00A742F3" w:rsidRPr="007923F2">
        <w:rPr>
          <w:lang w:val="en-GB" w:eastAsia="en-AU"/>
        </w:rPr>
        <w:t xml:space="preserve">’s </w:t>
      </w:r>
      <w:r w:rsidRPr="007923F2">
        <w:rPr>
          <w:lang w:val="en-GB" w:eastAsia="en-AU"/>
        </w:rPr>
        <w:t>R&amp;D to relate</w:t>
      </w:r>
      <w:r w:rsidR="00FF4EC8">
        <w:rPr>
          <w:lang w:val="en-GB" w:eastAsia="en-AU"/>
        </w:rPr>
        <w:t xml:space="preserve"> to their New Zealand business.</w:t>
      </w:r>
    </w:p>
    <w:p w14:paraId="1182EBEA" w14:textId="77777777" w:rsidR="000B36E9" w:rsidRDefault="000B36E9" w:rsidP="00FF4EC8">
      <w:pPr>
        <w:rPr>
          <w:lang w:val="en-GB" w:eastAsia="en-AU"/>
        </w:rPr>
      </w:pPr>
    </w:p>
    <w:p w14:paraId="080C8230" w14:textId="77777777" w:rsidR="0043742C" w:rsidRPr="007923F2" w:rsidRDefault="0043742C" w:rsidP="00FF4EC8">
      <w:pPr>
        <w:rPr>
          <w:lang w:val="en-GB" w:eastAsia="en-AU"/>
        </w:rPr>
      </w:pPr>
    </w:p>
    <w:p w14:paraId="06D6B55D" w14:textId="32333920" w:rsidR="0043742C" w:rsidRPr="00CA6989" w:rsidRDefault="0043742C" w:rsidP="00CA6989">
      <w:pPr>
        <w:pStyle w:val="Exampleheading1"/>
        <w:rPr>
          <w:lang w:val="en-GB"/>
        </w:rPr>
      </w:pPr>
      <w:r w:rsidRPr="00CA6989">
        <w:rPr>
          <w:lang w:val="en-GB"/>
        </w:rPr>
        <w:t>Example</w:t>
      </w:r>
      <w:r w:rsidR="00DF2F85">
        <w:rPr>
          <w:lang w:val="en-GB"/>
        </w:rPr>
        <w:t xml:space="preserve"> 1</w:t>
      </w:r>
      <w:r w:rsidRPr="00CA6989">
        <w:rPr>
          <w:lang w:val="en-GB"/>
        </w:rPr>
        <w:t>: R&amp;D does not relate to existing New Zealand business</w:t>
      </w:r>
    </w:p>
    <w:p w14:paraId="749F8243" w14:textId="77777777" w:rsidR="0043742C" w:rsidRPr="0043742C" w:rsidRDefault="0043742C" w:rsidP="0043742C">
      <w:pPr>
        <w:pStyle w:val="Exampletext"/>
        <w:rPr>
          <w:lang w:val="en-GB"/>
        </w:rPr>
      </w:pPr>
    </w:p>
    <w:p w14:paraId="75F86E00" w14:textId="77777777" w:rsidR="0043742C" w:rsidRDefault="0043742C" w:rsidP="0043742C">
      <w:pPr>
        <w:pStyle w:val="Exampletext"/>
        <w:rPr>
          <w:lang w:val="en-GB"/>
        </w:rPr>
      </w:pPr>
      <w:r w:rsidRPr="0043742C">
        <w:rPr>
          <w:lang w:val="en-GB"/>
        </w:rPr>
        <w:t>PONZ Ltd is a New Zealand-based company with clothing manufacturing facilities in Hamilton. It has been asked by its Australian parent company, which owns other companies that sell parachutes, to branch out into making parachutes. PONZ Ltd needs to do some R&amp;D before producing parachutes because it needs to ensure its parachutes have an “edge” to distinguish them from other parachutes already on the market.</w:t>
      </w:r>
    </w:p>
    <w:p w14:paraId="7A22B2A7" w14:textId="77777777" w:rsidR="00CA6989" w:rsidRDefault="00CA6989" w:rsidP="0043742C">
      <w:pPr>
        <w:pStyle w:val="Exampletext"/>
        <w:rPr>
          <w:lang w:val="en-GB"/>
        </w:rPr>
      </w:pPr>
    </w:p>
    <w:p w14:paraId="66A11EFC" w14:textId="064BEEEE" w:rsidR="000B36E9" w:rsidRPr="0043742C" w:rsidRDefault="0043742C" w:rsidP="0043742C">
      <w:pPr>
        <w:pStyle w:val="Exampletext"/>
        <w:rPr>
          <w:lang w:val="en-GB"/>
        </w:rPr>
      </w:pPr>
      <w:r w:rsidRPr="0043742C">
        <w:rPr>
          <w:lang w:val="en-GB"/>
        </w:rPr>
        <w:t>PONZ Ltd satisfies the “in business” and fixed establishment requirements in proposed new section LY</w:t>
      </w:r>
      <w:r w:rsidR="00C91B59">
        <w:rPr>
          <w:lang w:val="en-GB"/>
        </w:rPr>
        <w:t> </w:t>
      </w:r>
      <w:r w:rsidRPr="0043742C">
        <w:rPr>
          <w:lang w:val="en-GB"/>
        </w:rPr>
        <w:t>3. It does not matter that PONZ Ltd’s R&amp;D does not relate to its existing clothing manufacturing business.</w:t>
      </w:r>
    </w:p>
    <w:p w14:paraId="4E2EA57A" w14:textId="77777777" w:rsidR="000B36E9" w:rsidRPr="007923F2" w:rsidRDefault="000B36E9" w:rsidP="000B36E9">
      <w:pPr>
        <w:rPr>
          <w:rFonts w:eastAsia="Times New Roman" w:cs="Times New Roman"/>
          <w:szCs w:val="24"/>
          <w:lang w:val="en-GB" w:eastAsia="en-AU"/>
        </w:rPr>
      </w:pPr>
    </w:p>
    <w:p w14:paraId="6E8F23CA" w14:textId="77777777" w:rsidR="000B36E9" w:rsidRPr="00FF4EC8" w:rsidRDefault="000B36E9" w:rsidP="00FF4EC8">
      <w:pPr>
        <w:pStyle w:val="Heading4"/>
      </w:pPr>
      <w:r w:rsidRPr="00FF4EC8">
        <w:t>R&amp;D controlling rights</w:t>
      </w:r>
    </w:p>
    <w:p w14:paraId="045D00DC" w14:textId="77777777" w:rsidR="000B36E9" w:rsidRPr="007923F2" w:rsidRDefault="000B36E9" w:rsidP="00FF4EC8">
      <w:pPr>
        <w:rPr>
          <w:lang w:val="en-GB" w:eastAsia="en-AU"/>
        </w:rPr>
      </w:pPr>
    </w:p>
    <w:p w14:paraId="03994284" w14:textId="77777777" w:rsidR="00D64DA6" w:rsidRDefault="000B36E9" w:rsidP="00CD2FA9">
      <w:pPr>
        <w:rPr>
          <w:rFonts w:eastAsia="Times New Roman" w:cs="Times New Roman"/>
          <w:szCs w:val="24"/>
          <w:lang w:val="en-GB" w:eastAsia="en-AU"/>
        </w:rPr>
      </w:pPr>
      <w:r w:rsidRPr="007923F2">
        <w:rPr>
          <w:rFonts w:eastAsia="Times New Roman" w:cs="Times New Roman"/>
          <w:szCs w:val="24"/>
          <w:lang w:val="en-GB" w:eastAsia="en-AU"/>
        </w:rPr>
        <w:t>R&amp;D controlling rights include the sole right to start, stop, or change the direction of a core activity. They also include the sole right to choose whet</w:t>
      </w:r>
      <w:r w:rsidR="00CD2FA9">
        <w:rPr>
          <w:rFonts w:eastAsia="Times New Roman" w:cs="Times New Roman"/>
          <w:szCs w:val="24"/>
          <w:lang w:val="en-GB" w:eastAsia="en-AU"/>
        </w:rPr>
        <w:t>her results are followed up on.</w:t>
      </w:r>
    </w:p>
    <w:p w14:paraId="7C426A9A" w14:textId="299969D1" w:rsidR="000B36E9" w:rsidRPr="00CD2FA9" w:rsidRDefault="000B36E9" w:rsidP="00CD2FA9">
      <w:pPr>
        <w:rPr>
          <w:rFonts w:eastAsia="Times New Roman" w:cs="Times New Roman"/>
          <w:szCs w:val="24"/>
          <w:lang w:val="en-GB" w:eastAsia="en-AU"/>
        </w:rPr>
      </w:pPr>
      <w:r>
        <w:br w:type="page"/>
      </w:r>
    </w:p>
    <w:p w14:paraId="1B008B23" w14:textId="77777777" w:rsidR="00ED09D1" w:rsidRPr="00D966AA" w:rsidRDefault="007F0C4C" w:rsidP="0025585E">
      <w:pPr>
        <w:pStyle w:val="Heading1"/>
      </w:pPr>
      <w:bookmarkStart w:id="18" w:name="_Toc528157357"/>
      <w:bookmarkStart w:id="19" w:name="_Toc528195574"/>
      <w:r>
        <w:t>R&amp;D</w:t>
      </w:r>
      <w:r w:rsidR="00ED09D1" w:rsidRPr="00D966AA">
        <w:t xml:space="preserve"> </w:t>
      </w:r>
      <w:r w:rsidR="00ED09D1">
        <w:t>a</w:t>
      </w:r>
      <w:r w:rsidR="00ED09D1" w:rsidRPr="00D966AA">
        <w:t>ctivities</w:t>
      </w:r>
      <w:bookmarkEnd w:id="18"/>
      <w:bookmarkEnd w:id="19"/>
    </w:p>
    <w:p w14:paraId="7EE6747C" w14:textId="7A08B4C3" w:rsidR="00ED09D1" w:rsidRDefault="00ED09D1" w:rsidP="0025585E">
      <w:pPr>
        <w:pStyle w:val="Heading3"/>
      </w:pPr>
      <w:r w:rsidRPr="00D966AA">
        <w:t>Clauses 10</w:t>
      </w:r>
      <w:r w:rsidR="00681778">
        <w:t xml:space="preserve"> (proposed new section LY 2)</w:t>
      </w:r>
      <w:r w:rsidRPr="00D966AA">
        <w:t>, 21(6), 21(1</w:t>
      </w:r>
      <w:r w:rsidR="00681778">
        <w:t>4</w:t>
      </w:r>
      <w:r w:rsidRPr="00D966AA">
        <w:t>)</w:t>
      </w:r>
      <w:r w:rsidR="00FC25CD">
        <w:t xml:space="preserve"> and</w:t>
      </w:r>
      <w:r w:rsidRPr="00D966AA">
        <w:t xml:space="preserve"> 21(16)</w:t>
      </w:r>
    </w:p>
    <w:p w14:paraId="68224F50" w14:textId="77777777" w:rsidR="0025585E" w:rsidRDefault="0025585E" w:rsidP="0025585E">
      <w:pPr>
        <w:rPr>
          <w:lang w:val="en-GB" w:eastAsia="en-AU"/>
        </w:rPr>
      </w:pPr>
    </w:p>
    <w:p w14:paraId="07499153" w14:textId="77777777" w:rsidR="0025585E" w:rsidRPr="0025585E" w:rsidRDefault="0025585E" w:rsidP="0025585E">
      <w:pPr>
        <w:rPr>
          <w:lang w:val="en-GB" w:eastAsia="en-AU"/>
        </w:rPr>
      </w:pPr>
    </w:p>
    <w:p w14:paraId="6A0FB0C8" w14:textId="1D035631" w:rsidR="00ED09D1" w:rsidRPr="00D966AA" w:rsidRDefault="00ED09D1" w:rsidP="0025585E">
      <w:pPr>
        <w:pStyle w:val="Heading2"/>
      </w:pPr>
      <w:r w:rsidRPr="00D966AA">
        <w:t>Summary of proposed amendment</w:t>
      </w:r>
    </w:p>
    <w:p w14:paraId="2C58C7CA" w14:textId="77777777" w:rsidR="0025585E" w:rsidRDefault="0025585E" w:rsidP="0025585E">
      <w:pPr>
        <w:rPr>
          <w:lang w:eastAsia="en-AU"/>
        </w:rPr>
      </w:pPr>
    </w:p>
    <w:p w14:paraId="76FDCCAF" w14:textId="2A19D1C4" w:rsidR="00ED09D1" w:rsidRDefault="00ED09D1" w:rsidP="0025585E">
      <w:pPr>
        <w:rPr>
          <w:lang w:eastAsia="en-AU"/>
        </w:rPr>
      </w:pPr>
      <w:r w:rsidRPr="00D966AA">
        <w:rPr>
          <w:lang w:eastAsia="en-AU"/>
        </w:rPr>
        <w:t xml:space="preserve">The </w:t>
      </w:r>
      <w:r w:rsidR="00370490">
        <w:rPr>
          <w:lang w:eastAsia="en-AU"/>
        </w:rPr>
        <w:t>B</w:t>
      </w:r>
      <w:r w:rsidR="00370490" w:rsidRPr="00D966AA">
        <w:rPr>
          <w:lang w:eastAsia="en-AU"/>
        </w:rPr>
        <w:t xml:space="preserve">ill </w:t>
      </w:r>
      <w:r w:rsidRPr="00D966AA">
        <w:rPr>
          <w:lang w:eastAsia="en-AU"/>
        </w:rPr>
        <w:t xml:space="preserve">proposes that R&amp;D activity </w:t>
      </w:r>
      <w:r w:rsidR="00B128BB">
        <w:rPr>
          <w:lang w:eastAsia="en-AU"/>
        </w:rPr>
        <w:t>is</w:t>
      </w:r>
      <w:r w:rsidRPr="00D966AA">
        <w:rPr>
          <w:lang w:eastAsia="en-AU"/>
        </w:rPr>
        <w:t xml:space="preserve"> defined to mean core activities and supporting activities.</w:t>
      </w:r>
    </w:p>
    <w:p w14:paraId="64F5516B" w14:textId="77777777" w:rsidR="0025585E" w:rsidRDefault="0025585E" w:rsidP="0025585E">
      <w:pPr>
        <w:rPr>
          <w:lang w:eastAsia="en-AU"/>
        </w:rPr>
      </w:pPr>
    </w:p>
    <w:p w14:paraId="32416930" w14:textId="77777777" w:rsidR="0025585E" w:rsidRPr="00D966AA" w:rsidRDefault="0025585E" w:rsidP="0025585E">
      <w:pPr>
        <w:rPr>
          <w:lang w:eastAsia="en-AU"/>
        </w:rPr>
      </w:pPr>
    </w:p>
    <w:p w14:paraId="01A24239" w14:textId="77777777" w:rsidR="00ED09D1" w:rsidRPr="00D966AA" w:rsidRDefault="00ED09D1" w:rsidP="0025585E">
      <w:pPr>
        <w:pStyle w:val="Heading2"/>
      </w:pPr>
      <w:r w:rsidRPr="00D966AA">
        <w:t>Application date</w:t>
      </w:r>
    </w:p>
    <w:p w14:paraId="126D1ED2" w14:textId="77777777" w:rsidR="0025585E" w:rsidRDefault="0025585E" w:rsidP="0025585E">
      <w:pPr>
        <w:rPr>
          <w:lang w:eastAsia="en-AU"/>
        </w:rPr>
      </w:pPr>
    </w:p>
    <w:p w14:paraId="48D346DE" w14:textId="358C7DC9" w:rsidR="00ED09D1" w:rsidRDefault="00ED09D1" w:rsidP="0025585E">
      <w:pPr>
        <w:rPr>
          <w:lang w:eastAsia="en-AU"/>
        </w:rPr>
      </w:pPr>
      <w:r w:rsidRPr="00D966AA">
        <w:rPr>
          <w:lang w:eastAsia="en-AU"/>
        </w:rPr>
        <w:t xml:space="preserve">From the </w:t>
      </w:r>
      <w:r w:rsidR="00E010FC">
        <w:rPr>
          <w:lang w:eastAsia="en-AU"/>
        </w:rPr>
        <w:t>2019–20</w:t>
      </w:r>
      <w:r w:rsidRPr="00D966AA">
        <w:rPr>
          <w:lang w:eastAsia="en-AU"/>
        </w:rPr>
        <w:t xml:space="preserve"> income year.</w:t>
      </w:r>
    </w:p>
    <w:p w14:paraId="7F442398" w14:textId="77777777" w:rsidR="0025585E" w:rsidRDefault="0025585E" w:rsidP="0025585E">
      <w:pPr>
        <w:rPr>
          <w:lang w:eastAsia="en-AU"/>
        </w:rPr>
      </w:pPr>
    </w:p>
    <w:p w14:paraId="74167F18" w14:textId="77777777" w:rsidR="0025585E" w:rsidRPr="00D966AA" w:rsidRDefault="0025585E" w:rsidP="0025585E">
      <w:pPr>
        <w:rPr>
          <w:lang w:eastAsia="en-AU"/>
        </w:rPr>
      </w:pPr>
    </w:p>
    <w:p w14:paraId="6C529B66" w14:textId="77777777" w:rsidR="00ED09D1" w:rsidRPr="00D966AA" w:rsidRDefault="00ED09D1" w:rsidP="0025585E">
      <w:pPr>
        <w:pStyle w:val="Heading2"/>
      </w:pPr>
      <w:r w:rsidRPr="00D966AA">
        <w:t>Key features</w:t>
      </w:r>
    </w:p>
    <w:p w14:paraId="1E16A5BF" w14:textId="77777777" w:rsidR="0025585E" w:rsidRDefault="0025585E" w:rsidP="0025585E">
      <w:pPr>
        <w:rPr>
          <w:lang w:eastAsia="en-AU"/>
        </w:rPr>
      </w:pPr>
    </w:p>
    <w:p w14:paraId="38207AD0" w14:textId="77777777" w:rsidR="00ED09D1" w:rsidRDefault="00ED09D1" w:rsidP="0025585E">
      <w:pPr>
        <w:rPr>
          <w:lang w:eastAsia="en-AU"/>
        </w:rPr>
      </w:pPr>
      <w:r w:rsidRPr="00D966AA">
        <w:rPr>
          <w:lang w:eastAsia="en-AU"/>
        </w:rPr>
        <w:t xml:space="preserve">Proposed new section LY 2 defines </w:t>
      </w:r>
      <w:r w:rsidR="002F5A71">
        <w:rPr>
          <w:lang w:eastAsia="en-AU"/>
        </w:rPr>
        <w:t xml:space="preserve">an </w:t>
      </w:r>
      <w:r w:rsidRPr="00D966AA">
        <w:rPr>
          <w:lang w:eastAsia="en-AU"/>
        </w:rPr>
        <w:t xml:space="preserve">R&amp;D activity to </w:t>
      </w:r>
      <w:r>
        <w:rPr>
          <w:lang w:eastAsia="en-AU"/>
        </w:rPr>
        <w:t>include</w:t>
      </w:r>
      <w:r w:rsidRPr="00D966AA">
        <w:rPr>
          <w:lang w:eastAsia="en-AU"/>
        </w:rPr>
        <w:t xml:space="preserve"> core activities and supporting activities.</w:t>
      </w:r>
    </w:p>
    <w:p w14:paraId="65E144C2" w14:textId="77777777" w:rsidR="0025585E" w:rsidRDefault="0025585E" w:rsidP="0025585E">
      <w:pPr>
        <w:rPr>
          <w:lang w:eastAsia="en-AU"/>
        </w:rPr>
      </w:pPr>
    </w:p>
    <w:p w14:paraId="5114409F" w14:textId="77777777" w:rsidR="00ED09D1" w:rsidRPr="00D966AA" w:rsidRDefault="00ED09D1" w:rsidP="0025585E">
      <w:pPr>
        <w:pStyle w:val="Heading3"/>
      </w:pPr>
      <w:r w:rsidRPr="00D966AA">
        <w:t>Core activity</w:t>
      </w:r>
    </w:p>
    <w:p w14:paraId="11000368" w14:textId="77777777" w:rsidR="00ED09D1" w:rsidRPr="00D966AA" w:rsidRDefault="00ED09D1" w:rsidP="0025585E">
      <w:pPr>
        <w:rPr>
          <w:lang w:eastAsia="en-AU"/>
        </w:rPr>
      </w:pPr>
    </w:p>
    <w:p w14:paraId="488F78FC" w14:textId="77777777" w:rsidR="00ED09D1" w:rsidRPr="00D966AA" w:rsidRDefault="00ED09D1" w:rsidP="0025585E">
      <w:pPr>
        <w:rPr>
          <w:lang w:eastAsia="en-AU"/>
        </w:rPr>
      </w:pPr>
      <w:r w:rsidRPr="00D966AA">
        <w:rPr>
          <w:lang w:eastAsia="en-AU"/>
        </w:rPr>
        <w:t>Proposed new section LY 2(1) defines a core activity as an activity that is:</w:t>
      </w:r>
    </w:p>
    <w:p w14:paraId="43212AF9" w14:textId="77777777" w:rsidR="00ED09D1" w:rsidRPr="00D966AA" w:rsidRDefault="00ED09D1" w:rsidP="0025585E">
      <w:pPr>
        <w:rPr>
          <w:lang w:eastAsia="en-AU"/>
        </w:rPr>
      </w:pPr>
    </w:p>
    <w:p w14:paraId="6A7A5A9C" w14:textId="31A7CE61" w:rsidR="00ED09D1" w:rsidRPr="00D966AA" w:rsidRDefault="00DD38B2" w:rsidP="00AB5AF9">
      <w:pPr>
        <w:numPr>
          <w:ilvl w:val="0"/>
          <w:numId w:val="1"/>
        </w:numPr>
        <w:spacing w:after="120"/>
        <w:ind w:left="567" w:hanging="567"/>
        <w:jc w:val="left"/>
        <w:rPr>
          <w:rFonts w:eastAsia="Times New Roman" w:cs="Times New Roman"/>
          <w:szCs w:val="20"/>
          <w:lang w:eastAsia="en-AU"/>
        </w:rPr>
      </w:pPr>
      <w:r>
        <w:rPr>
          <w:rFonts w:eastAsia="Times New Roman" w:cs="Times New Roman"/>
          <w:szCs w:val="20"/>
          <w:lang w:eastAsia="en-AU"/>
        </w:rPr>
        <w:t>c</w:t>
      </w:r>
      <w:r w:rsidR="002F5A71" w:rsidRPr="00D966AA">
        <w:rPr>
          <w:rFonts w:eastAsia="Times New Roman" w:cs="Times New Roman"/>
          <w:szCs w:val="20"/>
          <w:lang w:eastAsia="en-AU"/>
        </w:rPr>
        <w:t xml:space="preserve">onducted </w:t>
      </w:r>
      <w:r w:rsidR="00ED09D1" w:rsidRPr="00D966AA">
        <w:rPr>
          <w:rFonts w:eastAsia="Times New Roman" w:cs="Times New Roman"/>
          <w:szCs w:val="20"/>
          <w:lang w:eastAsia="en-AU"/>
        </w:rPr>
        <w:t>using a systematic approach</w:t>
      </w:r>
      <w:r w:rsidR="002F5A71">
        <w:rPr>
          <w:rFonts w:eastAsia="Times New Roman" w:cs="Times New Roman"/>
          <w:szCs w:val="20"/>
          <w:lang w:eastAsia="en-AU"/>
        </w:rPr>
        <w:t>;</w:t>
      </w:r>
    </w:p>
    <w:p w14:paraId="72F30FCD" w14:textId="14B13B47" w:rsidR="00ED09D1" w:rsidRPr="00D966AA" w:rsidRDefault="00DD38B2" w:rsidP="00AB5AF9">
      <w:pPr>
        <w:numPr>
          <w:ilvl w:val="0"/>
          <w:numId w:val="1"/>
        </w:numPr>
        <w:spacing w:after="120"/>
        <w:ind w:left="567" w:hanging="567"/>
        <w:jc w:val="left"/>
        <w:rPr>
          <w:rFonts w:eastAsia="Times New Roman" w:cs="Times New Roman"/>
          <w:szCs w:val="20"/>
          <w:lang w:eastAsia="en-AU"/>
        </w:rPr>
      </w:pPr>
      <w:r>
        <w:rPr>
          <w:rFonts w:eastAsia="Times New Roman" w:cs="Times New Roman"/>
          <w:szCs w:val="20"/>
          <w:lang w:eastAsia="en-AU"/>
        </w:rPr>
        <w:t>h</w:t>
      </w:r>
      <w:r w:rsidR="002F5A71" w:rsidRPr="00D966AA">
        <w:rPr>
          <w:rFonts w:eastAsia="Times New Roman" w:cs="Times New Roman"/>
          <w:szCs w:val="20"/>
          <w:lang w:eastAsia="en-AU"/>
        </w:rPr>
        <w:t xml:space="preserve">as </w:t>
      </w:r>
      <w:r w:rsidR="00ED09D1" w:rsidRPr="00D966AA">
        <w:rPr>
          <w:rFonts w:eastAsia="Times New Roman" w:cs="Times New Roman"/>
          <w:szCs w:val="20"/>
          <w:lang w:eastAsia="en-AU"/>
        </w:rPr>
        <w:t>a material purpose of creating new knowledge, or new or improved,</w:t>
      </w:r>
      <w:r w:rsidR="0074677B">
        <w:rPr>
          <w:rFonts w:eastAsia="Times New Roman" w:cs="Times New Roman"/>
          <w:szCs w:val="20"/>
          <w:lang w:eastAsia="en-AU"/>
        </w:rPr>
        <w:t xml:space="preserve"> processes, services, or goods;</w:t>
      </w:r>
    </w:p>
    <w:p w14:paraId="71B21259" w14:textId="0A4B478A" w:rsidR="00ED09D1" w:rsidRPr="00D966AA" w:rsidRDefault="00DD38B2" w:rsidP="00AB5AF9">
      <w:pPr>
        <w:numPr>
          <w:ilvl w:val="0"/>
          <w:numId w:val="1"/>
        </w:numPr>
        <w:spacing w:after="120"/>
        <w:ind w:left="567" w:hanging="567"/>
        <w:jc w:val="left"/>
        <w:rPr>
          <w:rFonts w:eastAsia="Times New Roman" w:cs="Times New Roman"/>
          <w:szCs w:val="20"/>
          <w:lang w:eastAsia="en-AU"/>
        </w:rPr>
      </w:pPr>
      <w:r>
        <w:rPr>
          <w:rFonts w:eastAsia="Times New Roman" w:cs="Times New Roman"/>
          <w:szCs w:val="20"/>
          <w:lang w:eastAsia="en-AU"/>
        </w:rPr>
        <w:t>h</w:t>
      </w:r>
      <w:r w:rsidR="002F5A71" w:rsidRPr="00D966AA">
        <w:rPr>
          <w:rFonts w:eastAsia="Times New Roman" w:cs="Times New Roman"/>
          <w:szCs w:val="20"/>
          <w:lang w:eastAsia="en-AU"/>
        </w:rPr>
        <w:t xml:space="preserve">as </w:t>
      </w:r>
      <w:r w:rsidR="00ED09D1" w:rsidRPr="00D966AA">
        <w:rPr>
          <w:rFonts w:eastAsia="Times New Roman" w:cs="Times New Roman"/>
          <w:szCs w:val="20"/>
          <w:lang w:eastAsia="en-AU"/>
        </w:rPr>
        <w:t>a material purpose of resolving scientific or technological uncertainty; and</w:t>
      </w:r>
    </w:p>
    <w:p w14:paraId="5776C94E" w14:textId="0AEE3CD5" w:rsidR="00ED09D1" w:rsidRPr="00D966AA" w:rsidRDefault="00DD38B2" w:rsidP="00AB5AF9">
      <w:pPr>
        <w:numPr>
          <w:ilvl w:val="0"/>
          <w:numId w:val="1"/>
        </w:numPr>
        <w:ind w:left="567" w:hanging="567"/>
        <w:jc w:val="left"/>
        <w:rPr>
          <w:rFonts w:eastAsia="Times New Roman" w:cs="Times New Roman"/>
          <w:szCs w:val="20"/>
          <w:lang w:eastAsia="en-AU"/>
        </w:rPr>
      </w:pPr>
      <w:r>
        <w:rPr>
          <w:rFonts w:eastAsia="Times New Roman" w:cs="Times New Roman"/>
          <w:szCs w:val="20"/>
          <w:lang w:eastAsia="en-AU"/>
        </w:rPr>
        <w:t>h</w:t>
      </w:r>
      <w:r w:rsidR="002F5A71" w:rsidRPr="00D966AA">
        <w:rPr>
          <w:rFonts w:eastAsia="Times New Roman" w:cs="Times New Roman"/>
          <w:szCs w:val="20"/>
          <w:lang w:eastAsia="en-AU"/>
        </w:rPr>
        <w:t xml:space="preserve">as </w:t>
      </w:r>
      <w:r w:rsidR="00ED09D1" w:rsidRPr="00D966AA">
        <w:rPr>
          <w:rFonts w:eastAsia="Times New Roman" w:cs="Times New Roman"/>
          <w:szCs w:val="20"/>
          <w:lang w:eastAsia="en-AU"/>
        </w:rPr>
        <w:t>its day to day management</w:t>
      </w:r>
      <w:r w:rsidR="002F5A71">
        <w:rPr>
          <w:rFonts w:eastAsia="Times New Roman" w:cs="Times New Roman"/>
          <w:szCs w:val="20"/>
          <w:lang w:eastAsia="en-AU"/>
        </w:rPr>
        <w:t xml:space="preserve"> conducted</w:t>
      </w:r>
      <w:r w:rsidR="00ED09D1" w:rsidRPr="00D966AA">
        <w:rPr>
          <w:rFonts w:eastAsia="Times New Roman" w:cs="Times New Roman"/>
          <w:szCs w:val="20"/>
          <w:lang w:eastAsia="en-AU"/>
        </w:rPr>
        <w:t xml:space="preserve"> in New Zealand.</w:t>
      </w:r>
    </w:p>
    <w:p w14:paraId="74E20919" w14:textId="77777777" w:rsidR="0025585E" w:rsidRDefault="0025585E" w:rsidP="0025585E">
      <w:pPr>
        <w:rPr>
          <w:lang w:eastAsia="en-AU"/>
        </w:rPr>
      </w:pPr>
    </w:p>
    <w:p w14:paraId="0315A19D" w14:textId="0062CB4D" w:rsidR="00ED09D1" w:rsidRPr="00D966AA" w:rsidRDefault="00ED09D1" w:rsidP="0025585E">
      <w:pPr>
        <w:rPr>
          <w:lang w:eastAsia="en-AU"/>
        </w:rPr>
      </w:pPr>
      <w:r w:rsidRPr="00D966AA">
        <w:rPr>
          <w:lang w:eastAsia="en-AU"/>
        </w:rPr>
        <w:t>An activity is excluded if the knowledge required to res</w:t>
      </w:r>
      <w:r w:rsidR="0074677B">
        <w:rPr>
          <w:lang w:eastAsia="en-AU"/>
        </w:rPr>
        <w:t>olve the uncertainty in (c) is:</w:t>
      </w:r>
    </w:p>
    <w:p w14:paraId="6FE5A334" w14:textId="77777777" w:rsidR="00ED09D1" w:rsidRPr="00D966AA" w:rsidRDefault="00ED09D1" w:rsidP="0025585E">
      <w:pPr>
        <w:rPr>
          <w:lang w:eastAsia="en-AU"/>
        </w:rPr>
      </w:pPr>
    </w:p>
    <w:p w14:paraId="57B2F14F" w14:textId="554CE3F0" w:rsidR="00ED09D1" w:rsidRPr="000B36E9" w:rsidRDefault="00DD38B2" w:rsidP="0025585E">
      <w:pPr>
        <w:pStyle w:val="dotpoint"/>
      </w:pPr>
      <w:r>
        <w:t>p</w:t>
      </w:r>
      <w:r w:rsidR="002F5A71" w:rsidRPr="000B36E9">
        <w:t xml:space="preserve">ublicly </w:t>
      </w:r>
      <w:r w:rsidR="00ED09D1" w:rsidRPr="000B36E9">
        <w:t>available</w:t>
      </w:r>
      <w:r w:rsidR="002F5A71">
        <w:t>;</w:t>
      </w:r>
      <w:r w:rsidR="002F5A71" w:rsidRPr="000B36E9">
        <w:t xml:space="preserve"> </w:t>
      </w:r>
      <w:r w:rsidR="0074677B">
        <w:t>or</w:t>
      </w:r>
    </w:p>
    <w:p w14:paraId="06E0585E" w14:textId="54468BE7" w:rsidR="00ED09D1" w:rsidRPr="000B36E9" w:rsidRDefault="00DD38B2" w:rsidP="0025585E">
      <w:pPr>
        <w:pStyle w:val="dotpoint"/>
        <w:spacing w:after="0"/>
      </w:pPr>
      <w:r>
        <w:t>d</w:t>
      </w:r>
      <w:r w:rsidR="002F5A71" w:rsidRPr="000B36E9">
        <w:t xml:space="preserve">educible </w:t>
      </w:r>
      <w:r w:rsidR="00ED09D1" w:rsidRPr="000B36E9">
        <w:t>by a competent professional in the relevant scientific or technological field.</w:t>
      </w:r>
    </w:p>
    <w:p w14:paraId="06C87848" w14:textId="77777777" w:rsidR="0025585E" w:rsidRDefault="0025585E" w:rsidP="00ED09D1">
      <w:pPr>
        <w:rPr>
          <w:rFonts w:eastAsia="Times New Roman" w:cs="Times New Roman"/>
          <w:szCs w:val="20"/>
          <w:lang w:eastAsia="en-AU"/>
        </w:rPr>
      </w:pPr>
    </w:p>
    <w:p w14:paraId="67AABA81" w14:textId="72B7A253" w:rsidR="00ED09D1" w:rsidRDefault="00ED09D1" w:rsidP="00ED09D1">
      <w:pPr>
        <w:rPr>
          <w:rFonts w:eastAsia="Times New Roman" w:cs="Times New Roman"/>
          <w:szCs w:val="20"/>
          <w:lang w:eastAsia="en-AU"/>
        </w:rPr>
      </w:pPr>
      <w:r>
        <w:rPr>
          <w:rFonts w:eastAsia="Times New Roman" w:cs="Times New Roman"/>
          <w:szCs w:val="20"/>
          <w:lang w:eastAsia="en-AU"/>
        </w:rPr>
        <w:t>A</w:t>
      </w:r>
      <w:r w:rsidRPr="00D966AA">
        <w:rPr>
          <w:rFonts w:eastAsia="Times New Roman" w:cs="Times New Roman"/>
          <w:szCs w:val="20"/>
          <w:lang w:eastAsia="en-AU"/>
        </w:rPr>
        <w:t>ctivities performed outside New Zealand</w:t>
      </w:r>
      <w:r>
        <w:rPr>
          <w:rFonts w:eastAsia="Times New Roman" w:cs="Times New Roman"/>
          <w:szCs w:val="20"/>
          <w:lang w:eastAsia="en-AU"/>
        </w:rPr>
        <w:t xml:space="preserve"> cannot be core activities. </w:t>
      </w:r>
      <w:r w:rsidR="00FC486E">
        <w:rPr>
          <w:rFonts w:eastAsia="Times New Roman" w:cs="Times New Roman"/>
          <w:szCs w:val="20"/>
          <w:lang w:eastAsia="en-AU"/>
        </w:rPr>
        <w:t>There is also a schedule of activities that cannot be core activities</w:t>
      </w:r>
      <w:r w:rsidR="001D48CD">
        <w:rPr>
          <w:rFonts w:eastAsia="Times New Roman" w:cs="Times New Roman"/>
          <w:szCs w:val="20"/>
          <w:lang w:eastAsia="en-AU"/>
        </w:rPr>
        <w:t>.</w:t>
      </w:r>
      <w:r w:rsidR="00FC486E">
        <w:rPr>
          <w:rFonts w:eastAsia="Times New Roman" w:cs="Times New Roman"/>
          <w:szCs w:val="20"/>
          <w:lang w:eastAsia="en-AU"/>
        </w:rPr>
        <w:t xml:space="preserve"> </w:t>
      </w:r>
      <w:r w:rsidR="00EB7314">
        <w:rPr>
          <w:rFonts w:eastAsia="Times New Roman" w:cs="Times New Roman"/>
          <w:szCs w:val="20"/>
          <w:lang w:eastAsia="en-AU"/>
        </w:rPr>
        <w:t>For more information see</w:t>
      </w:r>
      <w:r w:rsidR="00FC486E">
        <w:rPr>
          <w:rFonts w:eastAsia="Times New Roman" w:cs="Times New Roman"/>
          <w:szCs w:val="20"/>
          <w:lang w:eastAsia="en-AU"/>
        </w:rPr>
        <w:t xml:space="preserve"> schedule 21, part A, and </w:t>
      </w:r>
      <w:r w:rsidR="00EB7314">
        <w:rPr>
          <w:rFonts w:eastAsia="Times New Roman" w:cs="Times New Roman"/>
          <w:szCs w:val="20"/>
          <w:lang w:eastAsia="en-AU"/>
        </w:rPr>
        <w:t xml:space="preserve">the section on </w:t>
      </w:r>
      <w:r w:rsidR="001D48CD" w:rsidRPr="001D48CD">
        <w:rPr>
          <w:rStyle w:val="Emphasis"/>
          <w:lang w:eastAsia="en-AU"/>
        </w:rPr>
        <w:t>Excluded activities</w:t>
      </w:r>
      <w:r w:rsidR="001D48CD">
        <w:rPr>
          <w:rFonts w:eastAsia="Times New Roman" w:cs="Times New Roman"/>
          <w:szCs w:val="20"/>
          <w:lang w:eastAsia="en-AU"/>
        </w:rPr>
        <w:t xml:space="preserve"> (</w:t>
      </w:r>
      <w:r w:rsidR="00FC486E" w:rsidRPr="008E7A3B">
        <w:rPr>
          <w:rFonts w:eastAsia="Times New Roman" w:cs="Times New Roman"/>
          <w:szCs w:val="20"/>
          <w:lang w:eastAsia="en-AU"/>
        </w:rPr>
        <w:t xml:space="preserve">page </w:t>
      </w:r>
      <w:r w:rsidR="008E7A3B">
        <w:rPr>
          <w:rFonts w:eastAsia="Times New Roman" w:cs="Times New Roman"/>
          <w:szCs w:val="20"/>
          <w:lang w:eastAsia="en-AU"/>
        </w:rPr>
        <w:t>1</w:t>
      </w:r>
      <w:r w:rsidR="001D48CD">
        <w:rPr>
          <w:rFonts w:eastAsia="Times New Roman" w:cs="Times New Roman"/>
          <w:szCs w:val="20"/>
          <w:lang w:eastAsia="en-AU"/>
        </w:rPr>
        <w:t>9)</w:t>
      </w:r>
      <w:r w:rsidR="0074677B">
        <w:rPr>
          <w:rFonts w:eastAsia="Times New Roman" w:cs="Times New Roman"/>
          <w:szCs w:val="20"/>
          <w:lang w:eastAsia="en-AU"/>
        </w:rPr>
        <w:t>.</w:t>
      </w:r>
    </w:p>
    <w:p w14:paraId="40FCF515" w14:textId="77777777" w:rsidR="0025585E" w:rsidRPr="00D966AA" w:rsidRDefault="0025585E" w:rsidP="00ED09D1">
      <w:pPr>
        <w:rPr>
          <w:rFonts w:eastAsia="Times New Roman" w:cs="Times New Roman"/>
          <w:szCs w:val="20"/>
          <w:lang w:eastAsia="en-AU"/>
        </w:rPr>
      </w:pPr>
    </w:p>
    <w:p w14:paraId="1BC1D516" w14:textId="77777777" w:rsidR="00ED09D1" w:rsidRPr="00D966AA" w:rsidRDefault="00ED09D1" w:rsidP="0025585E">
      <w:pPr>
        <w:pStyle w:val="Heading3"/>
      </w:pPr>
      <w:r w:rsidRPr="00D966AA">
        <w:t>Supporting activity</w:t>
      </w:r>
    </w:p>
    <w:p w14:paraId="761867E2" w14:textId="77777777" w:rsidR="00ED09D1" w:rsidRPr="00D966AA" w:rsidRDefault="00ED09D1" w:rsidP="0025585E">
      <w:pPr>
        <w:rPr>
          <w:lang w:eastAsia="en-AU"/>
        </w:rPr>
      </w:pPr>
    </w:p>
    <w:p w14:paraId="21564077" w14:textId="08CE0F97" w:rsidR="00ED09D1" w:rsidRDefault="00ED09D1" w:rsidP="0025585E">
      <w:pPr>
        <w:rPr>
          <w:lang w:eastAsia="en-AU"/>
        </w:rPr>
      </w:pPr>
      <w:r w:rsidRPr="00D966AA">
        <w:rPr>
          <w:lang w:eastAsia="en-AU"/>
        </w:rPr>
        <w:t>An activity is a supporting activity (proposed new section LY 2(3)) if it is only or mainly for the purpose of, required for, and integral to</w:t>
      </w:r>
      <w:r w:rsidR="002F5A71">
        <w:rPr>
          <w:lang w:eastAsia="en-AU"/>
        </w:rPr>
        <w:t>,</w:t>
      </w:r>
      <w:r w:rsidRPr="00D966AA">
        <w:rPr>
          <w:lang w:eastAsia="en-AU"/>
        </w:rPr>
        <w:t xml:space="preserve"> a core activity. Activities listed in schedule 21, part B are excluded fr</w:t>
      </w:r>
      <w:r w:rsidR="0074677B">
        <w:rPr>
          <w:lang w:eastAsia="en-AU"/>
        </w:rPr>
        <w:t>om being supporting activities.</w:t>
      </w:r>
    </w:p>
    <w:p w14:paraId="4352F95A" w14:textId="77777777" w:rsidR="0025585E" w:rsidRPr="00D966AA" w:rsidRDefault="0025585E" w:rsidP="0025585E">
      <w:pPr>
        <w:rPr>
          <w:lang w:eastAsia="en-AU"/>
        </w:rPr>
      </w:pPr>
    </w:p>
    <w:p w14:paraId="105FE877" w14:textId="77777777" w:rsidR="00453540" w:rsidRPr="00453540" w:rsidRDefault="00453540" w:rsidP="00453540">
      <w:r w:rsidRPr="00453540">
        <w:br w:type="page"/>
      </w:r>
    </w:p>
    <w:p w14:paraId="04F3D659" w14:textId="40F4F4CB" w:rsidR="00ED09D1" w:rsidRDefault="00ED09D1" w:rsidP="0025585E">
      <w:pPr>
        <w:pStyle w:val="Heading2"/>
      </w:pPr>
      <w:r w:rsidRPr="00D966AA">
        <w:t>Background</w:t>
      </w:r>
    </w:p>
    <w:p w14:paraId="6134B98D" w14:textId="77777777" w:rsidR="0025585E" w:rsidRPr="0025585E" w:rsidRDefault="0025585E" w:rsidP="0025585E">
      <w:pPr>
        <w:rPr>
          <w:lang w:eastAsia="en-AU"/>
        </w:rPr>
      </w:pPr>
    </w:p>
    <w:p w14:paraId="1972C1E4" w14:textId="77777777" w:rsidR="00ED09D1" w:rsidRPr="00D966AA" w:rsidRDefault="00ED09D1" w:rsidP="0025585E">
      <w:pPr>
        <w:pStyle w:val="Heading3"/>
      </w:pPr>
      <w:r w:rsidRPr="00D966AA">
        <w:t>Core activity</w:t>
      </w:r>
    </w:p>
    <w:p w14:paraId="62850C16" w14:textId="77777777" w:rsidR="00ED09D1" w:rsidRPr="00D966AA" w:rsidRDefault="00ED09D1" w:rsidP="0025585E">
      <w:pPr>
        <w:rPr>
          <w:lang w:val="en-GB" w:eastAsia="en-AU"/>
        </w:rPr>
      </w:pPr>
    </w:p>
    <w:p w14:paraId="252D940A" w14:textId="77777777" w:rsidR="00ED09D1" w:rsidRDefault="00ED09D1" w:rsidP="0025585E">
      <w:pPr>
        <w:rPr>
          <w:szCs w:val="20"/>
          <w:lang w:val="en-GB" w:eastAsia="en-AU"/>
        </w:rPr>
      </w:pPr>
      <w:r w:rsidRPr="00D966AA">
        <w:rPr>
          <w:lang w:val="en-GB" w:eastAsia="en-AU"/>
        </w:rPr>
        <w:t xml:space="preserve">The core activity definition is expected to apply to a wide range </w:t>
      </w:r>
      <w:r w:rsidRPr="00D966AA">
        <w:rPr>
          <w:szCs w:val="20"/>
          <w:lang w:val="en-GB" w:eastAsia="en-AU"/>
        </w:rPr>
        <w:t xml:space="preserve">of R&amp;D activities in a variety of industries, and is not limited to basic research. It draws on elements of the R&amp;D </w:t>
      </w:r>
      <w:r w:rsidR="002F5A71">
        <w:rPr>
          <w:szCs w:val="20"/>
          <w:lang w:val="en-GB" w:eastAsia="en-AU"/>
        </w:rPr>
        <w:t xml:space="preserve">core and supporting activity </w:t>
      </w:r>
      <w:r w:rsidRPr="00D966AA">
        <w:rPr>
          <w:szCs w:val="20"/>
          <w:lang w:val="en-GB" w:eastAsia="en-AU"/>
        </w:rPr>
        <w:t xml:space="preserve">definitions from comparable jurisdictions, the OECD’s Frascati manual, the definition </w:t>
      </w:r>
      <w:r w:rsidR="002F5A71">
        <w:rPr>
          <w:szCs w:val="20"/>
          <w:lang w:val="en-GB" w:eastAsia="en-AU"/>
        </w:rPr>
        <w:t>from the 2008 regime</w:t>
      </w:r>
      <w:r w:rsidRPr="00D966AA">
        <w:rPr>
          <w:szCs w:val="20"/>
          <w:lang w:val="en-GB" w:eastAsia="en-AU"/>
        </w:rPr>
        <w:t xml:space="preserve">, and Callaghan Innovation’s experience with </w:t>
      </w:r>
      <w:r w:rsidR="002F5A71">
        <w:rPr>
          <w:szCs w:val="20"/>
          <w:lang w:val="en-GB" w:eastAsia="en-AU"/>
        </w:rPr>
        <w:t xml:space="preserve">its </w:t>
      </w:r>
      <w:r w:rsidRPr="00D966AA">
        <w:rPr>
          <w:szCs w:val="20"/>
          <w:lang w:val="en-GB" w:eastAsia="en-AU"/>
        </w:rPr>
        <w:t>R&amp;D grants regime.</w:t>
      </w:r>
    </w:p>
    <w:p w14:paraId="3EBF377B" w14:textId="77777777" w:rsidR="0025585E" w:rsidRPr="00D966AA" w:rsidRDefault="0025585E" w:rsidP="0025585E">
      <w:pPr>
        <w:rPr>
          <w:szCs w:val="20"/>
          <w:lang w:val="en-GB" w:eastAsia="en-AU"/>
        </w:rPr>
      </w:pPr>
    </w:p>
    <w:p w14:paraId="60951A9F" w14:textId="48C03AAE" w:rsidR="00ED09D1" w:rsidRPr="00D966AA" w:rsidRDefault="00ED09D1" w:rsidP="0025585E">
      <w:pPr>
        <w:pStyle w:val="Heading4"/>
      </w:pPr>
      <w:r w:rsidRPr="00D966AA">
        <w:t xml:space="preserve">Requiring the use of a systematic approach </w:t>
      </w:r>
      <w:r w:rsidRPr="00255838">
        <w:t>instead</w:t>
      </w:r>
      <w:r w:rsidRPr="00D966AA">
        <w:t xml:space="preserve"> of a scientific method</w:t>
      </w:r>
    </w:p>
    <w:p w14:paraId="532B418B" w14:textId="77777777" w:rsidR="00ED09D1" w:rsidRPr="00D966AA" w:rsidRDefault="00ED09D1" w:rsidP="0025585E">
      <w:pPr>
        <w:rPr>
          <w:lang w:val="en-GB" w:eastAsia="en-AU"/>
        </w:rPr>
      </w:pPr>
    </w:p>
    <w:p w14:paraId="3D7E4E08" w14:textId="77777777" w:rsidR="00ED09D1" w:rsidRPr="00D966AA" w:rsidRDefault="00ED09D1" w:rsidP="0025585E">
      <w:pPr>
        <w:rPr>
          <w:lang w:val="en-GB" w:eastAsia="en-AU"/>
        </w:rPr>
      </w:pPr>
      <w:r w:rsidRPr="00D966AA">
        <w:rPr>
          <w:lang w:val="en-GB" w:eastAsia="en-AU"/>
        </w:rPr>
        <w:t>The proposed core activity definition is broader than the 2008 definition. This is to address concerns that many New Zealand businesses conducting R&amp;D do not follow traditional scientific methods. Requiring the use of a systematic approach recognises the different methods used by these businesses while still requiring a planned, logical approach to R&amp;D.</w:t>
      </w:r>
    </w:p>
    <w:p w14:paraId="31846F42" w14:textId="77777777" w:rsidR="00ED09D1" w:rsidRPr="00D966AA" w:rsidRDefault="00ED09D1" w:rsidP="0025585E">
      <w:pPr>
        <w:rPr>
          <w:lang w:val="en-GB" w:eastAsia="en-AU"/>
        </w:rPr>
      </w:pPr>
    </w:p>
    <w:p w14:paraId="40AD1576" w14:textId="77777777" w:rsidR="00ED09D1" w:rsidRPr="00D966AA" w:rsidRDefault="00ED09D1" w:rsidP="0025585E">
      <w:pPr>
        <w:pStyle w:val="Heading4"/>
      </w:pPr>
      <w:r w:rsidRPr="00D966AA">
        <w:t>Reference to “advance science or technology” removed</w:t>
      </w:r>
    </w:p>
    <w:p w14:paraId="4B1D2B94" w14:textId="77777777" w:rsidR="00ED09D1" w:rsidRPr="00D966AA" w:rsidRDefault="00ED09D1" w:rsidP="0025585E">
      <w:pPr>
        <w:rPr>
          <w:lang w:val="en-GB" w:eastAsia="en-AU"/>
        </w:rPr>
      </w:pPr>
    </w:p>
    <w:p w14:paraId="391DB331" w14:textId="23751960" w:rsidR="00ED09D1" w:rsidRPr="00D966AA" w:rsidRDefault="00ED09D1" w:rsidP="0025585E">
      <w:pPr>
        <w:rPr>
          <w:lang w:val="en-GB" w:eastAsia="en-AU"/>
        </w:rPr>
      </w:pPr>
      <w:r w:rsidRPr="00D966AA">
        <w:rPr>
          <w:lang w:val="en-GB" w:eastAsia="en-AU"/>
        </w:rPr>
        <w:t xml:space="preserve">The 2008 core activity definition required “an advance in science or technology by resolving scientific or technological uncertainty”. The proposed core activity definition does not explicitly require an advance in science or technology, but does </w:t>
      </w:r>
      <w:r w:rsidR="00821772">
        <w:rPr>
          <w:lang w:val="en-GB" w:eastAsia="en-AU"/>
        </w:rPr>
        <w:t xml:space="preserve">imply </w:t>
      </w:r>
      <w:r w:rsidRPr="00D966AA">
        <w:rPr>
          <w:lang w:val="en-GB" w:eastAsia="en-AU"/>
        </w:rPr>
        <w:t>an advance through the inclusion of limbs (b) and (c).</w:t>
      </w:r>
    </w:p>
    <w:p w14:paraId="43704441" w14:textId="77777777" w:rsidR="00ED09D1" w:rsidRPr="00D966AA" w:rsidRDefault="00ED09D1" w:rsidP="0025585E">
      <w:pPr>
        <w:rPr>
          <w:lang w:val="en-GB" w:eastAsia="en-AU"/>
        </w:rPr>
      </w:pPr>
    </w:p>
    <w:p w14:paraId="44F74934" w14:textId="04DF8B7D" w:rsidR="00ED09D1" w:rsidRDefault="00ED09D1" w:rsidP="0025585E">
      <w:pPr>
        <w:rPr>
          <w:lang w:val="en-GB" w:eastAsia="en-AU"/>
        </w:rPr>
      </w:pPr>
      <w:r w:rsidRPr="00D966AA">
        <w:rPr>
          <w:lang w:val="en-GB" w:eastAsia="en-AU"/>
        </w:rPr>
        <w:t>The requirement</w:t>
      </w:r>
      <w:r w:rsidR="00DD38B2">
        <w:rPr>
          <w:lang w:val="en-GB" w:eastAsia="en-AU"/>
        </w:rPr>
        <w:t xml:space="preserve"> for</w:t>
      </w:r>
      <w:r w:rsidRPr="00D966AA">
        <w:rPr>
          <w:lang w:val="en-GB" w:eastAsia="en-AU"/>
        </w:rPr>
        <w:t xml:space="preserve"> (b) contemplates an intended advance, because </w:t>
      </w:r>
      <w:r w:rsidR="0000168F">
        <w:rPr>
          <w:lang w:val="en-GB" w:eastAsia="en-AU"/>
        </w:rPr>
        <w:t xml:space="preserve">people </w:t>
      </w:r>
      <w:r w:rsidRPr="00D966AA">
        <w:rPr>
          <w:lang w:val="en-GB" w:eastAsia="en-AU"/>
        </w:rPr>
        <w:t xml:space="preserve">are required to undertake an activity for </w:t>
      </w:r>
      <w:r w:rsidR="0074677B">
        <w:rPr>
          <w:lang w:val="en-GB" w:eastAsia="en-AU"/>
        </w:rPr>
        <w:t>a material purpose of creating:</w:t>
      </w:r>
    </w:p>
    <w:p w14:paraId="75DBDD45" w14:textId="77777777" w:rsidR="0025585E" w:rsidRPr="00D966AA" w:rsidRDefault="0025585E" w:rsidP="0025585E">
      <w:pPr>
        <w:rPr>
          <w:lang w:val="en-GB" w:eastAsia="en-AU"/>
        </w:rPr>
      </w:pPr>
    </w:p>
    <w:p w14:paraId="5DC036B1" w14:textId="003069D3" w:rsidR="00ED09D1" w:rsidRPr="000B36E9" w:rsidRDefault="00DD38B2" w:rsidP="0074677B">
      <w:pPr>
        <w:pStyle w:val="dotpoint"/>
      </w:pPr>
      <w:r>
        <w:t>n</w:t>
      </w:r>
      <w:r w:rsidR="00ED09D1" w:rsidRPr="000B36E9">
        <w:t>ew knowledge</w:t>
      </w:r>
      <w:r w:rsidR="00464B70">
        <w:t>;</w:t>
      </w:r>
      <w:r w:rsidR="00ED09D1" w:rsidRPr="000B36E9">
        <w:t xml:space="preserve"> or</w:t>
      </w:r>
    </w:p>
    <w:p w14:paraId="31FF063C" w14:textId="45A04409" w:rsidR="00ED09D1" w:rsidRPr="000B36E9" w:rsidRDefault="00DD38B2" w:rsidP="0074677B">
      <w:pPr>
        <w:pStyle w:val="dotpoint"/>
        <w:spacing w:after="0"/>
      </w:pPr>
      <w:r>
        <w:t>n</w:t>
      </w:r>
      <w:r w:rsidR="00ED09D1" w:rsidRPr="000B36E9">
        <w:t>ew or improved processes, goods or services.</w:t>
      </w:r>
    </w:p>
    <w:p w14:paraId="0EC4A751" w14:textId="77777777" w:rsidR="0025585E" w:rsidRDefault="0025585E" w:rsidP="0074677B">
      <w:pPr>
        <w:rPr>
          <w:lang w:val="en-GB" w:eastAsia="en-AU"/>
        </w:rPr>
      </w:pPr>
    </w:p>
    <w:p w14:paraId="1F9EEEC9" w14:textId="0EF6DD54" w:rsidR="00ED09D1" w:rsidRPr="00D966AA" w:rsidRDefault="00ED09D1" w:rsidP="0074677B">
      <w:pPr>
        <w:rPr>
          <w:lang w:val="en-GB" w:eastAsia="en-AU"/>
        </w:rPr>
      </w:pPr>
      <w:r w:rsidRPr="00D966AA">
        <w:rPr>
          <w:lang w:val="en-GB" w:eastAsia="en-AU"/>
        </w:rPr>
        <w:t xml:space="preserve">The requirement </w:t>
      </w:r>
      <w:r w:rsidR="00DD38B2">
        <w:rPr>
          <w:lang w:val="en-GB" w:eastAsia="en-AU"/>
        </w:rPr>
        <w:t>for</w:t>
      </w:r>
      <w:r w:rsidRPr="00D966AA">
        <w:rPr>
          <w:lang w:val="en-GB" w:eastAsia="en-AU"/>
        </w:rPr>
        <w:t xml:space="preserve"> (c) also contemplates an intended advance, because it requires an activity to have a material purpose of resolving scientific or technological uncertainty. If an activity resolves uncertainty, it must also by implication advance science or technology.</w:t>
      </w:r>
    </w:p>
    <w:p w14:paraId="2F3B5755" w14:textId="77777777" w:rsidR="00ED09D1" w:rsidRPr="00D966AA" w:rsidRDefault="00ED09D1" w:rsidP="0074677B">
      <w:pPr>
        <w:rPr>
          <w:lang w:val="en-GB" w:eastAsia="en-AU"/>
        </w:rPr>
      </w:pPr>
    </w:p>
    <w:p w14:paraId="12922835" w14:textId="77777777" w:rsidR="00ED09D1" w:rsidRPr="00D966AA" w:rsidRDefault="00ED09D1" w:rsidP="0074677B">
      <w:pPr>
        <w:pStyle w:val="Heading4"/>
      </w:pPr>
      <w:r w:rsidRPr="00D966AA">
        <w:t xml:space="preserve">New requirements: </w:t>
      </w:r>
      <w:r w:rsidR="002F5A71" w:rsidRPr="00D966AA">
        <w:t>perform</w:t>
      </w:r>
      <w:r w:rsidR="002F5A71">
        <w:t xml:space="preserve">ed </w:t>
      </w:r>
      <w:r w:rsidRPr="00D966AA">
        <w:t>in New Zealand</w:t>
      </w:r>
      <w:r w:rsidR="002F5A71">
        <w:t xml:space="preserve"> and day to day management in New Zealand</w:t>
      </w:r>
    </w:p>
    <w:p w14:paraId="0C1D21F2" w14:textId="77777777" w:rsidR="00ED09D1" w:rsidRPr="00D966AA" w:rsidRDefault="00ED09D1" w:rsidP="0074677B">
      <w:pPr>
        <w:rPr>
          <w:lang w:val="en-GB" w:eastAsia="en-AU"/>
        </w:rPr>
      </w:pPr>
    </w:p>
    <w:p w14:paraId="54ABE63A" w14:textId="2A1063D2" w:rsidR="00ED09D1" w:rsidRDefault="002F5A71" w:rsidP="0074677B">
      <w:pPr>
        <w:rPr>
          <w:lang w:val="en-GB" w:eastAsia="en-AU"/>
        </w:rPr>
      </w:pPr>
      <w:r>
        <w:rPr>
          <w:lang w:val="en-GB" w:eastAsia="en-AU"/>
        </w:rPr>
        <w:t xml:space="preserve">An R&amp;D activity’s day to </w:t>
      </w:r>
      <w:r w:rsidR="00E66E42">
        <w:rPr>
          <w:lang w:val="en-GB" w:eastAsia="en-AU"/>
        </w:rPr>
        <w:t xml:space="preserve">day management must be </w:t>
      </w:r>
      <w:r>
        <w:rPr>
          <w:lang w:val="en-GB" w:eastAsia="en-AU"/>
        </w:rPr>
        <w:t xml:space="preserve">conducted </w:t>
      </w:r>
      <w:r w:rsidR="00E66E42">
        <w:rPr>
          <w:lang w:val="en-GB" w:eastAsia="en-AU"/>
        </w:rPr>
        <w:t>in New Zealand</w:t>
      </w:r>
      <w:r>
        <w:rPr>
          <w:lang w:val="en-GB" w:eastAsia="en-AU"/>
        </w:rPr>
        <w:t xml:space="preserve">. This is </w:t>
      </w:r>
      <w:r w:rsidR="00E66E42">
        <w:rPr>
          <w:lang w:val="en-GB" w:eastAsia="en-AU"/>
        </w:rPr>
        <w:t>consistent with the requirement that core activit</w:t>
      </w:r>
      <w:r>
        <w:rPr>
          <w:lang w:val="en-GB" w:eastAsia="en-AU"/>
        </w:rPr>
        <w:t>ies must be performed</w:t>
      </w:r>
      <w:r w:rsidR="0074677B">
        <w:rPr>
          <w:lang w:val="en-GB" w:eastAsia="en-AU"/>
        </w:rPr>
        <w:t xml:space="preserve"> in New Zealand.</w:t>
      </w:r>
    </w:p>
    <w:p w14:paraId="11980C9D" w14:textId="77777777" w:rsidR="0025585E" w:rsidRPr="00E66E42" w:rsidRDefault="0025585E" w:rsidP="0074677B">
      <w:pPr>
        <w:rPr>
          <w:lang w:val="en-GB" w:eastAsia="en-AU"/>
        </w:rPr>
      </w:pPr>
    </w:p>
    <w:p w14:paraId="61AC2A71" w14:textId="4973D930" w:rsidR="00ED09D1" w:rsidRPr="00D966AA" w:rsidRDefault="00D64DA6" w:rsidP="0074677B">
      <w:pPr>
        <w:pStyle w:val="Heading3"/>
      </w:pPr>
      <w:r>
        <w:t>Supporting activity</w:t>
      </w:r>
    </w:p>
    <w:p w14:paraId="24E5160E" w14:textId="77777777" w:rsidR="00ED09D1" w:rsidRPr="00D966AA" w:rsidRDefault="00ED09D1" w:rsidP="0074677B">
      <w:pPr>
        <w:rPr>
          <w:lang w:val="en-GB" w:eastAsia="en-AU"/>
        </w:rPr>
      </w:pPr>
    </w:p>
    <w:p w14:paraId="038BEB3C" w14:textId="07D9D05E" w:rsidR="00E66E42" w:rsidRDefault="00E66E42" w:rsidP="0074677B">
      <w:pPr>
        <w:rPr>
          <w:lang w:val="en-GB" w:eastAsia="en-AU"/>
        </w:rPr>
      </w:pPr>
      <w:r>
        <w:rPr>
          <w:lang w:val="en-GB" w:eastAsia="en-AU"/>
        </w:rPr>
        <w:t>The supporting activit</w:t>
      </w:r>
      <w:r w:rsidR="002F5A71">
        <w:rPr>
          <w:lang w:val="en-GB" w:eastAsia="en-AU"/>
        </w:rPr>
        <w:t>y</w:t>
      </w:r>
      <w:r>
        <w:rPr>
          <w:lang w:val="en-GB" w:eastAsia="en-AU"/>
        </w:rPr>
        <w:t xml:space="preserve"> </w:t>
      </w:r>
      <w:r w:rsidR="002F5A71">
        <w:rPr>
          <w:lang w:val="en-GB" w:eastAsia="en-AU"/>
        </w:rPr>
        <w:t xml:space="preserve">definition </w:t>
      </w:r>
      <w:r>
        <w:rPr>
          <w:lang w:val="en-GB" w:eastAsia="en-AU"/>
        </w:rPr>
        <w:t xml:space="preserve">ensures a very high level of connection between </w:t>
      </w:r>
      <w:r w:rsidR="004F6150">
        <w:rPr>
          <w:lang w:val="en-GB" w:eastAsia="en-AU"/>
        </w:rPr>
        <w:t xml:space="preserve">a person’s </w:t>
      </w:r>
      <w:r>
        <w:rPr>
          <w:lang w:val="en-GB" w:eastAsia="en-AU"/>
        </w:rPr>
        <w:t>core and supporting activit</w:t>
      </w:r>
      <w:r w:rsidR="004F6150">
        <w:rPr>
          <w:lang w:val="en-GB" w:eastAsia="en-AU"/>
        </w:rPr>
        <w:t>ies</w:t>
      </w:r>
      <w:r w:rsidR="0074677B">
        <w:rPr>
          <w:lang w:val="en-GB" w:eastAsia="en-AU"/>
        </w:rPr>
        <w:t>.</w:t>
      </w:r>
    </w:p>
    <w:p w14:paraId="7E7D19A3" w14:textId="77777777" w:rsidR="008E7A3B" w:rsidRDefault="008E7A3B" w:rsidP="0074677B">
      <w:pPr>
        <w:rPr>
          <w:lang w:val="en-GB" w:eastAsia="en-AU"/>
        </w:rPr>
      </w:pPr>
    </w:p>
    <w:p w14:paraId="1128AFFD" w14:textId="77777777" w:rsidR="0025585E" w:rsidRDefault="0025585E" w:rsidP="0074677B">
      <w:pPr>
        <w:rPr>
          <w:lang w:val="en-GB" w:eastAsia="en-AU"/>
        </w:rPr>
      </w:pPr>
    </w:p>
    <w:p w14:paraId="3F607D4A" w14:textId="77777777" w:rsidR="00453540" w:rsidRPr="00453540" w:rsidRDefault="00453540" w:rsidP="00453540">
      <w:r w:rsidRPr="00453540">
        <w:br w:type="page"/>
      </w:r>
    </w:p>
    <w:p w14:paraId="29CC0F9A" w14:textId="4A65D31B" w:rsidR="00ED09D1" w:rsidRDefault="00ED09D1" w:rsidP="0074677B">
      <w:pPr>
        <w:pStyle w:val="Heading2"/>
      </w:pPr>
      <w:r w:rsidRPr="00D966AA">
        <w:t>Detailed analysis</w:t>
      </w:r>
    </w:p>
    <w:p w14:paraId="60F4454A" w14:textId="77777777" w:rsidR="0025585E" w:rsidRPr="0025585E" w:rsidRDefault="0025585E" w:rsidP="0074677B">
      <w:pPr>
        <w:rPr>
          <w:lang w:eastAsia="en-AU"/>
        </w:rPr>
      </w:pPr>
    </w:p>
    <w:p w14:paraId="147F4045" w14:textId="77777777" w:rsidR="00ED09D1" w:rsidRPr="00D966AA" w:rsidRDefault="00ED09D1" w:rsidP="0074677B">
      <w:pPr>
        <w:pStyle w:val="Heading3"/>
      </w:pPr>
      <w:r w:rsidRPr="00D966AA">
        <w:t>Core activity</w:t>
      </w:r>
    </w:p>
    <w:p w14:paraId="70D148D1" w14:textId="77777777" w:rsidR="00ED09D1" w:rsidRPr="00D966AA" w:rsidRDefault="00ED09D1" w:rsidP="0074677B">
      <w:pPr>
        <w:rPr>
          <w:lang w:val="en-GB" w:eastAsia="en-AU"/>
        </w:rPr>
      </w:pPr>
    </w:p>
    <w:p w14:paraId="27E36B25" w14:textId="61AB21D5" w:rsidR="00ED09D1" w:rsidRPr="00D966AA" w:rsidRDefault="00ED09D1" w:rsidP="0074677B">
      <w:pPr>
        <w:pStyle w:val="Heading4"/>
      </w:pPr>
      <w:r w:rsidRPr="00D966AA">
        <w:t xml:space="preserve">Systematic approach </w:t>
      </w:r>
      <w:r w:rsidRPr="000A412F">
        <w:t>(limb (a))</w:t>
      </w:r>
    </w:p>
    <w:p w14:paraId="5A922F99" w14:textId="77777777" w:rsidR="00ED09D1" w:rsidRPr="00D966AA" w:rsidRDefault="00ED09D1" w:rsidP="0074677B">
      <w:pPr>
        <w:rPr>
          <w:lang w:val="en-GB" w:eastAsia="en-AU"/>
        </w:rPr>
      </w:pPr>
    </w:p>
    <w:p w14:paraId="3538F386" w14:textId="77777777" w:rsidR="00E66E42" w:rsidRDefault="002F5A71" w:rsidP="0074677B">
      <w:pPr>
        <w:rPr>
          <w:lang w:val="en-GB" w:eastAsia="en-AU"/>
        </w:rPr>
      </w:pPr>
      <w:r>
        <w:rPr>
          <w:lang w:val="en-GB" w:eastAsia="en-AU"/>
        </w:rPr>
        <w:t xml:space="preserve">A person </w:t>
      </w:r>
      <w:r w:rsidR="00ED09D1" w:rsidRPr="00D966AA">
        <w:rPr>
          <w:lang w:val="en-GB" w:eastAsia="en-AU"/>
        </w:rPr>
        <w:t>will need to demonstrate that their R&amp;D process followed a planned, logical progression of work. A systematic approach includes scientific methods, so may involve hypothesis, experiment, observation and evaluation. An agile approach to R&amp;D (</w:t>
      </w:r>
      <w:r w:rsidR="00ED09D1">
        <w:rPr>
          <w:lang w:val="en-GB" w:eastAsia="en-AU"/>
        </w:rPr>
        <w:t xml:space="preserve">such as the approach used in some </w:t>
      </w:r>
      <w:r w:rsidR="00ED09D1" w:rsidRPr="00D966AA">
        <w:rPr>
          <w:lang w:val="en-GB" w:eastAsia="en-AU"/>
        </w:rPr>
        <w:t xml:space="preserve">software </w:t>
      </w:r>
      <w:r w:rsidR="00ED09D1">
        <w:rPr>
          <w:lang w:val="en-GB" w:eastAsia="en-AU"/>
        </w:rPr>
        <w:t>R&amp;D</w:t>
      </w:r>
      <w:r w:rsidR="00ED09D1" w:rsidRPr="00D966AA">
        <w:rPr>
          <w:lang w:val="en-GB" w:eastAsia="en-AU"/>
        </w:rPr>
        <w:t xml:space="preserve">) may </w:t>
      </w:r>
      <w:r w:rsidR="00E66E42">
        <w:rPr>
          <w:lang w:val="en-GB" w:eastAsia="en-AU"/>
        </w:rPr>
        <w:t>also</w:t>
      </w:r>
      <w:r w:rsidR="00ED09D1">
        <w:rPr>
          <w:lang w:val="en-GB" w:eastAsia="en-AU"/>
        </w:rPr>
        <w:t xml:space="preserve"> be considered a </w:t>
      </w:r>
      <w:r w:rsidR="00ED09D1" w:rsidRPr="00D966AA">
        <w:rPr>
          <w:lang w:val="en-GB" w:eastAsia="en-AU"/>
        </w:rPr>
        <w:t xml:space="preserve">systematic approach, provided the R&amp;D activity is planned, occurs logically, and </w:t>
      </w:r>
      <w:r w:rsidR="00E66E42">
        <w:rPr>
          <w:lang w:val="en-GB" w:eastAsia="en-AU"/>
        </w:rPr>
        <w:t xml:space="preserve">tests whether a proposed solution </w:t>
      </w:r>
      <w:r>
        <w:rPr>
          <w:lang w:val="en-GB" w:eastAsia="en-AU"/>
        </w:rPr>
        <w:t>(</w:t>
      </w:r>
      <w:r w:rsidR="00E66E42">
        <w:rPr>
          <w:lang w:val="en-GB" w:eastAsia="en-AU"/>
        </w:rPr>
        <w:t>or solutions</w:t>
      </w:r>
      <w:r>
        <w:rPr>
          <w:lang w:val="en-GB" w:eastAsia="en-AU"/>
        </w:rPr>
        <w:t>)</w:t>
      </w:r>
      <w:r w:rsidR="00E66E42">
        <w:rPr>
          <w:lang w:val="en-GB" w:eastAsia="en-AU"/>
        </w:rPr>
        <w:t xml:space="preserve"> resolve</w:t>
      </w:r>
      <w:r>
        <w:rPr>
          <w:lang w:val="en-GB" w:eastAsia="en-AU"/>
        </w:rPr>
        <w:t>s</w:t>
      </w:r>
      <w:r w:rsidR="00E66E42">
        <w:rPr>
          <w:lang w:val="en-GB" w:eastAsia="en-AU"/>
        </w:rPr>
        <w:t xml:space="preserve"> what is scientifically or technologically unknown.</w:t>
      </w:r>
    </w:p>
    <w:p w14:paraId="64E32795" w14:textId="77777777" w:rsidR="00E66E42" w:rsidRDefault="00E66E42" w:rsidP="0074677B">
      <w:pPr>
        <w:rPr>
          <w:lang w:val="en-GB" w:eastAsia="en-AU"/>
        </w:rPr>
      </w:pPr>
    </w:p>
    <w:p w14:paraId="7972590A" w14:textId="77777777" w:rsidR="00ED09D1" w:rsidRPr="00D966AA" w:rsidRDefault="00E66E42" w:rsidP="0074677B">
      <w:pPr>
        <w:rPr>
          <w:lang w:val="en-GB" w:eastAsia="en-AU"/>
        </w:rPr>
      </w:pPr>
      <w:r w:rsidRPr="00E66E42">
        <w:rPr>
          <w:lang w:val="en-GB" w:eastAsia="en-AU"/>
        </w:rPr>
        <w:t>Prototyping</w:t>
      </w:r>
      <w:r w:rsidR="002F5A71">
        <w:rPr>
          <w:lang w:val="en-GB" w:eastAsia="en-AU"/>
        </w:rPr>
        <w:t>,</w:t>
      </w:r>
      <w:r w:rsidRPr="00E66E42">
        <w:rPr>
          <w:lang w:val="en-GB" w:eastAsia="en-AU"/>
        </w:rPr>
        <w:t xml:space="preserve"> and the type of planned and logical testing that occurs in a test kitchen or similar environment</w:t>
      </w:r>
      <w:r w:rsidR="002F5A71">
        <w:rPr>
          <w:lang w:val="en-GB" w:eastAsia="en-AU"/>
        </w:rPr>
        <w:t>,</w:t>
      </w:r>
      <w:r w:rsidRPr="00E66E42">
        <w:rPr>
          <w:lang w:val="en-GB" w:eastAsia="en-AU"/>
        </w:rPr>
        <w:t xml:space="preserve"> may also be sufficiently systematic to meet the requirements for a systematic approach. The requirement for a systematic approach will</w:t>
      </w:r>
      <w:r w:rsidR="002F5A71">
        <w:rPr>
          <w:lang w:val="en-GB" w:eastAsia="en-AU"/>
        </w:rPr>
        <w:t>,</w:t>
      </w:r>
      <w:r w:rsidRPr="00E66E42">
        <w:rPr>
          <w:lang w:val="en-GB" w:eastAsia="en-AU"/>
        </w:rPr>
        <w:t xml:space="preserve"> however</w:t>
      </w:r>
      <w:r w:rsidR="002F5A71">
        <w:rPr>
          <w:lang w:val="en-GB" w:eastAsia="en-AU"/>
        </w:rPr>
        <w:t>,</w:t>
      </w:r>
      <w:r w:rsidRPr="00E66E42">
        <w:rPr>
          <w:lang w:val="en-GB" w:eastAsia="en-AU"/>
        </w:rPr>
        <w:t xml:space="preserve"> exclude anything discovered or produced </w:t>
      </w:r>
      <w:r>
        <w:rPr>
          <w:lang w:val="en-GB" w:eastAsia="en-AU"/>
        </w:rPr>
        <w:t>as a result of random</w:t>
      </w:r>
      <w:r w:rsidRPr="00E66E42">
        <w:rPr>
          <w:lang w:val="en-GB" w:eastAsia="en-AU"/>
        </w:rPr>
        <w:t xml:space="preserve"> trial and error.</w:t>
      </w:r>
    </w:p>
    <w:p w14:paraId="32CED3A3" w14:textId="77777777" w:rsidR="00ED09D1" w:rsidRPr="00D966AA" w:rsidRDefault="00ED09D1" w:rsidP="0074677B">
      <w:pPr>
        <w:rPr>
          <w:lang w:val="en-GB" w:eastAsia="en-AU"/>
        </w:rPr>
      </w:pPr>
    </w:p>
    <w:p w14:paraId="4399E98F" w14:textId="54867CCE" w:rsidR="00ED09D1" w:rsidRPr="00D966AA" w:rsidRDefault="00ED09D1" w:rsidP="0074677B">
      <w:pPr>
        <w:pStyle w:val="Heading4"/>
      </w:pPr>
      <w:r w:rsidRPr="00D966AA">
        <w:t xml:space="preserve">Creating new </w:t>
      </w:r>
      <w:r w:rsidR="002F5A71">
        <w:t>things</w:t>
      </w:r>
      <w:r w:rsidRPr="00D966AA">
        <w:t xml:space="preserve"> </w:t>
      </w:r>
      <w:r w:rsidRPr="000A412F">
        <w:t>(limb (b))</w:t>
      </w:r>
    </w:p>
    <w:p w14:paraId="02A1E885" w14:textId="77777777" w:rsidR="00ED09D1" w:rsidRPr="00D966AA" w:rsidRDefault="00ED09D1" w:rsidP="0074677B">
      <w:pPr>
        <w:rPr>
          <w:lang w:val="en-GB" w:eastAsia="en-AU"/>
        </w:rPr>
      </w:pPr>
    </w:p>
    <w:p w14:paraId="1861FA6E" w14:textId="77777777" w:rsidR="00ED09D1" w:rsidRPr="00D966AA" w:rsidRDefault="00ED09D1" w:rsidP="0074677B">
      <w:pPr>
        <w:rPr>
          <w:lang w:val="en-GB" w:eastAsia="en-AU"/>
        </w:rPr>
      </w:pPr>
      <w:r w:rsidRPr="00D966AA">
        <w:rPr>
          <w:lang w:val="en-GB" w:eastAsia="en-AU"/>
        </w:rPr>
        <w:t xml:space="preserve">To qualify as core activities, </w:t>
      </w:r>
      <w:r w:rsidR="002F5A71">
        <w:rPr>
          <w:lang w:val="en-GB" w:eastAsia="en-AU"/>
        </w:rPr>
        <w:t xml:space="preserve">R&amp;D </w:t>
      </w:r>
      <w:r w:rsidRPr="00D966AA">
        <w:rPr>
          <w:lang w:val="en-GB" w:eastAsia="en-AU"/>
        </w:rPr>
        <w:t xml:space="preserve">activities must be undertaken for </w:t>
      </w:r>
      <w:r>
        <w:rPr>
          <w:lang w:val="en-GB" w:eastAsia="en-AU"/>
        </w:rPr>
        <w:t>a material</w:t>
      </w:r>
      <w:r w:rsidRPr="00D966AA">
        <w:rPr>
          <w:lang w:val="en-GB" w:eastAsia="en-AU"/>
        </w:rPr>
        <w:t xml:space="preserve"> purpose of creating new knowledge or creating new or improved processes, goods or services. The </w:t>
      </w:r>
      <w:r>
        <w:rPr>
          <w:lang w:val="en-GB" w:eastAsia="en-AU"/>
        </w:rPr>
        <w:t xml:space="preserve">material </w:t>
      </w:r>
      <w:r w:rsidRPr="00D966AA">
        <w:rPr>
          <w:lang w:val="en-GB" w:eastAsia="en-AU"/>
        </w:rPr>
        <w:t>purpose test means that the R&amp;D need not be successful to qualify for the credit.</w:t>
      </w:r>
    </w:p>
    <w:p w14:paraId="01D105B7" w14:textId="77777777" w:rsidR="00ED09D1" w:rsidRPr="00D966AA" w:rsidRDefault="00ED09D1" w:rsidP="0074677B">
      <w:pPr>
        <w:rPr>
          <w:lang w:val="en-GB" w:eastAsia="en-AU"/>
        </w:rPr>
      </w:pPr>
    </w:p>
    <w:p w14:paraId="4AD4E6FE" w14:textId="77777777" w:rsidR="00ED09D1" w:rsidRPr="00D966AA" w:rsidRDefault="00ED09D1" w:rsidP="0074677B">
      <w:pPr>
        <w:rPr>
          <w:lang w:val="en-GB" w:eastAsia="en-AU"/>
        </w:rPr>
      </w:pPr>
      <w:r w:rsidRPr="00D966AA">
        <w:rPr>
          <w:lang w:val="en-GB" w:eastAsia="en-AU"/>
        </w:rPr>
        <w:t xml:space="preserve">To establish whether something is new, it should be compared with what is already available in the public arena on a reasonably accessible worldwide basis at the </w:t>
      </w:r>
      <w:r w:rsidR="00E66E42">
        <w:rPr>
          <w:lang w:val="en-GB" w:eastAsia="en-AU"/>
        </w:rPr>
        <w:t xml:space="preserve">time in the relevant </w:t>
      </w:r>
      <w:r w:rsidRPr="00D966AA">
        <w:rPr>
          <w:lang w:val="en-GB" w:eastAsia="en-AU"/>
        </w:rPr>
        <w:t>field.</w:t>
      </w:r>
    </w:p>
    <w:p w14:paraId="64AE69E0" w14:textId="77777777" w:rsidR="00ED09D1" w:rsidRPr="00D966AA" w:rsidRDefault="00ED09D1" w:rsidP="0074677B">
      <w:pPr>
        <w:rPr>
          <w:lang w:val="en-GB" w:eastAsia="en-AU"/>
        </w:rPr>
      </w:pPr>
    </w:p>
    <w:p w14:paraId="1220B1C9" w14:textId="6349C62C" w:rsidR="00ED09D1" w:rsidRPr="00D966AA" w:rsidRDefault="00ED09D1" w:rsidP="0074677B">
      <w:pPr>
        <w:rPr>
          <w:lang w:val="en-GB" w:eastAsia="en-AU"/>
        </w:rPr>
      </w:pPr>
      <w:r w:rsidRPr="00D966AA">
        <w:rPr>
          <w:lang w:val="en-GB" w:eastAsia="en-AU"/>
        </w:rPr>
        <w:t xml:space="preserve">A </w:t>
      </w:r>
      <w:r w:rsidR="00784E20">
        <w:rPr>
          <w:lang w:val="en-GB" w:eastAsia="en-AU"/>
        </w:rPr>
        <w:t>person</w:t>
      </w:r>
      <w:r w:rsidRPr="00D966AA">
        <w:rPr>
          <w:lang w:val="en-GB" w:eastAsia="en-AU"/>
        </w:rPr>
        <w:t xml:space="preserve"> may </w:t>
      </w:r>
      <w:r w:rsidR="00E66E42">
        <w:rPr>
          <w:lang w:val="en-GB" w:eastAsia="en-AU"/>
        </w:rPr>
        <w:t>satisfy</w:t>
      </w:r>
      <w:r w:rsidRPr="00D966AA">
        <w:rPr>
          <w:lang w:val="en-GB" w:eastAsia="en-AU"/>
        </w:rPr>
        <w:t xml:space="preserve"> this requirement where </w:t>
      </w:r>
      <w:r w:rsidR="00E66E42">
        <w:rPr>
          <w:lang w:val="en-GB" w:eastAsia="en-AU"/>
        </w:rPr>
        <w:t xml:space="preserve">another firm is </w:t>
      </w:r>
      <w:r w:rsidRPr="00D966AA">
        <w:rPr>
          <w:lang w:val="en-GB" w:eastAsia="en-AU"/>
        </w:rPr>
        <w:t xml:space="preserve">undertaking the same R&amp;D simultaneously but independently. An R&amp;D activity may also satisfy this requirement where another </w:t>
      </w:r>
      <w:r w:rsidRPr="00784E20">
        <w:rPr>
          <w:lang w:val="en-GB" w:eastAsia="en-AU"/>
        </w:rPr>
        <w:t>firm</w:t>
      </w:r>
      <w:r w:rsidRPr="00D966AA">
        <w:rPr>
          <w:lang w:val="en-GB" w:eastAsia="en-AU"/>
        </w:rPr>
        <w:t xml:space="preserve"> has already created </w:t>
      </w:r>
      <w:r w:rsidR="00E66E42">
        <w:rPr>
          <w:lang w:val="en-GB" w:eastAsia="en-AU"/>
        </w:rPr>
        <w:t xml:space="preserve">the </w:t>
      </w:r>
      <w:r w:rsidRPr="00D966AA">
        <w:rPr>
          <w:lang w:val="en-GB" w:eastAsia="en-AU"/>
        </w:rPr>
        <w:t xml:space="preserve">new knowledge but has kept it secret, and the </w:t>
      </w:r>
      <w:r w:rsidR="0077695C">
        <w:rPr>
          <w:lang w:val="en-GB" w:eastAsia="en-AU"/>
        </w:rPr>
        <w:t>person</w:t>
      </w:r>
      <w:r w:rsidR="0077695C" w:rsidRPr="00D966AA">
        <w:rPr>
          <w:lang w:val="en-GB" w:eastAsia="en-AU"/>
        </w:rPr>
        <w:t xml:space="preserve"> </w:t>
      </w:r>
      <w:r w:rsidRPr="00D966AA">
        <w:rPr>
          <w:lang w:val="en-GB" w:eastAsia="en-AU"/>
        </w:rPr>
        <w:t xml:space="preserve">is undertaking the R&amp;D to create </w:t>
      </w:r>
      <w:r w:rsidR="00E66E42">
        <w:rPr>
          <w:lang w:val="en-GB" w:eastAsia="en-AU"/>
        </w:rPr>
        <w:t xml:space="preserve">equivalent </w:t>
      </w:r>
      <w:r w:rsidR="0074677B">
        <w:rPr>
          <w:lang w:val="en-GB" w:eastAsia="en-AU"/>
        </w:rPr>
        <w:t>knowledge.</w:t>
      </w:r>
    </w:p>
    <w:p w14:paraId="0B5125B8" w14:textId="77777777" w:rsidR="00ED09D1" w:rsidRPr="00D966AA" w:rsidRDefault="00ED09D1" w:rsidP="0074677B">
      <w:pPr>
        <w:rPr>
          <w:lang w:val="en-GB" w:eastAsia="en-AU"/>
        </w:rPr>
      </w:pPr>
    </w:p>
    <w:p w14:paraId="4320B213" w14:textId="4D89A847" w:rsidR="00ED09D1" w:rsidRPr="00D966AA" w:rsidRDefault="00ED09D1" w:rsidP="0074677B">
      <w:pPr>
        <w:rPr>
          <w:lang w:val="en-GB" w:eastAsia="en-AU"/>
        </w:rPr>
      </w:pPr>
      <w:r w:rsidRPr="00D966AA">
        <w:rPr>
          <w:lang w:val="en-GB" w:eastAsia="en-AU"/>
        </w:rPr>
        <w:t xml:space="preserve">Improvements to existing products or processes may qualify as R&amp;D. In addition to improving a product or process, the core activity definition requires a claimant to have a purpose of resolving scientific or technological uncertainty, so any improvements must go beyond routine maintenance to </w:t>
      </w:r>
      <w:r w:rsidR="0074677B">
        <w:rPr>
          <w:lang w:val="en-GB" w:eastAsia="en-AU"/>
        </w:rPr>
        <w:t>be eligible as core activities.</w:t>
      </w:r>
    </w:p>
    <w:p w14:paraId="585C5F83" w14:textId="77777777" w:rsidR="00ED09D1" w:rsidRPr="00D966AA" w:rsidRDefault="00ED09D1" w:rsidP="0074677B">
      <w:pPr>
        <w:rPr>
          <w:lang w:val="en-GB" w:eastAsia="en-AU"/>
        </w:rPr>
      </w:pPr>
    </w:p>
    <w:p w14:paraId="6AC911E8" w14:textId="3D9047E4" w:rsidR="00ED09D1" w:rsidRPr="00D966AA" w:rsidRDefault="00ED09D1" w:rsidP="0074677B">
      <w:pPr>
        <w:pStyle w:val="Heading4"/>
      </w:pPr>
      <w:r w:rsidRPr="00D966AA">
        <w:t xml:space="preserve">Scientific or technological uncertainty </w:t>
      </w:r>
      <w:r w:rsidRPr="000A412F">
        <w:t>(limb (c))</w:t>
      </w:r>
    </w:p>
    <w:p w14:paraId="3EC0F202" w14:textId="77777777" w:rsidR="00ED09D1" w:rsidRPr="00D966AA" w:rsidRDefault="00ED09D1" w:rsidP="0074677B">
      <w:pPr>
        <w:rPr>
          <w:lang w:val="en-GB" w:eastAsia="en-NZ"/>
        </w:rPr>
      </w:pPr>
    </w:p>
    <w:p w14:paraId="0B1112F8" w14:textId="3B1E7F9B" w:rsidR="00E66E42" w:rsidRDefault="00E66E42" w:rsidP="0074677B">
      <w:pPr>
        <w:rPr>
          <w:rFonts w:eastAsia="Times New Roman" w:cs="Times New Roman"/>
          <w:lang w:val="en-GB" w:eastAsia="en-AU"/>
        </w:rPr>
      </w:pPr>
      <w:r>
        <w:rPr>
          <w:rFonts w:eastAsia="Times New Roman" w:cs="Times New Roman"/>
          <w:lang w:val="en-GB" w:eastAsia="en-AU"/>
        </w:rPr>
        <w:t xml:space="preserve">Scientific or technological uncertainty exists when a competent professional who has access to the publically available information on </w:t>
      </w:r>
      <w:r w:rsidR="002F5A71">
        <w:rPr>
          <w:rFonts w:eastAsia="Times New Roman" w:cs="Times New Roman"/>
          <w:lang w:val="en-GB" w:eastAsia="en-AU"/>
        </w:rPr>
        <w:t xml:space="preserve">a </w:t>
      </w:r>
      <w:r>
        <w:rPr>
          <w:rFonts w:eastAsia="Times New Roman" w:cs="Times New Roman"/>
          <w:lang w:val="en-GB" w:eastAsia="en-AU"/>
        </w:rPr>
        <w:t xml:space="preserve">topic does not know whether something is possible. </w:t>
      </w:r>
      <w:r w:rsidRPr="00D966AA">
        <w:rPr>
          <w:rFonts w:eastAsia="Times New Roman" w:cs="Times New Roman"/>
          <w:lang w:val="en-GB" w:eastAsia="en-AU"/>
        </w:rPr>
        <w:t>The uncertainty can relate to whether something is possible or achievable at all, or whether something is achievable within constraints such as cost.</w:t>
      </w:r>
    </w:p>
    <w:p w14:paraId="29115836" w14:textId="77777777" w:rsidR="00E66E42" w:rsidRDefault="00E66E42" w:rsidP="0074677B">
      <w:pPr>
        <w:rPr>
          <w:rFonts w:eastAsia="Times New Roman" w:cs="Times New Roman"/>
          <w:lang w:val="en-GB" w:eastAsia="en-AU"/>
        </w:rPr>
      </w:pPr>
    </w:p>
    <w:p w14:paraId="1971D83A" w14:textId="77777777" w:rsidR="00E66E42" w:rsidRDefault="00E66E42" w:rsidP="0074677B">
      <w:pPr>
        <w:rPr>
          <w:rFonts w:eastAsia="Times New Roman" w:cs="Times New Roman"/>
          <w:lang w:val="en-GB" w:eastAsia="en-AU"/>
        </w:rPr>
      </w:pPr>
      <w:r>
        <w:rPr>
          <w:rFonts w:eastAsia="Times New Roman" w:cs="Times New Roman"/>
          <w:lang w:val="en-GB" w:eastAsia="en-AU"/>
        </w:rPr>
        <w:t xml:space="preserve">If a competent professional can deduce </w:t>
      </w:r>
      <w:r w:rsidR="002F5A71">
        <w:rPr>
          <w:rFonts w:eastAsia="Times New Roman" w:cs="Times New Roman"/>
          <w:lang w:val="en-GB" w:eastAsia="en-AU"/>
        </w:rPr>
        <w:t xml:space="preserve">an </w:t>
      </w:r>
      <w:r>
        <w:rPr>
          <w:rFonts w:eastAsia="Times New Roman" w:cs="Times New Roman"/>
          <w:lang w:val="en-GB" w:eastAsia="en-AU"/>
        </w:rPr>
        <w:t xml:space="preserve">answer or can identify </w:t>
      </w:r>
      <w:r w:rsidR="002F5A71">
        <w:rPr>
          <w:rFonts w:eastAsia="Times New Roman" w:cs="Times New Roman"/>
          <w:lang w:val="en-GB" w:eastAsia="en-AU"/>
        </w:rPr>
        <w:t xml:space="preserve">an </w:t>
      </w:r>
      <w:r>
        <w:rPr>
          <w:rFonts w:eastAsia="Times New Roman" w:cs="Times New Roman"/>
          <w:lang w:val="en-GB" w:eastAsia="en-AU"/>
        </w:rPr>
        <w:t>approach to take in advance</w:t>
      </w:r>
      <w:r w:rsidR="007515CD">
        <w:rPr>
          <w:rFonts w:eastAsia="Times New Roman" w:cs="Times New Roman"/>
          <w:lang w:val="en-GB" w:eastAsia="en-AU"/>
        </w:rPr>
        <w:t xml:space="preserve">, </w:t>
      </w:r>
      <w:r>
        <w:rPr>
          <w:rFonts w:eastAsia="Times New Roman" w:cs="Times New Roman"/>
          <w:lang w:val="en-GB" w:eastAsia="en-AU"/>
        </w:rPr>
        <w:t>without a systematic process of testing</w:t>
      </w:r>
      <w:r w:rsidR="007515CD">
        <w:rPr>
          <w:rFonts w:eastAsia="Times New Roman" w:cs="Times New Roman"/>
          <w:lang w:val="en-GB" w:eastAsia="en-AU"/>
        </w:rPr>
        <w:t xml:space="preserve">, </w:t>
      </w:r>
      <w:r>
        <w:rPr>
          <w:rFonts w:eastAsia="Times New Roman" w:cs="Times New Roman"/>
          <w:lang w:val="en-GB" w:eastAsia="en-AU"/>
        </w:rPr>
        <w:t>analysis or prototyping</w:t>
      </w:r>
      <w:r w:rsidR="007515CD">
        <w:rPr>
          <w:rFonts w:eastAsia="Times New Roman" w:cs="Times New Roman"/>
          <w:lang w:val="en-GB" w:eastAsia="en-AU"/>
        </w:rPr>
        <w:t>,</w:t>
      </w:r>
      <w:r>
        <w:rPr>
          <w:rFonts w:eastAsia="Times New Roman" w:cs="Times New Roman"/>
          <w:lang w:val="en-GB" w:eastAsia="en-AU"/>
        </w:rPr>
        <w:t xml:space="preserve"> there is no technological or scientific uncertainty.</w:t>
      </w:r>
    </w:p>
    <w:p w14:paraId="4B9C4B78" w14:textId="77777777" w:rsidR="008E7A3B" w:rsidRDefault="008E7A3B" w:rsidP="0074677B">
      <w:pPr>
        <w:rPr>
          <w:rFonts w:eastAsia="Times New Roman" w:cs="Times New Roman"/>
          <w:lang w:val="en-GB" w:eastAsia="en-AU"/>
        </w:rPr>
      </w:pPr>
    </w:p>
    <w:p w14:paraId="3FF0BDA0" w14:textId="77777777" w:rsidR="00453540" w:rsidRDefault="00453540">
      <w:pPr>
        <w:spacing w:after="200" w:line="276" w:lineRule="auto"/>
        <w:jc w:val="left"/>
        <w:rPr>
          <w:rFonts w:eastAsia="Times New Roman" w:cs="Times New Roman"/>
          <w:lang w:val="en-GB" w:eastAsia="en-AU"/>
        </w:rPr>
      </w:pPr>
      <w:r>
        <w:rPr>
          <w:rFonts w:eastAsia="Times New Roman" w:cs="Times New Roman"/>
          <w:lang w:val="en-GB" w:eastAsia="en-AU"/>
        </w:rPr>
        <w:br w:type="page"/>
      </w:r>
    </w:p>
    <w:p w14:paraId="4DA817E2" w14:textId="73B3487C" w:rsidR="00E66E42" w:rsidRDefault="00E66E42" w:rsidP="0074677B">
      <w:pPr>
        <w:rPr>
          <w:rFonts w:eastAsia="Times New Roman" w:cs="Times New Roman"/>
          <w:lang w:val="en-GB" w:eastAsia="en-AU"/>
        </w:rPr>
      </w:pPr>
      <w:r>
        <w:rPr>
          <w:rFonts w:eastAsia="Times New Roman" w:cs="Times New Roman"/>
          <w:lang w:val="en-GB" w:eastAsia="en-AU"/>
        </w:rPr>
        <w:t>A competent professional:</w:t>
      </w:r>
    </w:p>
    <w:p w14:paraId="44A92440" w14:textId="77777777" w:rsidR="007515CD" w:rsidRDefault="007515CD" w:rsidP="0074677B">
      <w:pPr>
        <w:rPr>
          <w:rFonts w:eastAsia="Times New Roman" w:cs="Times New Roman"/>
          <w:lang w:val="en-GB" w:eastAsia="en-AU"/>
        </w:rPr>
      </w:pPr>
    </w:p>
    <w:p w14:paraId="27E07B5A" w14:textId="6836664B" w:rsidR="00E66E42" w:rsidRDefault="005B6234" w:rsidP="0074677B">
      <w:pPr>
        <w:pStyle w:val="dotpoint"/>
      </w:pPr>
      <w:r>
        <w:t>i</w:t>
      </w:r>
      <w:r w:rsidR="007515CD">
        <w:t xml:space="preserve">s </w:t>
      </w:r>
      <w:r w:rsidR="00E66E42">
        <w:t>knowledgeable about the relevant field;</w:t>
      </w:r>
    </w:p>
    <w:p w14:paraId="69E8E5D6" w14:textId="214EF457" w:rsidR="00E66E42" w:rsidRDefault="005B6234" w:rsidP="0074677B">
      <w:pPr>
        <w:pStyle w:val="dotpoint"/>
      </w:pPr>
      <w:r>
        <w:t>p</w:t>
      </w:r>
      <w:r w:rsidR="00E66E42">
        <w:t xml:space="preserve">ossesses the relevant qualifications and/or experience to participate in the </w:t>
      </w:r>
      <w:r w:rsidR="002F5A71">
        <w:t xml:space="preserve">relevant </w:t>
      </w:r>
      <w:r w:rsidR="00E66E42">
        <w:t>field with a reasonable level of skill</w:t>
      </w:r>
      <w:r w:rsidR="007515CD">
        <w:t>;</w:t>
      </w:r>
    </w:p>
    <w:p w14:paraId="26C64126" w14:textId="45B5707A" w:rsidR="00E66E42" w:rsidRDefault="005B6234" w:rsidP="0074677B">
      <w:pPr>
        <w:pStyle w:val="dotpoint"/>
      </w:pPr>
      <w:r>
        <w:t>i</w:t>
      </w:r>
      <w:r w:rsidR="00E66E42">
        <w:t>s aware of the current state of knowledge in the field;</w:t>
      </w:r>
      <w:r w:rsidR="007515CD">
        <w:t xml:space="preserve"> and</w:t>
      </w:r>
    </w:p>
    <w:p w14:paraId="1EBE12B1" w14:textId="54EC310C" w:rsidR="00E66E42" w:rsidRPr="00BF13F6" w:rsidRDefault="005B6234" w:rsidP="0074677B">
      <w:pPr>
        <w:pStyle w:val="dotpoint"/>
        <w:spacing w:after="0"/>
      </w:pPr>
      <w:r>
        <w:t>h</w:t>
      </w:r>
      <w:r w:rsidR="00E66E42">
        <w:t>as access to publicly available knowledge from around the world such as the internet</w:t>
      </w:r>
      <w:r w:rsidR="007515CD">
        <w:t>,</w:t>
      </w:r>
      <w:r w:rsidR="00E66E42">
        <w:t xml:space="preserve"> relevant industry journals</w:t>
      </w:r>
      <w:r w:rsidR="007515CD">
        <w:t>,</w:t>
      </w:r>
      <w:r w:rsidR="00E66E42">
        <w:t xml:space="preserve"> and to other professionals.</w:t>
      </w:r>
    </w:p>
    <w:p w14:paraId="73548387" w14:textId="77777777" w:rsidR="0074677B" w:rsidRDefault="0074677B" w:rsidP="0074677B"/>
    <w:p w14:paraId="1C15E035" w14:textId="0E471824" w:rsidR="00421265" w:rsidRPr="00421265" w:rsidRDefault="00421265" w:rsidP="0074677B">
      <w:r>
        <w:t>The requirement to resolve uncertainty also assists in defining the extent of the R&amp;D activity. As a general rule, the R&amp;D activity will finish once the uncertainty has been resolved.</w:t>
      </w:r>
    </w:p>
    <w:p w14:paraId="0C46BF4B" w14:textId="77777777" w:rsidR="0074677B" w:rsidRDefault="0074677B" w:rsidP="0074677B"/>
    <w:p w14:paraId="32A81576" w14:textId="3485045C" w:rsidR="00E66E42" w:rsidRPr="007515CD" w:rsidRDefault="00E66E42" w:rsidP="0074677B">
      <w:r>
        <w:t>The test is an objective test on a worldwide basis</w:t>
      </w:r>
      <w:r w:rsidR="007515CD">
        <w:t>.</w:t>
      </w:r>
      <w:r>
        <w:t xml:space="preserve"> </w:t>
      </w:r>
      <w:r w:rsidR="007515CD">
        <w:t>I</w:t>
      </w:r>
      <w:r>
        <w:t>t is not enough that the business does not have the knowledge or that no</w:t>
      </w:r>
      <w:r w:rsidR="0077695C">
        <w:t xml:space="preserve"> </w:t>
      </w:r>
      <w:r>
        <w:t xml:space="preserve">one in </w:t>
      </w:r>
      <w:r w:rsidR="007515CD">
        <w:t>N</w:t>
      </w:r>
      <w:r>
        <w:t xml:space="preserve">ew Zealand has yet done what </w:t>
      </w:r>
      <w:r w:rsidR="007515CD">
        <w:t>the</w:t>
      </w:r>
      <w:r>
        <w:t xml:space="preserve"> business is</w:t>
      </w:r>
      <w:r w:rsidR="0074677B">
        <w:t xml:space="preserve"> trying to do.</w:t>
      </w:r>
    </w:p>
    <w:p w14:paraId="754C2369" w14:textId="77777777" w:rsidR="00ED09D1" w:rsidRPr="00D966AA" w:rsidRDefault="00ED09D1" w:rsidP="0074677B">
      <w:pPr>
        <w:rPr>
          <w:rFonts w:eastAsia="Times New Roman" w:cs="Times New Roman"/>
          <w:szCs w:val="20"/>
          <w:lang w:val="en-GB" w:eastAsia="en-AU"/>
        </w:rPr>
      </w:pPr>
    </w:p>
    <w:p w14:paraId="04F7614B" w14:textId="6322BB36" w:rsidR="00ED09D1" w:rsidRPr="00D966AA" w:rsidRDefault="00ED09D1" w:rsidP="0074677B">
      <w:pPr>
        <w:pStyle w:val="Heading4"/>
      </w:pPr>
      <w:r w:rsidRPr="00D966AA">
        <w:t xml:space="preserve">Day to day management in New Zealand </w:t>
      </w:r>
      <w:r w:rsidRPr="000A412F">
        <w:t>(limb (d))</w:t>
      </w:r>
      <w:r w:rsidRPr="00D966AA">
        <w:t xml:space="preserve"> and ac</w:t>
      </w:r>
      <w:r w:rsidR="0074677B">
        <w:t>tivity performed in New Zealand</w:t>
      </w:r>
    </w:p>
    <w:p w14:paraId="215C2E53" w14:textId="77777777" w:rsidR="00ED09D1" w:rsidRPr="00D966AA" w:rsidRDefault="00ED09D1" w:rsidP="0074677B">
      <w:pPr>
        <w:rPr>
          <w:lang w:val="en-GB" w:eastAsia="en-AU"/>
        </w:rPr>
      </w:pPr>
    </w:p>
    <w:p w14:paraId="6869E2D8" w14:textId="2137CF43" w:rsidR="00ED09D1" w:rsidRDefault="007515CD" w:rsidP="0074677B">
      <w:pPr>
        <w:rPr>
          <w:lang w:val="en-GB" w:eastAsia="en-AU"/>
        </w:rPr>
      </w:pPr>
      <w:r>
        <w:rPr>
          <w:lang w:val="en-GB" w:eastAsia="en-AU"/>
        </w:rPr>
        <w:t xml:space="preserve">A </w:t>
      </w:r>
      <w:r w:rsidR="00092040">
        <w:rPr>
          <w:lang w:val="en-GB" w:eastAsia="en-AU"/>
        </w:rPr>
        <w:t xml:space="preserve">person </w:t>
      </w:r>
      <w:r>
        <w:rPr>
          <w:lang w:val="en-GB" w:eastAsia="en-AU"/>
        </w:rPr>
        <w:t xml:space="preserve">must have a fixed establishment in New Zealand and must manage </w:t>
      </w:r>
      <w:r w:rsidR="00092040">
        <w:rPr>
          <w:lang w:val="en-GB" w:eastAsia="en-AU"/>
        </w:rPr>
        <w:t xml:space="preserve">their </w:t>
      </w:r>
      <w:r>
        <w:rPr>
          <w:lang w:val="en-GB" w:eastAsia="en-AU"/>
        </w:rPr>
        <w:t xml:space="preserve">R&amp;D activities from New Zealand. </w:t>
      </w:r>
      <w:r w:rsidR="00ED09D1" w:rsidRPr="00D966AA">
        <w:rPr>
          <w:lang w:val="en-GB" w:eastAsia="en-AU"/>
        </w:rPr>
        <w:t>Day</w:t>
      </w:r>
      <w:r w:rsidR="0077695C">
        <w:rPr>
          <w:lang w:val="en-GB" w:eastAsia="en-AU"/>
        </w:rPr>
        <w:t xml:space="preserve"> </w:t>
      </w:r>
      <w:r w:rsidR="00ED09D1" w:rsidRPr="00D966AA">
        <w:rPr>
          <w:lang w:val="en-GB" w:eastAsia="en-AU"/>
        </w:rPr>
        <w:t>to</w:t>
      </w:r>
      <w:r w:rsidR="0077695C">
        <w:rPr>
          <w:lang w:val="en-GB" w:eastAsia="en-AU"/>
        </w:rPr>
        <w:t xml:space="preserve"> </w:t>
      </w:r>
      <w:r w:rsidR="00ED09D1" w:rsidRPr="00D966AA">
        <w:rPr>
          <w:lang w:val="en-GB" w:eastAsia="en-AU"/>
        </w:rPr>
        <w:t>day management is separate from the R&amp;D controlling rights specified in proposed new section LY 3(1)(c)(i) to (iv)</w:t>
      </w:r>
      <w:r w:rsidR="00485279">
        <w:rPr>
          <w:lang w:val="en-GB" w:eastAsia="en-AU"/>
        </w:rPr>
        <w:t xml:space="preserve">. </w:t>
      </w:r>
      <w:r w:rsidR="000B6229">
        <w:rPr>
          <w:lang w:val="en-GB" w:eastAsia="en-AU"/>
        </w:rPr>
        <w:t>Day</w:t>
      </w:r>
      <w:r w:rsidR="0077695C">
        <w:rPr>
          <w:lang w:val="en-GB" w:eastAsia="en-AU"/>
        </w:rPr>
        <w:t xml:space="preserve"> </w:t>
      </w:r>
      <w:r w:rsidR="000B6229">
        <w:rPr>
          <w:lang w:val="en-GB" w:eastAsia="en-AU"/>
        </w:rPr>
        <w:t>to</w:t>
      </w:r>
      <w:r w:rsidR="0077695C">
        <w:rPr>
          <w:lang w:val="en-GB" w:eastAsia="en-AU"/>
        </w:rPr>
        <w:t xml:space="preserve"> </w:t>
      </w:r>
      <w:r w:rsidR="000B6229">
        <w:rPr>
          <w:lang w:val="en-GB" w:eastAsia="en-AU"/>
        </w:rPr>
        <w:t>day management is intended to encomp</w:t>
      </w:r>
      <w:r w:rsidR="00092040">
        <w:rPr>
          <w:lang w:val="en-GB" w:eastAsia="en-AU"/>
        </w:rPr>
        <w:t>ass smaller decisions that the person</w:t>
      </w:r>
      <w:r w:rsidR="000B6229">
        <w:rPr>
          <w:lang w:val="en-GB" w:eastAsia="en-AU"/>
        </w:rPr>
        <w:t xml:space="preserve"> must make to perform the</w:t>
      </w:r>
      <w:r w:rsidR="00092040">
        <w:rPr>
          <w:lang w:val="en-GB" w:eastAsia="en-AU"/>
        </w:rPr>
        <w:t>ir</w:t>
      </w:r>
      <w:r w:rsidR="000B6229">
        <w:rPr>
          <w:lang w:val="en-GB" w:eastAsia="en-AU"/>
        </w:rPr>
        <w:t xml:space="preserve"> R&amp;D</w:t>
      </w:r>
      <w:r w:rsidR="00092040">
        <w:rPr>
          <w:lang w:val="en-GB" w:eastAsia="en-AU"/>
        </w:rPr>
        <w:t xml:space="preserve"> activities</w:t>
      </w:r>
      <w:r w:rsidR="000B6229">
        <w:rPr>
          <w:lang w:val="en-GB" w:eastAsia="en-AU"/>
        </w:rPr>
        <w:t xml:space="preserve"> effectively</w:t>
      </w:r>
      <w:r w:rsidR="005B6234">
        <w:rPr>
          <w:lang w:val="en-GB" w:eastAsia="en-AU"/>
        </w:rPr>
        <w:t xml:space="preserve">. </w:t>
      </w:r>
      <w:r w:rsidR="00092040">
        <w:rPr>
          <w:lang w:val="en-GB" w:eastAsia="en-AU"/>
        </w:rPr>
        <w:t>R&amp;D controlling rights refer</w:t>
      </w:r>
      <w:r w:rsidR="000B6229">
        <w:rPr>
          <w:lang w:val="en-GB" w:eastAsia="en-AU"/>
        </w:rPr>
        <w:t xml:space="preserve"> to more substantive decisions</w:t>
      </w:r>
      <w:r w:rsidR="005B6234">
        <w:rPr>
          <w:lang w:val="en-GB" w:eastAsia="en-AU"/>
        </w:rPr>
        <w:t>,</w:t>
      </w:r>
      <w:r w:rsidR="000B6229">
        <w:rPr>
          <w:lang w:val="en-GB" w:eastAsia="en-AU"/>
        </w:rPr>
        <w:t xml:space="preserve"> such as the right to start or stop an activity, or change its direction.</w:t>
      </w:r>
    </w:p>
    <w:p w14:paraId="41305741" w14:textId="77777777" w:rsidR="00ED09D1" w:rsidRDefault="00ED09D1" w:rsidP="0074677B">
      <w:pPr>
        <w:rPr>
          <w:lang w:val="en-GB" w:eastAsia="en-AU"/>
        </w:rPr>
      </w:pPr>
    </w:p>
    <w:p w14:paraId="769029D5" w14:textId="66A9936D" w:rsidR="00ED09D1" w:rsidRDefault="00ED09D1" w:rsidP="0074677B">
      <w:pPr>
        <w:rPr>
          <w:lang w:val="en-GB" w:eastAsia="en-AU"/>
        </w:rPr>
      </w:pPr>
      <w:r w:rsidRPr="00D966AA">
        <w:rPr>
          <w:lang w:val="en-GB" w:eastAsia="en-AU"/>
        </w:rPr>
        <w:t xml:space="preserve">A person satisfies this requirement if, for example, they </w:t>
      </w:r>
      <w:r w:rsidR="007515CD">
        <w:rPr>
          <w:lang w:val="en-GB" w:eastAsia="en-AU"/>
        </w:rPr>
        <w:t xml:space="preserve">are deciding how their R&amp;D activity is carried out in their </w:t>
      </w:r>
      <w:r w:rsidRPr="00D966AA">
        <w:rPr>
          <w:lang w:val="en-GB" w:eastAsia="en-AU"/>
        </w:rPr>
        <w:t>New Zealand</w:t>
      </w:r>
      <w:r w:rsidR="0077695C">
        <w:rPr>
          <w:lang w:val="en-GB" w:eastAsia="en-AU"/>
        </w:rPr>
        <w:t xml:space="preserve"> </w:t>
      </w:r>
      <w:r w:rsidRPr="00D966AA">
        <w:rPr>
          <w:lang w:val="en-GB" w:eastAsia="en-AU"/>
        </w:rPr>
        <w:t xml:space="preserve">based factory. </w:t>
      </w:r>
      <w:r w:rsidRPr="000A412F">
        <w:rPr>
          <w:lang w:val="en-GB" w:eastAsia="en-AU"/>
        </w:rPr>
        <w:t>Limb (d)</w:t>
      </w:r>
      <w:r>
        <w:rPr>
          <w:lang w:val="en-GB" w:eastAsia="en-AU"/>
        </w:rPr>
        <w:t xml:space="preserve"> </w:t>
      </w:r>
      <w:r w:rsidRPr="00D966AA">
        <w:rPr>
          <w:lang w:val="en-GB" w:eastAsia="en-AU"/>
        </w:rPr>
        <w:t xml:space="preserve">aims to ensure that an activity that qualifies as a core activity is actually carried out in New Zealand and, in conjunction with proposed new </w:t>
      </w:r>
      <w:r w:rsidR="000A412F">
        <w:rPr>
          <w:lang w:val="en-GB" w:eastAsia="en-AU"/>
        </w:rPr>
        <w:t xml:space="preserve">section </w:t>
      </w:r>
      <w:r w:rsidRPr="00D966AA">
        <w:rPr>
          <w:lang w:val="en-GB" w:eastAsia="en-AU"/>
        </w:rPr>
        <w:t xml:space="preserve">LY 2(1)(c), means that R&amp;D activities carried out overseas cannot </w:t>
      </w:r>
      <w:r w:rsidR="0074677B">
        <w:rPr>
          <w:lang w:val="en-GB" w:eastAsia="en-AU"/>
        </w:rPr>
        <w:t>qualify as core R&amp;D activities.</w:t>
      </w:r>
    </w:p>
    <w:p w14:paraId="1613138F" w14:textId="77777777" w:rsidR="0025585E" w:rsidRPr="00D966AA" w:rsidRDefault="0025585E" w:rsidP="0074677B">
      <w:pPr>
        <w:rPr>
          <w:lang w:val="en-GB" w:eastAsia="en-AU"/>
        </w:rPr>
      </w:pPr>
    </w:p>
    <w:p w14:paraId="13A1CCB0" w14:textId="77777777" w:rsidR="00ED09D1" w:rsidRPr="008E7A3B" w:rsidRDefault="00ED09D1" w:rsidP="0074677B">
      <w:pPr>
        <w:pStyle w:val="Heading3"/>
      </w:pPr>
      <w:r w:rsidRPr="008E7A3B">
        <w:t>Supporting</w:t>
      </w:r>
      <w:r w:rsidRPr="00D966AA">
        <w:t xml:space="preserve"> activities</w:t>
      </w:r>
    </w:p>
    <w:p w14:paraId="41363C9A" w14:textId="77777777" w:rsidR="00ED09D1" w:rsidRPr="00D966AA" w:rsidRDefault="00ED09D1" w:rsidP="0074677B">
      <w:pPr>
        <w:rPr>
          <w:lang w:val="en-GB" w:eastAsia="en-AU"/>
        </w:rPr>
      </w:pPr>
    </w:p>
    <w:p w14:paraId="58BFB06B" w14:textId="640F1915" w:rsidR="00ED09D1" w:rsidRPr="00D966AA" w:rsidRDefault="00ED09D1" w:rsidP="0074677B">
      <w:pPr>
        <w:rPr>
          <w:lang w:val="en-GB" w:eastAsia="en-AU"/>
        </w:rPr>
      </w:pPr>
      <w:r w:rsidRPr="00D966AA">
        <w:rPr>
          <w:lang w:val="en-GB" w:eastAsia="en-AU"/>
        </w:rPr>
        <w:t xml:space="preserve">Supporting activities are activities that are only or mainly for the purpose of, required for, and integral to a core activity. </w:t>
      </w:r>
      <w:r w:rsidR="007515CD">
        <w:rPr>
          <w:lang w:val="en-GB" w:eastAsia="en-AU"/>
        </w:rPr>
        <w:t>If “supporting” activities are not in support of a core activity, they are not eligible R&amp;D activities for the R&amp;D tax credit regime.</w:t>
      </w:r>
    </w:p>
    <w:p w14:paraId="4CDFD5DB" w14:textId="77777777" w:rsidR="00ED09D1" w:rsidRPr="00D966AA" w:rsidRDefault="00ED09D1" w:rsidP="0074677B">
      <w:pPr>
        <w:rPr>
          <w:lang w:val="en-GB" w:eastAsia="en-AU"/>
        </w:rPr>
      </w:pPr>
    </w:p>
    <w:p w14:paraId="421C1C5C" w14:textId="134CFA10" w:rsidR="00ED09D1" w:rsidRPr="00D966AA" w:rsidRDefault="007265CD" w:rsidP="0074677B">
      <w:pPr>
        <w:pStyle w:val="dotpoint"/>
      </w:pPr>
      <w:r>
        <w:rPr>
          <w:i/>
        </w:rPr>
        <w:t>M</w:t>
      </w:r>
      <w:r w:rsidRPr="00D966AA">
        <w:rPr>
          <w:i/>
        </w:rPr>
        <w:t>ainly</w:t>
      </w:r>
      <w:r w:rsidRPr="00D966AA">
        <w:t xml:space="preserve"> </w:t>
      </w:r>
      <w:r w:rsidR="00ED09D1" w:rsidRPr="00D966AA">
        <w:t xml:space="preserve">requires that </w:t>
      </w:r>
      <w:r w:rsidR="007D488B">
        <w:t xml:space="preserve">at least </w:t>
      </w:r>
      <w:r w:rsidR="004360B9">
        <w:t>seventy five percent</w:t>
      </w:r>
      <w:r w:rsidR="00ED09D1" w:rsidRPr="00D966AA">
        <w:t xml:space="preserve"> of a supporting activity is for the purpose of, required for, and integral to</w:t>
      </w:r>
      <w:r>
        <w:t>,</w:t>
      </w:r>
      <w:r w:rsidR="00ED09D1" w:rsidRPr="00D966AA">
        <w:t xml:space="preserve"> a core activity</w:t>
      </w:r>
      <w:r w:rsidR="00421265">
        <w:t>.</w:t>
      </w:r>
    </w:p>
    <w:p w14:paraId="4B78BB2E" w14:textId="26F03F8E" w:rsidR="00ED09D1" w:rsidRPr="00D966AA" w:rsidRDefault="007265CD" w:rsidP="0074677B">
      <w:pPr>
        <w:pStyle w:val="dotpoint"/>
      </w:pPr>
      <w:r>
        <w:rPr>
          <w:i/>
        </w:rPr>
        <w:t>R</w:t>
      </w:r>
      <w:r w:rsidRPr="00D966AA">
        <w:rPr>
          <w:i/>
        </w:rPr>
        <w:t xml:space="preserve">equired </w:t>
      </w:r>
      <w:r w:rsidR="00ED09D1" w:rsidRPr="00D966AA">
        <w:rPr>
          <w:i/>
        </w:rPr>
        <w:t>for</w:t>
      </w:r>
      <w:r w:rsidR="00ED09D1" w:rsidRPr="00D966AA">
        <w:t xml:space="preserve"> means </w:t>
      </w:r>
      <w:r>
        <w:t>a</w:t>
      </w:r>
      <w:r w:rsidRPr="00D966AA">
        <w:t xml:space="preserve"> </w:t>
      </w:r>
      <w:r w:rsidR="00ED09D1" w:rsidRPr="00D966AA">
        <w:t xml:space="preserve">supporting activity must be only to the degree necessary to support a </w:t>
      </w:r>
      <w:r w:rsidR="00ED09D1" w:rsidRPr="000B36E9">
        <w:t>core</w:t>
      </w:r>
      <w:r w:rsidR="00ED09D1" w:rsidRPr="00D966AA">
        <w:t xml:space="preserve"> activity</w:t>
      </w:r>
      <w:r w:rsidR="00421265">
        <w:t xml:space="preserve">. </w:t>
      </w:r>
      <w:r w:rsidR="00421265" w:rsidRPr="00421265">
        <w:t xml:space="preserve">For instance, once a core activity is complete, </w:t>
      </w:r>
      <w:r w:rsidR="00E76E58" w:rsidRPr="00421265">
        <w:t xml:space="preserve">other activities will not be supporting activities </w:t>
      </w:r>
      <w:r w:rsidR="00421265" w:rsidRPr="00421265">
        <w:t>because scientific or technologica</w:t>
      </w:r>
      <w:r w:rsidR="00E76E58">
        <w:t>l uncertainty has been resolved</w:t>
      </w:r>
      <w:r w:rsidR="00421265" w:rsidRPr="00421265">
        <w:t>.</w:t>
      </w:r>
    </w:p>
    <w:p w14:paraId="71B1B1AB" w14:textId="370C6FF1" w:rsidR="00ED09D1" w:rsidRPr="00D966AA" w:rsidRDefault="007265CD" w:rsidP="0074677B">
      <w:pPr>
        <w:pStyle w:val="dotpoint"/>
        <w:spacing w:after="0"/>
      </w:pPr>
      <w:r>
        <w:rPr>
          <w:i/>
        </w:rPr>
        <w:t>I</w:t>
      </w:r>
      <w:r w:rsidRPr="00D966AA">
        <w:rPr>
          <w:i/>
        </w:rPr>
        <w:t xml:space="preserve">ntegral </w:t>
      </w:r>
      <w:r w:rsidR="00ED09D1" w:rsidRPr="00D966AA">
        <w:rPr>
          <w:i/>
        </w:rPr>
        <w:t>to</w:t>
      </w:r>
      <w:r w:rsidR="00ED09D1" w:rsidRPr="00D966AA">
        <w:t xml:space="preserve"> means that </w:t>
      </w:r>
      <w:r>
        <w:t>a</w:t>
      </w:r>
      <w:r w:rsidRPr="00D966AA">
        <w:t xml:space="preserve"> </w:t>
      </w:r>
      <w:r w:rsidR="00ED09D1" w:rsidRPr="00D966AA">
        <w:t xml:space="preserve">supporting activity must be essential to </w:t>
      </w:r>
      <w:r>
        <w:t>a</w:t>
      </w:r>
      <w:r w:rsidRPr="00D966AA">
        <w:t xml:space="preserve"> </w:t>
      </w:r>
      <w:r w:rsidR="00ED09D1" w:rsidRPr="00D966AA">
        <w:t xml:space="preserve">core activity. That is, the core activity could not be performed </w:t>
      </w:r>
      <w:r w:rsidR="00BA0D83">
        <w:t xml:space="preserve">or completed </w:t>
      </w:r>
      <w:r w:rsidR="00ED09D1" w:rsidRPr="00D966AA">
        <w:t>without the support</w:t>
      </w:r>
      <w:r>
        <w:t>ing</w:t>
      </w:r>
      <w:r w:rsidR="0074677B">
        <w:t xml:space="preserve"> activity.</w:t>
      </w:r>
    </w:p>
    <w:p w14:paraId="11254D48" w14:textId="77777777" w:rsidR="0074677B" w:rsidRDefault="0074677B" w:rsidP="0074677B">
      <w:pPr>
        <w:rPr>
          <w:lang w:val="en-GB" w:eastAsia="en-AU"/>
        </w:rPr>
      </w:pPr>
    </w:p>
    <w:p w14:paraId="48F9E4C8" w14:textId="760C899A" w:rsidR="00BA0D83" w:rsidRDefault="00BA0D83" w:rsidP="0074677B">
      <w:pPr>
        <w:rPr>
          <w:lang w:val="en-GB" w:eastAsia="en-AU"/>
        </w:rPr>
      </w:pPr>
      <w:r>
        <w:rPr>
          <w:lang w:val="en-GB" w:eastAsia="en-AU"/>
        </w:rPr>
        <w:t>An activity that is conducted overseas cannot be a core activity,</w:t>
      </w:r>
      <w:r w:rsidR="007265CD">
        <w:rPr>
          <w:lang w:val="en-GB" w:eastAsia="en-AU"/>
        </w:rPr>
        <w:t xml:space="preserve"> but</w:t>
      </w:r>
      <w:r>
        <w:rPr>
          <w:lang w:val="en-GB" w:eastAsia="en-AU"/>
        </w:rPr>
        <w:t xml:space="preserve"> may be eligible as a supporting activity if it satisfies the supporting ac</w:t>
      </w:r>
      <w:r w:rsidR="0074677B">
        <w:rPr>
          <w:lang w:val="en-GB" w:eastAsia="en-AU"/>
        </w:rPr>
        <w:t>tivity definition.</w:t>
      </w:r>
    </w:p>
    <w:p w14:paraId="35CAA9A5" w14:textId="77777777" w:rsidR="00BA0D83" w:rsidRDefault="00BA0D83" w:rsidP="0074677B">
      <w:pPr>
        <w:rPr>
          <w:lang w:val="en-GB" w:eastAsia="en-AU"/>
        </w:rPr>
      </w:pPr>
    </w:p>
    <w:p w14:paraId="3ADAE261" w14:textId="7B9DC77A" w:rsidR="00ED09D1" w:rsidRPr="00D966AA" w:rsidRDefault="00ED09D1" w:rsidP="0074677B">
      <w:pPr>
        <w:rPr>
          <w:lang w:val="en-GB" w:eastAsia="en-AU"/>
        </w:rPr>
      </w:pPr>
      <w:r w:rsidRPr="00D966AA">
        <w:rPr>
          <w:lang w:val="en-GB" w:eastAsia="en-AU"/>
        </w:rPr>
        <w:t xml:space="preserve">Indirect activities, such as cleaning and administrative activities, </w:t>
      </w:r>
      <w:r w:rsidR="007D488B">
        <w:rPr>
          <w:lang w:val="en-GB" w:eastAsia="en-AU"/>
        </w:rPr>
        <w:t>may be eligible as supporting activities</w:t>
      </w:r>
      <w:r w:rsidR="0074677B">
        <w:rPr>
          <w:lang w:val="en-GB" w:eastAsia="en-AU"/>
        </w:rPr>
        <w:t>.</w:t>
      </w:r>
    </w:p>
    <w:p w14:paraId="7A2B68FE" w14:textId="77777777" w:rsidR="00ED09D1" w:rsidRPr="00D966AA" w:rsidRDefault="00ED09D1" w:rsidP="0074677B">
      <w:pPr>
        <w:rPr>
          <w:lang w:val="en-GB" w:eastAsia="en-AU"/>
        </w:rPr>
      </w:pPr>
    </w:p>
    <w:p w14:paraId="6E67DC98" w14:textId="0708CE43" w:rsidR="00255838" w:rsidRDefault="00ED09D1" w:rsidP="005B6234">
      <w:r w:rsidRPr="00D966AA">
        <w:t>Examples of supporting activities</w:t>
      </w:r>
      <w:r w:rsidR="005B6234">
        <w:t xml:space="preserve"> include:</w:t>
      </w:r>
    </w:p>
    <w:p w14:paraId="34C9D952" w14:textId="77777777" w:rsidR="0074677B" w:rsidRPr="0074677B" w:rsidRDefault="0074677B" w:rsidP="0074677B">
      <w:pPr>
        <w:rPr>
          <w:lang w:val="en-GB" w:eastAsia="en-AU"/>
        </w:rPr>
      </w:pPr>
    </w:p>
    <w:p w14:paraId="2186AB08" w14:textId="0B17C39E" w:rsidR="00ED09D1" w:rsidRPr="00D966AA" w:rsidRDefault="005B6234" w:rsidP="0074677B">
      <w:pPr>
        <w:pStyle w:val="dotpoint"/>
      </w:pPr>
      <w:r>
        <w:t>m</w:t>
      </w:r>
      <w:r w:rsidR="007265CD" w:rsidRPr="00D966AA">
        <w:t xml:space="preserve">athematical </w:t>
      </w:r>
      <w:r w:rsidR="00ED09D1" w:rsidRPr="00D966AA">
        <w:t>analysis or modelling used to analyse the results of experiments</w:t>
      </w:r>
      <w:r w:rsidR="00464B70">
        <w:t>;</w:t>
      </w:r>
    </w:p>
    <w:p w14:paraId="465C1677" w14:textId="1C5851A2" w:rsidR="00ED09D1" w:rsidRPr="00D966AA" w:rsidRDefault="005B6234" w:rsidP="0074677B">
      <w:pPr>
        <w:pStyle w:val="dotpoint"/>
      </w:pPr>
      <w:r>
        <w:t>d</w:t>
      </w:r>
      <w:r w:rsidR="007265CD" w:rsidRPr="00D966AA">
        <w:t xml:space="preserve">evelopment </w:t>
      </w:r>
      <w:r w:rsidR="00ED09D1" w:rsidRPr="00D966AA">
        <w:t>of specialised software to assist in the design of the experiments</w:t>
      </w:r>
      <w:r w:rsidR="00F87581">
        <w:t>;</w:t>
      </w:r>
    </w:p>
    <w:p w14:paraId="55D6B4C9" w14:textId="5CAB6670" w:rsidR="00ED09D1" w:rsidRPr="007F1980" w:rsidRDefault="005B6234" w:rsidP="0074677B">
      <w:pPr>
        <w:pStyle w:val="dotpoint"/>
      </w:pPr>
      <w:r>
        <w:t>p</w:t>
      </w:r>
      <w:r w:rsidR="007265CD" w:rsidRPr="00D966AA">
        <w:t xml:space="preserve">lanning </w:t>
      </w:r>
      <w:r w:rsidR="00ED09D1" w:rsidRPr="00D966AA">
        <w:t>core activities, developing hypotheses, defining technological objectives, and planning trials</w:t>
      </w:r>
      <w:r w:rsidR="00F87581">
        <w:t>;</w:t>
      </w:r>
      <w:r w:rsidR="00464B70">
        <w:t xml:space="preserve"> and</w:t>
      </w:r>
    </w:p>
    <w:p w14:paraId="28E26FE4" w14:textId="46895D67" w:rsidR="00ED09D1" w:rsidRDefault="005B6234" w:rsidP="0074677B">
      <w:pPr>
        <w:pStyle w:val="dotpoint"/>
        <w:spacing w:after="0"/>
      </w:pPr>
      <w:r>
        <w:t>c</w:t>
      </w:r>
      <w:r w:rsidR="007265CD">
        <w:t>onstructing</w:t>
      </w:r>
      <w:r w:rsidR="007265CD" w:rsidRPr="00D966AA">
        <w:t xml:space="preserve"> </w:t>
      </w:r>
      <w:r w:rsidR="00ED09D1" w:rsidRPr="00D966AA">
        <w:t xml:space="preserve">prototypes </w:t>
      </w:r>
      <w:r w:rsidR="00ED09D1">
        <w:t>for use</w:t>
      </w:r>
      <w:r w:rsidR="00ED09D1" w:rsidRPr="00D966AA">
        <w:t xml:space="preserve"> in </w:t>
      </w:r>
      <w:r w:rsidR="00BA0D83">
        <w:t>testing</w:t>
      </w:r>
      <w:r w:rsidR="00ED09D1" w:rsidRPr="00D966AA">
        <w:t>.</w:t>
      </w:r>
    </w:p>
    <w:p w14:paraId="65FB8DD5" w14:textId="77777777" w:rsidR="008E7A3B" w:rsidRDefault="008E7A3B">
      <w:pPr>
        <w:rPr>
          <w:rFonts w:eastAsia="Times New Roman" w:cs="Times New Roman"/>
          <w:b/>
          <w:caps/>
          <w:sz w:val="26"/>
          <w:szCs w:val="20"/>
          <w:lang w:eastAsia="en-AU"/>
        </w:rPr>
      </w:pPr>
      <w:r>
        <w:br w:type="page"/>
      </w:r>
    </w:p>
    <w:p w14:paraId="51945208" w14:textId="12E49382" w:rsidR="00ED09D1" w:rsidRPr="00D37A1E" w:rsidRDefault="00ED09D1" w:rsidP="00195194">
      <w:pPr>
        <w:pStyle w:val="Heading1"/>
      </w:pPr>
      <w:bookmarkStart w:id="20" w:name="_Toc528157358"/>
      <w:bookmarkStart w:id="21" w:name="_Toc528195575"/>
      <w:r>
        <w:t>Excluded activities</w:t>
      </w:r>
      <w:bookmarkEnd w:id="20"/>
      <w:bookmarkEnd w:id="21"/>
    </w:p>
    <w:p w14:paraId="421BDEEA" w14:textId="77777777" w:rsidR="00ED09D1" w:rsidRDefault="00ED09D1" w:rsidP="00F41C65">
      <w:pPr>
        <w:pStyle w:val="Heading3"/>
      </w:pPr>
      <w:r>
        <w:t>Clause 22 (proposed new schedule 21, part A and part B)</w:t>
      </w:r>
    </w:p>
    <w:p w14:paraId="52C319A2" w14:textId="77777777" w:rsidR="00195194" w:rsidRDefault="00195194" w:rsidP="00F41C65">
      <w:pPr>
        <w:rPr>
          <w:lang w:val="en-GB" w:eastAsia="en-AU"/>
        </w:rPr>
      </w:pPr>
    </w:p>
    <w:p w14:paraId="21BB5098" w14:textId="77777777" w:rsidR="00195194" w:rsidRPr="00195194" w:rsidRDefault="00195194" w:rsidP="00F41C65">
      <w:pPr>
        <w:rPr>
          <w:lang w:val="en-GB" w:eastAsia="en-AU"/>
        </w:rPr>
      </w:pPr>
    </w:p>
    <w:p w14:paraId="424380F6" w14:textId="6DB4A306" w:rsidR="00ED09D1" w:rsidRPr="00D37A1E" w:rsidRDefault="00ED09D1" w:rsidP="00F41C65">
      <w:pPr>
        <w:pStyle w:val="Heading2"/>
      </w:pPr>
      <w:r w:rsidRPr="00D37A1E">
        <w:t>Summary of proposed amendment</w:t>
      </w:r>
    </w:p>
    <w:p w14:paraId="2A0F8A8C" w14:textId="77777777" w:rsidR="00195194" w:rsidRDefault="00195194" w:rsidP="00F41C65">
      <w:pPr>
        <w:rPr>
          <w:lang w:eastAsia="en-AU"/>
        </w:rPr>
      </w:pPr>
    </w:p>
    <w:p w14:paraId="32B741EC" w14:textId="77777777" w:rsidR="00ED09D1" w:rsidRDefault="00370490" w:rsidP="00F41C65">
      <w:pPr>
        <w:rPr>
          <w:lang w:eastAsia="en-AU"/>
        </w:rPr>
      </w:pPr>
      <w:r>
        <w:rPr>
          <w:lang w:eastAsia="en-AU"/>
        </w:rPr>
        <w:t>The Bill</w:t>
      </w:r>
      <w:r w:rsidR="00ED09D1">
        <w:rPr>
          <w:lang w:eastAsia="en-AU"/>
        </w:rPr>
        <w:t xml:space="preserve"> propose</w:t>
      </w:r>
      <w:r>
        <w:rPr>
          <w:lang w:eastAsia="en-AU"/>
        </w:rPr>
        <w:t>s</w:t>
      </w:r>
      <w:r w:rsidR="00ED09D1">
        <w:rPr>
          <w:lang w:eastAsia="en-AU"/>
        </w:rPr>
        <w:t xml:space="preserve"> that certain activities are expressly excluded from the R&amp;D core and supporting activity definitions.</w:t>
      </w:r>
    </w:p>
    <w:p w14:paraId="3142E099" w14:textId="77777777" w:rsidR="00195194" w:rsidRDefault="00195194" w:rsidP="00F41C65">
      <w:pPr>
        <w:rPr>
          <w:lang w:eastAsia="en-AU"/>
        </w:rPr>
      </w:pPr>
    </w:p>
    <w:p w14:paraId="6DAF08D9" w14:textId="77777777" w:rsidR="00195194" w:rsidRPr="00AE2920" w:rsidRDefault="00195194" w:rsidP="00F41C65">
      <w:pPr>
        <w:rPr>
          <w:lang w:eastAsia="en-AU"/>
        </w:rPr>
      </w:pPr>
    </w:p>
    <w:p w14:paraId="3B68CB6F" w14:textId="77777777" w:rsidR="00ED09D1" w:rsidRPr="00D37A1E" w:rsidRDefault="00ED09D1" w:rsidP="00F41C65">
      <w:pPr>
        <w:pStyle w:val="Heading2"/>
      </w:pPr>
      <w:r w:rsidRPr="00D37A1E">
        <w:t>Application date</w:t>
      </w:r>
    </w:p>
    <w:p w14:paraId="6EF360AB" w14:textId="77777777" w:rsidR="00195194" w:rsidRDefault="00195194" w:rsidP="00F41C65">
      <w:pPr>
        <w:rPr>
          <w:lang w:eastAsia="en-AU"/>
        </w:rPr>
      </w:pPr>
    </w:p>
    <w:p w14:paraId="3E512CDA" w14:textId="5EF22075" w:rsidR="00ED09D1" w:rsidRDefault="00ED09D1" w:rsidP="00F41C65">
      <w:pPr>
        <w:rPr>
          <w:lang w:eastAsia="en-AU"/>
        </w:rPr>
      </w:pPr>
      <w:r w:rsidRPr="00A71587">
        <w:rPr>
          <w:lang w:eastAsia="en-AU"/>
        </w:rPr>
        <w:t xml:space="preserve">From the </w:t>
      </w:r>
      <w:r w:rsidR="00E010FC">
        <w:rPr>
          <w:lang w:eastAsia="en-AU"/>
        </w:rPr>
        <w:t>2019–20</w:t>
      </w:r>
      <w:r w:rsidRPr="00A71587">
        <w:rPr>
          <w:lang w:eastAsia="en-AU"/>
        </w:rPr>
        <w:t xml:space="preserve"> income year.</w:t>
      </w:r>
    </w:p>
    <w:p w14:paraId="09D07949" w14:textId="77777777" w:rsidR="00195194" w:rsidRDefault="00195194" w:rsidP="00F41C65">
      <w:pPr>
        <w:rPr>
          <w:lang w:eastAsia="en-AU"/>
        </w:rPr>
      </w:pPr>
    </w:p>
    <w:p w14:paraId="1DC98E0F" w14:textId="77777777" w:rsidR="00195194" w:rsidRPr="00A71587" w:rsidRDefault="00195194" w:rsidP="00F41C65">
      <w:pPr>
        <w:rPr>
          <w:lang w:eastAsia="en-AU"/>
        </w:rPr>
      </w:pPr>
    </w:p>
    <w:p w14:paraId="4B3284A1" w14:textId="77777777" w:rsidR="00ED09D1" w:rsidRPr="00D37A1E" w:rsidRDefault="00ED09D1" w:rsidP="00F41C65">
      <w:pPr>
        <w:pStyle w:val="Heading2"/>
      </w:pPr>
      <w:r w:rsidRPr="00D37A1E">
        <w:t>Key features</w:t>
      </w:r>
    </w:p>
    <w:p w14:paraId="585B9330" w14:textId="77777777" w:rsidR="00195194" w:rsidRDefault="00195194" w:rsidP="00F41C65">
      <w:pPr>
        <w:rPr>
          <w:lang w:eastAsia="en-AU"/>
        </w:rPr>
      </w:pPr>
    </w:p>
    <w:p w14:paraId="6C1701BB" w14:textId="72346AD0" w:rsidR="00ED09D1" w:rsidRDefault="004F6150" w:rsidP="00F41C65">
      <w:pPr>
        <w:rPr>
          <w:lang w:eastAsia="en-AU"/>
        </w:rPr>
      </w:pPr>
      <w:r>
        <w:rPr>
          <w:lang w:eastAsia="en-AU"/>
        </w:rPr>
        <w:t xml:space="preserve">Proposed new schedule </w:t>
      </w:r>
      <w:r w:rsidR="00ED09D1">
        <w:rPr>
          <w:lang w:eastAsia="en-AU"/>
        </w:rPr>
        <w:t>21 exclude</w:t>
      </w:r>
      <w:r>
        <w:rPr>
          <w:lang w:eastAsia="en-AU"/>
        </w:rPr>
        <w:t>s</w:t>
      </w:r>
      <w:r w:rsidR="00ED09D1">
        <w:rPr>
          <w:lang w:eastAsia="en-AU"/>
        </w:rPr>
        <w:t xml:space="preserve"> certain activities from the core and supporting activity definitions. Part A provides for exclusions from the core activity definition and part B provides exclusions from the supporting activity definition. The table summarises the exclusions and whether they apply to core </w:t>
      </w:r>
      <w:r w:rsidR="00BE07C0">
        <w:rPr>
          <w:lang w:eastAsia="en-AU"/>
        </w:rPr>
        <w:t>and</w:t>
      </w:r>
      <w:r w:rsidR="00ED09D1">
        <w:rPr>
          <w:lang w:eastAsia="en-AU"/>
        </w:rPr>
        <w:t xml:space="preserve"> supporting </w:t>
      </w:r>
      <w:r w:rsidR="00FD46A9">
        <w:rPr>
          <w:lang w:eastAsia="en-AU"/>
        </w:rPr>
        <w:t>activities.</w:t>
      </w:r>
    </w:p>
    <w:p w14:paraId="49AA5CB1" w14:textId="77777777" w:rsidR="00ED09D1" w:rsidRDefault="00ED09D1" w:rsidP="00F41C65">
      <w:pPr>
        <w:rPr>
          <w:lang w:eastAsia="en-AU"/>
        </w:rPr>
      </w:pPr>
    </w:p>
    <w:tbl>
      <w:tblPr>
        <w:tblStyle w:val="TableGrid"/>
        <w:tblW w:w="0" w:type="auto"/>
        <w:tblLook w:val="04A0" w:firstRow="1" w:lastRow="0" w:firstColumn="1" w:lastColumn="0" w:noHBand="0" w:noVBand="1"/>
      </w:tblPr>
      <w:tblGrid>
        <w:gridCol w:w="675"/>
        <w:gridCol w:w="5387"/>
        <w:gridCol w:w="1247"/>
        <w:gridCol w:w="1219"/>
      </w:tblGrid>
      <w:tr w:rsidR="002808D3" w:rsidRPr="002808D3" w14:paraId="597649BD" w14:textId="77777777" w:rsidTr="00BE07C0">
        <w:trPr>
          <w:cantSplit/>
          <w:tblHeader/>
        </w:trPr>
        <w:tc>
          <w:tcPr>
            <w:tcW w:w="675" w:type="dxa"/>
            <w:shd w:val="clear" w:color="auto" w:fill="auto"/>
          </w:tcPr>
          <w:p w14:paraId="7A0A80CE" w14:textId="307C7A82" w:rsidR="002808D3" w:rsidRPr="00BE07C0" w:rsidRDefault="00BE07C0" w:rsidP="002808D3">
            <w:pPr>
              <w:spacing w:before="80" w:after="80"/>
              <w:rPr>
                <w:b/>
                <w:sz w:val="20"/>
                <w:szCs w:val="20"/>
              </w:rPr>
            </w:pPr>
            <w:r w:rsidRPr="00BE07C0">
              <w:rPr>
                <w:b/>
                <w:sz w:val="20"/>
                <w:szCs w:val="20"/>
              </w:rPr>
              <w:t>#</w:t>
            </w:r>
          </w:p>
        </w:tc>
        <w:tc>
          <w:tcPr>
            <w:tcW w:w="5387" w:type="dxa"/>
            <w:shd w:val="clear" w:color="auto" w:fill="auto"/>
            <w:vAlign w:val="center"/>
          </w:tcPr>
          <w:p w14:paraId="27B2D296" w14:textId="2CEF793A" w:rsidR="002808D3" w:rsidRPr="002808D3" w:rsidRDefault="002808D3" w:rsidP="002808D3">
            <w:pPr>
              <w:spacing w:before="80" w:after="80"/>
              <w:rPr>
                <w:rFonts w:cs="Times New Roman"/>
                <w:b/>
                <w:sz w:val="20"/>
                <w:szCs w:val="20"/>
              </w:rPr>
            </w:pPr>
            <w:r w:rsidRPr="002808D3">
              <w:rPr>
                <w:rFonts w:cs="Times New Roman"/>
                <w:b/>
                <w:sz w:val="20"/>
                <w:szCs w:val="20"/>
              </w:rPr>
              <w:t>Activity exclusion</w:t>
            </w:r>
          </w:p>
        </w:tc>
        <w:tc>
          <w:tcPr>
            <w:tcW w:w="1247" w:type="dxa"/>
            <w:shd w:val="clear" w:color="auto" w:fill="auto"/>
            <w:vAlign w:val="center"/>
          </w:tcPr>
          <w:p w14:paraId="124587A2" w14:textId="77777777" w:rsidR="002808D3" w:rsidRPr="002808D3" w:rsidRDefault="002808D3" w:rsidP="002808D3">
            <w:pPr>
              <w:spacing w:before="80" w:after="80"/>
              <w:jc w:val="center"/>
              <w:rPr>
                <w:rFonts w:cs="Times New Roman"/>
                <w:b/>
                <w:sz w:val="20"/>
                <w:szCs w:val="20"/>
              </w:rPr>
            </w:pPr>
            <w:r w:rsidRPr="002808D3">
              <w:rPr>
                <w:rFonts w:cs="Times New Roman"/>
                <w:b/>
                <w:sz w:val="20"/>
                <w:szCs w:val="20"/>
              </w:rPr>
              <w:t>Core</w:t>
            </w:r>
          </w:p>
        </w:tc>
        <w:tc>
          <w:tcPr>
            <w:tcW w:w="1219" w:type="dxa"/>
            <w:shd w:val="clear" w:color="auto" w:fill="auto"/>
            <w:vAlign w:val="center"/>
          </w:tcPr>
          <w:p w14:paraId="1070FBBD" w14:textId="77777777" w:rsidR="002808D3" w:rsidRPr="002808D3" w:rsidRDefault="002808D3" w:rsidP="002808D3">
            <w:pPr>
              <w:spacing w:before="80" w:after="80"/>
              <w:jc w:val="center"/>
              <w:rPr>
                <w:rFonts w:cs="Times New Roman"/>
                <w:b/>
                <w:sz w:val="20"/>
                <w:szCs w:val="20"/>
              </w:rPr>
            </w:pPr>
            <w:r w:rsidRPr="002808D3">
              <w:rPr>
                <w:rFonts w:cs="Times New Roman"/>
                <w:b/>
                <w:sz w:val="20"/>
                <w:szCs w:val="20"/>
              </w:rPr>
              <w:t>Supporting</w:t>
            </w:r>
          </w:p>
        </w:tc>
      </w:tr>
      <w:tr w:rsidR="002808D3" w:rsidRPr="009C5BF3" w14:paraId="69D2C50B" w14:textId="77777777" w:rsidTr="00BE07C0">
        <w:trPr>
          <w:cantSplit/>
        </w:trPr>
        <w:tc>
          <w:tcPr>
            <w:tcW w:w="675" w:type="dxa"/>
          </w:tcPr>
          <w:p w14:paraId="0FA5F682" w14:textId="0BD2EA21" w:rsidR="002808D3" w:rsidRPr="002808D3" w:rsidRDefault="00BE07C0" w:rsidP="002808D3">
            <w:pPr>
              <w:spacing w:before="80" w:after="80"/>
              <w:rPr>
                <w:sz w:val="20"/>
                <w:szCs w:val="20"/>
              </w:rPr>
            </w:pPr>
            <w:r>
              <w:rPr>
                <w:sz w:val="20"/>
                <w:szCs w:val="20"/>
              </w:rPr>
              <w:t>1.</w:t>
            </w:r>
          </w:p>
        </w:tc>
        <w:tc>
          <w:tcPr>
            <w:tcW w:w="5387" w:type="dxa"/>
            <w:vAlign w:val="center"/>
          </w:tcPr>
          <w:p w14:paraId="29F7CDD3" w14:textId="7FFC5DC3" w:rsidR="002808D3" w:rsidRPr="002808D3" w:rsidRDefault="002808D3" w:rsidP="002808D3">
            <w:pPr>
              <w:spacing w:before="80" w:after="80"/>
              <w:rPr>
                <w:sz w:val="20"/>
                <w:szCs w:val="20"/>
              </w:rPr>
            </w:pPr>
            <w:r w:rsidRPr="002808D3">
              <w:rPr>
                <w:sz w:val="20"/>
                <w:szCs w:val="20"/>
              </w:rPr>
              <w:t>Preproduction activities, including demonstration of commercial viability and tooling up.</w:t>
            </w:r>
          </w:p>
        </w:tc>
        <w:tc>
          <w:tcPr>
            <w:tcW w:w="2466" w:type="dxa"/>
            <w:gridSpan w:val="2"/>
            <w:vAlign w:val="center"/>
          </w:tcPr>
          <w:p w14:paraId="229FDC4A"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Excluded</w:t>
            </w:r>
          </w:p>
        </w:tc>
      </w:tr>
      <w:tr w:rsidR="002808D3" w:rsidRPr="009C5BF3" w14:paraId="2A041324" w14:textId="77777777" w:rsidTr="00BE07C0">
        <w:trPr>
          <w:cantSplit/>
        </w:trPr>
        <w:tc>
          <w:tcPr>
            <w:tcW w:w="675" w:type="dxa"/>
          </w:tcPr>
          <w:p w14:paraId="158A7339" w14:textId="356CAD02" w:rsidR="002808D3" w:rsidRPr="002808D3" w:rsidRDefault="00BE07C0" w:rsidP="002808D3">
            <w:pPr>
              <w:spacing w:before="80" w:after="80"/>
              <w:rPr>
                <w:sz w:val="20"/>
                <w:szCs w:val="20"/>
              </w:rPr>
            </w:pPr>
            <w:r>
              <w:rPr>
                <w:sz w:val="20"/>
                <w:szCs w:val="20"/>
              </w:rPr>
              <w:t>2.</w:t>
            </w:r>
          </w:p>
        </w:tc>
        <w:tc>
          <w:tcPr>
            <w:tcW w:w="5387" w:type="dxa"/>
            <w:vAlign w:val="center"/>
          </w:tcPr>
          <w:p w14:paraId="55DE1FBF" w14:textId="21E8652F" w:rsidR="002808D3" w:rsidRPr="002808D3" w:rsidRDefault="002808D3" w:rsidP="002808D3">
            <w:pPr>
              <w:spacing w:before="80" w:after="80"/>
              <w:rPr>
                <w:sz w:val="20"/>
                <w:szCs w:val="20"/>
              </w:rPr>
            </w:pPr>
            <w:r w:rsidRPr="002808D3">
              <w:rPr>
                <w:sz w:val="20"/>
                <w:szCs w:val="20"/>
              </w:rPr>
              <w:t>Routine de-bugging of existing computer software</w:t>
            </w:r>
            <w:r w:rsidR="00BE07C0">
              <w:rPr>
                <w:sz w:val="20"/>
                <w:szCs w:val="20"/>
              </w:rPr>
              <w:t>.</w:t>
            </w:r>
          </w:p>
        </w:tc>
        <w:tc>
          <w:tcPr>
            <w:tcW w:w="2466" w:type="dxa"/>
            <w:gridSpan w:val="2"/>
            <w:vAlign w:val="center"/>
          </w:tcPr>
          <w:p w14:paraId="4574B9AE"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Excluded</w:t>
            </w:r>
          </w:p>
        </w:tc>
      </w:tr>
      <w:tr w:rsidR="002808D3" w:rsidRPr="009C5BF3" w14:paraId="7F40B5A6" w14:textId="77777777" w:rsidTr="00BE07C0">
        <w:trPr>
          <w:cantSplit/>
        </w:trPr>
        <w:tc>
          <w:tcPr>
            <w:tcW w:w="675" w:type="dxa"/>
          </w:tcPr>
          <w:p w14:paraId="0719280F" w14:textId="25360856" w:rsidR="002808D3" w:rsidRPr="002808D3" w:rsidRDefault="00BE07C0" w:rsidP="002808D3">
            <w:pPr>
              <w:spacing w:before="80" w:after="80"/>
              <w:rPr>
                <w:sz w:val="20"/>
                <w:szCs w:val="20"/>
              </w:rPr>
            </w:pPr>
            <w:r>
              <w:rPr>
                <w:sz w:val="20"/>
                <w:szCs w:val="20"/>
              </w:rPr>
              <w:t>3.</w:t>
            </w:r>
          </w:p>
        </w:tc>
        <w:tc>
          <w:tcPr>
            <w:tcW w:w="5387" w:type="dxa"/>
            <w:vAlign w:val="center"/>
          </w:tcPr>
          <w:p w14:paraId="795F1821" w14:textId="7B73087A" w:rsidR="002808D3" w:rsidRPr="002808D3" w:rsidRDefault="002808D3" w:rsidP="002808D3">
            <w:pPr>
              <w:spacing w:before="80" w:after="80"/>
              <w:rPr>
                <w:sz w:val="20"/>
                <w:szCs w:val="20"/>
              </w:rPr>
            </w:pPr>
            <w:r w:rsidRPr="002808D3">
              <w:rPr>
                <w:sz w:val="20"/>
                <w:szCs w:val="20"/>
              </w:rPr>
              <w:t>Supporting or making minor improvements to existing computer software, using known methods.</w:t>
            </w:r>
          </w:p>
        </w:tc>
        <w:tc>
          <w:tcPr>
            <w:tcW w:w="2466" w:type="dxa"/>
            <w:gridSpan w:val="2"/>
            <w:vAlign w:val="center"/>
          </w:tcPr>
          <w:p w14:paraId="502D91D7"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Excluded</w:t>
            </w:r>
          </w:p>
        </w:tc>
      </w:tr>
      <w:tr w:rsidR="002808D3" w:rsidRPr="009C5BF3" w14:paraId="0822ED01" w14:textId="77777777" w:rsidTr="00BE07C0">
        <w:trPr>
          <w:cantSplit/>
        </w:trPr>
        <w:tc>
          <w:tcPr>
            <w:tcW w:w="675" w:type="dxa"/>
          </w:tcPr>
          <w:p w14:paraId="2653D671" w14:textId="24EA8038" w:rsidR="002808D3" w:rsidRPr="002808D3" w:rsidRDefault="00BE07C0" w:rsidP="002808D3">
            <w:pPr>
              <w:spacing w:before="80" w:after="80"/>
              <w:rPr>
                <w:sz w:val="20"/>
                <w:szCs w:val="20"/>
              </w:rPr>
            </w:pPr>
            <w:r>
              <w:rPr>
                <w:sz w:val="20"/>
                <w:szCs w:val="20"/>
              </w:rPr>
              <w:t>4.</w:t>
            </w:r>
          </w:p>
        </w:tc>
        <w:tc>
          <w:tcPr>
            <w:tcW w:w="5387" w:type="dxa"/>
            <w:vAlign w:val="center"/>
          </w:tcPr>
          <w:p w14:paraId="7085AB9F" w14:textId="6B2284F7" w:rsidR="002808D3" w:rsidRPr="002808D3" w:rsidRDefault="002808D3" w:rsidP="002808D3">
            <w:pPr>
              <w:spacing w:before="80" w:after="80"/>
              <w:rPr>
                <w:sz w:val="20"/>
                <w:szCs w:val="20"/>
              </w:rPr>
            </w:pPr>
            <w:r w:rsidRPr="002808D3">
              <w:rPr>
                <w:sz w:val="20"/>
                <w:szCs w:val="20"/>
              </w:rPr>
              <w:t>Routine software and computer maintenance.</w:t>
            </w:r>
          </w:p>
        </w:tc>
        <w:tc>
          <w:tcPr>
            <w:tcW w:w="2466" w:type="dxa"/>
            <w:gridSpan w:val="2"/>
            <w:vAlign w:val="center"/>
          </w:tcPr>
          <w:p w14:paraId="5315D897"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Excluded</w:t>
            </w:r>
          </w:p>
        </w:tc>
      </w:tr>
      <w:tr w:rsidR="002808D3" w:rsidRPr="009C5BF3" w14:paraId="328539AB" w14:textId="77777777" w:rsidTr="00BE07C0">
        <w:trPr>
          <w:cantSplit/>
        </w:trPr>
        <w:tc>
          <w:tcPr>
            <w:tcW w:w="675" w:type="dxa"/>
          </w:tcPr>
          <w:p w14:paraId="052BC567" w14:textId="5345A7EE" w:rsidR="002808D3" w:rsidRPr="002808D3" w:rsidRDefault="00BE07C0" w:rsidP="002808D3">
            <w:pPr>
              <w:spacing w:before="80" w:after="80"/>
              <w:rPr>
                <w:sz w:val="20"/>
                <w:szCs w:val="20"/>
              </w:rPr>
            </w:pPr>
            <w:r>
              <w:rPr>
                <w:sz w:val="20"/>
                <w:szCs w:val="20"/>
              </w:rPr>
              <w:t>5.</w:t>
            </w:r>
          </w:p>
        </w:tc>
        <w:tc>
          <w:tcPr>
            <w:tcW w:w="5387" w:type="dxa"/>
            <w:vAlign w:val="center"/>
          </w:tcPr>
          <w:p w14:paraId="3EEAF22A" w14:textId="7956774D" w:rsidR="002808D3" w:rsidRPr="002808D3" w:rsidRDefault="002808D3" w:rsidP="002808D3">
            <w:pPr>
              <w:spacing w:before="80" w:after="80"/>
              <w:rPr>
                <w:sz w:val="20"/>
                <w:szCs w:val="20"/>
              </w:rPr>
            </w:pPr>
            <w:r w:rsidRPr="002808D3">
              <w:rPr>
                <w:sz w:val="20"/>
                <w:szCs w:val="20"/>
              </w:rPr>
              <w:t>Prospecting for, exploring for, or drilling for, minerals, petroleum, natural gas, or geothermal energy.</w:t>
            </w:r>
          </w:p>
        </w:tc>
        <w:tc>
          <w:tcPr>
            <w:tcW w:w="2466" w:type="dxa"/>
            <w:gridSpan w:val="2"/>
            <w:vAlign w:val="center"/>
          </w:tcPr>
          <w:p w14:paraId="565914F1"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Excluded</w:t>
            </w:r>
          </w:p>
        </w:tc>
      </w:tr>
      <w:tr w:rsidR="002808D3" w:rsidRPr="009C5BF3" w14:paraId="600BADDA" w14:textId="77777777" w:rsidTr="00BE07C0">
        <w:trPr>
          <w:cantSplit/>
        </w:trPr>
        <w:tc>
          <w:tcPr>
            <w:tcW w:w="675" w:type="dxa"/>
          </w:tcPr>
          <w:p w14:paraId="7E2AD3E0" w14:textId="32482928" w:rsidR="002808D3" w:rsidRPr="002808D3" w:rsidRDefault="00BE07C0" w:rsidP="002808D3">
            <w:pPr>
              <w:spacing w:before="80" w:after="80"/>
              <w:rPr>
                <w:sz w:val="20"/>
                <w:szCs w:val="20"/>
              </w:rPr>
            </w:pPr>
            <w:r>
              <w:rPr>
                <w:sz w:val="20"/>
                <w:szCs w:val="20"/>
              </w:rPr>
              <w:t>6.</w:t>
            </w:r>
          </w:p>
        </w:tc>
        <w:tc>
          <w:tcPr>
            <w:tcW w:w="5387" w:type="dxa"/>
            <w:vAlign w:val="center"/>
          </w:tcPr>
          <w:p w14:paraId="3C021FFA" w14:textId="7B40C0A1" w:rsidR="002808D3" w:rsidRPr="002808D3" w:rsidRDefault="002808D3" w:rsidP="002808D3">
            <w:pPr>
              <w:spacing w:before="80" w:after="80"/>
              <w:rPr>
                <w:sz w:val="20"/>
                <w:szCs w:val="20"/>
              </w:rPr>
            </w:pPr>
            <w:r w:rsidRPr="002808D3">
              <w:rPr>
                <w:sz w:val="20"/>
                <w:szCs w:val="20"/>
              </w:rPr>
              <w:t>Market research and market testing.</w:t>
            </w:r>
          </w:p>
        </w:tc>
        <w:tc>
          <w:tcPr>
            <w:tcW w:w="1247" w:type="dxa"/>
            <w:vAlign w:val="center"/>
          </w:tcPr>
          <w:p w14:paraId="38917EE8"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Excluded</w:t>
            </w:r>
          </w:p>
        </w:tc>
        <w:tc>
          <w:tcPr>
            <w:tcW w:w="1219" w:type="dxa"/>
            <w:vAlign w:val="center"/>
          </w:tcPr>
          <w:p w14:paraId="40BE4FE4"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Included</w:t>
            </w:r>
          </w:p>
        </w:tc>
      </w:tr>
      <w:tr w:rsidR="002808D3" w:rsidRPr="009C5BF3" w14:paraId="13C95F61" w14:textId="77777777" w:rsidTr="00BE07C0">
        <w:trPr>
          <w:cantSplit/>
        </w:trPr>
        <w:tc>
          <w:tcPr>
            <w:tcW w:w="675" w:type="dxa"/>
          </w:tcPr>
          <w:p w14:paraId="7D67E99D" w14:textId="155FB941" w:rsidR="002808D3" w:rsidRPr="002808D3" w:rsidRDefault="00BE07C0" w:rsidP="002808D3">
            <w:pPr>
              <w:spacing w:before="80" w:after="80"/>
              <w:rPr>
                <w:sz w:val="20"/>
                <w:szCs w:val="20"/>
              </w:rPr>
            </w:pPr>
            <w:r>
              <w:rPr>
                <w:sz w:val="20"/>
                <w:szCs w:val="20"/>
              </w:rPr>
              <w:t>7.</w:t>
            </w:r>
          </w:p>
        </w:tc>
        <w:tc>
          <w:tcPr>
            <w:tcW w:w="5387" w:type="dxa"/>
            <w:vAlign w:val="center"/>
          </w:tcPr>
          <w:p w14:paraId="3B195DBC" w14:textId="4C0F2E16" w:rsidR="002808D3" w:rsidRPr="002808D3" w:rsidRDefault="002808D3" w:rsidP="002808D3">
            <w:pPr>
              <w:spacing w:before="80" w:after="80"/>
              <w:rPr>
                <w:sz w:val="20"/>
                <w:szCs w:val="20"/>
              </w:rPr>
            </w:pPr>
            <w:r w:rsidRPr="002808D3">
              <w:rPr>
                <w:sz w:val="20"/>
                <w:szCs w:val="20"/>
              </w:rPr>
              <w:t>Market development or sales promotion, including consumer surveys.</w:t>
            </w:r>
          </w:p>
        </w:tc>
        <w:tc>
          <w:tcPr>
            <w:tcW w:w="2466" w:type="dxa"/>
            <w:gridSpan w:val="2"/>
            <w:vAlign w:val="center"/>
          </w:tcPr>
          <w:p w14:paraId="572DD175"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Excluded</w:t>
            </w:r>
          </w:p>
        </w:tc>
      </w:tr>
      <w:tr w:rsidR="002808D3" w:rsidRPr="009C5BF3" w14:paraId="466B93B6" w14:textId="77777777" w:rsidTr="00BE07C0">
        <w:trPr>
          <w:cantSplit/>
        </w:trPr>
        <w:tc>
          <w:tcPr>
            <w:tcW w:w="675" w:type="dxa"/>
          </w:tcPr>
          <w:p w14:paraId="693383FE" w14:textId="14529E4D" w:rsidR="002808D3" w:rsidRPr="002808D3" w:rsidRDefault="00BE07C0" w:rsidP="002808D3">
            <w:pPr>
              <w:spacing w:before="80" w:after="80"/>
              <w:rPr>
                <w:sz w:val="20"/>
                <w:szCs w:val="20"/>
              </w:rPr>
            </w:pPr>
            <w:r>
              <w:rPr>
                <w:sz w:val="20"/>
                <w:szCs w:val="20"/>
              </w:rPr>
              <w:t>8.</w:t>
            </w:r>
          </w:p>
        </w:tc>
        <w:tc>
          <w:tcPr>
            <w:tcW w:w="5387" w:type="dxa"/>
            <w:vAlign w:val="center"/>
          </w:tcPr>
          <w:p w14:paraId="2F5CD8F7" w14:textId="167A3442" w:rsidR="002808D3" w:rsidRPr="002808D3" w:rsidRDefault="002808D3" w:rsidP="002808D3">
            <w:pPr>
              <w:spacing w:before="80" w:after="80"/>
              <w:rPr>
                <w:sz w:val="20"/>
                <w:szCs w:val="20"/>
              </w:rPr>
            </w:pPr>
            <w:r w:rsidRPr="002808D3">
              <w:rPr>
                <w:sz w:val="20"/>
                <w:szCs w:val="20"/>
              </w:rPr>
              <w:t>Commercial, legal, or administrative aspects of patenting, licensing, or other similar activities.</w:t>
            </w:r>
          </w:p>
        </w:tc>
        <w:tc>
          <w:tcPr>
            <w:tcW w:w="2466" w:type="dxa"/>
            <w:gridSpan w:val="2"/>
            <w:vAlign w:val="center"/>
          </w:tcPr>
          <w:p w14:paraId="17FC5592"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Excluded</w:t>
            </w:r>
          </w:p>
        </w:tc>
      </w:tr>
      <w:tr w:rsidR="002808D3" w:rsidRPr="009C5BF3" w14:paraId="6703E8E4" w14:textId="77777777" w:rsidTr="00BE07C0">
        <w:trPr>
          <w:cantSplit/>
        </w:trPr>
        <w:tc>
          <w:tcPr>
            <w:tcW w:w="675" w:type="dxa"/>
          </w:tcPr>
          <w:p w14:paraId="6C4C467C" w14:textId="408F9F7A" w:rsidR="002808D3" w:rsidRPr="002808D3" w:rsidRDefault="00BE07C0" w:rsidP="002808D3">
            <w:pPr>
              <w:spacing w:before="80" w:after="80"/>
              <w:rPr>
                <w:sz w:val="20"/>
                <w:szCs w:val="20"/>
              </w:rPr>
            </w:pPr>
            <w:r>
              <w:rPr>
                <w:sz w:val="20"/>
                <w:szCs w:val="20"/>
              </w:rPr>
              <w:t>9.</w:t>
            </w:r>
          </w:p>
        </w:tc>
        <w:tc>
          <w:tcPr>
            <w:tcW w:w="5387" w:type="dxa"/>
            <w:vAlign w:val="center"/>
          </w:tcPr>
          <w:p w14:paraId="280E8682" w14:textId="785B9411" w:rsidR="002808D3" w:rsidRPr="002808D3" w:rsidRDefault="002808D3" w:rsidP="002808D3">
            <w:pPr>
              <w:spacing w:before="80" w:after="80"/>
              <w:rPr>
                <w:sz w:val="20"/>
                <w:szCs w:val="20"/>
              </w:rPr>
            </w:pPr>
            <w:r w:rsidRPr="002808D3">
              <w:rPr>
                <w:sz w:val="20"/>
                <w:szCs w:val="20"/>
              </w:rPr>
              <w:t>Activities involved in complying with statutory requirements or standards for existing processes, services, or goods.</w:t>
            </w:r>
          </w:p>
        </w:tc>
        <w:tc>
          <w:tcPr>
            <w:tcW w:w="2466" w:type="dxa"/>
            <w:gridSpan w:val="2"/>
            <w:vAlign w:val="center"/>
          </w:tcPr>
          <w:p w14:paraId="504AF773"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Excluded</w:t>
            </w:r>
          </w:p>
        </w:tc>
      </w:tr>
      <w:tr w:rsidR="002808D3" w:rsidRPr="009C5BF3" w14:paraId="59B1C53E" w14:textId="77777777" w:rsidTr="00BE07C0">
        <w:trPr>
          <w:cantSplit/>
        </w:trPr>
        <w:tc>
          <w:tcPr>
            <w:tcW w:w="675" w:type="dxa"/>
          </w:tcPr>
          <w:p w14:paraId="362A8C6A" w14:textId="60E5EB4D" w:rsidR="002808D3" w:rsidRPr="002808D3" w:rsidRDefault="00BE07C0" w:rsidP="002808D3">
            <w:pPr>
              <w:spacing w:before="80" w:after="80"/>
              <w:rPr>
                <w:sz w:val="20"/>
                <w:szCs w:val="20"/>
              </w:rPr>
            </w:pPr>
            <w:r>
              <w:rPr>
                <w:sz w:val="20"/>
                <w:szCs w:val="20"/>
              </w:rPr>
              <w:t>10.</w:t>
            </w:r>
          </w:p>
        </w:tc>
        <w:tc>
          <w:tcPr>
            <w:tcW w:w="5387" w:type="dxa"/>
            <w:vAlign w:val="center"/>
          </w:tcPr>
          <w:p w14:paraId="1C0A652C" w14:textId="4538FC0E" w:rsidR="002808D3" w:rsidRPr="002808D3" w:rsidRDefault="002808D3" w:rsidP="002808D3">
            <w:pPr>
              <w:spacing w:before="80" w:after="80"/>
              <w:rPr>
                <w:sz w:val="20"/>
                <w:szCs w:val="20"/>
              </w:rPr>
            </w:pPr>
            <w:r w:rsidRPr="002808D3">
              <w:rPr>
                <w:sz w:val="20"/>
                <w:szCs w:val="20"/>
              </w:rPr>
              <w:t>Activities involved in complying with statutory requirements or standards for new processes, services, or goods.</w:t>
            </w:r>
          </w:p>
        </w:tc>
        <w:tc>
          <w:tcPr>
            <w:tcW w:w="1247" w:type="dxa"/>
            <w:vAlign w:val="center"/>
          </w:tcPr>
          <w:p w14:paraId="55D80381"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Excluded</w:t>
            </w:r>
          </w:p>
        </w:tc>
        <w:tc>
          <w:tcPr>
            <w:tcW w:w="1219" w:type="dxa"/>
            <w:vAlign w:val="center"/>
          </w:tcPr>
          <w:p w14:paraId="5B0B4062"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Included</w:t>
            </w:r>
          </w:p>
        </w:tc>
      </w:tr>
      <w:tr w:rsidR="002808D3" w:rsidRPr="009C5BF3" w14:paraId="1777E774" w14:textId="77777777" w:rsidTr="00BE07C0">
        <w:trPr>
          <w:cantSplit/>
        </w:trPr>
        <w:tc>
          <w:tcPr>
            <w:tcW w:w="675" w:type="dxa"/>
          </w:tcPr>
          <w:p w14:paraId="1A3CA247" w14:textId="6F80DCF6" w:rsidR="002808D3" w:rsidRPr="002808D3" w:rsidRDefault="00BE07C0" w:rsidP="002808D3">
            <w:pPr>
              <w:spacing w:before="80" w:after="80"/>
              <w:rPr>
                <w:sz w:val="20"/>
                <w:szCs w:val="20"/>
              </w:rPr>
            </w:pPr>
            <w:r>
              <w:rPr>
                <w:sz w:val="20"/>
                <w:szCs w:val="20"/>
              </w:rPr>
              <w:t>11.</w:t>
            </w:r>
          </w:p>
        </w:tc>
        <w:tc>
          <w:tcPr>
            <w:tcW w:w="5387" w:type="dxa"/>
            <w:vAlign w:val="center"/>
          </w:tcPr>
          <w:p w14:paraId="13E8CCF8" w14:textId="1959847E" w:rsidR="002808D3" w:rsidRPr="002808D3" w:rsidRDefault="002808D3" w:rsidP="002808D3">
            <w:pPr>
              <w:spacing w:before="80" w:after="80"/>
              <w:rPr>
                <w:sz w:val="20"/>
                <w:szCs w:val="20"/>
              </w:rPr>
            </w:pPr>
            <w:r w:rsidRPr="002808D3">
              <w:rPr>
                <w:sz w:val="20"/>
                <w:szCs w:val="20"/>
              </w:rPr>
              <w:t>Management studies.</w:t>
            </w:r>
          </w:p>
        </w:tc>
        <w:tc>
          <w:tcPr>
            <w:tcW w:w="2466" w:type="dxa"/>
            <w:gridSpan w:val="2"/>
            <w:vAlign w:val="center"/>
          </w:tcPr>
          <w:p w14:paraId="650BF9B8"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Excluded</w:t>
            </w:r>
          </w:p>
        </w:tc>
      </w:tr>
      <w:tr w:rsidR="002808D3" w:rsidRPr="009C5BF3" w14:paraId="29067BC8" w14:textId="77777777" w:rsidTr="00BE07C0">
        <w:trPr>
          <w:cantSplit/>
        </w:trPr>
        <w:tc>
          <w:tcPr>
            <w:tcW w:w="675" w:type="dxa"/>
          </w:tcPr>
          <w:p w14:paraId="274EB79B" w14:textId="3DA9AA1A" w:rsidR="002808D3" w:rsidRPr="002808D3" w:rsidRDefault="00BE07C0" w:rsidP="002808D3">
            <w:pPr>
              <w:spacing w:before="80" w:after="80"/>
              <w:rPr>
                <w:sz w:val="20"/>
                <w:szCs w:val="20"/>
              </w:rPr>
            </w:pPr>
            <w:r>
              <w:rPr>
                <w:sz w:val="20"/>
                <w:szCs w:val="20"/>
              </w:rPr>
              <w:t>12.</w:t>
            </w:r>
          </w:p>
        </w:tc>
        <w:tc>
          <w:tcPr>
            <w:tcW w:w="5387" w:type="dxa"/>
            <w:vAlign w:val="center"/>
          </w:tcPr>
          <w:p w14:paraId="6DF71E49" w14:textId="232A42BB" w:rsidR="002808D3" w:rsidRPr="002808D3" w:rsidRDefault="002808D3" w:rsidP="002808D3">
            <w:pPr>
              <w:spacing w:before="80" w:after="80"/>
              <w:rPr>
                <w:sz w:val="20"/>
                <w:szCs w:val="20"/>
              </w:rPr>
            </w:pPr>
            <w:r w:rsidRPr="002808D3">
              <w:rPr>
                <w:sz w:val="20"/>
                <w:szCs w:val="20"/>
              </w:rPr>
              <w:t>Activities relating to organisational design.</w:t>
            </w:r>
          </w:p>
        </w:tc>
        <w:tc>
          <w:tcPr>
            <w:tcW w:w="2466" w:type="dxa"/>
            <w:gridSpan w:val="2"/>
            <w:vAlign w:val="center"/>
          </w:tcPr>
          <w:p w14:paraId="3C51CBDC"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Excluded</w:t>
            </w:r>
          </w:p>
        </w:tc>
      </w:tr>
      <w:tr w:rsidR="002808D3" w14:paraId="1DA7AEB6" w14:textId="77777777" w:rsidTr="00BE07C0">
        <w:trPr>
          <w:cantSplit/>
        </w:trPr>
        <w:tc>
          <w:tcPr>
            <w:tcW w:w="675" w:type="dxa"/>
          </w:tcPr>
          <w:p w14:paraId="54D21931" w14:textId="30EF6E1B" w:rsidR="002808D3" w:rsidRPr="002808D3" w:rsidRDefault="00BE07C0" w:rsidP="002808D3">
            <w:pPr>
              <w:spacing w:before="80" w:after="80"/>
              <w:rPr>
                <w:sz w:val="20"/>
                <w:szCs w:val="20"/>
              </w:rPr>
            </w:pPr>
            <w:r>
              <w:rPr>
                <w:sz w:val="20"/>
                <w:szCs w:val="20"/>
              </w:rPr>
              <w:t>13.</w:t>
            </w:r>
          </w:p>
        </w:tc>
        <w:tc>
          <w:tcPr>
            <w:tcW w:w="5387" w:type="dxa"/>
            <w:vAlign w:val="center"/>
          </w:tcPr>
          <w:p w14:paraId="78C77EB8" w14:textId="11E68D94" w:rsidR="002808D3" w:rsidRPr="002808D3" w:rsidRDefault="002808D3" w:rsidP="002808D3">
            <w:pPr>
              <w:spacing w:before="80" w:after="80"/>
              <w:ind w:left="66"/>
              <w:rPr>
                <w:sz w:val="20"/>
                <w:szCs w:val="20"/>
              </w:rPr>
            </w:pPr>
            <w:r w:rsidRPr="002808D3">
              <w:rPr>
                <w:sz w:val="20"/>
                <w:szCs w:val="20"/>
              </w:rPr>
              <w:t>Internal software development relating to ordinary administrative functions of a business.</w:t>
            </w:r>
          </w:p>
        </w:tc>
        <w:tc>
          <w:tcPr>
            <w:tcW w:w="2466" w:type="dxa"/>
            <w:gridSpan w:val="2"/>
            <w:vAlign w:val="center"/>
          </w:tcPr>
          <w:p w14:paraId="18555B99" w14:textId="77777777" w:rsidR="002808D3" w:rsidRPr="00464B70" w:rsidRDefault="002808D3" w:rsidP="002808D3">
            <w:pPr>
              <w:spacing w:before="80" w:after="80"/>
              <w:jc w:val="center"/>
              <w:rPr>
                <w:sz w:val="20"/>
                <w:szCs w:val="20"/>
              </w:rPr>
            </w:pPr>
            <w:r w:rsidRPr="00464B70">
              <w:rPr>
                <w:rFonts w:cs="Times New Roman"/>
                <w:sz w:val="20"/>
                <w:szCs w:val="20"/>
              </w:rPr>
              <w:t>Excluded</w:t>
            </w:r>
          </w:p>
        </w:tc>
      </w:tr>
      <w:tr w:rsidR="002808D3" w14:paraId="4821EF4D" w14:textId="77777777" w:rsidTr="00BE07C0">
        <w:trPr>
          <w:cantSplit/>
        </w:trPr>
        <w:tc>
          <w:tcPr>
            <w:tcW w:w="675" w:type="dxa"/>
          </w:tcPr>
          <w:p w14:paraId="4E932315" w14:textId="6C5FC04C" w:rsidR="002808D3" w:rsidRPr="002808D3" w:rsidRDefault="00BE07C0" w:rsidP="002808D3">
            <w:pPr>
              <w:spacing w:before="80" w:after="80"/>
              <w:rPr>
                <w:sz w:val="20"/>
                <w:szCs w:val="20"/>
              </w:rPr>
            </w:pPr>
            <w:r>
              <w:rPr>
                <w:sz w:val="20"/>
                <w:szCs w:val="20"/>
              </w:rPr>
              <w:t>14.</w:t>
            </w:r>
          </w:p>
        </w:tc>
        <w:tc>
          <w:tcPr>
            <w:tcW w:w="5387" w:type="dxa"/>
            <w:vAlign w:val="center"/>
          </w:tcPr>
          <w:p w14:paraId="44E64373" w14:textId="1B1D5002" w:rsidR="002808D3" w:rsidRPr="002808D3" w:rsidRDefault="002808D3" w:rsidP="002808D3">
            <w:pPr>
              <w:spacing w:before="80" w:after="80"/>
              <w:ind w:left="66"/>
              <w:rPr>
                <w:sz w:val="20"/>
                <w:szCs w:val="20"/>
              </w:rPr>
            </w:pPr>
            <w:r w:rsidRPr="002808D3">
              <w:rPr>
                <w:sz w:val="20"/>
                <w:szCs w:val="20"/>
              </w:rPr>
              <w:t>Research in social sciences, arts, or humanities.</w:t>
            </w:r>
          </w:p>
        </w:tc>
        <w:tc>
          <w:tcPr>
            <w:tcW w:w="1247" w:type="dxa"/>
            <w:vAlign w:val="center"/>
          </w:tcPr>
          <w:p w14:paraId="50B6699E" w14:textId="77777777" w:rsidR="002808D3" w:rsidRPr="00464B70" w:rsidRDefault="002808D3" w:rsidP="002808D3">
            <w:pPr>
              <w:spacing w:before="80" w:after="80"/>
              <w:jc w:val="center"/>
              <w:rPr>
                <w:sz w:val="20"/>
                <w:szCs w:val="20"/>
              </w:rPr>
            </w:pPr>
            <w:r w:rsidRPr="00464B70">
              <w:rPr>
                <w:rFonts w:cs="Times New Roman"/>
                <w:sz w:val="20"/>
                <w:szCs w:val="20"/>
              </w:rPr>
              <w:t>Excluded</w:t>
            </w:r>
          </w:p>
        </w:tc>
        <w:tc>
          <w:tcPr>
            <w:tcW w:w="1219" w:type="dxa"/>
            <w:vAlign w:val="center"/>
          </w:tcPr>
          <w:p w14:paraId="00FEC03F" w14:textId="77777777" w:rsidR="002808D3" w:rsidRPr="00464B70" w:rsidRDefault="002808D3" w:rsidP="002808D3">
            <w:pPr>
              <w:spacing w:before="80" w:after="80"/>
              <w:jc w:val="center"/>
              <w:rPr>
                <w:sz w:val="20"/>
                <w:szCs w:val="20"/>
              </w:rPr>
            </w:pPr>
            <w:r w:rsidRPr="00464B70">
              <w:rPr>
                <w:rFonts w:cs="Times New Roman"/>
                <w:sz w:val="20"/>
                <w:szCs w:val="20"/>
              </w:rPr>
              <w:t>Included</w:t>
            </w:r>
          </w:p>
        </w:tc>
      </w:tr>
      <w:tr w:rsidR="002808D3" w14:paraId="48D146C5" w14:textId="77777777" w:rsidTr="00BE07C0">
        <w:trPr>
          <w:cantSplit/>
        </w:trPr>
        <w:tc>
          <w:tcPr>
            <w:tcW w:w="675" w:type="dxa"/>
          </w:tcPr>
          <w:p w14:paraId="425EE626" w14:textId="3061102F" w:rsidR="002808D3" w:rsidRPr="002808D3" w:rsidRDefault="00BE07C0" w:rsidP="002808D3">
            <w:pPr>
              <w:spacing w:before="80" w:after="80"/>
              <w:rPr>
                <w:sz w:val="20"/>
                <w:szCs w:val="20"/>
              </w:rPr>
            </w:pPr>
            <w:r>
              <w:rPr>
                <w:sz w:val="20"/>
                <w:szCs w:val="20"/>
              </w:rPr>
              <w:t>15.</w:t>
            </w:r>
          </w:p>
        </w:tc>
        <w:tc>
          <w:tcPr>
            <w:tcW w:w="5387" w:type="dxa"/>
            <w:vAlign w:val="center"/>
          </w:tcPr>
          <w:p w14:paraId="58E64293" w14:textId="7DB5CBF8" w:rsidR="002808D3" w:rsidRPr="002808D3" w:rsidRDefault="002808D3" w:rsidP="002808D3">
            <w:pPr>
              <w:spacing w:before="80" w:after="80"/>
              <w:ind w:left="66"/>
              <w:rPr>
                <w:sz w:val="20"/>
                <w:szCs w:val="20"/>
              </w:rPr>
            </w:pPr>
            <w:r w:rsidRPr="002808D3">
              <w:rPr>
                <w:sz w:val="20"/>
                <w:szCs w:val="20"/>
              </w:rPr>
              <w:t>Quality control or routine testing of processes, services, or goods.</w:t>
            </w:r>
          </w:p>
        </w:tc>
        <w:tc>
          <w:tcPr>
            <w:tcW w:w="1247" w:type="dxa"/>
            <w:vAlign w:val="center"/>
          </w:tcPr>
          <w:p w14:paraId="1494F266" w14:textId="77777777" w:rsidR="002808D3" w:rsidRPr="00464B70" w:rsidRDefault="002808D3" w:rsidP="002808D3">
            <w:pPr>
              <w:spacing w:before="80" w:after="80"/>
              <w:jc w:val="center"/>
              <w:rPr>
                <w:sz w:val="20"/>
                <w:szCs w:val="20"/>
              </w:rPr>
            </w:pPr>
            <w:r w:rsidRPr="00464B70">
              <w:rPr>
                <w:rFonts w:cs="Times New Roman"/>
                <w:sz w:val="20"/>
                <w:szCs w:val="20"/>
              </w:rPr>
              <w:t>Excluded</w:t>
            </w:r>
          </w:p>
        </w:tc>
        <w:tc>
          <w:tcPr>
            <w:tcW w:w="1219" w:type="dxa"/>
            <w:vAlign w:val="center"/>
          </w:tcPr>
          <w:p w14:paraId="3123E33C" w14:textId="77777777" w:rsidR="002808D3" w:rsidRPr="00464B70" w:rsidRDefault="002808D3" w:rsidP="002808D3">
            <w:pPr>
              <w:spacing w:before="80" w:after="80"/>
              <w:jc w:val="center"/>
              <w:rPr>
                <w:sz w:val="20"/>
                <w:szCs w:val="20"/>
              </w:rPr>
            </w:pPr>
            <w:r w:rsidRPr="00464B70">
              <w:rPr>
                <w:rFonts w:cs="Times New Roman"/>
                <w:sz w:val="20"/>
                <w:szCs w:val="20"/>
              </w:rPr>
              <w:t>Included</w:t>
            </w:r>
          </w:p>
        </w:tc>
      </w:tr>
      <w:tr w:rsidR="002808D3" w14:paraId="7FC0C106" w14:textId="77777777" w:rsidTr="00BE07C0">
        <w:trPr>
          <w:cantSplit/>
        </w:trPr>
        <w:tc>
          <w:tcPr>
            <w:tcW w:w="675" w:type="dxa"/>
          </w:tcPr>
          <w:p w14:paraId="78C05601" w14:textId="16B69632" w:rsidR="002808D3" w:rsidRPr="002808D3" w:rsidRDefault="00BE07C0" w:rsidP="002808D3">
            <w:pPr>
              <w:spacing w:before="80" w:after="80"/>
              <w:rPr>
                <w:sz w:val="20"/>
                <w:szCs w:val="20"/>
              </w:rPr>
            </w:pPr>
            <w:r>
              <w:rPr>
                <w:sz w:val="20"/>
                <w:szCs w:val="20"/>
              </w:rPr>
              <w:t>16.</w:t>
            </w:r>
          </w:p>
        </w:tc>
        <w:tc>
          <w:tcPr>
            <w:tcW w:w="5387" w:type="dxa"/>
            <w:vAlign w:val="center"/>
          </w:tcPr>
          <w:p w14:paraId="1F94C278" w14:textId="4DB01FCA" w:rsidR="002808D3" w:rsidRPr="002808D3" w:rsidRDefault="002808D3" w:rsidP="002808D3">
            <w:pPr>
              <w:spacing w:before="80" w:after="80"/>
              <w:ind w:left="66"/>
              <w:rPr>
                <w:sz w:val="20"/>
                <w:szCs w:val="20"/>
              </w:rPr>
            </w:pPr>
            <w:r w:rsidRPr="002808D3">
              <w:rPr>
                <w:sz w:val="20"/>
                <w:szCs w:val="20"/>
              </w:rPr>
              <w:t>Routine collection of information.</w:t>
            </w:r>
          </w:p>
        </w:tc>
        <w:tc>
          <w:tcPr>
            <w:tcW w:w="1247" w:type="dxa"/>
            <w:vAlign w:val="center"/>
          </w:tcPr>
          <w:p w14:paraId="28F53356" w14:textId="77777777" w:rsidR="002808D3" w:rsidRPr="00464B70" w:rsidRDefault="002808D3" w:rsidP="002808D3">
            <w:pPr>
              <w:spacing w:before="80" w:after="80"/>
              <w:jc w:val="center"/>
              <w:rPr>
                <w:sz w:val="20"/>
                <w:szCs w:val="20"/>
              </w:rPr>
            </w:pPr>
            <w:r w:rsidRPr="00464B70">
              <w:rPr>
                <w:rFonts w:cs="Times New Roman"/>
                <w:sz w:val="20"/>
                <w:szCs w:val="20"/>
              </w:rPr>
              <w:t>Excluded</w:t>
            </w:r>
          </w:p>
        </w:tc>
        <w:tc>
          <w:tcPr>
            <w:tcW w:w="1219" w:type="dxa"/>
            <w:vAlign w:val="center"/>
          </w:tcPr>
          <w:p w14:paraId="61BF377E" w14:textId="77777777" w:rsidR="002808D3" w:rsidRPr="00464B70" w:rsidRDefault="002808D3" w:rsidP="002808D3">
            <w:pPr>
              <w:spacing w:before="80" w:after="80"/>
              <w:jc w:val="center"/>
              <w:rPr>
                <w:sz w:val="20"/>
                <w:szCs w:val="20"/>
              </w:rPr>
            </w:pPr>
            <w:r w:rsidRPr="00464B70">
              <w:rPr>
                <w:rFonts w:cs="Times New Roman"/>
                <w:sz w:val="20"/>
                <w:szCs w:val="20"/>
              </w:rPr>
              <w:t>Included</w:t>
            </w:r>
          </w:p>
        </w:tc>
      </w:tr>
      <w:tr w:rsidR="002808D3" w14:paraId="57DDEA0E" w14:textId="77777777" w:rsidTr="00BE07C0">
        <w:trPr>
          <w:cantSplit/>
        </w:trPr>
        <w:tc>
          <w:tcPr>
            <w:tcW w:w="675" w:type="dxa"/>
          </w:tcPr>
          <w:p w14:paraId="5C175486" w14:textId="75ACBBB3" w:rsidR="002808D3" w:rsidRPr="002808D3" w:rsidRDefault="00BE07C0" w:rsidP="002808D3">
            <w:pPr>
              <w:spacing w:before="80" w:after="80"/>
              <w:rPr>
                <w:sz w:val="20"/>
                <w:szCs w:val="20"/>
              </w:rPr>
            </w:pPr>
            <w:r>
              <w:rPr>
                <w:sz w:val="20"/>
                <w:szCs w:val="20"/>
              </w:rPr>
              <w:t>17.</w:t>
            </w:r>
          </w:p>
        </w:tc>
        <w:tc>
          <w:tcPr>
            <w:tcW w:w="5387" w:type="dxa"/>
            <w:vAlign w:val="center"/>
          </w:tcPr>
          <w:p w14:paraId="20BA04BC" w14:textId="05B06B76" w:rsidR="002808D3" w:rsidRPr="002808D3" w:rsidRDefault="002808D3" w:rsidP="002808D3">
            <w:pPr>
              <w:spacing w:before="80" w:after="80"/>
              <w:ind w:left="66"/>
              <w:rPr>
                <w:sz w:val="20"/>
                <w:szCs w:val="20"/>
              </w:rPr>
            </w:pPr>
            <w:r w:rsidRPr="002808D3">
              <w:rPr>
                <w:sz w:val="20"/>
                <w:szCs w:val="20"/>
              </w:rPr>
              <w:t>Minor adaption of, or improvement to, existing processes, services, or goods.</w:t>
            </w:r>
          </w:p>
        </w:tc>
        <w:tc>
          <w:tcPr>
            <w:tcW w:w="1247" w:type="dxa"/>
            <w:vAlign w:val="center"/>
          </w:tcPr>
          <w:p w14:paraId="1B545606" w14:textId="77777777" w:rsidR="002808D3" w:rsidRPr="00464B70" w:rsidRDefault="002808D3" w:rsidP="002808D3">
            <w:pPr>
              <w:spacing w:before="80" w:after="80"/>
              <w:jc w:val="center"/>
              <w:rPr>
                <w:sz w:val="20"/>
                <w:szCs w:val="20"/>
              </w:rPr>
            </w:pPr>
            <w:r w:rsidRPr="00464B70">
              <w:rPr>
                <w:rFonts w:cs="Times New Roman"/>
                <w:sz w:val="20"/>
                <w:szCs w:val="20"/>
              </w:rPr>
              <w:t>Excluded</w:t>
            </w:r>
          </w:p>
        </w:tc>
        <w:tc>
          <w:tcPr>
            <w:tcW w:w="1219" w:type="dxa"/>
            <w:vAlign w:val="center"/>
          </w:tcPr>
          <w:p w14:paraId="0D74E0BA" w14:textId="77777777" w:rsidR="002808D3" w:rsidRPr="00464B70" w:rsidRDefault="002808D3" w:rsidP="002808D3">
            <w:pPr>
              <w:spacing w:before="80" w:after="80"/>
              <w:jc w:val="center"/>
              <w:rPr>
                <w:sz w:val="20"/>
                <w:szCs w:val="20"/>
              </w:rPr>
            </w:pPr>
            <w:r w:rsidRPr="00464B70">
              <w:rPr>
                <w:rFonts w:cs="Times New Roman"/>
                <w:sz w:val="20"/>
                <w:szCs w:val="20"/>
              </w:rPr>
              <w:t>Included</w:t>
            </w:r>
          </w:p>
        </w:tc>
      </w:tr>
      <w:tr w:rsidR="002808D3" w14:paraId="156F7B17" w14:textId="77777777" w:rsidTr="00BE07C0">
        <w:trPr>
          <w:cantSplit/>
        </w:trPr>
        <w:tc>
          <w:tcPr>
            <w:tcW w:w="675" w:type="dxa"/>
          </w:tcPr>
          <w:p w14:paraId="0E66B6FB" w14:textId="7EA9C36D" w:rsidR="002808D3" w:rsidRPr="002808D3" w:rsidRDefault="00BE07C0" w:rsidP="002808D3">
            <w:pPr>
              <w:spacing w:before="80" w:after="80"/>
              <w:rPr>
                <w:sz w:val="20"/>
                <w:szCs w:val="20"/>
              </w:rPr>
            </w:pPr>
            <w:r>
              <w:rPr>
                <w:sz w:val="20"/>
                <w:szCs w:val="20"/>
              </w:rPr>
              <w:t>18.</w:t>
            </w:r>
          </w:p>
        </w:tc>
        <w:tc>
          <w:tcPr>
            <w:tcW w:w="5387" w:type="dxa"/>
            <w:vAlign w:val="center"/>
          </w:tcPr>
          <w:p w14:paraId="7768F48C" w14:textId="06127D89" w:rsidR="002808D3" w:rsidRPr="002808D3" w:rsidRDefault="002808D3" w:rsidP="002808D3">
            <w:pPr>
              <w:spacing w:before="80" w:after="80"/>
              <w:ind w:left="66"/>
              <w:rPr>
                <w:sz w:val="20"/>
                <w:szCs w:val="20"/>
              </w:rPr>
            </w:pPr>
            <w:r w:rsidRPr="002808D3">
              <w:rPr>
                <w:sz w:val="20"/>
                <w:szCs w:val="20"/>
              </w:rPr>
              <w:t>Testing.</w:t>
            </w:r>
          </w:p>
        </w:tc>
        <w:tc>
          <w:tcPr>
            <w:tcW w:w="1247" w:type="dxa"/>
            <w:vAlign w:val="center"/>
          </w:tcPr>
          <w:p w14:paraId="107A9A6B" w14:textId="77777777" w:rsidR="002808D3" w:rsidRPr="00464B70" w:rsidRDefault="002808D3" w:rsidP="002808D3">
            <w:pPr>
              <w:spacing w:before="80" w:after="80"/>
              <w:jc w:val="center"/>
              <w:rPr>
                <w:sz w:val="20"/>
                <w:szCs w:val="20"/>
              </w:rPr>
            </w:pPr>
            <w:r w:rsidRPr="00464B70">
              <w:rPr>
                <w:rFonts w:cs="Times New Roman"/>
                <w:sz w:val="20"/>
                <w:szCs w:val="20"/>
              </w:rPr>
              <w:t>Excluded</w:t>
            </w:r>
          </w:p>
        </w:tc>
        <w:tc>
          <w:tcPr>
            <w:tcW w:w="1219" w:type="dxa"/>
            <w:vAlign w:val="center"/>
          </w:tcPr>
          <w:p w14:paraId="4A82C294" w14:textId="77777777" w:rsidR="002808D3" w:rsidRPr="00464B70" w:rsidRDefault="002808D3" w:rsidP="002808D3">
            <w:pPr>
              <w:spacing w:before="80" w:after="80"/>
              <w:jc w:val="center"/>
              <w:rPr>
                <w:sz w:val="20"/>
                <w:szCs w:val="20"/>
              </w:rPr>
            </w:pPr>
            <w:r w:rsidRPr="00464B70">
              <w:rPr>
                <w:rFonts w:cs="Times New Roman"/>
                <w:sz w:val="20"/>
                <w:szCs w:val="20"/>
              </w:rPr>
              <w:t>Included</w:t>
            </w:r>
          </w:p>
        </w:tc>
      </w:tr>
      <w:tr w:rsidR="002808D3" w14:paraId="45BF09E1" w14:textId="77777777" w:rsidTr="00BE07C0">
        <w:trPr>
          <w:cantSplit/>
        </w:trPr>
        <w:tc>
          <w:tcPr>
            <w:tcW w:w="675" w:type="dxa"/>
          </w:tcPr>
          <w:p w14:paraId="62726E01" w14:textId="51BB211C" w:rsidR="002808D3" w:rsidRPr="002808D3" w:rsidRDefault="00BE07C0" w:rsidP="002808D3">
            <w:pPr>
              <w:spacing w:before="80" w:after="80"/>
              <w:rPr>
                <w:sz w:val="20"/>
                <w:szCs w:val="20"/>
              </w:rPr>
            </w:pPr>
            <w:r>
              <w:rPr>
                <w:sz w:val="20"/>
                <w:szCs w:val="20"/>
              </w:rPr>
              <w:t>19.</w:t>
            </w:r>
          </w:p>
        </w:tc>
        <w:tc>
          <w:tcPr>
            <w:tcW w:w="5387" w:type="dxa"/>
            <w:vAlign w:val="center"/>
          </w:tcPr>
          <w:p w14:paraId="70D1D43B" w14:textId="1586763B" w:rsidR="002808D3" w:rsidRPr="002808D3" w:rsidRDefault="002808D3" w:rsidP="002808D3">
            <w:pPr>
              <w:spacing w:before="80" w:after="80"/>
              <w:ind w:left="66"/>
              <w:rPr>
                <w:sz w:val="20"/>
                <w:szCs w:val="20"/>
              </w:rPr>
            </w:pPr>
            <w:r w:rsidRPr="002808D3">
              <w:rPr>
                <w:sz w:val="20"/>
                <w:szCs w:val="20"/>
              </w:rPr>
              <w:t>Converting existing systems to new software platforms.</w:t>
            </w:r>
          </w:p>
        </w:tc>
        <w:tc>
          <w:tcPr>
            <w:tcW w:w="1247" w:type="dxa"/>
            <w:vAlign w:val="center"/>
          </w:tcPr>
          <w:p w14:paraId="3CC7C216" w14:textId="77777777" w:rsidR="002808D3" w:rsidRPr="00464B70" w:rsidRDefault="002808D3" w:rsidP="002808D3">
            <w:pPr>
              <w:spacing w:before="80" w:after="80"/>
              <w:jc w:val="center"/>
              <w:rPr>
                <w:sz w:val="20"/>
                <w:szCs w:val="20"/>
              </w:rPr>
            </w:pPr>
            <w:r w:rsidRPr="00464B70">
              <w:rPr>
                <w:rFonts w:cs="Times New Roman"/>
                <w:sz w:val="20"/>
                <w:szCs w:val="20"/>
              </w:rPr>
              <w:t>Excluded</w:t>
            </w:r>
          </w:p>
        </w:tc>
        <w:tc>
          <w:tcPr>
            <w:tcW w:w="1219" w:type="dxa"/>
            <w:vAlign w:val="center"/>
          </w:tcPr>
          <w:p w14:paraId="566D9A23" w14:textId="77777777" w:rsidR="002808D3" w:rsidRPr="00464B70" w:rsidRDefault="002808D3" w:rsidP="002808D3">
            <w:pPr>
              <w:spacing w:before="80" w:after="80"/>
              <w:jc w:val="center"/>
              <w:rPr>
                <w:sz w:val="20"/>
                <w:szCs w:val="20"/>
              </w:rPr>
            </w:pPr>
            <w:r w:rsidRPr="00464B70">
              <w:rPr>
                <w:rFonts w:cs="Times New Roman"/>
                <w:sz w:val="20"/>
                <w:szCs w:val="20"/>
              </w:rPr>
              <w:t>Included</w:t>
            </w:r>
          </w:p>
        </w:tc>
      </w:tr>
      <w:tr w:rsidR="002808D3" w:rsidRPr="009C5BF3" w14:paraId="1BA37C4F" w14:textId="77777777" w:rsidTr="00BE07C0">
        <w:trPr>
          <w:cantSplit/>
        </w:trPr>
        <w:tc>
          <w:tcPr>
            <w:tcW w:w="675" w:type="dxa"/>
          </w:tcPr>
          <w:p w14:paraId="36A81162" w14:textId="12F21A66" w:rsidR="002808D3" w:rsidRPr="002808D3" w:rsidRDefault="00BE07C0" w:rsidP="002808D3">
            <w:pPr>
              <w:spacing w:before="80" w:after="80"/>
              <w:rPr>
                <w:sz w:val="20"/>
                <w:szCs w:val="20"/>
              </w:rPr>
            </w:pPr>
            <w:r>
              <w:rPr>
                <w:sz w:val="20"/>
                <w:szCs w:val="20"/>
              </w:rPr>
              <w:t>20.</w:t>
            </w:r>
          </w:p>
        </w:tc>
        <w:tc>
          <w:tcPr>
            <w:tcW w:w="5387" w:type="dxa"/>
            <w:vAlign w:val="center"/>
          </w:tcPr>
          <w:p w14:paraId="4CEADC6C" w14:textId="5AF2FB85" w:rsidR="002808D3" w:rsidRPr="002808D3" w:rsidRDefault="002808D3" w:rsidP="002808D3">
            <w:pPr>
              <w:spacing w:before="80" w:after="80"/>
              <w:ind w:left="66"/>
              <w:rPr>
                <w:sz w:val="20"/>
                <w:szCs w:val="20"/>
              </w:rPr>
            </w:pPr>
            <w:r w:rsidRPr="002808D3">
              <w:rPr>
                <w:sz w:val="20"/>
                <w:szCs w:val="20"/>
              </w:rPr>
              <w:t>Making cosmetic or stylistic chances to processes, services or goods.</w:t>
            </w:r>
          </w:p>
        </w:tc>
        <w:tc>
          <w:tcPr>
            <w:tcW w:w="1247" w:type="dxa"/>
            <w:vAlign w:val="center"/>
          </w:tcPr>
          <w:p w14:paraId="6916F359"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Excluded</w:t>
            </w:r>
          </w:p>
        </w:tc>
        <w:tc>
          <w:tcPr>
            <w:tcW w:w="1219" w:type="dxa"/>
            <w:vAlign w:val="center"/>
          </w:tcPr>
          <w:p w14:paraId="30828E8D"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Included</w:t>
            </w:r>
          </w:p>
        </w:tc>
      </w:tr>
      <w:tr w:rsidR="002808D3" w:rsidRPr="009C5BF3" w14:paraId="7E32238C" w14:textId="77777777" w:rsidTr="00BE07C0">
        <w:trPr>
          <w:cantSplit/>
        </w:trPr>
        <w:tc>
          <w:tcPr>
            <w:tcW w:w="675" w:type="dxa"/>
          </w:tcPr>
          <w:p w14:paraId="344AE903" w14:textId="6CEB6BC1" w:rsidR="002808D3" w:rsidRPr="002808D3" w:rsidRDefault="00BE07C0" w:rsidP="002808D3">
            <w:pPr>
              <w:spacing w:before="80" w:after="80"/>
              <w:rPr>
                <w:sz w:val="20"/>
                <w:szCs w:val="20"/>
              </w:rPr>
            </w:pPr>
            <w:r>
              <w:rPr>
                <w:sz w:val="20"/>
                <w:szCs w:val="20"/>
              </w:rPr>
              <w:t>21.</w:t>
            </w:r>
          </w:p>
        </w:tc>
        <w:tc>
          <w:tcPr>
            <w:tcW w:w="5387" w:type="dxa"/>
            <w:vAlign w:val="center"/>
          </w:tcPr>
          <w:p w14:paraId="69E4A84E" w14:textId="68AF9DF0" w:rsidR="002808D3" w:rsidRPr="002808D3" w:rsidRDefault="002808D3" w:rsidP="002808D3">
            <w:pPr>
              <w:spacing w:before="80" w:after="80"/>
              <w:ind w:left="66"/>
              <w:rPr>
                <w:sz w:val="20"/>
                <w:szCs w:val="20"/>
              </w:rPr>
            </w:pPr>
            <w:r w:rsidRPr="002808D3">
              <w:rPr>
                <w:sz w:val="20"/>
                <w:szCs w:val="20"/>
              </w:rPr>
              <w:t>Reproduction or a commercial product or process by a physical examination of an existing system or from plans, blueprints, detailed specifications, or publicly available information.</w:t>
            </w:r>
          </w:p>
        </w:tc>
        <w:tc>
          <w:tcPr>
            <w:tcW w:w="1247" w:type="dxa"/>
            <w:vAlign w:val="center"/>
          </w:tcPr>
          <w:p w14:paraId="0419AEBA"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Excluded</w:t>
            </w:r>
          </w:p>
        </w:tc>
        <w:tc>
          <w:tcPr>
            <w:tcW w:w="1219" w:type="dxa"/>
            <w:vAlign w:val="center"/>
          </w:tcPr>
          <w:p w14:paraId="6850C8BF"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Included</w:t>
            </w:r>
          </w:p>
        </w:tc>
      </w:tr>
      <w:tr w:rsidR="002808D3" w:rsidRPr="009C5BF3" w14:paraId="42A04361" w14:textId="77777777" w:rsidTr="00BE07C0">
        <w:trPr>
          <w:cantSplit/>
        </w:trPr>
        <w:tc>
          <w:tcPr>
            <w:tcW w:w="675" w:type="dxa"/>
          </w:tcPr>
          <w:p w14:paraId="1CCCA181" w14:textId="1E91CDDE" w:rsidR="002808D3" w:rsidRPr="002808D3" w:rsidRDefault="00BE07C0" w:rsidP="002808D3">
            <w:pPr>
              <w:spacing w:before="80" w:after="80"/>
              <w:rPr>
                <w:sz w:val="20"/>
                <w:szCs w:val="20"/>
              </w:rPr>
            </w:pPr>
            <w:r>
              <w:rPr>
                <w:sz w:val="20"/>
                <w:szCs w:val="20"/>
              </w:rPr>
              <w:t>22.</w:t>
            </w:r>
          </w:p>
        </w:tc>
        <w:tc>
          <w:tcPr>
            <w:tcW w:w="5387" w:type="dxa"/>
            <w:vAlign w:val="center"/>
          </w:tcPr>
          <w:p w14:paraId="648A9BBB" w14:textId="38D9F65A" w:rsidR="002808D3" w:rsidRPr="002808D3" w:rsidRDefault="002808D3" w:rsidP="002808D3">
            <w:pPr>
              <w:spacing w:before="80" w:after="80"/>
              <w:ind w:left="66"/>
              <w:rPr>
                <w:sz w:val="20"/>
                <w:szCs w:val="20"/>
              </w:rPr>
            </w:pPr>
            <w:r w:rsidRPr="002808D3">
              <w:rPr>
                <w:sz w:val="20"/>
                <w:szCs w:val="20"/>
              </w:rPr>
              <w:t>Carrying out routine operations on data, including presentation of data.</w:t>
            </w:r>
          </w:p>
        </w:tc>
        <w:tc>
          <w:tcPr>
            <w:tcW w:w="1247" w:type="dxa"/>
            <w:vAlign w:val="center"/>
          </w:tcPr>
          <w:p w14:paraId="34854819"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Excluded</w:t>
            </w:r>
          </w:p>
        </w:tc>
        <w:tc>
          <w:tcPr>
            <w:tcW w:w="1219" w:type="dxa"/>
            <w:vAlign w:val="center"/>
          </w:tcPr>
          <w:p w14:paraId="782BC7E3"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Included</w:t>
            </w:r>
          </w:p>
        </w:tc>
      </w:tr>
      <w:tr w:rsidR="002808D3" w:rsidRPr="009C5BF3" w14:paraId="1C657DFE" w14:textId="77777777" w:rsidTr="00BE07C0">
        <w:trPr>
          <w:cantSplit/>
        </w:trPr>
        <w:tc>
          <w:tcPr>
            <w:tcW w:w="675" w:type="dxa"/>
          </w:tcPr>
          <w:p w14:paraId="09316137" w14:textId="5A936FC6" w:rsidR="002808D3" w:rsidRPr="002808D3" w:rsidRDefault="00BE07C0" w:rsidP="002808D3">
            <w:pPr>
              <w:spacing w:before="80" w:after="80"/>
              <w:rPr>
                <w:sz w:val="20"/>
                <w:szCs w:val="20"/>
              </w:rPr>
            </w:pPr>
            <w:r>
              <w:rPr>
                <w:sz w:val="20"/>
                <w:szCs w:val="20"/>
              </w:rPr>
              <w:t>23.</w:t>
            </w:r>
          </w:p>
        </w:tc>
        <w:tc>
          <w:tcPr>
            <w:tcW w:w="5387" w:type="dxa"/>
            <w:vAlign w:val="center"/>
          </w:tcPr>
          <w:p w14:paraId="1945BA14" w14:textId="715C9E4A" w:rsidR="002808D3" w:rsidRPr="002808D3" w:rsidRDefault="002808D3" w:rsidP="002808D3">
            <w:pPr>
              <w:spacing w:before="80" w:after="80"/>
              <w:ind w:left="66"/>
              <w:rPr>
                <w:sz w:val="20"/>
                <w:szCs w:val="20"/>
              </w:rPr>
            </w:pPr>
            <w:r w:rsidRPr="002808D3">
              <w:rPr>
                <w:sz w:val="20"/>
                <w:szCs w:val="20"/>
              </w:rPr>
              <w:t>An activity that hasn’t been approved by the Commissioner under section 68CB of the Tax Administration Act 1994.</w:t>
            </w:r>
          </w:p>
        </w:tc>
        <w:tc>
          <w:tcPr>
            <w:tcW w:w="1247" w:type="dxa"/>
            <w:vAlign w:val="center"/>
          </w:tcPr>
          <w:p w14:paraId="230062F1"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Excluded</w:t>
            </w:r>
          </w:p>
        </w:tc>
        <w:tc>
          <w:tcPr>
            <w:tcW w:w="1219" w:type="dxa"/>
            <w:vAlign w:val="center"/>
          </w:tcPr>
          <w:p w14:paraId="60E06A93" w14:textId="77777777" w:rsidR="002808D3" w:rsidRPr="00464B70" w:rsidRDefault="002808D3" w:rsidP="002808D3">
            <w:pPr>
              <w:spacing w:before="80" w:after="80"/>
              <w:jc w:val="center"/>
              <w:rPr>
                <w:rFonts w:cs="Times New Roman"/>
                <w:sz w:val="20"/>
                <w:szCs w:val="20"/>
              </w:rPr>
            </w:pPr>
            <w:r w:rsidRPr="00464B70">
              <w:rPr>
                <w:rFonts w:cs="Times New Roman"/>
                <w:sz w:val="20"/>
                <w:szCs w:val="20"/>
              </w:rPr>
              <w:t>Not applicable</w:t>
            </w:r>
          </w:p>
        </w:tc>
      </w:tr>
    </w:tbl>
    <w:p w14:paraId="4C2A8C0D" w14:textId="77777777" w:rsidR="00195194" w:rsidRDefault="00195194" w:rsidP="00F41C65"/>
    <w:p w14:paraId="174BB2FB" w14:textId="77777777" w:rsidR="00195194" w:rsidRDefault="00195194" w:rsidP="00F41C65"/>
    <w:p w14:paraId="7C9F4506" w14:textId="77777777" w:rsidR="00ED09D1" w:rsidRPr="005A7A45" w:rsidRDefault="00ED09D1" w:rsidP="00F41C65">
      <w:pPr>
        <w:pStyle w:val="Heading2"/>
      </w:pPr>
      <w:r w:rsidRPr="005A7A45">
        <w:t>Background</w:t>
      </w:r>
    </w:p>
    <w:p w14:paraId="4E1DFC02" w14:textId="77777777" w:rsidR="00195194" w:rsidRDefault="00195194" w:rsidP="00F41C65">
      <w:pPr>
        <w:rPr>
          <w:lang w:eastAsia="en-AU"/>
        </w:rPr>
      </w:pPr>
    </w:p>
    <w:p w14:paraId="0527E986" w14:textId="170A7D4E" w:rsidR="009F13B0" w:rsidRDefault="00ED09D1" w:rsidP="00F41C65">
      <w:pPr>
        <w:rPr>
          <w:lang w:eastAsia="en-AU"/>
        </w:rPr>
      </w:pPr>
      <w:r>
        <w:rPr>
          <w:lang w:eastAsia="en-AU"/>
        </w:rPr>
        <w:t>Certain activities are routinely ex</w:t>
      </w:r>
      <w:r w:rsidR="0092655B">
        <w:rPr>
          <w:lang w:eastAsia="en-AU"/>
        </w:rPr>
        <w:t>cluded from R&amp;D tax incentives.</w:t>
      </w:r>
    </w:p>
    <w:p w14:paraId="67367459" w14:textId="77777777" w:rsidR="009F13B0" w:rsidRDefault="009F13B0" w:rsidP="00F41C65">
      <w:pPr>
        <w:rPr>
          <w:lang w:eastAsia="en-AU"/>
        </w:rPr>
      </w:pPr>
    </w:p>
    <w:p w14:paraId="2F1A5CCA" w14:textId="77777777" w:rsidR="00ED09D1" w:rsidRDefault="00ED09D1" w:rsidP="00F41C65">
      <w:pPr>
        <w:rPr>
          <w:lang w:eastAsia="en-AU"/>
        </w:rPr>
      </w:pPr>
      <w:r>
        <w:rPr>
          <w:lang w:eastAsia="en-AU"/>
        </w:rPr>
        <w:t xml:space="preserve">An activity may be </w:t>
      </w:r>
      <w:r w:rsidRPr="005A7A45">
        <w:rPr>
          <w:lang w:eastAsia="en-AU"/>
        </w:rPr>
        <w:t>e</w:t>
      </w:r>
      <w:r>
        <w:rPr>
          <w:lang w:eastAsia="en-AU"/>
        </w:rPr>
        <w:t>xcluded from an R&amp;D tax credit regime for a number of reasons, including:</w:t>
      </w:r>
    </w:p>
    <w:p w14:paraId="21667EC9" w14:textId="77777777" w:rsidR="00ED09D1" w:rsidRDefault="00ED09D1" w:rsidP="00F41C65">
      <w:pPr>
        <w:rPr>
          <w:lang w:eastAsia="en-AU"/>
        </w:rPr>
      </w:pPr>
    </w:p>
    <w:p w14:paraId="741AB0D8" w14:textId="17AC245B" w:rsidR="00ED09D1" w:rsidRDefault="00255838" w:rsidP="00F41C65">
      <w:pPr>
        <w:pStyle w:val="dotpoint"/>
      </w:pPr>
      <w:r>
        <w:t>T</w:t>
      </w:r>
      <w:r w:rsidR="00ED09D1">
        <w:t xml:space="preserve">o clarify that </w:t>
      </w:r>
      <w:r w:rsidR="009F13B0">
        <w:t xml:space="preserve">the </w:t>
      </w:r>
      <w:r w:rsidR="00ED09D1">
        <w:t>activity does not amount to R&amp;D</w:t>
      </w:r>
      <w:r w:rsidR="009F13B0">
        <w:t xml:space="preserve"> because</w:t>
      </w:r>
      <w:r w:rsidR="00ED09D1">
        <w:t xml:space="preserve"> the knowledge required to resolve the uncertainty </w:t>
      </w:r>
      <w:r w:rsidR="009F13B0">
        <w:t xml:space="preserve">the activity is seeking to resolve </w:t>
      </w:r>
      <w:r w:rsidR="00ED09D1">
        <w:t>is publicly available or deducible by a competent professional</w:t>
      </w:r>
      <w:r w:rsidR="00BC0F9A">
        <w:t>.</w:t>
      </w:r>
    </w:p>
    <w:p w14:paraId="3EFF47C7" w14:textId="6831CEEE" w:rsidR="00ED09D1" w:rsidRDefault="009F13B0" w:rsidP="00F41C65">
      <w:pPr>
        <w:pStyle w:val="dotpoint"/>
      </w:pPr>
      <w:r>
        <w:t xml:space="preserve">To clarify that the activity does not amount to R&amp;D because it occurs </w:t>
      </w:r>
      <w:r w:rsidR="00ED09D1">
        <w:t xml:space="preserve">before </w:t>
      </w:r>
      <w:r>
        <w:t xml:space="preserve">any </w:t>
      </w:r>
      <w:r w:rsidR="00ED09D1">
        <w:t xml:space="preserve">scientific or technological uncertainty is identified, or after </w:t>
      </w:r>
      <w:r>
        <w:t xml:space="preserve">any </w:t>
      </w:r>
      <w:r w:rsidR="00ED09D1">
        <w:t>uncertainty has been resolved</w:t>
      </w:r>
      <w:r w:rsidR="00BC0F9A">
        <w:t>.</w:t>
      </w:r>
    </w:p>
    <w:p w14:paraId="62717A21" w14:textId="7752B8B1" w:rsidR="00ED09D1" w:rsidRDefault="009F13B0" w:rsidP="00F41C65">
      <w:pPr>
        <w:pStyle w:val="dotpoint"/>
      </w:pPr>
      <w:r>
        <w:t>The</w:t>
      </w:r>
      <w:r w:rsidR="00290D05">
        <w:t xml:space="preserve">re are </w:t>
      </w:r>
      <w:r>
        <w:t xml:space="preserve">inadequate </w:t>
      </w:r>
      <w:r w:rsidR="00ED09D1">
        <w:t>spill</w:t>
      </w:r>
      <w:r w:rsidR="0077695C">
        <w:t xml:space="preserve"> </w:t>
      </w:r>
      <w:r w:rsidR="00ED09D1">
        <w:t>over benefits</w:t>
      </w:r>
      <w:r w:rsidR="00BC0F9A">
        <w:t>.</w:t>
      </w:r>
    </w:p>
    <w:p w14:paraId="36671FDA" w14:textId="5DC8E807" w:rsidR="00ED09D1" w:rsidRPr="0091060A" w:rsidRDefault="009F13B0" w:rsidP="00F41C65">
      <w:pPr>
        <w:pStyle w:val="dotpoint"/>
      </w:pPr>
      <w:r>
        <w:t xml:space="preserve">The fiscal </w:t>
      </w:r>
      <w:r w:rsidR="00255838">
        <w:t>cost</w:t>
      </w:r>
      <w:r>
        <w:t xml:space="preserve"> associated with the activity</w:t>
      </w:r>
      <w:r w:rsidR="00290D05">
        <w:t xml:space="preserve"> is too high</w:t>
      </w:r>
      <w:r w:rsidR="00BC0F9A">
        <w:t>.</w:t>
      </w:r>
    </w:p>
    <w:p w14:paraId="2D3DBC32" w14:textId="0CFEDB07" w:rsidR="00ED09D1" w:rsidRDefault="00ED09D1" w:rsidP="00F41C65">
      <w:pPr>
        <w:pStyle w:val="dotpoint"/>
      </w:pPr>
      <w:r>
        <w:t>T</w:t>
      </w:r>
      <w:r w:rsidRPr="006A751E">
        <w:t>he</w:t>
      </w:r>
      <w:r w:rsidR="0077695C">
        <w:t xml:space="preserve"> G</w:t>
      </w:r>
      <w:r w:rsidRPr="006A751E">
        <w:t xml:space="preserve">overnment may not want to incentivise </w:t>
      </w:r>
      <w:r>
        <w:t xml:space="preserve">the </w:t>
      </w:r>
      <w:r w:rsidRPr="006A751E">
        <w:t>activity through an R&amp;D tax credit regime</w:t>
      </w:r>
      <w:r w:rsidR="00BC0F9A">
        <w:t>.</w:t>
      </w:r>
    </w:p>
    <w:p w14:paraId="3469A760" w14:textId="77777777" w:rsidR="00ED09D1" w:rsidRDefault="00ED09D1" w:rsidP="00F41C65">
      <w:pPr>
        <w:pStyle w:val="dotpoint"/>
        <w:spacing w:after="0"/>
      </w:pPr>
      <w:r>
        <w:t>Incentives other than an R&amp;D tax credit regime may be better suited to supporting the activity.</w:t>
      </w:r>
    </w:p>
    <w:p w14:paraId="6F59B4BC" w14:textId="77777777" w:rsidR="00195194" w:rsidRDefault="00195194" w:rsidP="00255838">
      <w:pPr>
        <w:pStyle w:val="Heading4"/>
      </w:pPr>
    </w:p>
    <w:p w14:paraId="5446E637" w14:textId="77777777" w:rsidR="00ED09D1" w:rsidRPr="00F41C65" w:rsidRDefault="00ED09D1" w:rsidP="00BC0F9A">
      <w:pPr>
        <w:pStyle w:val="Heading3"/>
      </w:pPr>
      <w:r w:rsidRPr="00F41C65">
        <w:t>Comparison with 2008 core activity exclusions</w:t>
      </w:r>
    </w:p>
    <w:p w14:paraId="3EFAABBD" w14:textId="77777777" w:rsidR="00ED09D1" w:rsidRDefault="00ED09D1" w:rsidP="00F41C65">
      <w:pPr>
        <w:rPr>
          <w:lang w:eastAsia="en-AU"/>
        </w:rPr>
      </w:pPr>
    </w:p>
    <w:p w14:paraId="319B50BF" w14:textId="77777777" w:rsidR="00ED09D1" w:rsidRDefault="00ED09D1" w:rsidP="00F41C65">
      <w:pPr>
        <w:rPr>
          <w:lang w:eastAsia="en-AU"/>
        </w:rPr>
      </w:pPr>
      <w:r>
        <w:rPr>
          <w:lang w:eastAsia="en-AU"/>
        </w:rPr>
        <w:t xml:space="preserve">The following </w:t>
      </w:r>
      <w:r w:rsidR="00065B23">
        <w:rPr>
          <w:lang w:eastAsia="en-AU"/>
        </w:rPr>
        <w:t xml:space="preserve">items have been added to the core activity exclusions </w:t>
      </w:r>
      <w:r w:rsidR="009F13B0">
        <w:rPr>
          <w:lang w:eastAsia="en-AU"/>
        </w:rPr>
        <w:t xml:space="preserve">list </w:t>
      </w:r>
      <w:r w:rsidR="00065B23">
        <w:rPr>
          <w:lang w:eastAsia="en-AU"/>
        </w:rPr>
        <w:t>since 2008</w:t>
      </w:r>
      <w:r>
        <w:rPr>
          <w:lang w:eastAsia="en-AU"/>
        </w:rPr>
        <w:t>:</w:t>
      </w:r>
    </w:p>
    <w:p w14:paraId="2E75761F" w14:textId="77777777" w:rsidR="00ED09D1" w:rsidRDefault="00ED09D1" w:rsidP="00F41C65">
      <w:pPr>
        <w:rPr>
          <w:lang w:eastAsia="en-AU"/>
        </w:rPr>
      </w:pPr>
    </w:p>
    <w:p w14:paraId="6B4148B8" w14:textId="3AF07D81" w:rsidR="00ED09D1" w:rsidRPr="000B36E9" w:rsidRDefault="00BC0F9A" w:rsidP="00F41C65">
      <w:pPr>
        <w:pStyle w:val="dotpoint"/>
      </w:pPr>
      <w:r>
        <w:t>r</w:t>
      </w:r>
      <w:r w:rsidR="009F13B0" w:rsidRPr="000B36E9">
        <w:t xml:space="preserve">outine </w:t>
      </w:r>
      <w:r w:rsidR="00ED09D1" w:rsidRPr="000B36E9">
        <w:t>debugging of existing computer software</w:t>
      </w:r>
      <w:r w:rsidR="00EF63F7">
        <w:t>;</w:t>
      </w:r>
    </w:p>
    <w:p w14:paraId="428FA34B" w14:textId="53DB99A5" w:rsidR="00ED09D1" w:rsidRPr="000B36E9" w:rsidRDefault="00BC0F9A" w:rsidP="00F41C65">
      <w:pPr>
        <w:pStyle w:val="dotpoint"/>
      </w:pPr>
      <w:r>
        <w:t>s</w:t>
      </w:r>
      <w:r w:rsidR="009F13B0" w:rsidRPr="000B36E9">
        <w:t xml:space="preserve">upporting </w:t>
      </w:r>
      <w:r w:rsidR="00ED09D1" w:rsidRPr="000B36E9">
        <w:t xml:space="preserve">or making minor improvements to existing computer software, </w:t>
      </w:r>
      <w:r w:rsidR="000B36E9">
        <w:t>using known methods</w:t>
      </w:r>
      <w:r w:rsidR="00EF63F7">
        <w:t>;</w:t>
      </w:r>
    </w:p>
    <w:p w14:paraId="1B78562E" w14:textId="2DE5E595" w:rsidR="00ED09D1" w:rsidRPr="000B36E9" w:rsidRDefault="00BC0F9A" w:rsidP="00F41C65">
      <w:pPr>
        <w:pStyle w:val="dotpoint"/>
      </w:pPr>
      <w:r>
        <w:t>r</w:t>
      </w:r>
      <w:r w:rsidR="00ED09D1" w:rsidRPr="000B36E9">
        <w:t>outine so</w:t>
      </w:r>
      <w:r w:rsidR="000B36E9">
        <w:t>ftware and computer maintenance</w:t>
      </w:r>
      <w:r w:rsidR="00EF63F7">
        <w:t>;</w:t>
      </w:r>
    </w:p>
    <w:p w14:paraId="728EE5B2" w14:textId="4D30ADAA" w:rsidR="00ED09D1" w:rsidRPr="000B36E9" w:rsidRDefault="00BC0F9A" w:rsidP="00F41C65">
      <w:pPr>
        <w:pStyle w:val="dotpoint"/>
      </w:pPr>
      <w:r>
        <w:t>a</w:t>
      </w:r>
      <w:r w:rsidR="00ED09D1" w:rsidRPr="000B36E9">
        <w:t>ctivities relating to organisational design</w:t>
      </w:r>
      <w:r w:rsidR="00EF63F7">
        <w:t>;</w:t>
      </w:r>
    </w:p>
    <w:p w14:paraId="6F0EC656" w14:textId="459503CA" w:rsidR="00ED09D1" w:rsidRPr="000B36E9" w:rsidRDefault="00BC0F9A" w:rsidP="00F41C65">
      <w:pPr>
        <w:pStyle w:val="dotpoint"/>
      </w:pPr>
      <w:r>
        <w:t>i</w:t>
      </w:r>
      <w:r w:rsidR="009F13B0" w:rsidRPr="000B36E9">
        <w:t xml:space="preserve">nternal </w:t>
      </w:r>
      <w:r w:rsidR="00ED09D1" w:rsidRPr="000B36E9">
        <w:t>software development relating to ordinary administrative functions of a business</w:t>
      </w:r>
      <w:r w:rsidR="00EF63F7">
        <w:t>;</w:t>
      </w:r>
    </w:p>
    <w:p w14:paraId="24DBC801" w14:textId="4302F535" w:rsidR="00ED09D1" w:rsidRPr="000B36E9" w:rsidRDefault="00BC0F9A" w:rsidP="00F41C65">
      <w:pPr>
        <w:pStyle w:val="dotpoint"/>
      </w:pPr>
      <w:r>
        <w:t>m</w:t>
      </w:r>
      <w:r w:rsidR="009F13B0" w:rsidRPr="000B36E9">
        <w:t xml:space="preserve">inor </w:t>
      </w:r>
      <w:r w:rsidR="00ED09D1" w:rsidRPr="000B36E9">
        <w:t>adaption of, or improvement to, existing processes,</w:t>
      </w:r>
      <w:r w:rsidR="000B36E9">
        <w:t xml:space="preserve"> services, or goods</w:t>
      </w:r>
      <w:r w:rsidR="00EF63F7">
        <w:t>;</w:t>
      </w:r>
    </w:p>
    <w:p w14:paraId="1E94A475" w14:textId="1D2D664A" w:rsidR="00ED09D1" w:rsidRPr="000B36E9" w:rsidRDefault="00BC0F9A" w:rsidP="00F41C65">
      <w:pPr>
        <w:pStyle w:val="dotpoint"/>
      </w:pPr>
      <w:r>
        <w:t>b</w:t>
      </w:r>
      <w:r w:rsidR="009F13B0" w:rsidRPr="000B36E9">
        <w:t>ug</w:t>
      </w:r>
      <w:r w:rsidR="00ED09D1" w:rsidRPr="000B36E9">
        <w:t>, beta, system requirements, user accept</w:t>
      </w:r>
      <w:r w:rsidR="000B36E9">
        <w:t>ance and data integrity testing</w:t>
      </w:r>
      <w:r w:rsidR="00EF63F7">
        <w:t>;</w:t>
      </w:r>
    </w:p>
    <w:p w14:paraId="4775EB07" w14:textId="0600C14F" w:rsidR="00ED09D1" w:rsidRPr="000B36E9" w:rsidRDefault="00BC0F9A" w:rsidP="00F41C65">
      <w:pPr>
        <w:pStyle w:val="dotpoint"/>
      </w:pPr>
      <w:r>
        <w:t>d</w:t>
      </w:r>
      <w:r w:rsidR="009F13B0" w:rsidRPr="000B36E9">
        <w:t xml:space="preserve">ata </w:t>
      </w:r>
      <w:r w:rsidR="00ED09D1" w:rsidRPr="000B36E9">
        <w:t>map</w:t>
      </w:r>
      <w:r w:rsidR="000B36E9">
        <w:t>ping and data migration testing</w:t>
      </w:r>
      <w:r w:rsidR="00EF63F7">
        <w:t>;</w:t>
      </w:r>
    </w:p>
    <w:p w14:paraId="11C6532C" w14:textId="5971D355" w:rsidR="00ED09D1" w:rsidRPr="000B36E9" w:rsidRDefault="00BC0F9A" w:rsidP="00F41C65">
      <w:pPr>
        <w:pStyle w:val="dotpoint"/>
      </w:pPr>
      <w:r>
        <w:t>t</w:t>
      </w:r>
      <w:r w:rsidR="009F13B0" w:rsidRPr="000B36E9">
        <w:t xml:space="preserve">esting </w:t>
      </w:r>
      <w:r w:rsidR="00ED09D1" w:rsidRPr="000B36E9">
        <w:t>or comparing the efficiency of algorithms</w:t>
      </w:r>
      <w:r w:rsidR="000B36E9">
        <w:t xml:space="preserve"> that are already known to work</w:t>
      </w:r>
      <w:r w:rsidR="00EF63F7">
        <w:t>;</w:t>
      </w:r>
    </w:p>
    <w:p w14:paraId="00717A7B" w14:textId="70EBC15B" w:rsidR="00ED09D1" w:rsidRPr="000B36E9" w:rsidRDefault="00BC0F9A" w:rsidP="00F41C65">
      <w:pPr>
        <w:pStyle w:val="dotpoint"/>
      </w:pPr>
      <w:r>
        <w:t>t</w:t>
      </w:r>
      <w:r w:rsidR="009F13B0" w:rsidRPr="000B36E9">
        <w:t xml:space="preserve">esting </w:t>
      </w:r>
      <w:r w:rsidR="00ED09D1" w:rsidRPr="000B36E9">
        <w:t>security protocols or arrang</w:t>
      </w:r>
      <w:r w:rsidR="000B36E9">
        <w:t>ements</w:t>
      </w:r>
      <w:r w:rsidR="00EF63F7">
        <w:t>;</w:t>
      </w:r>
    </w:p>
    <w:p w14:paraId="1C747CB4" w14:textId="1CECA355" w:rsidR="00ED09D1" w:rsidRPr="000B36E9" w:rsidRDefault="00BC0F9A" w:rsidP="00F41C65">
      <w:pPr>
        <w:pStyle w:val="dotpoint"/>
      </w:pPr>
      <w:r>
        <w:t>c</w:t>
      </w:r>
      <w:r w:rsidR="009F13B0" w:rsidRPr="000B36E9">
        <w:t xml:space="preserve">onverting </w:t>
      </w:r>
      <w:r w:rsidR="00ED09D1" w:rsidRPr="000B36E9">
        <w:t>existing sy</w:t>
      </w:r>
      <w:r w:rsidR="000B36E9">
        <w:t>stems to new software platforms</w:t>
      </w:r>
      <w:r w:rsidR="00EF63F7">
        <w:t>;</w:t>
      </w:r>
    </w:p>
    <w:p w14:paraId="3BE0CBD3" w14:textId="422C3372" w:rsidR="00ED09D1" w:rsidRPr="000B36E9" w:rsidRDefault="00BC0F9A" w:rsidP="00F41C65">
      <w:pPr>
        <w:pStyle w:val="dotpoint"/>
      </w:pPr>
      <w:r>
        <w:t>c</w:t>
      </w:r>
      <w:r w:rsidR="009F13B0" w:rsidRPr="000B36E9">
        <w:t xml:space="preserve">arrying </w:t>
      </w:r>
      <w:r w:rsidR="00ED09D1" w:rsidRPr="000B36E9">
        <w:t>out routine operations on data,</w:t>
      </w:r>
      <w:r w:rsidR="000B36E9">
        <w:t xml:space="preserve"> including presentation of data</w:t>
      </w:r>
      <w:r w:rsidR="00EF63F7">
        <w:t>;</w:t>
      </w:r>
      <w:r w:rsidR="00AA129C">
        <w:t xml:space="preserve"> and</w:t>
      </w:r>
    </w:p>
    <w:p w14:paraId="39F8391A" w14:textId="088C5BA5" w:rsidR="00ED09D1" w:rsidRPr="000B36E9" w:rsidRDefault="00BC0F9A" w:rsidP="00F41C65">
      <w:pPr>
        <w:pStyle w:val="dotpoint"/>
        <w:spacing w:after="0"/>
      </w:pPr>
      <w:r>
        <w:t>a</w:t>
      </w:r>
      <w:r w:rsidR="009F13B0" w:rsidRPr="000B36E9">
        <w:t xml:space="preserve">n </w:t>
      </w:r>
      <w:r w:rsidR="00ED09D1" w:rsidRPr="000B36E9">
        <w:t>activity that has</w:t>
      </w:r>
      <w:r w:rsidR="00666146">
        <w:t xml:space="preserve"> not</w:t>
      </w:r>
      <w:r w:rsidR="00ED09D1" w:rsidRPr="000B36E9">
        <w:t xml:space="preserve"> been approved by the Commissioner under section 68CB of the Tax Administration Act 1994</w:t>
      </w:r>
      <w:r w:rsidR="009F13B0">
        <w:t xml:space="preserve"> (if a person is required to obtain general approval)</w:t>
      </w:r>
      <w:r w:rsidR="00ED09D1" w:rsidRPr="000B36E9">
        <w:t>.</w:t>
      </w:r>
    </w:p>
    <w:p w14:paraId="5F779298" w14:textId="77777777" w:rsidR="00195194" w:rsidRDefault="00195194" w:rsidP="00F41C65">
      <w:pPr>
        <w:rPr>
          <w:lang w:eastAsia="en-AU"/>
        </w:rPr>
      </w:pPr>
    </w:p>
    <w:p w14:paraId="02B37BB5" w14:textId="2D165884" w:rsidR="00ED09D1" w:rsidRDefault="00065B23" w:rsidP="00F41C65">
      <w:pPr>
        <w:rPr>
          <w:lang w:eastAsia="en-AU"/>
        </w:rPr>
      </w:pPr>
      <w:r>
        <w:rPr>
          <w:lang w:eastAsia="en-AU"/>
        </w:rPr>
        <w:t xml:space="preserve">The list of excluded core activities demonstrates the greater prevalence of software-related </w:t>
      </w:r>
      <w:r w:rsidR="007D488B">
        <w:rPr>
          <w:lang w:eastAsia="en-AU"/>
        </w:rPr>
        <w:t xml:space="preserve">activities </w:t>
      </w:r>
      <w:r>
        <w:rPr>
          <w:lang w:eastAsia="en-AU"/>
        </w:rPr>
        <w:t>compared with the situation in 2008. The core activity definition has been amended to more explicitly incorporate software activities, but in turn the excl</w:t>
      </w:r>
      <w:r w:rsidR="0092655B">
        <w:rPr>
          <w:lang w:eastAsia="en-AU"/>
        </w:rPr>
        <w:t>usions clarify what is not R&amp;D.</w:t>
      </w:r>
    </w:p>
    <w:p w14:paraId="093FCCA1" w14:textId="77777777" w:rsidR="00195194" w:rsidRPr="00A64F72" w:rsidRDefault="00195194" w:rsidP="00F41C65">
      <w:pPr>
        <w:rPr>
          <w:lang w:eastAsia="en-AU"/>
        </w:rPr>
      </w:pPr>
    </w:p>
    <w:p w14:paraId="4646B25E" w14:textId="77777777" w:rsidR="00ED09D1" w:rsidRDefault="00ED09D1" w:rsidP="00BC0F9A">
      <w:pPr>
        <w:pStyle w:val="Heading3"/>
      </w:pPr>
      <w:r>
        <w:t>New supporting activity exclusions</w:t>
      </w:r>
    </w:p>
    <w:p w14:paraId="2135A41B" w14:textId="77777777" w:rsidR="00ED09D1" w:rsidRDefault="00ED09D1" w:rsidP="00F41C65">
      <w:pPr>
        <w:rPr>
          <w:lang w:eastAsia="en-AU"/>
        </w:rPr>
      </w:pPr>
    </w:p>
    <w:p w14:paraId="21E55F20" w14:textId="3FC48C5D" w:rsidR="00ED09D1" w:rsidRDefault="00ED09D1" w:rsidP="00F41C65">
      <w:pPr>
        <w:rPr>
          <w:lang w:eastAsia="en-AU"/>
        </w:rPr>
      </w:pPr>
      <w:r>
        <w:rPr>
          <w:lang w:eastAsia="en-AU"/>
        </w:rPr>
        <w:t xml:space="preserve">The 2008 excluded activity list only applied to core activities. </w:t>
      </w:r>
      <w:r w:rsidR="009F13B0">
        <w:rPr>
          <w:lang w:eastAsia="en-AU"/>
        </w:rPr>
        <w:t>P</w:t>
      </w:r>
      <w:r>
        <w:rPr>
          <w:lang w:eastAsia="en-AU"/>
        </w:rPr>
        <w:t>roposed new schedule</w:t>
      </w:r>
      <w:r w:rsidR="00BC0F9A">
        <w:rPr>
          <w:lang w:eastAsia="en-AU"/>
        </w:rPr>
        <w:t> </w:t>
      </w:r>
      <w:r>
        <w:rPr>
          <w:lang w:eastAsia="en-AU"/>
        </w:rPr>
        <w:t xml:space="preserve">21 also contains </w:t>
      </w:r>
      <w:r w:rsidR="009F13B0">
        <w:rPr>
          <w:lang w:eastAsia="en-AU"/>
        </w:rPr>
        <w:t xml:space="preserve">a list of </w:t>
      </w:r>
      <w:r>
        <w:rPr>
          <w:lang w:eastAsia="en-AU"/>
        </w:rPr>
        <w:t>supporting activity exclusions</w:t>
      </w:r>
      <w:r w:rsidR="00485279">
        <w:rPr>
          <w:lang w:eastAsia="en-AU"/>
        </w:rPr>
        <w:t xml:space="preserve">. </w:t>
      </w:r>
      <w:r w:rsidR="009F13B0">
        <w:rPr>
          <w:lang w:eastAsia="en-AU"/>
        </w:rPr>
        <w:t>E</w:t>
      </w:r>
      <w:r>
        <w:rPr>
          <w:lang w:eastAsia="en-AU"/>
        </w:rPr>
        <w:t xml:space="preserve">xcluding activities from the supporting </w:t>
      </w:r>
      <w:r w:rsidR="009F13B0">
        <w:rPr>
          <w:lang w:eastAsia="en-AU"/>
        </w:rPr>
        <w:t xml:space="preserve">activity </w:t>
      </w:r>
      <w:r>
        <w:rPr>
          <w:lang w:eastAsia="en-AU"/>
        </w:rPr>
        <w:t xml:space="preserve">definition </w:t>
      </w:r>
      <w:r w:rsidR="009F13B0">
        <w:rPr>
          <w:lang w:eastAsia="en-AU"/>
        </w:rPr>
        <w:t xml:space="preserve">provides clarity on which activities are ineligible for the R&amp;D tax credit regime, so </w:t>
      </w:r>
      <w:r>
        <w:rPr>
          <w:lang w:eastAsia="en-AU"/>
        </w:rPr>
        <w:t xml:space="preserve">is </w:t>
      </w:r>
      <w:r w:rsidR="009F13B0">
        <w:rPr>
          <w:lang w:eastAsia="en-AU"/>
        </w:rPr>
        <w:t xml:space="preserve">expected </w:t>
      </w:r>
      <w:r>
        <w:rPr>
          <w:lang w:eastAsia="en-AU"/>
        </w:rPr>
        <w:t>to reduce compliance and administrative costs</w:t>
      </w:r>
      <w:r w:rsidR="00065B23">
        <w:rPr>
          <w:lang w:eastAsia="en-AU"/>
        </w:rPr>
        <w:t>.</w:t>
      </w:r>
    </w:p>
    <w:p w14:paraId="6F99F62E" w14:textId="77777777" w:rsidR="00195194" w:rsidRDefault="00195194" w:rsidP="00F41C65">
      <w:pPr>
        <w:rPr>
          <w:lang w:eastAsia="en-AU"/>
        </w:rPr>
      </w:pPr>
    </w:p>
    <w:p w14:paraId="00863DAC" w14:textId="77777777" w:rsidR="00195194" w:rsidRDefault="00195194" w:rsidP="00F41C65">
      <w:pPr>
        <w:rPr>
          <w:lang w:eastAsia="en-AU"/>
        </w:rPr>
      </w:pPr>
    </w:p>
    <w:p w14:paraId="777F14C1" w14:textId="77777777" w:rsidR="00ED09D1" w:rsidRDefault="00ED09D1" w:rsidP="00F41C65">
      <w:pPr>
        <w:pStyle w:val="Heading2"/>
      </w:pPr>
      <w:r>
        <w:t>Detailed analysis</w:t>
      </w:r>
    </w:p>
    <w:p w14:paraId="20385CBA" w14:textId="77777777" w:rsidR="00F41C65" w:rsidRPr="00F41C65" w:rsidRDefault="00F41C65" w:rsidP="00F41C65">
      <w:pPr>
        <w:rPr>
          <w:lang w:eastAsia="en-AU"/>
        </w:rPr>
      </w:pPr>
    </w:p>
    <w:p w14:paraId="614C30EA" w14:textId="5A57FEF6" w:rsidR="00ED09D1" w:rsidRDefault="00ED09D1" w:rsidP="00F41C65">
      <w:pPr>
        <w:pStyle w:val="Heading3"/>
      </w:pPr>
      <w:r>
        <w:t xml:space="preserve">Exclusions from </w:t>
      </w:r>
      <w:r w:rsidR="009F13B0">
        <w:t xml:space="preserve">both </w:t>
      </w:r>
      <w:r>
        <w:t xml:space="preserve">the core and supporting </w:t>
      </w:r>
      <w:r w:rsidR="009F13B0">
        <w:t>activity de</w:t>
      </w:r>
      <w:r w:rsidR="0092655B">
        <w:t>finitions</w:t>
      </w:r>
    </w:p>
    <w:p w14:paraId="42FD6423" w14:textId="77777777" w:rsidR="00ED09D1" w:rsidRPr="00D74EFF" w:rsidRDefault="00ED09D1" w:rsidP="00F41C65">
      <w:pPr>
        <w:rPr>
          <w:lang w:eastAsia="en-AU"/>
        </w:rPr>
      </w:pPr>
    </w:p>
    <w:p w14:paraId="0DF77879" w14:textId="77777777" w:rsidR="00ED09D1" w:rsidRDefault="00ED09D1" w:rsidP="00F41C65">
      <w:pPr>
        <w:pStyle w:val="Heading4"/>
      </w:pPr>
      <w:r w:rsidRPr="006368C7">
        <w:t xml:space="preserve">Preproduction activities, including demonstration of commercial viability and tooling up (parts A and B, </w:t>
      </w:r>
      <w:r w:rsidR="008B6BE5">
        <w:t>clause</w:t>
      </w:r>
      <w:r w:rsidR="008B6BE5" w:rsidRPr="006368C7">
        <w:t xml:space="preserve"> </w:t>
      </w:r>
      <w:r w:rsidRPr="006368C7">
        <w:t>1)</w:t>
      </w:r>
    </w:p>
    <w:p w14:paraId="35FDC420" w14:textId="77777777" w:rsidR="00195194" w:rsidRDefault="00195194" w:rsidP="00F41C65"/>
    <w:p w14:paraId="69D560B1" w14:textId="38F8A5CF" w:rsidR="00ED09D1" w:rsidRDefault="00ED09D1" w:rsidP="00F41C65">
      <w:r w:rsidRPr="002A693B">
        <w:t>Preproduction</w:t>
      </w:r>
      <w:r>
        <w:t xml:space="preserve"> activities typically occur after R&amp;D is complete but before a product is made publicly available</w:t>
      </w:r>
      <w:r w:rsidR="009F13B0">
        <w:t xml:space="preserve">. In general, they </w:t>
      </w:r>
      <w:r>
        <w:t>are not undertaken to resolve scientific or technological uncertainty</w:t>
      </w:r>
      <w:r w:rsidR="009F13B0">
        <w:t xml:space="preserve">, and </w:t>
      </w:r>
      <w:r w:rsidR="00065B23">
        <w:t xml:space="preserve">are </w:t>
      </w:r>
      <w:r w:rsidR="009F13B0">
        <w:t>un</w:t>
      </w:r>
      <w:r w:rsidR="00065B23">
        <w:t xml:space="preserve">likely to </w:t>
      </w:r>
      <w:r>
        <w:t>satisfy the core</w:t>
      </w:r>
      <w:r w:rsidR="007D488B">
        <w:t xml:space="preserve"> or supporting</w:t>
      </w:r>
      <w:r>
        <w:t xml:space="preserve"> activity definition</w:t>
      </w:r>
      <w:r w:rsidR="007D488B">
        <w:t>s</w:t>
      </w:r>
      <w:r w:rsidR="009F13B0">
        <w:t xml:space="preserve">. They </w:t>
      </w:r>
      <w:r>
        <w:t>have been included in schedule 21 for clarity.</w:t>
      </w:r>
    </w:p>
    <w:p w14:paraId="39EB62FB" w14:textId="77777777" w:rsidR="00ED09D1" w:rsidRDefault="00ED09D1" w:rsidP="00F41C65"/>
    <w:p w14:paraId="5FB17593" w14:textId="77777777" w:rsidR="00453540" w:rsidRDefault="00453540">
      <w:pPr>
        <w:spacing w:after="200" w:line="276" w:lineRule="auto"/>
        <w:jc w:val="left"/>
      </w:pPr>
      <w:r>
        <w:br w:type="page"/>
      </w:r>
    </w:p>
    <w:p w14:paraId="16411A9E" w14:textId="11A77147" w:rsidR="00ED09D1" w:rsidRPr="00DE64B8" w:rsidRDefault="00ED09D1" w:rsidP="00F41C65">
      <w:r>
        <w:t>Examples of preproduction activities include:</w:t>
      </w:r>
    </w:p>
    <w:p w14:paraId="5AA6D44C" w14:textId="77777777" w:rsidR="00ED09D1" w:rsidRDefault="00ED09D1" w:rsidP="00F41C65">
      <w:pPr>
        <w:rPr>
          <w:rFonts w:eastAsia="Times New Roman"/>
          <w:szCs w:val="20"/>
          <w:lang w:eastAsia="en-AU"/>
        </w:rPr>
      </w:pPr>
    </w:p>
    <w:p w14:paraId="4D2B4A97" w14:textId="0D5E2892" w:rsidR="00ED09D1" w:rsidRPr="000B36E9" w:rsidRDefault="00BC0F9A" w:rsidP="00F41C65">
      <w:pPr>
        <w:pStyle w:val="dotpoint"/>
      </w:pPr>
      <w:r>
        <w:t>d</w:t>
      </w:r>
      <w:r w:rsidR="009F13B0" w:rsidRPr="00DE64B8">
        <w:t xml:space="preserve">emonstrating </w:t>
      </w:r>
      <w:r w:rsidR="00ED09D1" w:rsidRPr="000B36E9">
        <w:t>commercial viability</w:t>
      </w:r>
      <w:r w:rsidR="00EF63F7">
        <w:t>;</w:t>
      </w:r>
    </w:p>
    <w:p w14:paraId="10D95AAD" w14:textId="71C4D524" w:rsidR="00ED09D1" w:rsidRPr="000B36E9" w:rsidRDefault="00BC0F9A" w:rsidP="00F41C65">
      <w:pPr>
        <w:pStyle w:val="dotpoint"/>
      </w:pPr>
      <w:r>
        <w:t>t</w:t>
      </w:r>
      <w:r w:rsidR="009F13B0" w:rsidRPr="000B36E9">
        <w:t>ooling</w:t>
      </w:r>
      <w:r w:rsidR="00ED09D1" w:rsidRPr="000B36E9">
        <w:t>-up</w:t>
      </w:r>
      <w:r w:rsidR="00EF63F7">
        <w:t>;</w:t>
      </w:r>
    </w:p>
    <w:p w14:paraId="7D784DD3" w14:textId="3ADE51EC" w:rsidR="00ED09D1" w:rsidRPr="000B36E9" w:rsidRDefault="00BC0F9A" w:rsidP="00F41C65">
      <w:pPr>
        <w:pStyle w:val="dotpoint"/>
      </w:pPr>
      <w:r>
        <w:t>p</w:t>
      </w:r>
      <w:r w:rsidR="009F13B0" w:rsidRPr="000B36E9">
        <w:t xml:space="preserve">lanning </w:t>
      </w:r>
      <w:r w:rsidR="00ED09D1" w:rsidRPr="000B36E9">
        <w:t>the production process</w:t>
      </w:r>
      <w:r w:rsidR="00EF63F7">
        <w:t>;</w:t>
      </w:r>
    </w:p>
    <w:p w14:paraId="0B4E9396" w14:textId="6C315853" w:rsidR="00ED09D1" w:rsidRPr="000B36E9" w:rsidRDefault="00BC0F9A" w:rsidP="00F41C65">
      <w:pPr>
        <w:pStyle w:val="dotpoint"/>
      </w:pPr>
      <w:r>
        <w:t>d</w:t>
      </w:r>
      <w:r w:rsidR="009F13B0" w:rsidRPr="000B36E9">
        <w:t xml:space="preserve">eveloping </w:t>
      </w:r>
      <w:r w:rsidR="00ED09D1" w:rsidRPr="000B36E9">
        <w:t>control systems</w:t>
      </w:r>
      <w:r w:rsidR="00EF63F7">
        <w:t>;</w:t>
      </w:r>
      <w:r w:rsidR="00AA129C">
        <w:t xml:space="preserve"> and</w:t>
      </w:r>
    </w:p>
    <w:p w14:paraId="6080A5C0" w14:textId="3EDCE8C7" w:rsidR="00ED09D1" w:rsidRPr="008E6674" w:rsidRDefault="00BC0F9A" w:rsidP="00F41C65">
      <w:pPr>
        <w:pStyle w:val="dotpoint"/>
        <w:spacing w:after="0"/>
      </w:pPr>
      <w:r>
        <w:t>u</w:t>
      </w:r>
      <w:r w:rsidR="009F13B0" w:rsidRPr="000B36E9">
        <w:t xml:space="preserve">ndertaking </w:t>
      </w:r>
      <w:r w:rsidR="00ED09D1" w:rsidRPr="000B36E9">
        <w:t>start-</w:t>
      </w:r>
      <w:r w:rsidR="00ED09D1" w:rsidRPr="00917416">
        <w:t>up procedures.</w:t>
      </w:r>
    </w:p>
    <w:p w14:paraId="6359E154" w14:textId="77777777" w:rsidR="00195194" w:rsidRDefault="00195194" w:rsidP="00F41C65"/>
    <w:p w14:paraId="0369431B" w14:textId="474370E6" w:rsidR="00ED09D1" w:rsidRDefault="00ED09D1" w:rsidP="00F41C65">
      <w:r w:rsidRPr="00DE64B8">
        <w:t>If a pr</w:t>
      </w:r>
      <w:r>
        <w:t xml:space="preserve">oblem arises during preproduction activities that a competent professional working in the </w:t>
      </w:r>
      <w:r w:rsidR="009F13B0">
        <w:t xml:space="preserve">relevant </w:t>
      </w:r>
      <w:r>
        <w:t xml:space="preserve">field cannot resolve, </w:t>
      </w:r>
      <w:r w:rsidR="00065B23">
        <w:t>a separate R&amp;D activity might commence</w:t>
      </w:r>
      <w:r w:rsidR="0092655B">
        <w:t>.</w:t>
      </w:r>
    </w:p>
    <w:p w14:paraId="3A8DA9AA" w14:textId="77777777" w:rsidR="00F41C65" w:rsidRPr="00D97CC6" w:rsidRDefault="00F41C65" w:rsidP="00F41C65"/>
    <w:p w14:paraId="784011DC" w14:textId="4C4EEFE2" w:rsidR="00ED09D1" w:rsidRPr="006368C7" w:rsidRDefault="00ED09D1" w:rsidP="00F41C65">
      <w:pPr>
        <w:pStyle w:val="Heading4"/>
      </w:pPr>
      <w:r w:rsidRPr="006368C7">
        <w:t xml:space="preserve">Routine software and computer activities (parts A and B, </w:t>
      </w:r>
      <w:r w:rsidR="008B6BE5">
        <w:t>clause</w:t>
      </w:r>
      <w:r w:rsidR="008B6BE5" w:rsidRPr="006368C7">
        <w:t xml:space="preserve">s </w:t>
      </w:r>
      <w:r w:rsidR="0092655B">
        <w:t>2 to 4)</w:t>
      </w:r>
    </w:p>
    <w:p w14:paraId="67B2A650" w14:textId="77777777" w:rsidR="00F41C65" w:rsidRDefault="00F41C65" w:rsidP="00F41C65">
      <w:pPr>
        <w:rPr>
          <w:lang w:eastAsia="en-AU"/>
        </w:rPr>
      </w:pPr>
    </w:p>
    <w:p w14:paraId="4CFA27D2" w14:textId="77777777" w:rsidR="00ED09D1" w:rsidRDefault="00ED09D1" w:rsidP="00F41C65">
      <w:pPr>
        <w:rPr>
          <w:lang w:eastAsia="en-AU"/>
        </w:rPr>
      </w:pPr>
      <w:r>
        <w:rPr>
          <w:lang w:eastAsia="en-AU"/>
        </w:rPr>
        <w:t>Schedule 21 excludes:</w:t>
      </w:r>
    </w:p>
    <w:p w14:paraId="78F9DECB" w14:textId="77777777" w:rsidR="00F41C65" w:rsidRPr="00DA47E0" w:rsidRDefault="00F41C65" w:rsidP="00F41C65">
      <w:pPr>
        <w:rPr>
          <w:szCs w:val="24"/>
        </w:rPr>
      </w:pPr>
    </w:p>
    <w:p w14:paraId="33D689B8" w14:textId="58114254" w:rsidR="00ED09D1" w:rsidRPr="00A71587" w:rsidRDefault="00BC0F9A" w:rsidP="00F41C65">
      <w:pPr>
        <w:pStyle w:val="dotpoint"/>
      </w:pPr>
      <w:r>
        <w:t>r</w:t>
      </w:r>
      <w:r w:rsidR="009F13B0" w:rsidRPr="00A71587">
        <w:t xml:space="preserve">outine </w:t>
      </w:r>
      <w:r w:rsidR="00ED09D1" w:rsidRPr="00A71587">
        <w:t>debugging of existing computer software</w:t>
      </w:r>
      <w:r w:rsidR="00EF63F7">
        <w:t>;</w:t>
      </w:r>
    </w:p>
    <w:p w14:paraId="486E16EF" w14:textId="5A67606E" w:rsidR="00ED09D1" w:rsidRPr="00A71587" w:rsidRDefault="00BC0F9A" w:rsidP="00F41C65">
      <w:pPr>
        <w:pStyle w:val="dotpoint"/>
      </w:pPr>
      <w:r>
        <w:t>s</w:t>
      </w:r>
      <w:r w:rsidR="009F13B0" w:rsidRPr="00A71587">
        <w:t xml:space="preserve">upporting </w:t>
      </w:r>
      <w:r w:rsidR="00ED09D1" w:rsidRPr="00A71587">
        <w:t>or making minor improvements to existing compute</w:t>
      </w:r>
      <w:r w:rsidR="000B36E9">
        <w:t>r software, using known methods</w:t>
      </w:r>
      <w:r w:rsidR="00EF63F7">
        <w:t>;</w:t>
      </w:r>
      <w:r w:rsidR="00AA129C">
        <w:t xml:space="preserve"> and</w:t>
      </w:r>
    </w:p>
    <w:p w14:paraId="4272A66A" w14:textId="3CBDE82C" w:rsidR="00ED09D1" w:rsidRDefault="00BC0F9A" w:rsidP="00F41C65">
      <w:pPr>
        <w:pStyle w:val="dotpoint"/>
        <w:spacing w:after="0"/>
      </w:pPr>
      <w:r>
        <w:t>r</w:t>
      </w:r>
      <w:r w:rsidR="009F13B0" w:rsidRPr="00E264B5">
        <w:t xml:space="preserve">outine </w:t>
      </w:r>
      <w:r w:rsidR="00ED09D1" w:rsidRPr="00E264B5">
        <w:t>software and computer maintenance</w:t>
      </w:r>
      <w:r w:rsidR="00ED09D1">
        <w:t>.</w:t>
      </w:r>
    </w:p>
    <w:p w14:paraId="24E50480" w14:textId="77777777" w:rsidR="00F41C65" w:rsidRDefault="00F41C65" w:rsidP="00F41C65"/>
    <w:p w14:paraId="4367174F" w14:textId="0B350F89" w:rsidR="00ED09D1" w:rsidRDefault="00ED09D1" w:rsidP="00F41C65">
      <w:pPr>
        <w:rPr>
          <w:rFonts w:eastAsia="Times New Roman"/>
          <w:szCs w:val="20"/>
          <w:lang w:eastAsia="en-AU"/>
        </w:rPr>
      </w:pPr>
      <w:r w:rsidRPr="00F55D5A">
        <w:t xml:space="preserve">These activities are considered </w:t>
      </w:r>
      <w:r w:rsidR="00B349F9">
        <w:t>business as usual</w:t>
      </w:r>
      <w:r w:rsidRPr="00F55D5A">
        <w:t xml:space="preserve"> activities, so are excluded from both the core and supporting activity definitions. A competent professional would be expected to resolve any uncertainty presented by these activities through the application of public</w:t>
      </w:r>
      <w:r w:rsidR="00E2427F">
        <w:t>ly available</w:t>
      </w:r>
      <w:r w:rsidRPr="00F55D5A">
        <w:t xml:space="preserve"> knowledge</w:t>
      </w:r>
      <w:r w:rsidR="00E2427F">
        <w:t>, including identifying in advance the approach to adopt</w:t>
      </w:r>
      <w:r w:rsidR="00D74BB8">
        <w:t>,</w:t>
      </w:r>
      <w:r w:rsidRPr="00F55D5A">
        <w:t xml:space="preserve"> and/or </w:t>
      </w:r>
      <w:r w:rsidR="00E2427F">
        <w:t xml:space="preserve">by </w:t>
      </w:r>
      <w:r w:rsidRPr="00F55D5A">
        <w:t>deductive reasoning.</w:t>
      </w:r>
    </w:p>
    <w:p w14:paraId="64F613A1" w14:textId="77777777" w:rsidR="00ED09D1" w:rsidRPr="00DA47E0" w:rsidRDefault="00ED09D1" w:rsidP="00F41C65">
      <w:pPr>
        <w:rPr>
          <w:rFonts w:eastAsia="Times New Roman"/>
          <w:szCs w:val="20"/>
          <w:lang w:eastAsia="en-AU"/>
        </w:rPr>
      </w:pPr>
    </w:p>
    <w:p w14:paraId="4F5BF0D6" w14:textId="77777777" w:rsidR="00ED09D1" w:rsidRDefault="00ED09D1" w:rsidP="00F41C65">
      <w:pPr>
        <w:pStyle w:val="Heading4"/>
      </w:pPr>
      <w:r w:rsidRPr="006368C7">
        <w:t xml:space="preserve">Mining activities (parts A and B, </w:t>
      </w:r>
      <w:r w:rsidR="008B6BE5">
        <w:t>clause</w:t>
      </w:r>
      <w:r w:rsidR="008B6BE5" w:rsidRPr="006368C7">
        <w:t xml:space="preserve"> </w:t>
      </w:r>
      <w:r w:rsidRPr="006368C7">
        <w:t>5)</w:t>
      </w:r>
    </w:p>
    <w:p w14:paraId="6CE7717A" w14:textId="77777777" w:rsidR="00F41C65" w:rsidRDefault="00F41C65" w:rsidP="00F41C65">
      <w:pPr>
        <w:rPr>
          <w:lang w:eastAsia="en-AU"/>
        </w:rPr>
      </w:pPr>
    </w:p>
    <w:p w14:paraId="15332A6C" w14:textId="77777777" w:rsidR="00ED09D1" w:rsidRDefault="00ED09D1" w:rsidP="00F41C65">
      <w:pPr>
        <w:rPr>
          <w:lang w:eastAsia="en-AU"/>
        </w:rPr>
      </w:pPr>
      <w:r>
        <w:rPr>
          <w:lang w:eastAsia="en-AU"/>
        </w:rPr>
        <w:t>Mining activities include prospecting, exploring, or drilling for:</w:t>
      </w:r>
    </w:p>
    <w:p w14:paraId="00EA7034" w14:textId="77777777" w:rsidR="00F41C65" w:rsidRPr="006368C7" w:rsidRDefault="00F41C65" w:rsidP="00F41C65">
      <w:pPr>
        <w:rPr>
          <w:i/>
          <w:lang w:eastAsia="en-AU"/>
        </w:rPr>
      </w:pPr>
    </w:p>
    <w:p w14:paraId="66EF1B31" w14:textId="4E9FA544" w:rsidR="00ED09D1" w:rsidRDefault="00BC0F9A" w:rsidP="00F41C65">
      <w:pPr>
        <w:pStyle w:val="dotpoint"/>
      </w:pPr>
      <w:r>
        <w:t>m</w:t>
      </w:r>
      <w:r w:rsidR="004672C9">
        <w:t>inerals;</w:t>
      </w:r>
    </w:p>
    <w:p w14:paraId="7DF31C36" w14:textId="142552A4" w:rsidR="00ED09D1" w:rsidRDefault="00BC0F9A" w:rsidP="00F41C65">
      <w:pPr>
        <w:pStyle w:val="dotpoint"/>
      </w:pPr>
      <w:r>
        <w:t>p</w:t>
      </w:r>
      <w:r w:rsidR="004672C9">
        <w:t>etroleum;</w:t>
      </w:r>
    </w:p>
    <w:p w14:paraId="728E35A8" w14:textId="0EBE6375" w:rsidR="00ED09D1" w:rsidRDefault="00BC0F9A" w:rsidP="00F41C65">
      <w:pPr>
        <w:pStyle w:val="dotpoint"/>
      </w:pPr>
      <w:r>
        <w:t>n</w:t>
      </w:r>
      <w:r w:rsidR="004672C9">
        <w:t xml:space="preserve">atural </w:t>
      </w:r>
      <w:r w:rsidR="00ED09D1">
        <w:t>gas</w:t>
      </w:r>
      <w:r w:rsidR="004672C9">
        <w:t xml:space="preserve">; </w:t>
      </w:r>
      <w:r w:rsidR="00ED09D1">
        <w:t>or</w:t>
      </w:r>
    </w:p>
    <w:p w14:paraId="54AD598D" w14:textId="723A9093" w:rsidR="00ED09D1" w:rsidRDefault="00BC0F9A" w:rsidP="00F41C65">
      <w:pPr>
        <w:pStyle w:val="dotpoint"/>
        <w:spacing w:after="0"/>
      </w:pPr>
      <w:r>
        <w:t>g</w:t>
      </w:r>
      <w:r w:rsidR="004672C9">
        <w:t xml:space="preserve">eothermal </w:t>
      </w:r>
      <w:r w:rsidR="00ED09D1">
        <w:t>energy.</w:t>
      </w:r>
    </w:p>
    <w:p w14:paraId="3CDF3C3B" w14:textId="77777777" w:rsidR="00F41C65" w:rsidRDefault="00F41C65" w:rsidP="00F41C65">
      <w:pPr>
        <w:rPr>
          <w:lang w:eastAsia="en-AU"/>
        </w:rPr>
      </w:pPr>
    </w:p>
    <w:p w14:paraId="1951693E" w14:textId="467BC6AD" w:rsidR="00ED09D1" w:rsidRDefault="00ED09D1" w:rsidP="00F41C65">
      <w:pPr>
        <w:rPr>
          <w:lang w:eastAsia="en-AU"/>
        </w:rPr>
      </w:pPr>
      <w:r>
        <w:rPr>
          <w:lang w:eastAsia="en-AU"/>
        </w:rPr>
        <w:t>Prospecting, exploring</w:t>
      </w:r>
      <w:r w:rsidR="004672C9">
        <w:rPr>
          <w:lang w:eastAsia="en-AU"/>
        </w:rPr>
        <w:t>,</w:t>
      </w:r>
      <w:r>
        <w:rPr>
          <w:lang w:eastAsia="en-AU"/>
        </w:rPr>
        <w:t xml:space="preserve"> and drilling activities in and of themselves are unlikely to satisfy the core activity definition</w:t>
      </w:r>
      <w:r w:rsidR="004672C9">
        <w:rPr>
          <w:lang w:eastAsia="en-AU"/>
        </w:rPr>
        <w:t xml:space="preserve">. </w:t>
      </w:r>
      <w:r>
        <w:rPr>
          <w:lang w:eastAsia="en-AU"/>
        </w:rPr>
        <w:t>“</w:t>
      </w:r>
      <w:r w:rsidR="004672C9">
        <w:rPr>
          <w:lang w:eastAsia="en-AU"/>
        </w:rPr>
        <w:t xml:space="preserve">Looking </w:t>
      </w:r>
      <w:r>
        <w:rPr>
          <w:lang w:eastAsia="en-AU"/>
        </w:rPr>
        <w:t>for stuff” does not resolve scientific or technological uncertainty</w:t>
      </w:r>
      <w:r w:rsidR="00485279">
        <w:rPr>
          <w:lang w:eastAsia="en-AU"/>
        </w:rPr>
        <w:t xml:space="preserve">. </w:t>
      </w:r>
      <w:r>
        <w:rPr>
          <w:lang w:eastAsia="en-AU"/>
        </w:rPr>
        <w:t xml:space="preserve">Therefore, the activities are excluded from both the core and supporting </w:t>
      </w:r>
      <w:r w:rsidR="004672C9">
        <w:rPr>
          <w:lang w:eastAsia="en-AU"/>
        </w:rPr>
        <w:t>activity</w:t>
      </w:r>
      <w:r>
        <w:rPr>
          <w:lang w:eastAsia="en-AU"/>
        </w:rPr>
        <w:t xml:space="preserve"> definitions.</w:t>
      </w:r>
    </w:p>
    <w:p w14:paraId="5B1665E5" w14:textId="77777777" w:rsidR="00F41C65" w:rsidRDefault="00F41C65" w:rsidP="00F41C65"/>
    <w:p w14:paraId="633F1C07" w14:textId="77777777" w:rsidR="00ED09D1" w:rsidRDefault="00ED09D1" w:rsidP="00F41C65">
      <w:pPr>
        <w:pStyle w:val="Heading4"/>
      </w:pPr>
      <w:r w:rsidRPr="006368C7">
        <w:t xml:space="preserve">Market development or sales promotion, including consumer surveys (parts A and B, </w:t>
      </w:r>
      <w:r w:rsidR="008B6BE5">
        <w:t>clause</w:t>
      </w:r>
      <w:r w:rsidR="008B6BE5" w:rsidRPr="006368C7">
        <w:t xml:space="preserve"> </w:t>
      </w:r>
      <w:r w:rsidRPr="006368C7">
        <w:t>6)</w:t>
      </w:r>
    </w:p>
    <w:p w14:paraId="2A5DB75F" w14:textId="77777777" w:rsidR="00F41C65" w:rsidRDefault="00F41C65" w:rsidP="00F41C65">
      <w:pPr>
        <w:rPr>
          <w:lang w:eastAsia="en-AU"/>
        </w:rPr>
      </w:pPr>
    </w:p>
    <w:p w14:paraId="072334B4" w14:textId="37F55649" w:rsidR="00ED09D1" w:rsidRDefault="00ED09D1" w:rsidP="00F41C65">
      <w:pPr>
        <w:rPr>
          <w:lang w:eastAsia="en-AU"/>
        </w:rPr>
      </w:pPr>
      <w:r>
        <w:rPr>
          <w:lang w:eastAsia="en-AU"/>
        </w:rPr>
        <w:t>Market development, sales promotion, and consumer surveys are excluded from the core and supporting activity definitions</w:t>
      </w:r>
      <w:r w:rsidR="004672C9">
        <w:rPr>
          <w:lang w:eastAsia="en-AU"/>
        </w:rPr>
        <w:t>.</w:t>
      </w:r>
      <w:r>
        <w:rPr>
          <w:lang w:eastAsia="en-AU"/>
        </w:rPr>
        <w:t xml:space="preserve"> </w:t>
      </w:r>
      <w:r w:rsidR="004672C9">
        <w:rPr>
          <w:lang w:eastAsia="en-AU"/>
        </w:rPr>
        <w:t>T</w:t>
      </w:r>
      <w:r>
        <w:rPr>
          <w:lang w:eastAsia="en-AU"/>
        </w:rPr>
        <w:t>hey are undertaken to assist with commercial decision</w:t>
      </w:r>
      <w:r w:rsidR="008F473D">
        <w:rPr>
          <w:lang w:eastAsia="en-AU"/>
        </w:rPr>
        <w:t xml:space="preserve"> </w:t>
      </w:r>
      <w:r>
        <w:rPr>
          <w:lang w:eastAsia="en-AU"/>
        </w:rPr>
        <w:t>making and objectives</w:t>
      </w:r>
      <w:r w:rsidR="00D74BB8">
        <w:rPr>
          <w:lang w:eastAsia="en-AU"/>
        </w:rPr>
        <w:t xml:space="preserve"> rather than resolving scientific or technological uncertainty</w:t>
      </w:r>
      <w:r>
        <w:rPr>
          <w:lang w:eastAsia="en-AU"/>
        </w:rPr>
        <w:t xml:space="preserve">. </w:t>
      </w:r>
      <w:r w:rsidR="004672C9">
        <w:rPr>
          <w:lang w:eastAsia="en-AU"/>
        </w:rPr>
        <w:t xml:space="preserve">Such activities </w:t>
      </w:r>
      <w:r>
        <w:rPr>
          <w:lang w:eastAsia="en-AU"/>
        </w:rPr>
        <w:t>are likely to take place once an R&amp;D project is complete</w:t>
      </w:r>
      <w:r w:rsidR="004672C9">
        <w:rPr>
          <w:lang w:eastAsia="en-AU"/>
        </w:rPr>
        <w:t xml:space="preserve">, </w:t>
      </w:r>
      <w:r>
        <w:rPr>
          <w:lang w:eastAsia="en-AU"/>
        </w:rPr>
        <w:t xml:space="preserve">or </w:t>
      </w:r>
      <w:r w:rsidR="004672C9">
        <w:rPr>
          <w:lang w:eastAsia="en-AU"/>
        </w:rPr>
        <w:t xml:space="preserve">is </w:t>
      </w:r>
      <w:r>
        <w:rPr>
          <w:lang w:eastAsia="en-AU"/>
        </w:rPr>
        <w:t>nearing completion</w:t>
      </w:r>
      <w:r w:rsidR="004672C9">
        <w:rPr>
          <w:lang w:eastAsia="en-AU"/>
        </w:rPr>
        <w:t xml:space="preserve">. They </w:t>
      </w:r>
      <w:r>
        <w:rPr>
          <w:lang w:eastAsia="en-AU"/>
        </w:rPr>
        <w:t xml:space="preserve">may signal that scientific or technological </w:t>
      </w:r>
      <w:r w:rsidR="0092655B">
        <w:rPr>
          <w:lang w:eastAsia="en-AU"/>
        </w:rPr>
        <w:t>uncertainty has come to an end.</w:t>
      </w:r>
    </w:p>
    <w:p w14:paraId="6CA9900A" w14:textId="77777777" w:rsidR="00ED09D1" w:rsidRDefault="00ED09D1" w:rsidP="00F41C65">
      <w:pPr>
        <w:rPr>
          <w:rFonts w:ascii="Verdana" w:hAnsi="Verdana"/>
          <w:sz w:val="18"/>
          <w:szCs w:val="18"/>
          <w:lang w:eastAsia="en-AU"/>
        </w:rPr>
      </w:pPr>
    </w:p>
    <w:p w14:paraId="4007C7BE" w14:textId="77777777" w:rsidR="00ED09D1" w:rsidRDefault="00ED09D1" w:rsidP="00F41C65">
      <w:pPr>
        <w:rPr>
          <w:szCs w:val="24"/>
          <w:lang w:eastAsia="en-AU"/>
        </w:rPr>
      </w:pPr>
      <w:r>
        <w:rPr>
          <w:szCs w:val="24"/>
          <w:lang w:eastAsia="en-AU"/>
        </w:rPr>
        <w:t>Note that market research and market testing have only been excluded from the core activity definition</w:t>
      </w:r>
      <w:r w:rsidR="004672C9">
        <w:rPr>
          <w:szCs w:val="24"/>
          <w:lang w:eastAsia="en-AU"/>
        </w:rPr>
        <w:t>.</w:t>
      </w:r>
      <w:r w:rsidR="00D74BB8">
        <w:rPr>
          <w:szCs w:val="24"/>
          <w:lang w:eastAsia="en-AU"/>
        </w:rPr>
        <w:t xml:space="preserve"> </w:t>
      </w:r>
      <w:r w:rsidR="004672C9">
        <w:rPr>
          <w:szCs w:val="24"/>
          <w:lang w:eastAsia="en-AU"/>
        </w:rPr>
        <w:t xml:space="preserve">They </w:t>
      </w:r>
      <w:r w:rsidR="00D74BB8">
        <w:rPr>
          <w:szCs w:val="24"/>
          <w:lang w:eastAsia="en-AU"/>
        </w:rPr>
        <w:t>may be permitted as supporting activities</w:t>
      </w:r>
      <w:r>
        <w:rPr>
          <w:szCs w:val="24"/>
          <w:lang w:eastAsia="en-AU"/>
        </w:rPr>
        <w:t>.</w:t>
      </w:r>
    </w:p>
    <w:p w14:paraId="0586A476" w14:textId="77777777" w:rsidR="00ED09D1" w:rsidRDefault="00ED09D1" w:rsidP="00F41C65">
      <w:pPr>
        <w:rPr>
          <w:lang w:eastAsia="en-AU"/>
        </w:rPr>
      </w:pPr>
    </w:p>
    <w:p w14:paraId="195FED94" w14:textId="77777777" w:rsidR="00ED09D1" w:rsidRDefault="00ED09D1" w:rsidP="00F41C65">
      <w:pPr>
        <w:pStyle w:val="Heading4"/>
      </w:pPr>
      <w:r w:rsidRPr="006368C7">
        <w:t xml:space="preserve">Commercial, legal, or administrative aspects of patenting, licensing, or other activities (parts A and B, </w:t>
      </w:r>
      <w:r w:rsidR="008B6BE5">
        <w:t>clause</w:t>
      </w:r>
      <w:r w:rsidR="008B6BE5" w:rsidRPr="006368C7" w:rsidDel="008B6BE5">
        <w:t xml:space="preserve"> </w:t>
      </w:r>
      <w:r w:rsidRPr="006368C7">
        <w:t>7)</w:t>
      </w:r>
    </w:p>
    <w:p w14:paraId="2D2FB752" w14:textId="77777777" w:rsidR="0092655B" w:rsidRDefault="0092655B" w:rsidP="0092655B">
      <w:pPr>
        <w:rPr>
          <w:lang w:eastAsia="en-AU"/>
        </w:rPr>
      </w:pPr>
    </w:p>
    <w:p w14:paraId="102A0EC6" w14:textId="62ED1DCD" w:rsidR="00ED09D1" w:rsidRPr="00112AE5" w:rsidRDefault="00ED09D1" w:rsidP="0092655B">
      <w:pPr>
        <w:rPr>
          <w:lang w:eastAsia="en-AU"/>
        </w:rPr>
      </w:pPr>
      <w:r>
        <w:rPr>
          <w:lang w:eastAsia="en-AU"/>
        </w:rPr>
        <w:t>Patenting and licen</w:t>
      </w:r>
      <w:r w:rsidR="00666146">
        <w:rPr>
          <w:lang w:eastAsia="en-AU"/>
        </w:rPr>
        <w:t>s</w:t>
      </w:r>
      <w:r>
        <w:rPr>
          <w:lang w:eastAsia="en-AU"/>
        </w:rPr>
        <w:t xml:space="preserve">ing activities </w:t>
      </w:r>
      <w:r w:rsidR="00D74BB8">
        <w:rPr>
          <w:lang w:eastAsia="en-AU"/>
        </w:rPr>
        <w:t>would not</w:t>
      </w:r>
      <w:r>
        <w:rPr>
          <w:lang w:eastAsia="en-AU"/>
        </w:rPr>
        <w:t>, even i</w:t>
      </w:r>
      <w:r w:rsidR="007D488B">
        <w:rPr>
          <w:lang w:eastAsia="en-AU"/>
        </w:rPr>
        <w:t>n</w:t>
      </w:r>
      <w:r>
        <w:rPr>
          <w:lang w:eastAsia="en-AU"/>
        </w:rPr>
        <w:t xml:space="preserve"> the absence of the exclusion, qualify as core activities. They have a commercial or legal focus and do not seek to resolve scientific or technological uncertainty.</w:t>
      </w:r>
    </w:p>
    <w:p w14:paraId="38858AC3" w14:textId="77777777" w:rsidR="00ED09D1" w:rsidRDefault="00ED09D1" w:rsidP="0092655B">
      <w:pPr>
        <w:rPr>
          <w:lang w:eastAsia="en-AU"/>
        </w:rPr>
      </w:pPr>
    </w:p>
    <w:p w14:paraId="76292398" w14:textId="77777777" w:rsidR="00ED09D1" w:rsidRPr="006368C7" w:rsidRDefault="00ED09D1" w:rsidP="0092655B">
      <w:pPr>
        <w:pStyle w:val="Heading4"/>
      </w:pPr>
      <w:r w:rsidRPr="006368C7">
        <w:t xml:space="preserve">Activities involved in complying with statutory requirements or standards for pre-existing processes, services, or goods (parts A and B, </w:t>
      </w:r>
      <w:r w:rsidR="008B6BE5">
        <w:t>clause</w:t>
      </w:r>
      <w:r w:rsidR="008B6BE5" w:rsidRPr="006368C7" w:rsidDel="008B6BE5">
        <w:t xml:space="preserve"> </w:t>
      </w:r>
      <w:r w:rsidRPr="006368C7">
        <w:t>8)</w:t>
      </w:r>
    </w:p>
    <w:p w14:paraId="1A9895DD" w14:textId="77777777" w:rsidR="0092655B" w:rsidRDefault="0092655B" w:rsidP="0092655B">
      <w:pPr>
        <w:rPr>
          <w:lang w:eastAsia="en-AU"/>
        </w:rPr>
      </w:pPr>
    </w:p>
    <w:p w14:paraId="2347665F" w14:textId="59FC06DC" w:rsidR="00ED09D1" w:rsidRDefault="00ED09D1" w:rsidP="0092655B">
      <w:pPr>
        <w:rPr>
          <w:lang w:eastAsia="en-AU"/>
        </w:rPr>
      </w:pPr>
      <w:r w:rsidRPr="00112AE5">
        <w:rPr>
          <w:lang w:eastAsia="en-AU"/>
        </w:rPr>
        <w:t>Activities involved in complying with statutory requirements or standards</w:t>
      </w:r>
      <w:r>
        <w:rPr>
          <w:lang w:eastAsia="en-AU"/>
        </w:rPr>
        <w:t xml:space="preserve"> for pre-existing</w:t>
      </w:r>
      <w:r w:rsidRPr="00112AE5">
        <w:rPr>
          <w:lang w:eastAsia="en-AU"/>
        </w:rPr>
        <w:t xml:space="preserve"> </w:t>
      </w:r>
      <w:r w:rsidR="007D488B">
        <w:rPr>
          <w:lang w:eastAsia="en-AU"/>
        </w:rPr>
        <w:t xml:space="preserve">processes, services, or goods </w:t>
      </w:r>
      <w:r w:rsidRPr="00112AE5">
        <w:rPr>
          <w:lang w:eastAsia="en-AU"/>
        </w:rPr>
        <w:t>do not qualify as core activit</w:t>
      </w:r>
      <w:r w:rsidR="004672C9">
        <w:rPr>
          <w:lang w:eastAsia="en-AU"/>
        </w:rPr>
        <w:t>ies</w:t>
      </w:r>
      <w:r w:rsidRPr="00112AE5">
        <w:rPr>
          <w:lang w:eastAsia="en-AU"/>
        </w:rPr>
        <w:t xml:space="preserve"> as they do not resolve scientif</w:t>
      </w:r>
      <w:r>
        <w:rPr>
          <w:lang w:eastAsia="en-AU"/>
        </w:rPr>
        <w:t>ic</w:t>
      </w:r>
      <w:r w:rsidR="00D74BB8">
        <w:rPr>
          <w:lang w:eastAsia="en-AU"/>
        </w:rPr>
        <w:t xml:space="preserve"> or technological uncertainty. </w:t>
      </w:r>
      <w:r w:rsidR="007D488B">
        <w:rPr>
          <w:lang w:eastAsia="en-AU"/>
        </w:rPr>
        <w:t xml:space="preserve">These activities are also ineligible as support activities because they are not required to resolve scientific or technological uncertainty. </w:t>
      </w:r>
      <w:r>
        <w:rPr>
          <w:lang w:eastAsia="en-AU"/>
        </w:rPr>
        <w:t xml:space="preserve">Activities involved in complying with statutory requirements or standards for new products </w:t>
      </w:r>
      <w:r w:rsidR="007D488B">
        <w:rPr>
          <w:lang w:eastAsia="en-AU"/>
        </w:rPr>
        <w:t xml:space="preserve">are </w:t>
      </w:r>
      <w:r>
        <w:rPr>
          <w:lang w:eastAsia="en-AU"/>
        </w:rPr>
        <w:t>covered below</w:t>
      </w:r>
      <w:r w:rsidR="007D488B">
        <w:rPr>
          <w:lang w:eastAsia="en-AU"/>
        </w:rPr>
        <w:t>.</w:t>
      </w:r>
    </w:p>
    <w:p w14:paraId="052F1093" w14:textId="77777777" w:rsidR="00ED09D1" w:rsidRPr="00B878F0" w:rsidRDefault="00ED09D1" w:rsidP="0092655B">
      <w:pPr>
        <w:rPr>
          <w:lang w:eastAsia="en-AU"/>
        </w:rPr>
      </w:pPr>
    </w:p>
    <w:p w14:paraId="799B8482" w14:textId="77777777" w:rsidR="00ED09D1" w:rsidRPr="006368C7" w:rsidRDefault="00ED09D1" w:rsidP="0092655B">
      <w:pPr>
        <w:pStyle w:val="Heading4"/>
      </w:pPr>
      <w:r w:rsidRPr="006368C7">
        <w:t xml:space="preserve">Management studies and activities relating to organisational design (parts A and B, </w:t>
      </w:r>
      <w:r w:rsidR="008B6BE5">
        <w:t>clause</w:t>
      </w:r>
      <w:r w:rsidRPr="006368C7">
        <w:t>s 9 and 10)</w:t>
      </w:r>
    </w:p>
    <w:p w14:paraId="6ABA074A" w14:textId="77777777" w:rsidR="0092655B" w:rsidRDefault="0092655B" w:rsidP="0092655B"/>
    <w:p w14:paraId="5E375667" w14:textId="7A06C34B" w:rsidR="00ED09D1" w:rsidRDefault="00ED09D1" w:rsidP="0092655B">
      <w:r>
        <w:t xml:space="preserve">Management studies and activities related to organisational design do not qualify as </w:t>
      </w:r>
      <w:r w:rsidR="00D74BB8">
        <w:t>core activities</w:t>
      </w:r>
      <w:r w:rsidR="004672C9">
        <w:t>.</w:t>
      </w:r>
      <w:r>
        <w:t xml:space="preserve"> </w:t>
      </w:r>
      <w:r w:rsidR="004672C9">
        <w:t>T</w:t>
      </w:r>
      <w:r>
        <w:t>hey are not the types of activities that the R&amp;D tax credit</w:t>
      </w:r>
      <w:r w:rsidR="004672C9">
        <w:t xml:space="preserve"> regime</w:t>
      </w:r>
      <w:r>
        <w:t xml:space="preserve"> is intended to incentivise.</w:t>
      </w:r>
      <w:r w:rsidR="00D74BB8">
        <w:t xml:space="preserve"> Even without this exclusion, many management studies would be excluded because their </w:t>
      </w:r>
      <w:r w:rsidR="0092655B">
        <w:t>subject is the social sciences.</w:t>
      </w:r>
    </w:p>
    <w:p w14:paraId="0BFA8BE8" w14:textId="77777777" w:rsidR="00ED09D1" w:rsidRDefault="00ED09D1" w:rsidP="0092655B"/>
    <w:p w14:paraId="25D5F8A2" w14:textId="77777777" w:rsidR="00ED09D1" w:rsidRDefault="00ED09D1" w:rsidP="0092655B">
      <w:pPr>
        <w:pStyle w:val="Heading4"/>
        <w:rPr>
          <w:szCs w:val="24"/>
        </w:rPr>
      </w:pPr>
      <w:r w:rsidRPr="006368C7">
        <w:t xml:space="preserve">Internal software development relating to ordinary administrative functions of a business (parts A and B, </w:t>
      </w:r>
      <w:r w:rsidR="008B6BE5">
        <w:t>clause</w:t>
      </w:r>
      <w:r w:rsidRPr="006368C7">
        <w:t xml:space="preserve"> 11)</w:t>
      </w:r>
    </w:p>
    <w:p w14:paraId="7DB69113" w14:textId="77777777" w:rsidR="0092655B" w:rsidRDefault="0092655B" w:rsidP="0092655B"/>
    <w:p w14:paraId="1CB01EEB" w14:textId="09DB3AA0" w:rsidR="00ED09D1" w:rsidRDefault="00ED09D1" w:rsidP="0092655B">
      <w:r>
        <w:t xml:space="preserve">This </w:t>
      </w:r>
      <w:r w:rsidR="008B6BE5">
        <w:t xml:space="preserve">clause </w:t>
      </w:r>
      <w:r w:rsidR="00EB193F">
        <w:t>is</w:t>
      </w:r>
      <w:r>
        <w:t xml:space="preserve"> covered in</w:t>
      </w:r>
      <w:r w:rsidR="00EB7314">
        <w:t xml:space="preserve"> the section on</w:t>
      </w:r>
      <w:r>
        <w:t xml:space="preserve"> </w:t>
      </w:r>
      <w:r w:rsidR="00EB193F" w:rsidRPr="00EB193F">
        <w:rPr>
          <w:rStyle w:val="Emphasis"/>
        </w:rPr>
        <w:t>Internal software development</w:t>
      </w:r>
      <w:r w:rsidRPr="008E7A3B">
        <w:t xml:space="preserve"> </w:t>
      </w:r>
      <w:r w:rsidR="00EB193F">
        <w:t>(</w:t>
      </w:r>
      <w:r w:rsidRPr="008E7A3B">
        <w:t xml:space="preserve">page </w:t>
      </w:r>
      <w:r w:rsidR="008E7A3B" w:rsidRPr="008E7A3B">
        <w:t>2</w:t>
      </w:r>
      <w:r w:rsidR="00EB193F">
        <w:t>7)</w:t>
      </w:r>
      <w:r w:rsidRPr="008E7A3B">
        <w:t>.</w:t>
      </w:r>
    </w:p>
    <w:p w14:paraId="054FEBEB" w14:textId="77777777" w:rsidR="00F41C65" w:rsidRPr="00112AE5" w:rsidRDefault="00F41C65" w:rsidP="0092655B"/>
    <w:p w14:paraId="2B9EDC76" w14:textId="77777777" w:rsidR="00ED09D1" w:rsidRDefault="00ED09D1" w:rsidP="0092655B">
      <w:pPr>
        <w:pStyle w:val="Heading3"/>
      </w:pPr>
      <w:r>
        <w:t>Exclusions from the core R&amp;D activity definition only</w:t>
      </w:r>
    </w:p>
    <w:p w14:paraId="087C7276" w14:textId="77777777" w:rsidR="00ED09D1" w:rsidRDefault="00ED09D1" w:rsidP="0092655B">
      <w:pPr>
        <w:rPr>
          <w:lang w:eastAsia="en-AU"/>
        </w:rPr>
      </w:pPr>
    </w:p>
    <w:p w14:paraId="293FD94F" w14:textId="77777777" w:rsidR="00ED09D1" w:rsidRDefault="00ED09D1" w:rsidP="0092655B">
      <w:pPr>
        <w:pStyle w:val="Heading4"/>
      </w:pPr>
      <w:r>
        <w:t>Market research and market testing (</w:t>
      </w:r>
      <w:r w:rsidR="004C143C">
        <w:t xml:space="preserve">part A, </w:t>
      </w:r>
      <w:r w:rsidR="008B6BE5">
        <w:t>clause</w:t>
      </w:r>
      <w:r w:rsidR="008B6BE5" w:rsidDel="008B6BE5">
        <w:t xml:space="preserve"> </w:t>
      </w:r>
      <w:r>
        <w:t>6)</w:t>
      </w:r>
    </w:p>
    <w:p w14:paraId="11806745" w14:textId="77777777" w:rsidR="00ED09D1" w:rsidRDefault="00ED09D1" w:rsidP="0092655B">
      <w:pPr>
        <w:rPr>
          <w:lang w:eastAsia="en-AU"/>
        </w:rPr>
      </w:pPr>
    </w:p>
    <w:p w14:paraId="0606850E" w14:textId="77777777" w:rsidR="00ED09D1" w:rsidRDefault="00ED09D1" w:rsidP="0092655B">
      <w:pPr>
        <w:rPr>
          <w:lang w:eastAsia="en-AU"/>
        </w:rPr>
      </w:pPr>
      <w:r>
        <w:rPr>
          <w:lang w:eastAsia="en-AU"/>
        </w:rPr>
        <w:t>Market research and market testing have been excluded from the core activity definition as they are undertaken to support commercial objectives.</w:t>
      </w:r>
    </w:p>
    <w:p w14:paraId="432B2C66" w14:textId="77777777" w:rsidR="00ED09D1" w:rsidRDefault="00ED09D1" w:rsidP="0092655B">
      <w:pPr>
        <w:rPr>
          <w:lang w:eastAsia="en-AU"/>
        </w:rPr>
      </w:pPr>
    </w:p>
    <w:p w14:paraId="6A531560" w14:textId="2BDDF709" w:rsidR="00ED09D1" w:rsidRDefault="00ED09D1" w:rsidP="0092655B">
      <w:pPr>
        <w:rPr>
          <w:lang w:eastAsia="en-AU"/>
        </w:rPr>
      </w:pPr>
      <w:r>
        <w:rPr>
          <w:lang w:eastAsia="en-AU"/>
        </w:rPr>
        <w:t>Market research and market testing may be eligible as support activit</w:t>
      </w:r>
      <w:r w:rsidR="004672C9">
        <w:rPr>
          <w:lang w:eastAsia="en-AU"/>
        </w:rPr>
        <w:t>ies</w:t>
      </w:r>
      <w:r>
        <w:rPr>
          <w:lang w:eastAsia="en-AU"/>
        </w:rPr>
        <w:t xml:space="preserve"> where </w:t>
      </w:r>
      <w:r w:rsidR="004672C9">
        <w:rPr>
          <w:lang w:eastAsia="en-AU"/>
        </w:rPr>
        <w:t xml:space="preserve">they are </w:t>
      </w:r>
      <w:r>
        <w:rPr>
          <w:lang w:eastAsia="en-AU"/>
        </w:rPr>
        <w:t xml:space="preserve">used to check whether the scientific or technological objectives </w:t>
      </w:r>
      <w:r w:rsidR="004672C9">
        <w:rPr>
          <w:lang w:eastAsia="en-AU"/>
        </w:rPr>
        <w:t xml:space="preserve">of an R&amp;D project </w:t>
      </w:r>
      <w:r>
        <w:rPr>
          <w:lang w:eastAsia="en-AU"/>
        </w:rPr>
        <w:t>have been achieved</w:t>
      </w:r>
      <w:r w:rsidR="00485279">
        <w:rPr>
          <w:lang w:eastAsia="en-AU"/>
        </w:rPr>
        <w:t xml:space="preserve">. </w:t>
      </w:r>
      <w:r>
        <w:rPr>
          <w:szCs w:val="20"/>
          <w:lang w:eastAsia="en-AU"/>
        </w:rPr>
        <w:t>In the f</w:t>
      </w:r>
      <w:r w:rsidRPr="00E256C5">
        <w:rPr>
          <w:szCs w:val="20"/>
          <w:lang w:eastAsia="en-AU"/>
        </w:rPr>
        <w:t>ood industry</w:t>
      </w:r>
      <w:r>
        <w:rPr>
          <w:szCs w:val="20"/>
          <w:lang w:eastAsia="en-AU"/>
        </w:rPr>
        <w:t>,</w:t>
      </w:r>
      <w:r w:rsidRPr="00E256C5">
        <w:rPr>
          <w:szCs w:val="20"/>
          <w:lang w:eastAsia="en-AU"/>
        </w:rPr>
        <w:t xml:space="preserve"> </w:t>
      </w:r>
      <w:r>
        <w:rPr>
          <w:szCs w:val="20"/>
          <w:lang w:eastAsia="en-AU"/>
        </w:rPr>
        <w:t xml:space="preserve">for example, </w:t>
      </w:r>
      <w:r w:rsidR="007515CD">
        <w:rPr>
          <w:szCs w:val="20"/>
          <w:lang w:eastAsia="en-AU"/>
        </w:rPr>
        <w:t>consumer</w:t>
      </w:r>
      <w:r w:rsidRPr="00E256C5">
        <w:rPr>
          <w:szCs w:val="20"/>
          <w:lang w:eastAsia="en-AU"/>
        </w:rPr>
        <w:t xml:space="preserve"> testing to </w:t>
      </w:r>
      <w:r>
        <w:rPr>
          <w:szCs w:val="20"/>
          <w:lang w:eastAsia="en-AU"/>
        </w:rPr>
        <w:t>determine</w:t>
      </w:r>
      <w:r w:rsidRPr="00E256C5">
        <w:rPr>
          <w:szCs w:val="20"/>
          <w:lang w:eastAsia="en-AU"/>
        </w:rPr>
        <w:t xml:space="preserve"> the </w:t>
      </w:r>
      <w:r>
        <w:rPr>
          <w:szCs w:val="20"/>
          <w:lang w:eastAsia="en-AU"/>
        </w:rPr>
        <w:t>sensory properties of a product may be an eligible supporting R&amp;D activity.</w:t>
      </w:r>
    </w:p>
    <w:p w14:paraId="1067F94A" w14:textId="77777777" w:rsidR="00ED09D1" w:rsidRDefault="00ED09D1" w:rsidP="0092655B">
      <w:pPr>
        <w:rPr>
          <w:lang w:eastAsia="en-AU"/>
        </w:rPr>
      </w:pPr>
    </w:p>
    <w:p w14:paraId="1927C4CC" w14:textId="77777777" w:rsidR="00453540" w:rsidRPr="00453540" w:rsidRDefault="00453540" w:rsidP="00453540">
      <w:r w:rsidRPr="00453540">
        <w:br w:type="page"/>
      </w:r>
    </w:p>
    <w:p w14:paraId="7FD3578F" w14:textId="35F87EDD" w:rsidR="00ED09D1" w:rsidRDefault="00ED09D1" w:rsidP="0092655B">
      <w:pPr>
        <w:pStyle w:val="Heading4"/>
      </w:pPr>
      <w:r>
        <w:t>Activities involved in complying with statutory requirements or standards (</w:t>
      </w:r>
      <w:r w:rsidR="004C143C">
        <w:t xml:space="preserve">part A, </w:t>
      </w:r>
      <w:r w:rsidR="008B6BE5">
        <w:t>clause</w:t>
      </w:r>
      <w:r w:rsidR="008B6BE5" w:rsidDel="008B6BE5">
        <w:t xml:space="preserve"> </w:t>
      </w:r>
      <w:r>
        <w:t>8)</w:t>
      </w:r>
    </w:p>
    <w:p w14:paraId="69D2F452" w14:textId="77777777" w:rsidR="00ED09D1" w:rsidRDefault="00ED09D1" w:rsidP="0092655B">
      <w:pPr>
        <w:rPr>
          <w:lang w:eastAsia="en-AU"/>
        </w:rPr>
      </w:pPr>
    </w:p>
    <w:p w14:paraId="5CF3D2DE" w14:textId="245E0820" w:rsidR="004C143C" w:rsidRDefault="00ED09D1" w:rsidP="0092655B">
      <w:pPr>
        <w:rPr>
          <w:rFonts w:eastAsia="Times New Roman" w:cs="Times New Roman"/>
          <w:szCs w:val="20"/>
          <w:lang w:eastAsia="en-AU"/>
        </w:rPr>
      </w:pPr>
      <w:r w:rsidRPr="00112AE5">
        <w:rPr>
          <w:rFonts w:eastAsia="Times New Roman" w:cs="Times New Roman"/>
          <w:szCs w:val="20"/>
          <w:lang w:eastAsia="en-AU"/>
        </w:rPr>
        <w:t xml:space="preserve">Activities involved in </w:t>
      </w:r>
      <w:r w:rsidR="00D74BB8">
        <w:rPr>
          <w:rFonts w:eastAsia="Times New Roman" w:cs="Times New Roman"/>
          <w:szCs w:val="20"/>
          <w:lang w:eastAsia="en-AU"/>
        </w:rPr>
        <w:t xml:space="preserve">testing compliance </w:t>
      </w:r>
      <w:r w:rsidRPr="00112AE5">
        <w:rPr>
          <w:rFonts w:eastAsia="Times New Roman" w:cs="Times New Roman"/>
          <w:szCs w:val="20"/>
          <w:lang w:eastAsia="en-AU"/>
        </w:rPr>
        <w:t>with statutory requirements or standards do not qualify as a core activity as they do not resolve scientific or technological uncertainty.</w:t>
      </w:r>
    </w:p>
    <w:p w14:paraId="10ED69C4" w14:textId="5FE87505" w:rsidR="00ED09D1" w:rsidRDefault="00ED09D1" w:rsidP="0092655B">
      <w:pPr>
        <w:rPr>
          <w:lang w:eastAsia="en-AU"/>
        </w:rPr>
      </w:pPr>
    </w:p>
    <w:p w14:paraId="7EFF32E1" w14:textId="7516EF17" w:rsidR="00ED09D1" w:rsidRDefault="001639AF" w:rsidP="0092655B">
      <w:pPr>
        <w:rPr>
          <w:rFonts w:eastAsia="Times New Roman" w:cs="Times New Roman"/>
          <w:szCs w:val="24"/>
          <w:lang w:eastAsia="en-AU"/>
        </w:rPr>
      </w:pPr>
      <w:r>
        <w:rPr>
          <w:rFonts w:eastAsia="Times New Roman" w:cs="Times New Roman"/>
          <w:szCs w:val="24"/>
          <w:lang w:eastAsia="en-AU"/>
        </w:rPr>
        <w:t xml:space="preserve">Activities to test compliance </w:t>
      </w:r>
      <w:r w:rsidR="00ED09D1" w:rsidRPr="003A759B">
        <w:rPr>
          <w:rFonts w:eastAsia="Times New Roman" w:cs="Times New Roman"/>
          <w:szCs w:val="24"/>
          <w:lang w:eastAsia="en-AU"/>
        </w:rPr>
        <w:t xml:space="preserve">with the relevant standards </w:t>
      </w:r>
      <w:r w:rsidR="00F34E40">
        <w:rPr>
          <w:rFonts w:eastAsia="Times New Roman" w:cs="Times New Roman"/>
          <w:szCs w:val="24"/>
          <w:lang w:eastAsia="en-AU"/>
        </w:rPr>
        <w:t xml:space="preserve">for </w:t>
      </w:r>
      <w:r w:rsidR="00ED09D1" w:rsidRPr="003A759B">
        <w:rPr>
          <w:rFonts w:eastAsia="Times New Roman" w:cs="Times New Roman"/>
          <w:szCs w:val="24"/>
          <w:lang w:eastAsia="en-AU"/>
        </w:rPr>
        <w:t>new processes, services or goods may be</w:t>
      </w:r>
      <w:r w:rsidR="00ED09D1">
        <w:rPr>
          <w:rFonts w:eastAsia="Times New Roman" w:cs="Times New Roman"/>
          <w:szCs w:val="24"/>
          <w:lang w:eastAsia="en-AU"/>
        </w:rPr>
        <w:t xml:space="preserve"> eligible as a support activity </w:t>
      </w:r>
      <w:r w:rsidR="004672C9">
        <w:rPr>
          <w:rFonts w:eastAsia="Times New Roman" w:cs="Times New Roman"/>
          <w:szCs w:val="24"/>
          <w:lang w:eastAsia="en-AU"/>
        </w:rPr>
        <w:t xml:space="preserve">if </w:t>
      </w:r>
      <w:r w:rsidR="00ED09D1">
        <w:rPr>
          <w:rFonts w:eastAsia="Times New Roman" w:cs="Times New Roman"/>
          <w:szCs w:val="24"/>
          <w:lang w:eastAsia="en-AU"/>
        </w:rPr>
        <w:t>compliance with the relevant standard is necessary to validate that the scientific or technological objectives of the R&amp;D have been met.</w:t>
      </w:r>
    </w:p>
    <w:p w14:paraId="1F4FE829" w14:textId="77777777" w:rsidR="00ED09D1" w:rsidRDefault="00ED09D1" w:rsidP="0092655B">
      <w:pPr>
        <w:rPr>
          <w:rFonts w:eastAsia="Times New Roman" w:cs="Times New Roman"/>
          <w:szCs w:val="24"/>
          <w:lang w:eastAsia="en-AU"/>
        </w:rPr>
      </w:pPr>
    </w:p>
    <w:p w14:paraId="578A41A3" w14:textId="77777777" w:rsidR="00ED09D1" w:rsidRPr="00CF6A96" w:rsidRDefault="00ED09D1" w:rsidP="0092655B">
      <w:pPr>
        <w:pStyle w:val="Heading4"/>
      </w:pPr>
      <w:r w:rsidRPr="00CF6A96">
        <w:t>Research in social sciences, arts, or humanities</w:t>
      </w:r>
      <w:r>
        <w:t xml:space="preserve"> (</w:t>
      </w:r>
      <w:r w:rsidR="004C143C">
        <w:t xml:space="preserve">part A, </w:t>
      </w:r>
      <w:r w:rsidR="004F6150">
        <w:t xml:space="preserve">clause </w:t>
      </w:r>
      <w:r>
        <w:t>12</w:t>
      </w:r>
      <w:r w:rsidRPr="00CF6A96">
        <w:t>)</w:t>
      </w:r>
    </w:p>
    <w:p w14:paraId="73DE290A" w14:textId="77777777" w:rsidR="0092655B" w:rsidRDefault="0092655B" w:rsidP="0092655B"/>
    <w:p w14:paraId="6E04F4C3" w14:textId="6A93BC45" w:rsidR="00ED09D1" w:rsidRDefault="00ED09D1" w:rsidP="0092655B">
      <w:r>
        <w:t xml:space="preserve">Research in social sciences, arts or humanities is excluded (research in social sciences) from the core </w:t>
      </w:r>
      <w:r w:rsidR="00826A2C">
        <w:t xml:space="preserve">activity </w:t>
      </w:r>
      <w:r>
        <w:t xml:space="preserve">definition but can </w:t>
      </w:r>
      <w:r w:rsidRPr="00C74368">
        <w:t>qualify as a support</w:t>
      </w:r>
      <w:r w:rsidR="00826A2C">
        <w:t>ing</w:t>
      </w:r>
      <w:r w:rsidRPr="00C74368">
        <w:t xml:space="preserve"> activity.</w:t>
      </w:r>
      <w:r>
        <w:t xml:space="preserve"> Most </w:t>
      </w:r>
      <w:r w:rsidRPr="00C74368">
        <w:t>other jurisdictions</w:t>
      </w:r>
      <w:r>
        <w:t xml:space="preserve"> exclude research in social sciences.</w:t>
      </w:r>
      <w:r w:rsidRPr="00C74368">
        <w:t xml:space="preserve"> The focus </w:t>
      </w:r>
      <w:r>
        <w:t>of</w:t>
      </w:r>
      <w:r w:rsidRPr="00C74368">
        <w:t xml:space="preserve"> the R&amp;D tax </w:t>
      </w:r>
      <w:r w:rsidR="004C143C">
        <w:t xml:space="preserve">credit regime </w:t>
      </w:r>
      <w:r w:rsidRPr="00C74368">
        <w:t xml:space="preserve">is on </w:t>
      </w:r>
      <w:r>
        <w:t>scientific and technological R&amp;D. Research in other areas is funded by other means.</w:t>
      </w:r>
    </w:p>
    <w:p w14:paraId="4F2EC1EB" w14:textId="77777777" w:rsidR="00ED09D1" w:rsidRDefault="00ED09D1" w:rsidP="0092655B"/>
    <w:p w14:paraId="4FD22F8F" w14:textId="082DE2E5" w:rsidR="00ED09D1" w:rsidRDefault="00ED09D1" w:rsidP="0092655B">
      <w:r w:rsidRPr="00C74368">
        <w:t xml:space="preserve">The exclusion covers areas such as economics, classics, languages, literature, music, philosophy, sociology, anthropology, history, religion, as well as </w:t>
      </w:r>
      <w:r>
        <w:t>visual and performing arts. Examples of activities excluded include</w:t>
      </w:r>
      <w:r w:rsidR="00D74BB8">
        <w:t xml:space="preserve"> psychological and sociological research,</w:t>
      </w:r>
      <w:r>
        <w:t xml:space="preserve"> the study of the historical development of a language, the role of family in society, or writing a novel. A business developing a product for use in the arts or humanities may</w:t>
      </w:r>
      <w:r w:rsidR="0092655B">
        <w:t xml:space="preserve"> qualify despite the exclusion.</w:t>
      </w:r>
    </w:p>
    <w:p w14:paraId="4D775CF6" w14:textId="77777777" w:rsidR="00ED09D1" w:rsidRDefault="00ED09D1" w:rsidP="0092655B"/>
    <w:p w14:paraId="7736254D" w14:textId="77777777" w:rsidR="00ED09D1" w:rsidRDefault="00ED09D1" w:rsidP="0092655B">
      <w:r>
        <w:t>For example:</w:t>
      </w:r>
    </w:p>
    <w:p w14:paraId="7341F64D" w14:textId="77777777" w:rsidR="00ED09D1" w:rsidRDefault="00ED09D1" w:rsidP="0092655B"/>
    <w:p w14:paraId="4492E793" w14:textId="64F8E9A2" w:rsidR="00ED09D1" w:rsidRDefault="00ED09D1" w:rsidP="0092655B">
      <w:pPr>
        <w:pStyle w:val="dotpoint"/>
      </w:pPr>
      <w:r>
        <w:t>If a business develops computer software for use in the film industry</w:t>
      </w:r>
      <w:r w:rsidR="004C143C">
        <w:t>,</w:t>
      </w:r>
      <w:r>
        <w:t xml:space="preserve"> in a process that satisfies the core activity definition, the software development may be eligible</w:t>
      </w:r>
      <w:r w:rsidR="00F34E40">
        <w:t>.</w:t>
      </w:r>
    </w:p>
    <w:p w14:paraId="52CAD921" w14:textId="77777777" w:rsidR="00ED09D1" w:rsidRPr="00AD26F9" w:rsidRDefault="00ED09D1" w:rsidP="0092655B">
      <w:pPr>
        <w:pStyle w:val="dotpoint"/>
        <w:spacing w:after="0"/>
      </w:pPr>
      <w:r>
        <w:t>If a business develops and manufactures innovative ceramic glazes for use in the visual arts, the development may be eligible.</w:t>
      </w:r>
    </w:p>
    <w:p w14:paraId="661A5529" w14:textId="77777777" w:rsidR="00F41C65" w:rsidRDefault="00F41C65" w:rsidP="0092655B"/>
    <w:p w14:paraId="3F69D4BF" w14:textId="69C2EF85" w:rsidR="00ED09D1" w:rsidRDefault="00421265" w:rsidP="0092655B">
      <w:r w:rsidRPr="00421265">
        <w:t>Research in social sciences is excluded from being a core activity only. If, for example, research into human behaviour is required for product development that meets the test of a core activity, the research may be an eligible supporting activity.</w:t>
      </w:r>
    </w:p>
    <w:p w14:paraId="1B41E7FA" w14:textId="77777777" w:rsidR="00F41C65" w:rsidRDefault="00F41C65" w:rsidP="0092655B">
      <w:pPr>
        <w:rPr>
          <w:rFonts w:eastAsia="Times New Roman"/>
          <w:i/>
          <w:szCs w:val="20"/>
          <w:lang w:eastAsia="en-AU"/>
        </w:rPr>
      </w:pPr>
    </w:p>
    <w:p w14:paraId="5A138BB0" w14:textId="77777777" w:rsidR="00ED09D1" w:rsidRPr="00651D91" w:rsidRDefault="00ED09D1" w:rsidP="0092655B">
      <w:pPr>
        <w:pStyle w:val="Heading4"/>
      </w:pPr>
      <w:r w:rsidRPr="00651D91">
        <w:t>Quality control or routine testing of processes, services, or goods</w:t>
      </w:r>
      <w:r>
        <w:t xml:space="preserve"> (</w:t>
      </w:r>
      <w:r w:rsidR="004F6150">
        <w:t>clause</w:t>
      </w:r>
      <w:r>
        <w:t xml:space="preserve"> 13</w:t>
      </w:r>
      <w:r w:rsidRPr="00651D91">
        <w:t>)</w:t>
      </w:r>
    </w:p>
    <w:p w14:paraId="507030A6" w14:textId="77777777" w:rsidR="0092655B" w:rsidRDefault="0092655B" w:rsidP="0092655B"/>
    <w:p w14:paraId="3AE2B2C8" w14:textId="17678054" w:rsidR="00ED09D1" w:rsidRDefault="00ED09D1" w:rsidP="0092655B">
      <w:r w:rsidRPr="00532F48">
        <w:t>Quality</w:t>
      </w:r>
      <w:r>
        <w:t xml:space="preserve"> control </w:t>
      </w:r>
      <w:r w:rsidR="004C143C">
        <w:t xml:space="preserve">and </w:t>
      </w:r>
      <w:r>
        <w:t>routine testing of processes, services or goods are excluded as core activities because the activities do not resolve scientific or technological uncertainty in and of themselves. The development of new or improved quality control or testing methods may qualify as a</w:t>
      </w:r>
      <w:r w:rsidR="004C143C">
        <w:t xml:space="preserve"> </w:t>
      </w:r>
      <w:r>
        <w:t xml:space="preserve">core activity, however, provided the R&amp;D activity satisfies the core </w:t>
      </w:r>
      <w:r w:rsidR="00D74BB8">
        <w:t>activity</w:t>
      </w:r>
      <w:r w:rsidR="008E01BC">
        <w:t xml:space="preserve"> definition.</w:t>
      </w:r>
    </w:p>
    <w:p w14:paraId="25F18650" w14:textId="77777777" w:rsidR="00ED09D1" w:rsidRDefault="00ED09D1" w:rsidP="0092655B"/>
    <w:p w14:paraId="3DBA74DE" w14:textId="78B2C6C4" w:rsidR="00ED09D1" w:rsidRDefault="00ED09D1" w:rsidP="0092655B">
      <w:pPr>
        <w:rPr>
          <w:u w:val="single"/>
        </w:rPr>
      </w:pPr>
      <w:r>
        <w:t xml:space="preserve">Quality control or routing testing can be eligible as supporting activities. For example, an eligible supporting activity might include checking that products in a trial run meet </w:t>
      </w:r>
      <w:r w:rsidR="004C143C">
        <w:t xml:space="preserve">a certain level of </w:t>
      </w:r>
      <w:r>
        <w:t>quality, where a</w:t>
      </w:r>
      <w:r w:rsidR="00666146">
        <w:t xml:space="preserve"> person</w:t>
      </w:r>
      <w:r>
        <w:t>’s core activity is the development of a new manufacturing process.</w:t>
      </w:r>
    </w:p>
    <w:p w14:paraId="35223F44" w14:textId="32A3B066" w:rsidR="00255838" w:rsidRDefault="00255838" w:rsidP="0092655B"/>
    <w:p w14:paraId="7DE1ECA4" w14:textId="77777777" w:rsidR="00255838" w:rsidRPr="00255838" w:rsidRDefault="00ED09D1" w:rsidP="0092655B">
      <w:pPr>
        <w:pStyle w:val="Heading4"/>
      </w:pPr>
      <w:r w:rsidRPr="00651D91">
        <w:t>Routine collection of information (</w:t>
      </w:r>
      <w:r w:rsidR="004C143C">
        <w:t xml:space="preserve">part A, </w:t>
      </w:r>
      <w:r w:rsidR="004F6150">
        <w:t>clause</w:t>
      </w:r>
      <w:r>
        <w:t xml:space="preserve"> 14</w:t>
      </w:r>
      <w:r w:rsidRPr="00651D91">
        <w:t>)</w:t>
      </w:r>
    </w:p>
    <w:p w14:paraId="5F4040B8" w14:textId="77777777" w:rsidR="00255838" w:rsidRDefault="00255838" w:rsidP="0092655B">
      <w:pPr>
        <w:rPr>
          <w:lang w:eastAsia="en-AU"/>
        </w:rPr>
      </w:pPr>
    </w:p>
    <w:p w14:paraId="3EFFB779" w14:textId="77777777" w:rsidR="00ED09D1" w:rsidRDefault="00ED09D1" w:rsidP="0092655B">
      <w:pPr>
        <w:rPr>
          <w:lang w:eastAsia="en-AU"/>
        </w:rPr>
      </w:pPr>
      <w:r w:rsidRPr="00140131">
        <w:rPr>
          <w:lang w:eastAsia="en-AU"/>
        </w:rPr>
        <w:t>The r</w:t>
      </w:r>
      <w:r>
        <w:rPr>
          <w:lang w:eastAsia="en-AU"/>
        </w:rPr>
        <w:t xml:space="preserve">outine collection of information in and of itself is not expected to satisfy the core activity definition but it is included in schedule 21 for clarity. Examples of excluded activities </w:t>
      </w:r>
      <w:r w:rsidR="004C143C">
        <w:rPr>
          <w:lang w:eastAsia="en-AU"/>
        </w:rPr>
        <w:t xml:space="preserve">include </w:t>
      </w:r>
      <w:r>
        <w:rPr>
          <w:lang w:eastAsia="en-AU"/>
        </w:rPr>
        <w:t>the routine collection of data and information:</w:t>
      </w:r>
    </w:p>
    <w:p w14:paraId="4A6D32BE" w14:textId="77777777" w:rsidR="00F41C65" w:rsidRDefault="00F41C65" w:rsidP="0092655B">
      <w:pPr>
        <w:rPr>
          <w:lang w:eastAsia="en-AU"/>
        </w:rPr>
      </w:pPr>
    </w:p>
    <w:p w14:paraId="732E749F" w14:textId="5F840A31" w:rsidR="00ED09D1" w:rsidRDefault="00F34E40" w:rsidP="0092655B">
      <w:pPr>
        <w:pStyle w:val="dotpoint"/>
      </w:pPr>
      <w:r>
        <w:t>t</w:t>
      </w:r>
      <w:r w:rsidR="00ED09D1">
        <w:t>o monitor change from the application of routine engineering or routine technical procedures</w:t>
      </w:r>
      <w:r w:rsidR="00EF63F7">
        <w:t>;</w:t>
      </w:r>
    </w:p>
    <w:p w14:paraId="583CE588" w14:textId="633BF050" w:rsidR="00ED09D1" w:rsidRDefault="00F34E40" w:rsidP="0092655B">
      <w:pPr>
        <w:pStyle w:val="dotpoint"/>
      </w:pPr>
      <w:r>
        <w:t>t</w:t>
      </w:r>
      <w:r w:rsidR="00ED09D1">
        <w:t>o provide a baseline against which to monitor naturally occurring change</w:t>
      </w:r>
      <w:r w:rsidR="00EF63F7">
        <w:t>;</w:t>
      </w:r>
    </w:p>
    <w:p w14:paraId="333E704B" w14:textId="61BC2999" w:rsidR="00ED09D1" w:rsidRDefault="00F34E40" w:rsidP="0092655B">
      <w:pPr>
        <w:pStyle w:val="dotpoint"/>
      </w:pPr>
      <w:r>
        <w:t>f</w:t>
      </w:r>
      <w:r w:rsidR="00ED09D1">
        <w:t>or the purpose of quality control or inventory control</w:t>
      </w:r>
      <w:r w:rsidR="00EF63F7">
        <w:t>;</w:t>
      </w:r>
      <w:r w:rsidR="00AA129C">
        <w:t xml:space="preserve"> and</w:t>
      </w:r>
    </w:p>
    <w:p w14:paraId="7D66B792" w14:textId="0947C7A1" w:rsidR="00ED09D1" w:rsidRPr="00DE64B8" w:rsidRDefault="00F34E40" w:rsidP="0092655B">
      <w:pPr>
        <w:pStyle w:val="dotpoint"/>
        <w:spacing w:after="0"/>
      </w:pPr>
      <w:r>
        <w:t>t</w:t>
      </w:r>
      <w:r w:rsidR="00ED09D1">
        <w:t>o establish whether a product’s characteristics are within usual boundaries.</w:t>
      </w:r>
    </w:p>
    <w:p w14:paraId="5A408374" w14:textId="77777777" w:rsidR="00F41C65" w:rsidRDefault="00F41C65" w:rsidP="0092655B"/>
    <w:p w14:paraId="689D636F" w14:textId="77777777" w:rsidR="00ED09D1" w:rsidRPr="00D43E17" w:rsidRDefault="00ED09D1" w:rsidP="0092655B">
      <w:pPr>
        <w:pStyle w:val="Heading4"/>
      </w:pPr>
      <w:r w:rsidRPr="00D43E17">
        <w:t>Minor adaption of, or improvements to, existing processes, services, or goods (</w:t>
      </w:r>
      <w:r w:rsidR="004C143C">
        <w:t xml:space="preserve">part A, </w:t>
      </w:r>
      <w:r w:rsidR="004F6150">
        <w:t>clause</w:t>
      </w:r>
      <w:r w:rsidRPr="00D43E17">
        <w:t xml:space="preserve"> 15)</w:t>
      </w:r>
    </w:p>
    <w:p w14:paraId="57538D32" w14:textId="77777777" w:rsidR="0092655B" w:rsidRDefault="0092655B" w:rsidP="0092655B">
      <w:pPr>
        <w:rPr>
          <w:lang w:eastAsia="en-AU"/>
        </w:rPr>
      </w:pPr>
    </w:p>
    <w:p w14:paraId="78FC7BDA" w14:textId="06986E36" w:rsidR="00ED09D1" w:rsidRPr="00344547" w:rsidRDefault="00ED09D1" w:rsidP="0092655B">
      <w:pPr>
        <w:rPr>
          <w:lang w:eastAsia="en-AU"/>
        </w:rPr>
      </w:pPr>
      <w:r>
        <w:rPr>
          <w:lang w:eastAsia="en-AU"/>
        </w:rPr>
        <w:t xml:space="preserve">Minor changes or improvements to existing processes, services or goods are unlikely to satisfy the core activity definition </w:t>
      </w:r>
      <w:r w:rsidR="00D74BB8">
        <w:rPr>
          <w:lang w:eastAsia="en-AU"/>
        </w:rPr>
        <w:t>so</w:t>
      </w:r>
      <w:r>
        <w:rPr>
          <w:lang w:eastAsia="en-AU"/>
        </w:rPr>
        <w:t xml:space="preserve"> </w:t>
      </w:r>
      <w:r w:rsidR="00F34E40">
        <w:rPr>
          <w:lang w:eastAsia="en-AU"/>
        </w:rPr>
        <w:t>are</w:t>
      </w:r>
      <w:r>
        <w:rPr>
          <w:lang w:eastAsia="en-AU"/>
        </w:rPr>
        <w:t xml:space="preserve"> included in schedule 21 for clarity.</w:t>
      </w:r>
    </w:p>
    <w:p w14:paraId="77FFF093" w14:textId="77777777" w:rsidR="00F41C65" w:rsidRDefault="00F41C65" w:rsidP="0092655B"/>
    <w:p w14:paraId="092854EE" w14:textId="77777777" w:rsidR="00ED09D1" w:rsidRPr="00255838" w:rsidRDefault="00ED09D1" w:rsidP="0092655B">
      <w:pPr>
        <w:pStyle w:val="Heading4"/>
      </w:pPr>
      <w:r w:rsidRPr="00255838">
        <w:t>Testing (</w:t>
      </w:r>
      <w:r w:rsidR="004C143C">
        <w:t xml:space="preserve">part A, </w:t>
      </w:r>
      <w:r w:rsidR="004F6150">
        <w:t>clause</w:t>
      </w:r>
      <w:r w:rsidRPr="00255838">
        <w:t>s 16 to 19)</w:t>
      </w:r>
    </w:p>
    <w:p w14:paraId="3B5CA59C" w14:textId="77777777" w:rsidR="0092655B" w:rsidRDefault="0092655B" w:rsidP="0092655B">
      <w:pPr>
        <w:rPr>
          <w:lang w:eastAsia="en-AU"/>
        </w:rPr>
      </w:pPr>
    </w:p>
    <w:p w14:paraId="6B4EF651" w14:textId="77777777" w:rsidR="00ED09D1" w:rsidRDefault="00ED09D1" w:rsidP="0092655B">
      <w:pPr>
        <w:rPr>
          <w:lang w:eastAsia="en-AU"/>
        </w:rPr>
      </w:pPr>
      <w:r>
        <w:rPr>
          <w:lang w:eastAsia="en-AU"/>
        </w:rPr>
        <w:t>Schedule 21 proposes to exclude various testing activities from the core activity definition:</w:t>
      </w:r>
    </w:p>
    <w:p w14:paraId="30BD25C6" w14:textId="77777777" w:rsidR="00F41C65" w:rsidRPr="00917416" w:rsidRDefault="00F41C65" w:rsidP="0092655B">
      <w:pPr>
        <w:rPr>
          <w:lang w:eastAsia="en-AU"/>
        </w:rPr>
      </w:pPr>
    </w:p>
    <w:p w14:paraId="4F4C62AF" w14:textId="0448A7ED" w:rsidR="00ED09D1" w:rsidRPr="00917416" w:rsidRDefault="00F34E40" w:rsidP="0092655B">
      <w:pPr>
        <w:pStyle w:val="dotpoint"/>
      </w:pPr>
      <w:r>
        <w:t>b</w:t>
      </w:r>
      <w:r w:rsidR="00ED09D1" w:rsidRPr="009F313D">
        <w:t>ug, beta, system requirements, user acceptance, and data integrity testing</w:t>
      </w:r>
      <w:r w:rsidR="00EF63F7">
        <w:t>;</w:t>
      </w:r>
    </w:p>
    <w:p w14:paraId="4072A4B9" w14:textId="3E87133B" w:rsidR="00ED09D1" w:rsidRPr="00917416" w:rsidRDefault="00F34E40" w:rsidP="0092655B">
      <w:pPr>
        <w:pStyle w:val="dotpoint"/>
      </w:pPr>
      <w:r>
        <w:t>d</w:t>
      </w:r>
      <w:r w:rsidR="00ED09D1" w:rsidRPr="009F313D">
        <w:t>ata mapping and data migration testing</w:t>
      </w:r>
      <w:r w:rsidR="00EF63F7">
        <w:t>;</w:t>
      </w:r>
    </w:p>
    <w:p w14:paraId="09261C2F" w14:textId="2A367160" w:rsidR="00ED09D1" w:rsidRPr="00917416" w:rsidRDefault="00F34E40" w:rsidP="0092655B">
      <w:pPr>
        <w:pStyle w:val="dotpoint"/>
      </w:pPr>
      <w:r>
        <w:t>t</w:t>
      </w:r>
      <w:r w:rsidR="00ED09D1" w:rsidRPr="009F313D">
        <w:t>esting or comparing the efficiency of algorithms that are already known to work</w:t>
      </w:r>
      <w:r w:rsidR="00EF63F7">
        <w:t>;</w:t>
      </w:r>
      <w:r w:rsidR="00697F90">
        <w:t xml:space="preserve"> and</w:t>
      </w:r>
    </w:p>
    <w:p w14:paraId="1613FBC9" w14:textId="23CA8709" w:rsidR="00ED09D1" w:rsidRDefault="00F34E40" w:rsidP="0092655B">
      <w:pPr>
        <w:pStyle w:val="dotpoint"/>
        <w:spacing w:after="0"/>
      </w:pPr>
      <w:r>
        <w:t>t</w:t>
      </w:r>
      <w:r w:rsidR="00ED09D1">
        <w:t>esting security protocols or arrangements.</w:t>
      </w:r>
    </w:p>
    <w:p w14:paraId="635EE5D5" w14:textId="77777777" w:rsidR="00F41C65" w:rsidRDefault="00F41C65" w:rsidP="0092655B">
      <w:pPr>
        <w:rPr>
          <w:lang w:eastAsia="en-AU"/>
        </w:rPr>
      </w:pPr>
    </w:p>
    <w:p w14:paraId="3317F16F" w14:textId="766B9F59" w:rsidR="00ED09D1" w:rsidRDefault="00421265" w:rsidP="0092655B">
      <w:pPr>
        <w:rPr>
          <w:lang w:eastAsia="en-AU"/>
        </w:rPr>
      </w:pPr>
      <w:r w:rsidRPr="00421265">
        <w:rPr>
          <w:lang w:eastAsia="en-AU"/>
        </w:rPr>
        <w:t>Testing itself is unlikely to satisfy the core activity definition. It does not seek to resolve scientific or technological uncertainty but identifies problems that need to be resolved. Testing is included in proposed new schedule 21 for clarity. Testing that is required to assess whether the scientific or technological uncertainty has been resolved may qualify as a supporting activity.</w:t>
      </w:r>
    </w:p>
    <w:p w14:paraId="3A6B077D" w14:textId="77777777" w:rsidR="00421265" w:rsidRDefault="00421265" w:rsidP="0092655B">
      <w:pPr>
        <w:rPr>
          <w:i/>
          <w:lang w:eastAsia="en-AU"/>
        </w:rPr>
      </w:pPr>
    </w:p>
    <w:p w14:paraId="389606FE" w14:textId="77777777" w:rsidR="00ED09D1" w:rsidRDefault="00ED09D1" w:rsidP="0092655B">
      <w:pPr>
        <w:pStyle w:val="Heading4"/>
      </w:pPr>
      <w:r w:rsidRPr="00D43E17">
        <w:t>Converting existing systems to new software platforms (</w:t>
      </w:r>
      <w:r w:rsidR="00532CF7">
        <w:t xml:space="preserve">part A, </w:t>
      </w:r>
      <w:r w:rsidR="004F6150">
        <w:t>clause</w:t>
      </w:r>
      <w:r>
        <w:t xml:space="preserve"> 20</w:t>
      </w:r>
      <w:r w:rsidRPr="00D43E17">
        <w:t>)</w:t>
      </w:r>
    </w:p>
    <w:p w14:paraId="6215AE25" w14:textId="77777777" w:rsidR="0092655B" w:rsidRDefault="0092655B" w:rsidP="0092655B">
      <w:pPr>
        <w:rPr>
          <w:lang w:eastAsia="en-AU"/>
        </w:rPr>
      </w:pPr>
    </w:p>
    <w:p w14:paraId="6E9705AD" w14:textId="20C8CB36" w:rsidR="00ED09D1" w:rsidRPr="00344547" w:rsidRDefault="00ED09D1" w:rsidP="0092655B">
      <w:pPr>
        <w:rPr>
          <w:lang w:eastAsia="en-AU"/>
        </w:rPr>
      </w:pPr>
      <w:r w:rsidRPr="00344547">
        <w:rPr>
          <w:lang w:eastAsia="en-AU"/>
        </w:rPr>
        <w:t xml:space="preserve">Converting existing systems to new software platforms is </w:t>
      </w:r>
      <w:r w:rsidR="00532CF7">
        <w:rPr>
          <w:lang w:eastAsia="en-AU"/>
        </w:rPr>
        <w:t xml:space="preserve">included in proposed new schedule 21 for clarity. This activity is </w:t>
      </w:r>
      <w:r w:rsidRPr="00344547">
        <w:rPr>
          <w:lang w:eastAsia="en-AU"/>
        </w:rPr>
        <w:t>unlikely to satisfy the core activity definition</w:t>
      </w:r>
      <w:r w:rsidR="00D74BB8">
        <w:rPr>
          <w:lang w:eastAsia="en-AU"/>
        </w:rPr>
        <w:t xml:space="preserve"> and </w:t>
      </w:r>
      <w:r w:rsidR="00532CF7">
        <w:rPr>
          <w:lang w:eastAsia="en-AU"/>
        </w:rPr>
        <w:t xml:space="preserve">its </w:t>
      </w:r>
      <w:r w:rsidR="00D74BB8">
        <w:rPr>
          <w:lang w:eastAsia="en-AU"/>
        </w:rPr>
        <w:t>spill</w:t>
      </w:r>
      <w:r w:rsidR="00697F90">
        <w:rPr>
          <w:lang w:eastAsia="en-AU"/>
        </w:rPr>
        <w:t>-</w:t>
      </w:r>
      <w:r w:rsidR="00D74BB8">
        <w:rPr>
          <w:lang w:eastAsia="en-AU"/>
        </w:rPr>
        <w:t>over benefits are likely to be minimal</w:t>
      </w:r>
      <w:r w:rsidR="00532CF7">
        <w:rPr>
          <w:lang w:eastAsia="en-AU"/>
        </w:rPr>
        <w:t>.</w:t>
      </w:r>
    </w:p>
    <w:p w14:paraId="32C1C206" w14:textId="77777777" w:rsidR="00ED09D1" w:rsidRPr="00E264B5" w:rsidRDefault="00ED09D1" w:rsidP="0092655B">
      <w:pPr>
        <w:rPr>
          <w:lang w:eastAsia="en-AU"/>
        </w:rPr>
      </w:pPr>
    </w:p>
    <w:p w14:paraId="4E3D238A" w14:textId="77777777" w:rsidR="00ED09D1" w:rsidRPr="00D43E17" w:rsidRDefault="00ED09D1" w:rsidP="0092655B">
      <w:pPr>
        <w:pStyle w:val="Heading4"/>
      </w:pPr>
      <w:r w:rsidRPr="00D43E17">
        <w:t>Making cosmetic or styl</w:t>
      </w:r>
      <w:r w:rsidRPr="000B36E9">
        <w:rPr>
          <w:rStyle w:val="Heading4Char"/>
          <w:rFonts w:eastAsiaTheme="minorHAnsi"/>
        </w:rPr>
        <w:t>i</w:t>
      </w:r>
      <w:r w:rsidRPr="00D43E17">
        <w:t>stic changes to processes, services, or goods (</w:t>
      </w:r>
      <w:r w:rsidR="00532CF7" w:rsidRPr="00532CF7">
        <w:t xml:space="preserve">part A, </w:t>
      </w:r>
      <w:r w:rsidR="004F6150">
        <w:t>clause</w:t>
      </w:r>
      <w:r w:rsidRPr="00D43E17">
        <w:t xml:space="preserve"> 21)</w:t>
      </w:r>
    </w:p>
    <w:p w14:paraId="4AA41277" w14:textId="77777777" w:rsidR="00F41C65" w:rsidRDefault="00F41C65" w:rsidP="0092655B">
      <w:pPr>
        <w:rPr>
          <w:lang w:eastAsia="en-AU"/>
        </w:rPr>
      </w:pPr>
    </w:p>
    <w:p w14:paraId="1A894A4A" w14:textId="77777777" w:rsidR="00ED09D1" w:rsidRDefault="00D74BB8" w:rsidP="0092655B">
      <w:pPr>
        <w:rPr>
          <w:lang w:eastAsia="en-AU"/>
        </w:rPr>
      </w:pPr>
      <w:r>
        <w:rPr>
          <w:lang w:eastAsia="en-AU"/>
        </w:rPr>
        <w:t xml:space="preserve">This </w:t>
      </w:r>
      <w:r w:rsidR="004F6150">
        <w:rPr>
          <w:lang w:eastAsia="en-AU"/>
        </w:rPr>
        <w:t>clause</w:t>
      </w:r>
      <w:r>
        <w:rPr>
          <w:lang w:eastAsia="en-AU"/>
        </w:rPr>
        <w:t xml:space="preserve"> excludes changes which affect the appearance of something without changing its substance. </w:t>
      </w:r>
      <w:r w:rsidR="00ED09D1">
        <w:rPr>
          <w:lang w:eastAsia="en-AU"/>
        </w:rPr>
        <w:t>Changes that are purely cosmetic or stylistic</w:t>
      </w:r>
      <w:r w:rsidR="00532CF7">
        <w:rPr>
          <w:lang w:eastAsia="en-AU"/>
        </w:rPr>
        <w:t xml:space="preserve">, </w:t>
      </w:r>
      <w:r w:rsidR="00ED09D1">
        <w:rPr>
          <w:lang w:eastAsia="en-AU"/>
        </w:rPr>
        <w:t>such as changes to colour or pattern</w:t>
      </w:r>
      <w:r w:rsidR="00532CF7">
        <w:rPr>
          <w:lang w:eastAsia="en-AU"/>
        </w:rPr>
        <w:t xml:space="preserve">, </w:t>
      </w:r>
      <w:r w:rsidR="00ED09D1">
        <w:rPr>
          <w:lang w:eastAsia="en-AU"/>
        </w:rPr>
        <w:t xml:space="preserve">are excluded from the core activity definition as they </w:t>
      </w:r>
      <w:r>
        <w:rPr>
          <w:lang w:eastAsia="en-AU"/>
        </w:rPr>
        <w:t>do not involve the resolution of scientific or technological uncertainty</w:t>
      </w:r>
      <w:r w:rsidR="00ED09D1">
        <w:rPr>
          <w:lang w:eastAsia="en-AU"/>
        </w:rPr>
        <w:t>.</w:t>
      </w:r>
      <w:r>
        <w:rPr>
          <w:lang w:eastAsia="en-AU"/>
        </w:rPr>
        <w:t xml:space="preserve"> </w:t>
      </w:r>
      <w:r w:rsidR="00ED09D1" w:rsidRPr="001A003F">
        <w:rPr>
          <w:lang w:eastAsia="en-AU"/>
        </w:rPr>
        <w:t>Cosmetic changes that</w:t>
      </w:r>
      <w:r>
        <w:rPr>
          <w:lang w:eastAsia="en-AU"/>
        </w:rPr>
        <w:t xml:space="preserve"> resolve scientific or technological uncertainty </w:t>
      </w:r>
      <w:r w:rsidR="00ED09D1" w:rsidRPr="001A003F">
        <w:rPr>
          <w:lang w:eastAsia="en-AU"/>
        </w:rPr>
        <w:t>may be eligible</w:t>
      </w:r>
      <w:r w:rsidR="00ED09D1">
        <w:rPr>
          <w:lang w:eastAsia="en-AU"/>
        </w:rPr>
        <w:t>,</w:t>
      </w:r>
      <w:r w:rsidR="00ED09D1" w:rsidRPr="001A003F">
        <w:rPr>
          <w:lang w:eastAsia="en-AU"/>
        </w:rPr>
        <w:t xml:space="preserve"> </w:t>
      </w:r>
      <w:r w:rsidR="00ED09D1">
        <w:rPr>
          <w:lang w:eastAsia="en-AU"/>
        </w:rPr>
        <w:t>f</w:t>
      </w:r>
      <w:r w:rsidR="00ED09D1" w:rsidRPr="001A003F">
        <w:rPr>
          <w:lang w:eastAsia="en-AU"/>
        </w:rPr>
        <w:t xml:space="preserve">or example, changing the colour of </w:t>
      </w:r>
      <w:r>
        <w:rPr>
          <w:lang w:eastAsia="en-AU"/>
        </w:rPr>
        <w:t>a piece of fruit</w:t>
      </w:r>
      <w:r w:rsidR="00ED09D1" w:rsidRPr="001A003F">
        <w:rPr>
          <w:lang w:eastAsia="en-AU"/>
        </w:rPr>
        <w:t>.</w:t>
      </w:r>
    </w:p>
    <w:p w14:paraId="1FF3B49A" w14:textId="77777777" w:rsidR="00ED09D1" w:rsidRPr="001A003F" w:rsidRDefault="00ED09D1" w:rsidP="0092655B">
      <w:pPr>
        <w:rPr>
          <w:lang w:eastAsia="en-AU"/>
        </w:rPr>
      </w:pPr>
    </w:p>
    <w:p w14:paraId="636448DE" w14:textId="77777777" w:rsidR="00ED09D1" w:rsidRDefault="00ED09D1" w:rsidP="0092655B">
      <w:pPr>
        <w:pStyle w:val="Heading4"/>
      </w:pPr>
      <w:r w:rsidRPr="00D43E17">
        <w:t>Reproduction of a commercial product or process by a physical examination of an existing system or from plans, blueprints, detailed specifications, or publicly available information</w:t>
      </w:r>
      <w:r>
        <w:t xml:space="preserve"> (</w:t>
      </w:r>
      <w:r w:rsidR="00532CF7">
        <w:t xml:space="preserve">part A, </w:t>
      </w:r>
      <w:r w:rsidR="004F6150">
        <w:t>clause</w:t>
      </w:r>
      <w:r>
        <w:t xml:space="preserve"> 22)</w:t>
      </w:r>
    </w:p>
    <w:p w14:paraId="194C4D15" w14:textId="77777777" w:rsidR="00ED09D1" w:rsidRDefault="00ED09D1" w:rsidP="0092655B">
      <w:pPr>
        <w:rPr>
          <w:lang w:eastAsia="en-AU"/>
        </w:rPr>
      </w:pPr>
    </w:p>
    <w:p w14:paraId="1F35EFB4" w14:textId="77777777" w:rsidR="00ED09D1" w:rsidRDefault="00ED09D1" w:rsidP="0092655B">
      <w:pPr>
        <w:rPr>
          <w:lang w:eastAsia="en-AU"/>
        </w:rPr>
      </w:pPr>
      <w:r>
        <w:rPr>
          <w:lang w:eastAsia="en-AU"/>
        </w:rPr>
        <w:t>Reproducing or reverse engineering an existing product or process is not R&amp;D</w:t>
      </w:r>
      <w:r w:rsidR="00532CF7">
        <w:rPr>
          <w:lang w:eastAsia="en-AU"/>
        </w:rPr>
        <w:t>.</w:t>
      </w:r>
      <w:r>
        <w:rPr>
          <w:lang w:eastAsia="en-AU"/>
        </w:rPr>
        <w:t xml:space="preserve"> </w:t>
      </w:r>
      <w:r w:rsidR="00532CF7">
        <w:rPr>
          <w:lang w:eastAsia="en-AU"/>
        </w:rPr>
        <w:t>I</w:t>
      </w:r>
      <w:r>
        <w:rPr>
          <w:lang w:eastAsia="en-AU"/>
        </w:rPr>
        <w:t>t is not creating any new knowledge, product or process.</w:t>
      </w:r>
    </w:p>
    <w:p w14:paraId="73399465" w14:textId="77777777" w:rsidR="00ED09D1" w:rsidRPr="001A003F" w:rsidRDefault="00ED09D1" w:rsidP="0092655B">
      <w:pPr>
        <w:rPr>
          <w:lang w:eastAsia="en-AU"/>
        </w:rPr>
      </w:pPr>
    </w:p>
    <w:p w14:paraId="02FED5E4" w14:textId="77777777" w:rsidR="00ED09D1" w:rsidRDefault="00ED09D1" w:rsidP="0092655B">
      <w:pPr>
        <w:pStyle w:val="Heading4"/>
      </w:pPr>
      <w:r w:rsidRPr="001A003F">
        <w:t>Carrying out routine operations on data, including presentation of data</w:t>
      </w:r>
      <w:r>
        <w:t xml:space="preserve"> (</w:t>
      </w:r>
      <w:r w:rsidR="00532CF7">
        <w:t xml:space="preserve">part A, </w:t>
      </w:r>
      <w:r w:rsidR="004F6150">
        <w:t>clause</w:t>
      </w:r>
      <w:r w:rsidRPr="001A003F">
        <w:t xml:space="preserve"> 23</w:t>
      </w:r>
      <w:r>
        <w:t>)</w:t>
      </w:r>
    </w:p>
    <w:p w14:paraId="05602E39" w14:textId="77777777" w:rsidR="00ED09D1" w:rsidRDefault="00ED09D1" w:rsidP="0092655B">
      <w:pPr>
        <w:rPr>
          <w:lang w:eastAsia="en-AU"/>
        </w:rPr>
      </w:pPr>
    </w:p>
    <w:p w14:paraId="55DA027F" w14:textId="17BC2E2F" w:rsidR="00ED09D1" w:rsidRPr="00111F08" w:rsidRDefault="00ED09D1" w:rsidP="0092655B">
      <w:pPr>
        <w:rPr>
          <w:lang w:eastAsia="en-AU"/>
        </w:rPr>
      </w:pPr>
      <w:r w:rsidRPr="00111F08">
        <w:rPr>
          <w:lang w:eastAsia="en-AU"/>
        </w:rPr>
        <w:t>Routine operations on data are unlikely to meet the core activity definition as they are able to be readily performed by a competent professional</w:t>
      </w:r>
      <w:r w:rsidR="00532CF7">
        <w:rPr>
          <w:lang w:eastAsia="en-AU"/>
        </w:rPr>
        <w:t>.</w:t>
      </w:r>
      <w:r w:rsidR="00532CF7" w:rsidRPr="00111F08">
        <w:rPr>
          <w:lang w:eastAsia="en-AU"/>
        </w:rPr>
        <w:t xml:space="preserve"> </w:t>
      </w:r>
      <w:r w:rsidR="00532CF7">
        <w:rPr>
          <w:lang w:eastAsia="en-AU"/>
        </w:rPr>
        <w:t xml:space="preserve">This activity </w:t>
      </w:r>
      <w:r w:rsidR="00F34E40">
        <w:rPr>
          <w:lang w:eastAsia="en-AU"/>
        </w:rPr>
        <w:t xml:space="preserve">is </w:t>
      </w:r>
      <w:r w:rsidRPr="00111F08">
        <w:rPr>
          <w:lang w:eastAsia="en-AU"/>
        </w:rPr>
        <w:t xml:space="preserve">included </w:t>
      </w:r>
      <w:r w:rsidR="00532CF7">
        <w:rPr>
          <w:lang w:eastAsia="en-AU"/>
        </w:rPr>
        <w:t>i</w:t>
      </w:r>
      <w:r w:rsidR="00532CF7" w:rsidRPr="00111F08">
        <w:rPr>
          <w:lang w:eastAsia="en-AU"/>
        </w:rPr>
        <w:t>n</w:t>
      </w:r>
      <w:r w:rsidR="00532CF7">
        <w:rPr>
          <w:lang w:eastAsia="en-AU"/>
        </w:rPr>
        <w:t xml:space="preserve"> proposed new</w:t>
      </w:r>
      <w:r w:rsidR="00532CF7" w:rsidRPr="00111F08">
        <w:rPr>
          <w:lang w:eastAsia="en-AU"/>
        </w:rPr>
        <w:t xml:space="preserve"> </w:t>
      </w:r>
      <w:r w:rsidRPr="00111F08">
        <w:rPr>
          <w:lang w:eastAsia="en-AU"/>
        </w:rPr>
        <w:t>schedule 21 for clarity</w:t>
      </w:r>
      <w:r w:rsidR="00485279">
        <w:rPr>
          <w:lang w:eastAsia="en-AU"/>
        </w:rPr>
        <w:t xml:space="preserve">. </w:t>
      </w:r>
      <w:r w:rsidRPr="00111F08">
        <w:rPr>
          <w:lang w:eastAsia="en-AU"/>
        </w:rPr>
        <w:t>The presentation of data relates to human behaviour which is a social science and therefore excluded.</w:t>
      </w:r>
    </w:p>
    <w:p w14:paraId="279E9F0A" w14:textId="77777777" w:rsidR="00ED09D1" w:rsidRDefault="00ED09D1" w:rsidP="0092655B">
      <w:pPr>
        <w:rPr>
          <w:lang w:eastAsia="en-AU"/>
        </w:rPr>
      </w:pPr>
    </w:p>
    <w:p w14:paraId="0B48162E" w14:textId="77777777" w:rsidR="00ED09D1" w:rsidRPr="00111F08" w:rsidRDefault="00ED09D1" w:rsidP="0092655B">
      <w:pPr>
        <w:pStyle w:val="Heading4"/>
      </w:pPr>
      <w:r w:rsidRPr="00111F08">
        <w:t>Activities that have not been approved by the Commissioner (</w:t>
      </w:r>
      <w:r w:rsidR="00532CF7">
        <w:t xml:space="preserve">part A, </w:t>
      </w:r>
      <w:r w:rsidR="004F6150">
        <w:t>clause</w:t>
      </w:r>
      <w:r w:rsidRPr="00111F08">
        <w:t xml:space="preserve"> 24)</w:t>
      </w:r>
    </w:p>
    <w:p w14:paraId="6787AA7D" w14:textId="77777777" w:rsidR="00ED09D1" w:rsidRPr="001A003F" w:rsidRDefault="00ED09D1" w:rsidP="0092655B">
      <w:pPr>
        <w:rPr>
          <w:lang w:eastAsia="en-AU"/>
        </w:rPr>
      </w:pPr>
    </w:p>
    <w:p w14:paraId="5AA47E10" w14:textId="21338D8D" w:rsidR="00532CF7" w:rsidRDefault="00D74BB8" w:rsidP="0092655B">
      <w:pPr>
        <w:rPr>
          <w:lang w:eastAsia="en-AU"/>
        </w:rPr>
      </w:pPr>
      <w:r>
        <w:rPr>
          <w:lang w:eastAsia="en-AU"/>
        </w:rPr>
        <w:t xml:space="preserve">From </w:t>
      </w:r>
      <w:r w:rsidR="00E010FC">
        <w:rPr>
          <w:lang w:eastAsia="en-AU"/>
        </w:rPr>
        <w:t>2020–21</w:t>
      </w:r>
      <w:r>
        <w:rPr>
          <w:lang w:eastAsia="en-AU"/>
        </w:rPr>
        <w:t xml:space="preserve">, </w:t>
      </w:r>
      <w:r w:rsidR="00532CF7">
        <w:rPr>
          <w:lang w:eastAsia="en-AU"/>
        </w:rPr>
        <w:t>the general approval and significant performer in-year approval regimes will come into force</w:t>
      </w:r>
      <w:r>
        <w:rPr>
          <w:lang w:eastAsia="en-AU"/>
        </w:rPr>
        <w:t xml:space="preserve">. </w:t>
      </w:r>
      <w:r w:rsidR="00532CF7">
        <w:rPr>
          <w:lang w:eastAsia="en-AU"/>
        </w:rPr>
        <w:t xml:space="preserve">The effect of these regimes is that a </w:t>
      </w:r>
      <w:r w:rsidR="00ED09D1">
        <w:rPr>
          <w:lang w:eastAsia="en-AU"/>
        </w:rPr>
        <w:t xml:space="preserve">person’s activities will not be eligible </w:t>
      </w:r>
      <w:r w:rsidR="00532CF7">
        <w:rPr>
          <w:lang w:eastAsia="en-AU"/>
        </w:rPr>
        <w:t xml:space="preserve">as </w:t>
      </w:r>
      <w:r w:rsidR="00ED09D1">
        <w:rPr>
          <w:lang w:eastAsia="en-AU"/>
        </w:rPr>
        <w:t>core activities unless</w:t>
      </w:r>
      <w:r w:rsidR="00532CF7">
        <w:rPr>
          <w:lang w:eastAsia="en-AU"/>
        </w:rPr>
        <w:t>:</w:t>
      </w:r>
    </w:p>
    <w:p w14:paraId="13654343" w14:textId="77777777" w:rsidR="00F41C65" w:rsidRDefault="00F41C65" w:rsidP="0092655B">
      <w:pPr>
        <w:rPr>
          <w:lang w:eastAsia="en-AU"/>
        </w:rPr>
      </w:pPr>
    </w:p>
    <w:p w14:paraId="738500EE" w14:textId="5C6A04C4" w:rsidR="00532CF7" w:rsidRDefault="00F34E40" w:rsidP="0092655B">
      <w:pPr>
        <w:pStyle w:val="dotpoint"/>
      </w:pPr>
      <w:r>
        <w:t>t</w:t>
      </w:r>
      <w:r w:rsidR="00532CF7">
        <w:t>he Commissioner has approved the person’s core activities under the general approval process (see proposed new section 68CB); or</w:t>
      </w:r>
    </w:p>
    <w:p w14:paraId="5081917D" w14:textId="12F19849" w:rsidR="00370490" w:rsidRPr="008E6674" w:rsidRDefault="00F34E40" w:rsidP="0092655B">
      <w:pPr>
        <w:pStyle w:val="dotpoint"/>
        <w:spacing w:after="0"/>
      </w:pPr>
      <w:r>
        <w:t>t</w:t>
      </w:r>
      <w:r w:rsidR="00532CF7">
        <w:t>he person has opted out of the general approval process and into the significant performer process, and complies with the requirement</w:t>
      </w:r>
      <w:r w:rsidR="008E01BC">
        <w:t>s in proposed new section 68CC.</w:t>
      </w:r>
    </w:p>
    <w:p w14:paraId="2ED227A0" w14:textId="77777777" w:rsidR="00F41C65" w:rsidRDefault="00F41C65" w:rsidP="0092655B">
      <w:pPr>
        <w:rPr>
          <w:lang w:eastAsia="en-AU"/>
        </w:rPr>
      </w:pPr>
    </w:p>
    <w:p w14:paraId="15B738F6" w14:textId="7D9B220A" w:rsidR="00ED09D1" w:rsidRPr="008E6674" w:rsidRDefault="00EB7314" w:rsidP="0092655B">
      <w:pPr>
        <w:rPr>
          <w:lang w:eastAsia="en-AU"/>
        </w:rPr>
      </w:pPr>
      <w:r>
        <w:rPr>
          <w:lang w:eastAsia="en-AU"/>
        </w:rPr>
        <w:t xml:space="preserve">See the section on </w:t>
      </w:r>
      <w:r w:rsidR="00EE5FE9" w:rsidRPr="00EE5FE9">
        <w:rPr>
          <w:rStyle w:val="Emphasis"/>
          <w:lang w:eastAsia="en-AU"/>
        </w:rPr>
        <w:t>Approval: general approval process (year two)</w:t>
      </w:r>
      <w:r w:rsidR="00EE5FE9" w:rsidRPr="00EE5FE9">
        <w:rPr>
          <w:lang w:eastAsia="en-AU"/>
        </w:rPr>
        <w:t xml:space="preserve"> </w:t>
      </w:r>
      <w:r w:rsidR="00EE5FE9">
        <w:rPr>
          <w:lang w:eastAsia="en-AU"/>
        </w:rPr>
        <w:t>(</w:t>
      </w:r>
      <w:r w:rsidR="00ED09D1" w:rsidRPr="008E7A3B">
        <w:rPr>
          <w:lang w:eastAsia="en-AU"/>
        </w:rPr>
        <w:t>page</w:t>
      </w:r>
      <w:r w:rsidR="008E7A3B" w:rsidRPr="008E7A3B">
        <w:rPr>
          <w:lang w:eastAsia="en-AU"/>
        </w:rPr>
        <w:t xml:space="preserve"> </w:t>
      </w:r>
      <w:r w:rsidR="00EE5FE9">
        <w:rPr>
          <w:lang w:eastAsia="en-AU"/>
        </w:rPr>
        <w:t>95) for more information</w:t>
      </w:r>
      <w:r w:rsidR="00ED09D1" w:rsidRPr="008E6674">
        <w:rPr>
          <w:lang w:eastAsia="en-AU"/>
        </w:rPr>
        <w:t>.</w:t>
      </w:r>
    </w:p>
    <w:p w14:paraId="704CADB4" w14:textId="77777777" w:rsidR="00ED09D1" w:rsidRDefault="00ED09D1" w:rsidP="0092655B">
      <w:pPr>
        <w:rPr>
          <w:lang w:eastAsia="en-AU"/>
        </w:rPr>
      </w:pPr>
    </w:p>
    <w:bookmarkEnd w:id="5"/>
    <w:p w14:paraId="48B0D331" w14:textId="77777777" w:rsidR="00D4525B" w:rsidRDefault="00D4525B">
      <w:pPr>
        <w:rPr>
          <w:rFonts w:eastAsia="Times New Roman" w:cs="Times New Roman"/>
          <w:b/>
          <w:caps/>
          <w:sz w:val="26"/>
          <w:szCs w:val="20"/>
          <w:lang w:eastAsia="en-AU"/>
        </w:rPr>
      </w:pPr>
      <w:r>
        <w:br w:type="page"/>
      </w:r>
    </w:p>
    <w:p w14:paraId="42A2E1EE" w14:textId="77777777" w:rsidR="00ED09D1" w:rsidRPr="00B91CC0" w:rsidRDefault="00ED09D1" w:rsidP="00A5410B">
      <w:pPr>
        <w:pStyle w:val="Heading1"/>
      </w:pPr>
      <w:bookmarkStart w:id="22" w:name="_Toc528157359"/>
      <w:bookmarkStart w:id="23" w:name="_Toc528195576"/>
      <w:r w:rsidRPr="00B91CC0">
        <w:t>Internal software development</w:t>
      </w:r>
      <w:bookmarkEnd w:id="22"/>
      <w:bookmarkEnd w:id="23"/>
    </w:p>
    <w:p w14:paraId="7DC24D36" w14:textId="1416CD1A" w:rsidR="00ED09D1" w:rsidRPr="00A5410B" w:rsidRDefault="00681778" w:rsidP="00A5410B">
      <w:pPr>
        <w:pStyle w:val="Heading3"/>
      </w:pPr>
      <w:r w:rsidRPr="00A5410B">
        <w:t>Clause</w:t>
      </w:r>
      <w:r w:rsidR="004F133F">
        <w:t>s</w:t>
      </w:r>
      <w:r w:rsidRPr="00A5410B">
        <w:t xml:space="preserve"> 21(10</w:t>
      </w:r>
      <w:r w:rsidR="004F133F">
        <w:t xml:space="preserve">) and </w:t>
      </w:r>
      <w:r w:rsidR="00ED09D1" w:rsidRPr="00A5410B">
        <w:t>22 (proposed new schedules 21 and 21B)</w:t>
      </w:r>
    </w:p>
    <w:p w14:paraId="10F35DD1" w14:textId="77777777" w:rsidR="00715D07" w:rsidRDefault="00715D07" w:rsidP="00A5410B">
      <w:pPr>
        <w:rPr>
          <w:lang w:val="en-GB" w:eastAsia="en-AU"/>
        </w:rPr>
      </w:pPr>
    </w:p>
    <w:p w14:paraId="6362CFAC" w14:textId="77777777" w:rsidR="00715D07" w:rsidRPr="00715D07" w:rsidRDefault="00715D07" w:rsidP="00A5410B">
      <w:pPr>
        <w:rPr>
          <w:lang w:val="en-GB" w:eastAsia="en-AU"/>
        </w:rPr>
      </w:pPr>
    </w:p>
    <w:p w14:paraId="22190415" w14:textId="7A3EB6DA" w:rsidR="00ED09D1" w:rsidRPr="00B91CC0" w:rsidRDefault="00ED09D1" w:rsidP="00A5410B">
      <w:pPr>
        <w:pStyle w:val="Heading2"/>
      </w:pPr>
      <w:r w:rsidRPr="00B91CC0">
        <w:t>Summary of proposed amendment</w:t>
      </w:r>
    </w:p>
    <w:p w14:paraId="60C5F4E4" w14:textId="77777777" w:rsidR="00715D07" w:rsidRDefault="00715D07" w:rsidP="00A5410B">
      <w:pPr>
        <w:rPr>
          <w:lang w:eastAsia="en-AU"/>
        </w:rPr>
      </w:pPr>
    </w:p>
    <w:p w14:paraId="34BE7006" w14:textId="1AC3CD39" w:rsidR="00ED09D1" w:rsidRDefault="00370490" w:rsidP="00A5410B">
      <w:pPr>
        <w:rPr>
          <w:lang w:eastAsia="en-AU"/>
        </w:rPr>
      </w:pPr>
      <w:r>
        <w:rPr>
          <w:lang w:eastAsia="en-AU"/>
        </w:rPr>
        <w:t xml:space="preserve">The Bill </w:t>
      </w:r>
      <w:r w:rsidR="00ED09D1" w:rsidRPr="00B91CC0">
        <w:rPr>
          <w:lang w:eastAsia="en-AU"/>
        </w:rPr>
        <w:t>propose</w:t>
      </w:r>
      <w:r>
        <w:rPr>
          <w:lang w:eastAsia="en-AU"/>
        </w:rPr>
        <w:t>s</w:t>
      </w:r>
      <w:r w:rsidR="00ED09D1" w:rsidRPr="00B91CC0">
        <w:rPr>
          <w:lang w:eastAsia="en-AU"/>
        </w:rPr>
        <w:t xml:space="preserve"> that </w:t>
      </w:r>
      <w:r>
        <w:rPr>
          <w:lang w:eastAsia="en-AU"/>
        </w:rPr>
        <w:t xml:space="preserve">expenditure on </w:t>
      </w:r>
      <w:r w:rsidR="00ED09D1" w:rsidRPr="00B91CC0">
        <w:rPr>
          <w:lang w:eastAsia="en-AU"/>
        </w:rPr>
        <w:t>internal software development is subject to a $3</w:t>
      </w:r>
      <w:r w:rsidR="00F34E40">
        <w:rPr>
          <w:lang w:eastAsia="en-AU"/>
        </w:rPr>
        <w:t> </w:t>
      </w:r>
      <w:r w:rsidR="00ED09D1" w:rsidRPr="00B91CC0">
        <w:rPr>
          <w:lang w:eastAsia="en-AU"/>
        </w:rPr>
        <w:t>million cap</w:t>
      </w:r>
      <w:r>
        <w:rPr>
          <w:lang w:eastAsia="en-AU"/>
        </w:rPr>
        <w:t xml:space="preserve">. It also proposes that such expenditure is </w:t>
      </w:r>
      <w:r w:rsidR="00ED09D1" w:rsidRPr="00B91CC0">
        <w:rPr>
          <w:lang w:eastAsia="en-AU"/>
        </w:rPr>
        <w:t xml:space="preserve">excluded altogether where it relates to </w:t>
      </w:r>
      <w:r>
        <w:rPr>
          <w:lang w:eastAsia="en-AU"/>
        </w:rPr>
        <w:t xml:space="preserve">the </w:t>
      </w:r>
      <w:r w:rsidR="00ED09D1" w:rsidRPr="00B91CC0">
        <w:rPr>
          <w:lang w:eastAsia="en-AU"/>
        </w:rPr>
        <w:t>ordinary internal administrative functions of a business.</w:t>
      </w:r>
    </w:p>
    <w:p w14:paraId="2550AEE3" w14:textId="77777777" w:rsidR="00715D07" w:rsidRDefault="00715D07" w:rsidP="00A5410B">
      <w:pPr>
        <w:rPr>
          <w:lang w:eastAsia="en-AU"/>
        </w:rPr>
      </w:pPr>
    </w:p>
    <w:p w14:paraId="23520F10" w14:textId="77777777" w:rsidR="00715D07" w:rsidRPr="00B91CC0" w:rsidRDefault="00715D07" w:rsidP="00A5410B">
      <w:pPr>
        <w:rPr>
          <w:lang w:eastAsia="en-AU"/>
        </w:rPr>
      </w:pPr>
    </w:p>
    <w:p w14:paraId="08DC5A38" w14:textId="77777777" w:rsidR="00ED09D1" w:rsidRPr="00B91CC0" w:rsidRDefault="00ED09D1" w:rsidP="00A5410B">
      <w:pPr>
        <w:pStyle w:val="Heading2"/>
      </w:pPr>
      <w:r w:rsidRPr="00B91CC0">
        <w:t>Application date</w:t>
      </w:r>
    </w:p>
    <w:p w14:paraId="1E188F10" w14:textId="77777777" w:rsidR="00715D07" w:rsidRDefault="00715D07" w:rsidP="00ED09D1">
      <w:pPr>
        <w:rPr>
          <w:rFonts w:eastAsia="Times New Roman" w:cs="Times New Roman"/>
          <w:szCs w:val="20"/>
          <w:lang w:eastAsia="en-AU"/>
        </w:rPr>
      </w:pPr>
    </w:p>
    <w:p w14:paraId="087DC720" w14:textId="4704ECA8" w:rsidR="00ED09D1" w:rsidRDefault="00ED09D1" w:rsidP="00ED09D1">
      <w:pPr>
        <w:rPr>
          <w:rFonts w:eastAsia="Times New Roman" w:cs="Times New Roman"/>
          <w:szCs w:val="20"/>
          <w:lang w:eastAsia="en-AU"/>
        </w:rPr>
      </w:pPr>
      <w:r w:rsidRPr="00B91CC0">
        <w:rPr>
          <w:rFonts w:eastAsia="Times New Roman" w:cs="Times New Roman"/>
          <w:szCs w:val="20"/>
          <w:lang w:eastAsia="en-AU"/>
        </w:rPr>
        <w:t xml:space="preserve">From the </w:t>
      </w:r>
      <w:r w:rsidR="00E010FC">
        <w:rPr>
          <w:rFonts w:eastAsia="Times New Roman" w:cs="Times New Roman"/>
          <w:szCs w:val="20"/>
          <w:lang w:eastAsia="en-AU"/>
        </w:rPr>
        <w:t>2019–20</w:t>
      </w:r>
      <w:r w:rsidRPr="00B91CC0">
        <w:rPr>
          <w:rFonts w:eastAsia="Times New Roman" w:cs="Times New Roman"/>
          <w:szCs w:val="20"/>
          <w:lang w:eastAsia="en-AU"/>
        </w:rPr>
        <w:t xml:space="preserve"> income year.</w:t>
      </w:r>
    </w:p>
    <w:p w14:paraId="2F351FC5" w14:textId="77777777" w:rsidR="00715D07" w:rsidRDefault="00715D07" w:rsidP="00ED09D1">
      <w:pPr>
        <w:rPr>
          <w:rFonts w:eastAsia="Times New Roman" w:cs="Times New Roman"/>
          <w:szCs w:val="20"/>
          <w:lang w:eastAsia="en-AU"/>
        </w:rPr>
      </w:pPr>
    </w:p>
    <w:p w14:paraId="2410A2EF" w14:textId="77777777" w:rsidR="00715D07" w:rsidRPr="00B91CC0" w:rsidRDefault="00715D07" w:rsidP="00ED09D1">
      <w:pPr>
        <w:rPr>
          <w:rFonts w:eastAsia="Times New Roman" w:cs="Times New Roman"/>
          <w:szCs w:val="20"/>
          <w:lang w:eastAsia="en-AU"/>
        </w:rPr>
      </w:pPr>
    </w:p>
    <w:p w14:paraId="5C4CD39D" w14:textId="77777777" w:rsidR="00ED09D1" w:rsidRPr="00B91CC0" w:rsidRDefault="00ED09D1" w:rsidP="00A5410B">
      <w:pPr>
        <w:pStyle w:val="Heading2"/>
      </w:pPr>
      <w:r w:rsidRPr="00B91CC0">
        <w:t>Key features</w:t>
      </w:r>
    </w:p>
    <w:p w14:paraId="2D47608D" w14:textId="77777777" w:rsidR="00715D07" w:rsidRDefault="00715D07" w:rsidP="00A5410B">
      <w:pPr>
        <w:rPr>
          <w:lang w:eastAsia="en-AU"/>
        </w:rPr>
      </w:pPr>
    </w:p>
    <w:p w14:paraId="0A5F28B2" w14:textId="77777777" w:rsidR="00ED09D1" w:rsidRDefault="00ED09D1" w:rsidP="00A5410B">
      <w:pPr>
        <w:rPr>
          <w:lang w:eastAsia="en-AU"/>
        </w:rPr>
      </w:pPr>
      <w:r w:rsidRPr="00B91CC0">
        <w:rPr>
          <w:lang w:eastAsia="en-AU"/>
        </w:rPr>
        <w:t>It is proposed that:</w:t>
      </w:r>
    </w:p>
    <w:p w14:paraId="75DE4DD8" w14:textId="77777777" w:rsidR="00A5410B" w:rsidRPr="00B91CC0" w:rsidRDefault="00A5410B" w:rsidP="00A5410B">
      <w:pPr>
        <w:rPr>
          <w:lang w:eastAsia="en-AU"/>
        </w:rPr>
      </w:pPr>
    </w:p>
    <w:p w14:paraId="7FA8F566" w14:textId="79BA41E1" w:rsidR="00ED09D1" w:rsidRPr="000B36E9" w:rsidRDefault="00826A2C" w:rsidP="00A5410B">
      <w:pPr>
        <w:pStyle w:val="dotpoint"/>
      </w:pPr>
      <w:r>
        <w:t>E</w:t>
      </w:r>
      <w:r w:rsidRPr="00B91CC0">
        <w:t xml:space="preserve">xpenditure </w:t>
      </w:r>
      <w:r w:rsidR="00ED09D1" w:rsidRPr="00B91CC0">
        <w:t>incurred on internal software development is not eligible for the R&amp;D tax credit</w:t>
      </w:r>
      <w:r w:rsidR="00370490">
        <w:t xml:space="preserve"> regime</w:t>
      </w:r>
      <w:r w:rsidR="00ED09D1" w:rsidRPr="00B91CC0">
        <w:t xml:space="preserve"> where it is undertaken for the purpose of using the resultant software to perform common internal business functions (suc</w:t>
      </w:r>
      <w:r w:rsidR="000B36E9">
        <w:t>h as payroll, HR or accounting</w:t>
      </w:r>
      <w:r>
        <w:t>)</w:t>
      </w:r>
      <w:r w:rsidR="00FD61CE">
        <w:t>.</w:t>
      </w:r>
    </w:p>
    <w:p w14:paraId="0FDB47DD" w14:textId="77777777" w:rsidR="00ED09D1" w:rsidRPr="00B91CC0" w:rsidRDefault="00826A2C" w:rsidP="00A5410B">
      <w:pPr>
        <w:pStyle w:val="dotpoint"/>
        <w:spacing w:after="0"/>
      </w:pPr>
      <w:r>
        <w:t>O</w:t>
      </w:r>
      <w:r w:rsidRPr="00B91CC0">
        <w:t xml:space="preserve">ther </w:t>
      </w:r>
      <w:r w:rsidR="00ED09D1" w:rsidRPr="00B91CC0">
        <w:t>internal software development expenditure (</w:t>
      </w:r>
      <w:r w:rsidR="00370490">
        <w:t xml:space="preserve">that is, </w:t>
      </w:r>
      <w:r w:rsidR="00ED09D1" w:rsidRPr="00B91CC0">
        <w:t>software developed for in-house use) is only eligible up to a maximum of $3 million.</w:t>
      </w:r>
    </w:p>
    <w:p w14:paraId="6A609BDC" w14:textId="77777777" w:rsidR="00ED09D1" w:rsidRDefault="00ED09D1" w:rsidP="00A5410B">
      <w:pPr>
        <w:rPr>
          <w:lang w:eastAsia="en-AU"/>
        </w:rPr>
      </w:pPr>
    </w:p>
    <w:p w14:paraId="264FBDC4" w14:textId="77777777" w:rsidR="00715D07" w:rsidRPr="00B91CC0" w:rsidRDefault="00715D07" w:rsidP="00A5410B">
      <w:pPr>
        <w:rPr>
          <w:lang w:eastAsia="en-AU"/>
        </w:rPr>
      </w:pPr>
    </w:p>
    <w:p w14:paraId="17483811" w14:textId="77777777" w:rsidR="00ED09D1" w:rsidRPr="00B91CC0" w:rsidRDefault="00ED09D1" w:rsidP="00A5410B">
      <w:pPr>
        <w:pStyle w:val="Heading2"/>
      </w:pPr>
      <w:r w:rsidRPr="00B91CC0">
        <w:t>Background</w:t>
      </w:r>
    </w:p>
    <w:p w14:paraId="489BA24B" w14:textId="77777777" w:rsidR="00ED09D1" w:rsidRPr="00B91CC0" w:rsidRDefault="00ED09D1" w:rsidP="00A5410B">
      <w:pPr>
        <w:rPr>
          <w:lang w:eastAsia="en-AU"/>
        </w:rPr>
      </w:pPr>
    </w:p>
    <w:p w14:paraId="15ADE0FA" w14:textId="063A0950" w:rsidR="00ED09D1" w:rsidRDefault="00ED09D1" w:rsidP="00A5410B">
      <w:pPr>
        <w:rPr>
          <w:lang w:eastAsia="en-AU"/>
        </w:rPr>
      </w:pPr>
      <w:r w:rsidRPr="00B91CC0">
        <w:rPr>
          <w:lang w:eastAsia="en-AU"/>
        </w:rPr>
        <w:t>The rationale for excluding or limiting claims for internal software development is</w:t>
      </w:r>
      <w:r w:rsidR="00370490">
        <w:rPr>
          <w:lang w:eastAsia="en-AU"/>
        </w:rPr>
        <w:t xml:space="preserve"> the limited spill-over benefits and fiscal risk associated with internal s</w:t>
      </w:r>
      <w:r w:rsidR="00D64DA6">
        <w:rPr>
          <w:lang w:eastAsia="en-AU"/>
        </w:rPr>
        <w:t>oftware development activities.</w:t>
      </w:r>
    </w:p>
    <w:p w14:paraId="5C2FD90D" w14:textId="77777777" w:rsidR="00715D07" w:rsidRPr="00B91CC0" w:rsidRDefault="00715D07" w:rsidP="00A5410B">
      <w:pPr>
        <w:rPr>
          <w:lang w:eastAsia="en-AU"/>
        </w:rPr>
      </w:pPr>
    </w:p>
    <w:p w14:paraId="4A9CA678" w14:textId="7D37718F" w:rsidR="00370490" w:rsidRPr="008E6674" w:rsidRDefault="00370490" w:rsidP="00A5410B">
      <w:pPr>
        <w:pStyle w:val="Heading3"/>
      </w:pPr>
      <w:r>
        <w:t>Limited spill-over benefits</w:t>
      </w:r>
    </w:p>
    <w:p w14:paraId="76AB26A7" w14:textId="77777777" w:rsidR="00370490" w:rsidRPr="008E6674" w:rsidRDefault="00370490" w:rsidP="00A5410B"/>
    <w:p w14:paraId="1EF6C570" w14:textId="797E4C3F" w:rsidR="00ED09D1" w:rsidRDefault="00370490" w:rsidP="00A5410B">
      <w:pPr>
        <w:rPr>
          <w:rFonts w:cs="Times New Roman"/>
          <w:lang w:eastAsia="en-AU"/>
        </w:rPr>
      </w:pPr>
      <w:r w:rsidRPr="008E6674">
        <w:rPr>
          <w:rFonts w:cs="Times New Roman"/>
          <w:lang w:eastAsia="en-AU"/>
        </w:rPr>
        <w:t>T</w:t>
      </w:r>
      <w:r w:rsidR="00ED09D1" w:rsidRPr="008E6674">
        <w:rPr>
          <w:rFonts w:cs="Times New Roman"/>
          <w:lang w:eastAsia="en-AU"/>
        </w:rPr>
        <w:t xml:space="preserve">here is likely to be </w:t>
      </w:r>
      <w:r w:rsidR="00D4525B" w:rsidRPr="008E6674">
        <w:rPr>
          <w:rFonts w:cs="Times New Roman"/>
          <w:lang w:eastAsia="en-AU"/>
        </w:rPr>
        <w:t>limited</w:t>
      </w:r>
      <w:r w:rsidR="00ED09D1" w:rsidRPr="008E6674">
        <w:rPr>
          <w:rFonts w:cs="Times New Roman"/>
          <w:lang w:eastAsia="en-AU"/>
        </w:rPr>
        <w:t xml:space="preserve"> public benefit from internal software development related to </w:t>
      </w:r>
      <w:r w:rsidR="00FD61CE">
        <w:rPr>
          <w:rFonts w:cs="Times New Roman"/>
          <w:lang w:eastAsia="en-AU"/>
        </w:rPr>
        <w:t xml:space="preserve">the </w:t>
      </w:r>
      <w:r w:rsidR="00ED09D1" w:rsidRPr="008E6674">
        <w:rPr>
          <w:rFonts w:cs="Times New Roman"/>
          <w:lang w:eastAsia="en-AU"/>
        </w:rPr>
        <w:t xml:space="preserve">ordinary administrative functions of a business, such as a firm upgrading </w:t>
      </w:r>
      <w:r w:rsidR="00D4525B" w:rsidRPr="008E6674">
        <w:rPr>
          <w:rFonts w:cs="Times New Roman"/>
          <w:lang w:eastAsia="en-AU"/>
        </w:rPr>
        <w:t>its</w:t>
      </w:r>
      <w:r w:rsidR="00ED09D1" w:rsidRPr="008E6674">
        <w:rPr>
          <w:rFonts w:cs="Times New Roman"/>
          <w:lang w:eastAsia="en-AU"/>
        </w:rPr>
        <w:t xml:space="preserve"> internal HR system</w:t>
      </w:r>
      <w:r w:rsidR="00485279">
        <w:rPr>
          <w:rFonts w:cs="Times New Roman"/>
          <w:lang w:eastAsia="en-AU"/>
        </w:rPr>
        <w:t xml:space="preserve">. </w:t>
      </w:r>
      <w:r w:rsidR="00ED09D1" w:rsidRPr="008E6674">
        <w:rPr>
          <w:rFonts w:cs="Times New Roman"/>
          <w:lang w:eastAsia="en-AU"/>
        </w:rPr>
        <w:t xml:space="preserve">This kind of upgrade is specific to the firm and is unlikely to </w:t>
      </w:r>
      <w:r w:rsidR="00D4525B" w:rsidRPr="008E6674">
        <w:rPr>
          <w:rFonts w:cs="Times New Roman"/>
          <w:lang w:eastAsia="en-AU"/>
        </w:rPr>
        <w:t xml:space="preserve">reflect the circumstances </w:t>
      </w:r>
      <w:r w:rsidR="00ED09D1" w:rsidRPr="008E6674">
        <w:rPr>
          <w:rFonts w:cs="Times New Roman"/>
          <w:lang w:eastAsia="en-AU"/>
        </w:rPr>
        <w:t xml:space="preserve">that the policy </w:t>
      </w:r>
      <w:r w:rsidR="00D4525B" w:rsidRPr="008E6674">
        <w:rPr>
          <w:rFonts w:cs="Times New Roman"/>
          <w:lang w:eastAsia="en-AU"/>
        </w:rPr>
        <w:t>recognises</w:t>
      </w:r>
      <w:r w:rsidR="00485279">
        <w:rPr>
          <w:rFonts w:cs="Times New Roman"/>
          <w:lang w:eastAsia="en-AU"/>
        </w:rPr>
        <w:t xml:space="preserve">. </w:t>
      </w:r>
      <w:r w:rsidR="00ED09D1" w:rsidRPr="008E6674">
        <w:rPr>
          <w:rFonts w:cs="Times New Roman"/>
          <w:lang w:eastAsia="en-AU"/>
        </w:rPr>
        <w:t>It is recognised</w:t>
      </w:r>
      <w:r>
        <w:rPr>
          <w:rFonts w:cs="Times New Roman"/>
          <w:lang w:eastAsia="en-AU"/>
        </w:rPr>
        <w:t xml:space="preserve"> however</w:t>
      </w:r>
      <w:r w:rsidR="00ED09D1" w:rsidRPr="008E6674">
        <w:rPr>
          <w:rFonts w:cs="Times New Roman"/>
          <w:lang w:eastAsia="en-AU"/>
        </w:rPr>
        <w:t xml:space="preserve"> that there may be some spill-over benefits </w:t>
      </w:r>
      <w:r>
        <w:rPr>
          <w:rFonts w:cs="Times New Roman"/>
          <w:lang w:eastAsia="en-AU"/>
        </w:rPr>
        <w:t>from</w:t>
      </w:r>
      <w:r w:rsidRPr="008E6674">
        <w:rPr>
          <w:rFonts w:cs="Times New Roman"/>
          <w:lang w:eastAsia="en-AU"/>
        </w:rPr>
        <w:t xml:space="preserve"> </w:t>
      </w:r>
      <w:r w:rsidR="00ED09D1" w:rsidRPr="008E6674">
        <w:rPr>
          <w:rFonts w:cs="Times New Roman"/>
          <w:lang w:eastAsia="en-AU"/>
        </w:rPr>
        <w:t xml:space="preserve">internal software development </w:t>
      </w:r>
      <w:r>
        <w:rPr>
          <w:rFonts w:cs="Times New Roman"/>
          <w:lang w:eastAsia="en-AU"/>
        </w:rPr>
        <w:t>for</w:t>
      </w:r>
      <w:r w:rsidRPr="008E6674">
        <w:rPr>
          <w:rFonts w:cs="Times New Roman"/>
          <w:lang w:eastAsia="en-AU"/>
        </w:rPr>
        <w:t xml:space="preserve"> </w:t>
      </w:r>
      <w:r w:rsidR="00ED09D1" w:rsidRPr="008E6674">
        <w:rPr>
          <w:rFonts w:cs="Times New Roman"/>
          <w:lang w:eastAsia="en-AU"/>
        </w:rPr>
        <w:t>non-standard business administration</w:t>
      </w:r>
      <w:r>
        <w:rPr>
          <w:rFonts w:cs="Times New Roman"/>
          <w:lang w:eastAsia="en-AU"/>
        </w:rPr>
        <w:t>.</w:t>
      </w:r>
      <w:r w:rsidRPr="008E6674">
        <w:rPr>
          <w:rFonts w:cs="Times New Roman"/>
          <w:lang w:eastAsia="en-AU"/>
        </w:rPr>
        <w:t xml:space="preserve"> </w:t>
      </w:r>
      <w:r>
        <w:rPr>
          <w:rFonts w:cs="Times New Roman"/>
          <w:lang w:eastAsia="en-AU"/>
        </w:rPr>
        <w:t xml:space="preserve">As a result, </w:t>
      </w:r>
      <w:r w:rsidR="00600D9B" w:rsidRPr="008E6674">
        <w:rPr>
          <w:rFonts w:cs="Times New Roman"/>
          <w:lang w:eastAsia="en-AU"/>
        </w:rPr>
        <w:t>it is an eligible activity</w:t>
      </w:r>
      <w:r>
        <w:rPr>
          <w:rFonts w:cs="Times New Roman"/>
          <w:lang w:eastAsia="en-AU"/>
        </w:rPr>
        <w:t>,</w:t>
      </w:r>
      <w:r w:rsidR="00600D9B" w:rsidRPr="008E6674">
        <w:rPr>
          <w:rFonts w:cs="Times New Roman"/>
          <w:lang w:eastAsia="en-AU"/>
        </w:rPr>
        <w:t xml:space="preserve"> although </w:t>
      </w:r>
      <w:r>
        <w:rPr>
          <w:rFonts w:cs="Times New Roman"/>
          <w:lang w:eastAsia="en-AU"/>
        </w:rPr>
        <w:t xml:space="preserve">is </w:t>
      </w:r>
      <w:r w:rsidR="00600D9B" w:rsidRPr="008E6674">
        <w:rPr>
          <w:rFonts w:cs="Times New Roman"/>
          <w:lang w:eastAsia="en-AU"/>
        </w:rPr>
        <w:t xml:space="preserve">subject to </w:t>
      </w:r>
      <w:r>
        <w:rPr>
          <w:rFonts w:cs="Times New Roman"/>
          <w:lang w:eastAsia="en-AU"/>
        </w:rPr>
        <w:t>a</w:t>
      </w:r>
      <w:r w:rsidRPr="008E6674">
        <w:rPr>
          <w:rFonts w:cs="Times New Roman"/>
          <w:lang w:eastAsia="en-AU"/>
        </w:rPr>
        <w:t xml:space="preserve"> </w:t>
      </w:r>
      <w:r w:rsidR="00600D9B" w:rsidRPr="008E6674">
        <w:rPr>
          <w:rFonts w:cs="Times New Roman"/>
          <w:lang w:eastAsia="en-AU"/>
        </w:rPr>
        <w:t>$3</w:t>
      </w:r>
      <w:r>
        <w:rPr>
          <w:rFonts w:cs="Times New Roman"/>
          <w:lang w:eastAsia="en-AU"/>
        </w:rPr>
        <w:t xml:space="preserve"> </w:t>
      </w:r>
      <w:r w:rsidR="00600D9B" w:rsidRPr="008E6674">
        <w:rPr>
          <w:rFonts w:cs="Times New Roman"/>
          <w:lang w:eastAsia="en-AU"/>
        </w:rPr>
        <w:t>m</w:t>
      </w:r>
      <w:r>
        <w:rPr>
          <w:rFonts w:cs="Times New Roman"/>
          <w:lang w:eastAsia="en-AU"/>
        </w:rPr>
        <w:t>illion</w:t>
      </w:r>
      <w:r w:rsidR="00D64DA6">
        <w:rPr>
          <w:rFonts w:cs="Times New Roman"/>
          <w:lang w:eastAsia="en-AU"/>
        </w:rPr>
        <w:t xml:space="preserve"> cap.</w:t>
      </w:r>
    </w:p>
    <w:p w14:paraId="32A6A130" w14:textId="77777777" w:rsidR="00715D07" w:rsidRPr="008E6674" w:rsidRDefault="00715D07" w:rsidP="00A5410B"/>
    <w:p w14:paraId="7C011B65" w14:textId="77777777" w:rsidR="00370490" w:rsidRDefault="00370490" w:rsidP="00A5410B">
      <w:pPr>
        <w:pStyle w:val="Heading3"/>
      </w:pPr>
      <w:r>
        <w:t>Fiscal risk</w:t>
      </w:r>
    </w:p>
    <w:p w14:paraId="5184FD5B" w14:textId="77777777" w:rsidR="00370490" w:rsidRPr="008E6674" w:rsidRDefault="00370490" w:rsidP="00A5410B"/>
    <w:p w14:paraId="75F87C13" w14:textId="77A14BF0" w:rsidR="000B36E9" w:rsidRDefault="00370490" w:rsidP="00A5410B">
      <w:pPr>
        <w:rPr>
          <w:rFonts w:cs="Times New Roman"/>
          <w:b/>
          <w:lang w:eastAsia="en-AU"/>
        </w:rPr>
      </w:pPr>
      <w:r>
        <w:rPr>
          <w:rFonts w:cs="Times New Roman"/>
          <w:lang w:eastAsia="en-AU"/>
        </w:rPr>
        <w:t xml:space="preserve">Projects to </w:t>
      </w:r>
      <w:r w:rsidR="00600D9B" w:rsidRPr="008E6674">
        <w:rPr>
          <w:rFonts w:cs="Times New Roman"/>
          <w:lang w:eastAsia="en-AU"/>
        </w:rPr>
        <w:t>upgrade internal business processes can be very expensive in some industries</w:t>
      </w:r>
      <w:r>
        <w:rPr>
          <w:rFonts w:cs="Times New Roman"/>
          <w:lang w:eastAsia="en-AU"/>
        </w:rPr>
        <w:t>.</w:t>
      </w:r>
      <w:r w:rsidRPr="008E6674">
        <w:rPr>
          <w:rFonts w:cs="Times New Roman"/>
          <w:lang w:eastAsia="en-AU"/>
        </w:rPr>
        <w:t xml:space="preserve"> </w:t>
      </w:r>
      <w:r>
        <w:rPr>
          <w:rFonts w:cs="Times New Roman"/>
          <w:lang w:eastAsia="en-AU"/>
        </w:rPr>
        <w:t>T</w:t>
      </w:r>
      <w:r w:rsidR="00600D9B" w:rsidRPr="008E6674">
        <w:rPr>
          <w:rFonts w:cs="Times New Roman"/>
          <w:lang w:eastAsia="en-AU"/>
        </w:rPr>
        <w:t xml:space="preserve">he Government is cautious about the fiscal consequences of </w:t>
      </w:r>
      <w:r>
        <w:rPr>
          <w:rFonts w:cs="Times New Roman"/>
          <w:lang w:eastAsia="en-AU"/>
        </w:rPr>
        <w:t xml:space="preserve">including these </w:t>
      </w:r>
      <w:r w:rsidR="00600D9B" w:rsidRPr="008E6674">
        <w:rPr>
          <w:rFonts w:cs="Times New Roman"/>
          <w:lang w:eastAsia="en-AU"/>
        </w:rPr>
        <w:t>activities</w:t>
      </w:r>
      <w:r>
        <w:rPr>
          <w:rFonts w:cs="Times New Roman"/>
          <w:lang w:eastAsia="en-AU"/>
        </w:rPr>
        <w:t xml:space="preserve"> within the scope of the R&amp;D tax credit regime</w:t>
      </w:r>
      <w:r w:rsidR="00600D9B" w:rsidRPr="008E6674">
        <w:rPr>
          <w:rFonts w:cs="Times New Roman"/>
          <w:lang w:eastAsia="en-AU"/>
        </w:rPr>
        <w:t>. This is a further reason for the outright exclusion of standard administrative functions and the $3</w:t>
      </w:r>
      <w:r w:rsidR="00400700">
        <w:rPr>
          <w:rFonts w:cs="Times New Roman"/>
          <w:lang w:eastAsia="en-AU"/>
        </w:rPr>
        <w:t xml:space="preserve"> </w:t>
      </w:r>
      <w:r w:rsidR="00600D9B" w:rsidRPr="008E6674">
        <w:rPr>
          <w:rFonts w:cs="Times New Roman"/>
          <w:lang w:eastAsia="en-AU"/>
        </w:rPr>
        <w:t>m</w:t>
      </w:r>
      <w:r w:rsidR="00400700">
        <w:rPr>
          <w:rFonts w:cs="Times New Roman"/>
          <w:lang w:eastAsia="en-AU"/>
        </w:rPr>
        <w:t>illion</w:t>
      </w:r>
      <w:r w:rsidR="00600D9B" w:rsidRPr="008E6674">
        <w:rPr>
          <w:rFonts w:cs="Times New Roman"/>
          <w:lang w:eastAsia="en-AU"/>
        </w:rPr>
        <w:t xml:space="preserve"> cap for non-sta</w:t>
      </w:r>
      <w:r w:rsidR="00D64DA6">
        <w:rPr>
          <w:rFonts w:cs="Times New Roman"/>
          <w:lang w:eastAsia="en-AU"/>
        </w:rPr>
        <w:t>ndard administrative functions.</w:t>
      </w:r>
    </w:p>
    <w:p w14:paraId="58BCD3F2" w14:textId="77777777" w:rsidR="000B36E9" w:rsidRDefault="000B36E9" w:rsidP="00A5410B">
      <w:pPr>
        <w:rPr>
          <w:lang w:eastAsia="en-AU"/>
        </w:rPr>
      </w:pPr>
    </w:p>
    <w:p w14:paraId="3D8283A2" w14:textId="77777777" w:rsidR="00715D07" w:rsidRDefault="00715D07" w:rsidP="00A5410B">
      <w:pPr>
        <w:rPr>
          <w:lang w:eastAsia="en-AU"/>
        </w:rPr>
      </w:pPr>
    </w:p>
    <w:p w14:paraId="5F1BCC3F" w14:textId="77777777" w:rsidR="00ED09D1" w:rsidRPr="00B91CC0" w:rsidRDefault="00ED09D1" w:rsidP="00A5410B">
      <w:pPr>
        <w:pStyle w:val="Heading2"/>
      </w:pPr>
      <w:r w:rsidRPr="00B91CC0">
        <w:t>Detailed analysis</w:t>
      </w:r>
    </w:p>
    <w:p w14:paraId="5300A57B" w14:textId="77777777" w:rsidR="00715D07" w:rsidRDefault="00715D07" w:rsidP="00A5410B"/>
    <w:p w14:paraId="487764DA" w14:textId="77777777" w:rsidR="00ED09D1" w:rsidRPr="00B91CC0" w:rsidRDefault="00370490" w:rsidP="00A5410B">
      <w:pPr>
        <w:pStyle w:val="Heading3"/>
      </w:pPr>
      <w:r>
        <w:t>O</w:t>
      </w:r>
      <w:r w:rsidR="00ED09D1" w:rsidRPr="00B91CC0">
        <w:t>rdinary administrative functions</w:t>
      </w:r>
      <w:r w:rsidR="00636F63">
        <w:t xml:space="preserve"> (schedule 21, part A, </w:t>
      </w:r>
      <w:r w:rsidR="004F6150">
        <w:t>clause</w:t>
      </w:r>
      <w:r w:rsidR="00636F63">
        <w:t xml:space="preserve"> 11)</w:t>
      </w:r>
    </w:p>
    <w:p w14:paraId="2764E27A" w14:textId="77777777" w:rsidR="00ED09D1" w:rsidRPr="00B91CC0" w:rsidRDefault="00ED09D1" w:rsidP="00A5410B">
      <w:pPr>
        <w:rPr>
          <w:lang w:eastAsia="en-AU"/>
        </w:rPr>
      </w:pPr>
    </w:p>
    <w:p w14:paraId="64512FA5" w14:textId="77777777" w:rsidR="00636F63" w:rsidRDefault="00636F63" w:rsidP="00A5410B">
      <w:pPr>
        <w:rPr>
          <w:rFonts w:eastAsia="Times New Roman" w:cs="Times New Roman"/>
          <w:szCs w:val="20"/>
          <w:lang w:eastAsia="en-AU"/>
        </w:rPr>
      </w:pPr>
      <w:r>
        <w:rPr>
          <w:rFonts w:eastAsia="Times New Roman" w:cs="Times New Roman"/>
          <w:szCs w:val="20"/>
          <w:lang w:eastAsia="en-AU"/>
        </w:rPr>
        <w:t>Internal s</w:t>
      </w:r>
      <w:r w:rsidR="00370490">
        <w:rPr>
          <w:rFonts w:eastAsia="Times New Roman" w:cs="Times New Roman"/>
          <w:szCs w:val="20"/>
          <w:lang w:eastAsia="en-AU"/>
        </w:rPr>
        <w:t xml:space="preserve">oftware development undertaken </w:t>
      </w:r>
      <w:r>
        <w:rPr>
          <w:rFonts w:eastAsia="Times New Roman" w:cs="Times New Roman"/>
          <w:szCs w:val="20"/>
          <w:lang w:eastAsia="en-AU"/>
        </w:rPr>
        <w:t xml:space="preserve">by a person </w:t>
      </w:r>
      <w:r w:rsidR="00370490">
        <w:rPr>
          <w:rFonts w:eastAsia="Times New Roman" w:cs="Times New Roman"/>
          <w:szCs w:val="20"/>
          <w:lang w:eastAsia="en-AU"/>
        </w:rPr>
        <w:t xml:space="preserve">for the purpose of the </w:t>
      </w:r>
      <w:r>
        <w:rPr>
          <w:rFonts w:eastAsia="Times New Roman" w:cs="Times New Roman"/>
          <w:szCs w:val="20"/>
          <w:lang w:eastAsia="en-AU"/>
        </w:rPr>
        <w:t>producing software for use</w:t>
      </w:r>
      <w:r w:rsidR="00370490">
        <w:rPr>
          <w:rFonts w:eastAsia="Times New Roman" w:cs="Times New Roman"/>
          <w:szCs w:val="20"/>
          <w:lang w:eastAsia="en-AU"/>
        </w:rPr>
        <w:t xml:space="preserve"> in </w:t>
      </w:r>
      <w:r>
        <w:rPr>
          <w:rFonts w:eastAsia="Times New Roman" w:cs="Times New Roman"/>
          <w:szCs w:val="20"/>
          <w:lang w:eastAsia="en-AU"/>
        </w:rPr>
        <w:t>their</w:t>
      </w:r>
      <w:r w:rsidR="00370490">
        <w:rPr>
          <w:rFonts w:eastAsia="Times New Roman" w:cs="Times New Roman"/>
          <w:szCs w:val="20"/>
          <w:lang w:eastAsia="en-AU"/>
        </w:rPr>
        <w:t xml:space="preserve"> business</w:t>
      </w:r>
      <w:r>
        <w:rPr>
          <w:rFonts w:eastAsia="Times New Roman" w:cs="Times New Roman"/>
          <w:szCs w:val="20"/>
          <w:lang w:eastAsia="en-AU"/>
        </w:rPr>
        <w:t xml:space="preserve">, or an associate’s, </w:t>
      </w:r>
      <w:r w:rsidR="00370490">
        <w:rPr>
          <w:rFonts w:eastAsia="Times New Roman" w:cs="Times New Roman"/>
          <w:szCs w:val="20"/>
          <w:lang w:eastAsia="en-AU"/>
        </w:rPr>
        <w:t>is ineligible if it relates to</w:t>
      </w:r>
      <w:r w:rsidR="005A4D8E">
        <w:rPr>
          <w:rFonts w:eastAsia="Times New Roman" w:cs="Times New Roman"/>
          <w:szCs w:val="20"/>
          <w:lang w:eastAsia="en-AU"/>
        </w:rPr>
        <w:t xml:space="preserve"> any of the following systems</w:t>
      </w:r>
      <w:r>
        <w:rPr>
          <w:rFonts w:eastAsia="Times New Roman" w:cs="Times New Roman"/>
          <w:szCs w:val="20"/>
          <w:lang w:eastAsia="en-AU"/>
        </w:rPr>
        <w:t>:</w:t>
      </w:r>
    </w:p>
    <w:p w14:paraId="5AD95266" w14:textId="77777777" w:rsidR="00715D07" w:rsidRDefault="00715D07" w:rsidP="00A5410B">
      <w:pPr>
        <w:rPr>
          <w:rFonts w:eastAsia="Times New Roman" w:cs="Times New Roman"/>
          <w:szCs w:val="20"/>
          <w:lang w:eastAsia="en-AU"/>
        </w:rPr>
      </w:pPr>
    </w:p>
    <w:p w14:paraId="199DB82B" w14:textId="1BA50FBA" w:rsidR="00ED09D1" w:rsidRPr="00B91CC0" w:rsidRDefault="00FD61CE" w:rsidP="00A5410B">
      <w:pPr>
        <w:pStyle w:val="dotpoint"/>
      </w:pPr>
      <w:r>
        <w:t>p</w:t>
      </w:r>
      <w:r w:rsidR="00ED09D1" w:rsidRPr="00B91CC0">
        <w:t>ayroll</w:t>
      </w:r>
      <w:r w:rsidR="005A4D8E">
        <w:t>;</w:t>
      </w:r>
    </w:p>
    <w:p w14:paraId="52AEFA53" w14:textId="43F8A19D" w:rsidR="00ED09D1" w:rsidRPr="00B91CC0" w:rsidRDefault="00FD61CE" w:rsidP="00A5410B">
      <w:pPr>
        <w:pStyle w:val="dotpoint"/>
      </w:pPr>
      <w:r>
        <w:t>a</w:t>
      </w:r>
      <w:r w:rsidR="005A4D8E" w:rsidRPr="00B91CC0">
        <w:t>ccounting</w:t>
      </w:r>
      <w:r w:rsidR="005A4D8E">
        <w:t>;</w:t>
      </w:r>
    </w:p>
    <w:p w14:paraId="1DC61E8B" w14:textId="684E7C57" w:rsidR="00ED09D1" w:rsidRPr="00B91CC0" w:rsidRDefault="00FD61CE" w:rsidP="00A5410B">
      <w:pPr>
        <w:pStyle w:val="dotpoint"/>
      </w:pPr>
      <w:r>
        <w:t>e</w:t>
      </w:r>
      <w:r w:rsidR="005A4D8E" w:rsidRPr="00B91CC0">
        <w:t xml:space="preserve">xecutive </w:t>
      </w:r>
      <w:r w:rsidR="00ED09D1" w:rsidRPr="00B91CC0">
        <w:t>or management information</w:t>
      </w:r>
      <w:r w:rsidR="005A4D8E">
        <w:t>;</w:t>
      </w:r>
    </w:p>
    <w:p w14:paraId="548E6C8C" w14:textId="2965176E" w:rsidR="00ED09D1" w:rsidRPr="00B91CC0" w:rsidRDefault="00FD61CE" w:rsidP="00A5410B">
      <w:pPr>
        <w:pStyle w:val="dotpoint"/>
      </w:pPr>
      <w:r>
        <w:t>h</w:t>
      </w:r>
      <w:r w:rsidR="005A4D8E" w:rsidRPr="00B91CC0">
        <w:t xml:space="preserve">uman </w:t>
      </w:r>
      <w:r w:rsidR="00ED09D1" w:rsidRPr="00B91CC0">
        <w:t>resources</w:t>
      </w:r>
      <w:r w:rsidR="005A4D8E">
        <w:t>;</w:t>
      </w:r>
    </w:p>
    <w:p w14:paraId="76E71D95" w14:textId="1630EF2C" w:rsidR="00ED09D1" w:rsidRPr="00B91CC0" w:rsidRDefault="00FD61CE" w:rsidP="00A5410B">
      <w:pPr>
        <w:pStyle w:val="dotpoint"/>
      </w:pPr>
      <w:r>
        <w:t>e</w:t>
      </w:r>
      <w:r w:rsidR="005A4D8E" w:rsidRPr="00B91CC0">
        <w:t xml:space="preserve">nterprise </w:t>
      </w:r>
      <w:r w:rsidR="00ED09D1" w:rsidRPr="00B91CC0">
        <w:t>resource planning</w:t>
      </w:r>
      <w:r w:rsidR="005A4D8E">
        <w:t>;</w:t>
      </w:r>
    </w:p>
    <w:p w14:paraId="1B66DE75" w14:textId="29448077" w:rsidR="00ED09D1" w:rsidRPr="00B91CC0" w:rsidRDefault="00FD61CE" w:rsidP="00A5410B">
      <w:pPr>
        <w:pStyle w:val="dotpoint"/>
      </w:pPr>
      <w:r>
        <w:t>i</w:t>
      </w:r>
      <w:r w:rsidR="005A4D8E" w:rsidRPr="00B91CC0">
        <w:t>nvoicing</w:t>
      </w:r>
      <w:r w:rsidR="005A4D8E">
        <w:t>; or</w:t>
      </w:r>
    </w:p>
    <w:p w14:paraId="5470F5C3" w14:textId="0DA50727" w:rsidR="00ED09D1" w:rsidRPr="00B91CC0" w:rsidRDefault="00FD61CE" w:rsidP="00A5410B">
      <w:pPr>
        <w:pStyle w:val="dotpoint"/>
        <w:spacing w:after="0"/>
      </w:pPr>
      <w:r>
        <w:t>i</w:t>
      </w:r>
      <w:r w:rsidR="005A4D8E" w:rsidRPr="00B91CC0">
        <w:t>nventory</w:t>
      </w:r>
      <w:r w:rsidR="000B36E9">
        <w:t>.</w:t>
      </w:r>
    </w:p>
    <w:p w14:paraId="5E3AF06A" w14:textId="77777777" w:rsidR="00715D07" w:rsidRDefault="00715D07" w:rsidP="00A5410B"/>
    <w:p w14:paraId="0C9109B8" w14:textId="3BEF8A45" w:rsidR="00ED09D1" w:rsidRPr="00B91CC0" w:rsidRDefault="00ED09D1" w:rsidP="00A5410B">
      <w:pPr>
        <w:pStyle w:val="Heading3"/>
      </w:pPr>
      <w:r w:rsidRPr="00B91CC0">
        <w:t>$3 million cap</w:t>
      </w:r>
      <w:r w:rsidR="005A4D8E">
        <w:t xml:space="preserve"> (</w:t>
      </w:r>
      <w:r w:rsidRPr="00B91CC0">
        <w:t>schedule 21B</w:t>
      </w:r>
      <w:r w:rsidR="00681778">
        <w:t>,</w:t>
      </w:r>
      <w:r w:rsidRPr="00B91CC0">
        <w:t xml:space="preserve"> part B</w:t>
      </w:r>
      <w:r w:rsidR="00681778">
        <w:t>,</w:t>
      </w:r>
      <w:r w:rsidRPr="00B91CC0">
        <w:t xml:space="preserve"> </w:t>
      </w:r>
      <w:r w:rsidR="004F6150">
        <w:t>clause</w:t>
      </w:r>
      <w:r w:rsidRPr="00B91CC0">
        <w:t xml:space="preserve"> 1</w:t>
      </w:r>
      <w:r w:rsidR="00681778">
        <w:t>7</w:t>
      </w:r>
      <w:r w:rsidR="000B36E9">
        <w:t>)</w:t>
      </w:r>
    </w:p>
    <w:p w14:paraId="332E7D16" w14:textId="77777777" w:rsidR="00ED09D1" w:rsidRPr="00B91CC0" w:rsidRDefault="00ED09D1" w:rsidP="00A5410B">
      <w:pPr>
        <w:rPr>
          <w:lang w:eastAsia="en-AU"/>
        </w:rPr>
      </w:pPr>
    </w:p>
    <w:p w14:paraId="19817309" w14:textId="32422C72" w:rsidR="005A4D8E" w:rsidRDefault="005A4D8E" w:rsidP="00A5410B">
      <w:pPr>
        <w:rPr>
          <w:lang w:eastAsia="en-AU"/>
        </w:rPr>
      </w:pPr>
      <w:r>
        <w:rPr>
          <w:lang w:eastAsia="en-AU"/>
        </w:rPr>
        <w:t xml:space="preserve">A person is only able to claim up to $3 million of internal software development expenditure for the R&amp;D tax credit regime. </w:t>
      </w:r>
      <w:r w:rsidR="00ED09D1" w:rsidRPr="00B91CC0">
        <w:rPr>
          <w:lang w:eastAsia="en-AU"/>
        </w:rPr>
        <w:t xml:space="preserve">The cap </w:t>
      </w:r>
      <w:r>
        <w:rPr>
          <w:lang w:eastAsia="en-AU"/>
        </w:rPr>
        <w:t xml:space="preserve">groups the person’s expenditure with internal software development already claimed by the person’s associates. </w:t>
      </w:r>
      <w:r w:rsidRPr="00B91CC0">
        <w:rPr>
          <w:lang w:eastAsia="en-AU"/>
        </w:rPr>
        <w:t xml:space="preserve">The rationale behind applying the cap to associated persons is to prevent the cap from being circumvented by the person </w:t>
      </w:r>
      <w:r>
        <w:rPr>
          <w:lang w:eastAsia="en-AU"/>
        </w:rPr>
        <w:t>splitting their expenditure across associates</w:t>
      </w:r>
      <w:r w:rsidR="00D64DA6">
        <w:rPr>
          <w:lang w:eastAsia="en-AU"/>
        </w:rPr>
        <w:t xml:space="preserve"> to effectively exceed the cap.</w:t>
      </w:r>
    </w:p>
    <w:p w14:paraId="1626E309" w14:textId="77777777" w:rsidR="005A4D8E" w:rsidRDefault="005A4D8E" w:rsidP="00A5410B">
      <w:pPr>
        <w:rPr>
          <w:lang w:eastAsia="en-AU"/>
        </w:rPr>
      </w:pPr>
    </w:p>
    <w:p w14:paraId="6CE07DAC" w14:textId="77777777" w:rsidR="00ED09D1" w:rsidRPr="00B91CC0" w:rsidRDefault="00ED09D1" w:rsidP="00A5410B">
      <w:pPr>
        <w:rPr>
          <w:lang w:eastAsia="en-AU"/>
        </w:rPr>
      </w:pPr>
      <w:r w:rsidRPr="00B91CC0">
        <w:rPr>
          <w:lang w:eastAsia="en-AU"/>
        </w:rPr>
        <w:t xml:space="preserve">For partnerships and look-through companies, the cap is applied at the </w:t>
      </w:r>
      <w:r w:rsidR="005A4D8E">
        <w:rPr>
          <w:lang w:eastAsia="en-AU"/>
        </w:rPr>
        <w:t xml:space="preserve">partnership or look-through company </w:t>
      </w:r>
      <w:r w:rsidRPr="00B91CC0">
        <w:rPr>
          <w:lang w:eastAsia="en-AU"/>
        </w:rPr>
        <w:t>level</w:t>
      </w:r>
      <w:r w:rsidR="005A4D8E">
        <w:rPr>
          <w:lang w:eastAsia="en-AU"/>
        </w:rPr>
        <w:t xml:space="preserve"> (rather than the partner or individual owner level)</w:t>
      </w:r>
      <w:r w:rsidRPr="00B91CC0">
        <w:rPr>
          <w:lang w:eastAsia="en-AU"/>
        </w:rPr>
        <w:t>.</w:t>
      </w:r>
    </w:p>
    <w:p w14:paraId="7B423288" w14:textId="77777777" w:rsidR="00ED09D1" w:rsidRDefault="00ED09D1" w:rsidP="00A5410B">
      <w:pPr>
        <w:rPr>
          <w:lang w:eastAsia="en-AU"/>
        </w:rPr>
      </w:pPr>
    </w:p>
    <w:p w14:paraId="21BC3A7D" w14:textId="48188454" w:rsidR="00A5410B" w:rsidRDefault="00A5410B" w:rsidP="00A5410B">
      <w:pPr>
        <w:pStyle w:val="Exampleheading1"/>
      </w:pPr>
      <w:r>
        <w:t>Example</w:t>
      </w:r>
      <w:r w:rsidR="00DF2F85">
        <w:t xml:space="preserve"> 2</w:t>
      </w:r>
      <w:r>
        <w:t xml:space="preserve">: </w:t>
      </w:r>
      <w:r w:rsidR="00DF2F85">
        <w:t>A</w:t>
      </w:r>
      <w:r>
        <w:t>ssociated persons with internal software development expenditure</w:t>
      </w:r>
    </w:p>
    <w:p w14:paraId="4D1C9EA2" w14:textId="77777777" w:rsidR="00A5410B" w:rsidRDefault="00A5410B" w:rsidP="00A5410B">
      <w:pPr>
        <w:pStyle w:val="Exampletext"/>
      </w:pPr>
    </w:p>
    <w:p w14:paraId="07EC8CB4" w14:textId="29C2DA84" w:rsidR="00A5410B" w:rsidRDefault="00A5410B" w:rsidP="00A5410B">
      <w:pPr>
        <w:pStyle w:val="Exampletext"/>
      </w:pPr>
      <w:r>
        <w:t>SL Ltd incurs $2 million of internal software development expenditure and XW Ltd incurs $1.5 million. SL Ltd and XW Ltd are wholly owned by Nayana Ltd. As XW Ltd and SL Ltd are associated persons for tax purposes, their combined claim may not exceed $3 million.</w:t>
      </w:r>
    </w:p>
    <w:p w14:paraId="35997FC5" w14:textId="3345BD04" w:rsidR="00ED09D1" w:rsidRDefault="00ED09D1" w:rsidP="00A5410B">
      <w:pPr>
        <w:rPr>
          <w:lang w:eastAsia="en-AU"/>
        </w:rPr>
      </w:pPr>
    </w:p>
    <w:p w14:paraId="1115E64B" w14:textId="77777777" w:rsidR="00D64DA6" w:rsidRPr="00B91CC0" w:rsidRDefault="00D64DA6" w:rsidP="00A5410B">
      <w:pPr>
        <w:rPr>
          <w:lang w:eastAsia="en-AU"/>
        </w:rPr>
      </w:pPr>
    </w:p>
    <w:p w14:paraId="5CC785DA" w14:textId="77777777" w:rsidR="00ED09D1" w:rsidRPr="00B91CC0" w:rsidRDefault="005A4D8E" w:rsidP="008E7A3B">
      <w:pPr>
        <w:pStyle w:val="Heading3"/>
      </w:pPr>
      <w:r>
        <w:t>Definition of i</w:t>
      </w:r>
      <w:r w:rsidRPr="00B91CC0">
        <w:t xml:space="preserve">nternal </w:t>
      </w:r>
      <w:r w:rsidR="00ED09D1" w:rsidRPr="00B91CC0">
        <w:t xml:space="preserve">software development expenditure </w:t>
      </w:r>
      <w:r w:rsidR="0068756C">
        <w:t>(YA 1)</w:t>
      </w:r>
    </w:p>
    <w:p w14:paraId="6D66DB80" w14:textId="77777777" w:rsidR="00ED09D1" w:rsidRPr="00B91CC0" w:rsidRDefault="00ED09D1" w:rsidP="00A5410B">
      <w:pPr>
        <w:rPr>
          <w:lang w:eastAsia="en-AU"/>
        </w:rPr>
      </w:pPr>
    </w:p>
    <w:p w14:paraId="1DFFBF81" w14:textId="77777777" w:rsidR="00ED09D1" w:rsidRDefault="00ED09D1" w:rsidP="00A5410B">
      <w:pPr>
        <w:rPr>
          <w:lang w:eastAsia="en-AU"/>
        </w:rPr>
      </w:pPr>
      <w:r w:rsidRPr="00B91CC0">
        <w:rPr>
          <w:lang w:eastAsia="en-AU"/>
        </w:rPr>
        <w:t xml:space="preserve">Internal software development expenditure is </w:t>
      </w:r>
      <w:r w:rsidR="0068756C">
        <w:rPr>
          <w:lang w:eastAsia="en-AU"/>
        </w:rPr>
        <w:t xml:space="preserve">defined as </w:t>
      </w:r>
      <w:r w:rsidRPr="00B91CC0">
        <w:rPr>
          <w:lang w:eastAsia="en-AU"/>
        </w:rPr>
        <w:t>expenditure incurred on developing software for the purpose of:</w:t>
      </w:r>
    </w:p>
    <w:p w14:paraId="1625F8CA" w14:textId="77777777" w:rsidR="00715D07" w:rsidRPr="00B91CC0" w:rsidRDefault="00715D07" w:rsidP="00A5410B">
      <w:pPr>
        <w:rPr>
          <w:lang w:eastAsia="en-AU"/>
        </w:rPr>
      </w:pPr>
    </w:p>
    <w:p w14:paraId="77627108" w14:textId="317CB946" w:rsidR="00ED09D1" w:rsidRPr="00B91CC0" w:rsidRDefault="00FD61CE" w:rsidP="00961175">
      <w:pPr>
        <w:pStyle w:val="dotpoint"/>
      </w:pPr>
      <w:r>
        <w:t>t</w:t>
      </w:r>
      <w:r w:rsidR="00ED09D1" w:rsidRPr="00B91CC0">
        <w:t xml:space="preserve">he internal administration of </w:t>
      </w:r>
      <w:r w:rsidR="0068756C">
        <w:t>a</w:t>
      </w:r>
      <w:r w:rsidR="0068756C" w:rsidRPr="00B91CC0">
        <w:t xml:space="preserve"> </w:t>
      </w:r>
      <w:r w:rsidR="00ED09D1" w:rsidRPr="00B91CC0">
        <w:t>person’s</w:t>
      </w:r>
      <w:r w:rsidR="0068756C">
        <w:t>,</w:t>
      </w:r>
      <w:r w:rsidR="00ED09D1" w:rsidRPr="00B91CC0">
        <w:t xml:space="preserve"> or </w:t>
      </w:r>
      <w:r w:rsidR="0068756C">
        <w:t xml:space="preserve">the person’s </w:t>
      </w:r>
      <w:r w:rsidR="00ED09D1" w:rsidRPr="00B91CC0">
        <w:t>associate’s</w:t>
      </w:r>
      <w:r w:rsidR="0068756C">
        <w:t>,</w:t>
      </w:r>
      <w:r w:rsidR="00ED09D1" w:rsidRPr="00B91CC0">
        <w:t xml:space="preserve"> business</w:t>
      </w:r>
      <w:r w:rsidR="0068756C">
        <w:t>; or</w:t>
      </w:r>
    </w:p>
    <w:p w14:paraId="16973074" w14:textId="5C9FAB89" w:rsidR="00ED09D1" w:rsidRPr="00CB1782" w:rsidRDefault="00FD61CE" w:rsidP="00961175">
      <w:pPr>
        <w:pStyle w:val="dotpoint"/>
        <w:spacing w:after="0"/>
        <w:rPr>
          <w:rFonts w:ascii="TimesNewRomanPSMT" w:hAnsi="TimesNewRomanPSMT" w:cs="TimesNewRomanPSMT"/>
          <w:sz w:val="23"/>
          <w:szCs w:val="23"/>
        </w:rPr>
      </w:pPr>
      <w:r>
        <w:t>p</w:t>
      </w:r>
      <w:r w:rsidR="00ED09D1" w:rsidRPr="00B91CC0">
        <w:t>roviding services to customers</w:t>
      </w:r>
      <w:r w:rsidR="0068756C">
        <w:t>, unless the main reason the customers use the services is to use the software or technology developed by the person.</w:t>
      </w:r>
    </w:p>
    <w:p w14:paraId="1C6D2442" w14:textId="77777777" w:rsidR="00A5410B" w:rsidRDefault="00A5410B" w:rsidP="00A5410B"/>
    <w:p w14:paraId="0D8C781E" w14:textId="49C52B81" w:rsidR="00A5410B" w:rsidRDefault="00A5410B" w:rsidP="00961175">
      <w:pPr>
        <w:pStyle w:val="Exampleheading1"/>
      </w:pPr>
      <w:r w:rsidRPr="00464B70">
        <w:t>Example</w:t>
      </w:r>
      <w:r w:rsidR="00DF2F85">
        <w:t xml:space="preserve"> 3</w:t>
      </w:r>
      <w:r w:rsidRPr="00464B70">
        <w:t xml:space="preserve">: </w:t>
      </w:r>
      <w:r w:rsidR="00DF2F85">
        <w:t>I</w:t>
      </w:r>
      <w:r w:rsidRPr="00464B70">
        <w:t>nternal software development expenditure subject to cap</w:t>
      </w:r>
    </w:p>
    <w:p w14:paraId="082047F4" w14:textId="77777777" w:rsidR="00961175" w:rsidRPr="00464B70" w:rsidRDefault="00961175" w:rsidP="00961175">
      <w:pPr>
        <w:pStyle w:val="Exampletext"/>
      </w:pPr>
    </w:p>
    <w:p w14:paraId="60E8D96F" w14:textId="1E88E494" w:rsidR="00A5410B" w:rsidRPr="00464B70" w:rsidRDefault="00A5410B" w:rsidP="00961175">
      <w:pPr>
        <w:pStyle w:val="Exampletext"/>
      </w:pPr>
      <w:r w:rsidRPr="00464B70">
        <w:t>Mohammed runs a courier business and develops software that enables his customers to pinpoint the exact location and condition of their packages</w:t>
      </w:r>
      <w:r w:rsidR="00485279">
        <w:t xml:space="preserve">. </w:t>
      </w:r>
      <w:r w:rsidRPr="00464B70">
        <w:t>This satisfies the definition of internal software development expenditure, because Mohammed’s customers are using his services to receive the goods he delivers, not to use the software Mohammed has developed</w:t>
      </w:r>
      <w:r w:rsidR="00485279">
        <w:t xml:space="preserve">. </w:t>
      </w:r>
      <w:r w:rsidRPr="00464B70">
        <w:t>The expenditure Mohammed’s business incurred to develop the software is subject to the $3 million cap.</w:t>
      </w:r>
    </w:p>
    <w:p w14:paraId="2214A862" w14:textId="77777777" w:rsidR="00A5410B" w:rsidRDefault="00A5410B" w:rsidP="00961175"/>
    <w:p w14:paraId="1030744F" w14:textId="77777777" w:rsidR="00D64DA6" w:rsidRPr="00B91CC0" w:rsidRDefault="00D64DA6" w:rsidP="00961175"/>
    <w:p w14:paraId="438AB58D" w14:textId="77777777" w:rsidR="00ED09D1" w:rsidRDefault="00ED09D1" w:rsidP="00961175">
      <w:pPr>
        <w:rPr>
          <w:rFonts w:eastAsia="Times New Roman" w:cs="Times New Roman"/>
          <w:szCs w:val="20"/>
          <w:lang w:eastAsia="en-AU"/>
        </w:rPr>
      </w:pPr>
      <w:r w:rsidRPr="00B91CC0">
        <w:rPr>
          <w:rFonts w:eastAsia="Times New Roman" w:cs="Times New Roman"/>
          <w:szCs w:val="20"/>
          <w:lang w:eastAsia="en-AU"/>
        </w:rPr>
        <w:t>Internal software development expenditure does not include expenditure incurred for the purpose of developing software if:</w:t>
      </w:r>
    </w:p>
    <w:p w14:paraId="49C60E89" w14:textId="77777777" w:rsidR="00715D07" w:rsidRPr="00B91CC0" w:rsidRDefault="00715D07" w:rsidP="00961175">
      <w:pPr>
        <w:rPr>
          <w:rFonts w:eastAsia="Times New Roman" w:cs="Times New Roman"/>
          <w:szCs w:val="20"/>
          <w:lang w:eastAsia="en-AU"/>
        </w:rPr>
      </w:pPr>
    </w:p>
    <w:p w14:paraId="3B63B5D8" w14:textId="1B82E41F" w:rsidR="00ED09D1" w:rsidRPr="00B91CC0" w:rsidRDefault="00FD61CE" w:rsidP="00961175">
      <w:pPr>
        <w:pStyle w:val="dotpoint"/>
      </w:pPr>
      <w:r>
        <w:t>t</w:t>
      </w:r>
      <w:r w:rsidR="00ED09D1" w:rsidRPr="00B91CC0">
        <w:t>he person’s main purpose is to sell the software</w:t>
      </w:r>
      <w:r w:rsidR="0068756C">
        <w:t>, or a right to use the software, to third parties; or</w:t>
      </w:r>
    </w:p>
    <w:p w14:paraId="7B43EE37" w14:textId="5C9C14F3" w:rsidR="00ED09D1" w:rsidRPr="00D64DA6" w:rsidRDefault="00FD61CE" w:rsidP="00961175">
      <w:pPr>
        <w:pStyle w:val="dotpoint"/>
        <w:spacing w:after="0"/>
      </w:pPr>
      <w:r>
        <w:t>t</w:t>
      </w:r>
      <w:r w:rsidR="00ED09D1" w:rsidRPr="00B91CC0">
        <w:t>he software is an integral part of goods that the person sells.</w:t>
      </w:r>
    </w:p>
    <w:p w14:paraId="597503E0" w14:textId="77777777" w:rsidR="00961175" w:rsidRPr="00CB1782" w:rsidRDefault="00961175" w:rsidP="00961175"/>
    <w:p w14:paraId="0055772C" w14:textId="2CAF4A86" w:rsidR="00961175" w:rsidRPr="00421265" w:rsidRDefault="00961175" w:rsidP="00961175">
      <w:pPr>
        <w:pStyle w:val="Exampleheading1"/>
      </w:pPr>
      <w:r w:rsidRPr="00421265">
        <w:t>Example</w:t>
      </w:r>
      <w:r w:rsidR="00DF2F85">
        <w:t xml:space="preserve"> 4</w:t>
      </w:r>
      <w:r w:rsidRPr="00421265">
        <w:t xml:space="preserve">: </w:t>
      </w:r>
      <w:r w:rsidR="00DF2F85">
        <w:t>S</w:t>
      </w:r>
      <w:r w:rsidRPr="00421265">
        <w:t>oftware development expenditure not subject to cap</w:t>
      </w:r>
    </w:p>
    <w:p w14:paraId="71F91CE5" w14:textId="77777777" w:rsidR="00961175" w:rsidRDefault="00961175" w:rsidP="00961175">
      <w:pPr>
        <w:pStyle w:val="Exampletext"/>
      </w:pPr>
    </w:p>
    <w:p w14:paraId="69C97E24" w14:textId="77777777" w:rsidR="00961175" w:rsidRPr="00421265" w:rsidRDefault="00961175" w:rsidP="00961175">
      <w:pPr>
        <w:pStyle w:val="Exampletext"/>
      </w:pPr>
      <w:r w:rsidRPr="00421265">
        <w:t>Jane runs a software business and develops software that she sells to Mohammed’s firm and other courier companies. The expenditure is not internal software development expenditure, so is not subject to the $3 million cap.</w:t>
      </w:r>
    </w:p>
    <w:p w14:paraId="52A0790A" w14:textId="5AD03386" w:rsidR="00ED09D1" w:rsidRPr="00B91CC0" w:rsidRDefault="00ED09D1" w:rsidP="00961175">
      <w:pPr>
        <w:rPr>
          <w:rFonts w:ascii="Verdana" w:eastAsia="Times New Roman" w:hAnsi="Verdana" w:cs="Times New Roman"/>
          <w:sz w:val="20"/>
          <w:szCs w:val="20"/>
          <w:lang w:val="en-GB" w:eastAsia="en-AU"/>
        </w:rPr>
      </w:pPr>
    </w:p>
    <w:p w14:paraId="71506673" w14:textId="77777777" w:rsidR="00ED09D1" w:rsidRDefault="00ED09D1" w:rsidP="00ED09D1">
      <w:pPr>
        <w:rPr>
          <w:rFonts w:eastAsia="Times New Roman" w:cs="Times New Roman"/>
          <w:b/>
          <w:caps/>
          <w:sz w:val="26"/>
          <w:szCs w:val="20"/>
          <w:lang w:eastAsia="en-AU"/>
        </w:rPr>
      </w:pPr>
      <w:r>
        <w:br w:type="page"/>
      </w:r>
    </w:p>
    <w:p w14:paraId="34773740" w14:textId="77777777" w:rsidR="00D966AA" w:rsidRPr="00D966AA" w:rsidRDefault="00D966AA" w:rsidP="00961175">
      <w:pPr>
        <w:pStyle w:val="Heading1"/>
      </w:pPr>
      <w:bookmarkStart w:id="24" w:name="_Toc528157360"/>
      <w:bookmarkStart w:id="25" w:name="_Toc528195577"/>
      <w:r w:rsidRPr="00D966AA">
        <w:t xml:space="preserve">Eligible </w:t>
      </w:r>
      <w:r w:rsidR="00A97C06">
        <w:t>e</w:t>
      </w:r>
      <w:r w:rsidRPr="00D966AA">
        <w:t>xpenditure</w:t>
      </w:r>
      <w:bookmarkEnd w:id="24"/>
      <w:bookmarkEnd w:id="25"/>
    </w:p>
    <w:p w14:paraId="5C8F5443" w14:textId="7480427B" w:rsidR="00D966AA" w:rsidRDefault="00681778" w:rsidP="00961175">
      <w:pPr>
        <w:pStyle w:val="Heading3"/>
      </w:pPr>
      <w:r>
        <w:t>Clauses 10 (proposed new section LY 5)</w:t>
      </w:r>
      <w:r w:rsidR="00D966AA" w:rsidRPr="00D966AA">
        <w:t>, 21(7)</w:t>
      </w:r>
      <w:r w:rsidR="004F133F">
        <w:t xml:space="preserve"> and</w:t>
      </w:r>
      <w:r w:rsidR="00D966AA" w:rsidRPr="00D966AA">
        <w:t xml:space="preserve"> 22</w:t>
      </w:r>
    </w:p>
    <w:p w14:paraId="7CD6620B" w14:textId="77777777" w:rsidR="00961175" w:rsidRDefault="00961175" w:rsidP="00961175">
      <w:pPr>
        <w:rPr>
          <w:lang w:val="en-GB" w:eastAsia="en-AU"/>
        </w:rPr>
      </w:pPr>
    </w:p>
    <w:p w14:paraId="477C2C91" w14:textId="77777777" w:rsidR="00961175" w:rsidRPr="00961175" w:rsidRDefault="00961175" w:rsidP="00961175">
      <w:pPr>
        <w:rPr>
          <w:lang w:val="en-GB" w:eastAsia="en-AU"/>
        </w:rPr>
      </w:pPr>
    </w:p>
    <w:p w14:paraId="01A06928" w14:textId="7AB62EFD" w:rsidR="00D966AA" w:rsidRPr="00D966AA" w:rsidRDefault="00D966AA" w:rsidP="00961175">
      <w:pPr>
        <w:pStyle w:val="Heading2"/>
      </w:pPr>
      <w:r w:rsidRPr="00D966AA">
        <w:t>Summary of proposed amendment</w:t>
      </w:r>
    </w:p>
    <w:p w14:paraId="01C69829" w14:textId="77777777" w:rsidR="00961175" w:rsidRDefault="00961175" w:rsidP="00961175">
      <w:pPr>
        <w:rPr>
          <w:lang w:eastAsia="en-AU"/>
        </w:rPr>
      </w:pPr>
    </w:p>
    <w:p w14:paraId="01EEDCB5" w14:textId="77777777" w:rsidR="00D966AA" w:rsidRDefault="00D966AA" w:rsidP="00961175">
      <w:pPr>
        <w:rPr>
          <w:lang w:eastAsia="en-AU"/>
        </w:rPr>
      </w:pPr>
      <w:r w:rsidRPr="00D966AA">
        <w:rPr>
          <w:lang w:eastAsia="en-AU"/>
        </w:rPr>
        <w:t xml:space="preserve">The </w:t>
      </w:r>
      <w:r w:rsidR="00C534D8">
        <w:rPr>
          <w:lang w:eastAsia="en-AU"/>
        </w:rPr>
        <w:t>B</w:t>
      </w:r>
      <w:r w:rsidR="00C534D8" w:rsidRPr="00D966AA">
        <w:rPr>
          <w:lang w:eastAsia="en-AU"/>
        </w:rPr>
        <w:t xml:space="preserve">ill </w:t>
      </w:r>
      <w:r w:rsidRPr="00D966AA">
        <w:rPr>
          <w:lang w:eastAsia="en-AU"/>
        </w:rPr>
        <w:t>proposes that certain expenditure on R&amp;D be eligible for R&amp;D tax credits</w:t>
      </w:r>
      <w:r w:rsidR="00F944BE">
        <w:rPr>
          <w:lang w:eastAsia="en-AU"/>
        </w:rPr>
        <w:t>.</w:t>
      </w:r>
    </w:p>
    <w:p w14:paraId="3A5297C2" w14:textId="77777777" w:rsidR="00961175" w:rsidRDefault="00961175" w:rsidP="00961175">
      <w:pPr>
        <w:rPr>
          <w:lang w:eastAsia="en-AU"/>
        </w:rPr>
      </w:pPr>
    </w:p>
    <w:p w14:paraId="0D94B928" w14:textId="77777777" w:rsidR="00961175" w:rsidRPr="00D966AA" w:rsidRDefault="00961175" w:rsidP="00961175">
      <w:pPr>
        <w:rPr>
          <w:lang w:eastAsia="en-AU"/>
        </w:rPr>
      </w:pPr>
    </w:p>
    <w:p w14:paraId="4395AF92" w14:textId="77777777" w:rsidR="00D966AA" w:rsidRPr="00D966AA" w:rsidRDefault="00D966AA" w:rsidP="00961175">
      <w:pPr>
        <w:pStyle w:val="Heading2"/>
      </w:pPr>
      <w:r w:rsidRPr="00D966AA">
        <w:t>Application date</w:t>
      </w:r>
    </w:p>
    <w:p w14:paraId="3AC81C6F" w14:textId="77777777" w:rsidR="00961175" w:rsidRDefault="00961175" w:rsidP="00961175">
      <w:pPr>
        <w:rPr>
          <w:lang w:eastAsia="en-AU"/>
        </w:rPr>
      </w:pPr>
    </w:p>
    <w:p w14:paraId="607D52A2" w14:textId="185D1B45" w:rsidR="00D966AA" w:rsidRDefault="00D966AA" w:rsidP="00961175">
      <w:pPr>
        <w:rPr>
          <w:lang w:eastAsia="en-AU"/>
        </w:rPr>
      </w:pPr>
      <w:r w:rsidRPr="00D966AA">
        <w:rPr>
          <w:lang w:eastAsia="en-AU"/>
        </w:rPr>
        <w:t xml:space="preserve">From the </w:t>
      </w:r>
      <w:r w:rsidR="00E010FC">
        <w:rPr>
          <w:lang w:eastAsia="en-AU"/>
        </w:rPr>
        <w:t>2019–20</w:t>
      </w:r>
      <w:r w:rsidRPr="00D966AA">
        <w:rPr>
          <w:lang w:eastAsia="en-AU"/>
        </w:rPr>
        <w:t xml:space="preserve"> income year.</w:t>
      </w:r>
    </w:p>
    <w:p w14:paraId="29F7A95E" w14:textId="77777777" w:rsidR="00961175" w:rsidRDefault="00961175" w:rsidP="00961175">
      <w:pPr>
        <w:rPr>
          <w:lang w:eastAsia="en-AU"/>
        </w:rPr>
      </w:pPr>
    </w:p>
    <w:p w14:paraId="1D2939DE" w14:textId="77777777" w:rsidR="00961175" w:rsidRPr="00D966AA" w:rsidRDefault="00961175" w:rsidP="00961175">
      <w:pPr>
        <w:rPr>
          <w:lang w:eastAsia="en-AU"/>
        </w:rPr>
      </w:pPr>
    </w:p>
    <w:p w14:paraId="42D7F33C" w14:textId="77777777" w:rsidR="00D966AA" w:rsidRPr="00D966AA" w:rsidRDefault="00D966AA" w:rsidP="00961175">
      <w:pPr>
        <w:pStyle w:val="Heading2"/>
      </w:pPr>
      <w:r w:rsidRPr="00D966AA">
        <w:t>Key features</w:t>
      </w:r>
    </w:p>
    <w:p w14:paraId="519DAE66" w14:textId="77777777" w:rsidR="00961175" w:rsidRDefault="00961175" w:rsidP="00961175"/>
    <w:p w14:paraId="719B0B3A" w14:textId="37493EE7" w:rsidR="00D966AA" w:rsidRPr="00D966AA" w:rsidRDefault="00A3471E" w:rsidP="00961175">
      <w:pPr>
        <w:pStyle w:val="Heading3"/>
      </w:pPr>
      <w:r>
        <w:t>Eligible expenditure</w:t>
      </w:r>
    </w:p>
    <w:p w14:paraId="640AA661" w14:textId="77777777" w:rsidR="00D966AA" w:rsidRPr="00D966AA" w:rsidRDefault="00D966AA" w:rsidP="00961175">
      <w:pPr>
        <w:rPr>
          <w:lang w:eastAsia="en-AU"/>
        </w:rPr>
      </w:pPr>
    </w:p>
    <w:p w14:paraId="079DD040" w14:textId="2FAFE7E2" w:rsidR="00D966AA" w:rsidRPr="00D966AA" w:rsidRDefault="00D966AA" w:rsidP="00961175">
      <w:pPr>
        <w:rPr>
          <w:lang w:eastAsia="en-AU"/>
        </w:rPr>
      </w:pPr>
      <w:r w:rsidRPr="00D966AA">
        <w:rPr>
          <w:lang w:eastAsia="en-AU"/>
        </w:rPr>
        <w:t xml:space="preserve">Proposed new section LY 5(1) defines eligible expenditure for </w:t>
      </w:r>
      <w:r w:rsidR="00A3471E">
        <w:rPr>
          <w:lang w:eastAsia="en-AU"/>
        </w:rPr>
        <w:t>the R&amp;D tax credit regime.</w:t>
      </w:r>
    </w:p>
    <w:p w14:paraId="4C4AE823" w14:textId="77777777" w:rsidR="00D966AA" w:rsidRPr="00D966AA" w:rsidRDefault="00D966AA" w:rsidP="00961175">
      <w:pPr>
        <w:rPr>
          <w:lang w:eastAsia="en-AU"/>
        </w:rPr>
      </w:pPr>
    </w:p>
    <w:p w14:paraId="70B86C17" w14:textId="0BDF9559" w:rsidR="00D966AA" w:rsidRPr="00D966AA" w:rsidRDefault="00D966AA" w:rsidP="00961175">
      <w:pPr>
        <w:rPr>
          <w:lang w:eastAsia="en-AU"/>
        </w:rPr>
      </w:pPr>
      <w:r w:rsidRPr="00D966AA">
        <w:rPr>
          <w:lang w:eastAsia="en-AU"/>
        </w:rPr>
        <w:t>Eligible expenditure includes expenditure or loss described in proposed new schedule 21B, part A, to the extent to which the expenditure or loss is incurred on an R&amp;D activity in the relevant income year. Schedule 21B, part A lists the categories of expenditure and loss that are eligible for R&amp;D tax credits</w:t>
      </w:r>
      <w:r w:rsidR="00EE5FE9">
        <w:rPr>
          <w:lang w:eastAsia="en-AU"/>
        </w:rPr>
        <w:t>. S</w:t>
      </w:r>
      <w:r w:rsidR="00C534D8">
        <w:rPr>
          <w:lang w:eastAsia="en-AU"/>
        </w:rPr>
        <w:t xml:space="preserve">ee </w:t>
      </w:r>
      <w:r w:rsidR="00EE5FE9" w:rsidRPr="00EE5FE9">
        <w:rPr>
          <w:rStyle w:val="Emphasis"/>
          <w:lang w:eastAsia="en-AU"/>
        </w:rPr>
        <w:t>Eligible and ineligible expenditure: schedule 21B</w:t>
      </w:r>
      <w:r w:rsidR="00EE5FE9">
        <w:rPr>
          <w:lang w:eastAsia="en-AU"/>
        </w:rPr>
        <w:t xml:space="preserve"> (</w:t>
      </w:r>
      <w:r w:rsidR="00C534D8" w:rsidRPr="008E7A3B">
        <w:rPr>
          <w:lang w:eastAsia="en-AU"/>
        </w:rPr>
        <w:t xml:space="preserve">page </w:t>
      </w:r>
      <w:r w:rsidR="00EE5FE9">
        <w:rPr>
          <w:lang w:eastAsia="en-AU"/>
        </w:rPr>
        <w:t xml:space="preserve">39) </w:t>
      </w:r>
      <w:r w:rsidR="00C534D8">
        <w:rPr>
          <w:lang w:eastAsia="en-AU"/>
        </w:rPr>
        <w:t>for more information</w:t>
      </w:r>
      <w:r w:rsidR="00A3471E">
        <w:rPr>
          <w:lang w:eastAsia="en-AU"/>
        </w:rPr>
        <w:t>.</w:t>
      </w:r>
    </w:p>
    <w:p w14:paraId="6E17A557" w14:textId="77777777" w:rsidR="00D966AA" w:rsidRPr="00D966AA" w:rsidRDefault="00D966AA" w:rsidP="00961175">
      <w:pPr>
        <w:rPr>
          <w:lang w:eastAsia="en-AU"/>
        </w:rPr>
      </w:pPr>
    </w:p>
    <w:p w14:paraId="1C2EE588" w14:textId="4CF4AA29" w:rsidR="00D966AA" w:rsidRPr="00D966AA" w:rsidRDefault="00D966AA" w:rsidP="00961175">
      <w:pPr>
        <w:rPr>
          <w:lang w:eastAsia="en-AU"/>
        </w:rPr>
      </w:pPr>
      <w:r w:rsidRPr="00D966AA">
        <w:rPr>
          <w:lang w:eastAsia="en-AU"/>
        </w:rPr>
        <w:t xml:space="preserve">Categories of expenditure or loss listed in schedule 21B, part B, are </w:t>
      </w:r>
      <w:r w:rsidRPr="00FD61CE">
        <w:rPr>
          <w:b/>
          <w:lang w:eastAsia="en-AU"/>
        </w:rPr>
        <w:t>not</w:t>
      </w:r>
      <w:r w:rsidR="004360B9">
        <w:rPr>
          <w:lang w:eastAsia="en-AU"/>
        </w:rPr>
        <w:t xml:space="preserve"> eligible expenditure for </w:t>
      </w:r>
      <w:r w:rsidR="00A3471E">
        <w:rPr>
          <w:lang w:eastAsia="en-AU"/>
        </w:rPr>
        <w:t>the R&amp;D tax credit regime.</w:t>
      </w:r>
    </w:p>
    <w:p w14:paraId="4E284DAD" w14:textId="77777777" w:rsidR="00D966AA" w:rsidRPr="00D966AA" w:rsidRDefault="00D966AA" w:rsidP="00961175">
      <w:pPr>
        <w:rPr>
          <w:lang w:eastAsia="en-AU"/>
        </w:rPr>
      </w:pPr>
    </w:p>
    <w:p w14:paraId="7B38B352" w14:textId="4C527902" w:rsidR="00D966AA" w:rsidRPr="00D966AA" w:rsidRDefault="00D966AA" w:rsidP="00961175">
      <w:pPr>
        <w:rPr>
          <w:lang w:eastAsia="en-AU"/>
        </w:rPr>
      </w:pPr>
      <w:r w:rsidRPr="00D966AA">
        <w:rPr>
          <w:lang w:eastAsia="en-AU"/>
        </w:rPr>
        <w:t xml:space="preserve">There are rules for expenditure incurred on R&amp;D activities performed in the course of commercial production. </w:t>
      </w:r>
      <w:r w:rsidR="00290D05">
        <w:rPr>
          <w:lang w:eastAsia="en-AU"/>
        </w:rPr>
        <w:t xml:space="preserve">In this case, </w:t>
      </w:r>
      <w:r w:rsidRPr="00D966AA">
        <w:rPr>
          <w:lang w:eastAsia="en-AU"/>
        </w:rPr>
        <w:t xml:space="preserve">expenditure on the activities is only eligible if it would not have been incurred in the absence of </w:t>
      </w:r>
      <w:r w:rsidR="00C534D8">
        <w:rPr>
          <w:lang w:eastAsia="en-AU"/>
        </w:rPr>
        <w:t>a</w:t>
      </w:r>
      <w:r w:rsidR="00C534D8" w:rsidRPr="00D966AA">
        <w:rPr>
          <w:lang w:eastAsia="en-AU"/>
        </w:rPr>
        <w:t xml:space="preserve"> </w:t>
      </w:r>
      <w:r w:rsidRPr="00D966AA">
        <w:rPr>
          <w:lang w:eastAsia="en-AU"/>
        </w:rPr>
        <w:t xml:space="preserve">person’s R&amp;D activities. </w:t>
      </w:r>
      <w:r w:rsidR="00290D05">
        <w:rPr>
          <w:lang w:eastAsia="en-AU"/>
        </w:rPr>
        <w:t>With respect to employees, the eligible amount is based on the employees’ contribution to the R&amp;D activities.</w:t>
      </w:r>
    </w:p>
    <w:p w14:paraId="2938541A" w14:textId="77777777" w:rsidR="00961175" w:rsidRDefault="00961175" w:rsidP="00961175"/>
    <w:p w14:paraId="494449F3" w14:textId="7FA29B77" w:rsidR="00D966AA" w:rsidRPr="00D966AA" w:rsidRDefault="00F55F04" w:rsidP="00961175">
      <w:pPr>
        <w:pStyle w:val="Heading3"/>
      </w:pPr>
      <w:r>
        <w:t>C</w:t>
      </w:r>
      <w:r w:rsidR="00A3471E">
        <w:t>ontracted and foreign R&amp;D</w:t>
      </w:r>
    </w:p>
    <w:p w14:paraId="5BD5BE2D" w14:textId="77777777" w:rsidR="00D966AA" w:rsidRPr="00D966AA" w:rsidRDefault="00D966AA" w:rsidP="00961175">
      <w:pPr>
        <w:rPr>
          <w:lang w:eastAsia="en-AU"/>
        </w:rPr>
      </w:pPr>
    </w:p>
    <w:p w14:paraId="31EDA874" w14:textId="44012255" w:rsidR="00C534D8" w:rsidRDefault="00D966AA" w:rsidP="00961175">
      <w:pPr>
        <w:rPr>
          <w:lang w:eastAsia="en-AU"/>
        </w:rPr>
      </w:pPr>
      <w:r w:rsidRPr="00D966AA">
        <w:rPr>
          <w:lang w:eastAsia="en-AU"/>
        </w:rPr>
        <w:t xml:space="preserve">Proposed new section LY 5(2) provides that </w:t>
      </w:r>
      <w:r w:rsidR="00C534D8">
        <w:rPr>
          <w:lang w:eastAsia="en-AU"/>
        </w:rPr>
        <w:t>the following amounts are only eligible to the extent provided by pr</w:t>
      </w:r>
      <w:r w:rsidR="00A3471E">
        <w:rPr>
          <w:lang w:eastAsia="en-AU"/>
        </w:rPr>
        <w:t>oposed new sections LY 6 and 7:</w:t>
      </w:r>
    </w:p>
    <w:p w14:paraId="1D8FF88B" w14:textId="77777777" w:rsidR="00961175" w:rsidRDefault="00961175" w:rsidP="00961175">
      <w:pPr>
        <w:rPr>
          <w:lang w:eastAsia="en-AU"/>
        </w:rPr>
      </w:pPr>
    </w:p>
    <w:p w14:paraId="05643765" w14:textId="2C725523" w:rsidR="00C534D8" w:rsidRDefault="00FD61CE" w:rsidP="00961175">
      <w:pPr>
        <w:pStyle w:val="dotpoint"/>
      </w:pPr>
      <w:r>
        <w:t>a</w:t>
      </w:r>
      <w:r w:rsidR="00C534D8" w:rsidRPr="00D966AA">
        <w:t xml:space="preserve">mounts </w:t>
      </w:r>
      <w:r w:rsidR="00D966AA" w:rsidRPr="00D966AA">
        <w:t>paid by to R&amp;D contractors</w:t>
      </w:r>
      <w:r w:rsidR="00C534D8">
        <w:t>; and</w:t>
      </w:r>
    </w:p>
    <w:p w14:paraId="70ADDB94" w14:textId="582E7A98" w:rsidR="00D966AA" w:rsidRDefault="00FD61CE" w:rsidP="00961175">
      <w:pPr>
        <w:pStyle w:val="dotpoint"/>
        <w:spacing w:after="0"/>
      </w:pPr>
      <w:r>
        <w:t>a</w:t>
      </w:r>
      <w:r w:rsidR="00D966AA" w:rsidRPr="00D966AA">
        <w:t>mounts incurred on foreign R&amp;D</w:t>
      </w:r>
      <w:r>
        <w:t>, including</w:t>
      </w:r>
      <w:r w:rsidR="00D966AA" w:rsidRPr="00D966AA">
        <w:t xml:space="preserve"> amounts paid to non-residents for work or services performed in New Zealand</w:t>
      </w:r>
      <w:r w:rsidR="00C534D8">
        <w:t>.</w:t>
      </w:r>
    </w:p>
    <w:p w14:paraId="70FF2323" w14:textId="77777777" w:rsidR="00961175" w:rsidRDefault="00961175" w:rsidP="00961175"/>
    <w:p w14:paraId="0133BF7C" w14:textId="77777777" w:rsidR="00961175" w:rsidRPr="00D966AA" w:rsidRDefault="00961175" w:rsidP="00961175"/>
    <w:p w14:paraId="3DC14445" w14:textId="77777777" w:rsidR="00453540" w:rsidRPr="00453540" w:rsidRDefault="00453540" w:rsidP="00453540">
      <w:r w:rsidRPr="00453540">
        <w:br w:type="page"/>
      </w:r>
    </w:p>
    <w:p w14:paraId="58CDBE51" w14:textId="25B577CA" w:rsidR="00D966AA" w:rsidRPr="00D966AA" w:rsidRDefault="00D966AA" w:rsidP="00961175">
      <w:pPr>
        <w:pStyle w:val="Heading2"/>
      </w:pPr>
      <w:r w:rsidRPr="00D966AA">
        <w:t>Background</w:t>
      </w:r>
    </w:p>
    <w:p w14:paraId="3945B44A" w14:textId="77777777" w:rsidR="00961175" w:rsidRDefault="00961175" w:rsidP="00961175"/>
    <w:p w14:paraId="680B0583" w14:textId="52599968" w:rsidR="00D966AA" w:rsidRPr="00D966AA" w:rsidRDefault="00A3471E" w:rsidP="00961175">
      <w:pPr>
        <w:pStyle w:val="Heading3"/>
      </w:pPr>
      <w:r>
        <w:t>Eligible expenditure</w:t>
      </w:r>
    </w:p>
    <w:p w14:paraId="09DF5580" w14:textId="77777777" w:rsidR="00D966AA" w:rsidRPr="00D966AA" w:rsidRDefault="00D966AA" w:rsidP="00961175">
      <w:pPr>
        <w:rPr>
          <w:lang w:val="en-GB" w:eastAsia="en-AU"/>
        </w:rPr>
      </w:pPr>
    </w:p>
    <w:p w14:paraId="57DFB9FC" w14:textId="257174B5" w:rsidR="00D966AA" w:rsidRPr="00D966AA" w:rsidRDefault="00D966AA" w:rsidP="00961175">
      <w:pPr>
        <w:rPr>
          <w:lang w:val="en-GB" w:eastAsia="en-AU"/>
        </w:rPr>
      </w:pPr>
      <w:r w:rsidRPr="00D966AA">
        <w:rPr>
          <w:lang w:val="en-GB" w:eastAsia="en-AU"/>
        </w:rPr>
        <w:t>Similar to the 2008 regime, proposed new schedule 21B lists categories of expenditure and loss and their eligibility for the R&amp;D tax credit regime. Instead of providing nexus and apportionment rules in the schedules, a “to the extent” test is provided in section LY 5(1)(a), which applies to expenditure on all R&amp;D activities except those performed in a com</w:t>
      </w:r>
      <w:r w:rsidR="00A3471E">
        <w:rPr>
          <w:lang w:val="en-GB" w:eastAsia="en-AU"/>
        </w:rPr>
        <w:t>mercial production environment.</w:t>
      </w:r>
    </w:p>
    <w:p w14:paraId="3CEED203" w14:textId="77777777" w:rsidR="00D966AA" w:rsidRPr="00D966AA" w:rsidRDefault="00D966AA" w:rsidP="00961175">
      <w:pPr>
        <w:rPr>
          <w:lang w:val="en-GB" w:eastAsia="en-AU"/>
        </w:rPr>
      </w:pPr>
    </w:p>
    <w:p w14:paraId="30FB9249" w14:textId="343F0985" w:rsidR="00D966AA" w:rsidRPr="00D966AA" w:rsidRDefault="00D966AA" w:rsidP="00961175">
      <w:pPr>
        <w:rPr>
          <w:lang w:val="en-GB" w:eastAsia="en-AU"/>
        </w:rPr>
      </w:pPr>
      <w:r w:rsidRPr="00D966AA">
        <w:rPr>
          <w:lang w:val="en-GB" w:eastAsia="en-AU"/>
        </w:rPr>
        <w:t>A</w:t>
      </w:r>
      <w:r w:rsidR="00F55F04">
        <w:rPr>
          <w:lang w:val="en-GB" w:eastAsia="en-AU"/>
        </w:rPr>
        <w:t>n</w:t>
      </w:r>
      <w:r w:rsidRPr="00D966AA">
        <w:rPr>
          <w:lang w:val="en-GB" w:eastAsia="en-AU"/>
        </w:rPr>
        <w:t xml:space="preserve"> </w:t>
      </w:r>
      <w:r w:rsidR="00F55F04">
        <w:rPr>
          <w:lang w:val="en-GB" w:eastAsia="en-AU"/>
        </w:rPr>
        <w:t xml:space="preserve">alternate </w:t>
      </w:r>
      <w:r w:rsidRPr="00D966AA">
        <w:rPr>
          <w:lang w:val="en-GB" w:eastAsia="en-AU"/>
        </w:rPr>
        <w:t>apportionment rule applies to expenditure incurred on R&amp;D activities performed in the course of commercial production. This rule is necessary</w:t>
      </w:r>
      <w:r w:rsidR="007B66EE">
        <w:rPr>
          <w:lang w:val="en-GB" w:eastAsia="en-AU"/>
        </w:rPr>
        <w:t xml:space="preserve"> to prevent </w:t>
      </w:r>
      <w:r w:rsidR="00B349F9">
        <w:rPr>
          <w:lang w:val="en-GB" w:eastAsia="en-AU"/>
        </w:rPr>
        <w:t>business as usual</w:t>
      </w:r>
      <w:r w:rsidR="00C534D8">
        <w:rPr>
          <w:lang w:val="en-GB" w:eastAsia="en-AU"/>
        </w:rPr>
        <w:t xml:space="preserve"> </w:t>
      </w:r>
      <w:r w:rsidR="007B66EE">
        <w:rPr>
          <w:lang w:val="en-GB" w:eastAsia="en-AU"/>
        </w:rPr>
        <w:t>expenditure being recharacterised as R&amp;D expenditure.</w:t>
      </w:r>
      <w:r w:rsidRPr="00D966AA">
        <w:rPr>
          <w:lang w:val="en-GB" w:eastAsia="en-AU"/>
        </w:rPr>
        <w:t xml:space="preserve"> The rule does not apply to employee expenditure incurred on R&amp;D activities performed in the course of commercial production. </w:t>
      </w:r>
      <w:r w:rsidR="00697F90">
        <w:rPr>
          <w:lang w:val="en-GB" w:eastAsia="en-AU"/>
        </w:rPr>
        <w:t xml:space="preserve">A person </w:t>
      </w:r>
      <w:r w:rsidR="007B66EE">
        <w:rPr>
          <w:lang w:val="en-GB" w:eastAsia="en-AU"/>
        </w:rPr>
        <w:t xml:space="preserve">can </w:t>
      </w:r>
      <w:r w:rsidRPr="00D966AA">
        <w:rPr>
          <w:lang w:val="en-GB" w:eastAsia="en-AU"/>
        </w:rPr>
        <w:t>apportion expenditure on employees who perf</w:t>
      </w:r>
      <w:r w:rsidR="00A3471E">
        <w:rPr>
          <w:lang w:val="en-GB" w:eastAsia="en-AU"/>
        </w:rPr>
        <w:t xml:space="preserve">orm both </w:t>
      </w:r>
      <w:r w:rsidR="00B349F9">
        <w:rPr>
          <w:lang w:val="en-GB" w:eastAsia="en-AU"/>
        </w:rPr>
        <w:t>business as usual</w:t>
      </w:r>
      <w:r w:rsidR="00A3471E">
        <w:rPr>
          <w:lang w:val="en-GB" w:eastAsia="en-AU"/>
        </w:rPr>
        <w:t xml:space="preserve"> and R&amp;D functions.</w:t>
      </w:r>
    </w:p>
    <w:p w14:paraId="3F18F939" w14:textId="3D3C287D" w:rsidR="002B4A33" w:rsidRDefault="002B4A33" w:rsidP="00A3471E">
      <w:pPr>
        <w:rPr>
          <w:lang w:eastAsia="en-AU"/>
        </w:rPr>
      </w:pPr>
    </w:p>
    <w:p w14:paraId="3B2CD600" w14:textId="5BCAC893" w:rsidR="00A3471E" w:rsidRDefault="00A3471E" w:rsidP="00A3471E">
      <w:pPr>
        <w:pStyle w:val="Exampleheading1"/>
      </w:pPr>
      <w:r w:rsidRPr="00421265">
        <w:t>Example</w:t>
      </w:r>
      <w:r w:rsidR="00DF2F85">
        <w:t xml:space="preserve"> 5</w:t>
      </w:r>
      <w:r w:rsidRPr="00421265">
        <w:t>: R&amp;D pe</w:t>
      </w:r>
      <w:r w:rsidRPr="00697F90">
        <w:t>rformed by jelly manufacturer</w:t>
      </w:r>
    </w:p>
    <w:p w14:paraId="2B5A6E7B" w14:textId="77777777" w:rsidR="00A3471E" w:rsidRPr="00697F90" w:rsidRDefault="00A3471E" w:rsidP="00A3471E">
      <w:pPr>
        <w:pStyle w:val="Exampletext"/>
      </w:pPr>
    </w:p>
    <w:p w14:paraId="421A8A47" w14:textId="753CDC33" w:rsidR="00A3471E" w:rsidRDefault="00A3471E" w:rsidP="00A3471E">
      <w:pPr>
        <w:pStyle w:val="Exampletext"/>
      </w:pPr>
      <w:r w:rsidRPr="00697F90">
        <w:t>Jellatine Ltd has a factory in East Tamaki, where it produces a variety of food products that contain gelatine. It has been working on a new type of jelly injected with protein, vitamins, and minerals. The aim is to make this new jelly temperature resistant, so that it is able to stay gelatinous despite extreme heat or cold. Jellatine Ltd hopes that its new range of temperature impervious jellies will be attractive to participants in extreme endurance sp</w:t>
      </w:r>
      <w:r>
        <w:t>orts and long distance runners.</w:t>
      </w:r>
    </w:p>
    <w:p w14:paraId="3AD8868A" w14:textId="77777777" w:rsidR="00A3471E" w:rsidRPr="00697F90" w:rsidRDefault="00A3471E" w:rsidP="00A3471E">
      <w:pPr>
        <w:pStyle w:val="Exampletext"/>
      </w:pPr>
    </w:p>
    <w:p w14:paraId="0F379C30" w14:textId="77777777" w:rsidR="00A3471E" w:rsidRDefault="00A3471E" w:rsidP="00A3471E">
      <w:pPr>
        <w:pStyle w:val="Exampletext"/>
      </w:pPr>
      <w:r w:rsidRPr="00697F90">
        <w:t>After completing initial R&amp;D on the new jelly, Jellatine Ltd decides to start trial-runs in its factory to determine whether the new range of jellies can be mass produced on its usual production line. Every Saturday for two months, its entire factory (which is normally closed on weekends) is used to produce the newly developed jelly.</w:t>
      </w:r>
    </w:p>
    <w:p w14:paraId="1FAE3945" w14:textId="77777777" w:rsidR="00A3471E" w:rsidRPr="00697F90" w:rsidRDefault="00A3471E" w:rsidP="00A3471E">
      <w:pPr>
        <w:pStyle w:val="Exampletext"/>
      </w:pPr>
    </w:p>
    <w:p w14:paraId="636FA178" w14:textId="3D52A299" w:rsidR="00A3471E" w:rsidRDefault="00A3471E" w:rsidP="00A3471E">
      <w:pPr>
        <w:pStyle w:val="Exampletext"/>
      </w:pPr>
      <w:r w:rsidRPr="00697F90">
        <w:t xml:space="preserve">For the two months in which R&amp;D takes place in Jellatine Ltd’s factory, the overheads and consumable costs of the factory increase by </w:t>
      </w:r>
      <w:r w:rsidR="004360B9">
        <w:t>twenty percent</w:t>
      </w:r>
      <w:r w:rsidRPr="00697F90">
        <w:t xml:space="preserve">. </w:t>
      </w:r>
      <w:r w:rsidR="00290D05">
        <w:t xml:space="preserve">The test jelly is </w:t>
      </w:r>
      <w:r w:rsidRPr="00697F90">
        <w:t>disposed of at the end of each day, because it hasn’t undergone sufficient testing to be sold for human consumption. Jellatine Ltd pays its staff extra to come in on the weekend.</w:t>
      </w:r>
    </w:p>
    <w:p w14:paraId="79D7DD6F" w14:textId="77777777" w:rsidR="00A3471E" w:rsidRPr="00697F90" w:rsidRDefault="00A3471E" w:rsidP="00A3471E">
      <w:pPr>
        <w:pStyle w:val="Exampletext"/>
      </w:pPr>
    </w:p>
    <w:p w14:paraId="4C927619" w14:textId="48179A76" w:rsidR="00A3471E" w:rsidRDefault="00A3471E" w:rsidP="00A3471E">
      <w:pPr>
        <w:pStyle w:val="Exampletext"/>
      </w:pPr>
      <w:r w:rsidRPr="00697F90">
        <w:t>Jellatine Ltd purchases a building nearby, where it installs a heavy duty air-conditioning unit to test the new jelly’s responsiveness to temperature fluctuations (“temperature simulator”). The temperature simulator is used solely for R&amp;D activities. Two employees who would normally be responsible for monitoring the quality of all factory outputs for commercial sale are tasked with also monitoring the new jell</w:t>
      </w:r>
      <w:r>
        <w:t>y in the temperature simulator.</w:t>
      </w:r>
    </w:p>
    <w:p w14:paraId="4C8D7217" w14:textId="77777777" w:rsidR="00A3471E" w:rsidRPr="00697F90" w:rsidRDefault="00A3471E" w:rsidP="00A3471E">
      <w:pPr>
        <w:pStyle w:val="Exampletext"/>
      </w:pPr>
    </w:p>
    <w:p w14:paraId="29C98070" w14:textId="77777777" w:rsidR="00A3471E" w:rsidRDefault="00A3471E" w:rsidP="00A3471E">
      <w:pPr>
        <w:pStyle w:val="Exampletext"/>
      </w:pPr>
      <w:r w:rsidRPr="00697F90">
        <w:t>Jellatine Ltd’s eligible expenditure, after it starts trial runs in its factory and acquires the temperature simulator, is made up of:</w:t>
      </w:r>
    </w:p>
    <w:p w14:paraId="695EB24C" w14:textId="77777777" w:rsidR="00A3471E" w:rsidRPr="00697F90" w:rsidRDefault="00A3471E" w:rsidP="00A3471E">
      <w:pPr>
        <w:pStyle w:val="Exampletext"/>
      </w:pPr>
    </w:p>
    <w:p w14:paraId="32511CFC" w14:textId="757E22A8" w:rsidR="00A3471E" w:rsidRPr="00697F90" w:rsidRDefault="00A3471E" w:rsidP="00A3471E">
      <w:pPr>
        <w:pStyle w:val="Examplebullet1"/>
      </w:pPr>
      <w:r w:rsidRPr="00697F90">
        <w:t>The ext</w:t>
      </w:r>
      <w:r w:rsidR="00C02DAD">
        <w:t xml:space="preserve">ra </w:t>
      </w:r>
      <w:r w:rsidR="004360B9">
        <w:t>twenty percent</w:t>
      </w:r>
      <w:r w:rsidR="00C02DAD">
        <w:t xml:space="preserve"> of expenditure incurred for</w:t>
      </w:r>
      <w:r w:rsidRPr="00697F90">
        <w:t xml:space="preserve"> consumables and factory overhead costs, because these costs would not have been incurred in the absence of the </w:t>
      </w:r>
      <w:r w:rsidR="00FD61CE">
        <w:t>Jellatine Ltd’s R&amp;D activities.</w:t>
      </w:r>
    </w:p>
    <w:p w14:paraId="6CD1B048" w14:textId="3E2FDE80" w:rsidR="00A3471E" w:rsidRDefault="00A3471E" w:rsidP="00A3471E">
      <w:pPr>
        <w:pStyle w:val="Examplebullet1"/>
      </w:pPr>
      <w:r w:rsidRPr="00697F90">
        <w:t>Expenditure on the staff who come in each Saturday when R&amp;D is perfor</w:t>
      </w:r>
      <w:r w:rsidR="00FD61CE">
        <w:t>med in Jellatine Ltd’s factory.</w:t>
      </w:r>
    </w:p>
    <w:p w14:paraId="4364B7F6" w14:textId="6240BD08" w:rsidR="00A3471E" w:rsidRPr="009B002D" w:rsidRDefault="00A3471E" w:rsidP="00A3471E">
      <w:pPr>
        <w:pStyle w:val="Examplebullet1"/>
      </w:pPr>
      <w:r w:rsidRPr="009B002D">
        <w:t>Expenditure on Jellatine Ltd’s staff who monitor the jelly in the temperature simulator, to the extent to which the staff are monitoring the new jelly rather than carrying out their usual duties in relation to Jel</w:t>
      </w:r>
      <w:r w:rsidR="00FD61CE">
        <w:t xml:space="preserve">latine Ltd’s </w:t>
      </w:r>
      <w:r w:rsidR="00B349F9">
        <w:t>business as usual</w:t>
      </w:r>
      <w:r w:rsidR="00FD61CE">
        <w:t xml:space="preserve"> activities.</w:t>
      </w:r>
    </w:p>
    <w:p w14:paraId="09F23150" w14:textId="77EE6F01" w:rsidR="00A3471E" w:rsidRPr="00A3471E" w:rsidRDefault="00290D05" w:rsidP="00A3471E">
      <w:pPr>
        <w:pStyle w:val="Examplebullet1last"/>
        <w:spacing w:after="0"/>
      </w:pPr>
      <w:r>
        <w:t>E</w:t>
      </w:r>
      <w:r w:rsidR="00A3471E" w:rsidRPr="00A3471E">
        <w:t>xpenditure on services and non-depreciable property incurred in relation to the temperature simulator, and its depreciation loss on the depreciable property that makes up the temperature simulator, because the temperature simulator is used solely for Jellatine Ltd’s R&amp;D activities.</w:t>
      </w:r>
    </w:p>
    <w:p w14:paraId="47EA1468" w14:textId="77777777" w:rsidR="00A3471E" w:rsidRDefault="00A3471E" w:rsidP="00A3471E">
      <w:pPr>
        <w:rPr>
          <w:lang w:eastAsia="en-AU"/>
        </w:rPr>
      </w:pPr>
    </w:p>
    <w:p w14:paraId="3BD3F782" w14:textId="77777777" w:rsidR="00A3471E" w:rsidRDefault="00A3471E" w:rsidP="00A3471E"/>
    <w:p w14:paraId="4DCB1C34" w14:textId="77777777" w:rsidR="00A3471E" w:rsidRPr="00D966AA" w:rsidRDefault="00A3471E" w:rsidP="00A3471E">
      <w:pPr>
        <w:pStyle w:val="Heading3"/>
      </w:pPr>
      <w:r>
        <w:t>C</w:t>
      </w:r>
      <w:r w:rsidRPr="00D966AA">
        <w:t>ontracted and foreign R&amp;D</w:t>
      </w:r>
    </w:p>
    <w:p w14:paraId="0405E45D" w14:textId="77777777" w:rsidR="00A3471E" w:rsidRPr="00D966AA" w:rsidRDefault="00A3471E" w:rsidP="00A3471E">
      <w:pPr>
        <w:rPr>
          <w:lang w:val="en-GB" w:eastAsia="en-AU"/>
        </w:rPr>
      </w:pPr>
    </w:p>
    <w:p w14:paraId="711685B8" w14:textId="1A7B69FE" w:rsidR="00A3471E" w:rsidRPr="00697F90" w:rsidRDefault="00EE5FE9" w:rsidP="00A3471E">
      <w:pPr>
        <w:rPr>
          <w:lang w:val="en-GB" w:eastAsia="en-AU"/>
        </w:rPr>
      </w:pPr>
      <w:r>
        <w:rPr>
          <w:lang w:val="en-GB" w:eastAsia="en-AU"/>
        </w:rPr>
        <w:t>See the sections on</w:t>
      </w:r>
      <w:r w:rsidR="00A3471E" w:rsidRPr="00D966AA">
        <w:rPr>
          <w:lang w:val="en-GB" w:eastAsia="en-AU"/>
        </w:rPr>
        <w:t xml:space="preserve"> </w:t>
      </w:r>
      <w:r w:rsidRPr="00EE5FE9">
        <w:rPr>
          <w:rStyle w:val="Emphasis"/>
          <w:lang w:val="en-GB" w:eastAsia="en-AU"/>
        </w:rPr>
        <w:t>Contracted expenditure</w:t>
      </w:r>
      <w:r>
        <w:rPr>
          <w:lang w:val="en-GB" w:eastAsia="en-AU"/>
        </w:rPr>
        <w:t xml:space="preserve"> (</w:t>
      </w:r>
      <w:r w:rsidR="00A3471E" w:rsidRPr="002B4A33">
        <w:rPr>
          <w:lang w:val="en-GB" w:eastAsia="en-AU"/>
        </w:rPr>
        <w:t xml:space="preserve">page </w:t>
      </w:r>
      <w:r>
        <w:rPr>
          <w:lang w:val="en-GB" w:eastAsia="en-AU"/>
        </w:rPr>
        <w:t>33)</w:t>
      </w:r>
      <w:r w:rsidR="00A3471E" w:rsidRPr="002B4A33">
        <w:rPr>
          <w:lang w:val="en-GB" w:eastAsia="en-AU"/>
        </w:rPr>
        <w:t xml:space="preserve"> and </w:t>
      </w:r>
      <w:r w:rsidRPr="00EE5FE9">
        <w:rPr>
          <w:rStyle w:val="Emphasis"/>
          <w:lang w:val="en-GB" w:eastAsia="en-AU"/>
        </w:rPr>
        <w:t>Foreign expenditure</w:t>
      </w:r>
      <w:r>
        <w:rPr>
          <w:lang w:val="en-GB" w:eastAsia="en-AU"/>
        </w:rPr>
        <w:t xml:space="preserve"> (page </w:t>
      </w:r>
      <w:r w:rsidR="00A3471E" w:rsidRPr="002B4A33">
        <w:rPr>
          <w:lang w:val="en-GB" w:eastAsia="en-AU"/>
        </w:rPr>
        <w:t>3</w:t>
      </w:r>
      <w:r>
        <w:rPr>
          <w:lang w:val="en-GB" w:eastAsia="en-AU"/>
        </w:rPr>
        <w:t>5)</w:t>
      </w:r>
      <w:r w:rsidR="00A3471E" w:rsidRPr="00D966AA">
        <w:rPr>
          <w:lang w:val="en-GB" w:eastAsia="en-AU"/>
        </w:rPr>
        <w:t xml:space="preserve"> for more </w:t>
      </w:r>
      <w:r w:rsidR="00A3471E">
        <w:rPr>
          <w:lang w:val="en-GB" w:eastAsia="en-AU"/>
        </w:rPr>
        <w:t xml:space="preserve">information on expenditure </w:t>
      </w:r>
      <w:r>
        <w:rPr>
          <w:lang w:val="en-GB" w:eastAsia="en-AU"/>
        </w:rPr>
        <w:t>and</w:t>
      </w:r>
      <w:r w:rsidR="00A3471E">
        <w:rPr>
          <w:lang w:val="en-GB" w:eastAsia="en-AU"/>
        </w:rPr>
        <w:t xml:space="preserve"> loss</w:t>
      </w:r>
      <w:r>
        <w:rPr>
          <w:lang w:val="en-GB" w:eastAsia="en-AU"/>
        </w:rPr>
        <w:t>es</w:t>
      </w:r>
      <w:r w:rsidR="00A3471E">
        <w:rPr>
          <w:lang w:val="en-GB" w:eastAsia="en-AU"/>
        </w:rPr>
        <w:t xml:space="preserve"> incurred </w:t>
      </w:r>
      <w:r>
        <w:rPr>
          <w:lang w:val="en-GB" w:eastAsia="en-AU"/>
        </w:rPr>
        <w:t>for</w:t>
      </w:r>
      <w:r w:rsidR="00A3471E">
        <w:rPr>
          <w:lang w:val="en-GB" w:eastAsia="en-AU"/>
        </w:rPr>
        <w:t xml:space="preserve"> R&amp;D contractors and foreign R&amp;D</w:t>
      </w:r>
      <w:r w:rsidR="00A3471E" w:rsidRPr="00D966AA">
        <w:rPr>
          <w:szCs w:val="20"/>
          <w:lang w:eastAsia="en-AU"/>
        </w:rPr>
        <w:t>.</w:t>
      </w:r>
    </w:p>
    <w:p w14:paraId="6EE28783" w14:textId="0814DE0E" w:rsidR="00A3471E" w:rsidRDefault="00A3471E">
      <w:pPr>
        <w:spacing w:after="200" w:line="276" w:lineRule="auto"/>
        <w:jc w:val="left"/>
        <w:rPr>
          <w:lang w:eastAsia="en-AU"/>
        </w:rPr>
      </w:pPr>
      <w:r>
        <w:rPr>
          <w:lang w:eastAsia="en-AU"/>
        </w:rPr>
        <w:br w:type="page"/>
      </w:r>
    </w:p>
    <w:p w14:paraId="66593B4D" w14:textId="7A1DC12E" w:rsidR="00383726" w:rsidRPr="00D966AA" w:rsidRDefault="00577748" w:rsidP="00800C55">
      <w:pPr>
        <w:pStyle w:val="Heading1"/>
      </w:pPr>
      <w:bookmarkStart w:id="26" w:name="_Toc528157361"/>
      <w:bookmarkStart w:id="27" w:name="_Toc528195578"/>
      <w:r>
        <w:t>C</w:t>
      </w:r>
      <w:r w:rsidR="00383726" w:rsidRPr="00D966AA">
        <w:t>ontracted expenditure</w:t>
      </w:r>
      <w:bookmarkEnd w:id="26"/>
      <w:bookmarkEnd w:id="27"/>
    </w:p>
    <w:p w14:paraId="0844DE48" w14:textId="2B0D49DC" w:rsidR="00383726" w:rsidRDefault="00383726" w:rsidP="00A3471E">
      <w:pPr>
        <w:pStyle w:val="Heading3"/>
      </w:pPr>
      <w:r w:rsidRPr="00D966AA">
        <w:t>Clause 10 (proposed new section LY 6)</w:t>
      </w:r>
      <w:r w:rsidR="004F133F">
        <w:t xml:space="preserve"> and</w:t>
      </w:r>
      <w:r>
        <w:t xml:space="preserve"> </w:t>
      </w:r>
      <w:r w:rsidR="004F133F">
        <w:t>21(15)</w:t>
      </w:r>
    </w:p>
    <w:p w14:paraId="058E3EEB" w14:textId="77777777" w:rsidR="00A3471E" w:rsidRPr="00A3471E" w:rsidRDefault="00A3471E" w:rsidP="0040746E">
      <w:pPr>
        <w:rPr>
          <w:lang w:val="en-GB" w:eastAsia="en-AU"/>
        </w:rPr>
      </w:pPr>
    </w:p>
    <w:p w14:paraId="55101372" w14:textId="2DEAC2DB" w:rsidR="00383726" w:rsidRPr="00D966AA" w:rsidRDefault="00383726" w:rsidP="00A3471E">
      <w:pPr>
        <w:pStyle w:val="Heading2"/>
      </w:pPr>
      <w:r w:rsidRPr="00D966AA">
        <w:t>Summary of proposed amendment</w:t>
      </w:r>
    </w:p>
    <w:p w14:paraId="3D106981" w14:textId="77777777" w:rsidR="00A3471E" w:rsidRDefault="00A3471E" w:rsidP="0040746E">
      <w:pPr>
        <w:rPr>
          <w:lang w:eastAsia="en-AU"/>
        </w:rPr>
      </w:pPr>
    </w:p>
    <w:p w14:paraId="64C6EB75" w14:textId="77777777" w:rsidR="00383726" w:rsidRDefault="0031423D" w:rsidP="0040746E">
      <w:pPr>
        <w:rPr>
          <w:lang w:eastAsia="en-AU"/>
        </w:rPr>
      </w:pPr>
      <w:r>
        <w:rPr>
          <w:lang w:eastAsia="en-AU"/>
        </w:rPr>
        <w:t>The Bill</w:t>
      </w:r>
      <w:r w:rsidR="00383726" w:rsidRPr="00D966AA">
        <w:rPr>
          <w:lang w:eastAsia="en-AU"/>
        </w:rPr>
        <w:t xml:space="preserve"> </w:t>
      </w:r>
      <w:r>
        <w:rPr>
          <w:lang w:eastAsia="en-AU"/>
        </w:rPr>
        <w:t>proposes a formula for calculating eligible expenditure where a person pays an R&amp;D contractor to perform R&amp;D activities on their behalf (“contracted expenditure”).</w:t>
      </w:r>
    </w:p>
    <w:p w14:paraId="39AC532E" w14:textId="77777777" w:rsidR="00A3471E" w:rsidRDefault="00A3471E" w:rsidP="0040746E">
      <w:pPr>
        <w:rPr>
          <w:lang w:eastAsia="en-AU"/>
        </w:rPr>
      </w:pPr>
    </w:p>
    <w:p w14:paraId="22FFD2F8" w14:textId="77777777" w:rsidR="00A3471E" w:rsidRPr="00D966AA" w:rsidRDefault="00A3471E" w:rsidP="0040746E">
      <w:pPr>
        <w:rPr>
          <w:lang w:eastAsia="en-AU"/>
        </w:rPr>
      </w:pPr>
    </w:p>
    <w:p w14:paraId="3E43C8B0" w14:textId="77777777" w:rsidR="00383726" w:rsidRPr="00D966AA" w:rsidRDefault="00383726" w:rsidP="00A3471E">
      <w:pPr>
        <w:pStyle w:val="Heading2"/>
      </w:pPr>
      <w:r w:rsidRPr="00D966AA">
        <w:t>Application date</w:t>
      </w:r>
    </w:p>
    <w:p w14:paraId="0DCC2D12" w14:textId="77777777" w:rsidR="00A3471E" w:rsidRDefault="00A3471E" w:rsidP="0040746E">
      <w:pPr>
        <w:rPr>
          <w:lang w:eastAsia="en-AU"/>
        </w:rPr>
      </w:pPr>
    </w:p>
    <w:p w14:paraId="4976D1F7" w14:textId="6241ACF1" w:rsidR="00383726" w:rsidRDefault="00383726" w:rsidP="0040746E">
      <w:pPr>
        <w:rPr>
          <w:lang w:eastAsia="en-AU"/>
        </w:rPr>
      </w:pPr>
      <w:r w:rsidRPr="00D966AA">
        <w:rPr>
          <w:lang w:eastAsia="en-AU"/>
        </w:rPr>
        <w:t xml:space="preserve">From the </w:t>
      </w:r>
      <w:r w:rsidR="00E010FC">
        <w:rPr>
          <w:lang w:eastAsia="en-AU"/>
        </w:rPr>
        <w:t>2019–20</w:t>
      </w:r>
      <w:r w:rsidRPr="00D966AA">
        <w:rPr>
          <w:lang w:eastAsia="en-AU"/>
        </w:rPr>
        <w:t xml:space="preserve"> income year.</w:t>
      </w:r>
    </w:p>
    <w:p w14:paraId="4B4D43F8" w14:textId="77777777" w:rsidR="00A3471E" w:rsidRDefault="00A3471E" w:rsidP="0040746E">
      <w:pPr>
        <w:rPr>
          <w:lang w:eastAsia="en-AU"/>
        </w:rPr>
      </w:pPr>
    </w:p>
    <w:p w14:paraId="6E354CB2" w14:textId="77777777" w:rsidR="00A3471E" w:rsidRPr="00D966AA" w:rsidRDefault="00A3471E" w:rsidP="0040746E">
      <w:pPr>
        <w:rPr>
          <w:lang w:eastAsia="en-AU"/>
        </w:rPr>
      </w:pPr>
    </w:p>
    <w:p w14:paraId="6E61DC40" w14:textId="77777777" w:rsidR="00383726" w:rsidRPr="00D966AA" w:rsidRDefault="00383726" w:rsidP="00A3471E">
      <w:pPr>
        <w:pStyle w:val="Heading2"/>
      </w:pPr>
      <w:r w:rsidRPr="00D966AA">
        <w:t>Key features</w:t>
      </w:r>
    </w:p>
    <w:p w14:paraId="609C33BE" w14:textId="77777777" w:rsidR="00A3471E" w:rsidRDefault="00A3471E" w:rsidP="0040746E">
      <w:pPr>
        <w:rPr>
          <w:lang w:eastAsia="en-AU"/>
        </w:rPr>
      </w:pPr>
    </w:p>
    <w:p w14:paraId="3B4B7631" w14:textId="7E292B82" w:rsidR="00383726" w:rsidRDefault="00383726" w:rsidP="0040746E">
      <w:pPr>
        <w:rPr>
          <w:lang w:eastAsia="en-AU"/>
        </w:rPr>
      </w:pPr>
      <w:r w:rsidRPr="00D966AA">
        <w:rPr>
          <w:lang w:eastAsia="en-AU"/>
        </w:rPr>
        <w:t xml:space="preserve">Proposed new section LY 6 </w:t>
      </w:r>
      <w:r w:rsidR="00AC7195">
        <w:rPr>
          <w:lang w:eastAsia="en-AU"/>
        </w:rPr>
        <w:t xml:space="preserve">sets out the </w:t>
      </w:r>
      <w:r w:rsidR="0031423D">
        <w:rPr>
          <w:lang w:eastAsia="en-AU"/>
        </w:rPr>
        <w:t xml:space="preserve">formula for calculating a person’s eligible expenditure where the person </w:t>
      </w:r>
      <w:r w:rsidRPr="00D966AA">
        <w:rPr>
          <w:lang w:eastAsia="en-AU"/>
        </w:rPr>
        <w:t>(</w:t>
      </w:r>
      <w:r w:rsidR="0031423D">
        <w:rPr>
          <w:lang w:eastAsia="en-AU"/>
        </w:rPr>
        <w:t>the</w:t>
      </w:r>
      <w:r w:rsidR="0031423D" w:rsidRPr="00D966AA">
        <w:rPr>
          <w:lang w:eastAsia="en-AU"/>
        </w:rPr>
        <w:t xml:space="preserve"> </w:t>
      </w:r>
      <w:r w:rsidRPr="00D966AA">
        <w:rPr>
          <w:lang w:eastAsia="en-AU"/>
        </w:rPr>
        <w:t>principal) contracts another person (</w:t>
      </w:r>
      <w:r w:rsidR="0031423D">
        <w:rPr>
          <w:lang w:eastAsia="en-AU"/>
        </w:rPr>
        <w:t>the</w:t>
      </w:r>
      <w:r w:rsidR="0031423D" w:rsidRPr="00D966AA">
        <w:rPr>
          <w:lang w:eastAsia="en-AU"/>
        </w:rPr>
        <w:t xml:space="preserve"> </w:t>
      </w:r>
      <w:r w:rsidR="00BE07C0">
        <w:rPr>
          <w:lang w:eastAsia="en-AU"/>
        </w:rPr>
        <w:t>R&amp;D contractor</w:t>
      </w:r>
      <w:r w:rsidRPr="00D966AA">
        <w:rPr>
          <w:lang w:eastAsia="en-AU"/>
        </w:rPr>
        <w:t xml:space="preserve">) to perform </w:t>
      </w:r>
      <w:r w:rsidR="0031423D">
        <w:rPr>
          <w:lang w:eastAsia="en-AU"/>
        </w:rPr>
        <w:t>R&amp;D</w:t>
      </w:r>
      <w:r w:rsidRPr="00D966AA">
        <w:rPr>
          <w:lang w:eastAsia="en-AU"/>
        </w:rPr>
        <w:t xml:space="preserve"> activities </w:t>
      </w:r>
      <w:r w:rsidR="0031423D">
        <w:rPr>
          <w:lang w:eastAsia="en-AU"/>
        </w:rPr>
        <w:t>on their behalf.</w:t>
      </w:r>
    </w:p>
    <w:p w14:paraId="0B3CD7A5" w14:textId="77777777" w:rsidR="003A382F" w:rsidRDefault="003A382F" w:rsidP="003A382F">
      <w:pPr>
        <w:rPr>
          <w:lang w:eastAsia="en-AU"/>
        </w:rPr>
      </w:pPr>
    </w:p>
    <w:p w14:paraId="083B2836" w14:textId="2F42F269" w:rsidR="003A382F" w:rsidRDefault="003A382F" w:rsidP="003A382F">
      <w:pPr>
        <w:rPr>
          <w:lang w:eastAsia="en-AU"/>
        </w:rPr>
      </w:pPr>
      <w:r>
        <w:rPr>
          <w:lang w:eastAsia="en-AU"/>
        </w:rPr>
        <w:t>The contracted expenditure formula is:</w:t>
      </w:r>
    </w:p>
    <w:p w14:paraId="6082594F" w14:textId="77777777" w:rsidR="003A382F" w:rsidRDefault="003A382F" w:rsidP="003A382F">
      <w:pPr>
        <w:rPr>
          <w:lang w:eastAsia="en-AU"/>
        </w:rPr>
      </w:pPr>
    </w:p>
    <w:p w14:paraId="6379DCB5" w14:textId="03A926A9" w:rsidR="00A3471E" w:rsidRDefault="003A382F" w:rsidP="003A382F">
      <w:pPr>
        <w:jc w:val="center"/>
        <w:rPr>
          <w:lang w:eastAsia="en-AU"/>
        </w:rPr>
      </w:pPr>
      <w:r>
        <w:rPr>
          <w:lang w:eastAsia="en-AU"/>
        </w:rPr>
        <w:t>0.8 × (contract amount – ineligible expenditure)</w:t>
      </w:r>
    </w:p>
    <w:p w14:paraId="3D0DF00C" w14:textId="63D847A6" w:rsidR="000B36E9" w:rsidRPr="00D966AA" w:rsidRDefault="000B36E9" w:rsidP="0040746E">
      <w:pPr>
        <w:rPr>
          <w:lang w:eastAsia="en-AU"/>
        </w:rPr>
      </w:pPr>
    </w:p>
    <w:p w14:paraId="643E0C9F" w14:textId="77777777" w:rsidR="00A3471E" w:rsidRDefault="00A3471E" w:rsidP="0040746E"/>
    <w:p w14:paraId="5ABECCC2" w14:textId="77777777" w:rsidR="00383726" w:rsidRDefault="00383726" w:rsidP="0040746E">
      <w:pPr>
        <w:pStyle w:val="Heading2"/>
      </w:pPr>
      <w:r w:rsidRPr="00D966AA">
        <w:t>Background</w:t>
      </w:r>
    </w:p>
    <w:p w14:paraId="3B770F25" w14:textId="77777777" w:rsidR="00A3471E" w:rsidRPr="00A3471E" w:rsidRDefault="00A3471E" w:rsidP="0040746E">
      <w:pPr>
        <w:rPr>
          <w:lang w:eastAsia="en-AU"/>
        </w:rPr>
      </w:pPr>
    </w:p>
    <w:p w14:paraId="64C2047E" w14:textId="77777777" w:rsidR="00383726" w:rsidRPr="0040746E" w:rsidRDefault="00383726" w:rsidP="0040746E">
      <w:pPr>
        <w:pStyle w:val="Heading3"/>
      </w:pPr>
      <w:r w:rsidRPr="0040746E">
        <w:t>Profit margin</w:t>
      </w:r>
    </w:p>
    <w:p w14:paraId="023343B3" w14:textId="77777777" w:rsidR="00383726" w:rsidRPr="00D966AA" w:rsidRDefault="00383726" w:rsidP="0040746E">
      <w:pPr>
        <w:rPr>
          <w:lang w:eastAsia="en-AU"/>
        </w:rPr>
      </w:pPr>
    </w:p>
    <w:p w14:paraId="6305B2D7" w14:textId="1FC5CDF2" w:rsidR="005C51AA" w:rsidRDefault="00421265" w:rsidP="0040746E">
      <w:pPr>
        <w:rPr>
          <w:lang w:eastAsia="en-AU"/>
        </w:rPr>
      </w:pPr>
      <w:r w:rsidRPr="00421265">
        <w:rPr>
          <w:lang w:eastAsia="en-AU"/>
        </w:rPr>
        <w:t>The 0.8 figure is designed to prevent the principal from getting an R&amp;D tax credit on the contractor’s profit margin</w:t>
      </w:r>
      <w:r w:rsidR="00485279">
        <w:rPr>
          <w:lang w:eastAsia="en-AU"/>
        </w:rPr>
        <w:t xml:space="preserve">. </w:t>
      </w:r>
      <w:r w:rsidRPr="00421265">
        <w:rPr>
          <w:lang w:eastAsia="en-AU"/>
        </w:rPr>
        <w:t xml:space="preserve">For simplicity, a </w:t>
      </w:r>
      <w:r w:rsidR="004360B9">
        <w:rPr>
          <w:lang w:eastAsia="en-AU"/>
        </w:rPr>
        <w:t>twenty percent</w:t>
      </w:r>
      <w:r w:rsidRPr="00421265">
        <w:rPr>
          <w:lang w:eastAsia="en-AU"/>
        </w:rPr>
        <w:t xml:space="preserve"> profit margin has been chosen.</w:t>
      </w:r>
    </w:p>
    <w:p w14:paraId="60A52FFF" w14:textId="77777777" w:rsidR="00421265" w:rsidRDefault="00421265" w:rsidP="0040746E">
      <w:pPr>
        <w:rPr>
          <w:lang w:eastAsia="en-AU"/>
        </w:rPr>
      </w:pPr>
    </w:p>
    <w:p w14:paraId="6CAADF00" w14:textId="60C3B1A6" w:rsidR="00383726" w:rsidRDefault="00383726" w:rsidP="0040746E">
      <w:pPr>
        <w:rPr>
          <w:lang w:eastAsia="en-AU"/>
        </w:rPr>
      </w:pPr>
      <w:r w:rsidRPr="00D966AA">
        <w:rPr>
          <w:lang w:eastAsia="en-AU"/>
        </w:rPr>
        <w:t>A person doing R&amp;D in their own right is not able to claim R&amp;D tax credit</w:t>
      </w:r>
      <w:r w:rsidR="005C51AA">
        <w:rPr>
          <w:lang w:eastAsia="en-AU"/>
        </w:rPr>
        <w:t>s</w:t>
      </w:r>
      <w:r w:rsidRPr="00D966AA">
        <w:rPr>
          <w:lang w:eastAsia="en-AU"/>
        </w:rPr>
        <w:t xml:space="preserve"> for any profit margin</w:t>
      </w:r>
      <w:r w:rsidR="005C51AA">
        <w:rPr>
          <w:lang w:eastAsia="en-AU"/>
        </w:rPr>
        <w:t xml:space="preserve">. Therefore, </w:t>
      </w:r>
      <w:r w:rsidRPr="00D966AA">
        <w:rPr>
          <w:lang w:eastAsia="en-AU"/>
        </w:rPr>
        <w:t>it is considered appropriate that principals are not able to claim R&amp;D tax credit</w:t>
      </w:r>
      <w:r w:rsidR="005C51AA">
        <w:rPr>
          <w:lang w:eastAsia="en-AU"/>
        </w:rPr>
        <w:t>s</w:t>
      </w:r>
      <w:r w:rsidRPr="00D966AA">
        <w:rPr>
          <w:lang w:eastAsia="en-AU"/>
        </w:rPr>
        <w:t xml:space="preserve"> for </w:t>
      </w:r>
      <w:r w:rsidR="007118E2">
        <w:rPr>
          <w:lang w:eastAsia="en-AU"/>
        </w:rPr>
        <w:t xml:space="preserve">profit </w:t>
      </w:r>
      <w:r w:rsidR="005C51AA">
        <w:rPr>
          <w:lang w:eastAsia="en-AU"/>
        </w:rPr>
        <w:t>derived by R&amp;D contractors that they pay to perform R&amp;D activities on their behalf.</w:t>
      </w:r>
    </w:p>
    <w:p w14:paraId="00E7D473" w14:textId="77777777" w:rsidR="0040746E" w:rsidRPr="00D966AA" w:rsidRDefault="0040746E" w:rsidP="0040746E">
      <w:pPr>
        <w:rPr>
          <w:lang w:eastAsia="en-AU"/>
        </w:rPr>
      </w:pPr>
    </w:p>
    <w:p w14:paraId="7239EC0C" w14:textId="77777777" w:rsidR="00383726" w:rsidRPr="00D966AA" w:rsidRDefault="007118E2" w:rsidP="0040746E">
      <w:pPr>
        <w:pStyle w:val="Heading3"/>
      </w:pPr>
      <w:r>
        <w:t>I</w:t>
      </w:r>
      <w:r w:rsidR="00383726" w:rsidRPr="00D966AA">
        <w:t>neligible expenditure</w:t>
      </w:r>
    </w:p>
    <w:p w14:paraId="33217BAD" w14:textId="77777777" w:rsidR="00383726" w:rsidRPr="00D966AA" w:rsidRDefault="00383726" w:rsidP="0040746E">
      <w:pPr>
        <w:rPr>
          <w:lang w:eastAsia="en-AU"/>
        </w:rPr>
      </w:pPr>
    </w:p>
    <w:p w14:paraId="2692644E" w14:textId="77B83B40" w:rsidR="00383726" w:rsidRDefault="00383726" w:rsidP="0040746E">
      <w:pPr>
        <w:rPr>
          <w:rFonts w:eastAsia="Times New Roman" w:cs="Times New Roman"/>
          <w:szCs w:val="20"/>
          <w:lang w:eastAsia="en-AU"/>
        </w:rPr>
      </w:pPr>
      <w:r w:rsidRPr="00D966AA">
        <w:rPr>
          <w:rFonts w:eastAsia="Times New Roman" w:cs="Times New Roman"/>
          <w:szCs w:val="20"/>
          <w:lang w:eastAsia="en-AU"/>
        </w:rPr>
        <w:t xml:space="preserve">Ineligible expenditure </w:t>
      </w:r>
      <w:r w:rsidR="007118E2">
        <w:rPr>
          <w:rFonts w:eastAsia="Times New Roman" w:cs="Times New Roman"/>
          <w:szCs w:val="20"/>
          <w:lang w:eastAsia="en-AU"/>
        </w:rPr>
        <w:t xml:space="preserve">must be removed from the contract amount. </w:t>
      </w:r>
      <w:r w:rsidR="005C51AA">
        <w:rPr>
          <w:rFonts w:eastAsia="Times New Roman" w:cs="Times New Roman"/>
          <w:szCs w:val="20"/>
          <w:lang w:eastAsia="en-AU"/>
        </w:rPr>
        <w:t>It is expected that some contracts may be for activities that are not exclusively R&amp;D activities, and that R&amp;D contractors may incur expenditure that is ineligible expendit</w:t>
      </w:r>
      <w:r w:rsidR="005C51AA" w:rsidRPr="002B4A33">
        <w:rPr>
          <w:rFonts w:eastAsia="Times New Roman" w:cs="Times New Roman"/>
          <w:szCs w:val="20"/>
          <w:lang w:eastAsia="en-AU"/>
        </w:rPr>
        <w:t xml:space="preserve">ure. </w:t>
      </w:r>
      <w:r w:rsidR="00421C3F">
        <w:rPr>
          <w:rFonts w:eastAsia="Times New Roman" w:cs="Times New Roman"/>
          <w:szCs w:val="20"/>
          <w:lang w:eastAsia="en-AU"/>
        </w:rPr>
        <w:t>See the section on</w:t>
      </w:r>
      <w:r w:rsidR="005C51AA" w:rsidRPr="002B4A33">
        <w:rPr>
          <w:rFonts w:eastAsia="Times New Roman" w:cs="Times New Roman"/>
          <w:szCs w:val="20"/>
          <w:lang w:eastAsia="en-AU"/>
        </w:rPr>
        <w:t xml:space="preserve"> </w:t>
      </w:r>
      <w:r w:rsidR="00421C3F" w:rsidRPr="00190D5A">
        <w:rPr>
          <w:rStyle w:val="Emphasis"/>
          <w:lang w:eastAsia="en-AU"/>
        </w:rPr>
        <w:t>Eligible and ineligible expenditure: schedule 21B</w:t>
      </w:r>
      <w:r w:rsidR="00421C3F">
        <w:rPr>
          <w:rFonts w:eastAsia="Times New Roman" w:cs="Times New Roman"/>
          <w:szCs w:val="20"/>
          <w:lang w:eastAsia="en-AU"/>
        </w:rPr>
        <w:t xml:space="preserve"> (</w:t>
      </w:r>
      <w:r w:rsidRPr="002B4A33">
        <w:rPr>
          <w:rFonts w:eastAsia="Times New Roman" w:cs="Times New Roman"/>
          <w:szCs w:val="20"/>
          <w:lang w:eastAsia="en-AU"/>
        </w:rPr>
        <w:t xml:space="preserve">page </w:t>
      </w:r>
      <w:r w:rsidR="00421C3F">
        <w:rPr>
          <w:rFonts w:eastAsia="Times New Roman" w:cs="Times New Roman"/>
          <w:szCs w:val="20"/>
          <w:lang w:eastAsia="en-AU"/>
        </w:rPr>
        <w:t xml:space="preserve">39) </w:t>
      </w:r>
      <w:r w:rsidR="007118E2" w:rsidRPr="002B4A33">
        <w:rPr>
          <w:rFonts w:eastAsia="Times New Roman" w:cs="Times New Roman"/>
          <w:szCs w:val="20"/>
          <w:lang w:eastAsia="en-AU"/>
        </w:rPr>
        <w:t xml:space="preserve">for </w:t>
      </w:r>
      <w:r w:rsidR="00421C3F">
        <w:rPr>
          <w:rFonts w:eastAsia="Times New Roman" w:cs="Times New Roman"/>
          <w:szCs w:val="20"/>
          <w:lang w:eastAsia="en-AU"/>
        </w:rPr>
        <w:t>more information</w:t>
      </w:r>
      <w:r w:rsidR="005C51AA" w:rsidRPr="002B4A33">
        <w:rPr>
          <w:rFonts w:eastAsia="Times New Roman" w:cs="Times New Roman"/>
          <w:szCs w:val="20"/>
          <w:lang w:eastAsia="en-AU"/>
        </w:rPr>
        <w:t>.</w:t>
      </w:r>
    </w:p>
    <w:p w14:paraId="4E831D06" w14:textId="77777777" w:rsidR="0040746E" w:rsidRDefault="0040746E" w:rsidP="0040746E">
      <w:pPr>
        <w:rPr>
          <w:rFonts w:eastAsia="Times New Roman" w:cs="Times New Roman"/>
          <w:szCs w:val="20"/>
          <w:lang w:eastAsia="en-AU"/>
        </w:rPr>
      </w:pPr>
    </w:p>
    <w:p w14:paraId="16FD425A" w14:textId="77777777" w:rsidR="0040746E" w:rsidRDefault="0040746E" w:rsidP="0040746E">
      <w:pPr>
        <w:rPr>
          <w:rFonts w:eastAsia="Times New Roman" w:cs="Times New Roman"/>
          <w:szCs w:val="20"/>
          <w:lang w:eastAsia="en-AU"/>
        </w:rPr>
      </w:pPr>
    </w:p>
    <w:p w14:paraId="493046AA" w14:textId="77777777" w:rsidR="00453540" w:rsidRPr="00453540" w:rsidRDefault="00453540" w:rsidP="00453540">
      <w:r w:rsidRPr="00453540">
        <w:br w:type="page"/>
      </w:r>
    </w:p>
    <w:p w14:paraId="591ED09D" w14:textId="3A64D446" w:rsidR="00383726" w:rsidRPr="00D966AA" w:rsidRDefault="00383726" w:rsidP="0040746E">
      <w:pPr>
        <w:pStyle w:val="Heading2"/>
      </w:pPr>
      <w:r w:rsidRPr="00D966AA">
        <w:t>Detailed analysis</w:t>
      </w:r>
    </w:p>
    <w:p w14:paraId="0CE74200" w14:textId="77777777" w:rsidR="0040746E" w:rsidRDefault="0040746E" w:rsidP="0040746E"/>
    <w:p w14:paraId="0E35ED6E" w14:textId="77777777" w:rsidR="00383726" w:rsidRPr="0040746E" w:rsidRDefault="00383726" w:rsidP="0040746E">
      <w:pPr>
        <w:pStyle w:val="Heading3"/>
      </w:pPr>
      <w:r w:rsidRPr="0040746E">
        <w:t>Contracted R&amp;D</w:t>
      </w:r>
    </w:p>
    <w:p w14:paraId="45E258FF" w14:textId="77777777" w:rsidR="00383726" w:rsidRPr="00D966AA" w:rsidRDefault="00383726" w:rsidP="0040746E">
      <w:pPr>
        <w:rPr>
          <w:lang w:eastAsia="en-AU"/>
        </w:rPr>
      </w:pPr>
    </w:p>
    <w:p w14:paraId="177D05C8" w14:textId="77777777" w:rsidR="00383726" w:rsidRDefault="00383726" w:rsidP="0040746E">
      <w:pPr>
        <w:rPr>
          <w:lang w:eastAsia="en-AU"/>
        </w:rPr>
      </w:pPr>
      <w:r w:rsidRPr="00D966AA">
        <w:rPr>
          <w:lang w:eastAsia="en-AU"/>
        </w:rPr>
        <w:t xml:space="preserve">Proposed new section LY 6 defines a person’s contracted expenditure </w:t>
      </w:r>
      <w:r w:rsidR="005C51AA">
        <w:rPr>
          <w:lang w:eastAsia="en-AU"/>
        </w:rPr>
        <w:t xml:space="preserve">(referred to in the legislation as contracted research and development expenditure) </w:t>
      </w:r>
      <w:r w:rsidRPr="00D966AA">
        <w:rPr>
          <w:lang w:eastAsia="en-AU"/>
        </w:rPr>
        <w:t>as an amount for a</w:t>
      </w:r>
      <w:r w:rsidR="005C51AA">
        <w:rPr>
          <w:lang w:eastAsia="en-AU"/>
        </w:rPr>
        <w:t>n</w:t>
      </w:r>
      <w:r>
        <w:rPr>
          <w:lang w:eastAsia="en-AU"/>
        </w:rPr>
        <w:t xml:space="preserve"> </w:t>
      </w:r>
      <w:r w:rsidR="005C51AA">
        <w:rPr>
          <w:lang w:eastAsia="en-AU"/>
        </w:rPr>
        <w:t>R&amp;D</w:t>
      </w:r>
      <w:r w:rsidRPr="00D966AA">
        <w:rPr>
          <w:lang w:eastAsia="en-AU"/>
        </w:rPr>
        <w:t xml:space="preserve"> contractor to perform R&amp;D</w:t>
      </w:r>
      <w:r w:rsidR="005C51AA">
        <w:rPr>
          <w:lang w:eastAsia="en-AU"/>
        </w:rPr>
        <w:t xml:space="preserve"> activities</w:t>
      </w:r>
      <w:r w:rsidRPr="00D966AA">
        <w:rPr>
          <w:lang w:eastAsia="en-AU"/>
        </w:rPr>
        <w:t xml:space="preserve"> for them.</w:t>
      </w:r>
    </w:p>
    <w:p w14:paraId="325386A6" w14:textId="77777777" w:rsidR="00383726" w:rsidRDefault="00383726" w:rsidP="0040746E">
      <w:pPr>
        <w:rPr>
          <w:lang w:eastAsia="en-AU"/>
        </w:rPr>
      </w:pPr>
    </w:p>
    <w:p w14:paraId="49616299" w14:textId="5717F552" w:rsidR="00383726" w:rsidRDefault="00383726" w:rsidP="0040746E">
      <w:pPr>
        <w:rPr>
          <w:lang w:eastAsia="en-AU"/>
        </w:rPr>
      </w:pPr>
      <w:r>
        <w:rPr>
          <w:lang w:eastAsia="en-AU"/>
        </w:rPr>
        <w:t>A</w:t>
      </w:r>
      <w:r w:rsidR="005C51AA">
        <w:rPr>
          <w:lang w:eastAsia="en-AU"/>
        </w:rPr>
        <w:t>n</w:t>
      </w:r>
      <w:r>
        <w:rPr>
          <w:lang w:eastAsia="en-AU"/>
        </w:rPr>
        <w:t xml:space="preserve"> </w:t>
      </w:r>
      <w:r w:rsidR="005C51AA">
        <w:rPr>
          <w:lang w:eastAsia="en-AU"/>
        </w:rPr>
        <w:t xml:space="preserve">R&amp;D </w:t>
      </w:r>
      <w:r>
        <w:rPr>
          <w:lang w:eastAsia="en-AU"/>
        </w:rPr>
        <w:t xml:space="preserve">contractor is defined in section YA 1 </w:t>
      </w:r>
      <w:r w:rsidR="008F2D37">
        <w:rPr>
          <w:lang w:eastAsia="en-AU"/>
        </w:rPr>
        <w:t>as a</w:t>
      </w:r>
      <w:r>
        <w:rPr>
          <w:lang w:eastAsia="en-AU"/>
        </w:rPr>
        <w:t xml:space="preserve"> person who performs </w:t>
      </w:r>
      <w:r w:rsidR="008F2D37">
        <w:rPr>
          <w:lang w:eastAsia="en-AU"/>
        </w:rPr>
        <w:t xml:space="preserve">an R&amp;D </w:t>
      </w:r>
      <w:r>
        <w:rPr>
          <w:lang w:eastAsia="en-AU"/>
        </w:rPr>
        <w:t>activity on behalf</w:t>
      </w:r>
      <w:r w:rsidR="008F2D37">
        <w:rPr>
          <w:lang w:eastAsia="en-AU"/>
        </w:rPr>
        <w:t xml:space="preserve"> of another person</w:t>
      </w:r>
      <w:r w:rsidR="00485279">
        <w:rPr>
          <w:lang w:eastAsia="en-AU"/>
        </w:rPr>
        <w:t xml:space="preserve">. </w:t>
      </w:r>
      <w:r w:rsidR="008F2D37">
        <w:rPr>
          <w:lang w:eastAsia="en-AU"/>
        </w:rPr>
        <w:t xml:space="preserve">The definition excludes </w:t>
      </w:r>
      <w:r>
        <w:rPr>
          <w:lang w:eastAsia="en-AU"/>
        </w:rPr>
        <w:t xml:space="preserve">industry organisations which receive levies </w:t>
      </w:r>
      <w:r w:rsidR="008F2D37">
        <w:rPr>
          <w:lang w:eastAsia="en-AU"/>
        </w:rPr>
        <w:t xml:space="preserve">from their members to fund their </w:t>
      </w:r>
      <w:r>
        <w:rPr>
          <w:lang w:eastAsia="en-AU"/>
        </w:rPr>
        <w:t>R&amp;D</w:t>
      </w:r>
      <w:r w:rsidR="008F2D37">
        <w:rPr>
          <w:lang w:eastAsia="en-AU"/>
        </w:rPr>
        <w:t xml:space="preserve"> activities</w:t>
      </w:r>
      <w:r w:rsidR="00485279">
        <w:rPr>
          <w:lang w:eastAsia="en-AU"/>
        </w:rPr>
        <w:t xml:space="preserve">. </w:t>
      </w:r>
      <w:r>
        <w:rPr>
          <w:lang w:eastAsia="en-AU"/>
        </w:rPr>
        <w:t>These bodies are eligible for the tax incentive in their own right.</w:t>
      </w:r>
    </w:p>
    <w:p w14:paraId="38106EAF" w14:textId="77777777" w:rsidR="00383726" w:rsidRPr="00D966AA" w:rsidRDefault="00383726" w:rsidP="0040746E">
      <w:pPr>
        <w:rPr>
          <w:lang w:eastAsia="en-AU"/>
        </w:rPr>
      </w:pPr>
    </w:p>
    <w:p w14:paraId="69730703" w14:textId="54BD7B27" w:rsidR="00383726" w:rsidRDefault="00383726" w:rsidP="0040746E">
      <w:pPr>
        <w:rPr>
          <w:lang w:eastAsia="en-AU"/>
        </w:rPr>
      </w:pPr>
      <w:r w:rsidRPr="00D966AA">
        <w:rPr>
          <w:lang w:eastAsia="en-AU"/>
        </w:rPr>
        <w:t xml:space="preserve">Contracted expenditure </w:t>
      </w:r>
      <w:r w:rsidR="008F2D37">
        <w:rPr>
          <w:lang w:eastAsia="en-AU"/>
        </w:rPr>
        <w:t xml:space="preserve">forms </w:t>
      </w:r>
      <w:r w:rsidRPr="00D966AA">
        <w:rPr>
          <w:lang w:eastAsia="en-AU"/>
        </w:rPr>
        <w:t>part of a person’s eligible expenditure</w:t>
      </w:r>
      <w:r w:rsidR="00485279">
        <w:rPr>
          <w:lang w:eastAsia="en-AU"/>
        </w:rPr>
        <w:t xml:space="preserve">. </w:t>
      </w:r>
      <w:r w:rsidR="00AC7195">
        <w:rPr>
          <w:lang w:eastAsia="en-AU"/>
        </w:rPr>
        <w:t>I</w:t>
      </w:r>
      <w:r w:rsidR="008F2D37" w:rsidRPr="00D966AA">
        <w:rPr>
          <w:lang w:eastAsia="en-AU"/>
        </w:rPr>
        <w:t xml:space="preserve">t </w:t>
      </w:r>
      <w:r w:rsidRPr="00D966AA">
        <w:rPr>
          <w:lang w:eastAsia="en-AU"/>
        </w:rPr>
        <w:t>is calculated using the formula:</w:t>
      </w:r>
    </w:p>
    <w:p w14:paraId="284AA428" w14:textId="77777777" w:rsidR="00AC7195" w:rsidRPr="00D966AA" w:rsidRDefault="00AC7195" w:rsidP="0040746E">
      <w:pPr>
        <w:rPr>
          <w:lang w:eastAsia="en-AU"/>
        </w:rPr>
      </w:pPr>
    </w:p>
    <w:p w14:paraId="7CE0FD51" w14:textId="240A13DB" w:rsidR="00383726" w:rsidRDefault="00AC7195" w:rsidP="00AC7195">
      <w:pPr>
        <w:jc w:val="center"/>
        <w:rPr>
          <w:rFonts w:eastAsia="Times New Roman" w:cs="Times New Roman"/>
          <w:szCs w:val="20"/>
          <w:lang w:eastAsia="en-AU"/>
        </w:rPr>
      </w:pPr>
      <w:r w:rsidRPr="00AC7195">
        <w:rPr>
          <w:rFonts w:eastAsia="Times New Roman" w:cs="Times New Roman"/>
          <w:szCs w:val="20"/>
          <w:lang w:eastAsia="en-AU"/>
        </w:rPr>
        <w:t>0.8 × (contract amount – ineligible expenditure)</w:t>
      </w:r>
    </w:p>
    <w:p w14:paraId="159B3443" w14:textId="77777777" w:rsidR="008F2D37" w:rsidRDefault="008F2D37" w:rsidP="0040746E">
      <w:pPr>
        <w:rPr>
          <w:lang w:eastAsia="en-AU"/>
        </w:rPr>
      </w:pPr>
    </w:p>
    <w:p w14:paraId="7E30984C" w14:textId="77777777" w:rsidR="00383726" w:rsidRPr="00D966AA" w:rsidRDefault="00383726" w:rsidP="0040746E">
      <w:pPr>
        <w:rPr>
          <w:lang w:eastAsia="en-AU"/>
        </w:rPr>
      </w:pPr>
      <w:r w:rsidRPr="00D966AA">
        <w:rPr>
          <w:lang w:eastAsia="en-AU"/>
        </w:rPr>
        <w:t xml:space="preserve">Contract amount means the amount that </w:t>
      </w:r>
      <w:r w:rsidR="008F2D37">
        <w:rPr>
          <w:lang w:eastAsia="en-AU"/>
        </w:rPr>
        <w:t>a</w:t>
      </w:r>
      <w:r w:rsidR="008F2D37" w:rsidRPr="00D966AA">
        <w:rPr>
          <w:lang w:eastAsia="en-AU"/>
        </w:rPr>
        <w:t xml:space="preserve"> </w:t>
      </w:r>
      <w:r w:rsidRPr="00D966AA">
        <w:rPr>
          <w:lang w:eastAsia="en-AU"/>
        </w:rPr>
        <w:t xml:space="preserve">principal pays </w:t>
      </w:r>
      <w:r w:rsidR="008F2D37">
        <w:rPr>
          <w:lang w:eastAsia="en-AU"/>
        </w:rPr>
        <w:t>an R&amp;D</w:t>
      </w:r>
      <w:r w:rsidR="008F2D37" w:rsidRPr="00D966AA">
        <w:rPr>
          <w:lang w:eastAsia="en-AU"/>
        </w:rPr>
        <w:t xml:space="preserve"> </w:t>
      </w:r>
      <w:r w:rsidRPr="00D966AA">
        <w:rPr>
          <w:lang w:eastAsia="en-AU"/>
        </w:rPr>
        <w:t xml:space="preserve">contractor to perform </w:t>
      </w:r>
      <w:r w:rsidR="008F2D37">
        <w:rPr>
          <w:lang w:eastAsia="en-AU"/>
        </w:rPr>
        <w:t xml:space="preserve">R&amp;D </w:t>
      </w:r>
      <w:r w:rsidRPr="00D966AA">
        <w:rPr>
          <w:lang w:eastAsia="en-AU"/>
        </w:rPr>
        <w:t>activities</w:t>
      </w:r>
      <w:r w:rsidR="008F2D37">
        <w:rPr>
          <w:lang w:eastAsia="en-AU"/>
        </w:rPr>
        <w:t xml:space="preserve"> on the principal’s behalf</w:t>
      </w:r>
      <w:r w:rsidRPr="00D966AA">
        <w:rPr>
          <w:lang w:eastAsia="en-AU"/>
        </w:rPr>
        <w:t>.</w:t>
      </w:r>
    </w:p>
    <w:p w14:paraId="294F9106" w14:textId="77777777" w:rsidR="00383726" w:rsidRPr="00D966AA" w:rsidRDefault="00383726" w:rsidP="0040746E">
      <w:pPr>
        <w:rPr>
          <w:lang w:eastAsia="en-AU"/>
        </w:rPr>
      </w:pPr>
    </w:p>
    <w:p w14:paraId="6C7B5EEE" w14:textId="7A0879F1" w:rsidR="00383726" w:rsidRPr="00D966AA" w:rsidRDefault="00383726" w:rsidP="0040746E">
      <w:pPr>
        <w:rPr>
          <w:lang w:eastAsia="en-AU"/>
        </w:rPr>
      </w:pPr>
      <w:r w:rsidRPr="00D966AA">
        <w:rPr>
          <w:lang w:eastAsia="en-AU"/>
        </w:rPr>
        <w:t xml:space="preserve">Ineligible expenditure is the amount of the </w:t>
      </w:r>
      <w:r w:rsidR="008F2D37">
        <w:rPr>
          <w:lang w:eastAsia="en-AU"/>
        </w:rPr>
        <w:t xml:space="preserve">R&amp;D </w:t>
      </w:r>
      <w:r w:rsidRPr="00D966AA">
        <w:rPr>
          <w:lang w:eastAsia="en-AU"/>
        </w:rPr>
        <w:t xml:space="preserve">contractor’s expenditure </w:t>
      </w:r>
      <w:r w:rsidR="008F2D37">
        <w:rPr>
          <w:lang w:eastAsia="en-AU"/>
        </w:rPr>
        <w:t xml:space="preserve">or loss </w:t>
      </w:r>
      <w:r w:rsidRPr="00D966AA">
        <w:rPr>
          <w:lang w:eastAsia="en-AU"/>
        </w:rPr>
        <w:t xml:space="preserve">that would be ineligible under </w:t>
      </w:r>
      <w:r w:rsidR="008F2D37">
        <w:rPr>
          <w:lang w:eastAsia="en-AU"/>
        </w:rPr>
        <w:t xml:space="preserve">proposed new </w:t>
      </w:r>
      <w:r w:rsidRPr="00D966AA">
        <w:rPr>
          <w:lang w:eastAsia="en-AU"/>
        </w:rPr>
        <w:t xml:space="preserve">section LY 5, </w:t>
      </w:r>
      <w:r w:rsidR="008F2D37">
        <w:rPr>
          <w:lang w:eastAsia="en-AU"/>
        </w:rPr>
        <w:t xml:space="preserve">treating the R&amp;D contract as the person under </w:t>
      </w:r>
      <w:r w:rsidRPr="00D966AA">
        <w:rPr>
          <w:lang w:eastAsia="en-AU"/>
        </w:rPr>
        <w:t>section LY 5.</w:t>
      </w:r>
      <w:r w:rsidR="008F2D37">
        <w:rPr>
          <w:lang w:eastAsia="en-AU"/>
        </w:rPr>
        <w:t xml:space="preserve"> </w:t>
      </w:r>
      <w:r w:rsidR="00190D5A">
        <w:rPr>
          <w:lang w:eastAsia="en-AU"/>
        </w:rPr>
        <w:t xml:space="preserve">See the section on </w:t>
      </w:r>
      <w:r w:rsidR="00190D5A" w:rsidRPr="00190D5A">
        <w:rPr>
          <w:rStyle w:val="Emphasis"/>
          <w:lang w:eastAsia="en-AU"/>
        </w:rPr>
        <w:t>Eligible expenditure</w:t>
      </w:r>
      <w:r w:rsidR="008F2D37">
        <w:rPr>
          <w:lang w:eastAsia="en-AU"/>
        </w:rPr>
        <w:t xml:space="preserve"> </w:t>
      </w:r>
      <w:r w:rsidR="00190D5A">
        <w:rPr>
          <w:lang w:eastAsia="en-AU"/>
        </w:rPr>
        <w:t>(</w:t>
      </w:r>
      <w:r w:rsidR="008F2D37" w:rsidRPr="002B4A33">
        <w:rPr>
          <w:lang w:eastAsia="en-AU"/>
        </w:rPr>
        <w:t xml:space="preserve">page </w:t>
      </w:r>
      <w:r w:rsidR="008A65F3">
        <w:rPr>
          <w:lang w:eastAsia="en-AU"/>
        </w:rPr>
        <w:t>30</w:t>
      </w:r>
      <w:r w:rsidR="00190D5A">
        <w:rPr>
          <w:lang w:eastAsia="en-AU"/>
        </w:rPr>
        <w:t>)</w:t>
      </w:r>
      <w:r w:rsidR="002B4A33">
        <w:rPr>
          <w:lang w:eastAsia="en-AU"/>
        </w:rPr>
        <w:t xml:space="preserve"> </w:t>
      </w:r>
      <w:r w:rsidR="008F2D37">
        <w:rPr>
          <w:lang w:eastAsia="en-AU"/>
        </w:rPr>
        <w:t>for more information.</w:t>
      </w:r>
    </w:p>
    <w:p w14:paraId="163F1382" w14:textId="6832E779" w:rsidR="00383726" w:rsidRDefault="00383726" w:rsidP="0040746E">
      <w:pPr>
        <w:rPr>
          <w:lang w:eastAsia="en-AU"/>
        </w:rPr>
      </w:pPr>
    </w:p>
    <w:p w14:paraId="6B80F124" w14:textId="501100B4" w:rsidR="0040746E" w:rsidRDefault="0040746E" w:rsidP="0040746E">
      <w:pPr>
        <w:pStyle w:val="Exampleheading1"/>
      </w:pPr>
      <w:r w:rsidRPr="00697F90">
        <w:t>Example</w:t>
      </w:r>
      <w:r w:rsidR="00DF2F85">
        <w:t xml:space="preserve"> 6</w:t>
      </w:r>
      <w:r w:rsidRPr="00697F90">
        <w:t xml:space="preserve">: </w:t>
      </w:r>
      <w:r w:rsidR="00DF2F85">
        <w:t>R</w:t>
      </w:r>
      <w:r w:rsidRPr="00697F90">
        <w:t>ice producer pays R&amp;D contractor to develop chocolate rice</w:t>
      </w:r>
    </w:p>
    <w:p w14:paraId="6016C974" w14:textId="77777777" w:rsidR="0040746E" w:rsidRPr="00697F90" w:rsidRDefault="0040746E" w:rsidP="0040746E">
      <w:pPr>
        <w:pStyle w:val="Exampletext"/>
      </w:pPr>
    </w:p>
    <w:p w14:paraId="4CAFE16C" w14:textId="733F2425" w:rsidR="0040746E" w:rsidRDefault="0040746E" w:rsidP="0040746E">
      <w:pPr>
        <w:pStyle w:val="Exampletext"/>
      </w:pPr>
      <w:r w:rsidRPr="00697F90">
        <w:t>Richard’s Rice Ltd is the largest producer of rice in New Zealand</w:t>
      </w:r>
      <w:r w:rsidR="00485279">
        <w:t xml:space="preserve">. </w:t>
      </w:r>
      <w:r w:rsidRPr="00697F90">
        <w:t>Richard’s Rice Ltd is thinking of branching into desserts, and contracts Steph to produce ri</w:t>
      </w:r>
      <w:r>
        <w:t>ce that tastes like chocolate.</w:t>
      </w:r>
    </w:p>
    <w:p w14:paraId="30074E86" w14:textId="77777777" w:rsidR="0040746E" w:rsidRPr="00697F90" w:rsidRDefault="0040746E" w:rsidP="0040746E">
      <w:pPr>
        <w:pStyle w:val="Exampletext"/>
      </w:pPr>
    </w:p>
    <w:p w14:paraId="1267C2EE" w14:textId="243BB644" w:rsidR="0040746E" w:rsidRDefault="0040746E" w:rsidP="0040746E">
      <w:pPr>
        <w:pStyle w:val="Exampletext"/>
      </w:pPr>
      <w:r w:rsidRPr="00697F90">
        <w:t>Richard’s Rice Ltd pays Steph $1 million to develop chocolate rice</w:t>
      </w:r>
      <w:r w:rsidR="00485279">
        <w:t xml:space="preserve">. </w:t>
      </w:r>
      <w:r w:rsidRPr="00697F90">
        <w:t>Steph incurs $120,000 of expenditure that is ineligible under proposed new section LY 5.</w:t>
      </w:r>
    </w:p>
    <w:p w14:paraId="2680EB32" w14:textId="77777777" w:rsidR="0040746E" w:rsidRPr="00697F90" w:rsidRDefault="0040746E" w:rsidP="0040746E">
      <w:pPr>
        <w:pStyle w:val="Exampletext"/>
      </w:pPr>
    </w:p>
    <w:p w14:paraId="31ADDE02" w14:textId="77777777" w:rsidR="0040746E" w:rsidRDefault="0040746E" w:rsidP="0040746E">
      <w:pPr>
        <w:pStyle w:val="Exampletext"/>
      </w:pPr>
      <w:r w:rsidRPr="00697F90">
        <w:t>Richard’s Rice Ltd has the following eligible expenditure:</w:t>
      </w:r>
    </w:p>
    <w:p w14:paraId="3ACBAADE" w14:textId="77777777" w:rsidR="0040746E" w:rsidRPr="00697F90" w:rsidRDefault="0040746E" w:rsidP="0040746E">
      <w:pPr>
        <w:pStyle w:val="Exampletext"/>
      </w:pPr>
    </w:p>
    <w:p w14:paraId="762AB962" w14:textId="69FB8044" w:rsidR="0040746E" w:rsidRPr="00697F90" w:rsidRDefault="0040746E" w:rsidP="00290C34">
      <w:pPr>
        <w:pStyle w:val="Exampletext"/>
        <w:jc w:val="center"/>
      </w:pPr>
      <w:r w:rsidRPr="00697F90">
        <w:t xml:space="preserve">0.8 </w:t>
      </w:r>
      <w:r w:rsidR="00CD69F7">
        <w:t>×</w:t>
      </w:r>
      <w:r w:rsidRPr="00697F90">
        <w:t xml:space="preserve"> ($1</w:t>
      </w:r>
      <w:r>
        <w:t>,000,000</w:t>
      </w:r>
      <w:r w:rsidR="00CD69F7">
        <w:t xml:space="preserve"> – </w:t>
      </w:r>
      <w:r w:rsidRPr="00697F90">
        <w:t>$120,000) = $704,000</w:t>
      </w:r>
    </w:p>
    <w:p w14:paraId="03E70B97" w14:textId="77777777" w:rsidR="0040746E" w:rsidRDefault="0040746E" w:rsidP="0040746E">
      <w:pPr>
        <w:rPr>
          <w:lang w:eastAsia="en-AU"/>
        </w:rPr>
      </w:pPr>
    </w:p>
    <w:p w14:paraId="0DC5775D" w14:textId="77777777" w:rsidR="0040746E" w:rsidRPr="00D966AA" w:rsidRDefault="0040746E" w:rsidP="0040746E">
      <w:pPr>
        <w:rPr>
          <w:lang w:eastAsia="en-AU"/>
        </w:rPr>
      </w:pPr>
    </w:p>
    <w:p w14:paraId="0CDC1E53" w14:textId="77777777" w:rsidR="00383726" w:rsidRPr="00D966AA" w:rsidRDefault="00383726" w:rsidP="0040746E">
      <w:pPr>
        <w:pStyle w:val="Heading3"/>
      </w:pPr>
      <w:r w:rsidRPr="00D966AA">
        <w:t xml:space="preserve">Contracted R&amp;D </w:t>
      </w:r>
      <w:r w:rsidR="008F2D37">
        <w:t>performed</w:t>
      </w:r>
      <w:r w:rsidR="008F2D37" w:rsidRPr="00D966AA">
        <w:t xml:space="preserve"> </w:t>
      </w:r>
      <w:r w:rsidRPr="00D966AA">
        <w:t>overseas</w:t>
      </w:r>
      <w:r w:rsidR="00B77B53">
        <w:t xml:space="preserve"> (proposed new sections LY 6(4) and LY 7)</w:t>
      </w:r>
    </w:p>
    <w:p w14:paraId="7383FD30" w14:textId="77777777" w:rsidR="00383726" w:rsidRPr="00D966AA" w:rsidRDefault="00383726" w:rsidP="0040746E">
      <w:pPr>
        <w:rPr>
          <w:lang w:eastAsia="en-AU"/>
        </w:rPr>
      </w:pPr>
    </w:p>
    <w:p w14:paraId="29950CA1" w14:textId="0C043ABB" w:rsidR="008F2D37" w:rsidRDefault="008F2D37" w:rsidP="0040746E">
      <w:pPr>
        <w:rPr>
          <w:lang w:eastAsia="en-AU"/>
        </w:rPr>
      </w:pPr>
      <w:r>
        <w:rPr>
          <w:lang w:eastAsia="en-AU"/>
        </w:rPr>
        <w:t>If an R&amp;D contractor performs R&amp;D activities overseas, then a person must calculate their eligible expenditure in accordance with proposed new section LY 7. This is instead of applying the contracted expenditure formula in proposed new section LY 6.</w:t>
      </w:r>
      <w:r w:rsidR="00B77B53">
        <w:rPr>
          <w:lang w:eastAsia="en-AU"/>
        </w:rPr>
        <w:t xml:space="preserve"> </w:t>
      </w:r>
      <w:r w:rsidR="008A65F3">
        <w:rPr>
          <w:lang w:eastAsia="en-AU"/>
        </w:rPr>
        <w:t xml:space="preserve">See the section on </w:t>
      </w:r>
      <w:r w:rsidR="008A65F3" w:rsidRPr="008A65F3">
        <w:rPr>
          <w:rStyle w:val="Emphasis"/>
          <w:lang w:eastAsia="en-AU"/>
        </w:rPr>
        <w:t>Foreign expenditure</w:t>
      </w:r>
      <w:r w:rsidR="00B77B53">
        <w:rPr>
          <w:lang w:eastAsia="en-AU"/>
        </w:rPr>
        <w:t xml:space="preserve"> </w:t>
      </w:r>
      <w:r w:rsidR="008A65F3">
        <w:rPr>
          <w:lang w:eastAsia="en-AU"/>
        </w:rPr>
        <w:t>(</w:t>
      </w:r>
      <w:r w:rsidR="002B4A33" w:rsidRPr="002B4A33">
        <w:rPr>
          <w:lang w:eastAsia="en-AU"/>
        </w:rPr>
        <w:t>page</w:t>
      </w:r>
      <w:r w:rsidR="00B77B53" w:rsidRPr="002B4A33">
        <w:rPr>
          <w:lang w:eastAsia="en-AU"/>
        </w:rPr>
        <w:t xml:space="preserve"> </w:t>
      </w:r>
      <w:r w:rsidR="008A65F3">
        <w:rPr>
          <w:lang w:eastAsia="en-AU"/>
        </w:rPr>
        <w:t>35)</w:t>
      </w:r>
      <w:r w:rsidR="002B4A33">
        <w:rPr>
          <w:lang w:eastAsia="en-AU"/>
        </w:rPr>
        <w:t xml:space="preserve"> </w:t>
      </w:r>
      <w:r w:rsidR="00B77B53">
        <w:rPr>
          <w:lang w:eastAsia="en-AU"/>
        </w:rPr>
        <w:t>for more information.</w:t>
      </w:r>
    </w:p>
    <w:p w14:paraId="56124F6F" w14:textId="77777777" w:rsidR="00383726" w:rsidRPr="00D966AA" w:rsidRDefault="00383726" w:rsidP="00383726">
      <w:pPr>
        <w:rPr>
          <w:rFonts w:eastAsia="Times New Roman" w:cs="Times New Roman"/>
          <w:szCs w:val="20"/>
          <w:lang w:eastAsia="en-AU"/>
        </w:rPr>
      </w:pPr>
    </w:p>
    <w:p w14:paraId="177E3217" w14:textId="77777777" w:rsidR="00383726" w:rsidRDefault="00383726" w:rsidP="00383726">
      <w:pPr>
        <w:rPr>
          <w:rFonts w:eastAsia="Times New Roman" w:cs="Times New Roman"/>
          <w:b/>
          <w:caps/>
          <w:sz w:val="26"/>
          <w:szCs w:val="20"/>
          <w:lang w:eastAsia="en-AU"/>
        </w:rPr>
      </w:pPr>
      <w:r>
        <w:rPr>
          <w:rFonts w:eastAsia="Times New Roman" w:cs="Times New Roman"/>
          <w:b/>
          <w:caps/>
          <w:sz w:val="26"/>
          <w:szCs w:val="20"/>
          <w:lang w:eastAsia="en-AU"/>
        </w:rPr>
        <w:br w:type="page"/>
      </w:r>
    </w:p>
    <w:p w14:paraId="5F544AE2" w14:textId="77777777" w:rsidR="00383726" w:rsidRPr="00383726" w:rsidRDefault="00577748" w:rsidP="00005B82">
      <w:pPr>
        <w:pStyle w:val="Heading1"/>
      </w:pPr>
      <w:bookmarkStart w:id="28" w:name="_Toc528157362"/>
      <w:bookmarkStart w:id="29" w:name="_Toc528195579"/>
      <w:r>
        <w:t>F</w:t>
      </w:r>
      <w:r w:rsidR="00383726">
        <w:t>oreign expenditure</w:t>
      </w:r>
      <w:bookmarkEnd w:id="28"/>
      <w:bookmarkEnd w:id="29"/>
    </w:p>
    <w:p w14:paraId="3FC9B896" w14:textId="14139EFC" w:rsidR="00383726" w:rsidRDefault="00681778" w:rsidP="00005B82">
      <w:pPr>
        <w:pStyle w:val="Heading3"/>
      </w:pPr>
      <w:r>
        <w:t>Clause</w:t>
      </w:r>
      <w:r w:rsidR="00383726" w:rsidRPr="00383726">
        <w:t xml:space="preserve"> </w:t>
      </w:r>
      <w:r w:rsidR="00383726">
        <w:t>10</w:t>
      </w:r>
      <w:r>
        <w:t xml:space="preserve"> (proposed new section LY 7)</w:t>
      </w:r>
    </w:p>
    <w:p w14:paraId="3950C62A" w14:textId="77777777" w:rsidR="0040746E" w:rsidRDefault="0040746E" w:rsidP="00005B82">
      <w:pPr>
        <w:rPr>
          <w:lang w:val="en-GB" w:eastAsia="en-AU"/>
        </w:rPr>
      </w:pPr>
    </w:p>
    <w:p w14:paraId="6ACEFE31" w14:textId="77777777" w:rsidR="0040746E" w:rsidRPr="0040746E" w:rsidRDefault="0040746E" w:rsidP="00005B82">
      <w:pPr>
        <w:rPr>
          <w:lang w:val="en-GB" w:eastAsia="en-AU"/>
        </w:rPr>
      </w:pPr>
    </w:p>
    <w:p w14:paraId="38BB2F54" w14:textId="7D1032AF" w:rsidR="00383726" w:rsidRPr="00383726" w:rsidRDefault="00383726" w:rsidP="00612061">
      <w:pPr>
        <w:pStyle w:val="Heading2"/>
      </w:pPr>
      <w:r w:rsidRPr="00383726">
        <w:t>Summary of proposed amendment</w:t>
      </w:r>
    </w:p>
    <w:p w14:paraId="21FA7BD7" w14:textId="77777777" w:rsidR="0040746E" w:rsidRDefault="0040746E" w:rsidP="00005B82">
      <w:pPr>
        <w:rPr>
          <w:lang w:eastAsia="en-AU"/>
        </w:rPr>
      </w:pPr>
    </w:p>
    <w:p w14:paraId="00138562" w14:textId="1B945374" w:rsidR="00383726" w:rsidRDefault="00383726" w:rsidP="00005B82">
      <w:pPr>
        <w:rPr>
          <w:lang w:eastAsia="en-AU"/>
        </w:rPr>
      </w:pPr>
      <w:r>
        <w:rPr>
          <w:lang w:eastAsia="en-AU"/>
        </w:rPr>
        <w:t xml:space="preserve">The </w:t>
      </w:r>
      <w:r w:rsidR="00B77B53">
        <w:rPr>
          <w:lang w:eastAsia="en-AU"/>
        </w:rPr>
        <w:t xml:space="preserve">Bill </w:t>
      </w:r>
      <w:r>
        <w:rPr>
          <w:lang w:eastAsia="en-AU"/>
        </w:rPr>
        <w:t xml:space="preserve">proposes that foreign expenditure that would otherwise be eligible expenditure only be eligible to the extent it comprises no more than </w:t>
      </w:r>
      <w:r w:rsidR="004360B9">
        <w:rPr>
          <w:lang w:eastAsia="en-AU"/>
        </w:rPr>
        <w:t>ten percent</w:t>
      </w:r>
      <w:r>
        <w:rPr>
          <w:lang w:eastAsia="en-AU"/>
        </w:rPr>
        <w:t xml:space="preserve"> of a </w:t>
      </w:r>
      <w:r w:rsidR="00210719">
        <w:rPr>
          <w:lang w:eastAsia="en-AU"/>
        </w:rPr>
        <w:t>person</w:t>
      </w:r>
      <w:r>
        <w:rPr>
          <w:lang w:eastAsia="en-AU"/>
        </w:rPr>
        <w:t>’</w:t>
      </w:r>
      <w:r w:rsidR="008E6635">
        <w:rPr>
          <w:lang w:eastAsia="en-AU"/>
        </w:rPr>
        <w:t>s overall R&amp;D tax credit claim.</w:t>
      </w:r>
    </w:p>
    <w:p w14:paraId="216D9916" w14:textId="77777777" w:rsidR="0040746E" w:rsidRDefault="0040746E" w:rsidP="00005B82">
      <w:pPr>
        <w:rPr>
          <w:lang w:eastAsia="en-AU"/>
        </w:rPr>
      </w:pPr>
    </w:p>
    <w:p w14:paraId="04969A64" w14:textId="77777777" w:rsidR="0040746E" w:rsidRPr="00383726" w:rsidRDefault="0040746E" w:rsidP="00005B82">
      <w:pPr>
        <w:rPr>
          <w:lang w:eastAsia="en-AU"/>
        </w:rPr>
      </w:pPr>
    </w:p>
    <w:p w14:paraId="07F0A83E" w14:textId="77777777" w:rsidR="00383726" w:rsidRPr="00383726" w:rsidRDefault="00383726" w:rsidP="00005B82">
      <w:pPr>
        <w:pStyle w:val="Heading2"/>
      </w:pPr>
      <w:r w:rsidRPr="00383726">
        <w:t>Application date</w:t>
      </w:r>
    </w:p>
    <w:p w14:paraId="20ADA70D" w14:textId="77777777" w:rsidR="0040746E" w:rsidRDefault="0040746E" w:rsidP="00005B82">
      <w:pPr>
        <w:rPr>
          <w:lang w:eastAsia="en-AU"/>
        </w:rPr>
      </w:pPr>
    </w:p>
    <w:p w14:paraId="36730960" w14:textId="3718899F" w:rsidR="00383726" w:rsidRDefault="00383726" w:rsidP="00005B82">
      <w:pPr>
        <w:rPr>
          <w:lang w:eastAsia="en-AU"/>
        </w:rPr>
      </w:pPr>
      <w:r>
        <w:rPr>
          <w:lang w:eastAsia="en-AU"/>
        </w:rPr>
        <w:t xml:space="preserve">From the </w:t>
      </w:r>
      <w:r w:rsidR="00E010FC">
        <w:rPr>
          <w:lang w:eastAsia="en-AU"/>
        </w:rPr>
        <w:t>2019–20</w:t>
      </w:r>
      <w:r>
        <w:rPr>
          <w:lang w:eastAsia="en-AU"/>
        </w:rPr>
        <w:t xml:space="preserve"> income year.</w:t>
      </w:r>
    </w:p>
    <w:p w14:paraId="40EE6475" w14:textId="77777777" w:rsidR="0040746E" w:rsidRDefault="0040746E" w:rsidP="00005B82">
      <w:pPr>
        <w:rPr>
          <w:lang w:eastAsia="en-AU"/>
        </w:rPr>
      </w:pPr>
    </w:p>
    <w:p w14:paraId="1490A1F7" w14:textId="77777777" w:rsidR="0040746E" w:rsidRPr="00383726" w:rsidRDefault="0040746E" w:rsidP="00005B82">
      <w:pPr>
        <w:rPr>
          <w:lang w:eastAsia="en-AU"/>
        </w:rPr>
      </w:pPr>
    </w:p>
    <w:p w14:paraId="763B6781" w14:textId="77777777" w:rsidR="00383726" w:rsidRPr="00383726" w:rsidRDefault="00383726" w:rsidP="00005B82">
      <w:pPr>
        <w:pStyle w:val="Heading2"/>
      </w:pPr>
      <w:r w:rsidRPr="00383726">
        <w:t>Key features</w:t>
      </w:r>
    </w:p>
    <w:p w14:paraId="0BA242D2" w14:textId="77777777" w:rsidR="0040746E" w:rsidRDefault="0040746E" w:rsidP="00005B82">
      <w:pPr>
        <w:rPr>
          <w:lang w:eastAsia="en-AU"/>
        </w:rPr>
      </w:pPr>
    </w:p>
    <w:p w14:paraId="5FFEC05D" w14:textId="19E43848" w:rsidR="00383726" w:rsidRDefault="00B77B53" w:rsidP="00005B82">
      <w:pPr>
        <w:rPr>
          <w:lang w:eastAsia="en-AU"/>
        </w:rPr>
      </w:pPr>
      <w:r>
        <w:rPr>
          <w:lang w:eastAsia="en-AU"/>
        </w:rPr>
        <w:t xml:space="preserve">Proposed new section </w:t>
      </w:r>
      <w:r w:rsidR="00383726">
        <w:rPr>
          <w:lang w:eastAsia="en-AU"/>
        </w:rPr>
        <w:t>LY 7 provides that foreign expenditure is eligible expenditure</w:t>
      </w:r>
      <w:r>
        <w:rPr>
          <w:lang w:eastAsia="en-AU"/>
        </w:rPr>
        <w:t>,</w:t>
      </w:r>
      <w:r w:rsidR="00383726">
        <w:rPr>
          <w:lang w:eastAsia="en-AU"/>
        </w:rPr>
        <w:t xml:space="preserve"> capped at </w:t>
      </w:r>
      <w:r w:rsidR="004360B9">
        <w:rPr>
          <w:lang w:eastAsia="en-AU"/>
        </w:rPr>
        <w:t>ten percent</w:t>
      </w:r>
      <w:r w:rsidR="00383726">
        <w:rPr>
          <w:lang w:eastAsia="en-AU"/>
        </w:rPr>
        <w:t xml:space="preserve"> of a </w:t>
      </w:r>
      <w:r w:rsidR="00210719">
        <w:rPr>
          <w:lang w:eastAsia="en-AU"/>
        </w:rPr>
        <w:t>person</w:t>
      </w:r>
      <w:r w:rsidR="00383726">
        <w:rPr>
          <w:lang w:eastAsia="en-AU"/>
        </w:rPr>
        <w:t>’s overall R&amp;D tax credit claim, to the extent it is:</w:t>
      </w:r>
    </w:p>
    <w:p w14:paraId="6AEA2DB4" w14:textId="77777777" w:rsidR="0040746E" w:rsidRDefault="0040746E" w:rsidP="00005B82">
      <w:pPr>
        <w:rPr>
          <w:lang w:eastAsia="en-AU"/>
        </w:rPr>
      </w:pPr>
    </w:p>
    <w:p w14:paraId="4B269D68" w14:textId="25E3376E" w:rsidR="00383726" w:rsidRDefault="00290C34" w:rsidP="00005B82">
      <w:pPr>
        <w:pStyle w:val="dotpoint"/>
      </w:pPr>
      <w:r>
        <w:t>e</w:t>
      </w:r>
      <w:r w:rsidR="00383726">
        <w:t xml:space="preserve">xpenditure incurred on an R&amp;D activity performed outside New Zealand, if the R&amp;D activity </w:t>
      </w:r>
      <w:r w:rsidR="00B77B53">
        <w:t xml:space="preserve">is </w:t>
      </w:r>
      <w:r w:rsidR="00383726">
        <w:t>only or mainly for, required for, and integral to, conducting a core activity</w:t>
      </w:r>
      <w:r w:rsidR="00800C55">
        <w:t xml:space="preserve"> (note that activities performed overseas cannot be core activities</w:t>
      </w:r>
      <w:r w:rsidR="00B77B53">
        <w:t>);</w:t>
      </w:r>
    </w:p>
    <w:p w14:paraId="23716EA8" w14:textId="55956F9D" w:rsidR="00383726" w:rsidRDefault="00290C34" w:rsidP="00005B82">
      <w:pPr>
        <w:pStyle w:val="dotpoint"/>
      </w:pPr>
      <w:r>
        <w:t>a</w:t>
      </w:r>
      <w:r w:rsidR="00B77B53">
        <w:t xml:space="preserve"> </w:t>
      </w:r>
      <w:r w:rsidR="00B242AD">
        <w:t>payment of salary or wages to a non-resident person performing an R&amp;D activity in New Zealand</w:t>
      </w:r>
      <w:r w:rsidR="00B77B53">
        <w:t xml:space="preserve">; </w:t>
      </w:r>
      <w:r w:rsidR="00B242AD">
        <w:t>or</w:t>
      </w:r>
    </w:p>
    <w:p w14:paraId="51AEEEA2" w14:textId="32E3F5F2" w:rsidR="00B242AD" w:rsidRPr="00383726" w:rsidRDefault="00290C34" w:rsidP="00005B82">
      <w:pPr>
        <w:pStyle w:val="dotpoint"/>
        <w:spacing w:after="0"/>
      </w:pPr>
      <w:r>
        <w:t>a</w:t>
      </w:r>
      <w:r w:rsidR="00B242AD">
        <w:t xml:space="preserve"> payment for services performed by a non-resident person, where the service</w:t>
      </w:r>
      <w:r w:rsidR="008E6635">
        <w:t>s are performed in New Zealand.</w:t>
      </w:r>
    </w:p>
    <w:p w14:paraId="3F05A141" w14:textId="77777777" w:rsidR="00383726" w:rsidRDefault="00383726" w:rsidP="00005B82">
      <w:pPr>
        <w:rPr>
          <w:lang w:eastAsia="en-AU"/>
        </w:rPr>
      </w:pPr>
    </w:p>
    <w:p w14:paraId="560823BD" w14:textId="18ED20BE" w:rsidR="00AD1AB8" w:rsidRDefault="003474C7" w:rsidP="00005B82">
      <w:pPr>
        <w:rPr>
          <w:lang w:eastAsia="en-AU"/>
        </w:rPr>
      </w:pPr>
      <w:r>
        <w:rPr>
          <w:lang w:eastAsia="en-AU"/>
        </w:rPr>
        <w:t xml:space="preserve">Only </w:t>
      </w:r>
      <w:r w:rsidR="004360B9">
        <w:rPr>
          <w:lang w:eastAsia="en-AU"/>
        </w:rPr>
        <w:t xml:space="preserve">eighty percent </w:t>
      </w:r>
      <w:r>
        <w:rPr>
          <w:lang w:eastAsia="en-AU"/>
        </w:rPr>
        <w:t xml:space="preserve">of amounts paid for </w:t>
      </w:r>
      <w:r w:rsidR="007118E2">
        <w:rPr>
          <w:lang w:eastAsia="en-AU"/>
        </w:rPr>
        <w:t xml:space="preserve">contracted </w:t>
      </w:r>
      <w:r>
        <w:rPr>
          <w:lang w:eastAsia="en-AU"/>
        </w:rPr>
        <w:t>services (under the</w:t>
      </w:r>
      <w:r w:rsidR="007118E2">
        <w:rPr>
          <w:lang w:eastAsia="en-AU"/>
        </w:rPr>
        <w:t xml:space="preserve"> first and</w:t>
      </w:r>
      <w:r>
        <w:rPr>
          <w:lang w:eastAsia="en-AU"/>
        </w:rPr>
        <w:t xml:space="preserve"> third bullet point</w:t>
      </w:r>
      <w:r w:rsidR="007118E2">
        <w:rPr>
          <w:lang w:eastAsia="en-AU"/>
        </w:rPr>
        <w:t>s</w:t>
      </w:r>
      <w:r>
        <w:rPr>
          <w:lang w:eastAsia="en-AU"/>
        </w:rPr>
        <w:t xml:space="preserve"> above) are eligible, less any amounts that are ineligi</w:t>
      </w:r>
      <w:r w:rsidR="00AD1AB8">
        <w:rPr>
          <w:lang w:eastAsia="en-AU"/>
        </w:rPr>
        <w:t>ble under schedule 21B, part B.</w:t>
      </w:r>
    </w:p>
    <w:p w14:paraId="114FDD6F" w14:textId="77777777" w:rsidR="00AD1AB8" w:rsidRDefault="00AD1AB8" w:rsidP="00005B82">
      <w:pPr>
        <w:rPr>
          <w:lang w:eastAsia="en-AU"/>
        </w:rPr>
      </w:pPr>
    </w:p>
    <w:p w14:paraId="3FEEA1A6" w14:textId="6E6DFC94" w:rsidR="00AD1AB8" w:rsidRDefault="00AD1AB8" w:rsidP="00005B82">
      <w:pPr>
        <w:rPr>
          <w:lang w:eastAsia="en-AU"/>
        </w:rPr>
      </w:pPr>
      <w:r>
        <w:rPr>
          <w:lang w:eastAsia="en-AU"/>
        </w:rPr>
        <w:t>While the proposed rule affects payments to non-resident persons and for R&amp;D activities performed overseas, expenditure on imported materials is considered domestic expenditure (so is not restricted by</w:t>
      </w:r>
      <w:r w:rsidR="008E6635">
        <w:rPr>
          <w:lang w:eastAsia="en-AU"/>
        </w:rPr>
        <w:t xml:space="preserve"> sections LY 5(2)(b) and LY 7).</w:t>
      </w:r>
    </w:p>
    <w:p w14:paraId="34E8542B" w14:textId="77777777" w:rsidR="0040746E" w:rsidRDefault="0040746E" w:rsidP="00005B82">
      <w:pPr>
        <w:rPr>
          <w:lang w:eastAsia="en-AU"/>
        </w:rPr>
      </w:pPr>
    </w:p>
    <w:p w14:paraId="4FF1C02D" w14:textId="77777777" w:rsidR="0040746E" w:rsidRDefault="0040746E" w:rsidP="00005B82">
      <w:pPr>
        <w:rPr>
          <w:lang w:eastAsia="en-AU"/>
        </w:rPr>
      </w:pPr>
    </w:p>
    <w:p w14:paraId="40BC2B3B" w14:textId="77777777" w:rsidR="00383726" w:rsidRPr="00383726" w:rsidRDefault="00383726" w:rsidP="00005B82">
      <w:pPr>
        <w:pStyle w:val="Heading2"/>
      </w:pPr>
      <w:r w:rsidRPr="00383726">
        <w:t>Background</w:t>
      </w:r>
    </w:p>
    <w:p w14:paraId="08664DED" w14:textId="77777777" w:rsidR="0040746E" w:rsidRDefault="0040746E" w:rsidP="00005B82">
      <w:pPr>
        <w:rPr>
          <w:lang w:val="en-GB" w:eastAsia="en-AU"/>
        </w:rPr>
      </w:pPr>
    </w:p>
    <w:p w14:paraId="0DD34CAE" w14:textId="17AFD7A4" w:rsidR="003474C7" w:rsidRDefault="003474C7" w:rsidP="00005B82">
      <w:pPr>
        <w:rPr>
          <w:lang w:val="en-GB" w:eastAsia="en-AU"/>
        </w:rPr>
      </w:pPr>
      <w:r>
        <w:rPr>
          <w:lang w:val="en-GB" w:eastAsia="en-AU"/>
        </w:rPr>
        <w:t xml:space="preserve">The R&amp;D tax credit regime aims to primarily incentivise R&amp;D </w:t>
      </w:r>
      <w:r w:rsidR="00B77B53">
        <w:rPr>
          <w:lang w:val="en-GB" w:eastAsia="en-AU"/>
        </w:rPr>
        <w:t xml:space="preserve">activities </w:t>
      </w:r>
      <w:r>
        <w:rPr>
          <w:lang w:val="en-GB" w:eastAsia="en-AU"/>
        </w:rPr>
        <w:t>performed in New Zealand</w:t>
      </w:r>
      <w:r w:rsidR="008B6BE5">
        <w:rPr>
          <w:lang w:val="en-GB" w:eastAsia="en-AU"/>
        </w:rPr>
        <w:t xml:space="preserve"> because the wider benefits are more likely to be gained by New Zealand companies. </w:t>
      </w:r>
      <w:r>
        <w:rPr>
          <w:lang w:val="en-GB" w:eastAsia="en-AU"/>
        </w:rPr>
        <w:t xml:space="preserve">The Government recognises, however, that in some circumstances R&amp;D activities cannot be </w:t>
      </w:r>
      <w:r w:rsidR="007118E2">
        <w:rPr>
          <w:lang w:val="en-GB" w:eastAsia="en-AU"/>
        </w:rPr>
        <w:t xml:space="preserve">fully </w:t>
      </w:r>
      <w:r>
        <w:rPr>
          <w:lang w:val="en-GB" w:eastAsia="en-AU"/>
        </w:rPr>
        <w:t>performed in New Zeala</w:t>
      </w:r>
      <w:r w:rsidR="008E6635">
        <w:rPr>
          <w:lang w:val="en-GB" w:eastAsia="en-AU"/>
        </w:rPr>
        <w:t>nd.</w:t>
      </w:r>
    </w:p>
    <w:p w14:paraId="7E31654E" w14:textId="77777777" w:rsidR="003474C7" w:rsidRDefault="003474C7" w:rsidP="00005B82">
      <w:pPr>
        <w:rPr>
          <w:lang w:val="en-GB" w:eastAsia="en-AU"/>
        </w:rPr>
      </w:pPr>
    </w:p>
    <w:p w14:paraId="48086715" w14:textId="77777777" w:rsidR="00383726" w:rsidRDefault="003474C7" w:rsidP="00005B82">
      <w:pPr>
        <w:rPr>
          <w:lang w:val="en-GB" w:eastAsia="en-AU"/>
        </w:rPr>
      </w:pPr>
      <w:r>
        <w:rPr>
          <w:lang w:val="en-GB" w:eastAsia="en-AU"/>
        </w:rPr>
        <w:t>Experts in certain scientific or technological fields may only be available overseas, suitable populations for testing or trials may be located outside New Zealand, or the type of R&amp;D activity a claimant needs to undertake may be cost prohibitive if performed in New Zealand.</w:t>
      </w:r>
    </w:p>
    <w:p w14:paraId="05677350" w14:textId="77777777" w:rsidR="003474C7" w:rsidRDefault="003474C7" w:rsidP="00005B82">
      <w:pPr>
        <w:rPr>
          <w:lang w:val="en-GB" w:eastAsia="en-AU"/>
        </w:rPr>
      </w:pPr>
    </w:p>
    <w:p w14:paraId="6CBF8001" w14:textId="4FF07143" w:rsidR="00F8391B" w:rsidRDefault="007118E2" w:rsidP="00005B82">
      <w:pPr>
        <w:rPr>
          <w:lang w:val="en-GB" w:eastAsia="en-AU"/>
        </w:rPr>
      </w:pPr>
      <w:r>
        <w:rPr>
          <w:lang w:val="en-GB" w:eastAsia="en-AU"/>
        </w:rPr>
        <w:t>The 2008 regime was broadly similar but also required foreign expenditure to account for less than half the expenditure on a relevant R&amp;D project to be eligible. This secondary requirement has been relaxed.</w:t>
      </w:r>
    </w:p>
    <w:p w14:paraId="57C82CD3" w14:textId="77777777" w:rsidR="0040746E" w:rsidRDefault="0040746E" w:rsidP="00005B82">
      <w:pPr>
        <w:rPr>
          <w:lang w:val="en-GB" w:eastAsia="en-AU"/>
        </w:rPr>
      </w:pPr>
    </w:p>
    <w:p w14:paraId="356C8F8B" w14:textId="77777777" w:rsidR="0040746E" w:rsidRPr="00F8391B" w:rsidRDefault="0040746E" w:rsidP="00005B82">
      <w:pPr>
        <w:rPr>
          <w:lang w:val="en-GB" w:eastAsia="en-AU"/>
        </w:rPr>
      </w:pPr>
    </w:p>
    <w:p w14:paraId="099E8C32" w14:textId="77777777" w:rsidR="00383726" w:rsidRPr="00383726" w:rsidRDefault="00383726" w:rsidP="00005B82">
      <w:pPr>
        <w:pStyle w:val="Heading2"/>
      </w:pPr>
      <w:r w:rsidRPr="00383726">
        <w:t>Detailed analysis</w:t>
      </w:r>
    </w:p>
    <w:p w14:paraId="20CB88C3" w14:textId="77777777" w:rsidR="0040746E" w:rsidRDefault="0040746E" w:rsidP="00005B82"/>
    <w:p w14:paraId="227507F3" w14:textId="77777777" w:rsidR="00383726" w:rsidRDefault="00AD1AB8" w:rsidP="00005B82">
      <w:pPr>
        <w:pStyle w:val="Heading3"/>
      </w:pPr>
      <w:r>
        <w:t>Foreign expenditure (section LY 7(1))</w:t>
      </w:r>
    </w:p>
    <w:p w14:paraId="7EBEA813" w14:textId="77777777" w:rsidR="00AD1AB8" w:rsidRDefault="00AD1AB8" w:rsidP="00005B82">
      <w:pPr>
        <w:rPr>
          <w:lang w:eastAsia="en-AU"/>
        </w:rPr>
      </w:pPr>
    </w:p>
    <w:p w14:paraId="7342E6F2" w14:textId="77777777" w:rsidR="00383726" w:rsidRDefault="00AD1AB8" w:rsidP="00005B82">
      <w:pPr>
        <w:rPr>
          <w:lang w:eastAsia="en-AU"/>
        </w:rPr>
      </w:pPr>
      <w:r>
        <w:rPr>
          <w:lang w:eastAsia="en-AU"/>
        </w:rPr>
        <w:t>Foreign expenditure (referred to as “foreign research and development expenditure” in the legislation) is defined as expenditure or loss:</w:t>
      </w:r>
    </w:p>
    <w:p w14:paraId="68A2D077" w14:textId="77777777" w:rsidR="00AD1AB8" w:rsidRDefault="00AD1AB8" w:rsidP="00005B82">
      <w:pPr>
        <w:rPr>
          <w:lang w:eastAsia="en-AU"/>
        </w:rPr>
      </w:pPr>
    </w:p>
    <w:p w14:paraId="49245D7D" w14:textId="516DEC52" w:rsidR="00AD1AB8" w:rsidRDefault="00290C34" w:rsidP="00005B82">
      <w:pPr>
        <w:pStyle w:val="dotpoint"/>
      </w:pPr>
      <w:r>
        <w:t>i</w:t>
      </w:r>
      <w:r w:rsidR="00B77B53">
        <w:t xml:space="preserve">ncurred </w:t>
      </w:r>
      <w:r w:rsidR="00AD1AB8">
        <w:t>on R&amp;D activities performed outside New Zealand with the only or main purpose of, that is required for, and integral to, conducting a core activity</w:t>
      </w:r>
      <w:r w:rsidR="008E6635">
        <w:t>;</w:t>
      </w:r>
    </w:p>
    <w:p w14:paraId="132372B5" w14:textId="5975EFFC" w:rsidR="00AD1AB8" w:rsidRDefault="00290C34" w:rsidP="00005B82">
      <w:pPr>
        <w:pStyle w:val="dotpoint"/>
      </w:pPr>
      <w:r>
        <w:t>t</w:t>
      </w:r>
      <w:r w:rsidR="00B77B53">
        <w:t xml:space="preserve">hat </w:t>
      </w:r>
      <w:r w:rsidR="00AD1AB8">
        <w:t>is a payment of salary or wages to a non-resident person for activities performed in New Zealand</w:t>
      </w:r>
      <w:r w:rsidR="00B77B53">
        <w:t>; or</w:t>
      </w:r>
    </w:p>
    <w:p w14:paraId="51F44B9D" w14:textId="4F512547" w:rsidR="00AD0F29" w:rsidRPr="001710A7" w:rsidRDefault="00290C34" w:rsidP="00005B82">
      <w:pPr>
        <w:pStyle w:val="dotpoint"/>
        <w:spacing w:after="0"/>
      </w:pPr>
      <w:r>
        <w:t>t</w:t>
      </w:r>
      <w:r w:rsidR="00B77B53">
        <w:t xml:space="preserve">hat </w:t>
      </w:r>
      <w:r w:rsidR="00AD1AB8">
        <w:t>is a payment for services performed by a non-resident person in New</w:t>
      </w:r>
      <w:r w:rsidR="008E6635">
        <w:t xml:space="preserve"> Zealand.</w:t>
      </w:r>
    </w:p>
    <w:p w14:paraId="3B4A5C55" w14:textId="77777777" w:rsidR="0040746E" w:rsidRDefault="0040746E" w:rsidP="00005B82"/>
    <w:p w14:paraId="2405B947" w14:textId="0AA1C956" w:rsidR="00AD0F29" w:rsidRDefault="00AD0F29" w:rsidP="00005B82">
      <w:pPr>
        <w:pStyle w:val="Heading3"/>
      </w:pPr>
      <w:r>
        <w:t>Eligible expenditure (section LY 7(2)</w:t>
      </w:r>
      <w:r w:rsidR="00C837E8">
        <w:t>)</w:t>
      </w:r>
    </w:p>
    <w:p w14:paraId="0AA19A35" w14:textId="77777777" w:rsidR="00721E44" w:rsidRDefault="00721E44" w:rsidP="00005B82">
      <w:pPr>
        <w:rPr>
          <w:lang w:eastAsia="en-AU"/>
        </w:rPr>
      </w:pPr>
    </w:p>
    <w:p w14:paraId="74A5ACAE" w14:textId="12FA773D" w:rsidR="00AD0F29" w:rsidRDefault="00AD0F29" w:rsidP="00005B82">
      <w:pPr>
        <w:rPr>
          <w:lang w:eastAsia="en-AU"/>
        </w:rPr>
      </w:pPr>
      <w:r>
        <w:rPr>
          <w:lang w:eastAsia="en-AU"/>
        </w:rPr>
        <w:t xml:space="preserve">Eligible expenditure, for </w:t>
      </w:r>
      <w:r w:rsidR="00DD0502">
        <w:rPr>
          <w:lang w:eastAsia="en-AU"/>
        </w:rPr>
        <w:t xml:space="preserve">proposed </w:t>
      </w:r>
      <w:r>
        <w:rPr>
          <w:lang w:eastAsia="en-AU"/>
        </w:rPr>
        <w:t xml:space="preserve">new section LY 5(2)(b), includes foreign expenditure equal to the </w:t>
      </w:r>
      <w:r w:rsidRPr="00290C34">
        <w:rPr>
          <w:b/>
          <w:lang w:eastAsia="en-AU"/>
        </w:rPr>
        <w:t>lesser</w:t>
      </w:r>
      <w:r>
        <w:rPr>
          <w:lang w:eastAsia="en-AU"/>
        </w:rPr>
        <w:t xml:space="preserve"> of the person’s </w:t>
      </w:r>
      <w:r w:rsidRPr="008E6674">
        <w:rPr>
          <w:lang w:eastAsia="en-AU"/>
        </w:rPr>
        <w:t>actual overseas expenditure</w:t>
      </w:r>
      <w:r>
        <w:rPr>
          <w:lang w:eastAsia="en-AU"/>
        </w:rPr>
        <w:t xml:space="preserve"> and their </w:t>
      </w:r>
      <w:r w:rsidRPr="008E6674">
        <w:rPr>
          <w:lang w:eastAsia="en-AU"/>
        </w:rPr>
        <w:t>capped overseas expenditure</w:t>
      </w:r>
      <w:r>
        <w:rPr>
          <w:lang w:eastAsia="en-AU"/>
        </w:rPr>
        <w:t>.</w:t>
      </w:r>
    </w:p>
    <w:p w14:paraId="2EC50B43" w14:textId="77777777" w:rsidR="0040746E" w:rsidRDefault="0040746E" w:rsidP="00005B82">
      <w:pPr>
        <w:rPr>
          <w:lang w:eastAsia="en-AU"/>
        </w:rPr>
      </w:pPr>
    </w:p>
    <w:p w14:paraId="12DE8FB7" w14:textId="77777777" w:rsidR="00AD0F29" w:rsidRPr="001710A7" w:rsidRDefault="00AD0F29" w:rsidP="00005B82">
      <w:pPr>
        <w:pStyle w:val="Heading3"/>
      </w:pPr>
      <w:r w:rsidRPr="001710A7">
        <w:t>Actual overseas expenditure</w:t>
      </w:r>
    </w:p>
    <w:p w14:paraId="3C28AEE1" w14:textId="77777777" w:rsidR="0040746E" w:rsidRDefault="0040746E" w:rsidP="00005B82">
      <w:pPr>
        <w:rPr>
          <w:lang w:eastAsia="en-AU"/>
        </w:rPr>
      </w:pPr>
    </w:p>
    <w:p w14:paraId="2DE8632D" w14:textId="77777777" w:rsidR="00AC7195" w:rsidRDefault="000B6229" w:rsidP="00005B82">
      <w:pPr>
        <w:rPr>
          <w:lang w:eastAsia="en-AU"/>
        </w:rPr>
      </w:pPr>
      <w:r>
        <w:rPr>
          <w:lang w:eastAsia="en-AU"/>
        </w:rPr>
        <w:t xml:space="preserve">Actual overseas expenditure is made up of expenditure </w:t>
      </w:r>
      <w:r w:rsidR="00092040">
        <w:rPr>
          <w:lang w:eastAsia="en-AU"/>
        </w:rPr>
        <w:t>a person</w:t>
      </w:r>
      <w:r>
        <w:rPr>
          <w:lang w:eastAsia="en-AU"/>
        </w:rPr>
        <w:t xml:space="preserve"> incurs themselves on an R&amp;D activity c</w:t>
      </w:r>
      <w:r w:rsidR="00092040">
        <w:rPr>
          <w:lang w:eastAsia="en-AU"/>
        </w:rPr>
        <w:t>arried out overseas, and amounts</w:t>
      </w:r>
      <w:r>
        <w:rPr>
          <w:lang w:eastAsia="en-AU"/>
        </w:rPr>
        <w:t xml:space="preserve"> contractors incur on an R&amp;D activity carried out overseas on the </w:t>
      </w:r>
      <w:r w:rsidR="00092040">
        <w:rPr>
          <w:lang w:eastAsia="en-AU"/>
        </w:rPr>
        <w:t>person</w:t>
      </w:r>
      <w:r>
        <w:rPr>
          <w:lang w:eastAsia="en-AU"/>
        </w:rPr>
        <w:t>’s behalf</w:t>
      </w:r>
      <w:r w:rsidR="00485279">
        <w:rPr>
          <w:lang w:eastAsia="en-AU"/>
        </w:rPr>
        <w:t>.</w:t>
      </w:r>
    </w:p>
    <w:p w14:paraId="4FFEFC43" w14:textId="77777777" w:rsidR="00AC7195" w:rsidRDefault="00AC7195" w:rsidP="00005B82">
      <w:pPr>
        <w:rPr>
          <w:lang w:eastAsia="en-AU"/>
        </w:rPr>
      </w:pPr>
    </w:p>
    <w:p w14:paraId="7F3C26BC" w14:textId="1A4AA0CE" w:rsidR="00AD0F29" w:rsidRDefault="00C837E8" w:rsidP="00005B82">
      <w:pPr>
        <w:rPr>
          <w:lang w:eastAsia="en-AU"/>
        </w:rPr>
      </w:pPr>
      <w:r>
        <w:rPr>
          <w:lang w:eastAsia="en-AU"/>
        </w:rPr>
        <w:t xml:space="preserve">Proposed new section LY 7(3) sets out the </w:t>
      </w:r>
      <w:r w:rsidR="00AD0F29">
        <w:rPr>
          <w:lang w:eastAsia="en-AU"/>
        </w:rPr>
        <w:t xml:space="preserve">formula </w:t>
      </w:r>
      <w:r>
        <w:rPr>
          <w:lang w:eastAsia="en-AU"/>
        </w:rPr>
        <w:t xml:space="preserve">for </w:t>
      </w:r>
      <w:r w:rsidR="00AC7195">
        <w:rPr>
          <w:lang w:eastAsia="en-AU"/>
        </w:rPr>
        <w:t xml:space="preserve">calculating </w:t>
      </w:r>
      <w:r>
        <w:rPr>
          <w:lang w:eastAsia="en-AU"/>
        </w:rPr>
        <w:t>actual overseas expenditure</w:t>
      </w:r>
      <w:r w:rsidR="00AD0F29">
        <w:rPr>
          <w:lang w:eastAsia="en-AU"/>
        </w:rPr>
        <w:t>:</w:t>
      </w:r>
    </w:p>
    <w:p w14:paraId="3C668386" w14:textId="6B89CA06" w:rsidR="00AD0F29" w:rsidRDefault="00AD0F29" w:rsidP="00AD0F29">
      <w:pPr>
        <w:rPr>
          <w:rFonts w:eastAsia="Times New Roman" w:cs="Times New Roman"/>
          <w:szCs w:val="20"/>
          <w:lang w:eastAsia="en-AU"/>
        </w:rPr>
      </w:pPr>
    </w:p>
    <w:p w14:paraId="2BD423A2" w14:textId="543BBC22" w:rsidR="00C837E8" w:rsidRPr="003A382F" w:rsidRDefault="00C837E8" w:rsidP="003A382F">
      <w:pPr>
        <w:jc w:val="center"/>
      </w:pPr>
      <w:r w:rsidRPr="003A382F">
        <w:t>(0.8 × (contract amount) – ineligible expenditure) + foreign in-house amount</w:t>
      </w:r>
    </w:p>
    <w:p w14:paraId="76E51567" w14:textId="77777777" w:rsidR="00C837E8" w:rsidRPr="00AC7195" w:rsidRDefault="00C837E8" w:rsidP="00AC7195"/>
    <w:p w14:paraId="43D077A8" w14:textId="72768E32" w:rsidR="00383726" w:rsidRPr="00AC7195" w:rsidRDefault="00AC7195" w:rsidP="00AC7195">
      <w:r>
        <w:t>P</w:t>
      </w:r>
      <w:r w:rsidR="00DD0502" w:rsidRPr="00AC7195">
        <w:t>roposed new</w:t>
      </w:r>
      <w:r w:rsidR="00AD0F29" w:rsidRPr="00AC7195">
        <w:t xml:space="preserve"> section LY 7(4)</w:t>
      </w:r>
      <w:r w:rsidR="00C837E8" w:rsidRPr="00AC7195">
        <w:t>)</w:t>
      </w:r>
      <w:r>
        <w:t xml:space="preserve"> defines the components of the formula.</w:t>
      </w:r>
    </w:p>
    <w:p w14:paraId="2F8B48EA" w14:textId="77777777" w:rsidR="00AD0F29" w:rsidRPr="00AC7195" w:rsidRDefault="00AD0F29" w:rsidP="00AC7195"/>
    <w:p w14:paraId="32699977" w14:textId="66005AD5" w:rsidR="00C837E8" w:rsidRPr="00AC7195" w:rsidRDefault="00AC7195" w:rsidP="00AC7195">
      <w:r>
        <w:t>C</w:t>
      </w:r>
      <w:r w:rsidR="00C837E8" w:rsidRPr="00AC7195">
        <w:t>ontract amount</w:t>
      </w:r>
      <w:r>
        <w:t xml:space="preserve"> means the </w:t>
      </w:r>
      <w:r w:rsidR="00C837E8" w:rsidRPr="00AC7195">
        <w:t>amounts paid to a foreign contractor to perform R&amp;D activities on a person’s behalf (essentially an R&amp;D contractor as defined in YA 1, but for activities performed outside New Zealand)</w:t>
      </w:r>
      <w:r>
        <w:t>.</w:t>
      </w:r>
    </w:p>
    <w:p w14:paraId="4A4BFC61" w14:textId="77777777" w:rsidR="00C837E8" w:rsidRPr="00AC7195" w:rsidRDefault="00C837E8" w:rsidP="00AC7195"/>
    <w:p w14:paraId="183149C4" w14:textId="375D5E92" w:rsidR="00C837E8" w:rsidRPr="00AC7195" w:rsidRDefault="00AC7195" w:rsidP="00AC7195">
      <w:r>
        <w:t>I</w:t>
      </w:r>
      <w:r w:rsidR="00C837E8" w:rsidRPr="00AC7195">
        <w:t>neligible expenditure</w:t>
      </w:r>
      <w:r>
        <w:t xml:space="preserve"> means the </w:t>
      </w:r>
      <w:r w:rsidR="00C837E8" w:rsidRPr="00AC7195">
        <w:t>expenditure or loss incurred by a foreign contractor that would be ineligible under schedule 21B, treating the foreign contractor as though they were the person claiming R&amp;D tax credits</w:t>
      </w:r>
      <w:r>
        <w:t>.</w:t>
      </w:r>
    </w:p>
    <w:p w14:paraId="397FBA5C" w14:textId="77777777" w:rsidR="00C837E8" w:rsidRPr="00AC7195" w:rsidRDefault="00C837E8" w:rsidP="00AC7195"/>
    <w:p w14:paraId="5C118669" w14:textId="334FE9BC" w:rsidR="001710A7" w:rsidRPr="00AC7195" w:rsidRDefault="00AC7195" w:rsidP="00AC7195">
      <w:r>
        <w:t>F</w:t>
      </w:r>
      <w:r w:rsidR="00C837E8" w:rsidRPr="00AC7195">
        <w:t>oreign in-house amount</w:t>
      </w:r>
      <w:r>
        <w:t xml:space="preserve"> means </w:t>
      </w:r>
      <w:r w:rsidR="00C837E8" w:rsidRPr="00AC7195">
        <w:t>expenditure or loss incurred by a person on activities performed overseas, to the extent these activities are performed by the person themselves (rather than by a foreign contractor).</w:t>
      </w:r>
    </w:p>
    <w:p w14:paraId="22422254" w14:textId="77777777" w:rsidR="00D64DA6" w:rsidRDefault="00D64DA6" w:rsidP="00005B82">
      <w:pPr>
        <w:rPr>
          <w:lang w:val="en-GB" w:eastAsia="en-AU"/>
        </w:rPr>
      </w:pPr>
    </w:p>
    <w:p w14:paraId="275E4D0D" w14:textId="6C4AFAD4" w:rsidR="001710A7" w:rsidRDefault="001710A7" w:rsidP="00005B82">
      <w:pPr>
        <w:rPr>
          <w:rFonts w:eastAsia="Times New Roman" w:cs="Times New Roman"/>
          <w:szCs w:val="24"/>
          <w:lang w:val="en-GB" w:eastAsia="en-AU"/>
        </w:rPr>
      </w:pPr>
      <w:r>
        <w:rPr>
          <w:rFonts w:eastAsia="Times New Roman" w:cs="Times New Roman"/>
          <w:szCs w:val="24"/>
          <w:lang w:val="en-GB" w:eastAsia="en-AU"/>
        </w:rPr>
        <w:t xml:space="preserve">For the rationale behind only allowing </w:t>
      </w:r>
      <w:r w:rsidR="004360B9">
        <w:rPr>
          <w:rFonts w:eastAsia="Times New Roman" w:cs="Times New Roman"/>
          <w:szCs w:val="24"/>
          <w:lang w:val="en-GB" w:eastAsia="en-AU"/>
        </w:rPr>
        <w:t>eighty percent</w:t>
      </w:r>
      <w:r>
        <w:rPr>
          <w:rFonts w:eastAsia="Times New Roman" w:cs="Times New Roman"/>
          <w:szCs w:val="24"/>
          <w:lang w:val="en-GB" w:eastAsia="en-AU"/>
        </w:rPr>
        <w:t xml:space="preserve"> of amounts paid to foreign contractors </w:t>
      </w:r>
      <w:r w:rsidR="00A51A5F">
        <w:rPr>
          <w:rFonts w:eastAsia="Times New Roman" w:cs="Times New Roman"/>
          <w:szCs w:val="24"/>
          <w:lang w:val="en-GB" w:eastAsia="en-AU"/>
        </w:rPr>
        <w:t xml:space="preserve">see the section on </w:t>
      </w:r>
      <w:r w:rsidR="00A51A5F" w:rsidRPr="00A51A5F">
        <w:rPr>
          <w:rStyle w:val="Emphasis"/>
          <w:lang w:val="en-GB" w:eastAsia="en-AU"/>
        </w:rPr>
        <w:t>Contracted expenditure</w:t>
      </w:r>
      <w:r w:rsidR="00A51A5F">
        <w:rPr>
          <w:rFonts w:eastAsia="Times New Roman" w:cs="Times New Roman"/>
          <w:szCs w:val="24"/>
          <w:lang w:val="en-GB" w:eastAsia="en-AU"/>
        </w:rPr>
        <w:t xml:space="preserve"> (page 33).</w:t>
      </w:r>
    </w:p>
    <w:p w14:paraId="7FC9C04E" w14:textId="77777777" w:rsidR="0040746E" w:rsidRPr="001710A7" w:rsidRDefault="0040746E" w:rsidP="00005B82">
      <w:pPr>
        <w:rPr>
          <w:rFonts w:eastAsia="Times New Roman" w:cs="Times New Roman"/>
          <w:szCs w:val="24"/>
          <w:lang w:val="en-GB" w:eastAsia="en-AU"/>
        </w:rPr>
      </w:pPr>
    </w:p>
    <w:p w14:paraId="1B550682" w14:textId="77777777" w:rsidR="00AD0F29" w:rsidRPr="001710A7" w:rsidRDefault="001710A7" w:rsidP="008E7A3B">
      <w:pPr>
        <w:pStyle w:val="Heading3"/>
      </w:pPr>
      <w:r w:rsidRPr="001710A7">
        <w:t>Capped overseas expenditure</w:t>
      </w:r>
    </w:p>
    <w:p w14:paraId="79E376FB" w14:textId="77777777" w:rsidR="0040746E" w:rsidRDefault="0040746E" w:rsidP="00005B82">
      <w:pPr>
        <w:rPr>
          <w:lang w:val="en-GB" w:eastAsia="en-AU"/>
        </w:rPr>
      </w:pPr>
    </w:p>
    <w:p w14:paraId="27E7580F" w14:textId="19BFC42E" w:rsidR="001710A7" w:rsidRDefault="003A382F" w:rsidP="00005B82">
      <w:pPr>
        <w:rPr>
          <w:lang w:val="en-GB" w:eastAsia="en-AU"/>
        </w:rPr>
      </w:pPr>
      <w:r>
        <w:rPr>
          <w:lang w:val="en-GB" w:eastAsia="en-AU"/>
        </w:rPr>
        <w:t xml:space="preserve">Proposed new section LY 7(5) sets out the </w:t>
      </w:r>
      <w:r w:rsidR="001710A7">
        <w:rPr>
          <w:lang w:val="en-GB" w:eastAsia="en-AU"/>
        </w:rPr>
        <w:t xml:space="preserve">formula for </w:t>
      </w:r>
      <w:r w:rsidR="00AC7195">
        <w:rPr>
          <w:lang w:val="en-GB" w:eastAsia="en-AU"/>
        </w:rPr>
        <w:t xml:space="preserve">calculating </w:t>
      </w:r>
      <w:r w:rsidR="001710A7">
        <w:rPr>
          <w:lang w:val="en-GB" w:eastAsia="en-AU"/>
        </w:rPr>
        <w:t>capped overseas expenditure:</w:t>
      </w:r>
    </w:p>
    <w:p w14:paraId="73DE1640" w14:textId="77777777" w:rsidR="003A382F" w:rsidRDefault="003A382F" w:rsidP="00005B82">
      <w:pPr>
        <w:rPr>
          <w:lang w:val="en-GB" w:eastAsia="en-AU"/>
        </w:rPr>
      </w:pPr>
    </w:p>
    <w:p w14:paraId="7129FF14" w14:textId="4CDE80D5" w:rsidR="001710A7" w:rsidRPr="00C837E8" w:rsidRDefault="003A382F" w:rsidP="003A382F">
      <w:pPr>
        <w:pStyle w:val="ListParagraph"/>
        <w:numPr>
          <w:ilvl w:val="0"/>
          <w:numId w:val="0"/>
        </w:numPr>
        <w:jc w:val="center"/>
        <w:rPr>
          <w:rFonts w:eastAsia="Times New Roman"/>
          <w:lang w:val="en-GB"/>
        </w:rPr>
      </w:pPr>
      <w:r>
        <w:rPr>
          <w:rFonts w:eastAsia="Times New Roman"/>
          <w:lang w:val="en-GB"/>
        </w:rPr>
        <w:t xml:space="preserve">0.1 </w:t>
      </w:r>
      <w:r w:rsidR="00C837E8" w:rsidRPr="00C837E8">
        <w:rPr>
          <w:rFonts w:eastAsia="Times New Roman"/>
          <w:lang w:val="en-GB"/>
        </w:rPr>
        <w:t>× total N</w:t>
      </w:r>
      <w:r>
        <w:rPr>
          <w:rFonts w:eastAsia="Times New Roman"/>
          <w:lang w:val="en-GB"/>
        </w:rPr>
        <w:t xml:space="preserve">ew </w:t>
      </w:r>
      <w:r w:rsidR="00C837E8" w:rsidRPr="00C837E8">
        <w:rPr>
          <w:rFonts w:eastAsia="Times New Roman"/>
          <w:lang w:val="en-GB"/>
        </w:rPr>
        <w:t>Z</w:t>
      </w:r>
      <w:r>
        <w:rPr>
          <w:rFonts w:eastAsia="Times New Roman"/>
          <w:lang w:val="en-GB"/>
        </w:rPr>
        <w:t>ealand</w:t>
      </w:r>
      <w:r w:rsidR="00C837E8" w:rsidRPr="00C837E8">
        <w:rPr>
          <w:rFonts w:eastAsia="Times New Roman"/>
          <w:lang w:val="en-GB"/>
        </w:rPr>
        <w:t xml:space="preserve"> R&amp;D expenditure ÷ 0.9</w:t>
      </w:r>
    </w:p>
    <w:p w14:paraId="2B34797F" w14:textId="77777777" w:rsidR="0040746E" w:rsidRDefault="0040746E" w:rsidP="00005B82">
      <w:pPr>
        <w:rPr>
          <w:rFonts w:eastAsia="Times New Roman" w:cs="Times New Roman"/>
          <w:szCs w:val="24"/>
          <w:lang w:val="en-GB" w:eastAsia="en-AU"/>
        </w:rPr>
      </w:pPr>
    </w:p>
    <w:p w14:paraId="4258C06F" w14:textId="77777777" w:rsidR="00AC7195" w:rsidRDefault="00AC7195" w:rsidP="00005B82">
      <w:r>
        <w:t>P</w:t>
      </w:r>
      <w:r w:rsidR="00DD0502" w:rsidRPr="00AC7195">
        <w:t xml:space="preserve">roposed new section </w:t>
      </w:r>
      <w:r w:rsidR="001710A7" w:rsidRPr="00AC7195">
        <w:t>LY 7(6)</w:t>
      </w:r>
      <w:r w:rsidR="003A382F" w:rsidRPr="00AC7195">
        <w:t>)</w:t>
      </w:r>
      <w:r>
        <w:t xml:space="preserve"> defines </w:t>
      </w:r>
      <w:r w:rsidR="001710A7" w:rsidRPr="00AC7195">
        <w:t>total N</w:t>
      </w:r>
      <w:r w:rsidR="003A382F" w:rsidRPr="00AC7195">
        <w:t xml:space="preserve">ew </w:t>
      </w:r>
      <w:r w:rsidR="001710A7" w:rsidRPr="00AC7195">
        <w:t>Z</w:t>
      </w:r>
      <w:r w:rsidR="003A382F" w:rsidRPr="00AC7195">
        <w:t>ealand</w:t>
      </w:r>
      <w:r w:rsidR="001710A7" w:rsidRPr="00AC7195">
        <w:t xml:space="preserve"> R&amp;D expenditure</w:t>
      </w:r>
      <w:r>
        <w:t xml:space="preserve"> as </w:t>
      </w:r>
      <w:r w:rsidR="001710A7" w:rsidRPr="00AC7195">
        <w:t xml:space="preserve">a </w:t>
      </w:r>
      <w:r w:rsidR="00DD0502" w:rsidRPr="00AC7195">
        <w:t xml:space="preserve">person’s </w:t>
      </w:r>
      <w:r w:rsidR="001710A7" w:rsidRPr="00AC7195">
        <w:t>total eligible expenditure, less any amounts that are foreign expenditur</w:t>
      </w:r>
      <w:r w:rsidR="003A382F" w:rsidRPr="00AC7195">
        <w:t>e as defined in section LY 7(1)</w:t>
      </w:r>
      <w:r>
        <w:t>.</w:t>
      </w:r>
    </w:p>
    <w:p w14:paraId="32524C6C" w14:textId="77777777" w:rsidR="00AC7195" w:rsidRDefault="00AC7195" w:rsidP="00005B82"/>
    <w:p w14:paraId="732B94FA" w14:textId="61DB3A23" w:rsidR="001710A7" w:rsidRDefault="007118E2" w:rsidP="00005B82">
      <w:pPr>
        <w:rPr>
          <w:rFonts w:eastAsia="Times New Roman" w:cs="Times New Roman"/>
          <w:szCs w:val="24"/>
          <w:lang w:val="en-GB" w:eastAsia="en-AU"/>
        </w:rPr>
      </w:pPr>
      <w:r>
        <w:rPr>
          <w:rFonts w:eastAsia="Times New Roman" w:cs="Times New Roman"/>
          <w:szCs w:val="24"/>
          <w:lang w:val="en-GB" w:eastAsia="en-AU"/>
        </w:rPr>
        <w:t xml:space="preserve">This formula means the capped amount of overseas expenditure is equal to </w:t>
      </w:r>
      <w:r w:rsidR="004360B9">
        <w:rPr>
          <w:rFonts w:eastAsia="Times New Roman" w:cs="Times New Roman"/>
          <w:szCs w:val="24"/>
          <w:lang w:val="en-GB" w:eastAsia="en-AU"/>
        </w:rPr>
        <w:t>ten percent</w:t>
      </w:r>
      <w:r>
        <w:rPr>
          <w:rFonts w:eastAsia="Times New Roman" w:cs="Times New Roman"/>
          <w:szCs w:val="24"/>
          <w:lang w:val="en-GB" w:eastAsia="en-AU"/>
        </w:rPr>
        <w:t xml:space="preserve"> of </w:t>
      </w:r>
      <w:r w:rsidR="008E6635">
        <w:rPr>
          <w:rFonts w:eastAsia="Times New Roman" w:cs="Times New Roman"/>
          <w:szCs w:val="24"/>
          <w:lang w:val="en-GB" w:eastAsia="en-AU"/>
        </w:rPr>
        <w:t>the total eligible expenditure.</w:t>
      </w:r>
    </w:p>
    <w:p w14:paraId="42EECE76" w14:textId="77777777" w:rsidR="00005B82" w:rsidRDefault="00005B82" w:rsidP="00697F90">
      <w:pPr>
        <w:rPr>
          <w:rFonts w:eastAsia="Times New Roman" w:cs="Times New Roman"/>
          <w:szCs w:val="24"/>
          <w:lang w:val="en-GB" w:eastAsia="en-AU"/>
        </w:rPr>
      </w:pPr>
    </w:p>
    <w:p w14:paraId="30105B05" w14:textId="468EE4DC" w:rsidR="00005B82" w:rsidRPr="00697F90" w:rsidRDefault="00005B82" w:rsidP="008E6635">
      <w:pPr>
        <w:pStyle w:val="Exampleheading1"/>
      </w:pPr>
      <w:r w:rsidRPr="00697F90">
        <w:t>Example</w:t>
      </w:r>
      <w:r w:rsidR="00DF2F85">
        <w:t xml:space="preserve"> 7</w:t>
      </w:r>
      <w:r w:rsidRPr="00697F90">
        <w:t xml:space="preserve">: </w:t>
      </w:r>
      <w:r w:rsidR="00DF2F85">
        <w:t>S</w:t>
      </w:r>
      <w:r w:rsidRPr="00697F90">
        <w:t>peakers in emergency radio systems</w:t>
      </w:r>
    </w:p>
    <w:p w14:paraId="461802B7" w14:textId="77777777" w:rsidR="00127F7A" w:rsidRDefault="00127F7A" w:rsidP="008E6635">
      <w:pPr>
        <w:pStyle w:val="Exampletext"/>
      </w:pPr>
    </w:p>
    <w:p w14:paraId="7E80AEA5" w14:textId="281D4F8F" w:rsidR="00005B82" w:rsidRPr="00E76E58" w:rsidRDefault="00005B82" w:rsidP="008E6635">
      <w:pPr>
        <w:pStyle w:val="Exampletext"/>
      </w:pPr>
      <w:r w:rsidRPr="00E76E58">
        <w:t>Tamaki Ltd is in the business of producing high quality audio devices for use in portable electronic equipment. It has a team of 200 staff working on R&amp;D in its purpose-built</w:t>
      </w:r>
      <w:r w:rsidR="008E6635">
        <w:t xml:space="preserve"> R&amp;D facility in the Wairarapa.</w:t>
      </w:r>
    </w:p>
    <w:p w14:paraId="222D0EDC" w14:textId="77777777" w:rsidR="00127F7A" w:rsidRDefault="00127F7A" w:rsidP="008E6635">
      <w:pPr>
        <w:pStyle w:val="Exampletext"/>
      </w:pPr>
    </w:p>
    <w:p w14:paraId="29B8FC5C" w14:textId="1E6B20FB" w:rsidR="00005B82" w:rsidRPr="00E76E58" w:rsidRDefault="00005B82" w:rsidP="008E6635">
      <w:pPr>
        <w:pStyle w:val="Exampletext"/>
      </w:pPr>
      <w:r w:rsidRPr="00E76E58">
        <w:t>Once it has a workable concept, it then sends a delegation of its R&amp;D staff to Thailand, where Tamaki Ltd has a factory dedicated to producing audio devices. In Thailand, Tamaki Ltd reconfigures its manufacturing facilities temporarily, so that they can be used to produce its new prototype, and then sends those prototypes back to New Zealand fo</w:t>
      </w:r>
      <w:r w:rsidR="008E6635">
        <w:t>r further testing and analysis.</w:t>
      </w:r>
    </w:p>
    <w:p w14:paraId="359FC25F" w14:textId="77777777" w:rsidR="00127F7A" w:rsidRDefault="00127F7A" w:rsidP="008E6635">
      <w:pPr>
        <w:pStyle w:val="Exampletext"/>
      </w:pPr>
    </w:p>
    <w:p w14:paraId="38B61809" w14:textId="51FCFC08" w:rsidR="00005B82" w:rsidRPr="00E76E58" w:rsidRDefault="00005B82" w:rsidP="008E6635">
      <w:pPr>
        <w:pStyle w:val="Exampletext"/>
      </w:pPr>
      <w:r w:rsidRPr="00E76E58">
        <w:t>In November 2018, Tamaki Ltd beg</w:t>
      </w:r>
      <w:r>
        <w:t>i</w:t>
      </w:r>
      <w:r w:rsidRPr="00E76E58">
        <w:t>n</w:t>
      </w:r>
      <w:r>
        <w:t>s</w:t>
      </w:r>
      <w:r w:rsidRPr="00E76E58">
        <w:t xml:space="preserve"> R&amp;D on a new type of speaker, which it would like to use to replace the speakers in its existing emergency radio systems. Tamaki Ltd has developed a concept, but it needs to test whether it will work in the emergency radio systems produced in its T</w:t>
      </w:r>
      <w:r w:rsidR="008E6635">
        <w:t>hailand manufacturing facility.</w:t>
      </w:r>
    </w:p>
    <w:p w14:paraId="4CF0960B" w14:textId="77777777" w:rsidR="00127F7A" w:rsidRDefault="00127F7A" w:rsidP="008E6635">
      <w:pPr>
        <w:pStyle w:val="Exampletext"/>
      </w:pPr>
    </w:p>
    <w:p w14:paraId="3CC4D71A" w14:textId="77777777" w:rsidR="00005B82" w:rsidRDefault="00005B82" w:rsidP="008E6635">
      <w:pPr>
        <w:pStyle w:val="Exampletext"/>
      </w:pPr>
      <w:r w:rsidRPr="00E76E58">
        <w:t xml:space="preserve">Tamaki Ltd has </w:t>
      </w:r>
      <w:r>
        <w:t>incurred</w:t>
      </w:r>
      <w:r w:rsidRPr="00E76E58">
        <w:t xml:space="preserve"> $1 million of eligible expenditure on R&amp;D performed in New Zealand to date, which includes a mixture of eligible core and supporting activities. In January 2019, Tamaki Ltd sends a team of engineers to Thailand to configure its plant and oversee the production of a prototype of the emergency radio system incorporating the new speaker design. Tamaki Ltd spends $300,000 on its R&amp;D in Thailand.</w:t>
      </w:r>
    </w:p>
    <w:p w14:paraId="44B9148A" w14:textId="77777777" w:rsidR="00127F7A" w:rsidRDefault="00127F7A" w:rsidP="008E6635">
      <w:pPr>
        <w:pStyle w:val="Exampletext"/>
      </w:pPr>
    </w:p>
    <w:p w14:paraId="667CE55F" w14:textId="77777777" w:rsidR="00005B82" w:rsidRPr="00697F90" w:rsidRDefault="00005B82" w:rsidP="008E6635">
      <w:pPr>
        <w:pStyle w:val="Exampleheading2"/>
      </w:pPr>
      <w:r w:rsidRPr="00697F90">
        <w:t>Actual overseas expenditure</w:t>
      </w:r>
    </w:p>
    <w:p w14:paraId="56A310E2" w14:textId="77777777" w:rsidR="008E6635" w:rsidRDefault="008E6635" w:rsidP="008E6635">
      <w:pPr>
        <w:pStyle w:val="Exampletext"/>
      </w:pPr>
    </w:p>
    <w:p w14:paraId="6078610D" w14:textId="50231382" w:rsidR="00005B82" w:rsidRDefault="003A382F" w:rsidP="008E6635">
      <w:pPr>
        <w:pStyle w:val="Exampletext"/>
      </w:pPr>
      <w:r>
        <w:t>The f</w:t>
      </w:r>
      <w:r w:rsidR="00005B82" w:rsidRPr="003A382F">
        <w:t>ormula</w:t>
      </w:r>
      <w:r>
        <w:t xml:space="preserve"> is</w:t>
      </w:r>
      <w:r w:rsidR="00005B82" w:rsidRPr="003A382F">
        <w:t>:</w:t>
      </w:r>
      <w:r w:rsidR="00005B82" w:rsidRPr="00697F90">
        <w:t xml:space="preserve"> (0.8 </w:t>
      </w:r>
      <w:r w:rsidR="00A1664A">
        <w:t>×</w:t>
      </w:r>
      <w:r w:rsidR="00005B82" w:rsidRPr="00697F90">
        <w:t xml:space="preserve"> (contract amount) </w:t>
      </w:r>
      <w:r w:rsidR="00A1664A">
        <w:t>–</w:t>
      </w:r>
      <w:r w:rsidR="00005B82" w:rsidRPr="00697F90">
        <w:t xml:space="preserve"> ineligible expenditure) </w:t>
      </w:r>
      <w:r w:rsidR="00A1664A">
        <w:t>+</w:t>
      </w:r>
      <w:r w:rsidR="00005B82" w:rsidRPr="00697F90">
        <w:t xml:space="preserve"> foreign in-house amount)</w:t>
      </w:r>
      <w:r>
        <w:t>, where:</w:t>
      </w:r>
    </w:p>
    <w:p w14:paraId="48CBA05E" w14:textId="77777777" w:rsidR="008E6635" w:rsidRPr="00697F90" w:rsidRDefault="008E6635" w:rsidP="008E6635">
      <w:pPr>
        <w:pStyle w:val="Exampletext"/>
      </w:pPr>
    </w:p>
    <w:p w14:paraId="05300D03" w14:textId="588C8249" w:rsidR="00005B82" w:rsidRPr="00697F90" w:rsidRDefault="003A382F" w:rsidP="008E6635">
      <w:pPr>
        <w:pStyle w:val="Examplebullet1"/>
      </w:pPr>
      <w:r>
        <w:t>the c</w:t>
      </w:r>
      <w:r w:rsidR="00005B82" w:rsidRPr="00697F90">
        <w:t xml:space="preserve">ontract amount and ineligible expenditure </w:t>
      </w:r>
      <w:r w:rsidR="00A1664A">
        <w:t>=</w:t>
      </w:r>
      <w:r w:rsidR="00005B82" w:rsidRPr="00697F90">
        <w:t xml:space="preserve"> nil, </w:t>
      </w:r>
      <w:r>
        <w:t>as</w:t>
      </w:r>
      <w:r w:rsidR="00005B82" w:rsidRPr="00697F90">
        <w:t xml:space="preserve"> Tamaki Ltd performed al</w:t>
      </w:r>
      <w:r>
        <w:t>l of its foreign R&amp;D in-house; and</w:t>
      </w:r>
    </w:p>
    <w:p w14:paraId="1F6FE50A" w14:textId="1D14CF52" w:rsidR="00005B82" w:rsidRPr="00697F90" w:rsidRDefault="003A382F" w:rsidP="008E6635">
      <w:pPr>
        <w:pStyle w:val="Examplebullet1"/>
        <w:spacing w:after="0"/>
      </w:pPr>
      <w:r>
        <w:t>the f</w:t>
      </w:r>
      <w:r w:rsidR="00005B82" w:rsidRPr="00697F90">
        <w:t xml:space="preserve">oreign in-house amount </w:t>
      </w:r>
      <w:r w:rsidR="00A1664A">
        <w:t>=</w:t>
      </w:r>
      <w:r w:rsidR="00005B82" w:rsidRPr="00697F90">
        <w:t xml:space="preserve"> $300,000.</w:t>
      </w:r>
    </w:p>
    <w:p w14:paraId="4F2C4D69" w14:textId="77777777" w:rsidR="008E6635" w:rsidRDefault="008E6635" w:rsidP="008E6635">
      <w:pPr>
        <w:pStyle w:val="Exampletext"/>
      </w:pPr>
    </w:p>
    <w:p w14:paraId="22B265E9" w14:textId="780FB8CB" w:rsidR="00005B82" w:rsidRDefault="00005B82" w:rsidP="008E6635">
      <w:pPr>
        <w:pStyle w:val="Exampletext"/>
      </w:pPr>
      <w:r w:rsidRPr="00697F90">
        <w:t>Applying the formula:</w:t>
      </w:r>
      <w:r>
        <w:t xml:space="preserve"> </w:t>
      </w:r>
      <w:r w:rsidRPr="00E76E58">
        <w:t xml:space="preserve">(0.8 </w:t>
      </w:r>
      <w:r w:rsidR="00A1664A">
        <w:t>×</w:t>
      </w:r>
      <w:r w:rsidRPr="00E76E58">
        <w:t xml:space="preserve"> (0) </w:t>
      </w:r>
      <w:r w:rsidR="00A1664A">
        <w:t>–</w:t>
      </w:r>
      <w:r w:rsidRPr="00E76E58">
        <w:t xml:space="preserve"> 0) </w:t>
      </w:r>
      <w:r w:rsidR="00A1664A">
        <w:t>+</w:t>
      </w:r>
      <w:r w:rsidRPr="00E76E58">
        <w:t xml:space="preserve"> $300,000 </w:t>
      </w:r>
      <w:r w:rsidR="00A1664A">
        <w:t>=</w:t>
      </w:r>
      <w:r w:rsidRPr="00E76E58">
        <w:t xml:space="preserve"> $300,000</w:t>
      </w:r>
      <w:r w:rsidR="003A382F">
        <w:t>.</w:t>
      </w:r>
    </w:p>
    <w:p w14:paraId="46D41010" w14:textId="77777777" w:rsidR="008E6635" w:rsidRPr="00697F90" w:rsidRDefault="008E6635" w:rsidP="008E6635">
      <w:pPr>
        <w:pStyle w:val="Exampletext"/>
      </w:pPr>
    </w:p>
    <w:p w14:paraId="30FC54BE" w14:textId="708F62A6" w:rsidR="00005B82" w:rsidRDefault="00005B82" w:rsidP="008E6635">
      <w:pPr>
        <w:pStyle w:val="Exampleheading2"/>
      </w:pPr>
      <w:bookmarkStart w:id="30" w:name="_Hlk527624784"/>
      <w:r w:rsidRPr="00E76E58">
        <w:t>Capped overseas expenditure</w:t>
      </w:r>
    </w:p>
    <w:p w14:paraId="715DB058" w14:textId="77777777" w:rsidR="008E6635" w:rsidRDefault="008E6635" w:rsidP="008E6635">
      <w:pPr>
        <w:pStyle w:val="Exampletext"/>
      </w:pPr>
    </w:p>
    <w:p w14:paraId="5B4BC03C" w14:textId="2338B1D5" w:rsidR="00005B82" w:rsidRDefault="003A382F" w:rsidP="003A382F">
      <w:pPr>
        <w:pStyle w:val="Exampletext"/>
        <w:rPr>
          <w:rStyle w:val="BookTitle"/>
          <w:b w:val="0"/>
          <w:bCs w:val="0"/>
          <w:smallCaps w:val="0"/>
          <w:spacing w:val="0"/>
        </w:rPr>
      </w:pPr>
      <w:r>
        <w:t xml:space="preserve">The formula is: </w:t>
      </w:r>
      <w:r w:rsidRPr="003A382F">
        <w:t>0.1 × total N</w:t>
      </w:r>
      <w:r>
        <w:t xml:space="preserve">ew </w:t>
      </w:r>
      <w:r w:rsidRPr="003A382F">
        <w:t>Z</w:t>
      </w:r>
      <w:r>
        <w:t>ealand</w:t>
      </w:r>
      <w:r w:rsidRPr="003A382F">
        <w:t xml:space="preserve"> R&amp;D expenditure ÷ 0.9</w:t>
      </w:r>
      <w:r>
        <w:t>, where the t</w:t>
      </w:r>
      <w:r w:rsidR="00A1664A">
        <w:t>otal N</w:t>
      </w:r>
      <w:r>
        <w:t xml:space="preserve">ew </w:t>
      </w:r>
      <w:r w:rsidR="00A1664A">
        <w:t>Z</w:t>
      </w:r>
      <w:r>
        <w:t>ealand</w:t>
      </w:r>
      <w:r w:rsidR="00A1664A">
        <w:t xml:space="preserve"> R&amp;D expenditure =</w:t>
      </w:r>
      <w:r w:rsidR="00005B82" w:rsidRPr="00697F90">
        <w:t xml:space="preserve"> $1,000,</w:t>
      </w:r>
      <w:r w:rsidR="00005B82" w:rsidRPr="00697F90">
        <w:rPr>
          <w:rStyle w:val="BookTitle"/>
          <w:b w:val="0"/>
          <w:bCs w:val="0"/>
          <w:smallCaps w:val="0"/>
          <w:spacing w:val="0"/>
        </w:rPr>
        <w:t>000</w:t>
      </w:r>
      <w:r>
        <w:rPr>
          <w:rStyle w:val="BookTitle"/>
          <w:b w:val="0"/>
          <w:bCs w:val="0"/>
          <w:smallCaps w:val="0"/>
          <w:spacing w:val="0"/>
        </w:rPr>
        <w:t>.</w:t>
      </w:r>
    </w:p>
    <w:p w14:paraId="0E312C80" w14:textId="77777777" w:rsidR="003A382F" w:rsidRDefault="003A382F" w:rsidP="003A382F">
      <w:pPr>
        <w:pStyle w:val="Exampletext"/>
        <w:rPr>
          <w:rStyle w:val="BookTitle"/>
          <w:b w:val="0"/>
          <w:bCs w:val="0"/>
          <w:smallCaps w:val="0"/>
          <w:spacing w:val="0"/>
        </w:rPr>
      </w:pPr>
    </w:p>
    <w:p w14:paraId="041A9504" w14:textId="5D21E309" w:rsidR="00005B82" w:rsidRPr="00697F90" w:rsidRDefault="003A382F" w:rsidP="003A382F">
      <w:pPr>
        <w:pStyle w:val="Exampletext"/>
      </w:pPr>
      <w:r>
        <w:rPr>
          <w:rStyle w:val="BookTitle"/>
          <w:b w:val="0"/>
          <w:bCs w:val="0"/>
          <w:smallCaps w:val="0"/>
          <w:spacing w:val="0"/>
        </w:rPr>
        <w:t xml:space="preserve">Applying the formula: </w:t>
      </w:r>
      <w:r w:rsidR="00005B82" w:rsidRPr="00697F90">
        <w:t xml:space="preserve">0.1 </w:t>
      </w:r>
      <w:r w:rsidR="00A1664A">
        <w:t>×</w:t>
      </w:r>
      <w:r w:rsidR="00005B82" w:rsidRPr="00697F90">
        <w:t xml:space="preserve"> $1,000,000 </w:t>
      </w:r>
      <w:r w:rsidR="00A1664A">
        <w:t>÷ 0.9 =</w:t>
      </w:r>
      <w:r w:rsidR="00005B82" w:rsidRPr="00697F90">
        <w:t xml:space="preserve"> $111,111</w:t>
      </w:r>
      <w:r>
        <w:t>.</w:t>
      </w:r>
    </w:p>
    <w:bookmarkEnd w:id="30"/>
    <w:p w14:paraId="68D45415" w14:textId="77777777" w:rsidR="008E6635" w:rsidRDefault="008E6635" w:rsidP="008E6635">
      <w:pPr>
        <w:pStyle w:val="Exampletext"/>
        <w:rPr>
          <w:i/>
        </w:rPr>
      </w:pPr>
    </w:p>
    <w:p w14:paraId="0AD37E6B" w14:textId="2DBD1C9A" w:rsidR="00005B82" w:rsidRPr="00697F90" w:rsidRDefault="00005B82" w:rsidP="008E6635">
      <w:pPr>
        <w:pStyle w:val="Exampleheading2"/>
      </w:pPr>
      <w:r w:rsidRPr="00697F90">
        <w:t>Eligible expenditure (for proposed new section LY 5)</w:t>
      </w:r>
    </w:p>
    <w:p w14:paraId="50790E74" w14:textId="77777777" w:rsidR="008E6635" w:rsidRDefault="008E6635" w:rsidP="008E6635">
      <w:pPr>
        <w:pStyle w:val="Exampletext"/>
      </w:pPr>
    </w:p>
    <w:p w14:paraId="6EA578AE" w14:textId="543BC979" w:rsidR="00005B82" w:rsidRPr="00E76E58" w:rsidRDefault="00005B82" w:rsidP="008E6635">
      <w:pPr>
        <w:pStyle w:val="Exampletext"/>
      </w:pPr>
      <w:r w:rsidRPr="00697F90">
        <w:t>Tamaki Ltd’s eligible foreign expenditure is $111,111, which is the lesser of its actual overseas expenditure ($300,000) and its capped ov</w:t>
      </w:r>
      <w:r w:rsidR="008E6635">
        <w:t>erseas expenditure ($111,111).</w:t>
      </w:r>
    </w:p>
    <w:p w14:paraId="5E736706" w14:textId="77777777" w:rsidR="00005B82" w:rsidRDefault="00005B82" w:rsidP="00697F90">
      <w:pPr>
        <w:rPr>
          <w:rFonts w:eastAsia="Times New Roman" w:cs="Times New Roman"/>
          <w:szCs w:val="24"/>
          <w:lang w:val="en-GB" w:eastAsia="en-AU"/>
        </w:rPr>
      </w:pPr>
    </w:p>
    <w:p w14:paraId="6177FD1A" w14:textId="77777777" w:rsidR="00086F8A" w:rsidRDefault="00086F8A">
      <w:pPr>
        <w:spacing w:after="200" w:line="276" w:lineRule="auto"/>
        <w:jc w:val="left"/>
      </w:pPr>
      <w:r>
        <w:br w:type="page"/>
      </w:r>
    </w:p>
    <w:p w14:paraId="095DB30D" w14:textId="77777777" w:rsidR="00D00F10" w:rsidRDefault="00D00F10" w:rsidP="00D00F10">
      <w:pPr>
        <w:pStyle w:val="Heading1"/>
      </w:pPr>
      <w:bookmarkStart w:id="31" w:name="_Toc528157363"/>
      <w:bookmarkStart w:id="32" w:name="_Toc528195580"/>
      <w:r>
        <w:t>Eligible and ineligible expenditure: schedule 21B</w:t>
      </w:r>
      <w:bookmarkEnd w:id="31"/>
      <w:bookmarkEnd w:id="32"/>
    </w:p>
    <w:p w14:paraId="6AAAB331" w14:textId="77777777" w:rsidR="00D00F10" w:rsidRDefault="00D00F10" w:rsidP="00D00F10">
      <w:pPr>
        <w:pStyle w:val="Heading3"/>
      </w:pPr>
      <w:r>
        <w:t xml:space="preserve">Clauses 6, 21 and </w:t>
      </w:r>
      <w:r w:rsidRPr="00ED09D1">
        <w:t>22 (proposed new schedule 21B)</w:t>
      </w:r>
    </w:p>
    <w:p w14:paraId="31A944DB" w14:textId="77777777" w:rsidR="00D00F10" w:rsidRDefault="00D00F10" w:rsidP="00D00F10">
      <w:pPr>
        <w:rPr>
          <w:lang w:val="en-GB" w:eastAsia="en-AU"/>
        </w:rPr>
      </w:pPr>
    </w:p>
    <w:p w14:paraId="45C3482B" w14:textId="77777777" w:rsidR="00D00F10" w:rsidRPr="00F9523D" w:rsidRDefault="00D00F10" w:rsidP="00D00F10">
      <w:pPr>
        <w:rPr>
          <w:lang w:val="en-GB" w:eastAsia="en-AU"/>
        </w:rPr>
      </w:pPr>
    </w:p>
    <w:p w14:paraId="6FB485D1" w14:textId="77777777" w:rsidR="00D00F10" w:rsidRPr="00ED09D1" w:rsidRDefault="00D00F10" w:rsidP="00D00F10">
      <w:pPr>
        <w:pStyle w:val="Heading2"/>
      </w:pPr>
      <w:r w:rsidRPr="00ED09D1">
        <w:t>Summary of proposed amendment</w:t>
      </w:r>
    </w:p>
    <w:p w14:paraId="7B7E87DA" w14:textId="77777777" w:rsidR="00D00F10" w:rsidRDefault="00D00F10" w:rsidP="00D00F10">
      <w:pPr>
        <w:rPr>
          <w:lang w:eastAsia="en-AU"/>
        </w:rPr>
      </w:pPr>
    </w:p>
    <w:p w14:paraId="402EA9CF" w14:textId="77777777" w:rsidR="00D00F10" w:rsidRDefault="00D00F10" w:rsidP="00D00F10">
      <w:pPr>
        <w:rPr>
          <w:lang w:eastAsia="en-AU"/>
        </w:rPr>
      </w:pPr>
      <w:r w:rsidRPr="00ED09D1">
        <w:rPr>
          <w:lang w:eastAsia="en-AU"/>
        </w:rPr>
        <w:t xml:space="preserve">The </w:t>
      </w:r>
      <w:r>
        <w:rPr>
          <w:lang w:eastAsia="en-AU"/>
        </w:rPr>
        <w:t>B</w:t>
      </w:r>
      <w:r w:rsidRPr="00ED09D1">
        <w:rPr>
          <w:lang w:eastAsia="en-AU"/>
        </w:rPr>
        <w:t>ill proposes that certain types of expenditure are eligible for the tax credit, and that some types are ineligible.</w:t>
      </w:r>
    </w:p>
    <w:p w14:paraId="59354E87" w14:textId="77777777" w:rsidR="00D00F10" w:rsidRDefault="00D00F10" w:rsidP="00D00F10">
      <w:pPr>
        <w:rPr>
          <w:lang w:eastAsia="en-AU"/>
        </w:rPr>
      </w:pPr>
    </w:p>
    <w:p w14:paraId="6D127332" w14:textId="77777777" w:rsidR="00D00F10" w:rsidRPr="00ED09D1" w:rsidRDefault="00D00F10" w:rsidP="00D00F10">
      <w:pPr>
        <w:rPr>
          <w:lang w:eastAsia="en-AU"/>
        </w:rPr>
      </w:pPr>
    </w:p>
    <w:p w14:paraId="77DA436A" w14:textId="77777777" w:rsidR="00D00F10" w:rsidRPr="00ED09D1" w:rsidRDefault="00D00F10" w:rsidP="00D00F10">
      <w:pPr>
        <w:pStyle w:val="Heading2"/>
      </w:pPr>
      <w:r w:rsidRPr="00ED09D1">
        <w:t>Application date</w:t>
      </w:r>
    </w:p>
    <w:p w14:paraId="0B593C43" w14:textId="77777777" w:rsidR="00D00F10" w:rsidRDefault="00D00F10" w:rsidP="00D00F10">
      <w:pPr>
        <w:rPr>
          <w:lang w:eastAsia="en-AU"/>
        </w:rPr>
      </w:pPr>
    </w:p>
    <w:p w14:paraId="79698877" w14:textId="7CE12E65" w:rsidR="00D00F10" w:rsidRDefault="00D00F10" w:rsidP="00D00F10">
      <w:pPr>
        <w:rPr>
          <w:lang w:eastAsia="en-AU"/>
        </w:rPr>
      </w:pPr>
      <w:r w:rsidRPr="00ED09D1">
        <w:rPr>
          <w:lang w:eastAsia="en-AU"/>
        </w:rPr>
        <w:t xml:space="preserve">From the </w:t>
      </w:r>
      <w:r w:rsidR="00E010FC">
        <w:rPr>
          <w:lang w:eastAsia="en-AU"/>
        </w:rPr>
        <w:t>2019–20</w:t>
      </w:r>
      <w:r w:rsidRPr="00ED09D1">
        <w:rPr>
          <w:lang w:eastAsia="en-AU"/>
        </w:rPr>
        <w:t xml:space="preserve"> income year.</w:t>
      </w:r>
    </w:p>
    <w:p w14:paraId="60A52AEC" w14:textId="77777777" w:rsidR="00D00F10" w:rsidRDefault="00D00F10" w:rsidP="00D00F10">
      <w:pPr>
        <w:rPr>
          <w:lang w:eastAsia="en-AU"/>
        </w:rPr>
      </w:pPr>
    </w:p>
    <w:p w14:paraId="3B6C9CF1" w14:textId="77777777" w:rsidR="00D00F10" w:rsidRPr="00ED09D1" w:rsidRDefault="00D00F10" w:rsidP="00D00F10">
      <w:pPr>
        <w:rPr>
          <w:lang w:eastAsia="en-AU"/>
        </w:rPr>
      </w:pPr>
    </w:p>
    <w:p w14:paraId="50CD9108" w14:textId="77777777" w:rsidR="00D00F10" w:rsidRPr="00ED09D1" w:rsidRDefault="00D00F10" w:rsidP="00D00F10">
      <w:pPr>
        <w:pStyle w:val="Heading2"/>
      </w:pPr>
      <w:r w:rsidRPr="00ED09D1">
        <w:t>Key features</w:t>
      </w:r>
    </w:p>
    <w:p w14:paraId="7941C4AE" w14:textId="77777777" w:rsidR="00D00F10" w:rsidRDefault="00D00F10" w:rsidP="00D00F10">
      <w:pPr>
        <w:rPr>
          <w:lang w:eastAsia="en-AU"/>
        </w:rPr>
      </w:pPr>
    </w:p>
    <w:p w14:paraId="6B23532D" w14:textId="77777777" w:rsidR="00D00F10" w:rsidRPr="00ED09D1" w:rsidRDefault="00D00F10" w:rsidP="00D00F10">
      <w:pPr>
        <w:rPr>
          <w:lang w:eastAsia="en-AU"/>
        </w:rPr>
      </w:pPr>
      <w:r>
        <w:rPr>
          <w:lang w:eastAsia="en-AU"/>
        </w:rPr>
        <w:t xml:space="preserve">Proposed new schedule 21B, part A provides </w:t>
      </w:r>
      <w:r w:rsidRPr="00ED09D1">
        <w:rPr>
          <w:lang w:eastAsia="en-AU"/>
        </w:rPr>
        <w:t xml:space="preserve">that only the following expenditure, to the extent </w:t>
      </w:r>
      <w:r>
        <w:rPr>
          <w:lang w:eastAsia="en-AU"/>
        </w:rPr>
        <w:t>the expenditure</w:t>
      </w:r>
      <w:r w:rsidRPr="00ED09D1">
        <w:rPr>
          <w:lang w:eastAsia="en-AU"/>
        </w:rPr>
        <w:t xml:space="preserve"> is incurred on </w:t>
      </w:r>
      <w:r>
        <w:rPr>
          <w:lang w:eastAsia="en-AU"/>
        </w:rPr>
        <w:t>R&amp;D</w:t>
      </w:r>
      <w:r w:rsidRPr="00ED09D1">
        <w:rPr>
          <w:lang w:eastAsia="en-AU"/>
        </w:rPr>
        <w:t xml:space="preserve">, is eligible for the </w:t>
      </w:r>
      <w:r>
        <w:rPr>
          <w:lang w:eastAsia="en-AU"/>
        </w:rPr>
        <w:t xml:space="preserve">R&amp;D </w:t>
      </w:r>
      <w:r w:rsidRPr="00ED09D1">
        <w:rPr>
          <w:lang w:eastAsia="en-AU"/>
        </w:rPr>
        <w:t>tax credit</w:t>
      </w:r>
      <w:r>
        <w:rPr>
          <w:lang w:eastAsia="en-AU"/>
        </w:rPr>
        <w:t xml:space="preserve"> regime</w:t>
      </w:r>
      <w:r w:rsidRPr="00ED09D1">
        <w:rPr>
          <w:lang w:eastAsia="en-AU"/>
        </w:rPr>
        <w:t>:</w:t>
      </w:r>
    </w:p>
    <w:p w14:paraId="453ACAE0" w14:textId="77777777" w:rsidR="00D00F10" w:rsidRPr="00ED09D1" w:rsidRDefault="00D00F10" w:rsidP="00D00F10">
      <w:pPr>
        <w:rPr>
          <w:lang w:eastAsia="en-AU"/>
        </w:rPr>
      </w:pPr>
    </w:p>
    <w:p w14:paraId="7B85D202" w14:textId="73363E05" w:rsidR="00D00F10" w:rsidRPr="00ED09D1" w:rsidRDefault="009C051F" w:rsidP="00D00F10">
      <w:pPr>
        <w:pStyle w:val="dotpoint"/>
      </w:pPr>
      <w:r>
        <w:t>d</w:t>
      </w:r>
      <w:r w:rsidR="00D00F10" w:rsidRPr="00ED09D1">
        <w:t>epreciation loss for items used in performing R&amp;D</w:t>
      </w:r>
      <w:r w:rsidR="00D00F10">
        <w:t>;</w:t>
      </w:r>
    </w:p>
    <w:p w14:paraId="57D68060" w14:textId="392BCA8E" w:rsidR="00D00F10" w:rsidRPr="00ED09D1" w:rsidRDefault="009C051F" w:rsidP="00D00F10">
      <w:pPr>
        <w:pStyle w:val="dotpoint"/>
      </w:pPr>
      <w:r>
        <w:t>e</w:t>
      </w:r>
      <w:r w:rsidR="00D00F10" w:rsidRPr="00ED09D1">
        <w:t xml:space="preserve">xpenditure or loss </w:t>
      </w:r>
      <w:r w:rsidR="00D00F10">
        <w:t xml:space="preserve">on </w:t>
      </w:r>
      <w:r w:rsidR="00D00F10" w:rsidRPr="00ED09D1">
        <w:t>acquir</w:t>
      </w:r>
      <w:r w:rsidR="00D00F10">
        <w:t>ing</w:t>
      </w:r>
      <w:r w:rsidR="00D00F10" w:rsidRPr="00ED09D1">
        <w:t xml:space="preserve"> goods and services used in performing R&amp;D</w:t>
      </w:r>
      <w:r w:rsidR="00D00F10">
        <w:t>; and</w:t>
      </w:r>
    </w:p>
    <w:p w14:paraId="5B07C10F" w14:textId="738B452D" w:rsidR="00D00F10" w:rsidRPr="00ED09D1" w:rsidRDefault="009C051F" w:rsidP="00D00F10">
      <w:pPr>
        <w:pStyle w:val="dotpoint"/>
        <w:spacing w:after="0"/>
      </w:pPr>
      <w:r>
        <w:t>a</w:t>
      </w:r>
      <w:r w:rsidR="00D00F10" w:rsidRPr="00ED09D1">
        <w:t>mounts paid to employees</w:t>
      </w:r>
      <w:r w:rsidR="00D00F10">
        <w:t>.</w:t>
      </w:r>
    </w:p>
    <w:p w14:paraId="538642A7" w14:textId="77777777" w:rsidR="00D00F10" w:rsidRPr="00ED09D1" w:rsidRDefault="00D00F10" w:rsidP="00D00F10">
      <w:pPr>
        <w:rPr>
          <w:lang w:eastAsia="en-AU"/>
        </w:rPr>
      </w:pPr>
    </w:p>
    <w:p w14:paraId="60B7D137" w14:textId="77777777" w:rsidR="00D00F10" w:rsidRPr="00ED09D1" w:rsidRDefault="00D00F10" w:rsidP="00D00F10">
      <w:pPr>
        <w:rPr>
          <w:lang w:eastAsia="en-AU"/>
        </w:rPr>
      </w:pPr>
      <w:r>
        <w:rPr>
          <w:lang w:eastAsia="en-AU"/>
        </w:rPr>
        <w:t xml:space="preserve">Proposed new schedule 21B, part B provides </w:t>
      </w:r>
      <w:r w:rsidRPr="00ED09D1">
        <w:rPr>
          <w:lang w:eastAsia="en-AU"/>
        </w:rPr>
        <w:t>that the following expenditure is ineligible</w:t>
      </w:r>
      <w:r>
        <w:rPr>
          <w:lang w:eastAsia="en-AU"/>
        </w:rPr>
        <w:t xml:space="preserve"> for the R&amp;D tax credit regime</w:t>
      </w:r>
      <w:r w:rsidRPr="00ED09D1">
        <w:rPr>
          <w:lang w:eastAsia="en-AU"/>
        </w:rPr>
        <w:t>:</w:t>
      </w:r>
    </w:p>
    <w:p w14:paraId="06E20EF0" w14:textId="77777777" w:rsidR="00D00F10" w:rsidRPr="00ED09D1" w:rsidRDefault="00D00F10" w:rsidP="00D00F10">
      <w:pPr>
        <w:rPr>
          <w:lang w:eastAsia="en-AU"/>
        </w:rPr>
      </w:pPr>
    </w:p>
    <w:p w14:paraId="2963CC81" w14:textId="6498684C" w:rsidR="00D00F10" w:rsidRPr="00ED09D1" w:rsidRDefault="009C051F" w:rsidP="00D00F10">
      <w:pPr>
        <w:pStyle w:val="dotpoint"/>
      </w:pPr>
      <w:r>
        <w:t>a</w:t>
      </w:r>
      <w:r w:rsidR="00D00F10" w:rsidRPr="00ED09D1">
        <w:t xml:space="preserve">mounts incurred by a person and their associates on R&amp;D to the extent </w:t>
      </w:r>
      <w:r w:rsidR="00D00F10">
        <w:t>the amounts</w:t>
      </w:r>
      <w:r w:rsidR="00D00F10" w:rsidRPr="00ED09D1">
        <w:t xml:space="preserve"> exceed $120 million</w:t>
      </w:r>
      <w:r w:rsidR="00D00F10">
        <w:t>;</w:t>
      </w:r>
    </w:p>
    <w:p w14:paraId="74A936FE" w14:textId="25043799" w:rsidR="00D00F10" w:rsidRPr="00ED09D1" w:rsidRDefault="009C051F" w:rsidP="00D00F10">
      <w:pPr>
        <w:pStyle w:val="dotpoint"/>
      </w:pPr>
      <w:r>
        <w:t>e</w:t>
      </w:r>
      <w:r w:rsidR="00D00F10" w:rsidRPr="00ED09D1">
        <w:t>xpenditure incurred in acquiring depreciable property</w:t>
      </w:r>
      <w:r w:rsidR="00D00F10">
        <w:t>;</w:t>
      </w:r>
    </w:p>
    <w:p w14:paraId="1AAFAF14" w14:textId="7882C997" w:rsidR="00D00F10" w:rsidRPr="00ED09D1" w:rsidRDefault="009C051F" w:rsidP="00D00F10">
      <w:pPr>
        <w:pStyle w:val="dotpoint"/>
      </w:pPr>
      <w:r>
        <w:t>e</w:t>
      </w:r>
      <w:r w:rsidR="00D00F10" w:rsidRPr="00ED09D1">
        <w:t>xpenditure that contributes to the cost of depreciable tangible property</w:t>
      </w:r>
      <w:r w:rsidR="00D00F10">
        <w:t>;</w:t>
      </w:r>
    </w:p>
    <w:p w14:paraId="60DC4F08" w14:textId="0C835FAC" w:rsidR="00D00F10" w:rsidRPr="00ED09D1" w:rsidRDefault="009C051F" w:rsidP="00D00F10">
      <w:pPr>
        <w:pStyle w:val="dotpoint"/>
      </w:pPr>
      <w:r>
        <w:t>d</w:t>
      </w:r>
      <w:r w:rsidR="00D00F10" w:rsidRPr="00ED09D1">
        <w:t xml:space="preserve">epreciation </w:t>
      </w:r>
      <w:r w:rsidR="00D00F10">
        <w:t xml:space="preserve">loss </w:t>
      </w:r>
      <w:r w:rsidR="00C02DAD">
        <w:t>for</w:t>
      </w:r>
      <w:r w:rsidR="00D00F10">
        <w:t xml:space="preserve"> depreciable </w:t>
      </w:r>
      <w:r w:rsidR="00D00F10" w:rsidRPr="00ED09D1">
        <w:t>property</w:t>
      </w:r>
      <w:r w:rsidR="00D00F10">
        <w:t>,</w:t>
      </w:r>
      <w:r w:rsidR="00D00F10" w:rsidRPr="00ED09D1">
        <w:t xml:space="preserve"> to the extent to which the cost of the property is eligible R&amp;D expenditure</w:t>
      </w:r>
      <w:r w:rsidR="00D00F10">
        <w:t>;</w:t>
      </w:r>
    </w:p>
    <w:p w14:paraId="7ED0CBA8" w14:textId="403BE9C4" w:rsidR="00D00F10" w:rsidRPr="00ED09D1" w:rsidRDefault="009C051F" w:rsidP="00D00F10">
      <w:pPr>
        <w:pStyle w:val="dotpoint"/>
      </w:pPr>
      <w:r>
        <w:t>d</w:t>
      </w:r>
      <w:r w:rsidR="00D00F10" w:rsidRPr="00ED09D1">
        <w:t xml:space="preserve">epreciation </w:t>
      </w:r>
      <w:r w:rsidR="00D00F10">
        <w:t xml:space="preserve">loss </w:t>
      </w:r>
      <w:r w:rsidR="00D00F10" w:rsidRPr="00ED09D1">
        <w:t>on items in a pool of depreciable property where an item in the pool is not used solely in performing R&amp;D</w:t>
      </w:r>
      <w:r w:rsidR="00D00F10">
        <w:t>;</w:t>
      </w:r>
    </w:p>
    <w:p w14:paraId="2B21DF7F" w14:textId="3C5D9B07" w:rsidR="00D00F10" w:rsidRPr="00ED09D1" w:rsidRDefault="009C051F" w:rsidP="00D00F10">
      <w:pPr>
        <w:pStyle w:val="dotpoint"/>
      </w:pPr>
      <w:r>
        <w:t>c</w:t>
      </w:r>
      <w:r w:rsidR="00D00F10" w:rsidRPr="00ED09D1">
        <w:t xml:space="preserve">ertain </w:t>
      </w:r>
      <w:r w:rsidR="00D00F10">
        <w:t xml:space="preserve">amounts of </w:t>
      </w:r>
      <w:r w:rsidR="00D00F10" w:rsidRPr="00ED09D1">
        <w:t xml:space="preserve">depreciation </w:t>
      </w:r>
      <w:r w:rsidR="00D00F10">
        <w:t xml:space="preserve">loss </w:t>
      </w:r>
      <w:r w:rsidR="00D00F10" w:rsidRPr="00ED09D1">
        <w:t>on assets acquired from associates</w:t>
      </w:r>
      <w:r w:rsidR="00D00F10">
        <w:t>;</w:t>
      </w:r>
    </w:p>
    <w:p w14:paraId="4D87E187" w14:textId="219F0BCA" w:rsidR="00D00F10" w:rsidRPr="00ED09D1" w:rsidRDefault="009C051F" w:rsidP="00D00F10">
      <w:pPr>
        <w:pStyle w:val="dotpoint"/>
      </w:pPr>
      <w:r>
        <w:t>p</w:t>
      </w:r>
      <w:r w:rsidR="00D00F10" w:rsidRPr="00ED09D1">
        <w:t>rofits on R&amp;D services and property provided by associates</w:t>
      </w:r>
      <w:r w:rsidR="00D00F10">
        <w:t>;</w:t>
      </w:r>
    </w:p>
    <w:p w14:paraId="70E3E270" w14:textId="6350254C" w:rsidR="00D00F10" w:rsidRPr="00ED09D1" w:rsidRDefault="009C051F" w:rsidP="00D00F10">
      <w:pPr>
        <w:pStyle w:val="dotpoint"/>
      </w:pPr>
      <w:r>
        <w:t>a</w:t>
      </w:r>
      <w:r w:rsidR="00D00F10" w:rsidRPr="00ED09D1">
        <w:t>mounts in excess of market value for leasing property from associates</w:t>
      </w:r>
      <w:r w:rsidR="00D00F10">
        <w:t>;</w:t>
      </w:r>
    </w:p>
    <w:p w14:paraId="7172E031" w14:textId="4C2CC3F7" w:rsidR="00D00F10" w:rsidRPr="00ED09D1" w:rsidRDefault="009C051F" w:rsidP="00D00F10">
      <w:pPr>
        <w:pStyle w:val="dotpoint"/>
      </w:pPr>
      <w:r>
        <w:t>e</w:t>
      </w:r>
      <w:r w:rsidR="00D00F10" w:rsidRPr="00ED09D1">
        <w:t xml:space="preserve">xpenditure on </w:t>
      </w:r>
      <w:r w:rsidR="00D00F10">
        <w:t xml:space="preserve">employee </w:t>
      </w:r>
      <w:r w:rsidR="00D00F10" w:rsidRPr="00ED09D1">
        <w:t>recruitment</w:t>
      </w:r>
      <w:r w:rsidR="00D00F10">
        <w:t xml:space="preserve">, </w:t>
      </w:r>
      <w:r w:rsidR="00D00F10" w:rsidRPr="00ED09D1">
        <w:t>relocation, bonuses</w:t>
      </w:r>
      <w:r w:rsidR="00D00F10">
        <w:t>, and employee share schemes;</w:t>
      </w:r>
    </w:p>
    <w:p w14:paraId="5F0F9B3B" w14:textId="3D913B09" w:rsidR="00D00F10" w:rsidRPr="00ED09D1" w:rsidRDefault="009C051F" w:rsidP="00D00F10">
      <w:pPr>
        <w:pStyle w:val="dotpoint"/>
      </w:pPr>
      <w:r>
        <w:t>i</w:t>
      </w:r>
      <w:r w:rsidR="00D00F10" w:rsidRPr="00ED09D1">
        <w:t>nterest</w:t>
      </w:r>
      <w:r w:rsidR="00D00F10">
        <w:t xml:space="preserve"> and other financing costs;</w:t>
      </w:r>
    </w:p>
    <w:p w14:paraId="74C301C5" w14:textId="1F61DDD9" w:rsidR="00D00F10" w:rsidRPr="00ED09D1" w:rsidRDefault="009C051F" w:rsidP="00D00F10">
      <w:pPr>
        <w:pStyle w:val="dotpoint"/>
      </w:pPr>
      <w:r>
        <w:t>p</w:t>
      </w:r>
      <w:r w:rsidR="00D00F10" w:rsidRPr="00ED09D1">
        <w:t>rofessional fees in determining whether a person qualifies for the R&amp;D tax credit</w:t>
      </w:r>
      <w:r w:rsidR="00D00F10">
        <w:t xml:space="preserve"> regime;</w:t>
      </w:r>
    </w:p>
    <w:p w14:paraId="7827CC83" w14:textId="77C44625" w:rsidR="00D00F10" w:rsidRPr="00ED09D1" w:rsidRDefault="009C051F" w:rsidP="00D00F10">
      <w:pPr>
        <w:pStyle w:val="dotpoint"/>
      </w:pPr>
      <w:r>
        <w:t>e</w:t>
      </w:r>
      <w:r w:rsidR="00D00F10" w:rsidRPr="00ED09D1">
        <w:t xml:space="preserve">xpenditure </w:t>
      </w:r>
      <w:r w:rsidR="00D00F10">
        <w:t xml:space="preserve">on </w:t>
      </w:r>
      <w:r w:rsidR="00D00F10" w:rsidRPr="00ED09D1">
        <w:t>acquir</w:t>
      </w:r>
      <w:r w:rsidR="00D00F10">
        <w:t>ing</w:t>
      </w:r>
      <w:r w:rsidR="00D00F10" w:rsidRPr="00ED09D1">
        <w:t xml:space="preserve"> an interest in intangible property other than software</w:t>
      </w:r>
      <w:r w:rsidR="00D00F10">
        <w:t>;</w:t>
      </w:r>
    </w:p>
    <w:p w14:paraId="29DDB7A6" w14:textId="5A309900" w:rsidR="00D00F10" w:rsidRPr="00ED09D1" w:rsidRDefault="009C051F" w:rsidP="00D00F10">
      <w:pPr>
        <w:pStyle w:val="dotpoint"/>
      </w:pPr>
      <w:r>
        <w:t>e</w:t>
      </w:r>
      <w:r w:rsidR="00D00F10" w:rsidRPr="00ED09D1">
        <w:t>xpenditure on bespoke software</w:t>
      </w:r>
      <w:r w:rsidR="00D00F10">
        <w:t>;</w:t>
      </w:r>
    </w:p>
    <w:p w14:paraId="39DB3119" w14:textId="4620FB4A" w:rsidR="00D00F10" w:rsidRPr="009D29CB" w:rsidRDefault="009C051F" w:rsidP="00A51A5F">
      <w:pPr>
        <w:pStyle w:val="dotpoint"/>
      </w:pPr>
      <w:r>
        <w:t>i</w:t>
      </w:r>
      <w:r w:rsidR="00D00F10" w:rsidRPr="00ED09D1">
        <w:t>nternal software development expenditure incurred by a person and their associates</w:t>
      </w:r>
      <w:r w:rsidR="00D00F10">
        <w:t>,</w:t>
      </w:r>
      <w:r w:rsidR="00D00F10" w:rsidRPr="00ED09D1">
        <w:t xml:space="preserve"> to the extent it exceeds $3 million</w:t>
      </w:r>
      <w:r w:rsidR="00A51A5F">
        <w:t xml:space="preserve"> (see the section on </w:t>
      </w:r>
      <w:r w:rsidR="00A51A5F" w:rsidRPr="00A51A5F">
        <w:rPr>
          <w:rStyle w:val="Emphasis"/>
        </w:rPr>
        <w:t>Internal software development</w:t>
      </w:r>
      <w:r w:rsidR="00A51A5F">
        <w:t xml:space="preserve"> (page 27) </w:t>
      </w:r>
      <w:r w:rsidR="00D00F10">
        <w:t>for more information</w:t>
      </w:r>
      <w:r w:rsidR="00A51A5F">
        <w:t>)</w:t>
      </w:r>
      <w:r w:rsidR="00D00F10">
        <w:t>;</w:t>
      </w:r>
    </w:p>
    <w:p w14:paraId="28F76519" w14:textId="3FCCF3B8" w:rsidR="00D00F10" w:rsidRPr="00ED09D1" w:rsidRDefault="009C051F" w:rsidP="00D00F10">
      <w:pPr>
        <w:pStyle w:val="dotpoint"/>
      </w:pPr>
      <w:r>
        <w:t>e</w:t>
      </w:r>
      <w:r w:rsidR="00D00F10" w:rsidRPr="00ED09D1">
        <w:t>xpenditure on goods or services to the extent it exceeds the market value of the goods or services</w:t>
      </w:r>
      <w:r w:rsidR="00D00F10">
        <w:t>;</w:t>
      </w:r>
    </w:p>
    <w:p w14:paraId="35EE41D4" w14:textId="2A1F558E" w:rsidR="00D00F10" w:rsidRPr="00ED09D1" w:rsidRDefault="009C051F" w:rsidP="00D00F10">
      <w:pPr>
        <w:pStyle w:val="dotpoint"/>
      </w:pPr>
      <w:r>
        <w:t>g</w:t>
      </w:r>
      <w:r w:rsidR="00D00F10" w:rsidRPr="00ED09D1">
        <w:t>ifts</w:t>
      </w:r>
      <w:r w:rsidR="00D00F10">
        <w:t>;</w:t>
      </w:r>
    </w:p>
    <w:p w14:paraId="10604260" w14:textId="22D2EEAA" w:rsidR="00D00F10" w:rsidRPr="00ED09D1" w:rsidRDefault="009C051F" w:rsidP="00D00F10">
      <w:pPr>
        <w:pStyle w:val="dotpoint"/>
      </w:pPr>
      <w:r>
        <w:t>t</w:t>
      </w:r>
      <w:r w:rsidR="00D00F10" w:rsidRPr="00ED09D1">
        <w:t>he cost of acquiring technology that is used as a basis for further R&amp;D</w:t>
      </w:r>
      <w:r w:rsidR="00D00F10">
        <w:t xml:space="preserve"> activities;</w:t>
      </w:r>
    </w:p>
    <w:p w14:paraId="57DF26FA" w14:textId="49F1788F" w:rsidR="00D00F10" w:rsidRPr="00ED09D1" w:rsidRDefault="009C051F" w:rsidP="00D00F10">
      <w:pPr>
        <w:pStyle w:val="dotpoint"/>
      </w:pPr>
      <w:r>
        <w:t>e</w:t>
      </w:r>
      <w:r w:rsidR="00D00F10" w:rsidRPr="00ED09D1">
        <w:t>xpenditure to commercialise the results of an R&amp;D activity</w:t>
      </w:r>
      <w:r w:rsidR="00D00F10">
        <w:t>;</w:t>
      </w:r>
    </w:p>
    <w:p w14:paraId="26E73750" w14:textId="688083C0" w:rsidR="00D00F10" w:rsidRPr="00ED09D1" w:rsidRDefault="009C051F" w:rsidP="00D00F10">
      <w:pPr>
        <w:pStyle w:val="dotpoint"/>
      </w:pPr>
      <w:r>
        <w:t>e</w:t>
      </w:r>
      <w:r w:rsidR="00D00F10" w:rsidRPr="00ED09D1">
        <w:t xml:space="preserve">xpenditure </w:t>
      </w:r>
      <w:r w:rsidR="00D00F10">
        <w:t>that</w:t>
      </w:r>
      <w:r w:rsidR="00115AAD">
        <w:t xml:space="preserve"> relates to a g</w:t>
      </w:r>
      <w:r w:rsidR="00D00F10">
        <w:t>overnment or local authority grant;</w:t>
      </w:r>
    </w:p>
    <w:p w14:paraId="0F41C085" w14:textId="577BEB56" w:rsidR="00D00F10" w:rsidRPr="00ED09D1" w:rsidRDefault="009C051F" w:rsidP="00D00F10">
      <w:pPr>
        <w:pStyle w:val="dotpoint"/>
      </w:pPr>
      <w:r>
        <w:t>e</w:t>
      </w:r>
      <w:r w:rsidR="00D00F10" w:rsidRPr="00ED09D1">
        <w:t xml:space="preserve">xpenditure on inputs </w:t>
      </w:r>
      <w:r w:rsidR="00D00F10">
        <w:t xml:space="preserve">used, or </w:t>
      </w:r>
      <w:r w:rsidR="00D00F10" w:rsidRPr="00ED09D1">
        <w:t>subject to a process or transformation, to the extent the expenditure does not exceed the value of the output from that expenditure</w:t>
      </w:r>
      <w:r w:rsidR="00D00F10">
        <w:t xml:space="preserve"> (feedstock rule);</w:t>
      </w:r>
    </w:p>
    <w:p w14:paraId="68837A97" w14:textId="4A3BE107" w:rsidR="00D00F10" w:rsidRPr="00ED09D1" w:rsidRDefault="009C051F" w:rsidP="00D00F10">
      <w:pPr>
        <w:pStyle w:val="dotpoint"/>
      </w:pPr>
      <w:r>
        <w:t>e</w:t>
      </w:r>
      <w:r w:rsidR="00D00F10" w:rsidRPr="00ED09D1">
        <w:t xml:space="preserve">xpenditure </w:t>
      </w:r>
      <w:r w:rsidR="00D00F10">
        <w:t>for</w:t>
      </w:r>
      <w:r w:rsidR="00D00F10" w:rsidRPr="00ED09D1">
        <w:t xml:space="preserve"> which a person has received an R&amp;D tax credit </w:t>
      </w:r>
      <w:r w:rsidR="00D00F10">
        <w:t>from another country; and</w:t>
      </w:r>
    </w:p>
    <w:p w14:paraId="1702EF9D" w14:textId="5F6C35BE" w:rsidR="00D00F10" w:rsidRDefault="009C051F" w:rsidP="00D00F10">
      <w:pPr>
        <w:pStyle w:val="dotpoint"/>
        <w:spacing w:after="0"/>
      </w:pPr>
      <w:r>
        <w:t>i</w:t>
      </w:r>
      <w:r w:rsidR="00D00F10">
        <w:t>f a person’s eligible expenditure is less than $50,000, e</w:t>
      </w:r>
      <w:r w:rsidR="00D00F10" w:rsidRPr="00ED09D1">
        <w:t>xpenditure or loss under $50,000 that is not for an approved research provider to perform an R&amp;D activity on behalf of the person.</w:t>
      </w:r>
    </w:p>
    <w:p w14:paraId="66AF1E11" w14:textId="77777777" w:rsidR="00D00F10" w:rsidRDefault="00D00F10" w:rsidP="00D00F10"/>
    <w:p w14:paraId="67216FAE" w14:textId="77777777" w:rsidR="00D00F10" w:rsidRPr="009D29CB" w:rsidRDefault="00D00F10" w:rsidP="00D00F10"/>
    <w:p w14:paraId="08C64992" w14:textId="77777777" w:rsidR="00D00F10" w:rsidRPr="00ED09D1" w:rsidRDefault="00D00F10" w:rsidP="00D00F10">
      <w:pPr>
        <w:pStyle w:val="Heading2"/>
        <w:rPr>
          <w:lang w:val="en-GB"/>
        </w:rPr>
      </w:pPr>
      <w:r w:rsidRPr="00ED09D1">
        <w:rPr>
          <w:lang w:val="en-GB"/>
        </w:rPr>
        <w:t>Background</w:t>
      </w:r>
    </w:p>
    <w:p w14:paraId="3A0113F9" w14:textId="77777777" w:rsidR="00D00F10" w:rsidRDefault="00D00F10" w:rsidP="00D00F10">
      <w:pPr>
        <w:rPr>
          <w:lang w:val="en-GB" w:eastAsia="en-AU"/>
        </w:rPr>
      </w:pPr>
    </w:p>
    <w:p w14:paraId="5667F832" w14:textId="77777777" w:rsidR="00D00F10" w:rsidRPr="00ED09D1" w:rsidRDefault="00D00F10" w:rsidP="00D00F10">
      <w:pPr>
        <w:rPr>
          <w:lang w:val="en-GB" w:eastAsia="en-AU"/>
        </w:rPr>
      </w:pPr>
      <w:r>
        <w:rPr>
          <w:lang w:val="en-GB" w:eastAsia="en-AU"/>
        </w:rPr>
        <w:t>E</w:t>
      </w:r>
      <w:r w:rsidRPr="00ED09D1">
        <w:rPr>
          <w:lang w:val="en-GB" w:eastAsia="en-AU"/>
        </w:rPr>
        <w:t xml:space="preserve">xpenditure that is eligible for the </w:t>
      </w:r>
      <w:r>
        <w:rPr>
          <w:lang w:val="en-GB" w:eastAsia="en-AU"/>
        </w:rPr>
        <w:t xml:space="preserve">R&amp;D </w:t>
      </w:r>
      <w:r w:rsidRPr="00ED09D1">
        <w:rPr>
          <w:lang w:val="en-GB" w:eastAsia="en-AU"/>
        </w:rPr>
        <w:t xml:space="preserve">tax credit </w:t>
      </w:r>
      <w:r>
        <w:rPr>
          <w:lang w:val="en-GB" w:eastAsia="en-AU"/>
        </w:rPr>
        <w:t xml:space="preserve">regime must </w:t>
      </w:r>
      <w:r w:rsidRPr="00ED09D1">
        <w:rPr>
          <w:lang w:val="en-GB" w:eastAsia="en-AU"/>
        </w:rPr>
        <w:t>ha</w:t>
      </w:r>
      <w:r>
        <w:rPr>
          <w:lang w:val="en-GB" w:eastAsia="en-AU"/>
        </w:rPr>
        <w:t>ve</w:t>
      </w:r>
      <w:r w:rsidRPr="00ED09D1">
        <w:rPr>
          <w:lang w:val="en-GB" w:eastAsia="en-AU"/>
        </w:rPr>
        <w:t xml:space="preserve"> a direct link to </w:t>
      </w:r>
      <w:r>
        <w:rPr>
          <w:lang w:val="en-GB" w:eastAsia="en-AU"/>
        </w:rPr>
        <w:t xml:space="preserve">a person’s </w:t>
      </w:r>
      <w:r w:rsidRPr="00ED09D1">
        <w:rPr>
          <w:lang w:val="en-GB" w:eastAsia="en-AU"/>
        </w:rPr>
        <w:t>R&amp;D activities</w:t>
      </w:r>
      <w:r>
        <w:rPr>
          <w:lang w:val="en-GB" w:eastAsia="en-AU"/>
        </w:rPr>
        <w:t xml:space="preserve">. </w:t>
      </w:r>
      <w:r w:rsidRPr="00ED09D1">
        <w:rPr>
          <w:lang w:val="en-GB" w:eastAsia="en-AU"/>
        </w:rPr>
        <w:t xml:space="preserve">Expenditure is excluded </w:t>
      </w:r>
      <w:r>
        <w:rPr>
          <w:lang w:val="en-GB" w:eastAsia="en-AU"/>
        </w:rPr>
        <w:t xml:space="preserve">via schedule 21B </w:t>
      </w:r>
      <w:r w:rsidRPr="00ED09D1">
        <w:rPr>
          <w:lang w:val="en-GB" w:eastAsia="en-AU"/>
        </w:rPr>
        <w:t>to:</w:t>
      </w:r>
    </w:p>
    <w:p w14:paraId="6DA96D9A" w14:textId="77777777" w:rsidR="00D00F10" w:rsidRPr="00ED09D1" w:rsidRDefault="00D00F10" w:rsidP="00D00F10">
      <w:pPr>
        <w:rPr>
          <w:lang w:val="en-GB" w:eastAsia="en-AU"/>
        </w:rPr>
      </w:pPr>
    </w:p>
    <w:p w14:paraId="17DEAC2D" w14:textId="77398285" w:rsidR="00D00F10" w:rsidRPr="00ED09D1" w:rsidRDefault="009C051F" w:rsidP="00D00F10">
      <w:pPr>
        <w:pStyle w:val="dotpoint"/>
      </w:pPr>
      <w:r>
        <w:t>c</w:t>
      </w:r>
      <w:r w:rsidR="00D00F10" w:rsidRPr="00ED09D1">
        <w:t xml:space="preserve">larify </w:t>
      </w:r>
      <w:r w:rsidR="00D00F10">
        <w:t xml:space="preserve">when </w:t>
      </w:r>
      <w:r w:rsidR="00D00F10" w:rsidRPr="00ED09D1">
        <w:t xml:space="preserve">expenditure </w:t>
      </w:r>
      <w:r w:rsidR="00D00F10">
        <w:t xml:space="preserve">will </w:t>
      </w:r>
      <w:r w:rsidR="00D00F10" w:rsidRPr="00ED09D1">
        <w:t xml:space="preserve">have </w:t>
      </w:r>
      <w:r w:rsidR="00D00F10">
        <w:t>in</w:t>
      </w:r>
      <w:r w:rsidR="00D00F10" w:rsidRPr="00ED09D1">
        <w:t xml:space="preserve">sufficient connection with </w:t>
      </w:r>
      <w:r w:rsidR="00D00F10">
        <w:t xml:space="preserve">an </w:t>
      </w:r>
      <w:r w:rsidR="00D00F10" w:rsidRPr="00ED09D1">
        <w:t>R&amp;D activity</w:t>
      </w:r>
      <w:r w:rsidR="00D00F10">
        <w:t>;</w:t>
      </w:r>
    </w:p>
    <w:p w14:paraId="547FFE28" w14:textId="68A34707" w:rsidR="00D00F10" w:rsidRPr="00ED09D1" w:rsidRDefault="009C051F" w:rsidP="00D00F10">
      <w:pPr>
        <w:pStyle w:val="dotpoint"/>
      </w:pPr>
      <w:r>
        <w:t>r</w:t>
      </w:r>
      <w:r w:rsidR="00D00F10" w:rsidRPr="00ED09D1">
        <w:t>educe compliance and administrative costs</w:t>
      </w:r>
      <w:r w:rsidR="00D00F10">
        <w:t>;</w:t>
      </w:r>
    </w:p>
    <w:p w14:paraId="4D462D21" w14:textId="2DB5B995" w:rsidR="00D00F10" w:rsidRPr="00ED09D1" w:rsidRDefault="009C051F" w:rsidP="00D00F10">
      <w:pPr>
        <w:pStyle w:val="dotpoint"/>
      </w:pPr>
      <w:r>
        <w:t>p</w:t>
      </w:r>
      <w:r w:rsidR="00D00F10" w:rsidRPr="00ED09D1">
        <w:t>revent double dipping</w:t>
      </w:r>
      <w:r w:rsidR="00D00F10">
        <w:t>;</w:t>
      </w:r>
    </w:p>
    <w:p w14:paraId="183E3AB6" w14:textId="42C562F5" w:rsidR="00D00F10" w:rsidRPr="00ED09D1" w:rsidRDefault="009C051F" w:rsidP="00D00F10">
      <w:pPr>
        <w:pStyle w:val="dotpoint"/>
      </w:pPr>
      <w:r>
        <w:t>p</w:t>
      </w:r>
      <w:r w:rsidR="00D00F10" w:rsidRPr="00ED09D1">
        <w:t xml:space="preserve">revent abuse of the </w:t>
      </w:r>
      <w:r w:rsidR="00D00F10">
        <w:t xml:space="preserve">R&amp;D </w:t>
      </w:r>
      <w:r w:rsidR="00D00F10" w:rsidRPr="00ED09D1">
        <w:t>tax credit</w:t>
      </w:r>
      <w:r w:rsidR="00D00F10">
        <w:t xml:space="preserve"> regime; and</w:t>
      </w:r>
    </w:p>
    <w:p w14:paraId="265F04ED" w14:textId="1B91F5C4" w:rsidR="00D00F10" w:rsidRDefault="009C051F" w:rsidP="00D00F10">
      <w:pPr>
        <w:pStyle w:val="dotpoint"/>
        <w:spacing w:after="0"/>
      </w:pPr>
      <w:r>
        <w:t>l</w:t>
      </w:r>
      <w:r w:rsidR="00D00F10" w:rsidRPr="00ED09D1">
        <w:t>imit fi</w:t>
      </w:r>
      <w:r w:rsidR="00D00F10">
        <w:t>scal</w:t>
      </w:r>
      <w:r w:rsidR="00D00F10" w:rsidRPr="00ED09D1">
        <w:t xml:space="preserve"> risk</w:t>
      </w:r>
      <w:r w:rsidR="00D00F10">
        <w:t>.</w:t>
      </w:r>
    </w:p>
    <w:p w14:paraId="264CC367" w14:textId="77777777" w:rsidR="00D00F10" w:rsidRDefault="00D00F10" w:rsidP="00D00F10">
      <w:pPr>
        <w:rPr>
          <w:lang w:val="en-GB"/>
        </w:rPr>
      </w:pPr>
    </w:p>
    <w:p w14:paraId="69F10EF2" w14:textId="77777777" w:rsidR="00D00F10" w:rsidRPr="00F9523D" w:rsidRDefault="00D00F10" w:rsidP="00D00F10">
      <w:pPr>
        <w:rPr>
          <w:lang w:val="en-GB"/>
        </w:rPr>
      </w:pPr>
    </w:p>
    <w:p w14:paraId="7C05671D" w14:textId="77777777" w:rsidR="00453540" w:rsidRPr="00453540" w:rsidRDefault="00453540" w:rsidP="00453540">
      <w:r w:rsidRPr="00453540">
        <w:br w:type="page"/>
      </w:r>
    </w:p>
    <w:p w14:paraId="5FD75385" w14:textId="5C13BB4D" w:rsidR="00D00F10" w:rsidRPr="00ED09D1" w:rsidRDefault="00D00F10" w:rsidP="00D00F10">
      <w:pPr>
        <w:pStyle w:val="Heading2"/>
        <w:rPr>
          <w:lang w:val="en-GB"/>
        </w:rPr>
      </w:pPr>
      <w:r w:rsidRPr="00ED09D1">
        <w:rPr>
          <w:lang w:val="en-GB"/>
        </w:rPr>
        <w:t>Detailed analysis</w:t>
      </w:r>
    </w:p>
    <w:p w14:paraId="62AC0DF3" w14:textId="77777777" w:rsidR="00D00F10" w:rsidRDefault="00D00F10" w:rsidP="00D00F10"/>
    <w:p w14:paraId="7DA00E0C" w14:textId="77777777" w:rsidR="00D00F10" w:rsidRDefault="00D00F10" w:rsidP="00D00F10">
      <w:pPr>
        <w:pStyle w:val="Heading3"/>
      </w:pPr>
      <w:r w:rsidRPr="00ED09D1">
        <w:t>Eligible expenditure</w:t>
      </w:r>
    </w:p>
    <w:p w14:paraId="0047DC59" w14:textId="77777777" w:rsidR="00D00F10" w:rsidRDefault="00D00F10" w:rsidP="00D00F10">
      <w:pPr>
        <w:rPr>
          <w:lang w:eastAsia="en-AU"/>
        </w:rPr>
      </w:pPr>
    </w:p>
    <w:p w14:paraId="5FDCEAB7" w14:textId="77777777" w:rsidR="00D00F10" w:rsidRPr="00ED09D1" w:rsidRDefault="00D00F10" w:rsidP="00D00F10">
      <w:pPr>
        <w:pStyle w:val="Heading4"/>
      </w:pPr>
      <w:r w:rsidRPr="00ED09D1">
        <w:t>Depreciation (schedule 21B</w:t>
      </w:r>
      <w:r>
        <w:t>,</w:t>
      </w:r>
      <w:r w:rsidRPr="00ED09D1">
        <w:t xml:space="preserve"> part A,</w:t>
      </w:r>
      <w:r>
        <w:t xml:space="preserve"> clause 1 and proposed amendment to section EE 6(1)(b)</w:t>
      </w:r>
      <w:r w:rsidRPr="00ED09D1">
        <w:t>)</w:t>
      </w:r>
    </w:p>
    <w:p w14:paraId="39256B03" w14:textId="77777777" w:rsidR="00D00F10" w:rsidRPr="00ED09D1" w:rsidRDefault="00D00F10" w:rsidP="00D00F10">
      <w:pPr>
        <w:rPr>
          <w:lang w:val="en-GB" w:eastAsia="en-AU"/>
        </w:rPr>
      </w:pPr>
    </w:p>
    <w:p w14:paraId="6B8735F8" w14:textId="77777777" w:rsidR="00D00F10" w:rsidRPr="00ED09D1" w:rsidRDefault="00D00F10" w:rsidP="00D00F10">
      <w:pPr>
        <w:rPr>
          <w:lang w:val="en-GB" w:eastAsia="en-AU"/>
        </w:rPr>
      </w:pPr>
      <w:r w:rsidRPr="00ED09D1">
        <w:rPr>
          <w:lang w:val="en-GB" w:eastAsia="en-AU"/>
        </w:rPr>
        <w:t xml:space="preserve">Depreciation </w:t>
      </w:r>
      <w:r>
        <w:rPr>
          <w:lang w:val="en-GB" w:eastAsia="en-AU"/>
        </w:rPr>
        <w:t xml:space="preserve">loss </w:t>
      </w:r>
      <w:r w:rsidRPr="00ED09D1">
        <w:rPr>
          <w:lang w:val="en-GB" w:eastAsia="en-AU"/>
        </w:rPr>
        <w:t xml:space="preserve">for an item of depreciable property is eligible </w:t>
      </w:r>
      <w:r>
        <w:rPr>
          <w:lang w:val="en-GB" w:eastAsia="en-AU"/>
        </w:rPr>
        <w:t xml:space="preserve">expenditure </w:t>
      </w:r>
      <w:r w:rsidRPr="00ED09D1">
        <w:rPr>
          <w:lang w:val="en-GB" w:eastAsia="en-AU"/>
        </w:rPr>
        <w:t>to the extent to which the depreciable property is used in performing an R&amp;D activity</w:t>
      </w:r>
      <w:r>
        <w:rPr>
          <w:lang w:val="en-GB" w:eastAsia="en-AU"/>
        </w:rPr>
        <w:t xml:space="preserve">. </w:t>
      </w:r>
      <w:r w:rsidRPr="00ED09D1">
        <w:rPr>
          <w:lang w:val="en-GB" w:eastAsia="en-AU"/>
        </w:rPr>
        <w:t>A</w:t>
      </w:r>
      <w:r>
        <w:rPr>
          <w:lang w:val="en-GB" w:eastAsia="en-AU"/>
        </w:rPr>
        <w:t>n R&amp;D tax</w:t>
      </w:r>
      <w:r w:rsidRPr="00ED09D1">
        <w:rPr>
          <w:lang w:val="en-GB" w:eastAsia="en-AU"/>
        </w:rPr>
        <w:t xml:space="preserve"> credit is therefore not available on an asset which is available for use in R&amp;D but not actually used</w:t>
      </w:r>
      <w:r>
        <w:rPr>
          <w:lang w:val="en-GB" w:eastAsia="en-AU"/>
        </w:rPr>
        <w:t xml:space="preserve"> in the relevant income year</w:t>
      </w:r>
      <w:r w:rsidRPr="00ED09D1">
        <w:rPr>
          <w:lang w:val="en-GB" w:eastAsia="en-AU"/>
        </w:rPr>
        <w:t>.</w:t>
      </w:r>
    </w:p>
    <w:p w14:paraId="3D2E49CE" w14:textId="77777777" w:rsidR="00D00F10" w:rsidRPr="00ED09D1" w:rsidRDefault="00D00F10" w:rsidP="00D00F10">
      <w:pPr>
        <w:rPr>
          <w:lang w:val="en-GB" w:eastAsia="en-AU"/>
        </w:rPr>
      </w:pPr>
    </w:p>
    <w:p w14:paraId="33D22E17" w14:textId="77777777" w:rsidR="00D00F10" w:rsidRPr="00ED09D1" w:rsidRDefault="00D00F10" w:rsidP="00D00F10">
      <w:pPr>
        <w:rPr>
          <w:lang w:val="en-GB" w:eastAsia="en-AU"/>
        </w:rPr>
      </w:pPr>
      <w:r w:rsidRPr="00ED09D1">
        <w:rPr>
          <w:lang w:val="en-GB" w:eastAsia="en-AU"/>
        </w:rPr>
        <w:t xml:space="preserve">The capital cost of assets used in R&amp;D is not eligible </w:t>
      </w:r>
      <w:r>
        <w:rPr>
          <w:lang w:val="en-GB" w:eastAsia="en-AU"/>
        </w:rPr>
        <w:t>expenditure, because</w:t>
      </w:r>
      <w:r w:rsidRPr="00ED09D1">
        <w:rPr>
          <w:lang w:val="en-GB" w:eastAsia="en-AU"/>
        </w:rPr>
        <w:t xml:space="preserve"> the capital cost is unlikely to reflect the actual expenditure incurred on R&amp;D</w:t>
      </w:r>
      <w:r>
        <w:rPr>
          <w:lang w:val="en-GB" w:eastAsia="en-AU"/>
        </w:rPr>
        <w:t>. A</w:t>
      </w:r>
      <w:r w:rsidRPr="00ED09D1">
        <w:rPr>
          <w:lang w:val="en-GB" w:eastAsia="en-AU"/>
        </w:rPr>
        <w:t xml:space="preserve">n asset </w:t>
      </w:r>
      <w:r>
        <w:rPr>
          <w:lang w:val="en-GB" w:eastAsia="en-AU"/>
        </w:rPr>
        <w:t xml:space="preserve">that </w:t>
      </w:r>
      <w:r w:rsidRPr="00ED09D1">
        <w:rPr>
          <w:lang w:val="en-GB" w:eastAsia="en-AU"/>
        </w:rPr>
        <w:t xml:space="preserve">is initially purchased for use in R&amp;D </w:t>
      </w:r>
      <w:r>
        <w:rPr>
          <w:lang w:val="en-GB" w:eastAsia="en-AU"/>
        </w:rPr>
        <w:t xml:space="preserve">activities </w:t>
      </w:r>
      <w:r w:rsidRPr="00ED09D1">
        <w:rPr>
          <w:lang w:val="en-GB" w:eastAsia="en-AU"/>
        </w:rPr>
        <w:t>may subsequently be sold or used for non-R&amp;D activities</w:t>
      </w:r>
      <w:r>
        <w:rPr>
          <w:lang w:val="en-GB" w:eastAsia="en-AU"/>
        </w:rPr>
        <w:t xml:space="preserve">. </w:t>
      </w:r>
      <w:r w:rsidRPr="00ED09D1">
        <w:rPr>
          <w:lang w:val="en-GB" w:eastAsia="en-AU"/>
        </w:rPr>
        <w:t>Depreciation loss calculated for each year an asset is used in R&amp;D is a better measure of cost, and reflects the fact that an asset has value over its useful life, not ju</w:t>
      </w:r>
      <w:r>
        <w:rPr>
          <w:lang w:val="en-GB" w:eastAsia="en-AU"/>
        </w:rPr>
        <w:t>st the year it was purchased.</w:t>
      </w:r>
    </w:p>
    <w:p w14:paraId="213F026C" w14:textId="77777777" w:rsidR="00D00F10" w:rsidRPr="00ED09D1" w:rsidRDefault="00D00F10" w:rsidP="00D00F10">
      <w:pPr>
        <w:rPr>
          <w:lang w:val="en-GB" w:eastAsia="en-AU"/>
        </w:rPr>
      </w:pPr>
    </w:p>
    <w:p w14:paraId="094CA974" w14:textId="77777777" w:rsidR="00D00F10" w:rsidRPr="00ED09D1" w:rsidRDefault="00D00F10" w:rsidP="00D00F10">
      <w:pPr>
        <w:rPr>
          <w:lang w:val="en-GB" w:eastAsia="en-AU"/>
        </w:rPr>
      </w:pPr>
      <w:r>
        <w:rPr>
          <w:lang w:val="en-GB" w:eastAsia="en-AU"/>
        </w:rPr>
        <w:t xml:space="preserve">The proposed </w:t>
      </w:r>
      <w:r w:rsidRPr="00ED09D1">
        <w:rPr>
          <w:lang w:val="en-GB" w:eastAsia="en-AU"/>
        </w:rPr>
        <w:t>amend</w:t>
      </w:r>
      <w:r>
        <w:rPr>
          <w:lang w:val="en-GB" w:eastAsia="en-AU"/>
        </w:rPr>
        <w:t>ment to</w:t>
      </w:r>
      <w:r w:rsidRPr="00ED09D1">
        <w:rPr>
          <w:lang w:val="en-GB" w:eastAsia="en-AU"/>
        </w:rPr>
        <w:t xml:space="preserve"> section EE 6 ensure</w:t>
      </w:r>
      <w:r>
        <w:rPr>
          <w:lang w:val="en-GB" w:eastAsia="en-AU"/>
        </w:rPr>
        <w:t>s</w:t>
      </w:r>
      <w:r w:rsidRPr="00ED09D1">
        <w:rPr>
          <w:lang w:val="en-GB" w:eastAsia="en-AU"/>
        </w:rPr>
        <w:t xml:space="preserve"> that tax exempt </w:t>
      </w:r>
      <w:r>
        <w:rPr>
          <w:lang w:val="en-GB" w:eastAsia="en-AU"/>
        </w:rPr>
        <w:t>entities</w:t>
      </w:r>
      <w:r w:rsidRPr="00ED09D1">
        <w:rPr>
          <w:lang w:val="en-GB" w:eastAsia="en-AU"/>
        </w:rPr>
        <w:t>, such as charities, are able to claim R&amp;D tax credit</w:t>
      </w:r>
      <w:r>
        <w:rPr>
          <w:lang w:val="en-GB" w:eastAsia="en-AU"/>
        </w:rPr>
        <w:t>s</w:t>
      </w:r>
      <w:r w:rsidRPr="00ED09D1">
        <w:rPr>
          <w:lang w:val="en-GB" w:eastAsia="en-AU"/>
        </w:rPr>
        <w:t xml:space="preserve"> for depreciation </w:t>
      </w:r>
      <w:r>
        <w:rPr>
          <w:lang w:val="en-GB" w:eastAsia="en-AU"/>
        </w:rPr>
        <w:t xml:space="preserve">loss </w:t>
      </w:r>
      <w:r w:rsidRPr="00ED09D1">
        <w:rPr>
          <w:lang w:val="en-GB" w:eastAsia="en-AU"/>
        </w:rPr>
        <w:t xml:space="preserve">on assets used in </w:t>
      </w:r>
      <w:r>
        <w:rPr>
          <w:lang w:val="en-GB" w:eastAsia="en-AU"/>
        </w:rPr>
        <w:t xml:space="preserve">their </w:t>
      </w:r>
      <w:r w:rsidRPr="00ED09D1">
        <w:rPr>
          <w:lang w:val="en-GB" w:eastAsia="en-AU"/>
        </w:rPr>
        <w:t>R&amp;D</w:t>
      </w:r>
      <w:r>
        <w:rPr>
          <w:lang w:val="en-GB" w:eastAsia="en-AU"/>
        </w:rPr>
        <w:t xml:space="preserve"> activities</w:t>
      </w:r>
      <w:r w:rsidRPr="00ED09D1">
        <w:rPr>
          <w:lang w:val="en-GB" w:eastAsia="en-AU"/>
        </w:rPr>
        <w:t>.</w:t>
      </w:r>
    </w:p>
    <w:p w14:paraId="5D0D6DCD" w14:textId="77777777" w:rsidR="00D00F10" w:rsidRPr="00ED09D1" w:rsidRDefault="00D00F10" w:rsidP="00D00F10">
      <w:pPr>
        <w:rPr>
          <w:lang w:val="en-GB" w:eastAsia="en-AU"/>
        </w:rPr>
      </w:pPr>
    </w:p>
    <w:p w14:paraId="673A472F" w14:textId="77777777" w:rsidR="00D00F10" w:rsidRPr="00ED09D1" w:rsidRDefault="00D00F10" w:rsidP="00D00F10">
      <w:pPr>
        <w:pStyle w:val="Heading4"/>
      </w:pPr>
      <w:r w:rsidRPr="00ED09D1">
        <w:t>Expenditure or loss to acquire goods and services used in performing R&amp;D (schedule 21B part A</w:t>
      </w:r>
      <w:r>
        <w:t xml:space="preserve">, clause </w:t>
      </w:r>
      <w:r w:rsidRPr="00ED09D1">
        <w:t>2)</w:t>
      </w:r>
    </w:p>
    <w:p w14:paraId="41C9BDA0" w14:textId="77777777" w:rsidR="00D00F10" w:rsidRPr="00ED09D1" w:rsidRDefault="00D00F10" w:rsidP="00D00F10">
      <w:pPr>
        <w:rPr>
          <w:lang w:val="en-GB" w:eastAsia="en-AU"/>
        </w:rPr>
      </w:pPr>
    </w:p>
    <w:p w14:paraId="737C7E03" w14:textId="77777777" w:rsidR="00D00F10" w:rsidRPr="00ED09D1" w:rsidRDefault="00D00F10" w:rsidP="00D00F10">
      <w:pPr>
        <w:rPr>
          <w:lang w:val="en-GB" w:eastAsia="en-AU"/>
        </w:rPr>
      </w:pPr>
      <w:r w:rsidRPr="00ED09D1">
        <w:rPr>
          <w:lang w:val="en-GB" w:eastAsia="en-AU"/>
        </w:rPr>
        <w:t xml:space="preserve">Expenditure on </w:t>
      </w:r>
      <w:r>
        <w:rPr>
          <w:lang w:val="en-GB" w:eastAsia="en-AU"/>
        </w:rPr>
        <w:t xml:space="preserve">non-depreciable </w:t>
      </w:r>
      <w:r w:rsidRPr="00ED09D1">
        <w:rPr>
          <w:lang w:val="en-GB" w:eastAsia="en-AU"/>
        </w:rPr>
        <w:t xml:space="preserve">goods and services </w:t>
      </w:r>
      <w:r>
        <w:rPr>
          <w:lang w:val="en-GB" w:eastAsia="en-AU"/>
        </w:rPr>
        <w:t xml:space="preserve">is </w:t>
      </w:r>
      <w:r w:rsidRPr="00ED09D1">
        <w:rPr>
          <w:lang w:val="en-GB" w:eastAsia="en-AU"/>
        </w:rPr>
        <w:t xml:space="preserve">eligible </w:t>
      </w:r>
      <w:r>
        <w:rPr>
          <w:lang w:val="en-GB" w:eastAsia="en-AU"/>
        </w:rPr>
        <w:t xml:space="preserve">expenditure </w:t>
      </w:r>
      <w:r w:rsidRPr="00ED09D1">
        <w:rPr>
          <w:lang w:val="en-GB" w:eastAsia="en-AU"/>
        </w:rPr>
        <w:t>to the extent the goods and services relate to performing an R&amp;D activity.</w:t>
      </w:r>
    </w:p>
    <w:p w14:paraId="09FB1F98" w14:textId="77777777" w:rsidR="00D00F10" w:rsidRPr="00ED09D1" w:rsidRDefault="00D00F10" w:rsidP="00D00F10">
      <w:pPr>
        <w:rPr>
          <w:lang w:val="en-GB" w:eastAsia="en-AU"/>
        </w:rPr>
      </w:pPr>
    </w:p>
    <w:p w14:paraId="01F7D048" w14:textId="77777777" w:rsidR="00D00F10" w:rsidRPr="00ED09D1" w:rsidRDefault="00D00F10" w:rsidP="00D00F10">
      <w:pPr>
        <w:rPr>
          <w:lang w:val="en-GB" w:eastAsia="en-AU"/>
        </w:rPr>
      </w:pPr>
      <w:r w:rsidRPr="00ED09D1">
        <w:rPr>
          <w:lang w:val="en-GB" w:eastAsia="en-AU"/>
        </w:rPr>
        <w:t xml:space="preserve">This inclusion is broad and intended to cover </w:t>
      </w:r>
      <w:r>
        <w:rPr>
          <w:lang w:val="en-GB" w:eastAsia="en-AU"/>
        </w:rPr>
        <w:t>expenditure such as</w:t>
      </w:r>
      <w:r w:rsidRPr="00ED09D1">
        <w:rPr>
          <w:lang w:val="en-GB" w:eastAsia="en-AU"/>
        </w:rPr>
        <w:t>:</w:t>
      </w:r>
    </w:p>
    <w:p w14:paraId="1AFE0744" w14:textId="77777777" w:rsidR="00D00F10" w:rsidRPr="00ED09D1" w:rsidRDefault="00D00F10" w:rsidP="00D00F10">
      <w:pPr>
        <w:rPr>
          <w:lang w:val="en-GB" w:eastAsia="en-AU"/>
        </w:rPr>
      </w:pPr>
    </w:p>
    <w:p w14:paraId="1E697C85" w14:textId="6A900C24" w:rsidR="00D00F10" w:rsidRPr="00ED09D1" w:rsidRDefault="009C051F" w:rsidP="00D00F10">
      <w:pPr>
        <w:pStyle w:val="dotpoint"/>
      </w:pPr>
      <w:r>
        <w:t>t</w:t>
      </w:r>
      <w:r w:rsidR="00D00F10" w:rsidRPr="00ED09D1">
        <w:t xml:space="preserve">he cost of </w:t>
      </w:r>
      <w:r w:rsidR="00D00F10">
        <w:t xml:space="preserve">goods consumed </w:t>
      </w:r>
      <w:r w:rsidR="00D00F10" w:rsidRPr="00ED09D1">
        <w:t xml:space="preserve">in R&amp;D </w:t>
      </w:r>
      <w:r w:rsidR="00D00F10">
        <w:t>activities;</w:t>
      </w:r>
    </w:p>
    <w:p w14:paraId="4FDAC95D" w14:textId="1F24ED98" w:rsidR="00D00F10" w:rsidRPr="00ED09D1" w:rsidRDefault="009C051F" w:rsidP="00D00F10">
      <w:pPr>
        <w:pStyle w:val="dotpoint"/>
      </w:pPr>
      <w:r>
        <w:t>o</w:t>
      </w:r>
      <w:r w:rsidR="00D00F10" w:rsidRPr="00ED09D1">
        <w:t>verheads</w:t>
      </w:r>
      <w:r w:rsidR="00D00F10">
        <w:t>,</w:t>
      </w:r>
      <w:r w:rsidR="00D00F10" w:rsidRPr="00ED09D1">
        <w:t xml:space="preserve"> to the extent they relate to R&amp;D</w:t>
      </w:r>
      <w:r w:rsidR="00D00F10">
        <w:t xml:space="preserve"> activities. For example, </w:t>
      </w:r>
      <w:r w:rsidR="00D00F10" w:rsidRPr="00ED09D1">
        <w:t>rates, utilities, insurance</w:t>
      </w:r>
      <w:r w:rsidR="00D00F10">
        <w:t>,</w:t>
      </w:r>
      <w:r w:rsidR="00D00F10" w:rsidRPr="00ED09D1">
        <w:t xml:space="preserve"> and lease payments</w:t>
      </w:r>
      <w:r w:rsidR="00D00F10">
        <w:t>; and</w:t>
      </w:r>
    </w:p>
    <w:p w14:paraId="176BE6D4" w14:textId="49CF6F47" w:rsidR="00D00F10" w:rsidRPr="00ED09D1" w:rsidRDefault="009C051F" w:rsidP="00D00F10">
      <w:pPr>
        <w:pStyle w:val="dotpoint"/>
        <w:spacing w:after="0"/>
      </w:pPr>
      <w:r>
        <w:t>t</w:t>
      </w:r>
      <w:r w:rsidR="00D00F10" w:rsidRPr="00ED09D1">
        <w:t>he cost of materials incorporated into prototypes</w:t>
      </w:r>
      <w:r w:rsidR="00D00F10">
        <w:t>.</w:t>
      </w:r>
    </w:p>
    <w:p w14:paraId="21831807" w14:textId="77777777" w:rsidR="00D00F10" w:rsidRDefault="00D00F10" w:rsidP="00D00F10">
      <w:pPr>
        <w:rPr>
          <w:rFonts w:eastAsia="Times New Roman" w:cs="Times New Roman"/>
          <w:szCs w:val="20"/>
          <w:lang w:val="en-GB" w:eastAsia="en-AU"/>
        </w:rPr>
      </w:pPr>
    </w:p>
    <w:p w14:paraId="3D3D832F" w14:textId="77777777" w:rsidR="00D00F10" w:rsidRPr="00ED09D1" w:rsidRDefault="00D00F10" w:rsidP="00D00F10">
      <w:pPr>
        <w:pStyle w:val="Heading4"/>
      </w:pPr>
      <w:r w:rsidRPr="00ED09D1">
        <w:t>Amounts paid to employees (schedule 21B, part A</w:t>
      </w:r>
      <w:r>
        <w:t>, clause</w:t>
      </w:r>
      <w:r w:rsidRPr="00ED09D1">
        <w:t xml:space="preserve"> 3)</w:t>
      </w:r>
    </w:p>
    <w:p w14:paraId="7BDE7637" w14:textId="77777777" w:rsidR="00D00F10" w:rsidRPr="00ED09D1" w:rsidRDefault="00D00F10" w:rsidP="00D00F10">
      <w:pPr>
        <w:rPr>
          <w:lang w:val="en-GB" w:eastAsia="en-AU"/>
        </w:rPr>
      </w:pPr>
    </w:p>
    <w:p w14:paraId="206A1B83" w14:textId="77777777" w:rsidR="00D00F10" w:rsidRDefault="00D00F10" w:rsidP="00D00F10">
      <w:pPr>
        <w:rPr>
          <w:lang w:val="en-GB" w:eastAsia="en-AU"/>
        </w:rPr>
      </w:pPr>
      <w:r w:rsidRPr="00ED09D1">
        <w:rPr>
          <w:lang w:val="en-GB" w:eastAsia="en-AU"/>
        </w:rPr>
        <w:t>Salar</w:t>
      </w:r>
      <w:r>
        <w:rPr>
          <w:lang w:val="en-GB" w:eastAsia="en-AU"/>
        </w:rPr>
        <w:t>ies</w:t>
      </w:r>
      <w:r w:rsidRPr="00ED09D1">
        <w:rPr>
          <w:lang w:val="en-GB" w:eastAsia="en-AU"/>
        </w:rPr>
        <w:t xml:space="preserve"> and wages paid to employees are eligible </w:t>
      </w:r>
      <w:r>
        <w:rPr>
          <w:lang w:val="en-GB" w:eastAsia="en-AU"/>
        </w:rPr>
        <w:t xml:space="preserve">expenditure </w:t>
      </w:r>
      <w:r w:rsidRPr="00ED09D1">
        <w:rPr>
          <w:lang w:val="en-GB" w:eastAsia="en-AU"/>
        </w:rPr>
        <w:t xml:space="preserve">to the extent </w:t>
      </w:r>
      <w:r>
        <w:rPr>
          <w:lang w:val="en-GB" w:eastAsia="en-AU"/>
        </w:rPr>
        <w:t xml:space="preserve">an </w:t>
      </w:r>
      <w:r w:rsidRPr="00ED09D1">
        <w:rPr>
          <w:lang w:val="en-GB" w:eastAsia="en-AU"/>
        </w:rPr>
        <w:t>employee’s employment relates to performing an R&amp;D activity.</w:t>
      </w:r>
      <w:r>
        <w:rPr>
          <w:lang w:val="en-GB" w:eastAsia="en-AU"/>
        </w:rPr>
        <w:t xml:space="preserve"> Some other employment related costs are ineligible.</w:t>
      </w:r>
    </w:p>
    <w:p w14:paraId="21AE29EA" w14:textId="77777777" w:rsidR="00D00F10" w:rsidRPr="00ED09D1" w:rsidRDefault="00D00F10" w:rsidP="00D00F10">
      <w:pPr>
        <w:rPr>
          <w:lang w:val="en-GB" w:eastAsia="en-AU"/>
        </w:rPr>
      </w:pPr>
    </w:p>
    <w:p w14:paraId="318AA7C3" w14:textId="77777777" w:rsidR="00D00F10" w:rsidRPr="00ED09D1" w:rsidRDefault="00D00F10" w:rsidP="00D00F10">
      <w:pPr>
        <w:pStyle w:val="Heading3"/>
      </w:pPr>
      <w:r w:rsidRPr="00ED09D1">
        <w:t>Ineligible expenditure</w:t>
      </w:r>
    </w:p>
    <w:p w14:paraId="2F52AEB2" w14:textId="77777777" w:rsidR="00D00F10" w:rsidRPr="00ED09D1" w:rsidRDefault="00D00F10" w:rsidP="00D00F10">
      <w:pPr>
        <w:rPr>
          <w:lang w:val="en-GB" w:eastAsia="en-AU"/>
        </w:rPr>
      </w:pPr>
    </w:p>
    <w:p w14:paraId="1204A7C0" w14:textId="77777777" w:rsidR="00D00F10" w:rsidRPr="00ED09D1" w:rsidRDefault="00D00F10" w:rsidP="00D00F10">
      <w:pPr>
        <w:pStyle w:val="Heading4"/>
      </w:pPr>
      <w:r w:rsidRPr="00ED09D1">
        <w:t>Amounts exceeding $120 million (</w:t>
      </w:r>
      <w:r>
        <w:t>schedule 21B, part B, clause</w:t>
      </w:r>
      <w:r w:rsidRPr="00ED09D1">
        <w:t xml:space="preserve"> 1)</w:t>
      </w:r>
    </w:p>
    <w:p w14:paraId="57A4365B" w14:textId="77777777" w:rsidR="00D00F10" w:rsidRPr="00ED09D1" w:rsidRDefault="00D00F10" w:rsidP="00D00F10">
      <w:pPr>
        <w:rPr>
          <w:lang w:val="en-GB" w:eastAsia="en-AU"/>
        </w:rPr>
      </w:pPr>
    </w:p>
    <w:p w14:paraId="51C63772" w14:textId="67510540" w:rsidR="00D00F10" w:rsidRDefault="00D00F10" w:rsidP="00D00F10">
      <w:pPr>
        <w:rPr>
          <w:lang w:val="en-GB" w:eastAsia="en-AU"/>
        </w:rPr>
      </w:pPr>
      <w:r>
        <w:rPr>
          <w:lang w:val="en-GB" w:eastAsia="en-AU"/>
        </w:rPr>
        <w:t>E</w:t>
      </w:r>
      <w:r w:rsidRPr="00ED09D1">
        <w:rPr>
          <w:lang w:val="en-GB" w:eastAsia="en-AU"/>
        </w:rPr>
        <w:t>xpenditure on R&amp;D that would otherwise be eligible is ineligible to the extent it is greater than $120 million for the income year</w:t>
      </w:r>
      <w:r>
        <w:rPr>
          <w:lang w:val="en-GB" w:eastAsia="en-AU"/>
        </w:rPr>
        <w:t xml:space="preserve">. </w:t>
      </w:r>
      <w:r w:rsidRPr="00ED09D1">
        <w:rPr>
          <w:lang w:val="en-GB" w:eastAsia="en-AU"/>
        </w:rPr>
        <w:t>Th</w:t>
      </w:r>
      <w:r>
        <w:rPr>
          <w:lang w:val="en-GB" w:eastAsia="en-AU"/>
        </w:rPr>
        <w:t>e</w:t>
      </w:r>
      <w:r w:rsidRPr="00ED09D1">
        <w:rPr>
          <w:lang w:val="en-GB" w:eastAsia="en-AU"/>
        </w:rPr>
        <w:t xml:space="preserve"> $120 million cap takes into account the</w:t>
      </w:r>
      <w:r>
        <w:rPr>
          <w:lang w:val="en-GB" w:eastAsia="en-AU"/>
        </w:rPr>
        <w:t xml:space="preserve"> eligible</w:t>
      </w:r>
      <w:r w:rsidRPr="00ED09D1">
        <w:rPr>
          <w:lang w:val="en-GB" w:eastAsia="en-AU"/>
        </w:rPr>
        <w:t xml:space="preserve"> expenditure </w:t>
      </w:r>
      <w:r>
        <w:rPr>
          <w:lang w:val="en-GB" w:eastAsia="en-AU"/>
        </w:rPr>
        <w:t xml:space="preserve">claimed by </w:t>
      </w:r>
      <w:r w:rsidRPr="00ED09D1">
        <w:rPr>
          <w:lang w:val="en-GB" w:eastAsia="en-AU"/>
        </w:rPr>
        <w:t>associated persons</w:t>
      </w:r>
      <w:r>
        <w:rPr>
          <w:lang w:val="en-GB" w:eastAsia="en-AU"/>
        </w:rPr>
        <w:t>,</w:t>
      </w:r>
      <w:r w:rsidRPr="00ED09D1">
        <w:rPr>
          <w:lang w:val="en-GB" w:eastAsia="en-AU"/>
        </w:rPr>
        <w:t xml:space="preserve"> to prevent the cap being circumvented by a person </w:t>
      </w:r>
      <w:r>
        <w:rPr>
          <w:lang w:val="en-GB" w:eastAsia="en-AU"/>
        </w:rPr>
        <w:t xml:space="preserve">splitting their expenditure amongst associates. </w:t>
      </w:r>
      <w:r w:rsidR="00B45635">
        <w:rPr>
          <w:lang w:val="en-GB" w:eastAsia="en-AU"/>
        </w:rPr>
        <w:t>See the section on</w:t>
      </w:r>
      <w:r w:rsidR="00B45635" w:rsidRPr="00B45635">
        <w:t xml:space="preserve"> </w:t>
      </w:r>
      <w:r w:rsidR="00B45635" w:rsidRPr="00B45635">
        <w:rPr>
          <w:rStyle w:val="Emphasis"/>
          <w:lang w:val="en-GB" w:eastAsia="en-AU"/>
        </w:rPr>
        <w:t>Expenditure cap (including approved R&amp;D caps)</w:t>
      </w:r>
      <w:r>
        <w:rPr>
          <w:lang w:val="en-GB" w:eastAsia="en-AU"/>
        </w:rPr>
        <w:t xml:space="preserve"> </w:t>
      </w:r>
      <w:r w:rsidR="00B45635">
        <w:rPr>
          <w:lang w:val="en-GB" w:eastAsia="en-AU"/>
        </w:rPr>
        <w:t>(</w:t>
      </w:r>
      <w:r w:rsidRPr="002B4A33">
        <w:rPr>
          <w:lang w:val="en-GB" w:eastAsia="en-AU"/>
        </w:rPr>
        <w:t xml:space="preserve">page </w:t>
      </w:r>
      <w:r w:rsidR="00B45635">
        <w:rPr>
          <w:lang w:val="en-GB" w:eastAsia="en-AU"/>
        </w:rPr>
        <w:t>51) for more information</w:t>
      </w:r>
      <w:r w:rsidRPr="008E6674">
        <w:rPr>
          <w:lang w:val="en-GB" w:eastAsia="en-AU"/>
        </w:rPr>
        <w:t>.</w:t>
      </w:r>
    </w:p>
    <w:p w14:paraId="3C49E9F4" w14:textId="77777777" w:rsidR="00D00F10" w:rsidRPr="00ED09D1" w:rsidRDefault="00D00F10" w:rsidP="00D00F10">
      <w:pPr>
        <w:rPr>
          <w:lang w:val="en-GB" w:eastAsia="en-AU"/>
        </w:rPr>
      </w:pPr>
    </w:p>
    <w:p w14:paraId="7AA111CD" w14:textId="57B2E145" w:rsidR="00D00F10" w:rsidRPr="00ED09D1" w:rsidRDefault="00D00F10" w:rsidP="00D00F10">
      <w:pPr>
        <w:pStyle w:val="Heading4"/>
      </w:pPr>
      <w:r w:rsidRPr="00ED09D1">
        <w:t>Expenditure incurred in acquiring depreciable property (</w:t>
      </w:r>
      <w:r>
        <w:t>schedule 21B, part B, clause</w:t>
      </w:r>
      <w:r w:rsidR="005712CF">
        <w:t> </w:t>
      </w:r>
      <w:r w:rsidRPr="00ED09D1">
        <w:t>2)</w:t>
      </w:r>
    </w:p>
    <w:p w14:paraId="1034CF59" w14:textId="77777777" w:rsidR="00D00F10" w:rsidRPr="00ED09D1" w:rsidRDefault="00D00F10" w:rsidP="00D00F10">
      <w:pPr>
        <w:rPr>
          <w:lang w:val="en-GB" w:eastAsia="en-AU"/>
        </w:rPr>
      </w:pPr>
    </w:p>
    <w:p w14:paraId="55035622" w14:textId="1809F4A8" w:rsidR="00D00F10" w:rsidRPr="00ED09D1" w:rsidRDefault="00D00F10" w:rsidP="00D00F10">
      <w:pPr>
        <w:rPr>
          <w:lang w:val="en-GB" w:eastAsia="en-AU"/>
        </w:rPr>
      </w:pPr>
      <w:r w:rsidRPr="00ED09D1">
        <w:rPr>
          <w:lang w:val="en-GB" w:eastAsia="en-AU"/>
        </w:rPr>
        <w:t xml:space="preserve">Expenditure or loss </w:t>
      </w:r>
      <w:r>
        <w:rPr>
          <w:lang w:val="en-GB" w:eastAsia="en-AU"/>
        </w:rPr>
        <w:t>on</w:t>
      </w:r>
      <w:r w:rsidRPr="00ED09D1">
        <w:rPr>
          <w:lang w:val="en-GB" w:eastAsia="en-AU"/>
        </w:rPr>
        <w:t xml:space="preserve"> acquiring depreciable property is </w:t>
      </w:r>
      <w:r>
        <w:rPr>
          <w:lang w:val="en-GB" w:eastAsia="en-AU"/>
        </w:rPr>
        <w:t>in</w:t>
      </w:r>
      <w:r w:rsidRPr="00ED09D1">
        <w:rPr>
          <w:lang w:val="en-GB" w:eastAsia="en-AU"/>
        </w:rPr>
        <w:t>eligible</w:t>
      </w:r>
      <w:r>
        <w:rPr>
          <w:lang w:val="en-GB" w:eastAsia="en-AU"/>
        </w:rPr>
        <w:t xml:space="preserve">. </w:t>
      </w:r>
      <w:r w:rsidR="005712CF">
        <w:rPr>
          <w:lang w:val="en-GB" w:eastAsia="en-AU"/>
        </w:rPr>
        <w:t>D</w:t>
      </w:r>
      <w:r w:rsidRPr="00ED09D1">
        <w:rPr>
          <w:lang w:val="en-GB" w:eastAsia="en-AU"/>
        </w:rPr>
        <w:t xml:space="preserve">epreciation </w:t>
      </w:r>
      <w:r>
        <w:rPr>
          <w:lang w:val="en-GB" w:eastAsia="en-AU"/>
        </w:rPr>
        <w:t xml:space="preserve">loss </w:t>
      </w:r>
      <w:r w:rsidRPr="00ED09D1">
        <w:rPr>
          <w:lang w:val="en-GB" w:eastAsia="en-AU"/>
        </w:rPr>
        <w:t xml:space="preserve">is the better measure of cost to </w:t>
      </w:r>
      <w:r>
        <w:rPr>
          <w:lang w:val="en-GB" w:eastAsia="en-AU"/>
        </w:rPr>
        <w:t xml:space="preserve">a </w:t>
      </w:r>
      <w:r w:rsidRPr="00ED09D1">
        <w:rPr>
          <w:lang w:val="en-GB" w:eastAsia="en-AU"/>
        </w:rPr>
        <w:t xml:space="preserve">person, and is eligible to the extent to which </w:t>
      </w:r>
      <w:r>
        <w:rPr>
          <w:lang w:val="en-GB" w:eastAsia="en-AU"/>
        </w:rPr>
        <w:t xml:space="preserve">depreciable </w:t>
      </w:r>
      <w:r w:rsidRPr="00ED09D1">
        <w:rPr>
          <w:lang w:val="en-GB" w:eastAsia="en-AU"/>
        </w:rPr>
        <w:t>property is used in R&amp;D</w:t>
      </w:r>
      <w:r>
        <w:rPr>
          <w:lang w:val="en-GB" w:eastAsia="en-AU"/>
        </w:rPr>
        <w:t xml:space="preserve"> activities</w:t>
      </w:r>
      <w:r w:rsidRPr="00ED09D1">
        <w:rPr>
          <w:lang w:val="en-GB" w:eastAsia="en-AU"/>
        </w:rPr>
        <w:t>.</w:t>
      </w:r>
    </w:p>
    <w:p w14:paraId="7C0C3728" w14:textId="77777777" w:rsidR="00D00F10" w:rsidRPr="00ED09D1" w:rsidRDefault="00D00F10" w:rsidP="00D00F10">
      <w:pPr>
        <w:rPr>
          <w:lang w:val="en-GB" w:eastAsia="en-AU"/>
        </w:rPr>
      </w:pPr>
    </w:p>
    <w:p w14:paraId="7BACED71" w14:textId="77777777" w:rsidR="00D00F10" w:rsidRPr="00ED09D1" w:rsidRDefault="00D00F10" w:rsidP="00D00F10">
      <w:pPr>
        <w:pStyle w:val="Heading4"/>
      </w:pPr>
      <w:r w:rsidRPr="00ED09D1">
        <w:t>Expenditure or loss that contributes to the cost of depreciable tangible property (</w:t>
      </w:r>
      <w:r>
        <w:t>schedule 21B, part B, clause</w:t>
      </w:r>
      <w:r w:rsidRPr="00ED09D1">
        <w:t xml:space="preserve"> 3)</w:t>
      </w:r>
    </w:p>
    <w:p w14:paraId="341E0841" w14:textId="77777777" w:rsidR="00D00F10" w:rsidRPr="00ED09D1" w:rsidRDefault="00D00F10" w:rsidP="00D00F10">
      <w:pPr>
        <w:rPr>
          <w:lang w:val="en-GB" w:eastAsia="en-AU"/>
        </w:rPr>
      </w:pPr>
    </w:p>
    <w:p w14:paraId="7F2F775B" w14:textId="77777777" w:rsidR="00D00F10" w:rsidRDefault="00D00F10" w:rsidP="00D00F10">
      <w:pPr>
        <w:rPr>
          <w:lang w:val="en-GB" w:eastAsia="en-AU"/>
        </w:rPr>
      </w:pPr>
      <w:r w:rsidRPr="00ED09D1">
        <w:rPr>
          <w:lang w:val="en-GB" w:eastAsia="en-AU"/>
        </w:rPr>
        <w:t>Expenditure or loss that contributes to the cost of depreciable tangible property is ineligible, unless the depreciable tangible property is used solely in performing an R&amp;D activity</w:t>
      </w:r>
      <w:r>
        <w:rPr>
          <w:lang w:val="en-GB" w:eastAsia="en-AU"/>
        </w:rPr>
        <w:t>. An example of eligible expenditure is expenditure on producing a prototype that is solely used in a person’s R&amp;D activities.</w:t>
      </w:r>
    </w:p>
    <w:p w14:paraId="5B02E4C7" w14:textId="77777777" w:rsidR="00D00F10" w:rsidRDefault="00D00F10" w:rsidP="00D00F10">
      <w:pPr>
        <w:rPr>
          <w:lang w:val="en-GB" w:eastAsia="en-AU"/>
        </w:rPr>
      </w:pPr>
    </w:p>
    <w:p w14:paraId="190F96C3" w14:textId="77777777" w:rsidR="00D00F10" w:rsidRDefault="00D00F10" w:rsidP="00D00F10">
      <w:pPr>
        <w:rPr>
          <w:lang w:val="en-GB" w:eastAsia="en-AU"/>
        </w:rPr>
      </w:pPr>
      <w:r>
        <w:rPr>
          <w:lang w:val="en-GB" w:eastAsia="en-AU"/>
        </w:rPr>
        <w:t>Note that e</w:t>
      </w:r>
      <w:r w:rsidRPr="00ED09D1">
        <w:rPr>
          <w:lang w:val="en-GB" w:eastAsia="en-AU"/>
        </w:rPr>
        <w:t xml:space="preserve">xpenditure incurred in the research phrase of creating depreciable tangible property, which </w:t>
      </w:r>
      <w:r>
        <w:rPr>
          <w:lang w:val="en-GB" w:eastAsia="en-AU"/>
        </w:rPr>
        <w:t xml:space="preserve">would be </w:t>
      </w:r>
      <w:r w:rsidRPr="00ED09D1">
        <w:rPr>
          <w:lang w:val="en-GB" w:eastAsia="en-AU"/>
        </w:rPr>
        <w:t xml:space="preserve">deductible for tax purposes, is eligible </w:t>
      </w:r>
      <w:r>
        <w:rPr>
          <w:lang w:val="en-GB" w:eastAsia="en-AU"/>
        </w:rPr>
        <w:t xml:space="preserve">expenditure. Such expenditure is not considered part of </w:t>
      </w:r>
      <w:r w:rsidRPr="00ED09D1">
        <w:rPr>
          <w:lang w:val="en-GB" w:eastAsia="en-AU"/>
        </w:rPr>
        <w:t xml:space="preserve">the cost of </w:t>
      </w:r>
      <w:r>
        <w:rPr>
          <w:lang w:val="en-GB" w:eastAsia="en-AU"/>
        </w:rPr>
        <w:t>creating the depreciable tangible property.</w:t>
      </w:r>
    </w:p>
    <w:p w14:paraId="061782F9" w14:textId="77777777" w:rsidR="00D00F10" w:rsidRDefault="00D00F10" w:rsidP="00D00F10">
      <w:pPr>
        <w:rPr>
          <w:lang w:val="en-GB" w:eastAsia="en-AU"/>
        </w:rPr>
      </w:pPr>
    </w:p>
    <w:p w14:paraId="4F082C8C" w14:textId="77777777" w:rsidR="00D00F10" w:rsidRPr="00ED09D1" w:rsidRDefault="00D00F10" w:rsidP="00D00F10">
      <w:pPr>
        <w:rPr>
          <w:lang w:val="en-GB" w:eastAsia="en-AU"/>
        </w:rPr>
      </w:pPr>
      <w:r w:rsidRPr="00FB427E">
        <w:rPr>
          <w:lang w:val="en-GB" w:eastAsia="en-AU"/>
        </w:rPr>
        <w:t xml:space="preserve">The </w:t>
      </w:r>
      <w:r>
        <w:rPr>
          <w:lang w:val="en-GB" w:eastAsia="en-AU"/>
        </w:rPr>
        <w:t xml:space="preserve">depreciable tangible property </w:t>
      </w:r>
      <w:r w:rsidRPr="00FB427E">
        <w:rPr>
          <w:lang w:val="en-GB" w:eastAsia="en-AU"/>
        </w:rPr>
        <w:t>exclusion is to prevent expenditure with a different</w:t>
      </w:r>
      <w:r>
        <w:rPr>
          <w:lang w:val="en-GB" w:eastAsia="en-AU"/>
        </w:rPr>
        <w:t xml:space="preserve"> purpose being characterised as R&amp;D. There are also concerns about the potential fiscal cost of allowing such expenditure. </w:t>
      </w:r>
      <w:r w:rsidRPr="00ED09D1">
        <w:rPr>
          <w:lang w:val="en-GB" w:eastAsia="en-AU"/>
        </w:rPr>
        <w:t xml:space="preserve">This </w:t>
      </w:r>
      <w:r>
        <w:rPr>
          <w:lang w:val="en-GB" w:eastAsia="en-AU"/>
        </w:rPr>
        <w:t xml:space="preserve">is the same </w:t>
      </w:r>
      <w:r w:rsidRPr="00ED09D1">
        <w:rPr>
          <w:lang w:val="en-GB" w:eastAsia="en-AU"/>
        </w:rPr>
        <w:t xml:space="preserve">approach as </w:t>
      </w:r>
      <w:r>
        <w:rPr>
          <w:lang w:val="en-GB" w:eastAsia="en-AU"/>
        </w:rPr>
        <w:t xml:space="preserve">was </w:t>
      </w:r>
      <w:r w:rsidRPr="00ED09D1">
        <w:rPr>
          <w:lang w:val="en-GB" w:eastAsia="en-AU"/>
        </w:rPr>
        <w:t>adopted in 2008</w:t>
      </w:r>
      <w:r>
        <w:rPr>
          <w:lang w:val="en-GB" w:eastAsia="en-AU"/>
        </w:rPr>
        <w:t>. It is similar to Australia’s R&amp;D rules, which</w:t>
      </w:r>
      <w:r w:rsidRPr="00ED09D1">
        <w:rPr>
          <w:lang w:val="en-GB" w:eastAsia="en-AU"/>
        </w:rPr>
        <w:t xml:space="preserve"> </w:t>
      </w:r>
      <w:r>
        <w:rPr>
          <w:lang w:val="en-GB" w:eastAsia="en-AU"/>
        </w:rPr>
        <w:t>also explicitly exclude</w:t>
      </w:r>
      <w:r w:rsidRPr="00ED09D1">
        <w:rPr>
          <w:lang w:val="en-GB" w:eastAsia="en-AU"/>
        </w:rPr>
        <w:t xml:space="preserve"> expenditure on</w:t>
      </w:r>
      <w:r>
        <w:rPr>
          <w:lang w:val="en-GB" w:eastAsia="en-AU"/>
        </w:rPr>
        <w:t xml:space="preserve"> producing depreciable tangible property.</w:t>
      </w:r>
    </w:p>
    <w:p w14:paraId="07A1E981" w14:textId="77777777" w:rsidR="00D00F10" w:rsidRPr="00ED09D1" w:rsidRDefault="00D00F10" w:rsidP="00D00F10">
      <w:pPr>
        <w:rPr>
          <w:lang w:val="en-GB" w:eastAsia="en-AU"/>
        </w:rPr>
      </w:pPr>
    </w:p>
    <w:p w14:paraId="6987A9E4" w14:textId="77777777" w:rsidR="00D00F10" w:rsidRPr="00ED09D1" w:rsidRDefault="00D00F10" w:rsidP="00D00F10">
      <w:pPr>
        <w:pStyle w:val="Heading4"/>
      </w:pPr>
      <w:r w:rsidRPr="00ED09D1">
        <w:t xml:space="preserve">Depreciation </w:t>
      </w:r>
      <w:r>
        <w:t xml:space="preserve">loss </w:t>
      </w:r>
      <w:r w:rsidRPr="00ED09D1">
        <w:t xml:space="preserve">where cost </w:t>
      </w:r>
      <w:r>
        <w:t>of depreciable property wa</w:t>
      </w:r>
      <w:r w:rsidRPr="00ED09D1">
        <w:t>s eligible expenditure (</w:t>
      </w:r>
      <w:r>
        <w:t>schedule 21B, part B, clause</w:t>
      </w:r>
      <w:r w:rsidRPr="00ED09D1">
        <w:t xml:space="preserve"> 4)</w:t>
      </w:r>
    </w:p>
    <w:p w14:paraId="148D7A3B" w14:textId="77777777" w:rsidR="00D00F10" w:rsidRPr="00ED09D1" w:rsidRDefault="00D00F10" w:rsidP="00D00F10">
      <w:pPr>
        <w:rPr>
          <w:lang w:val="en-GB" w:eastAsia="en-AU"/>
        </w:rPr>
      </w:pPr>
    </w:p>
    <w:p w14:paraId="1296DA37" w14:textId="73A22F92" w:rsidR="00D00F10" w:rsidRPr="00ED09D1" w:rsidRDefault="00D00F10" w:rsidP="00D00F10">
      <w:pPr>
        <w:rPr>
          <w:lang w:val="en-GB" w:eastAsia="en-AU"/>
        </w:rPr>
      </w:pPr>
      <w:r>
        <w:rPr>
          <w:lang w:val="en-GB" w:eastAsia="en-AU"/>
        </w:rPr>
        <w:t>D</w:t>
      </w:r>
      <w:r w:rsidRPr="00ED09D1">
        <w:rPr>
          <w:lang w:val="en-GB" w:eastAsia="en-AU"/>
        </w:rPr>
        <w:t xml:space="preserve">epreciation loss for an item of depreciable property is ineligible for the credit to the extent the cost of </w:t>
      </w:r>
      <w:r>
        <w:rPr>
          <w:lang w:val="en-GB" w:eastAsia="en-AU"/>
        </w:rPr>
        <w:t xml:space="preserve">producing </w:t>
      </w:r>
      <w:r w:rsidRPr="00ED09D1">
        <w:rPr>
          <w:lang w:val="en-GB" w:eastAsia="en-AU"/>
        </w:rPr>
        <w:t xml:space="preserve">the property </w:t>
      </w:r>
      <w:r>
        <w:rPr>
          <w:lang w:val="en-GB" w:eastAsia="en-AU"/>
        </w:rPr>
        <w:t>was eligible expenditure</w:t>
      </w:r>
      <w:r w:rsidRPr="00ED09D1">
        <w:rPr>
          <w:lang w:val="en-GB" w:eastAsia="en-AU"/>
        </w:rPr>
        <w:t>.</w:t>
      </w:r>
      <w:r>
        <w:rPr>
          <w:lang w:val="en-GB" w:eastAsia="en-AU"/>
        </w:rPr>
        <w:t xml:space="preserve"> T</w:t>
      </w:r>
      <w:r w:rsidRPr="00ED09D1">
        <w:rPr>
          <w:lang w:val="en-GB" w:eastAsia="en-AU"/>
        </w:rPr>
        <w:t xml:space="preserve">his exclusion </w:t>
      </w:r>
      <w:r>
        <w:rPr>
          <w:lang w:val="en-GB" w:eastAsia="en-AU"/>
        </w:rPr>
        <w:t xml:space="preserve">aims </w:t>
      </w:r>
      <w:r w:rsidRPr="00ED09D1">
        <w:rPr>
          <w:lang w:val="en-GB" w:eastAsia="en-AU"/>
        </w:rPr>
        <w:t xml:space="preserve">to prevent </w:t>
      </w:r>
      <w:r>
        <w:rPr>
          <w:lang w:val="en-GB" w:eastAsia="en-AU"/>
        </w:rPr>
        <w:t xml:space="preserve">a person </w:t>
      </w:r>
      <w:r w:rsidRPr="00ED09D1">
        <w:rPr>
          <w:lang w:val="en-GB" w:eastAsia="en-AU"/>
        </w:rPr>
        <w:t>from getting R&amp;D tax credit</w:t>
      </w:r>
      <w:r>
        <w:rPr>
          <w:lang w:val="en-GB" w:eastAsia="en-AU"/>
        </w:rPr>
        <w:t>s</w:t>
      </w:r>
      <w:r w:rsidRPr="00ED09D1">
        <w:rPr>
          <w:lang w:val="en-GB" w:eastAsia="en-AU"/>
        </w:rPr>
        <w:t xml:space="preserve"> </w:t>
      </w:r>
      <w:r>
        <w:rPr>
          <w:lang w:val="en-GB" w:eastAsia="en-AU"/>
        </w:rPr>
        <w:t>more than once</w:t>
      </w:r>
      <w:r w:rsidRPr="00ED09D1">
        <w:rPr>
          <w:lang w:val="en-GB" w:eastAsia="en-AU"/>
        </w:rPr>
        <w:t xml:space="preserve"> </w:t>
      </w:r>
      <w:r w:rsidR="00C02DAD">
        <w:rPr>
          <w:lang w:val="en-GB" w:eastAsia="en-AU"/>
        </w:rPr>
        <w:t>for</w:t>
      </w:r>
      <w:r w:rsidRPr="00ED09D1">
        <w:rPr>
          <w:lang w:val="en-GB" w:eastAsia="en-AU"/>
        </w:rPr>
        <w:t xml:space="preserve"> the same expenditure.</w:t>
      </w:r>
    </w:p>
    <w:p w14:paraId="403E2CF9" w14:textId="77777777" w:rsidR="00D00F10" w:rsidRPr="00ED09D1" w:rsidRDefault="00D00F10" w:rsidP="00D00F10">
      <w:pPr>
        <w:rPr>
          <w:lang w:val="en-GB" w:eastAsia="en-AU"/>
        </w:rPr>
      </w:pPr>
    </w:p>
    <w:p w14:paraId="2C5020C1" w14:textId="77777777" w:rsidR="00D00F10" w:rsidRPr="00ED09D1" w:rsidRDefault="00D00F10" w:rsidP="00D00F10">
      <w:pPr>
        <w:pStyle w:val="Heading4"/>
      </w:pPr>
      <w:r w:rsidRPr="00ED09D1">
        <w:t>Pooled property (</w:t>
      </w:r>
      <w:r w:rsidRPr="00770300">
        <w:t>schedule 21B, part B,</w:t>
      </w:r>
      <w:r>
        <w:t xml:space="preserve"> clause</w:t>
      </w:r>
      <w:r w:rsidRPr="00ED09D1">
        <w:t xml:space="preserve"> 5)</w:t>
      </w:r>
    </w:p>
    <w:p w14:paraId="19054CDB" w14:textId="77777777" w:rsidR="00D00F10" w:rsidRPr="00ED09D1" w:rsidRDefault="00D00F10" w:rsidP="00D00F10">
      <w:pPr>
        <w:rPr>
          <w:lang w:eastAsia="en-AU"/>
        </w:rPr>
      </w:pPr>
    </w:p>
    <w:p w14:paraId="7B621EA2" w14:textId="77777777" w:rsidR="00D00F10" w:rsidRPr="00ED09D1" w:rsidRDefault="00D00F10" w:rsidP="00D00F10">
      <w:pPr>
        <w:rPr>
          <w:lang w:val="en-GB" w:eastAsia="en-AU"/>
        </w:rPr>
      </w:pPr>
      <w:r>
        <w:rPr>
          <w:lang w:val="en-GB" w:eastAsia="en-AU"/>
        </w:rPr>
        <w:t>Depreciation loss on d</w:t>
      </w:r>
      <w:r w:rsidRPr="00ED09D1">
        <w:rPr>
          <w:lang w:val="en-GB" w:eastAsia="en-AU"/>
        </w:rPr>
        <w:t xml:space="preserve">epreciable assets in a tax depreciation pool </w:t>
      </w:r>
      <w:r>
        <w:rPr>
          <w:lang w:val="en-GB" w:eastAsia="en-AU"/>
        </w:rPr>
        <w:t xml:space="preserve">is ineligible, </w:t>
      </w:r>
      <w:r w:rsidRPr="00ED09D1">
        <w:rPr>
          <w:lang w:val="en-GB" w:eastAsia="en-AU"/>
        </w:rPr>
        <w:t>unless the pool consists solely of assets used wholly in conducting R&amp;D</w:t>
      </w:r>
      <w:r>
        <w:rPr>
          <w:lang w:val="en-GB" w:eastAsia="en-AU"/>
        </w:rPr>
        <w:t xml:space="preserve"> activities</w:t>
      </w:r>
      <w:r w:rsidRPr="00ED09D1">
        <w:rPr>
          <w:lang w:val="en-GB" w:eastAsia="en-AU"/>
        </w:rPr>
        <w:t>.</w:t>
      </w:r>
      <w:r>
        <w:rPr>
          <w:lang w:val="en-GB" w:eastAsia="en-AU"/>
        </w:rPr>
        <w:t xml:space="preserve"> </w:t>
      </w:r>
      <w:r w:rsidRPr="00ED09D1">
        <w:rPr>
          <w:lang w:val="en-GB" w:eastAsia="en-AU"/>
        </w:rPr>
        <w:t>Th</w:t>
      </w:r>
      <w:r>
        <w:rPr>
          <w:lang w:val="en-GB" w:eastAsia="en-AU"/>
        </w:rPr>
        <w:t xml:space="preserve">is exclusion aims </w:t>
      </w:r>
      <w:r w:rsidRPr="00ED09D1">
        <w:rPr>
          <w:lang w:val="en-GB" w:eastAsia="en-AU"/>
        </w:rPr>
        <w:t xml:space="preserve">to prevent a person from </w:t>
      </w:r>
      <w:r>
        <w:rPr>
          <w:lang w:val="en-GB" w:eastAsia="en-AU"/>
        </w:rPr>
        <w:t xml:space="preserve">receiving </w:t>
      </w:r>
      <w:r w:rsidRPr="00ED09D1">
        <w:rPr>
          <w:lang w:val="en-GB" w:eastAsia="en-AU"/>
        </w:rPr>
        <w:t>R&amp;D tax credit</w:t>
      </w:r>
      <w:r>
        <w:rPr>
          <w:lang w:val="en-GB" w:eastAsia="en-AU"/>
        </w:rPr>
        <w:t>s</w:t>
      </w:r>
      <w:r w:rsidRPr="00ED09D1">
        <w:rPr>
          <w:lang w:val="en-GB" w:eastAsia="en-AU"/>
        </w:rPr>
        <w:t xml:space="preserve"> for depreciation </w:t>
      </w:r>
      <w:r>
        <w:rPr>
          <w:lang w:val="en-GB" w:eastAsia="en-AU"/>
        </w:rPr>
        <w:t xml:space="preserve">loss </w:t>
      </w:r>
      <w:r w:rsidRPr="00ED09D1">
        <w:rPr>
          <w:lang w:val="en-GB" w:eastAsia="en-AU"/>
        </w:rPr>
        <w:t xml:space="preserve">on assets used </w:t>
      </w:r>
      <w:r>
        <w:rPr>
          <w:lang w:val="en-GB" w:eastAsia="en-AU"/>
        </w:rPr>
        <w:t>in non-R&amp;D activities.</w:t>
      </w:r>
    </w:p>
    <w:p w14:paraId="7E3E2C14" w14:textId="77777777" w:rsidR="00D00F10" w:rsidRPr="00ED09D1" w:rsidRDefault="00D00F10" w:rsidP="00D00F10">
      <w:pPr>
        <w:rPr>
          <w:lang w:val="en-GB" w:eastAsia="en-AU"/>
        </w:rPr>
      </w:pPr>
    </w:p>
    <w:p w14:paraId="322DE571" w14:textId="77777777" w:rsidR="00D00F10" w:rsidRPr="009063D9" w:rsidRDefault="00D00F10" w:rsidP="00D00F10">
      <w:pPr>
        <w:pStyle w:val="Heading4"/>
      </w:pPr>
      <w:r w:rsidRPr="00ED09D1">
        <w:t>Certain depreciation deductions on assets acqu</w:t>
      </w:r>
      <w:r>
        <w:t>ired from an associate (</w:t>
      </w:r>
      <w:r w:rsidRPr="00770300">
        <w:t>schedule 21B, part B,</w:t>
      </w:r>
      <w:r>
        <w:t xml:space="preserve"> clause 6)</w:t>
      </w:r>
    </w:p>
    <w:p w14:paraId="25C7E25D" w14:textId="77777777" w:rsidR="00D00F10" w:rsidRPr="00ED09D1" w:rsidRDefault="00D00F10" w:rsidP="00D00F10">
      <w:pPr>
        <w:rPr>
          <w:lang w:val="en-GB" w:eastAsia="en-AU"/>
        </w:rPr>
      </w:pPr>
    </w:p>
    <w:p w14:paraId="0043DA1D" w14:textId="77777777" w:rsidR="00D00F10" w:rsidRDefault="00D00F10" w:rsidP="00D00F10">
      <w:pPr>
        <w:rPr>
          <w:lang w:val="en-GB" w:eastAsia="en-AU"/>
        </w:rPr>
      </w:pPr>
      <w:r>
        <w:rPr>
          <w:lang w:val="en-GB" w:eastAsia="en-AU"/>
        </w:rPr>
        <w:t>A person’s depreciation loss on an item of depreciable property acquired from an associate is ineligible, to the extent:</w:t>
      </w:r>
    </w:p>
    <w:p w14:paraId="46133339" w14:textId="77777777" w:rsidR="00D00F10" w:rsidRDefault="00D00F10" w:rsidP="00D00F10">
      <w:pPr>
        <w:rPr>
          <w:lang w:val="en-GB" w:eastAsia="en-AU"/>
        </w:rPr>
      </w:pPr>
    </w:p>
    <w:p w14:paraId="69A0DD62" w14:textId="6F1893D4" w:rsidR="00D00F10" w:rsidRDefault="005712CF" w:rsidP="00D00F10">
      <w:pPr>
        <w:pStyle w:val="dotpoint"/>
      </w:pPr>
      <w:r>
        <w:t>t</w:t>
      </w:r>
      <w:r w:rsidR="00D00F10">
        <w:t xml:space="preserve">he </w:t>
      </w:r>
      <w:r w:rsidR="00D00F10" w:rsidRPr="008E6674">
        <w:t>person purchase</w:t>
      </w:r>
      <w:r w:rsidR="00D00F10">
        <w:t>d</w:t>
      </w:r>
      <w:r w:rsidR="00D00F10" w:rsidRPr="008E6674">
        <w:t xml:space="preserve"> </w:t>
      </w:r>
      <w:r w:rsidR="00D00F10">
        <w:t xml:space="preserve">the </w:t>
      </w:r>
      <w:r w:rsidR="00D00F10" w:rsidRPr="008E6674">
        <w:t>property for more than the property’s adjusted tax value</w:t>
      </w:r>
      <w:r w:rsidR="00D00F10">
        <w:t xml:space="preserve"> (“ATV”) (in the hands of the associate);</w:t>
      </w:r>
      <w:r w:rsidR="00D00F10" w:rsidRPr="008E6674">
        <w:t xml:space="preserve"> </w:t>
      </w:r>
      <w:r w:rsidR="00D00F10">
        <w:t>and</w:t>
      </w:r>
    </w:p>
    <w:p w14:paraId="5B59F25C" w14:textId="2A16015A" w:rsidR="00D00F10" w:rsidRPr="008E6674" w:rsidRDefault="005712CF" w:rsidP="00D00F10">
      <w:pPr>
        <w:pStyle w:val="dotpoint"/>
        <w:spacing w:after="0"/>
      </w:pPr>
      <w:r>
        <w:t>t</w:t>
      </w:r>
      <w:r w:rsidR="00D00F10" w:rsidRPr="008E6674">
        <w:t xml:space="preserve">he </w:t>
      </w:r>
      <w:r w:rsidR="00D00F10">
        <w:t xml:space="preserve">property was used in the associate’s </w:t>
      </w:r>
      <w:r w:rsidR="00D00F10" w:rsidRPr="008E6674">
        <w:t>R&amp;D activit</w:t>
      </w:r>
      <w:r w:rsidR="00D00F10">
        <w:t>ies.</w:t>
      </w:r>
    </w:p>
    <w:p w14:paraId="24B393A2" w14:textId="77777777" w:rsidR="00D00F10" w:rsidRPr="00ED09D1" w:rsidRDefault="00D00F10" w:rsidP="00D00F10">
      <w:pPr>
        <w:rPr>
          <w:lang w:val="en-GB" w:eastAsia="en-AU"/>
        </w:rPr>
      </w:pPr>
    </w:p>
    <w:p w14:paraId="18336A06" w14:textId="0969734D" w:rsidR="00D00F10" w:rsidRDefault="00D00F10" w:rsidP="00D00F10">
      <w:pPr>
        <w:pStyle w:val="Exampleheading1"/>
      </w:pPr>
      <w:r w:rsidRPr="00C427C6">
        <w:t>Example</w:t>
      </w:r>
      <w:r w:rsidR="00DF2F85">
        <w:t xml:space="preserve"> 8</w:t>
      </w:r>
      <w:r w:rsidRPr="00C427C6">
        <w:t xml:space="preserve">: </w:t>
      </w:r>
      <w:r w:rsidR="00DF2F85">
        <w:t>D</w:t>
      </w:r>
      <w:r w:rsidRPr="00C427C6">
        <w:t>epreciable property acquired from associate at above ATV</w:t>
      </w:r>
    </w:p>
    <w:p w14:paraId="07771630" w14:textId="77777777" w:rsidR="00D00F10" w:rsidRPr="00C427C6" w:rsidRDefault="00D00F10" w:rsidP="00D00F10">
      <w:pPr>
        <w:pStyle w:val="Exampletext"/>
      </w:pPr>
    </w:p>
    <w:p w14:paraId="7E9AF724" w14:textId="77777777" w:rsidR="00D00F10" w:rsidRPr="00C427C6" w:rsidRDefault="00D00F10" w:rsidP="00D00F10">
      <w:pPr>
        <w:pStyle w:val="Exampletext"/>
      </w:pPr>
      <w:r w:rsidRPr="00C427C6">
        <w:t>Webb Ltd sells an asset that was used in R&amp;D, which cost $200 and has an ATV of $100, to its associate, Wood Ltd, for $130. Wood Ltd’s depreciation loss on the $30 above</w:t>
      </w:r>
      <w:r>
        <w:t xml:space="preserve"> the asset’s ATV is ineligible.</w:t>
      </w:r>
    </w:p>
    <w:p w14:paraId="1A0819C4" w14:textId="77777777" w:rsidR="00D00F10" w:rsidRDefault="00D00F10" w:rsidP="00D00F10">
      <w:pPr>
        <w:rPr>
          <w:lang w:val="en-GB" w:eastAsia="en-AU"/>
        </w:rPr>
      </w:pPr>
    </w:p>
    <w:p w14:paraId="43D12714" w14:textId="77777777" w:rsidR="00D00F10" w:rsidRPr="00ED09D1" w:rsidRDefault="00D00F10" w:rsidP="00D00F10">
      <w:pPr>
        <w:rPr>
          <w:lang w:val="en-GB" w:eastAsia="en-AU"/>
        </w:rPr>
      </w:pPr>
    </w:p>
    <w:p w14:paraId="49D510EB" w14:textId="77777777" w:rsidR="00D00F10" w:rsidRPr="00ED09D1" w:rsidRDefault="00D00F10" w:rsidP="00D00F10">
      <w:pPr>
        <w:rPr>
          <w:rFonts w:eastAsia="Times New Roman" w:cs="Times New Roman"/>
          <w:szCs w:val="24"/>
          <w:lang w:val="en-GB" w:eastAsia="en-AU"/>
        </w:rPr>
      </w:pPr>
      <w:r w:rsidRPr="00ED09D1">
        <w:rPr>
          <w:rFonts w:eastAsia="Times New Roman" w:cs="Times New Roman"/>
          <w:szCs w:val="24"/>
          <w:lang w:val="en-GB" w:eastAsia="en-AU"/>
        </w:rPr>
        <w:t xml:space="preserve">The rationale for this rule is to prevent associated entities from claiming R&amp;D tax credits twice for </w:t>
      </w:r>
      <w:r>
        <w:rPr>
          <w:rFonts w:eastAsia="Times New Roman" w:cs="Times New Roman"/>
          <w:szCs w:val="24"/>
          <w:lang w:val="en-GB" w:eastAsia="en-AU"/>
        </w:rPr>
        <w:t xml:space="preserve">what is essentially the same amount of </w:t>
      </w:r>
      <w:r w:rsidRPr="00ED09D1">
        <w:rPr>
          <w:rFonts w:eastAsia="Times New Roman" w:cs="Times New Roman"/>
          <w:szCs w:val="24"/>
          <w:lang w:val="en-GB" w:eastAsia="en-AU"/>
        </w:rPr>
        <w:t>depreciation</w:t>
      </w:r>
      <w:r>
        <w:rPr>
          <w:rFonts w:eastAsia="Times New Roman" w:cs="Times New Roman"/>
          <w:szCs w:val="24"/>
          <w:lang w:val="en-GB" w:eastAsia="en-AU"/>
        </w:rPr>
        <w:t xml:space="preserve"> loss. I</w:t>
      </w:r>
      <w:r w:rsidRPr="00ED09D1">
        <w:rPr>
          <w:rFonts w:eastAsia="Times New Roman" w:cs="Times New Roman"/>
          <w:szCs w:val="24"/>
          <w:lang w:val="en-GB" w:eastAsia="en-AU"/>
        </w:rPr>
        <w:t xml:space="preserve">n the above example, absent this rule, </w:t>
      </w:r>
      <w:r>
        <w:rPr>
          <w:rFonts w:eastAsia="Times New Roman" w:cs="Times New Roman"/>
          <w:szCs w:val="24"/>
          <w:lang w:val="en-GB" w:eastAsia="en-AU"/>
        </w:rPr>
        <w:t xml:space="preserve">Webb Ltd </w:t>
      </w:r>
      <w:r w:rsidRPr="00ED09D1">
        <w:rPr>
          <w:rFonts w:eastAsia="Times New Roman" w:cs="Times New Roman"/>
          <w:szCs w:val="24"/>
          <w:lang w:val="en-GB" w:eastAsia="en-AU"/>
        </w:rPr>
        <w:t xml:space="preserve">and </w:t>
      </w:r>
      <w:r>
        <w:rPr>
          <w:rFonts w:eastAsia="Times New Roman" w:cs="Times New Roman"/>
          <w:szCs w:val="24"/>
          <w:lang w:val="en-GB" w:eastAsia="en-AU"/>
        </w:rPr>
        <w:t xml:space="preserve">Wood Ltd </w:t>
      </w:r>
      <w:r w:rsidRPr="00ED09D1">
        <w:rPr>
          <w:rFonts w:eastAsia="Times New Roman" w:cs="Times New Roman"/>
          <w:szCs w:val="24"/>
          <w:lang w:val="en-GB" w:eastAsia="en-AU"/>
        </w:rPr>
        <w:t xml:space="preserve">would both have claimed depreciation </w:t>
      </w:r>
      <w:r>
        <w:rPr>
          <w:rFonts w:eastAsia="Times New Roman" w:cs="Times New Roman"/>
          <w:szCs w:val="24"/>
          <w:lang w:val="en-GB" w:eastAsia="en-AU"/>
        </w:rPr>
        <w:t xml:space="preserve">loss </w:t>
      </w:r>
      <w:r w:rsidRPr="00ED09D1">
        <w:rPr>
          <w:rFonts w:eastAsia="Times New Roman" w:cs="Times New Roman"/>
          <w:szCs w:val="24"/>
          <w:lang w:val="en-GB" w:eastAsia="en-AU"/>
        </w:rPr>
        <w:t xml:space="preserve">on the asset’s decline </w:t>
      </w:r>
      <w:r>
        <w:rPr>
          <w:rFonts w:eastAsia="Times New Roman" w:cs="Times New Roman"/>
          <w:szCs w:val="24"/>
          <w:lang w:val="en-GB" w:eastAsia="en-AU"/>
        </w:rPr>
        <w:t>in value from $130 to $100.</w:t>
      </w:r>
    </w:p>
    <w:p w14:paraId="0DF6DB5E" w14:textId="77777777" w:rsidR="00D00F10" w:rsidRPr="00ED09D1" w:rsidRDefault="00D00F10" w:rsidP="00D00F10">
      <w:pPr>
        <w:rPr>
          <w:rFonts w:eastAsia="Times New Roman" w:cs="Times New Roman"/>
          <w:szCs w:val="24"/>
          <w:lang w:val="en-GB" w:eastAsia="en-AU"/>
        </w:rPr>
      </w:pPr>
    </w:p>
    <w:p w14:paraId="524A7060" w14:textId="77777777" w:rsidR="00D00F10" w:rsidRPr="00ED09D1" w:rsidRDefault="00D00F10" w:rsidP="00D00F10">
      <w:pPr>
        <w:pStyle w:val="Heading4"/>
      </w:pPr>
      <w:r w:rsidRPr="00680604">
        <w:t>P</w:t>
      </w:r>
      <w:r w:rsidRPr="00ED09D1">
        <w:t>rofits on R&amp;D services and property provided by associates (</w:t>
      </w:r>
      <w:r w:rsidRPr="00770300">
        <w:t>schedule 21B, part B,</w:t>
      </w:r>
      <w:r>
        <w:t xml:space="preserve"> clause</w:t>
      </w:r>
      <w:r w:rsidRPr="00ED09D1">
        <w:t xml:space="preserve"> 7)</w:t>
      </w:r>
    </w:p>
    <w:p w14:paraId="0CC5FACE" w14:textId="77777777" w:rsidR="00D00F10" w:rsidRPr="00ED09D1" w:rsidRDefault="00D00F10" w:rsidP="00D00F10">
      <w:pPr>
        <w:rPr>
          <w:lang w:val="en-GB" w:eastAsia="en-AU"/>
        </w:rPr>
      </w:pPr>
    </w:p>
    <w:p w14:paraId="223361D7" w14:textId="77777777" w:rsidR="00D00F10" w:rsidRPr="00ED09D1" w:rsidRDefault="00D00F10" w:rsidP="00D00F10">
      <w:pPr>
        <w:rPr>
          <w:lang w:val="en-GB" w:eastAsia="en-AU"/>
        </w:rPr>
      </w:pPr>
      <w:r>
        <w:rPr>
          <w:lang w:val="en-GB" w:eastAsia="en-AU"/>
        </w:rPr>
        <w:t xml:space="preserve">An amount of expenditure or loss </w:t>
      </w:r>
      <w:r w:rsidRPr="00ED09D1">
        <w:rPr>
          <w:lang w:val="en-GB" w:eastAsia="en-AU"/>
        </w:rPr>
        <w:t xml:space="preserve">for goods or services acquired from an associate </w:t>
      </w:r>
      <w:r>
        <w:rPr>
          <w:lang w:val="en-GB" w:eastAsia="en-AU"/>
        </w:rPr>
        <w:t xml:space="preserve">is </w:t>
      </w:r>
      <w:r w:rsidRPr="00ED09D1">
        <w:rPr>
          <w:lang w:val="en-GB" w:eastAsia="en-AU"/>
        </w:rPr>
        <w:t xml:space="preserve">ineligible to the extent the consideration paid to the associate is more than the lowest cost of the goods </w:t>
      </w:r>
      <w:r>
        <w:rPr>
          <w:lang w:val="en-GB" w:eastAsia="en-AU"/>
        </w:rPr>
        <w:t xml:space="preserve">or </w:t>
      </w:r>
      <w:r w:rsidRPr="00ED09D1">
        <w:rPr>
          <w:lang w:val="en-GB" w:eastAsia="en-AU"/>
        </w:rPr>
        <w:t xml:space="preserve">services to </w:t>
      </w:r>
      <w:r>
        <w:rPr>
          <w:lang w:val="en-GB" w:eastAsia="en-AU"/>
        </w:rPr>
        <w:t xml:space="preserve">an </w:t>
      </w:r>
      <w:r w:rsidRPr="00ED09D1">
        <w:rPr>
          <w:lang w:val="en-GB" w:eastAsia="en-AU"/>
        </w:rPr>
        <w:t>associate.</w:t>
      </w:r>
      <w:r>
        <w:rPr>
          <w:lang w:val="en-GB" w:eastAsia="en-AU"/>
        </w:rPr>
        <w:t xml:space="preserve"> </w:t>
      </w:r>
      <w:r w:rsidRPr="00ED09D1">
        <w:rPr>
          <w:lang w:val="en-GB" w:eastAsia="en-AU"/>
        </w:rPr>
        <w:t xml:space="preserve">This rule is designed to prevent </w:t>
      </w:r>
      <w:r>
        <w:rPr>
          <w:lang w:val="en-GB" w:eastAsia="en-AU"/>
        </w:rPr>
        <w:t>expenditure from being eligible to the extent it is on goods or services that are overpriced</w:t>
      </w:r>
      <w:r w:rsidRPr="00ED09D1">
        <w:rPr>
          <w:lang w:val="en-GB" w:eastAsia="en-AU"/>
        </w:rPr>
        <w:t>.</w:t>
      </w:r>
    </w:p>
    <w:p w14:paraId="283D4701" w14:textId="77777777" w:rsidR="00D00F10" w:rsidRPr="00ED09D1" w:rsidRDefault="00D00F10" w:rsidP="00D00F10">
      <w:pPr>
        <w:rPr>
          <w:lang w:val="en-GB" w:eastAsia="en-AU"/>
        </w:rPr>
      </w:pPr>
    </w:p>
    <w:p w14:paraId="51D9B94B" w14:textId="77777777" w:rsidR="00D00F10" w:rsidRPr="00ED09D1" w:rsidRDefault="00D00F10" w:rsidP="00D00F10">
      <w:pPr>
        <w:pStyle w:val="Heading4"/>
      </w:pPr>
      <w:r w:rsidRPr="00ED09D1">
        <w:t>Property leased from an associate (</w:t>
      </w:r>
      <w:r w:rsidRPr="00B827E1">
        <w:t>schedule 21B, part B,</w:t>
      </w:r>
      <w:r>
        <w:t xml:space="preserve"> clause</w:t>
      </w:r>
      <w:r w:rsidRPr="00ED09D1">
        <w:t xml:space="preserve"> 8)</w:t>
      </w:r>
    </w:p>
    <w:p w14:paraId="28A65A79" w14:textId="77777777" w:rsidR="00D00F10" w:rsidRPr="00ED09D1" w:rsidRDefault="00D00F10" w:rsidP="00D00F10">
      <w:pPr>
        <w:rPr>
          <w:lang w:val="en-GB" w:eastAsia="en-AU"/>
        </w:rPr>
      </w:pPr>
    </w:p>
    <w:p w14:paraId="10E9A0D6" w14:textId="77777777" w:rsidR="00D00F10" w:rsidRPr="00ED09D1" w:rsidRDefault="00D00F10" w:rsidP="00D00F10">
      <w:pPr>
        <w:rPr>
          <w:lang w:val="en-GB" w:eastAsia="en-AU"/>
        </w:rPr>
      </w:pPr>
      <w:r>
        <w:rPr>
          <w:lang w:val="en-GB" w:eastAsia="en-AU"/>
        </w:rPr>
        <w:t xml:space="preserve">Expenditure on leasing </w:t>
      </w:r>
      <w:r w:rsidRPr="00ED09D1">
        <w:rPr>
          <w:lang w:val="en-GB" w:eastAsia="en-AU"/>
        </w:rPr>
        <w:t xml:space="preserve">property from an associate </w:t>
      </w:r>
      <w:r>
        <w:rPr>
          <w:lang w:val="en-GB" w:eastAsia="en-AU"/>
        </w:rPr>
        <w:t xml:space="preserve">is ineligible to the extent a person is paying in excess of market value. This exclusion aims to </w:t>
      </w:r>
      <w:r w:rsidRPr="00ED09D1">
        <w:rPr>
          <w:lang w:val="en-GB" w:eastAsia="en-AU"/>
        </w:rPr>
        <w:t>prevent a person from claiming R&amp;D tax credit</w:t>
      </w:r>
      <w:r>
        <w:rPr>
          <w:lang w:val="en-GB" w:eastAsia="en-AU"/>
        </w:rPr>
        <w:t>s</w:t>
      </w:r>
      <w:r w:rsidRPr="00ED09D1">
        <w:rPr>
          <w:lang w:val="en-GB" w:eastAsia="en-AU"/>
        </w:rPr>
        <w:t xml:space="preserve"> on </w:t>
      </w:r>
      <w:r>
        <w:rPr>
          <w:lang w:val="en-GB" w:eastAsia="en-AU"/>
        </w:rPr>
        <w:t>excess cost</w:t>
      </w:r>
      <w:r w:rsidRPr="00ED09D1">
        <w:rPr>
          <w:lang w:val="en-GB" w:eastAsia="en-AU"/>
        </w:rPr>
        <w:t>.</w:t>
      </w:r>
    </w:p>
    <w:p w14:paraId="6DCBF327" w14:textId="77777777" w:rsidR="00D00F10" w:rsidRPr="00ED09D1" w:rsidRDefault="00D00F10" w:rsidP="00D00F10">
      <w:pPr>
        <w:rPr>
          <w:lang w:val="en-GB" w:eastAsia="en-AU"/>
        </w:rPr>
      </w:pPr>
    </w:p>
    <w:p w14:paraId="443C0EF6" w14:textId="77777777" w:rsidR="00D00F10" w:rsidRPr="00ED09D1" w:rsidRDefault="00D00F10" w:rsidP="00D00F10">
      <w:pPr>
        <w:pStyle w:val="Heading4"/>
      </w:pPr>
      <w:r w:rsidRPr="00ED09D1">
        <w:t xml:space="preserve">Expenditure on </w:t>
      </w:r>
      <w:r>
        <w:t xml:space="preserve">employee recruitment, relocation, bonuses, and </w:t>
      </w:r>
      <w:r w:rsidRPr="00ED09D1">
        <w:t>employee share schemes (</w:t>
      </w:r>
      <w:r w:rsidRPr="00B827E1">
        <w:t>schedule 21B, part B,</w:t>
      </w:r>
      <w:r>
        <w:t xml:space="preserve"> clause</w:t>
      </w:r>
      <w:r w:rsidRPr="00ED09D1">
        <w:t>s 9 to 11)</w:t>
      </w:r>
    </w:p>
    <w:p w14:paraId="4F16CD81" w14:textId="77777777" w:rsidR="00D00F10" w:rsidRPr="00ED09D1" w:rsidRDefault="00D00F10" w:rsidP="00D00F10">
      <w:pPr>
        <w:rPr>
          <w:lang w:val="en-GB" w:eastAsia="en-AU"/>
        </w:rPr>
      </w:pPr>
    </w:p>
    <w:p w14:paraId="38D6BB69" w14:textId="77777777" w:rsidR="00D00F10" w:rsidRDefault="00D00F10" w:rsidP="00D00F10">
      <w:pPr>
        <w:rPr>
          <w:lang w:val="en-GB" w:eastAsia="en-AU"/>
        </w:rPr>
      </w:pPr>
      <w:r>
        <w:rPr>
          <w:lang w:val="en-GB" w:eastAsia="en-AU"/>
        </w:rPr>
        <w:t>E</w:t>
      </w:r>
      <w:r w:rsidRPr="00ED09D1">
        <w:rPr>
          <w:lang w:val="en-GB" w:eastAsia="en-AU"/>
        </w:rPr>
        <w:t xml:space="preserve">xpenditure on employee share schemes, recruitment, relocation and bonuses </w:t>
      </w:r>
      <w:r>
        <w:rPr>
          <w:lang w:val="en-GB" w:eastAsia="en-AU"/>
        </w:rPr>
        <w:t>is in</w:t>
      </w:r>
      <w:r w:rsidRPr="00ED09D1">
        <w:rPr>
          <w:lang w:val="en-GB" w:eastAsia="en-AU"/>
        </w:rPr>
        <w:t xml:space="preserve">eligible </w:t>
      </w:r>
      <w:r>
        <w:rPr>
          <w:lang w:val="en-GB" w:eastAsia="en-AU"/>
        </w:rPr>
        <w:t xml:space="preserve">because the </w:t>
      </w:r>
      <w:r w:rsidRPr="00ED09D1">
        <w:rPr>
          <w:lang w:val="en-GB" w:eastAsia="en-AU"/>
        </w:rPr>
        <w:t xml:space="preserve">extent </w:t>
      </w:r>
      <w:r>
        <w:rPr>
          <w:lang w:val="en-GB" w:eastAsia="en-AU"/>
        </w:rPr>
        <w:t xml:space="preserve">to which </w:t>
      </w:r>
      <w:r w:rsidRPr="00ED09D1">
        <w:rPr>
          <w:lang w:val="en-GB" w:eastAsia="en-AU"/>
        </w:rPr>
        <w:t xml:space="preserve">these payments </w:t>
      </w:r>
      <w:r>
        <w:rPr>
          <w:lang w:val="en-GB" w:eastAsia="en-AU"/>
        </w:rPr>
        <w:t xml:space="preserve">actually </w:t>
      </w:r>
      <w:r w:rsidRPr="00ED09D1">
        <w:rPr>
          <w:lang w:val="en-GB" w:eastAsia="en-AU"/>
        </w:rPr>
        <w:t>relate to R&amp;D</w:t>
      </w:r>
      <w:r>
        <w:rPr>
          <w:lang w:val="en-GB" w:eastAsia="en-AU"/>
        </w:rPr>
        <w:t xml:space="preserve"> may be unclear</w:t>
      </w:r>
      <w:r w:rsidRPr="00ED09D1">
        <w:rPr>
          <w:lang w:val="en-GB" w:eastAsia="en-AU"/>
        </w:rPr>
        <w:t>.</w:t>
      </w:r>
    </w:p>
    <w:p w14:paraId="20E0740D" w14:textId="77777777" w:rsidR="00D00F10" w:rsidRDefault="00D00F10" w:rsidP="00D00F10">
      <w:pPr>
        <w:rPr>
          <w:lang w:val="en-GB" w:eastAsia="en-AU"/>
        </w:rPr>
      </w:pPr>
    </w:p>
    <w:p w14:paraId="5DD0E672" w14:textId="17EBAB22" w:rsidR="00D00F10" w:rsidRPr="00C427C6" w:rsidRDefault="00D00F10" w:rsidP="00D00F10">
      <w:pPr>
        <w:pStyle w:val="Exampleheading1"/>
      </w:pPr>
      <w:r w:rsidRPr="00C427C6">
        <w:t>Example</w:t>
      </w:r>
      <w:r w:rsidR="00DF2F85">
        <w:t xml:space="preserve"> 9</w:t>
      </w:r>
      <w:r w:rsidRPr="00C427C6">
        <w:t xml:space="preserve">: </w:t>
      </w:r>
      <w:r w:rsidR="00DF2F85">
        <w:t>E</w:t>
      </w:r>
      <w:r w:rsidRPr="00C427C6">
        <w:t xml:space="preserve">xpenditure </w:t>
      </w:r>
      <w:r>
        <w:t>on</w:t>
      </w:r>
      <w:r w:rsidRPr="00C427C6">
        <w:t xml:space="preserve"> employee relocation and bonuses</w:t>
      </w:r>
    </w:p>
    <w:p w14:paraId="32258772" w14:textId="77777777" w:rsidR="00D00F10" w:rsidRDefault="00D00F10" w:rsidP="00D00F10">
      <w:pPr>
        <w:pStyle w:val="Exampletext"/>
      </w:pPr>
    </w:p>
    <w:p w14:paraId="64C9E6B2" w14:textId="63884F2F" w:rsidR="00D00F10" w:rsidRPr="00C427C6" w:rsidRDefault="00D00F10" w:rsidP="00D00F10">
      <w:pPr>
        <w:pStyle w:val="Exampletext"/>
      </w:pPr>
      <w:r w:rsidRPr="00C427C6">
        <w:t>Zoomboom Ltd employs Nicola to assist them in the R&amp;D of the world’s fastest rocket, the Zoom 2. Zoomboom Ltd pays Nicola a sign on bonus and reimburses her for relocation costs</w:t>
      </w:r>
      <w:r>
        <w:t xml:space="preserve">. </w:t>
      </w:r>
      <w:r w:rsidRPr="00C427C6">
        <w:t>These costs are not eligible expenditure.</w:t>
      </w:r>
    </w:p>
    <w:p w14:paraId="30A4230A" w14:textId="77777777" w:rsidR="00D00F10" w:rsidRPr="00ED09D1" w:rsidRDefault="00D00F10" w:rsidP="00D00F10">
      <w:pPr>
        <w:rPr>
          <w:lang w:val="en-GB" w:eastAsia="en-AU"/>
        </w:rPr>
      </w:pPr>
    </w:p>
    <w:p w14:paraId="23E11173" w14:textId="77777777" w:rsidR="00D00F10" w:rsidRPr="00ED09D1" w:rsidRDefault="00D00F10" w:rsidP="00D00F10">
      <w:pPr>
        <w:rPr>
          <w:rFonts w:eastAsia="Times New Roman" w:cs="Times New Roman"/>
          <w:szCs w:val="20"/>
          <w:lang w:val="en-GB" w:eastAsia="en-AU"/>
        </w:rPr>
      </w:pPr>
    </w:p>
    <w:p w14:paraId="0C6721F3" w14:textId="77777777" w:rsidR="00D00F10" w:rsidRPr="00ED09D1" w:rsidRDefault="00D00F10" w:rsidP="00D00F10">
      <w:pPr>
        <w:pStyle w:val="Heading4"/>
      </w:pPr>
      <w:r w:rsidRPr="00ED09D1">
        <w:t>Interest</w:t>
      </w:r>
      <w:r>
        <w:t xml:space="preserve"> and other financing costs</w:t>
      </w:r>
      <w:r w:rsidRPr="00ED09D1">
        <w:t xml:space="preserve"> (</w:t>
      </w:r>
      <w:r w:rsidRPr="00DA749C">
        <w:t>schedule 21B, part B,</w:t>
      </w:r>
      <w:r>
        <w:t xml:space="preserve"> clause</w:t>
      </w:r>
      <w:r w:rsidRPr="00ED09D1">
        <w:t>s 12 and 13)</w:t>
      </w:r>
    </w:p>
    <w:p w14:paraId="6B8E3174" w14:textId="77777777" w:rsidR="00D00F10" w:rsidRPr="00ED09D1" w:rsidRDefault="00D00F10" w:rsidP="00D00F10">
      <w:pPr>
        <w:rPr>
          <w:lang w:val="en-GB" w:eastAsia="en-AU"/>
        </w:rPr>
      </w:pPr>
    </w:p>
    <w:p w14:paraId="490C2899" w14:textId="77777777" w:rsidR="00D00F10" w:rsidRPr="00ED09D1" w:rsidRDefault="00D00F10" w:rsidP="00D00F10">
      <w:pPr>
        <w:rPr>
          <w:lang w:val="en-GB" w:eastAsia="en-AU"/>
        </w:rPr>
      </w:pPr>
      <w:r>
        <w:rPr>
          <w:lang w:val="en-GB" w:eastAsia="en-AU"/>
        </w:rPr>
        <w:t>Amounts of e</w:t>
      </w:r>
      <w:r w:rsidRPr="00ED09D1">
        <w:rPr>
          <w:lang w:val="en-GB" w:eastAsia="en-AU"/>
        </w:rPr>
        <w:t>xpenditure under financial arrangements and deductions under sections DB 5 to DB 15</w:t>
      </w:r>
      <w:r>
        <w:rPr>
          <w:lang w:val="en-GB" w:eastAsia="en-AU"/>
        </w:rPr>
        <w:t xml:space="preserve">, </w:t>
      </w:r>
      <w:r w:rsidRPr="00ED09D1">
        <w:rPr>
          <w:lang w:val="en-GB" w:eastAsia="en-AU"/>
        </w:rPr>
        <w:t>which relate to financing and financial arrangement adjustments</w:t>
      </w:r>
      <w:r>
        <w:rPr>
          <w:lang w:val="en-GB" w:eastAsia="en-AU"/>
        </w:rPr>
        <w:t>,</w:t>
      </w:r>
      <w:r w:rsidRPr="00ED09D1">
        <w:rPr>
          <w:lang w:val="en-GB" w:eastAsia="en-AU"/>
        </w:rPr>
        <w:t xml:space="preserve"> are ineligible.</w:t>
      </w:r>
      <w:r>
        <w:rPr>
          <w:lang w:val="en-GB" w:eastAsia="en-AU"/>
        </w:rPr>
        <w:t xml:space="preserve"> </w:t>
      </w:r>
      <w:r w:rsidRPr="00ED09D1">
        <w:rPr>
          <w:lang w:val="en-GB" w:eastAsia="en-AU"/>
        </w:rPr>
        <w:t>This is to ensure R&amp;D tax credit</w:t>
      </w:r>
      <w:r>
        <w:rPr>
          <w:lang w:val="en-GB" w:eastAsia="en-AU"/>
        </w:rPr>
        <w:t>s</w:t>
      </w:r>
      <w:r w:rsidRPr="00ED09D1">
        <w:rPr>
          <w:lang w:val="en-GB" w:eastAsia="en-AU"/>
        </w:rPr>
        <w:t xml:space="preserve"> </w:t>
      </w:r>
      <w:r>
        <w:rPr>
          <w:lang w:val="en-GB" w:eastAsia="en-AU"/>
        </w:rPr>
        <w:t>are</w:t>
      </w:r>
      <w:r w:rsidRPr="00ED09D1">
        <w:rPr>
          <w:lang w:val="en-GB" w:eastAsia="en-AU"/>
        </w:rPr>
        <w:t xml:space="preserve"> not </w:t>
      </w:r>
      <w:r>
        <w:rPr>
          <w:lang w:val="en-GB" w:eastAsia="en-AU"/>
        </w:rPr>
        <w:t xml:space="preserve">provided </w:t>
      </w:r>
      <w:r w:rsidRPr="00ED09D1">
        <w:rPr>
          <w:lang w:val="en-GB" w:eastAsia="en-AU"/>
        </w:rPr>
        <w:t>for interest</w:t>
      </w:r>
      <w:r>
        <w:rPr>
          <w:lang w:val="en-GB" w:eastAsia="en-AU"/>
        </w:rPr>
        <w:t xml:space="preserve">, </w:t>
      </w:r>
      <w:r w:rsidRPr="00ED09D1">
        <w:rPr>
          <w:lang w:val="en-GB" w:eastAsia="en-AU"/>
        </w:rPr>
        <w:t>or amounts in the nature of interest</w:t>
      </w:r>
      <w:r>
        <w:rPr>
          <w:lang w:val="en-GB" w:eastAsia="en-AU"/>
        </w:rPr>
        <w:t>,</w:t>
      </w:r>
      <w:r w:rsidRPr="00ED09D1">
        <w:rPr>
          <w:lang w:val="en-GB" w:eastAsia="en-AU"/>
        </w:rPr>
        <w:t xml:space="preserve"> related to financing the R&amp;D activities.</w:t>
      </w:r>
    </w:p>
    <w:p w14:paraId="727E605A" w14:textId="77777777" w:rsidR="00D00F10" w:rsidRPr="00ED09D1" w:rsidRDefault="00D00F10" w:rsidP="00D00F10">
      <w:pPr>
        <w:rPr>
          <w:lang w:val="en-GB" w:eastAsia="en-AU"/>
        </w:rPr>
      </w:pPr>
    </w:p>
    <w:p w14:paraId="754356AD" w14:textId="77777777" w:rsidR="00D00F10" w:rsidRPr="00ED09D1" w:rsidRDefault="00D00F10" w:rsidP="00D00F10">
      <w:pPr>
        <w:pStyle w:val="Heading4"/>
      </w:pPr>
      <w:r w:rsidRPr="00ED09D1">
        <w:t>Professional fees (</w:t>
      </w:r>
      <w:r w:rsidRPr="00DA749C">
        <w:t>schedule 21B, part B,</w:t>
      </w:r>
      <w:r>
        <w:t xml:space="preserve"> clause</w:t>
      </w:r>
      <w:r w:rsidRPr="00ED09D1">
        <w:t xml:space="preserve"> 14)</w:t>
      </w:r>
    </w:p>
    <w:p w14:paraId="33611FF6" w14:textId="77777777" w:rsidR="00D00F10" w:rsidRDefault="00D00F10" w:rsidP="00D00F10">
      <w:pPr>
        <w:rPr>
          <w:lang w:val="en-GB" w:eastAsia="en-AU"/>
        </w:rPr>
      </w:pPr>
    </w:p>
    <w:p w14:paraId="3013F69C" w14:textId="77777777" w:rsidR="00D00F10" w:rsidRDefault="00D00F10" w:rsidP="00D00F10">
      <w:pPr>
        <w:rPr>
          <w:lang w:val="en-GB" w:eastAsia="en-AU"/>
        </w:rPr>
      </w:pPr>
      <w:r>
        <w:rPr>
          <w:lang w:val="en-GB" w:eastAsia="en-AU"/>
        </w:rPr>
        <w:t>P</w:t>
      </w:r>
      <w:r w:rsidRPr="00ED09D1">
        <w:rPr>
          <w:lang w:val="en-GB" w:eastAsia="en-AU"/>
        </w:rPr>
        <w:t>rofessional fees are not eligible for the credit.</w:t>
      </w:r>
      <w:r>
        <w:rPr>
          <w:lang w:val="en-GB" w:eastAsia="en-AU"/>
        </w:rPr>
        <w:t xml:space="preserve"> This exclusion covers fees </w:t>
      </w:r>
      <w:r w:rsidRPr="00ED09D1">
        <w:rPr>
          <w:lang w:val="en-GB" w:eastAsia="en-AU"/>
        </w:rPr>
        <w:t>paid to determin</w:t>
      </w:r>
      <w:r>
        <w:rPr>
          <w:lang w:val="en-GB" w:eastAsia="en-AU"/>
        </w:rPr>
        <w:t>e</w:t>
      </w:r>
      <w:r w:rsidRPr="00ED09D1">
        <w:rPr>
          <w:i/>
          <w:lang w:val="en-GB" w:eastAsia="en-AU"/>
        </w:rPr>
        <w:t xml:space="preserve"> </w:t>
      </w:r>
      <w:r>
        <w:rPr>
          <w:lang w:val="en-GB" w:eastAsia="en-AU"/>
        </w:rPr>
        <w:t>the eligibility of a person, activity, or amount of expenditure, and amounts paid to a tax agent to prepare a person’s R&amp;D claim.</w:t>
      </w:r>
      <w:r w:rsidRPr="00ED09D1">
        <w:rPr>
          <w:lang w:val="en-GB" w:eastAsia="en-AU"/>
        </w:rPr>
        <w:t xml:space="preserve"> </w:t>
      </w:r>
      <w:r>
        <w:rPr>
          <w:lang w:val="en-GB" w:eastAsia="en-AU"/>
        </w:rPr>
        <w:t>Professional fees are excluded because they do not relate to resolving the scientific or technological uncertainty.</w:t>
      </w:r>
    </w:p>
    <w:p w14:paraId="08E89B23" w14:textId="77777777" w:rsidR="00D00F10" w:rsidRPr="00ED09D1" w:rsidRDefault="00D00F10" w:rsidP="00D00F10">
      <w:pPr>
        <w:rPr>
          <w:i/>
          <w:lang w:val="en-GB" w:eastAsia="en-AU"/>
        </w:rPr>
      </w:pPr>
    </w:p>
    <w:p w14:paraId="5E9446BC" w14:textId="77777777" w:rsidR="00D00F10" w:rsidRPr="00ED09D1" w:rsidRDefault="00D00F10" w:rsidP="00D00F10">
      <w:pPr>
        <w:pStyle w:val="Heading4"/>
      </w:pPr>
      <w:r w:rsidRPr="00ED09D1">
        <w:t xml:space="preserve">Expenditure </w:t>
      </w:r>
      <w:r>
        <w:t xml:space="preserve">on </w:t>
      </w:r>
      <w:r w:rsidRPr="00ED09D1">
        <w:t>acquir</w:t>
      </w:r>
      <w:r>
        <w:t>ing</w:t>
      </w:r>
      <w:r w:rsidRPr="00ED09D1">
        <w:t xml:space="preserve"> an interest in intangible property (</w:t>
      </w:r>
      <w:r w:rsidRPr="00DA749C">
        <w:t>schedule 21B, part B,</w:t>
      </w:r>
      <w:r>
        <w:t xml:space="preserve"> clause</w:t>
      </w:r>
      <w:r w:rsidRPr="00ED09D1">
        <w:t xml:space="preserve"> 15)</w:t>
      </w:r>
    </w:p>
    <w:p w14:paraId="796A7CE6" w14:textId="77777777" w:rsidR="00D00F10" w:rsidRDefault="00D00F10" w:rsidP="00D00F10">
      <w:pPr>
        <w:rPr>
          <w:lang w:val="en-GB" w:eastAsia="en-AU"/>
        </w:rPr>
      </w:pPr>
    </w:p>
    <w:p w14:paraId="05468542" w14:textId="77777777" w:rsidR="00D00F10" w:rsidRDefault="00D00F10" w:rsidP="00D00F10">
      <w:pPr>
        <w:rPr>
          <w:lang w:val="en-GB" w:eastAsia="en-AU"/>
        </w:rPr>
      </w:pPr>
      <w:r>
        <w:rPr>
          <w:lang w:val="en-GB" w:eastAsia="en-AU"/>
        </w:rPr>
        <w:t>E</w:t>
      </w:r>
      <w:r w:rsidRPr="00ED09D1">
        <w:rPr>
          <w:lang w:val="en-GB" w:eastAsia="en-AU"/>
        </w:rPr>
        <w:t>xpenditure for acquiring an interest in intangible property</w:t>
      </w:r>
      <w:r>
        <w:rPr>
          <w:lang w:val="en-GB" w:eastAsia="en-AU"/>
        </w:rPr>
        <w:t xml:space="preserve">, </w:t>
      </w:r>
      <w:r w:rsidRPr="00ED09D1">
        <w:rPr>
          <w:lang w:val="en-GB" w:eastAsia="en-AU"/>
        </w:rPr>
        <w:t>other than software</w:t>
      </w:r>
      <w:r>
        <w:rPr>
          <w:lang w:val="en-GB" w:eastAsia="en-AU"/>
        </w:rPr>
        <w:t>,</w:t>
      </w:r>
      <w:r w:rsidRPr="00ED09D1">
        <w:rPr>
          <w:lang w:val="en-GB" w:eastAsia="en-AU"/>
        </w:rPr>
        <w:t xml:space="preserve"> is </w:t>
      </w:r>
      <w:r>
        <w:rPr>
          <w:lang w:val="en-GB" w:eastAsia="en-AU"/>
        </w:rPr>
        <w:t>in</w:t>
      </w:r>
      <w:r w:rsidRPr="00ED09D1">
        <w:rPr>
          <w:lang w:val="en-GB" w:eastAsia="en-AU"/>
        </w:rPr>
        <w:t>eligible. Th</w:t>
      </w:r>
      <w:r>
        <w:rPr>
          <w:lang w:val="en-GB" w:eastAsia="en-AU"/>
        </w:rPr>
        <w:t xml:space="preserve">is expenditure is excluded to reduce fiscal risk. </w:t>
      </w:r>
      <w:r w:rsidRPr="00ED09D1">
        <w:rPr>
          <w:lang w:val="en-GB" w:eastAsia="en-AU"/>
        </w:rPr>
        <w:t>Costs associated with creating intangible assets from R&amp;D</w:t>
      </w:r>
      <w:r>
        <w:rPr>
          <w:lang w:val="en-GB" w:eastAsia="en-AU"/>
        </w:rPr>
        <w:t xml:space="preserve"> activities, however,</w:t>
      </w:r>
      <w:r w:rsidRPr="00ED09D1">
        <w:rPr>
          <w:lang w:val="en-GB" w:eastAsia="en-AU"/>
        </w:rPr>
        <w:t xml:space="preserve"> may be eligible.</w:t>
      </w:r>
    </w:p>
    <w:p w14:paraId="7D72F8A2" w14:textId="77777777" w:rsidR="00D00F10" w:rsidRPr="00ED09D1" w:rsidRDefault="00D00F10" w:rsidP="00D00F10">
      <w:pPr>
        <w:rPr>
          <w:lang w:val="en-GB" w:eastAsia="en-AU"/>
        </w:rPr>
      </w:pPr>
    </w:p>
    <w:p w14:paraId="3EB95FE1" w14:textId="77777777" w:rsidR="00D00F10" w:rsidRPr="00ED09D1" w:rsidRDefault="00D00F10" w:rsidP="00D00F10">
      <w:pPr>
        <w:pStyle w:val="Heading4"/>
      </w:pPr>
      <w:r w:rsidRPr="00ED09D1">
        <w:t>Expenditure on bespoke software (</w:t>
      </w:r>
      <w:r w:rsidRPr="00DA749C">
        <w:t>schedule 21B, part B,</w:t>
      </w:r>
      <w:r>
        <w:t xml:space="preserve"> clause</w:t>
      </w:r>
      <w:r w:rsidRPr="00ED09D1">
        <w:t xml:space="preserve"> 16)</w:t>
      </w:r>
    </w:p>
    <w:p w14:paraId="68A00C55" w14:textId="77777777" w:rsidR="00D00F10" w:rsidRDefault="00D00F10" w:rsidP="00D00F10">
      <w:pPr>
        <w:rPr>
          <w:lang w:val="en-GB" w:eastAsia="en-AU"/>
        </w:rPr>
      </w:pPr>
    </w:p>
    <w:p w14:paraId="5F0611A9" w14:textId="77777777" w:rsidR="00D00F10" w:rsidRDefault="00D00F10" w:rsidP="00D00F10">
      <w:pPr>
        <w:rPr>
          <w:lang w:val="en-GB" w:eastAsia="en-AU"/>
        </w:rPr>
      </w:pPr>
      <w:r>
        <w:rPr>
          <w:lang w:val="en-GB" w:eastAsia="en-AU"/>
        </w:rPr>
        <w:t xml:space="preserve">Expenditure </w:t>
      </w:r>
      <w:r w:rsidRPr="00ED09D1">
        <w:rPr>
          <w:lang w:val="en-GB" w:eastAsia="en-AU"/>
        </w:rPr>
        <w:t xml:space="preserve">incurred </w:t>
      </w:r>
      <w:r>
        <w:rPr>
          <w:lang w:val="en-GB" w:eastAsia="en-AU"/>
        </w:rPr>
        <w:t xml:space="preserve">on </w:t>
      </w:r>
      <w:r w:rsidRPr="00ED09D1">
        <w:rPr>
          <w:lang w:val="en-GB" w:eastAsia="en-AU"/>
        </w:rPr>
        <w:t>acquir</w:t>
      </w:r>
      <w:r>
        <w:rPr>
          <w:lang w:val="en-GB" w:eastAsia="en-AU"/>
        </w:rPr>
        <w:t>ing</w:t>
      </w:r>
      <w:r w:rsidRPr="00ED09D1">
        <w:rPr>
          <w:lang w:val="en-GB" w:eastAsia="en-AU"/>
        </w:rPr>
        <w:t xml:space="preserve"> bespoke software, or software that is not widely commercially available, </w:t>
      </w:r>
      <w:r>
        <w:rPr>
          <w:lang w:val="en-GB" w:eastAsia="en-AU"/>
        </w:rPr>
        <w:t>is in</w:t>
      </w:r>
      <w:r w:rsidRPr="00ED09D1">
        <w:rPr>
          <w:lang w:val="en-GB" w:eastAsia="en-AU"/>
        </w:rPr>
        <w:t>eligible.</w:t>
      </w:r>
      <w:r>
        <w:rPr>
          <w:lang w:val="en-GB" w:eastAsia="en-AU"/>
        </w:rPr>
        <w:t xml:space="preserve"> E</w:t>
      </w:r>
      <w:r w:rsidRPr="00ED09D1">
        <w:rPr>
          <w:lang w:val="en-GB" w:eastAsia="en-AU"/>
        </w:rPr>
        <w:t xml:space="preserve">xpenditure on software that is widely available, such as Microsoft Excel, may </w:t>
      </w:r>
      <w:r>
        <w:rPr>
          <w:lang w:val="en-GB" w:eastAsia="en-AU"/>
        </w:rPr>
        <w:t>be eligible expenditure</w:t>
      </w:r>
      <w:r w:rsidRPr="00ED09D1">
        <w:rPr>
          <w:lang w:val="en-GB" w:eastAsia="en-AU"/>
        </w:rPr>
        <w:t>.</w:t>
      </w:r>
    </w:p>
    <w:p w14:paraId="06E0791C" w14:textId="77777777" w:rsidR="00D00F10" w:rsidRPr="00ED09D1" w:rsidRDefault="00D00F10" w:rsidP="00D00F10">
      <w:pPr>
        <w:rPr>
          <w:lang w:val="en-GB" w:eastAsia="en-AU"/>
        </w:rPr>
      </w:pPr>
    </w:p>
    <w:p w14:paraId="6C92CC2F" w14:textId="77777777" w:rsidR="00D00F10" w:rsidRPr="00ED09D1" w:rsidRDefault="00D00F10" w:rsidP="00D00F10">
      <w:pPr>
        <w:pStyle w:val="Heading4"/>
      </w:pPr>
      <w:r w:rsidRPr="00ED09D1">
        <w:t>Internal software development expenditure exceeding $3 million (</w:t>
      </w:r>
      <w:r w:rsidRPr="00DA749C">
        <w:t>schedule 21B, part B,</w:t>
      </w:r>
      <w:r>
        <w:t xml:space="preserve"> clause</w:t>
      </w:r>
      <w:r w:rsidRPr="00ED09D1">
        <w:t xml:space="preserve"> 17)</w:t>
      </w:r>
    </w:p>
    <w:p w14:paraId="56B01CEF" w14:textId="77777777" w:rsidR="00D00F10" w:rsidRDefault="00D00F10" w:rsidP="00D00F10">
      <w:pPr>
        <w:rPr>
          <w:lang w:val="en-GB" w:eastAsia="en-AU"/>
        </w:rPr>
      </w:pPr>
    </w:p>
    <w:p w14:paraId="3D52F263" w14:textId="698B7D44" w:rsidR="00D00F10" w:rsidRDefault="00D00F10" w:rsidP="00D00F10">
      <w:pPr>
        <w:rPr>
          <w:lang w:val="en-GB" w:eastAsia="en-AU"/>
        </w:rPr>
      </w:pPr>
      <w:r>
        <w:rPr>
          <w:lang w:val="en-GB" w:eastAsia="en-AU"/>
        </w:rPr>
        <w:t>I</w:t>
      </w:r>
      <w:r w:rsidRPr="00ED09D1">
        <w:rPr>
          <w:lang w:val="en-GB" w:eastAsia="en-AU"/>
        </w:rPr>
        <w:t>nternal software development expenditure incurred by a person or their associate</w:t>
      </w:r>
      <w:r>
        <w:rPr>
          <w:lang w:val="en-GB" w:eastAsia="en-AU"/>
        </w:rPr>
        <w:t>s</w:t>
      </w:r>
      <w:r w:rsidRPr="00ED09D1">
        <w:rPr>
          <w:lang w:val="en-GB" w:eastAsia="en-AU"/>
        </w:rPr>
        <w:t xml:space="preserve"> is ineligible to the extent it exceeds $3 million. See </w:t>
      </w:r>
      <w:r w:rsidR="00B45635">
        <w:rPr>
          <w:lang w:val="en-GB" w:eastAsia="en-AU"/>
        </w:rPr>
        <w:t xml:space="preserve">the section on </w:t>
      </w:r>
      <w:r w:rsidR="00B45635" w:rsidRPr="00B45635">
        <w:rPr>
          <w:rStyle w:val="Emphasis"/>
          <w:lang w:val="en-GB" w:eastAsia="en-AU"/>
        </w:rPr>
        <w:t>Internal software development</w:t>
      </w:r>
      <w:r w:rsidR="00B45635">
        <w:rPr>
          <w:lang w:val="en-GB" w:eastAsia="en-AU"/>
        </w:rPr>
        <w:t xml:space="preserve"> (</w:t>
      </w:r>
      <w:r w:rsidRPr="002B4A33">
        <w:rPr>
          <w:lang w:val="en-GB" w:eastAsia="en-AU"/>
        </w:rPr>
        <w:t xml:space="preserve">page </w:t>
      </w:r>
      <w:r w:rsidR="00B45635">
        <w:rPr>
          <w:lang w:val="en-GB" w:eastAsia="en-AU"/>
        </w:rPr>
        <w:t>27)</w:t>
      </w:r>
      <w:r w:rsidRPr="00ED09D1">
        <w:rPr>
          <w:lang w:val="en-GB" w:eastAsia="en-AU"/>
        </w:rPr>
        <w:t xml:space="preserve"> for more information.</w:t>
      </w:r>
    </w:p>
    <w:p w14:paraId="32299995" w14:textId="77777777" w:rsidR="00D00F10" w:rsidRPr="00FB427E" w:rsidRDefault="00D00F10" w:rsidP="00D00F10">
      <w:pPr>
        <w:rPr>
          <w:lang w:val="en-GB" w:eastAsia="en-AU"/>
        </w:rPr>
      </w:pPr>
    </w:p>
    <w:p w14:paraId="00F5A5E6" w14:textId="77777777" w:rsidR="00D00F10" w:rsidRPr="00130921" w:rsidRDefault="00D00F10" w:rsidP="00D00F10">
      <w:pPr>
        <w:pStyle w:val="Heading4"/>
      </w:pPr>
      <w:r w:rsidRPr="00130921">
        <w:t>Above market value goods or services (</w:t>
      </w:r>
      <w:r w:rsidRPr="00DA749C">
        <w:t>schedule 21B, part B,</w:t>
      </w:r>
      <w:r>
        <w:t xml:space="preserve"> clause</w:t>
      </w:r>
      <w:r w:rsidRPr="00130921">
        <w:t xml:space="preserve"> 18)</w:t>
      </w:r>
    </w:p>
    <w:p w14:paraId="6AEA27F1" w14:textId="77777777" w:rsidR="00D00F10" w:rsidRDefault="00D00F10" w:rsidP="00D00F10"/>
    <w:p w14:paraId="340B3C04" w14:textId="77777777" w:rsidR="00D00F10" w:rsidRDefault="00D00F10" w:rsidP="00D00F10">
      <w:r>
        <w:t>Expenditure on goods or services is ineligible to the extent it exceeds market value. This provision is intended to apply broadly, so applies to transactions with associates and third parties. This exclusion targets arrangements where a person deliberately attempts to increase their eligible expenditure by paying above market value for a good or service.</w:t>
      </w:r>
    </w:p>
    <w:p w14:paraId="2E0A473C" w14:textId="77777777" w:rsidR="00D00F10" w:rsidRDefault="00D00F10" w:rsidP="00D00F10"/>
    <w:p w14:paraId="5B5BA435" w14:textId="77777777" w:rsidR="00D00F10" w:rsidRDefault="00D00F10" w:rsidP="00D00F10">
      <w:pPr>
        <w:pStyle w:val="Heading4"/>
      </w:pPr>
      <w:r w:rsidRPr="003C1D0F">
        <w:t>Gifts (</w:t>
      </w:r>
      <w:r w:rsidRPr="00DA749C">
        <w:t>schedule 21B, part B,</w:t>
      </w:r>
      <w:r>
        <w:t xml:space="preserve"> clause</w:t>
      </w:r>
      <w:r w:rsidRPr="003C1D0F">
        <w:t xml:space="preserve"> 19)</w:t>
      </w:r>
    </w:p>
    <w:p w14:paraId="65B7762B" w14:textId="77777777" w:rsidR="00D00F10" w:rsidRDefault="00D00F10" w:rsidP="00D00F10"/>
    <w:p w14:paraId="4A3D458F" w14:textId="77777777" w:rsidR="00D00F10" w:rsidRDefault="00D00F10" w:rsidP="00D00F10">
      <w:r>
        <w:t xml:space="preserve">Expenditure or loss on </w:t>
      </w:r>
      <w:r w:rsidRPr="003C1D0F">
        <w:t xml:space="preserve">gifts </w:t>
      </w:r>
      <w:r>
        <w:t>is ineligible</w:t>
      </w:r>
      <w:r w:rsidRPr="003C1D0F">
        <w:t>.</w:t>
      </w:r>
      <w:r>
        <w:t xml:space="preserve"> Only amounts incurred directly on R&amp;D activities are eligible expenditure. Gifts are ineligible because they are discretionary.</w:t>
      </w:r>
    </w:p>
    <w:p w14:paraId="2BA2550B" w14:textId="77777777" w:rsidR="00D00F10" w:rsidRDefault="00D00F10" w:rsidP="00D00F10"/>
    <w:p w14:paraId="0DA55586" w14:textId="77777777" w:rsidR="00D00F10" w:rsidRPr="00477A46" w:rsidRDefault="00D00F10" w:rsidP="00D00F10">
      <w:pPr>
        <w:pStyle w:val="Heading4"/>
      </w:pPr>
      <w:r w:rsidRPr="00477A46">
        <w:t>Ineligible technology expenditure (</w:t>
      </w:r>
      <w:r w:rsidRPr="00DA749C">
        <w:t>schedule 21B, part B,</w:t>
      </w:r>
      <w:r>
        <w:t xml:space="preserve"> clause</w:t>
      </w:r>
      <w:r w:rsidRPr="00477A46">
        <w:t xml:space="preserve"> 20)</w:t>
      </w:r>
    </w:p>
    <w:p w14:paraId="1ACEB6F2" w14:textId="77777777" w:rsidR="00D00F10" w:rsidRDefault="00D00F10" w:rsidP="00D00F10"/>
    <w:p w14:paraId="074D1D69" w14:textId="77777777" w:rsidR="00D00F10" w:rsidRDefault="00D00F10" w:rsidP="00D00F10">
      <w:r>
        <w:t>E</w:t>
      </w:r>
      <w:r w:rsidRPr="00297B2E">
        <w:t xml:space="preserve">xpenditure or loss </w:t>
      </w:r>
      <w:r>
        <w:t xml:space="preserve">on </w:t>
      </w:r>
      <w:r w:rsidRPr="00297B2E">
        <w:t xml:space="preserve">technology expenditure </w:t>
      </w:r>
      <w:r>
        <w:t xml:space="preserve">that </w:t>
      </w:r>
      <w:r w:rsidRPr="00297B2E">
        <w:t>is defined in section YA 1</w:t>
      </w:r>
      <w:r>
        <w:t xml:space="preserve"> as “ineligible technology expenditure” is ineligible. </w:t>
      </w:r>
      <w:r w:rsidRPr="00297B2E">
        <w:t>The exclusion targets the cost of acquiring technology that is used as a basis for further R&amp;D.</w:t>
      </w:r>
      <w:r>
        <w:t xml:space="preserve"> The Government does not want to give R&amp;D tax credits to a person for the results of R&amp;D that the person has not created. Otherwise, there is a risk the Government may give the credit twice for the same R&amp;D.</w:t>
      </w:r>
    </w:p>
    <w:p w14:paraId="346E012A" w14:textId="77777777" w:rsidR="00D00F10" w:rsidRDefault="00D00F10" w:rsidP="00D00F10"/>
    <w:p w14:paraId="39E03AA2" w14:textId="77777777" w:rsidR="00453540" w:rsidRPr="00453540" w:rsidRDefault="00453540" w:rsidP="00453540">
      <w:r w:rsidRPr="00453540">
        <w:br w:type="page"/>
      </w:r>
    </w:p>
    <w:p w14:paraId="7B2F6EB0" w14:textId="7651C42F" w:rsidR="00D00F10" w:rsidRPr="002D6E8A" w:rsidRDefault="00D00F10" w:rsidP="00D00F10">
      <w:pPr>
        <w:pStyle w:val="Heading4"/>
      </w:pPr>
      <w:r w:rsidRPr="002D6E8A">
        <w:t>Expenditure to commercialise the results of an R&amp;D activity (</w:t>
      </w:r>
      <w:r w:rsidRPr="00DA749C">
        <w:t>schedule 21B, part B,</w:t>
      </w:r>
      <w:r>
        <w:t xml:space="preserve"> clause</w:t>
      </w:r>
      <w:r w:rsidRPr="002D6E8A">
        <w:t xml:space="preserve"> 21)</w:t>
      </w:r>
    </w:p>
    <w:p w14:paraId="65B64C3F" w14:textId="77777777" w:rsidR="00D00F10" w:rsidRDefault="00D00F10" w:rsidP="00D00F10"/>
    <w:p w14:paraId="1D9805E6" w14:textId="1073F0C9" w:rsidR="00D00F10" w:rsidRDefault="00D00F10" w:rsidP="00D00F10">
      <w:r w:rsidRPr="00FB209F">
        <w:t xml:space="preserve">Expenditure or loss for plant, machinery, or materials to commercialise the results of an R&amp;D activity is </w:t>
      </w:r>
      <w:r>
        <w:t>in</w:t>
      </w:r>
      <w:r w:rsidRPr="00FB209F">
        <w:t>eligible</w:t>
      </w:r>
      <w:r>
        <w:t>. C</w:t>
      </w:r>
      <w:r w:rsidRPr="00FB209F">
        <w:t>ommercialisation of R&amp;D generally happens after scientific or technological uncertainty has been resolved.</w:t>
      </w:r>
      <w:r>
        <w:t xml:space="preserve"> </w:t>
      </w:r>
      <w:r w:rsidRPr="00FB209F">
        <w:t xml:space="preserve">Expenditure incurred to resolve scientific or technological uncertainty </w:t>
      </w:r>
      <w:r>
        <w:t xml:space="preserve">that arises </w:t>
      </w:r>
      <w:r w:rsidRPr="00FB209F">
        <w:t>during the commercialisation stage of R&amp;D may</w:t>
      </w:r>
      <w:r>
        <w:t>, however,</w:t>
      </w:r>
      <w:r w:rsidRPr="00FB209F">
        <w:t xml:space="preserve"> be eligible</w:t>
      </w:r>
      <w:r>
        <w:t xml:space="preserve"> for the credit.</w:t>
      </w:r>
    </w:p>
    <w:p w14:paraId="6C270971" w14:textId="77777777" w:rsidR="00D00F10" w:rsidRPr="00433706" w:rsidRDefault="00D00F10" w:rsidP="00D00F10"/>
    <w:p w14:paraId="30A2196E" w14:textId="358FE088" w:rsidR="00D00F10" w:rsidRPr="00433706" w:rsidRDefault="00D00F10" w:rsidP="00D00F10">
      <w:pPr>
        <w:pStyle w:val="Heading4"/>
      </w:pPr>
      <w:r w:rsidRPr="008E6674">
        <w:t xml:space="preserve">Expenditure that relates to a </w:t>
      </w:r>
      <w:r w:rsidR="00115AAD">
        <w:t>g</w:t>
      </w:r>
      <w:r w:rsidRPr="008E6674">
        <w:t>overnment or local authority grant</w:t>
      </w:r>
      <w:r w:rsidRPr="008E6674" w:rsidDel="001B79A9">
        <w:t xml:space="preserve"> </w:t>
      </w:r>
      <w:r w:rsidRPr="000B6229">
        <w:t xml:space="preserve">(schedule 21B, part B, </w:t>
      </w:r>
      <w:r w:rsidRPr="0033260F">
        <w:t>clause 22)</w:t>
      </w:r>
    </w:p>
    <w:p w14:paraId="55B661A8" w14:textId="77777777" w:rsidR="00D00F10" w:rsidRDefault="00D00F10" w:rsidP="00D00F10"/>
    <w:p w14:paraId="50CD5BEC" w14:textId="4189D696" w:rsidR="00D00F10" w:rsidRPr="009063D9" w:rsidRDefault="00D00F10" w:rsidP="00D00F10">
      <w:r>
        <w:t>Expendi</w:t>
      </w:r>
      <w:r w:rsidR="00115AAD">
        <w:t>ture or loss that relates to a g</w:t>
      </w:r>
      <w:r>
        <w:t>overnment or local authority grant is ineligi</w:t>
      </w:r>
      <w:r w:rsidR="00115AAD">
        <w:t>ble. A local authority or g</w:t>
      </w:r>
      <w:r>
        <w:t xml:space="preserve">overnment grant amount received by a person that is then spent by the person on eligible R&amp;D activities is ineligible expenditure. </w:t>
      </w:r>
      <w:r w:rsidRPr="009063D9">
        <w:t>Expenditure is also ineligible when it is from funds required as a condition of a grant (known as required co-funding).</w:t>
      </w:r>
      <w:r>
        <w:t xml:space="preserve"> Such expenditure is ineligible because the expenditure has either already been subsidised by the Government or relates to an activity that the Government has already subsidised.</w:t>
      </w:r>
    </w:p>
    <w:p w14:paraId="714C4A2B" w14:textId="77777777" w:rsidR="00D00F10" w:rsidRDefault="00D00F10" w:rsidP="00D00F10"/>
    <w:p w14:paraId="16C640DF" w14:textId="167EA57C" w:rsidR="00D00F10" w:rsidRDefault="00D00F10" w:rsidP="00D00F10">
      <w:pPr>
        <w:pStyle w:val="Exampleheading1"/>
      </w:pPr>
      <w:r w:rsidRPr="008C4B03">
        <w:t>Example</w:t>
      </w:r>
      <w:r w:rsidR="00DF2F85">
        <w:t xml:space="preserve"> 10</w:t>
      </w:r>
      <w:r w:rsidRPr="008C4B03">
        <w:t xml:space="preserve">: </w:t>
      </w:r>
      <w:r w:rsidR="00DF2F85">
        <w:t>E</w:t>
      </w:r>
      <w:r w:rsidRPr="008C4B03">
        <w:t>xpenditure funded by a</w:t>
      </w:r>
      <w:r>
        <w:t xml:space="preserve">nd required by </w:t>
      </w:r>
      <w:r w:rsidR="00115AAD">
        <w:t>g</w:t>
      </w:r>
      <w:r>
        <w:t>overnment grant</w:t>
      </w:r>
    </w:p>
    <w:p w14:paraId="4EB3580B" w14:textId="77777777" w:rsidR="00D00F10" w:rsidRPr="008C4B03" w:rsidRDefault="00D00F10" w:rsidP="00D00F10">
      <w:pPr>
        <w:pStyle w:val="Exampletext"/>
      </w:pPr>
    </w:p>
    <w:p w14:paraId="51457E34" w14:textId="77777777" w:rsidR="00D00F10" w:rsidRPr="008C4B03" w:rsidRDefault="00D00F10" w:rsidP="00D00F10">
      <w:pPr>
        <w:pStyle w:val="Exampletext"/>
      </w:pPr>
      <w:r w:rsidRPr="008C4B03">
        <w:t>Watts Ltd receives an R&amp;D grant of $500,000 from the Government to subsidise its R&amp;D salary costs. As a condition of the grant, Watts Ltd is required to contribute $500,000 of its own funds towards the project.</w:t>
      </w:r>
    </w:p>
    <w:p w14:paraId="7207736B" w14:textId="77777777" w:rsidR="00D00F10" w:rsidRPr="008C4B03" w:rsidRDefault="00D00F10" w:rsidP="00D00F10">
      <w:pPr>
        <w:pStyle w:val="Exampletext"/>
      </w:pPr>
    </w:p>
    <w:p w14:paraId="22E3CA9B" w14:textId="77777777" w:rsidR="00D00F10" w:rsidRPr="008C4B03" w:rsidRDefault="00D00F10" w:rsidP="00D00F10">
      <w:pPr>
        <w:pStyle w:val="Exampletext"/>
      </w:pPr>
      <w:r w:rsidRPr="008C4B03">
        <w:t>Watts Ltd uses the $1 million to fund its R&amp;D activities. This includes paying for R&amp;D salaries and constructing prototypes used solely in R&amp;D activities. While this expenditure would normally be eligible, it is ineligible expenditure because the grant exclusion in proposed new schedule 21B, part B, clause 22.</w:t>
      </w:r>
    </w:p>
    <w:p w14:paraId="17E06405" w14:textId="77777777" w:rsidR="00D00F10" w:rsidRDefault="00D00F10" w:rsidP="00D00F10"/>
    <w:p w14:paraId="1669C0C7" w14:textId="77777777" w:rsidR="00D00F10" w:rsidRPr="009063D9" w:rsidRDefault="00D00F10" w:rsidP="00D00F10">
      <w:pPr>
        <w:rPr>
          <w:i/>
        </w:rPr>
      </w:pPr>
    </w:p>
    <w:p w14:paraId="7215452B" w14:textId="77777777" w:rsidR="00D00F10" w:rsidRPr="009063D9" w:rsidRDefault="00D00F10" w:rsidP="00D00F10">
      <w:pPr>
        <w:pStyle w:val="Heading4"/>
      </w:pPr>
      <w:r>
        <w:t>Feedstock rule</w:t>
      </w:r>
      <w:r w:rsidRPr="009063D9">
        <w:t xml:space="preserve"> (</w:t>
      </w:r>
      <w:r w:rsidRPr="00B75E5F">
        <w:t>schedule 21B, part B,</w:t>
      </w:r>
      <w:r>
        <w:t xml:space="preserve"> clause</w:t>
      </w:r>
      <w:r w:rsidRPr="009063D9">
        <w:t xml:space="preserve"> 23)</w:t>
      </w:r>
    </w:p>
    <w:p w14:paraId="350B6946" w14:textId="77777777" w:rsidR="00D00F10" w:rsidRDefault="00D00F10" w:rsidP="00D00F10"/>
    <w:p w14:paraId="11D2766D" w14:textId="77777777" w:rsidR="00D00F10" w:rsidRDefault="00D00F10" w:rsidP="00D00F10">
      <w:pPr>
        <w:rPr>
          <w:rFonts w:cs="Times New Roman"/>
          <w:szCs w:val="24"/>
        </w:rPr>
      </w:pPr>
      <w:r>
        <w:rPr>
          <w:rFonts w:cs="Times New Roman"/>
          <w:szCs w:val="24"/>
        </w:rPr>
        <w:t>The feedstock rule applies to inputs that are used in, processed, or transformed as part of a person’s R&amp;D activities, where the activities result in goods acquired or produced by the person. The rule provides that expenditure on inputs is ineligible to the extent the person’s inputs are less than the market value of the person’s outputs from their R&amp;D activities. Inputs includes expenditure on energy, such as electricity and gas.</w:t>
      </w:r>
    </w:p>
    <w:p w14:paraId="5215FED3" w14:textId="77777777" w:rsidR="00D00F10" w:rsidRDefault="00D00F10" w:rsidP="00D00F10">
      <w:pPr>
        <w:rPr>
          <w:rFonts w:cs="Times New Roman"/>
          <w:szCs w:val="24"/>
        </w:rPr>
      </w:pPr>
    </w:p>
    <w:p w14:paraId="30DDCC94" w14:textId="77777777" w:rsidR="00D00F10" w:rsidRDefault="00D00F10" w:rsidP="00D00F10">
      <w:pPr>
        <w:rPr>
          <w:rFonts w:cs="Times New Roman"/>
          <w:szCs w:val="24"/>
        </w:rPr>
      </w:pPr>
      <w:r>
        <w:rPr>
          <w:rFonts w:cs="Times New Roman"/>
          <w:szCs w:val="24"/>
        </w:rPr>
        <w:t>O</w:t>
      </w:r>
      <w:r w:rsidRPr="00DF1739">
        <w:rPr>
          <w:rFonts w:cs="Times New Roman"/>
          <w:szCs w:val="24"/>
        </w:rPr>
        <w:t>nly the net cost of inputs used in R&amp;D activit</w:t>
      </w:r>
      <w:r>
        <w:rPr>
          <w:rFonts w:cs="Times New Roman"/>
          <w:szCs w:val="24"/>
        </w:rPr>
        <w:t>ies</w:t>
      </w:r>
      <w:r w:rsidRPr="00DF1739">
        <w:rPr>
          <w:rFonts w:cs="Times New Roman"/>
          <w:szCs w:val="24"/>
        </w:rPr>
        <w:t xml:space="preserve"> are eligible</w:t>
      </w:r>
      <w:r>
        <w:rPr>
          <w:rFonts w:cs="Times New Roman"/>
          <w:szCs w:val="24"/>
        </w:rPr>
        <w:t>.</w:t>
      </w:r>
      <w:r w:rsidRPr="00DF1739">
        <w:rPr>
          <w:rFonts w:cs="Times New Roman"/>
          <w:szCs w:val="24"/>
        </w:rPr>
        <w:t xml:space="preserve"> </w:t>
      </w:r>
      <w:r>
        <w:rPr>
          <w:rFonts w:cs="Times New Roman"/>
          <w:szCs w:val="24"/>
        </w:rPr>
        <w:t>T</w:t>
      </w:r>
      <w:r w:rsidRPr="00DF1739">
        <w:rPr>
          <w:rFonts w:cs="Times New Roman"/>
          <w:szCs w:val="24"/>
        </w:rPr>
        <w:t xml:space="preserve">hat is, the excess of the cost of </w:t>
      </w:r>
      <w:r>
        <w:rPr>
          <w:rFonts w:cs="Times New Roman"/>
          <w:szCs w:val="24"/>
        </w:rPr>
        <w:t>a person’s</w:t>
      </w:r>
      <w:r w:rsidRPr="00DF1739">
        <w:rPr>
          <w:rFonts w:cs="Times New Roman"/>
          <w:szCs w:val="24"/>
        </w:rPr>
        <w:t xml:space="preserve"> inputs over the market value of the</w:t>
      </w:r>
      <w:r>
        <w:rPr>
          <w:rFonts w:cs="Times New Roman"/>
          <w:szCs w:val="24"/>
        </w:rPr>
        <w:t>ir</w:t>
      </w:r>
      <w:r w:rsidRPr="00DF1739">
        <w:rPr>
          <w:rFonts w:cs="Times New Roman"/>
          <w:szCs w:val="24"/>
        </w:rPr>
        <w:t xml:space="preserve"> output</w:t>
      </w:r>
      <w:r>
        <w:rPr>
          <w:rFonts w:cs="Times New Roman"/>
          <w:szCs w:val="24"/>
        </w:rPr>
        <w:t>s</w:t>
      </w:r>
      <w:r w:rsidRPr="00DF1739">
        <w:rPr>
          <w:rFonts w:cs="Times New Roman"/>
          <w:szCs w:val="24"/>
        </w:rPr>
        <w:t>.</w:t>
      </w:r>
    </w:p>
    <w:p w14:paraId="47FE2122" w14:textId="77777777" w:rsidR="00D00F10" w:rsidRDefault="00D00F10" w:rsidP="00D00F10">
      <w:pPr>
        <w:spacing w:after="200" w:line="276" w:lineRule="auto"/>
        <w:jc w:val="left"/>
      </w:pPr>
      <w:r>
        <w:br w:type="page"/>
      </w:r>
    </w:p>
    <w:p w14:paraId="7B49E73F" w14:textId="77777777" w:rsidR="00D00F10" w:rsidRDefault="00D00F10" w:rsidP="00D00F10">
      <w:r>
        <w:rPr>
          <w:noProof/>
          <w:lang w:eastAsia="en-NZ"/>
        </w:rPr>
        <mc:AlternateContent>
          <mc:Choice Requires="wps">
            <w:drawing>
              <wp:anchor distT="0" distB="0" distL="114300" distR="114300" simplePos="0" relativeHeight="251667456" behindDoc="1" locked="0" layoutInCell="1" allowOverlap="1" wp14:anchorId="7355DB5B" wp14:editId="2EFDD9F0">
                <wp:simplePos x="0" y="0"/>
                <wp:positionH relativeFrom="column">
                  <wp:posOffset>-131445</wp:posOffset>
                </wp:positionH>
                <wp:positionV relativeFrom="paragraph">
                  <wp:posOffset>10160</wp:posOffset>
                </wp:positionV>
                <wp:extent cx="5524500" cy="3352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524500"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03799F" w14:textId="77777777" w:rsidR="00016F1F" w:rsidRDefault="00016F1F" w:rsidP="00D00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35pt;margin-top:.8pt;width:435pt;height:264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" fillcolor="white [3201]" strokeweight=".5pt">
                <v:textbox>
                  <w:txbxContent>
                    <w:p w14:paraId="7D03799F" w14:textId="77777777" w:rsidR="00016F1F" w:rsidRDefault="00016F1F" w:rsidP="00D00F10"/>
                  </w:txbxContent>
                </v:textbox>
              </v:shape>
            </w:pict>
          </mc:Fallback>
        </mc:AlternateContent>
      </w:r>
    </w:p>
    <w:p w14:paraId="5D394A2E" w14:textId="55429257" w:rsidR="00D00F10" w:rsidRPr="008C4B03" w:rsidRDefault="00D00F10" w:rsidP="00D00F10">
      <w:pPr>
        <w:pStyle w:val="Exampleheading1"/>
        <w:pBdr>
          <w:top w:val="none" w:sz="0" w:space="0" w:color="auto"/>
          <w:left w:val="none" w:sz="0" w:space="0" w:color="auto"/>
          <w:bottom w:val="none" w:sz="0" w:space="0" w:color="auto"/>
          <w:right w:val="none" w:sz="0" w:space="0" w:color="auto"/>
        </w:pBdr>
      </w:pPr>
      <w:r w:rsidRPr="008C4B03">
        <w:t>Example</w:t>
      </w:r>
      <w:r w:rsidR="00DF2F85">
        <w:t xml:space="preserve"> 11</w:t>
      </w:r>
      <w:r w:rsidRPr="008C4B03">
        <w:t xml:space="preserve">: </w:t>
      </w:r>
      <w:r w:rsidR="00DF2F85">
        <w:t>F</w:t>
      </w:r>
      <w:r w:rsidRPr="008C4B03">
        <w:t>eedstock rule</w:t>
      </w:r>
    </w:p>
    <w:p w14:paraId="79DFAEEF" w14:textId="77777777" w:rsidR="00D00F10" w:rsidRDefault="00D00F10" w:rsidP="00D00F10">
      <w:pPr>
        <w:pStyle w:val="Exampletext"/>
        <w:pBdr>
          <w:top w:val="none" w:sz="0" w:space="0" w:color="auto"/>
          <w:left w:val="none" w:sz="0" w:space="0" w:color="auto"/>
          <w:bottom w:val="none" w:sz="0" w:space="0" w:color="auto"/>
          <w:right w:val="none" w:sz="0" w:space="0" w:color="auto"/>
        </w:pBdr>
      </w:pPr>
    </w:p>
    <w:p w14:paraId="1546FA11" w14:textId="77777777" w:rsidR="00D00F10" w:rsidRDefault="00D00F10" w:rsidP="00D00F10">
      <w:pPr>
        <w:pStyle w:val="Exampletext"/>
        <w:pBdr>
          <w:top w:val="none" w:sz="0" w:space="0" w:color="auto"/>
          <w:left w:val="none" w:sz="0" w:space="0" w:color="auto"/>
          <w:bottom w:val="none" w:sz="0" w:space="0" w:color="auto"/>
          <w:right w:val="none" w:sz="0" w:space="0" w:color="auto"/>
        </w:pBdr>
      </w:pPr>
      <w:r w:rsidRPr="008C4B03">
        <w:t xml:space="preserve">Mike’s Mountain Bikes Ltd is developing a new coating for bike frames which will be more durable than paint. The company </w:t>
      </w:r>
      <w:r>
        <w:t xml:space="preserve">has painted some frames to test the coating, and </w:t>
      </w:r>
      <w:r w:rsidRPr="008C4B03">
        <w:t>incurs the following costs:</w:t>
      </w:r>
    </w:p>
    <w:p w14:paraId="5EF41F96" w14:textId="77777777" w:rsidR="00D00F10" w:rsidRPr="008C4B03" w:rsidRDefault="00D00F10" w:rsidP="00D00F10">
      <w:pPr>
        <w:pStyle w:val="Exampletext"/>
        <w:pBdr>
          <w:top w:val="none" w:sz="0" w:space="0" w:color="auto"/>
          <w:left w:val="none" w:sz="0" w:space="0" w:color="auto"/>
          <w:bottom w:val="none" w:sz="0" w:space="0" w:color="auto"/>
          <w:right w:val="none" w:sz="0" w:space="0" w:color="auto"/>
        </w:pBdr>
      </w:pPr>
    </w:p>
    <w:tbl>
      <w:tblPr>
        <w:tblStyle w:val="TableGrid"/>
        <w:tblW w:w="0" w:type="auto"/>
        <w:jc w:val="center"/>
        <w:tblLook w:val="04A0" w:firstRow="1" w:lastRow="0" w:firstColumn="1" w:lastColumn="0" w:noHBand="0" w:noVBand="1"/>
      </w:tblPr>
      <w:tblGrid>
        <w:gridCol w:w="5353"/>
        <w:gridCol w:w="1003"/>
      </w:tblGrid>
      <w:tr w:rsidR="00D00F10" w:rsidRPr="00457302" w14:paraId="24D35194" w14:textId="77777777" w:rsidTr="00E31F02">
        <w:trPr>
          <w:jc w:val="center"/>
        </w:trPr>
        <w:tc>
          <w:tcPr>
            <w:tcW w:w="5353" w:type="dxa"/>
            <w:shd w:val="clear" w:color="auto" w:fill="auto"/>
          </w:tcPr>
          <w:p w14:paraId="566CAD49" w14:textId="77777777" w:rsidR="00D00F10" w:rsidRPr="00E31F02" w:rsidRDefault="00D00F10" w:rsidP="00E31F02">
            <w:pPr>
              <w:spacing w:before="40" w:after="40"/>
              <w:jc w:val="left"/>
              <w:rPr>
                <w:rFonts w:cs="Times New Roman"/>
                <w:b/>
                <w:sz w:val="20"/>
                <w:szCs w:val="20"/>
              </w:rPr>
            </w:pPr>
            <w:r w:rsidRPr="00E31F02">
              <w:rPr>
                <w:rFonts w:cs="Times New Roman"/>
                <w:b/>
                <w:sz w:val="20"/>
                <w:szCs w:val="20"/>
              </w:rPr>
              <w:t>Expenditure on inputs</w:t>
            </w:r>
          </w:p>
        </w:tc>
        <w:tc>
          <w:tcPr>
            <w:tcW w:w="1003" w:type="dxa"/>
            <w:shd w:val="clear" w:color="auto" w:fill="auto"/>
          </w:tcPr>
          <w:p w14:paraId="2240A3A9" w14:textId="77777777" w:rsidR="00D00F10" w:rsidRPr="00E31F02" w:rsidRDefault="00D00F10" w:rsidP="00E31F02">
            <w:pPr>
              <w:spacing w:before="40" w:after="40"/>
              <w:jc w:val="left"/>
              <w:rPr>
                <w:rFonts w:cs="Times New Roman"/>
                <w:b/>
                <w:sz w:val="20"/>
                <w:szCs w:val="20"/>
              </w:rPr>
            </w:pPr>
            <w:r w:rsidRPr="00E31F02">
              <w:rPr>
                <w:rFonts w:cs="Times New Roman"/>
                <w:b/>
                <w:sz w:val="20"/>
                <w:szCs w:val="20"/>
              </w:rPr>
              <w:t>Amount</w:t>
            </w:r>
          </w:p>
        </w:tc>
      </w:tr>
      <w:tr w:rsidR="00D00F10" w:rsidRPr="00457302" w14:paraId="6CD70E48" w14:textId="77777777" w:rsidTr="007F004A">
        <w:trPr>
          <w:jc w:val="center"/>
        </w:trPr>
        <w:tc>
          <w:tcPr>
            <w:tcW w:w="5353" w:type="dxa"/>
          </w:tcPr>
          <w:p w14:paraId="59ED63AB" w14:textId="77777777" w:rsidR="00D00F10" w:rsidRPr="008C4B03" w:rsidRDefault="00D00F10" w:rsidP="00E31F02">
            <w:pPr>
              <w:spacing w:before="40" w:after="40" w:line="276" w:lineRule="auto"/>
              <w:jc w:val="left"/>
              <w:rPr>
                <w:rFonts w:cs="Times New Roman"/>
                <w:sz w:val="20"/>
                <w:szCs w:val="20"/>
              </w:rPr>
            </w:pPr>
            <w:r w:rsidRPr="008C4B03">
              <w:rPr>
                <w:rFonts w:cs="Times New Roman"/>
                <w:sz w:val="20"/>
                <w:szCs w:val="20"/>
              </w:rPr>
              <w:t>Cost of inputs (value of steel frames and coating)</w:t>
            </w:r>
          </w:p>
        </w:tc>
        <w:tc>
          <w:tcPr>
            <w:tcW w:w="1003" w:type="dxa"/>
          </w:tcPr>
          <w:p w14:paraId="03158D36" w14:textId="77777777" w:rsidR="00D00F10" w:rsidRPr="008C4B03" w:rsidRDefault="00D00F10" w:rsidP="00E31F02">
            <w:pPr>
              <w:spacing w:before="40" w:after="40" w:line="276" w:lineRule="auto"/>
              <w:jc w:val="right"/>
              <w:rPr>
                <w:rFonts w:cs="Times New Roman"/>
                <w:sz w:val="20"/>
                <w:szCs w:val="20"/>
              </w:rPr>
            </w:pPr>
            <w:r w:rsidRPr="008C4B03">
              <w:rPr>
                <w:rFonts w:cs="Times New Roman"/>
                <w:sz w:val="20"/>
                <w:szCs w:val="20"/>
              </w:rPr>
              <w:t>$2,000</w:t>
            </w:r>
          </w:p>
        </w:tc>
      </w:tr>
      <w:tr w:rsidR="00D00F10" w:rsidRPr="00457302" w14:paraId="35554413" w14:textId="77777777" w:rsidTr="007F004A">
        <w:trPr>
          <w:jc w:val="center"/>
        </w:trPr>
        <w:tc>
          <w:tcPr>
            <w:tcW w:w="5353" w:type="dxa"/>
          </w:tcPr>
          <w:p w14:paraId="114BCCCF" w14:textId="77777777" w:rsidR="00D00F10" w:rsidRPr="008C4B03" w:rsidRDefault="00D00F10" w:rsidP="00E31F02">
            <w:pPr>
              <w:spacing w:before="40" w:after="40" w:line="276" w:lineRule="auto"/>
              <w:jc w:val="left"/>
              <w:rPr>
                <w:rFonts w:cs="Times New Roman"/>
                <w:sz w:val="20"/>
                <w:szCs w:val="20"/>
              </w:rPr>
            </w:pPr>
            <w:r w:rsidRPr="008C4B03">
              <w:rPr>
                <w:rFonts w:cs="Times New Roman"/>
                <w:sz w:val="20"/>
                <w:szCs w:val="20"/>
              </w:rPr>
              <w:t>Electricity used in the process</w:t>
            </w:r>
          </w:p>
        </w:tc>
        <w:tc>
          <w:tcPr>
            <w:tcW w:w="1003" w:type="dxa"/>
          </w:tcPr>
          <w:p w14:paraId="23FCD3C7" w14:textId="77777777" w:rsidR="00D00F10" w:rsidRPr="008C4B03" w:rsidRDefault="00D00F10" w:rsidP="00E31F02">
            <w:pPr>
              <w:spacing w:before="40" w:after="40" w:line="276" w:lineRule="auto"/>
              <w:jc w:val="right"/>
              <w:rPr>
                <w:rFonts w:cs="Times New Roman"/>
                <w:sz w:val="20"/>
                <w:szCs w:val="20"/>
              </w:rPr>
            </w:pPr>
            <w:r w:rsidRPr="008C4B03">
              <w:rPr>
                <w:rFonts w:cs="Times New Roman"/>
                <w:sz w:val="20"/>
                <w:szCs w:val="20"/>
              </w:rPr>
              <w:t>$500</w:t>
            </w:r>
          </w:p>
        </w:tc>
      </w:tr>
      <w:tr w:rsidR="00D00F10" w:rsidRPr="00457302" w14:paraId="0FE57283" w14:textId="77777777" w:rsidTr="007F004A">
        <w:trPr>
          <w:jc w:val="center"/>
        </w:trPr>
        <w:tc>
          <w:tcPr>
            <w:tcW w:w="5353" w:type="dxa"/>
          </w:tcPr>
          <w:p w14:paraId="23214B05" w14:textId="77777777" w:rsidR="00D00F10" w:rsidRPr="008C4B03" w:rsidRDefault="00D00F10" w:rsidP="00E31F02">
            <w:pPr>
              <w:spacing w:before="40" w:after="40"/>
              <w:jc w:val="left"/>
              <w:rPr>
                <w:rFonts w:cs="Times New Roman"/>
                <w:b/>
                <w:sz w:val="20"/>
                <w:szCs w:val="20"/>
              </w:rPr>
            </w:pPr>
            <w:r w:rsidRPr="008C4B03">
              <w:rPr>
                <w:rFonts w:cs="Times New Roman"/>
                <w:b/>
                <w:sz w:val="20"/>
                <w:szCs w:val="20"/>
              </w:rPr>
              <w:t>Total cost of inputs</w:t>
            </w:r>
          </w:p>
        </w:tc>
        <w:tc>
          <w:tcPr>
            <w:tcW w:w="1003" w:type="dxa"/>
          </w:tcPr>
          <w:p w14:paraId="4F47C88C" w14:textId="77777777" w:rsidR="00D00F10" w:rsidRPr="008C4B03" w:rsidRDefault="00D00F10" w:rsidP="00E31F02">
            <w:pPr>
              <w:spacing w:before="40" w:after="40"/>
              <w:jc w:val="right"/>
              <w:rPr>
                <w:rFonts w:cs="Times New Roman"/>
                <w:b/>
                <w:sz w:val="20"/>
                <w:szCs w:val="20"/>
              </w:rPr>
            </w:pPr>
            <w:r w:rsidRPr="008C4B03">
              <w:rPr>
                <w:rFonts w:cs="Times New Roman"/>
                <w:b/>
                <w:sz w:val="20"/>
                <w:szCs w:val="20"/>
              </w:rPr>
              <w:t>$2,500</w:t>
            </w:r>
          </w:p>
        </w:tc>
      </w:tr>
    </w:tbl>
    <w:p w14:paraId="7066C249" w14:textId="77777777" w:rsidR="00D00F10" w:rsidRPr="008C4B03" w:rsidRDefault="00D00F10" w:rsidP="00D00F10">
      <w:pPr>
        <w:rPr>
          <w:rFonts w:cs="Times New Roman"/>
          <w:sz w:val="20"/>
          <w:szCs w:val="20"/>
        </w:rPr>
      </w:pPr>
    </w:p>
    <w:p w14:paraId="31385B4A" w14:textId="699FFED9" w:rsidR="00D00F10" w:rsidRDefault="00D00F10" w:rsidP="00D00F10">
      <w:pPr>
        <w:pStyle w:val="Exampletext"/>
        <w:pBdr>
          <w:top w:val="none" w:sz="0" w:space="0" w:color="auto"/>
          <w:left w:val="none" w:sz="0" w:space="0" w:color="auto"/>
          <w:bottom w:val="none" w:sz="0" w:space="0" w:color="auto"/>
          <w:right w:val="none" w:sz="0" w:space="0" w:color="auto"/>
        </w:pBdr>
      </w:pPr>
      <w:r w:rsidRPr="008C4B03">
        <w:t>The total cost of Mike’s Mountain Bikes Ltd’s inputs is $2,500, which is made up of the cost of the steel frames and the electricity used in the R&amp;D process. The company incurred $1,000 on other production costs, like labour and overhead costs, but these costs are not consi</w:t>
      </w:r>
      <w:r w:rsidR="004F39B2">
        <w:t xml:space="preserve">dered inputs for </w:t>
      </w:r>
      <w:r>
        <w:t>the feedstock rule.</w:t>
      </w:r>
    </w:p>
    <w:p w14:paraId="5A12E798" w14:textId="77777777" w:rsidR="00D00F10" w:rsidRDefault="00D00F10" w:rsidP="00D00F10">
      <w:pPr>
        <w:pStyle w:val="Exampletext"/>
        <w:pBdr>
          <w:top w:val="none" w:sz="0" w:space="0" w:color="auto"/>
          <w:left w:val="none" w:sz="0" w:space="0" w:color="auto"/>
          <w:bottom w:val="none" w:sz="0" w:space="0" w:color="auto"/>
          <w:right w:val="none" w:sz="0" w:space="0" w:color="auto"/>
        </w:pBdr>
      </w:pPr>
    </w:p>
    <w:p w14:paraId="224B9786" w14:textId="77777777" w:rsidR="00D00F10" w:rsidRPr="008C4B03" w:rsidRDefault="00D00F10" w:rsidP="00D00F10">
      <w:pPr>
        <w:pStyle w:val="Exampletext"/>
        <w:pBdr>
          <w:top w:val="none" w:sz="0" w:space="0" w:color="auto"/>
          <w:left w:val="none" w:sz="0" w:space="0" w:color="auto"/>
          <w:bottom w:val="none" w:sz="0" w:space="0" w:color="auto"/>
          <w:right w:val="none" w:sz="0" w:space="0" w:color="auto"/>
        </w:pBdr>
      </w:pPr>
      <w:r w:rsidRPr="008C4B03">
        <w:t>Once Mike’s Mountain Bikes Ltd completes its R&amp;D activities, the market value of the coated frames is $2,500. The cost of the company’s inputs and the value of its outputs net out at zero, so none of Mike’s Mountain Bikes Ltd’s input costs are eligible. The $1,000 incurred on other production costs is, however, eligible expenditure despite the app</w:t>
      </w:r>
      <w:r>
        <w:t>lication of the feedstock rule.</w:t>
      </w:r>
    </w:p>
    <w:p w14:paraId="4900B955" w14:textId="77777777" w:rsidR="00D00F10" w:rsidRPr="008C4B03" w:rsidRDefault="00D00F10" w:rsidP="00D00F10">
      <w:pPr>
        <w:pStyle w:val="Exampletext"/>
        <w:pBdr>
          <w:top w:val="none" w:sz="0" w:space="0" w:color="auto"/>
          <w:left w:val="none" w:sz="0" w:space="0" w:color="auto"/>
          <w:bottom w:val="none" w:sz="0" w:space="0" w:color="auto"/>
          <w:right w:val="none" w:sz="0" w:space="0" w:color="auto"/>
        </w:pBdr>
      </w:pPr>
    </w:p>
    <w:p w14:paraId="3BD2E0EC" w14:textId="77777777" w:rsidR="00D00F10" w:rsidRDefault="00D00F10" w:rsidP="00D00F10"/>
    <w:p w14:paraId="240B9EEB" w14:textId="77777777" w:rsidR="00D00F10" w:rsidRDefault="00D00F10" w:rsidP="00D00F10"/>
    <w:p w14:paraId="6CDC6766" w14:textId="77777777" w:rsidR="00D00F10" w:rsidRDefault="00D00F10" w:rsidP="00D00F10">
      <w:r>
        <w:t>T</w:t>
      </w:r>
      <w:r w:rsidRPr="00DF1739">
        <w:t>he feedstock rule ensure</w:t>
      </w:r>
      <w:r>
        <w:t>s</w:t>
      </w:r>
      <w:r w:rsidRPr="00DF1739">
        <w:t xml:space="preserve"> a business only gets a tax credit for the</w:t>
      </w:r>
      <w:r>
        <w:t xml:space="preserve"> extra costs associated with their R&amp;D. Costs of inputs which are recouped are therefore ineligible. Energy was not included in the feedstock rule under the 2008 tax credit, but is now included.</w:t>
      </w:r>
    </w:p>
    <w:p w14:paraId="5E779F93" w14:textId="77777777" w:rsidR="00D00F10" w:rsidRPr="00A30804" w:rsidRDefault="00D00F10" w:rsidP="00D00F10"/>
    <w:p w14:paraId="2E31BD6B" w14:textId="77777777" w:rsidR="00D00F10" w:rsidRDefault="00D00F10" w:rsidP="00D00F10">
      <w:pPr>
        <w:pStyle w:val="Heading4"/>
      </w:pPr>
      <w:r w:rsidRPr="00ED09D1">
        <w:t xml:space="preserve">Expenditure </w:t>
      </w:r>
      <w:r>
        <w:t>for</w:t>
      </w:r>
      <w:r w:rsidRPr="00ED09D1">
        <w:t xml:space="preserve"> which a person has received an R&amp;D tax credit </w:t>
      </w:r>
      <w:r>
        <w:t>from another country</w:t>
      </w:r>
      <w:r w:rsidRPr="00BA7BBF">
        <w:t xml:space="preserve"> (</w:t>
      </w:r>
      <w:r w:rsidRPr="00CB1782">
        <w:t>schedule 21B, part B,</w:t>
      </w:r>
      <w:r>
        <w:t xml:space="preserve"> clause</w:t>
      </w:r>
      <w:r w:rsidRPr="00BA7BBF">
        <w:t xml:space="preserve"> 24)</w:t>
      </w:r>
    </w:p>
    <w:p w14:paraId="453C84BE" w14:textId="77777777" w:rsidR="00D00F10" w:rsidRPr="00BA7BBF" w:rsidRDefault="00D00F10" w:rsidP="00D00F10"/>
    <w:p w14:paraId="3DBD42D1" w14:textId="77777777" w:rsidR="00D00F10" w:rsidRDefault="00D00F10" w:rsidP="00D00F10">
      <w:pPr>
        <w:rPr>
          <w:rFonts w:cs="Times New Roman"/>
          <w:szCs w:val="24"/>
        </w:rPr>
      </w:pPr>
      <w:r>
        <w:rPr>
          <w:rFonts w:cs="Times New Roman"/>
          <w:szCs w:val="24"/>
        </w:rPr>
        <w:t>E</w:t>
      </w:r>
      <w:r w:rsidRPr="00BA7BBF">
        <w:rPr>
          <w:rFonts w:cs="Times New Roman"/>
          <w:szCs w:val="24"/>
        </w:rPr>
        <w:t xml:space="preserve">xpenditure is ineligible to the extent </w:t>
      </w:r>
      <w:r>
        <w:rPr>
          <w:rFonts w:cs="Times New Roman"/>
          <w:szCs w:val="24"/>
        </w:rPr>
        <w:t xml:space="preserve">a </w:t>
      </w:r>
      <w:r w:rsidRPr="00BA7BBF">
        <w:rPr>
          <w:rFonts w:cs="Times New Roman"/>
          <w:szCs w:val="24"/>
        </w:rPr>
        <w:t>person has received a credit of a similar nature to the R&amp;D tax credit for th</w:t>
      </w:r>
      <w:r>
        <w:rPr>
          <w:rFonts w:cs="Times New Roman"/>
          <w:szCs w:val="24"/>
        </w:rPr>
        <w:t>e</w:t>
      </w:r>
      <w:r w:rsidRPr="00BA7BBF">
        <w:rPr>
          <w:rFonts w:cs="Times New Roman"/>
          <w:szCs w:val="24"/>
        </w:rPr>
        <w:t xml:space="preserve"> expenditure </w:t>
      </w:r>
      <w:r>
        <w:rPr>
          <w:rFonts w:cs="Times New Roman"/>
          <w:szCs w:val="24"/>
        </w:rPr>
        <w:t xml:space="preserve">from </w:t>
      </w:r>
      <w:r w:rsidRPr="00BA7BBF">
        <w:rPr>
          <w:rFonts w:cs="Times New Roman"/>
          <w:szCs w:val="24"/>
        </w:rPr>
        <w:t xml:space="preserve">another </w:t>
      </w:r>
      <w:r>
        <w:rPr>
          <w:rFonts w:cs="Times New Roman"/>
          <w:szCs w:val="24"/>
        </w:rPr>
        <w:t>country</w:t>
      </w:r>
      <w:r w:rsidRPr="00BA7BBF">
        <w:rPr>
          <w:rFonts w:cs="Times New Roman"/>
          <w:szCs w:val="24"/>
        </w:rPr>
        <w:t>.</w:t>
      </w:r>
      <w:r>
        <w:rPr>
          <w:rFonts w:cs="Times New Roman"/>
          <w:szCs w:val="24"/>
        </w:rPr>
        <w:t xml:space="preserve"> It is not appropriate to have two credits for the same expenditure.</w:t>
      </w:r>
    </w:p>
    <w:p w14:paraId="20B924F1" w14:textId="77777777" w:rsidR="00D00F10" w:rsidRPr="00BA7BBF" w:rsidRDefault="00D00F10" w:rsidP="00D00F10">
      <w:pPr>
        <w:rPr>
          <w:rFonts w:cs="Times New Roman"/>
          <w:szCs w:val="24"/>
        </w:rPr>
      </w:pPr>
    </w:p>
    <w:p w14:paraId="79CB034B" w14:textId="77777777" w:rsidR="00D00F10" w:rsidRPr="00096ED5" w:rsidRDefault="00D00F10" w:rsidP="00D00F10">
      <w:pPr>
        <w:pStyle w:val="Heading4"/>
      </w:pPr>
      <w:r w:rsidRPr="00096ED5">
        <w:t>Expenditure or loss under $50,000 (</w:t>
      </w:r>
      <w:r w:rsidRPr="00B75E5F">
        <w:t>schedule 21B, part B,</w:t>
      </w:r>
      <w:r>
        <w:t xml:space="preserve"> clause</w:t>
      </w:r>
      <w:r w:rsidRPr="00096ED5">
        <w:t xml:space="preserve"> 25)</w:t>
      </w:r>
    </w:p>
    <w:p w14:paraId="7C4A5AF7" w14:textId="77777777" w:rsidR="00D00F10" w:rsidRPr="00096ED5" w:rsidRDefault="00D00F10" w:rsidP="00D00F10"/>
    <w:p w14:paraId="4B90A633" w14:textId="0DAB22AF" w:rsidR="00D00F10" w:rsidRDefault="00B45635" w:rsidP="00D00F10">
      <w:r>
        <w:t xml:space="preserve">See the section on the </w:t>
      </w:r>
      <w:r w:rsidRPr="00B45635">
        <w:rPr>
          <w:rStyle w:val="Emphasis"/>
        </w:rPr>
        <w:t>Minimum threshold</w:t>
      </w:r>
      <w:r>
        <w:t xml:space="preserve"> (p</w:t>
      </w:r>
      <w:r w:rsidR="00D00F10" w:rsidRPr="002B4A33">
        <w:t xml:space="preserve">age </w:t>
      </w:r>
      <w:r>
        <w:t>49)</w:t>
      </w:r>
      <w:r w:rsidR="00D00F10">
        <w:t xml:space="preserve"> for more information on this exclusion.</w:t>
      </w:r>
    </w:p>
    <w:p w14:paraId="1A42D77A" w14:textId="77777777" w:rsidR="00D00F10" w:rsidRDefault="00D00F10" w:rsidP="00D00F10"/>
    <w:p w14:paraId="1222BC28" w14:textId="77777777" w:rsidR="00D00F10" w:rsidRDefault="00D00F10">
      <w:pPr>
        <w:spacing w:after="200" w:line="276" w:lineRule="auto"/>
        <w:jc w:val="left"/>
      </w:pPr>
      <w:r>
        <w:br w:type="page"/>
      </w:r>
    </w:p>
    <w:p w14:paraId="599908F2" w14:textId="77777777" w:rsidR="00D00F10" w:rsidRDefault="00D00F10"/>
    <w:p w14:paraId="5EF91184" w14:textId="77777777" w:rsidR="00D00F10" w:rsidRDefault="00D00F10"/>
    <w:p w14:paraId="1421DA7C" w14:textId="77777777" w:rsidR="00D00F10" w:rsidRDefault="00D00F10"/>
    <w:p w14:paraId="71C77F3E" w14:textId="77777777" w:rsidR="00D00F10" w:rsidRDefault="00D00F10"/>
    <w:p w14:paraId="0D695035" w14:textId="77777777" w:rsidR="00D00F10" w:rsidRDefault="00D00F10"/>
    <w:p w14:paraId="11512F60" w14:textId="77777777" w:rsidR="00DA5318" w:rsidRDefault="00DA5318"/>
    <w:p w14:paraId="7293375C" w14:textId="77777777" w:rsidR="00DA5318" w:rsidRDefault="00DA5318"/>
    <w:p w14:paraId="14BFBB30" w14:textId="77777777" w:rsidR="00DA5318" w:rsidRDefault="00DA5318"/>
    <w:p w14:paraId="1A7CD02B" w14:textId="77777777" w:rsidR="00DA5318" w:rsidRDefault="00DA5318"/>
    <w:p w14:paraId="1C36BD46" w14:textId="77777777" w:rsidR="00D00F10" w:rsidRDefault="00D00F10"/>
    <w:p w14:paraId="7B07ECDC" w14:textId="77777777" w:rsidR="00D00F10" w:rsidRDefault="00D00F10"/>
    <w:p w14:paraId="7A16AA3B" w14:textId="77777777" w:rsidR="00D00F10" w:rsidRDefault="00D00F10"/>
    <w:p w14:paraId="6E200311" w14:textId="77777777" w:rsidR="00DA5318" w:rsidRDefault="00D00F10" w:rsidP="00D00F10">
      <w:pPr>
        <w:pStyle w:val="Sectionheading"/>
      </w:pPr>
      <w:bookmarkStart w:id="33" w:name="_Toc528195581"/>
      <w:r>
        <w:t>Calculating the tax credit</w:t>
      </w:r>
      <w:bookmarkEnd w:id="33"/>
    </w:p>
    <w:p w14:paraId="1056664A" w14:textId="77777777" w:rsidR="00DA5318" w:rsidRDefault="00DA5318">
      <w:pPr>
        <w:spacing w:after="200" w:line="276" w:lineRule="auto"/>
        <w:jc w:val="left"/>
        <w:rPr>
          <w:rFonts w:eastAsia="Times New Roman" w:cs="Times New Roman"/>
          <w:sz w:val="60"/>
          <w:szCs w:val="20"/>
          <w:lang w:eastAsia="en-AU"/>
        </w:rPr>
      </w:pPr>
      <w:r>
        <w:br w:type="page"/>
      </w:r>
    </w:p>
    <w:p w14:paraId="4006F29A" w14:textId="5D228508" w:rsidR="002B4A33" w:rsidRDefault="002B4A33" w:rsidP="00D00F10">
      <w:pPr>
        <w:pStyle w:val="Sectionheading"/>
        <w:rPr>
          <w:sz w:val="26"/>
        </w:rPr>
      </w:pPr>
      <w:r>
        <w:br w:type="page"/>
      </w:r>
    </w:p>
    <w:p w14:paraId="68D28431" w14:textId="712553A6" w:rsidR="00335216" w:rsidRPr="00335216" w:rsidRDefault="00577748" w:rsidP="00B97523">
      <w:pPr>
        <w:pStyle w:val="Heading1"/>
      </w:pPr>
      <w:bookmarkStart w:id="34" w:name="_Toc528157364"/>
      <w:bookmarkStart w:id="35" w:name="_Toc528195582"/>
      <w:r>
        <w:t>M</w:t>
      </w:r>
      <w:r w:rsidR="00335216" w:rsidRPr="00335216">
        <w:t xml:space="preserve">inimum </w:t>
      </w:r>
      <w:r w:rsidR="004B5D10">
        <w:t>t</w:t>
      </w:r>
      <w:r w:rsidR="00335216" w:rsidRPr="00335216">
        <w:t>hreshold</w:t>
      </w:r>
      <w:bookmarkEnd w:id="34"/>
      <w:bookmarkEnd w:id="35"/>
    </w:p>
    <w:p w14:paraId="6F264B2D" w14:textId="7B19C95E" w:rsidR="00335216" w:rsidRPr="00335216" w:rsidRDefault="00335216" w:rsidP="00B97523">
      <w:pPr>
        <w:pStyle w:val="Heading3"/>
      </w:pPr>
      <w:r>
        <w:t>Clause</w:t>
      </w:r>
      <w:r w:rsidR="00BF390C">
        <w:t>s</w:t>
      </w:r>
      <w:r w:rsidRPr="00335216">
        <w:t xml:space="preserve"> </w:t>
      </w:r>
      <w:r>
        <w:t>10</w:t>
      </w:r>
      <w:r w:rsidR="00681778">
        <w:t xml:space="preserve"> (proposed new section LY 4)</w:t>
      </w:r>
      <w:r w:rsidR="004F133F">
        <w:t xml:space="preserve"> and</w:t>
      </w:r>
      <w:r w:rsidR="00BF390C">
        <w:t xml:space="preserve"> 22</w:t>
      </w:r>
      <w:r w:rsidR="00681778">
        <w:t xml:space="preserve"> (proposed new schedule 21B, part</w:t>
      </w:r>
      <w:r w:rsidR="004F133F">
        <w:t> </w:t>
      </w:r>
      <w:r w:rsidR="00681778">
        <w:t>B)</w:t>
      </w:r>
    </w:p>
    <w:p w14:paraId="042DBD17" w14:textId="77777777" w:rsidR="00B97523" w:rsidRDefault="00B97523" w:rsidP="00B97523"/>
    <w:p w14:paraId="69BBC1B7" w14:textId="77777777" w:rsidR="00B97523" w:rsidRDefault="00B97523" w:rsidP="00B97523"/>
    <w:p w14:paraId="2B1EF576" w14:textId="0B827D00" w:rsidR="00335216" w:rsidRPr="00335216" w:rsidRDefault="00335216" w:rsidP="00B97523">
      <w:pPr>
        <w:pStyle w:val="Heading2"/>
      </w:pPr>
      <w:r w:rsidRPr="00335216">
        <w:t>Summary of proposed amendment</w:t>
      </w:r>
    </w:p>
    <w:p w14:paraId="1735C0AF" w14:textId="77777777" w:rsidR="00B97523" w:rsidRDefault="00B97523" w:rsidP="00B97523">
      <w:pPr>
        <w:rPr>
          <w:lang w:eastAsia="en-AU"/>
        </w:rPr>
      </w:pPr>
    </w:p>
    <w:p w14:paraId="5DBB69EF" w14:textId="751F3993" w:rsidR="00335216" w:rsidRDefault="00335216" w:rsidP="00B97523">
      <w:pPr>
        <w:rPr>
          <w:lang w:eastAsia="en-AU"/>
        </w:rPr>
      </w:pPr>
      <w:r>
        <w:rPr>
          <w:lang w:eastAsia="en-AU"/>
        </w:rPr>
        <w:t xml:space="preserve">The </w:t>
      </w:r>
      <w:r w:rsidR="00DD0502">
        <w:rPr>
          <w:lang w:eastAsia="en-AU"/>
        </w:rPr>
        <w:t xml:space="preserve">Bill </w:t>
      </w:r>
      <w:r>
        <w:rPr>
          <w:lang w:eastAsia="en-AU"/>
        </w:rPr>
        <w:t xml:space="preserve">proposes that claimants must have at least $50,000 of eligible expenditure, or have approved research provider expenditure, to be eligible for the R&amp;D tax </w:t>
      </w:r>
      <w:r w:rsidR="00DD0502">
        <w:rPr>
          <w:lang w:eastAsia="en-AU"/>
        </w:rPr>
        <w:t>credit regime</w:t>
      </w:r>
      <w:r w:rsidR="00B97523">
        <w:rPr>
          <w:lang w:eastAsia="en-AU"/>
        </w:rPr>
        <w:t>.</w:t>
      </w:r>
    </w:p>
    <w:p w14:paraId="630389AE" w14:textId="77777777" w:rsidR="00B97523" w:rsidRDefault="00B97523" w:rsidP="00B97523">
      <w:pPr>
        <w:rPr>
          <w:lang w:eastAsia="en-AU"/>
        </w:rPr>
      </w:pPr>
    </w:p>
    <w:p w14:paraId="19C5D040" w14:textId="77777777" w:rsidR="00B97523" w:rsidRPr="00335216" w:rsidRDefault="00B97523" w:rsidP="00B97523">
      <w:pPr>
        <w:rPr>
          <w:lang w:eastAsia="en-AU"/>
        </w:rPr>
      </w:pPr>
    </w:p>
    <w:p w14:paraId="79DBED42" w14:textId="77777777" w:rsidR="00335216" w:rsidRPr="00335216" w:rsidRDefault="00335216" w:rsidP="00B97523">
      <w:pPr>
        <w:pStyle w:val="Heading2"/>
      </w:pPr>
      <w:r w:rsidRPr="00335216">
        <w:t>Application date</w:t>
      </w:r>
    </w:p>
    <w:p w14:paraId="54D2DA46" w14:textId="77777777" w:rsidR="00B97523" w:rsidRDefault="00B97523" w:rsidP="00B97523">
      <w:pPr>
        <w:rPr>
          <w:lang w:eastAsia="en-AU"/>
        </w:rPr>
      </w:pPr>
    </w:p>
    <w:p w14:paraId="0529EB5A" w14:textId="3CA7386D" w:rsidR="00335216" w:rsidRDefault="00B97523" w:rsidP="00B97523">
      <w:pPr>
        <w:rPr>
          <w:lang w:eastAsia="en-AU"/>
        </w:rPr>
      </w:pPr>
      <w:r>
        <w:rPr>
          <w:lang w:eastAsia="en-AU"/>
        </w:rPr>
        <w:t xml:space="preserve">From the </w:t>
      </w:r>
      <w:r w:rsidR="00E010FC">
        <w:rPr>
          <w:lang w:eastAsia="en-AU"/>
        </w:rPr>
        <w:t>2019–20</w:t>
      </w:r>
      <w:r>
        <w:rPr>
          <w:lang w:eastAsia="en-AU"/>
        </w:rPr>
        <w:t xml:space="preserve"> income year.</w:t>
      </w:r>
    </w:p>
    <w:p w14:paraId="380CA405" w14:textId="77777777" w:rsidR="00B97523" w:rsidRDefault="00B97523" w:rsidP="00B97523">
      <w:pPr>
        <w:rPr>
          <w:lang w:eastAsia="en-AU"/>
        </w:rPr>
      </w:pPr>
    </w:p>
    <w:p w14:paraId="57FD1F91" w14:textId="77777777" w:rsidR="00B97523" w:rsidRPr="00335216" w:rsidRDefault="00B97523" w:rsidP="00B97523">
      <w:pPr>
        <w:rPr>
          <w:lang w:eastAsia="en-AU"/>
        </w:rPr>
      </w:pPr>
    </w:p>
    <w:p w14:paraId="34367E3D" w14:textId="77777777" w:rsidR="00335216" w:rsidRPr="00335216" w:rsidRDefault="00335216" w:rsidP="00B97523">
      <w:pPr>
        <w:pStyle w:val="Heading2"/>
      </w:pPr>
      <w:r w:rsidRPr="00335216">
        <w:t>Key features</w:t>
      </w:r>
    </w:p>
    <w:p w14:paraId="24B0F005" w14:textId="77777777" w:rsidR="00B97523" w:rsidRDefault="00B97523" w:rsidP="00B97523">
      <w:pPr>
        <w:rPr>
          <w:lang w:eastAsia="en-AU"/>
        </w:rPr>
      </w:pPr>
    </w:p>
    <w:p w14:paraId="2995B9E3" w14:textId="3E6E7C0C" w:rsidR="00335216" w:rsidRDefault="00335216" w:rsidP="00B97523">
      <w:pPr>
        <w:rPr>
          <w:lang w:eastAsia="en-AU"/>
        </w:rPr>
      </w:pPr>
      <w:r>
        <w:rPr>
          <w:lang w:eastAsia="en-AU"/>
        </w:rPr>
        <w:t xml:space="preserve">Proposed new section LY 4 provides that a </w:t>
      </w:r>
      <w:r w:rsidR="00DD0502">
        <w:rPr>
          <w:lang w:eastAsia="en-AU"/>
        </w:rPr>
        <w:t xml:space="preserve">person </w:t>
      </w:r>
      <w:r>
        <w:rPr>
          <w:lang w:eastAsia="en-AU"/>
        </w:rPr>
        <w:t xml:space="preserve">is only eligible for the R&amp;D tax </w:t>
      </w:r>
      <w:r w:rsidR="00DD0502">
        <w:rPr>
          <w:lang w:eastAsia="en-AU"/>
        </w:rPr>
        <w:t xml:space="preserve">credit regime </w:t>
      </w:r>
      <w:r>
        <w:rPr>
          <w:lang w:eastAsia="en-AU"/>
        </w:rPr>
        <w:t xml:space="preserve">if the </w:t>
      </w:r>
      <w:r w:rsidR="00662D85">
        <w:rPr>
          <w:lang w:eastAsia="en-AU"/>
        </w:rPr>
        <w:t xml:space="preserve">person </w:t>
      </w:r>
      <w:r>
        <w:rPr>
          <w:lang w:eastAsia="en-AU"/>
        </w:rPr>
        <w:t>has at least $50,000 of eligible expenditure or has approved research provider expenditure</w:t>
      </w:r>
      <w:r w:rsidR="00CD5D14">
        <w:rPr>
          <w:lang w:eastAsia="en-AU"/>
        </w:rPr>
        <w:t xml:space="preserve">. </w:t>
      </w:r>
      <w:r w:rsidR="00B45635">
        <w:rPr>
          <w:lang w:eastAsia="en-AU"/>
        </w:rPr>
        <w:t xml:space="preserve">See the section on </w:t>
      </w:r>
      <w:r w:rsidR="00B45635" w:rsidRPr="00B45635">
        <w:rPr>
          <w:rStyle w:val="Emphasis"/>
          <w:lang w:eastAsia="en-AU"/>
        </w:rPr>
        <w:t>Approved research providers</w:t>
      </w:r>
      <w:r w:rsidR="00AA6D76">
        <w:rPr>
          <w:lang w:eastAsia="en-AU"/>
        </w:rPr>
        <w:t xml:space="preserve"> </w:t>
      </w:r>
      <w:r w:rsidR="00B45635">
        <w:rPr>
          <w:lang w:eastAsia="en-AU"/>
        </w:rPr>
        <w:t>(</w:t>
      </w:r>
      <w:r w:rsidR="00AA6D76" w:rsidRPr="002B4A33">
        <w:rPr>
          <w:lang w:eastAsia="en-AU"/>
        </w:rPr>
        <w:t>page</w:t>
      </w:r>
      <w:r w:rsidR="002B4A33" w:rsidRPr="002B4A33">
        <w:rPr>
          <w:lang w:eastAsia="en-AU"/>
        </w:rPr>
        <w:t xml:space="preserve"> </w:t>
      </w:r>
      <w:r w:rsidR="00B45635">
        <w:rPr>
          <w:lang w:eastAsia="en-AU"/>
        </w:rPr>
        <w:t>65) for more information.</w:t>
      </w:r>
    </w:p>
    <w:p w14:paraId="7008F721" w14:textId="77777777" w:rsidR="00F971C8" w:rsidRDefault="00F971C8" w:rsidP="00B97523">
      <w:pPr>
        <w:rPr>
          <w:lang w:eastAsia="en-AU"/>
        </w:rPr>
      </w:pPr>
    </w:p>
    <w:p w14:paraId="75FBC460" w14:textId="44396F3E" w:rsidR="00335216" w:rsidRDefault="00F971C8" w:rsidP="00B97523">
      <w:pPr>
        <w:rPr>
          <w:lang w:eastAsia="en-AU"/>
        </w:rPr>
      </w:pPr>
      <w:r>
        <w:rPr>
          <w:lang w:eastAsia="en-AU"/>
        </w:rPr>
        <w:t xml:space="preserve">A </w:t>
      </w:r>
      <w:r w:rsidR="00DD0502">
        <w:rPr>
          <w:lang w:eastAsia="en-AU"/>
        </w:rPr>
        <w:t xml:space="preserve">person </w:t>
      </w:r>
      <w:r>
        <w:rPr>
          <w:lang w:eastAsia="en-AU"/>
        </w:rPr>
        <w:t>who only satisfies the minimum threshold because they have approved research provider expenditure is restricted to only claiming their eligible approved research provider expenditure (see clause 25 of propo</w:t>
      </w:r>
      <w:r w:rsidR="00B97523">
        <w:rPr>
          <w:lang w:eastAsia="en-AU"/>
        </w:rPr>
        <w:t>sed new schedule 21B, part B).</w:t>
      </w:r>
    </w:p>
    <w:p w14:paraId="770C0CB9" w14:textId="77777777" w:rsidR="00B97523" w:rsidRDefault="00B97523" w:rsidP="00B97523">
      <w:pPr>
        <w:rPr>
          <w:lang w:eastAsia="en-AU"/>
        </w:rPr>
      </w:pPr>
    </w:p>
    <w:p w14:paraId="56A97FA0" w14:textId="0197DE58" w:rsidR="00335216" w:rsidRDefault="001D1C98" w:rsidP="00B97523">
      <w:pPr>
        <w:rPr>
          <w:lang w:eastAsia="en-AU"/>
        </w:rPr>
      </w:pPr>
      <w:r>
        <w:rPr>
          <w:lang w:eastAsia="en-AU"/>
        </w:rPr>
        <w:t>For partners in partnership and owners of look-through</w:t>
      </w:r>
      <w:r w:rsidR="000B2E23">
        <w:rPr>
          <w:lang w:eastAsia="en-AU"/>
        </w:rPr>
        <w:t xml:space="preserve"> </w:t>
      </w:r>
      <w:r>
        <w:rPr>
          <w:lang w:eastAsia="en-AU"/>
        </w:rPr>
        <w:t xml:space="preserve">companies (LTCs), the minimum threshold can be satisfied by assessing the total eligible expenditure of the partnership </w:t>
      </w:r>
      <w:r w:rsidR="00083245">
        <w:rPr>
          <w:lang w:eastAsia="en-AU"/>
        </w:rPr>
        <w:t>or</w:t>
      </w:r>
      <w:r w:rsidR="00B97523">
        <w:rPr>
          <w:lang w:eastAsia="en-AU"/>
        </w:rPr>
        <w:t xml:space="preserve"> LTC as a whole.</w:t>
      </w:r>
    </w:p>
    <w:p w14:paraId="32F4AA56" w14:textId="77777777" w:rsidR="00B97523" w:rsidRDefault="00B97523" w:rsidP="00B97523">
      <w:pPr>
        <w:rPr>
          <w:lang w:eastAsia="en-AU"/>
        </w:rPr>
      </w:pPr>
    </w:p>
    <w:p w14:paraId="6F3779C2" w14:textId="77777777" w:rsidR="00B97523" w:rsidRPr="00335216" w:rsidRDefault="00B97523" w:rsidP="00B97523">
      <w:pPr>
        <w:rPr>
          <w:lang w:eastAsia="en-AU"/>
        </w:rPr>
      </w:pPr>
    </w:p>
    <w:p w14:paraId="3F91F491" w14:textId="77777777" w:rsidR="00335216" w:rsidRPr="00335216" w:rsidRDefault="00335216" w:rsidP="00B97523">
      <w:pPr>
        <w:pStyle w:val="Heading2"/>
      </w:pPr>
      <w:r w:rsidRPr="00335216">
        <w:t>Background</w:t>
      </w:r>
    </w:p>
    <w:p w14:paraId="3E47037C" w14:textId="77777777" w:rsidR="00B97523" w:rsidRDefault="00B97523" w:rsidP="00B97523">
      <w:pPr>
        <w:rPr>
          <w:lang w:eastAsia="en-AU"/>
        </w:rPr>
      </w:pPr>
    </w:p>
    <w:p w14:paraId="5D60378A" w14:textId="4D1E234B" w:rsidR="001D1C98" w:rsidRDefault="00083245" w:rsidP="00B97523">
      <w:pPr>
        <w:rPr>
          <w:lang w:eastAsia="en-AU"/>
        </w:rPr>
      </w:pPr>
      <w:r>
        <w:rPr>
          <w:lang w:eastAsia="en-AU"/>
        </w:rPr>
        <w:t>A</w:t>
      </w:r>
      <w:r w:rsidR="001D1C98">
        <w:rPr>
          <w:lang w:eastAsia="en-AU"/>
        </w:rPr>
        <w:t xml:space="preserve"> minimum threshold </w:t>
      </w:r>
      <w:r>
        <w:rPr>
          <w:lang w:eastAsia="en-AU"/>
        </w:rPr>
        <w:t>ensures that the</w:t>
      </w:r>
      <w:r w:rsidR="001D1C98">
        <w:rPr>
          <w:lang w:eastAsia="en-AU"/>
        </w:rPr>
        <w:t xml:space="preserve"> combination of compliance and administration costs </w:t>
      </w:r>
      <w:r>
        <w:rPr>
          <w:lang w:eastAsia="en-AU"/>
        </w:rPr>
        <w:t>do not ou</w:t>
      </w:r>
      <w:r w:rsidR="00B97523">
        <w:rPr>
          <w:lang w:eastAsia="en-AU"/>
        </w:rPr>
        <w:t>tweigh the value of the credit.</w:t>
      </w:r>
    </w:p>
    <w:p w14:paraId="5502FFEF" w14:textId="3945C94B" w:rsidR="00BF390C" w:rsidRDefault="00BF390C" w:rsidP="00B97523">
      <w:pPr>
        <w:rPr>
          <w:lang w:eastAsia="en-AU"/>
        </w:rPr>
      </w:pPr>
    </w:p>
    <w:p w14:paraId="45480DB3" w14:textId="4195119C" w:rsidR="00B97523" w:rsidRDefault="00B97523" w:rsidP="00B97523">
      <w:pPr>
        <w:pStyle w:val="Exampleheading1"/>
      </w:pPr>
      <w:r w:rsidRPr="00697F90">
        <w:t>Example</w:t>
      </w:r>
      <w:r w:rsidR="00DF2F85">
        <w:t xml:space="preserve"> 12</w:t>
      </w:r>
      <w:r w:rsidRPr="00697F90">
        <w:t xml:space="preserve">: </w:t>
      </w:r>
      <w:r w:rsidR="00DF2F85">
        <w:t>P</w:t>
      </w:r>
      <w:r w:rsidRPr="00697F90">
        <w:t>artners with less than $50,000 of el</w:t>
      </w:r>
      <w:r>
        <w:t>igible expenditure</w:t>
      </w:r>
    </w:p>
    <w:p w14:paraId="25C96D24" w14:textId="77777777" w:rsidR="00B97523" w:rsidRPr="00697F90" w:rsidRDefault="00B97523" w:rsidP="00B97523">
      <w:pPr>
        <w:pStyle w:val="Exampletext"/>
      </w:pPr>
    </w:p>
    <w:p w14:paraId="7842627E" w14:textId="77777777" w:rsidR="00B97523" w:rsidRPr="00697F90" w:rsidRDefault="00B97523" w:rsidP="00B97523">
      <w:pPr>
        <w:pStyle w:val="Exampletext"/>
      </w:pPr>
      <w:r w:rsidRPr="00697F90">
        <w:t>Emma and Luke are in partnership together. Emma has $20,000 of eligible expenditure, and Luke has $35,000 of eligible expenditure. Individually, Emma and Luke are unable to satisfy the minimum threshold. Since they are in partnership, their expenditure can be grouped (proposed new section LY 4(1)). As a result, Emma and Luke are able to satisfy the $50,000 minimum threshold.</w:t>
      </w:r>
    </w:p>
    <w:p w14:paraId="6F21638A" w14:textId="77777777" w:rsidR="00F971C8" w:rsidRDefault="00F971C8" w:rsidP="00B97523"/>
    <w:p w14:paraId="4288CE47" w14:textId="77777777" w:rsidR="002A4D32" w:rsidRDefault="002A4D32" w:rsidP="00B97523"/>
    <w:p w14:paraId="7401D503" w14:textId="785BD1B5" w:rsidR="00B97523" w:rsidRDefault="00B97523">
      <w:pPr>
        <w:spacing w:after="200" w:line="276" w:lineRule="auto"/>
        <w:jc w:val="left"/>
      </w:pPr>
      <w:r>
        <w:br w:type="page"/>
      </w:r>
    </w:p>
    <w:p w14:paraId="48147A8C" w14:textId="7D512934" w:rsidR="00B97523" w:rsidRPr="00697F90" w:rsidRDefault="002A4D32" w:rsidP="002A4D32">
      <w:pPr>
        <w:pStyle w:val="Exampleheading1"/>
        <w:pBdr>
          <w:top w:val="none" w:sz="0" w:space="0" w:color="auto"/>
          <w:left w:val="none" w:sz="0" w:space="0" w:color="auto"/>
          <w:bottom w:val="none" w:sz="0" w:space="0" w:color="auto"/>
          <w:right w:val="none" w:sz="0" w:space="0" w:color="auto"/>
        </w:pBdr>
      </w:pPr>
      <w:r>
        <w:rPr>
          <w:noProof/>
          <w:lang w:eastAsia="en-NZ"/>
        </w:rPr>
        <mc:AlternateContent>
          <mc:Choice Requires="wps">
            <w:drawing>
              <wp:anchor distT="0" distB="0" distL="114300" distR="114300" simplePos="0" relativeHeight="251659264" behindDoc="1" locked="0" layoutInCell="1" allowOverlap="1" wp14:anchorId="5408C5FA" wp14:editId="7AA77D19">
                <wp:simplePos x="0" y="0"/>
                <wp:positionH relativeFrom="column">
                  <wp:posOffset>-112395</wp:posOffset>
                </wp:positionH>
                <wp:positionV relativeFrom="paragraph">
                  <wp:posOffset>-113665</wp:posOffset>
                </wp:positionV>
                <wp:extent cx="5573865" cy="4019550"/>
                <wp:effectExtent l="0" t="0" r="27305" b="19050"/>
                <wp:wrapNone/>
                <wp:docPr id="1" name="Text Box 1"/>
                <wp:cNvGraphicFramePr/>
                <a:graphic xmlns:a="http://schemas.openxmlformats.org/drawingml/2006/main">
                  <a:graphicData uri="http://schemas.microsoft.com/office/word/2010/wordprocessingShape">
                    <wps:wsp>
                      <wps:cNvSpPr txBox="1"/>
                      <wps:spPr>
                        <a:xfrm>
                          <a:off x="0" y="0"/>
                          <a:ext cx="5573865" cy="401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140867" w14:textId="77777777" w:rsidR="00016F1F" w:rsidRDefault="00016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left:0;text-align:left;margin-left:-8.85pt;margin-top:-8.95pt;width:438.9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" fillcolor="white [3201]" strokeweight=".5pt">
                <v:textbox>
                  <w:txbxContent>
                    <w:p w14:paraId="63140867" w14:textId="77777777" w:rsidR="00016F1F" w:rsidRDefault="00016F1F"/>
                  </w:txbxContent>
                </v:textbox>
              </v:shape>
            </w:pict>
          </mc:Fallback>
        </mc:AlternateContent>
      </w:r>
      <w:r w:rsidR="00B97523" w:rsidRPr="00697F90">
        <w:t>Example</w:t>
      </w:r>
      <w:r w:rsidR="00DF2F85">
        <w:t xml:space="preserve"> 13</w:t>
      </w:r>
      <w:r w:rsidR="00B97523" w:rsidRPr="00697F90">
        <w:t xml:space="preserve">: </w:t>
      </w:r>
      <w:r w:rsidR="00DF2F85">
        <w:t>P</w:t>
      </w:r>
      <w:r w:rsidR="00B97523" w:rsidRPr="00697F90">
        <w:t>erson with approved research provider expenditure</w:t>
      </w:r>
    </w:p>
    <w:p w14:paraId="21C95289" w14:textId="77777777" w:rsidR="00B97523" w:rsidRDefault="00B97523" w:rsidP="002A4D32">
      <w:pPr>
        <w:pStyle w:val="Exampletext"/>
        <w:pBdr>
          <w:top w:val="none" w:sz="0" w:space="0" w:color="auto"/>
          <w:left w:val="none" w:sz="0" w:space="0" w:color="auto"/>
          <w:bottom w:val="none" w:sz="0" w:space="0" w:color="auto"/>
          <w:right w:val="none" w:sz="0" w:space="0" w:color="auto"/>
        </w:pBdr>
      </w:pPr>
    </w:p>
    <w:p w14:paraId="54AE3336" w14:textId="7140FE9D" w:rsidR="00B97523" w:rsidRDefault="00B97523" w:rsidP="002A4D32">
      <w:pPr>
        <w:pStyle w:val="Exampletext"/>
        <w:pBdr>
          <w:top w:val="none" w:sz="0" w:space="0" w:color="auto"/>
          <w:left w:val="none" w:sz="0" w:space="0" w:color="auto"/>
          <w:bottom w:val="none" w:sz="0" w:space="0" w:color="auto"/>
          <w:right w:val="none" w:sz="0" w:space="0" w:color="auto"/>
        </w:pBdr>
      </w:pPr>
      <w:r w:rsidRPr="00697F90">
        <w:t xml:space="preserve">Dockery Ltd is a business that sells electronic deck shadings. In the </w:t>
      </w:r>
      <w:r w:rsidR="00E010FC">
        <w:t>2020–21</w:t>
      </w:r>
      <w:r w:rsidRPr="00697F90">
        <w:t xml:space="preserve"> income year it has performed activities that satisfy the core and supporting activity definitions, and has done some of its R&amp;D itself and contracted the rest out to</w:t>
      </w:r>
      <w:r>
        <w:t xml:space="preserve"> an approved research provider.</w:t>
      </w:r>
    </w:p>
    <w:p w14:paraId="43700CE3" w14:textId="77777777" w:rsidR="00B97523" w:rsidRDefault="00B97523" w:rsidP="002A4D32">
      <w:pPr>
        <w:pStyle w:val="Exampletext"/>
        <w:pBdr>
          <w:top w:val="none" w:sz="0" w:space="0" w:color="auto"/>
          <w:left w:val="none" w:sz="0" w:space="0" w:color="auto"/>
          <w:bottom w:val="none" w:sz="0" w:space="0" w:color="auto"/>
          <w:right w:val="none" w:sz="0" w:space="0" w:color="auto"/>
        </w:pBdr>
      </w:pPr>
    </w:p>
    <w:p w14:paraId="57CD0C3F" w14:textId="565A9BCA" w:rsidR="00E31F02" w:rsidRPr="00E31F02" w:rsidRDefault="00E31F02" w:rsidP="00E31F02">
      <w:pPr>
        <w:pStyle w:val="Exampletext"/>
        <w:pBdr>
          <w:top w:val="none" w:sz="0" w:space="0" w:color="auto"/>
          <w:left w:val="none" w:sz="0" w:space="0" w:color="auto"/>
          <w:bottom w:val="none" w:sz="0" w:space="0" w:color="auto"/>
          <w:right w:val="none" w:sz="0" w:space="0" w:color="auto"/>
        </w:pBdr>
        <w:spacing w:after="100"/>
        <w:jc w:val="center"/>
        <w:rPr>
          <w:b/>
        </w:rPr>
      </w:pPr>
      <w:r w:rsidRPr="00E31F02">
        <w:rPr>
          <w:b/>
        </w:rPr>
        <w:t>Dockery Ltd</w:t>
      </w:r>
      <w:r w:rsidRPr="00E31F02">
        <w:rPr>
          <w:b/>
        </w:rPr>
        <w:t>:</w:t>
      </w:r>
      <w:r w:rsidRPr="00E31F02">
        <w:rPr>
          <w:b/>
        </w:rPr>
        <w:t xml:space="preserve"> 2020–21 income year</w:t>
      </w:r>
    </w:p>
    <w:tbl>
      <w:tblPr>
        <w:tblStyle w:val="TableGrid"/>
        <w:tblW w:w="0" w:type="auto"/>
        <w:jc w:val="center"/>
        <w:tblLook w:val="04A0" w:firstRow="1" w:lastRow="0" w:firstColumn="1" w:lastColumn="0" w:noHBand="0" w:noVBand="1"/>
      </w:tblPr>
      <w:tblGrid>
        <w:gridCol w:w="3085"/>
        <w:gridCol w:w="1127"/>
      </w:tblGrid>
      <w:tr w:rsidR="00B97523" w:rsidRPr="00457302" w14:paraId="2260E219" w14:textId="77777777" w:rsidTr="00E31F02">
        <w:trPr>
          <w:tblHeader/>
          <w:jc w:val="center"/>
        </w:trPr>
        <w:tc>
          <w:tcPr>
            <w:tcW w:w="3085" w:type="dxa"/>
            <w:shd w:val="clear" w:color="auto" w:fill="auto"/>
          </w:tcPr>
          <w:p w14:paraId="7C2126F4" w14:textId="77777777" w:rsidR="00B97523" w:rsidRPr="00E31F02" w:rsidRDefault="00B97523" w:rsidP="00E31F02">
            <w:pPr>
              <w:spacing w:before="40" w:after="40"/>
              <w:rPr>
                <w:rFonts w:cs="Times New Roman"/>
                <w:b/>
                <w:sz w:val="20"/>
                <w:szCs w:val="20"/>
              </w:rPr>
            </w:pPr>
            <w:r w:rsidRPr="00E31F02">
              <w:rPr>
                <w:rFonts w:cs="Times New Roman"/>
                <w:b/>
                <w:sz w:val="20"/>
                <w:szCs w:val="20"/>
              </w:rPr>
              <w:t>Eligible expenditure</w:t>
            </w:r>
          </w:p>
        </w:tc>
        <w:tc>
          <w:tcPr>
            <w:tcW w:w="1127" w:type="dxa"/>
            <w:shd w:val="clear" w:color="auto" w:fill="auto"/>
          </w:tcPr>
          <w:p w14:paraId="1EE06A76" w14:textId="77777777" w:rsidR="00B97523" w:rsidRPr="00E31F02" w:rsidRDefault="00B97523" w:rsidP="00E31F02">
            <w:pPr>
              <w:spacing w:before="40" w:after="40"/>
              <w:rPr>
                <w:rFonts w:cs="Times New Roman"/>
                <w:b/>
                <w:sz w:val="20"/>
                <w:szCs w:val="20"/>
              </w:rPr>
            </w:pPr>
            <w:r w:rsidRPr="00E31F02">
              <w:rPr>
                <w:rFonts w:cs="Times New Roman"/>
                <w:b/>
                <w:sz w:val="20"/>
                <w:szCs w:val="20"/>
              </w:rPr>
              <w:t>Amount</w:t>
            </w:r>
          </w:p>
        </w:tc>
      </w:tr>
      <w:tr w:rsidR="00B97523" w:rsidRPr="00457302" w14:paraId="260D0B50" w14:textId="77777777" w:rsidTr="001C51DF">
        <w:trPr>
          <w:jc w:val="center"/>
        </w:trPr>
        <w:tc>
          <w:tcPr>
            <w:tcW w:w="3085" w:type="dxa"/>
          </w:tcPr>
          <w:p w14:paraId="79CE9984" w14:textId="77777777" w:rsidR="00B97523" w:rsidRPr="00697F90" w:rsidRDefault="00B97523" w:rsidP="00E31F02">
            <w:pPr>
              <w:spacing w:before="40" w:after="40"/>
              <w:rPr>
                <w:rFonts w:cs="Times New Roman"/>
                <w:sz w:val="20"/>
                <w:szCs w:val="20"/>
              </w:rPr>
            </w:pPr>
            <w:r w:rsidRPr="00697F90">
              <w:rPr>
                <w:rFonts w:cs="Times New Roman"/>
                <w:sz w:val="20"/>
                <w:szCs w:val="20"/>
              </w:rPr>
              <w:t>In-house</w:t>
            </w:r>
          </w:p>
        </w:tc>
        <w:tc>
          <w:tcPr>
            <w:tcW w:w="1127" w:type="dxa"/>
          </w:tcPr>
          <w:p w14:paraId="05E46540" w14:textId="77777777" w:rsidR="00B97523" w:rsidRPr="00697F90" w:rsidRDefault="00B97523" w:rsidP="00E31F02">
            <w:pPr>
              <w:spacing w:before="40" w:after="40"/>
              <w:jc w:val="right"/>
              <w:rPr>
                <w:rFonts w:cs="Times New Roman"/>
                <w:sz w:val="20"/>
                <w:szCs w:val="20"/>
              </w:rPr>
            </w:pPr>
            <w:r w:rsidRPr="00697F90">
              <w:rPr>
                <w:rFonts w:cs="Times New Roman"/>
                <w:sz w:val="20"/>
                <w:szCs w:val="20"/>
              </w:rPr>
              <w:t>$10,000</w:t>
            </w:r>
          </w:p>
        </w:tc>
      </w:tr>
      <w:tr w:rsidR="00B97523" w:rsidRPr="00457302" w14:paraId="1966A069" w14:textId="77777777" w:rsidTr="001C51DF">
        <w:trPr>
          <w:jc w:val="center"/>
        </w:trPr>
        <w:tc>
          <w:tcPr>
            <w:tcW w:w="3085" w:type="dxa"/>
            <w:tcBorders>
              <w:bottom w:val="single" w:sz="4" w:space="0" w:color="auto"/>
            </w:tcBorders>
          </w:tcPr>
          <w:p w14:paraId="5D77C557" w14:textId="77777777" w:rsidR="00B97523" w:rsidRPr="00697F90" w:rsidRDefault="00B97523" w:rsidP="00E31F02">
            <w:pPr>
              <w:spacing w:before="40" w:after="40"/>
              <w:rPr>
                <w:rFonts w:cs="Times New Roman"/>
                <w:sz w:val="20"/>
                <w:szCs w:val="20"/>
              </w:rPr>
            </w:pPr>
            <w:r w:rsidRPr="00697F90">
              <w:rPr>
                <w:rFonts w:cs="Times New Roman"/>
                <w:sz w:val="20"/>
                <w:szCs w:val="20"/>
              </w:rPr>
              <w:t xml:space="preserve">Approved research provider </w:t>
            </w:r>
          </w:p>
        </w:tc>
        <w:tc>
          <w:tcPr>
            <w:tcW w:w="1127" w:type="dxa"/>
          </w:tcPr>
          <w:p w14:paraId="56DA8D2B" w14:textId="77777777" w:rsidR="00B97523" w:rsidRPr="00697F90" w:rsidRDefault="00B97523" w:rsidP="00E31F02">
            <w:pPr>
              <w:spacing w:before="40" w:after="40"/>
              <w:jc w:val="right"/>
              <w:rPr>
                <w:rFonts w:cs="Times New Roman"/>
                <w:sz w:val="20"/>
                <w:szCs w:val="20"/>
              </w:rPr>
            </w:pPr>
            <w:r w:rsidRPr="00697F90">
              <w:rPr>
                <w:rFonts w:cs="Times New Roman"/>
                <w:sz w:val="20"/>
                <w:szCs w:val="20"/>
              </w:rPr>
              <w:t>$35,000</w:t>
            </w:r>
          </w:p>
        </w:tc>
      </w:tr>
      <w:tr w:rsidR="00B97523" w:rsidRPr="00457302" w14:paraId="701CDD89" w14:textId="77777777" w:rsidTr="001C51DF">
        <w:trPr>
          <w:jc w:val="center"/>
        </w:trPr>
        <w:tc>
          <w:tcPr>
            <w:tcW w:w="3085" w:type="dxa"/>
            <w:tcBorders>
              <w:left w:val="nil"/>
              <w:bottom w:val="nil"/>
            </w:tcBorders>
          </w:tcPr>
          <w:p w14:paraId="1124A44E" w14:textId="77777777" w:rsidR="00B97523" w:rsidRPr="00697F90" w:rsidRDefault="00B97523" w:rsidP="00E31F02">
            <w:pPr>
              <w:spacing w:before="40" w:after="40"/>
              <w:jc w:val="right"/>
              <w:rPr>
                <w:rFonts w:cs="Times New Roman"/>
                <w:b/>
                <w:sz w:val="20"/>
                <w:szCs w:val="20"/>
              </w:rPr>
            </w:pPr>
            <w:r w:rsidRPr="00697F90">
              <w:rPr>
                <w:rFonts w:cs="Times New Roman"/>
                <w:b/>
                <w:sz w:val="20"/>
                <w:szCs w:val="20"/>
              </w:rPr>
              <w:t>Total R&amp;D expenditure</w:t>
            </w:r>
          </w:p>
        </w:tc>
        <w:tc>
          <w:tcPr>
            <w:tcW w:w="1127" w:type="dxa"/>
          </w:tcPr>
          <w:p w14:paraId="45BFF4BD" w14:textId="77777777" w:rsidR="00B97523" w:rsidRPr="00697F90" w:rsidRDefault="00B97523" w:rsidP="00E31F02">
            <w:pPr>
              <w:spacing w:before="40" w:after="40"/>
              <w:jc w:val="right"/>
              <w:rPr>
                <w:rFonts w:cs="Times New Roman"/>
                <w:b/>
                <w:sz w:val="20"/>
                <w:szCs w:val="20"/>
              </w:rPr>
            </w:pPr>
            <w:r w:rsidRPr="00697F90">
              <w:rPr>
                <w:rFonts w:cs="Times New Roman"/>
                <w:b/>
                <w:sz w:val="20"/>
                <w:szCs w:val="20"/>
              </w:rPr>
              <w:t>$45,000</w:t>
            </w:r>
          </w:p>
        </w:tc>
      </w:tr>
    </w:tbl>
    <w:p w14:paraId="2B16C2EE" w14:textId="77777777" w:rsidR="00B97523" w:rsidRDefault="00B97523" w:rsidP="00B97523">
      <w:pPr>
        <w:rPr>
          <w:rFonts w:cs="Times New Roman"/>
          <w:sz w:val="20"/>
          <w:szCs w:val="20"/>
        </w:rPr>
      </w:pPr>
    </w:p>
    <w:p w14:paraId="1E6BB9AC" w14:textId="184BB2CB" w:rsidR="00B97523" w:rsidRDefault="00B97523" w:rsidP="00B97523">
      <w:pPr>
        <w:rPr>
          <w:rFonts w:cs="Times New Roman"/>
          <w:sz w:val="20"/>
          <w:szCs w:val="20"/>
        </w:rPr>
      </w:pPr>
      <w:r w:rsidRPr="00697F90">
        <w:rPr>
          <w:rFonts w:cs="Times New Roman"/>
          <w:sz w:val="20"/>
          <w:szCs w:val="20"/>
        </w:rPr>
        <w:t>Dockery Ltd is unable to satisfy the $50,000 minimum threshold, as it has only incurred $45,000 of eligible expenditure. It is nevertheless eligible for the R&amp;D tax credit regime because it has approved research provider expenditure. Its eligible expenditure, however, is limited to the approved research provider amount.</w:t>
      </w:r>
    </w:p>
    <w:p w14:paraId="2340EC3F" w14:textId="77777777" w:rsidR="00B97523" w:rsidRDefault="00B97523" w:rsidP="00B97523">
      <w:pPr>
        <w:rPr>
          <w:rFonts w:cs="Times New Roman"/>
          <w:sz w:val="20"/>
          <w:szCs w:val="20"/>
        </w:rPr>
      </w:pPr>
    </w:p>
    <w:p w14:paraId="622D078D" w14:textId="09A5446C" w:rsidR="00E31F02" w:rsidRPr="00E31F02" w:rsidRDefault="00E31F02" w:rsidP="00E31F02">
      <w:pPr>
        <w:spacing w:after="100"/>
        <w:jc w:val="center"/>
        <w:rPr>
          <w:rFonts w:cs="Times New Roman"/>
          <w:b/>
          <w:sz w:val="20"/>
          <w:szCs w:val="20"/>
        </w:rPr>
      </w:pPr>
      <w:r w:rsidRPr="00E31F02">
        <w:rPr>
          <w:rFonts w:cs="Times New Roman"/>
          <w:b/>
          <w:sz w:val="20"/>
          <w:szCs w:val="20"/>
        </w:rPr>
        <w:t>Dockery Ltd</w:t>
      </w:r>
      <w:r w:rsidR="005E13EE">
        <w:rPr>
          <w:rFonts w:cs="Times New Roman"/>
          <w:b/>
          <w:sz w:val="20"/>
          <w:szCs w:val="20"/>
        </w:rPr>
        <w:t xml:space="preserve">: </w:t>
      </w:r>
      <w:r w:rsidRPr="00E31F02">
        <w:rPr>
          <w:rFonts w:cs="Times New Roman"/>
          <w:b/>
          <w:sz w:val="20"/>
          <w:szCs w:val="20"/>
        </w:rPr>
        <w:t xml:space="preserve">2020–21 income </w:t>
      </w:r>
      <w:proofErr w:type="gramStart"/>
      <w:r w:rsidRPr="00E31F02">
        <w:rPr>
          <w:rFonts w:cs="Times New Roman"/>
          <w:b/>
          <w:sz w:val="20"/>
          <w:szCs w:val="20"/>
        </w:rPr>
        <w:t>year</w:t>
      </w:r>
      <w:proofErr w:type="gramEnd"/>
    </w:p>
    <w:tbl>
      <w:tblPr>
        <w:tblStyle w:val="TableGrid"/>
        <w:tblW w:w="0" w:type="auto"/>
        <w:jc w:val="center"/>
        <w:tblLook w:val="04A0" w:firstRow="1" w:lastRow="0" w:firstColumn="1" w:lastColumn="0" w:noHBand="0" w:noVBand="1"/>
      </w:tblPr>
      <w:tblGrid>
        <w:gridCol w:w="3085"/>
        <w:gridCol w:w="1156"/>
      </w:tblGrid>
      <w:tr w:rsidR="00E31F02" w:rsidRPr="00457302" w14:paraId="532564D9" w14:textId="77777777" w:rsidTr="001C51DF">
        <w:trPr>
          <w:jc w:val="center"/>
        </w:trPr>
        <w:tc>
          <w:tcPr>
            <w:tcW w:w="3085" w:type="dxa"/>
            <w:tcBorders>
              <w:bottom w:val="single" w:sz="4" w:space="0" w:color="auto"/>
            </w:tcBorders>
          </w:tcPr>
          <w:p w14:paraId="436DE693" w14:textId="3809E808" w:rsidR="00E31F02" w:rsidRPr="00E31F02" w:rsidRDefault="00E31F02" w:rsidP="00E31F02">
            <w:pPr>
              <w:spacing w:before="40" w:after="40"/>
              <w:rPr>
                <w:rFonts w:cs="Times New Roman"/>
                <w:b/>
                <w:sz w:val="20"/>
                <w:szCs w:val="20"/>
              </w:rPr>
            </w:pPr>
            <w:r w:rsidRPr="00E31F02">
              <w:rPr>
                <w:rFonts w:cs="Times New Roman"/>
                <w:b/>
                <w:sz w:val="20"/>
                <w:szCs w:val="20"/>
              </w:rPr>
              <w:t>Expenditure type</w:t>
            </w:r>
          </w:p>
        </w:tc>
        <w:tc>
          <w:tcPr>
            <w:tcW w:w="1156" w:type="dxa"/>
          </w:tcPr>
          <w:p w14:paraId="6A33753C" w14:textId="5C9AC1CE" w:rsidR="00E31F02" w:rsidRPr="00E31F02" w:rsidRDefault="00E31F02" w:rsidP="00E31F02">
            <w:pPr>
              <w:spacing w:before="40" w:after="40"/>
              <w:jc w:val="right"/>
              <w:rPr>
                <w:rFonts w:cs="Times New Roman"/>
                <w:b/>
                <w:sz w:val="20"/>
                <w:szCs w:val="20"/>
              </w:rPr>
            </w:pPr>
            <w:r w:rsidRPr="00E31F02">
              <w:rPr>
                <w:rFonts w:cs="Times New Roman"/>
                <w:b/>
                <w:sz w:val="20"/>
                <w:szCs w:val="20"/>
              </w:rPr>
              <w:t>Amount</w:t>
            </w:r>
          </w:p>
        </w:tc>
      </w:tr>
      <w:tr w:rsidR="00B97523" w:rsidRPr="00457302" w14:paraId="02A5FFA0" w14:textId="77777777" w:rsidTr="001C51DF">
        <w:trPr>
          <w:jc w:val="center"/>
        </w:trPr>
        <w:tc>
          <w:tcPr>
            <w:tcW w:w="3085" w:type="dxa"/>
            <w:tcBorders>
              <w:bottom w:val="single" w:sz="4" w:space="0" w:color="auto"/>
            </w:tcBorders>
          </w:tcPr>
          <w:p w14:paraId="11106968" w14:textId="77777777" w:rsidR="00B97523" w:rsidRPr="00697F90" w:rsidRDefault="00B97523" w:rsidP="00E31F02">
            <w:pPr>
              <w:spacing w:before="40" w:after="40"/>
              <w:rPr>
                <w:rFonts w:cs="Times New Roman"/>
                <w:sz w:val="20"/>
                <w:szCs w:val="20"/>
              </w:rPr>
            </w:pPr>
            <w:r w:rsidRPr="00697F90">
              <w:rPr>
                <w:rFonts w:cs="Times New Roman"/>
                <w:sz w:val="20"/>
                <w:szCs w:val="20"/>
              </w:rPr>
              <w:t>Total R&amp;D expenditure</w:t>
            </w:r>
          </w:p>
        </w:tc>
        <w:tc>
          <w:tcPr>
            <w:tcW w:w="1156" w:type="dxa"/>
          </w:tcPr>
          <w:p w14:paraId="3DA8753A" w14:textId="77777777" w:rsidR="00B97523" w:rsidRPr="00697F90" w:rsidRDefault="00B97523" w:rsidP="00E31F02">
            <w:pPr>
              <w:spacing w:before="40" w:after="40"/>
              <w:jc w:val="right"/>
              <w:rPr>
                <w:rFonts w:cs="Times New Roman"/>
                <w:sz w:val="20"/>
                <w:szCs w:val="20"/>
              </w:rPr>
            </w:pPr>
            <w:r w:rsidRPr="00697F90">
              <w:rPr>
                <w:rFonts w:cs="Times New Roman"/>
                <w:sz w:val="20"/>
                <w:szCs w:val="20"/>
              </w:rPr>
              <w:t>$45,000</w:t>
            </w:r>
          </w:p>
        </w:tc>
      </w:tr>
      <w:tr w:rsidR="00B97523" w:rsidRPr="00457302" w14:paraId="3CE134E7" w14:textId="77777777" w:rsidTr="001C51DF">
        <w:trPr>
          <w:jc w:val="center"/>
        </w:trPr>
        <w:tc>
          <w:tcPr>
            <w:tcW w:w="3085" w:type="dxa"/>
            <w:tcBorders>
              <w:bottom w:val="single" w:sz="4" w:space="0" w:color="auto"/>
            </w:tcBorders>
          </w:tcPr>
          <w:p w14:paraId="354C5087" w14:textId="77777777" w:rsidR="00B97523" w:rsidRPr="00697F90" w:rsidRDefault="00B97523" w:rsidP="00E31F02">
            <w:pPr>
              <w:spacing w:before="40" w:after="40"/>
              <w:rPr>
                <w:rFonts w:cs="Times New Roman"/>
                <w:sz w:val="20"/>
                <w:szCs w:val="20"/>
              </w:rPr>
            </w:pPr>
            <w:r w:rsidRPr="00697F90">
              <w:rPr>
                <w:rFonts w:cs="Times New Roman"/>
                <w:sz w:val="20"/>
                <w:szCs w:val="20"/>
              </w:rPr>
              <w:t>Ineligible expenditure</w:t>
            </w:r>
          </w:p>
        </w:tc>
        <w:tc>
          <w:tcPr>
            <w:tcW w:w="1156" w:type="dxa"/>
          </w:tcPr>
          <w:p w14:paraId="4BBA15C0" w14:textId="77777777" w:rsidR="00B97523" w:rsidRPr="00697F90" w:rsidRDefault="00B97523" w:rsidP="00E31F02">
            <w:pPr>
              <w:spacing w:before="40" w:after="40"/>
              <w:jc w:val="right"/>
              <w:rPr>
                <w:rFonts w:cs="Times New Roman"/>
                <w:sz w:val="20"/>
                <w:szCs w:val="20"/>
              </w:rPr>
            </w:pPr>
            <w:r w:rsidRPr="00697F90">
              <w:rPr>
                <w:rFonts w:cs="Times New Roman"/>
                <w:color w:val="FF0000"/>
                <w:sz w:val="20"/>
                <w:szCs w:val="20"/>
              </w:rPr>
              <w:t>($10,000)</w:t>
            </w:r>
          </w:p>
        </w:tc>
      </w:tr>
      <w:tr w:rsidR="00B97523" w:rsidRPr="00457302" w14:paraId="4EFD96EB" w14:textId="77777777" w:rsidTr="001C51DF">
        <w:trPr>
          <w:jc w:val="center"/>
        </w:trPr>
        <w:tc>
          <w:tcPr>
            <w:tcW w:w="3085" w:type="dxa"/>
            <w:tcBorders>
              <w:left w:val="nil"/>
              <w:bottom w:val="nil"/>
            </w:tcBorders>
          </w:tcPr>
          <w:p w14:paraId="26B746B4" w14:textId="77777777" w:rsidR="00B97523" w:rsidRPr="00697F90" w:rsidRDefault="00B97523" w:rsidP="00E31F02">
            <w:pPr>
              <w:spacing w:before="40" w:after="40"/>
              <w:jc w:val="right"/>
              <w:rPr>
                <w:rFonts w:cs="Times New Roman"/>
                <w:b/>
                <w:sz w:val="20"/>
                <w:szCs w:val="20"/>
              </w:rPr>
            </w:pPr>
            <w:r w:rsidRPr="00697F90">
              <w:rPr>
                <w:rFonts w:cs="Times New Roman"/>
                <w:b/>
                <w:sz w:val="20"/>
                <w:szCs w:val="20"/>
              </w:rPr>
              <w:t>Eligible expenditure</w:t>
            </w:r>
          </w:p>
        </w:tc>
        <w:tc>
          <w:tcPr>
            <w:tcW w:w="1156" w:type="dxa"/>
          </w:tcPr>
          <w:p w14:paraId="6020377D" w14:textId="77777777" w:rsidR="00B97523" w:rsidRPr="00697F90" w:rsidRDefault="00B97523" w:rsidP="00E31F02">
            <w:pPr>
              <w:spacing w:before="40" w:after="40"/>
              <w:jc w:val="right"/>
              <w:rPr>
                <w:rFonts w:cs="Times New Roman"/>
                <w:b/>
                <w:sz w:val="20"/>
                <w:szCs w:val="20"/>
              </w:rPr>
            </w:pPr>
            <w:r w:rsidRPr="00697F90">
              <w:rPr>
                <w:rFonts w:cs="Times New Roman"/>
                <w:b/>
                <w:sz w:val="20"/>
                <w:szCs w:val="20"/>
              </w:rPr>
              <w:t>$35,000</w:t>
            </w:r>
          </w:p>
        </w:tc>
      </w:tr>
    </w:tbl>
    <w:p w14:paraId="16EB0FB2" w14:textId="77777777" w:rsidR="002A4D32" w:rsidRDefault="002A4D32" w:rsidP="002A4D32"/>
    <w:p w14:paraId="0CAEC1D2" w14:textId="77777777" w:rsidR="002A4D32" w:rsidRDefault="002A4D32">
      <w:pPr>
        <w:spacing w:after="200" w:line="276" w:lineRule="auto"/>
        <w:jc w:val="left"/>
        <w:rPr>
          <w:rFonts w:eastAsia="Times New Roman" w:cs="Times New Roman"/>
          <w:b/>
          <w:caps/>
          <w:sz w:val="26"/>
          <w:szCs w:val="20"/>
          <w:lang w:eastAsia="en-AU"/>
        </w:rPr>
      </w:pPr>
      <w:r>
        <w:br w:type="page"/>
      </w:r>
    </w:p>
    <w:p w14:paraId="3977D193" w14:textId="52C5E353" w:rsidR="004B5D10" w:rsidRPr="004B5D10" w:rsidRDefault="00577748" w:rsidP="00CF5051">
      <w:pPr>
        <w:pStyle w:val="Heading1"/>
      </w:pPr>
      <w:bookmarkStart w:id="36" w:name="_Toc528157365"/>
      <w:bookmarkStart w:id="37" w:name="_Toc528195583"/>
      <w:r>
        <w:t>E</w:t>
      </w:r>
      <w:r w:rsidR="004B5D10">
        <w:t>xpenditure</w:t>
      </w:r>
      <w:r>
        <w:t xml:space="preserve"> </w:t>
      </w:r>
      <w:r w:rsidR="004B5D10">
        <w:t>cap</w:t>
      </w:r>
      <w:r>
        <w:t xml:space="preserve"> (including approved R&amp;D caps)</w:t>
      </w:r>
      <w:bookmarkEnd w:id="36"/>
      <w:bookmarkEnd w:id="37"/>
    </w:p>
    <w:p w14:paraId="44AFCAF2" w14:textId="43362302" w:rsidR="004B5D10" w:rsidRDefault="004B5D10" w:rsidP="00CF5051">
      <w:pPr>
        <w:pStyle w:val="Heading3"/>
      </w:pPr>
      <w:r w:rsidRPr="004B5D10">
        <w:t xml:space="preserve">Clauses </w:t>
      </w:r>
      <w:r>
        <w:t>10</w:t>
      </w:r>
      <w:r w:rsidR="00681778">
        <w:t xml:space="preserve"> (proposed new section LY 4)</w:t>
      </w:r>
      <w:r w:rsidR="004F72A5">
        <w:t>,</w:t>
      </w:r>
      <w:r>
        <w:t xml:space="preserve"> 21(2), 24(2)</w:t>
      </w:r>
      <w:r w:rsidR="004F72A5">
        <w:t xml:space="preserve"> and</w:t>
      </w:r>
      <w:r>
        <w:t xml:space="preserve"> 30</w:t>
      </w:r>
    </w:p>
    <w:p w14:paraId="02FBD658" w14:textId="77777777" w:rsidR="00B97523" w:rsidRDefault="00B97523" w:rsidP="00CF5051">
      <w:pPr>
        <w:rPr>
          <w:lang w:val="en-GB" w:eastAsia="en-AU"/>
        </w:rPr>
      </w:pPr>
    </w:p>
    <w:p w14:paraId="125A8D38" w14:textId="77777777" w:rsidR="00B97523" w:rsidRPr="00B97523" w:rsidRDefault="00B97523" w:rsidP="00CF5051">
      <w:pPr>
        <w:rPr>
          <w:lang w:val="en-GB" w:eastAsia="en-AU"/>
        </w:rPr>
      </w:pPr>
    </w:p>
    <w:p w14:paraId="270977E3" w14:textId="5D97AB36" w:rsidR="004B5D10" w:rsidRPr="004B5D10" w:rsidRDefault="004B5D10" w:rsidP="00CF5051">
      <w:pPr>
        <w:pStyle w:val="Heading2"/>
      </w:pPr>
      <w:r w:rsidRPr="004B5D10">
        <w:t>Summary of proposed amendment</w:t>
      </w:r>
    </w:p>
    <w:p w14:paraId="36E84702" w14:textId="77777777" w:rsidR="00B97523" w:rsidRDefault="00B97523" w:rsidP="00CF5051">
      <w:pPr>
        <w:rPr>
          <w:lang w:eastAsia="en-AU"/>
        </w:rPr>
      </w:pPr>
    </w:p>
    <w:p w14:paraId="31490E5E" w14:textId="1CC7D125" w:rsidR="004B5D10" w:rsidRDefault="004B5D10" w:rsidP="00CF5051">
      <w:pPr>
        <w:rPr>
          <w:lang w:eastAsia="en-AU"/>
        </w:rPr>
      </w:pPr>
      <w:r>
        <w:rPr>
          <w:lang w:eastAsia="en-AU"/>
        </w:rPr>
        <w:t xml:space="preserve">The </w:t>
      </w:r>
      <w:r w:rsidR="00662D85">
        <w:rPr>
          <w:lang w:eastAsia="en-AU"/>
        </w:rPr>
        <w:t xml:space="preserve">Bill </w:t>
      </w:r>
      <w:r>
        <w:rPr>
          <w:lang w:eastAsia="en-AU"/>
        </w:rPr>
        <w:t>proposes that an expenditure cap of $120</w:t>
      </w:r>
      <w:r w:rsidR="008B6BE5">
        <w:rPr>
          <w:lang w:eastAsia="en-AU"/>
        </w:rPr>
        <w:t xml:space="preserve"> million</w:t>
      </w:r>
      <w:r>
        <w:rPr>
          <w:lang w:eastAsia="en-AU"/>
        </w:rPr>
        <w:t xml:space="preserve"> apply</w:t>
      </w:r>
      <w:r w:rsidR="000A42A0">
        <w:rPr>
          <w:lang w:eastAsia="en-AU"/>
        </w:rPr>
        <w:t xml:space="preserve"> to restrict the maximum R&amp;D tax credit that can be claimed by any one person (including any associates of the person). It is also proposed that the Commissioner have discretion to allow businesses to exceed</w:t>
      </w:r>
      <w:r w:rsidR="002A4D32">
        <w:rPr>
          <w:lang w:eastAsia="en-AU"/>
        </w:rPr>
        <w:t xml:space="preserve"> the cap in some circumstances.</w:t>
      </w:r>
    </w:p>
    <w:p w14:paraId="07F8E1E9" w14:textId="77777777" w:rsidR="00B97523" w:rsidRDefault="00B97523" w:rsidP="00CF5051">
      <w:pPr>
        <w:rPr>
          <w:lang w:eastAsia="en-AU"/>
        </w:rPr>
      </w:pPr>
    </w:p>
    <w:p w14:paraId="71FF5460" w14:textId="77777777" w:rsidR="00B97523" w:rsidRPr="004B5D10" w:rsidRDefault="00B97523" w:rsidP="00CF5051">
      <w:pPr>
        <w:rPr>
          <w:lang w:eastAsia="en-AU"/>
        </w:rPr>
      </w:pPr>
    </w:p>
    <w:p w14:paraId="5AB8E9E3" w14:textId="77777777" w:rsidR="004B5D10" w:rsidRPr="004B5D10" w:rsidRDefault="004B5D10" w:rsidP="00CF5051">
      <w:pPr>
        <w:pStyle w:val="Heading2"/>
      </w:pPr>
      <w:r w:rsidRPr="004B5D10">
        <w:t>Application date</w:t>
      </w:r>
    </w:p>
    <w:p w14:paraId="6B54D192" w14:textId="77777777" w:rsidR="00B97523" w:rsidRDefault="00B97523" w:rsidP="00CF5051">
      <w:pPr>
        <w:rPr>
          <w:lang w:eastAsia="en-AU"/>
        </w:rPr>
      </w:pPr>
    </w:p>
    <w:p w14:paraId="02F19D15" w14:textId="23635BBC" w:rsidR="004B5D10" w:rsidRDefault="000A42A0" w:rsidP="00CF5051">
      <w:pPr>
        <w:rPr>
          <w:lang w:eastAsia="en-AU"/>
        </w:rPr>
      </w:pPr>
      <w:r>
        <w:rPr>
          <w:lang w:eastAsia="en-AU"/>
        </w:rPr>
        <w:t xml:space="preserve">From the </w:t>
      </w:r>
      <w:r w:rsidR="00E010FC">
        <w:rPr>
          <w:lang w:eastAsia="en-AU"/>
        </w:rPr>
        <w:t>2019–20</w:t>
      </w:r>
      <w:r>
        <w:rPr>
          <w:lang w:eastAsia="en-AU"/>
        </w:rPr>
        <w:t xml:space="preserve"> income year.</w:t>
      </w:r>
    </w:p>
    <w:p w14:paraId="2FF8C10E" w14:textId="77777777" w:rsidR="00B97523" w:rsidRDefault="00B97523" w:rsidP="00CF5051">
      <w:pPr>
        <w:rPr>
          <w:lang w:eastAsia="en-AU"/>
        </w:rPr>
      </w:pPr>
    </w:p>
    <w:p w14:paraId="75130907" w14:textId="77777777" w:rsidR="00B97523" w:rsidRPr="004B5D10" w:rsidRDefault="00B97523" w:rsidP="00CF5051">
      <w:pPr>
        <w:rPr>
          <w:lang w:eastAsia="en-AU"/>
        </w:rPr>
      </w:pPr>
    </w:p>
    <w:p w14:paraId="0A23EC86" w14:textId="77777777" w:rsidR="004B5D10" w:rsidRPr="004B5D10" w:rsidRDefault="004B5D10" w:rsidP="00CF5051">
      <w:pPr>
        <w:pStyle w:val="Heading2"/>
      </w:pPr>
      <w:r w:rsidRPr="004B5D10">
        <w:t>Key features</w:t>
      </w:r>
    </w:p>
    <w:p w14:paraId="764E54AA" w14:textId="77777777" w:rsidR="00B97523" w:rsidRDefault="00B97523" w:rsidP="00CF5051">
      <w:pPr>
        <w:rPr>
          <w:lang w:eastAsia="en-AU"/>
        </w:rPr>
      </w:pPr>
    </w:p>
    <w:p w14:paraId="1F358582" w14:textId="3A00AC77" w:rsidR="00845E5F" w:rsidRDefault="000A42A0" w:rsidP="00CF5051">
      <w:pPr>
        <w:rPr>
          <w:lang w:eastAsia="en-AU"/>
        </w:rPr>
      </w:pPr>
      <w:r w:rsidRPr="008E6674">
        <w:rPr>
          <w:lang w:eastAsia="en-AU"/>
        </w:rPr>
        <w:t>Proposed new section LY 4(3) provide</w:t>
      </w:r>
      <w:r w:rsidR="0033260F" w:rsidRPr="008E6674">
        <w:rPr>
          <w:lang w:eastAsia="en-AU"/>
        </w:rPr>
        <w:t>s</w:t>
      </w:r>
      <w:r w:rsidRPr="008E6674">
        <w:rPr>
          <w:lang w:eastAsia="en-AU"/>
        </w:rPr>
        <w:t xml:space="preserve"> that the maximum amount of eligible expenditure that a person can claim in any income year is $120</w:t>
      </w:r>
      <w:r w:rsidR="008B6BE5" w:rsidRPr="008E6674">
        <w:rPr>
          <w:lang w:eastAsia="en-AU"/>
        </w:rPr>
        <w:t xml:space="preserve"> million</w:t>
      </w:r>
      <w:r w:rsidRPr="008E6674">
        <w:rPr>
          <w:lang w:eastAsia="en-AU"/>
        </w:rPr>
        <w:t xml:space="preserve">. If a </w:t>
      </w:r>
      <w:r w:rsidR="00662D85" w:rsidRPr="008E6674">
        <w:rPr>
          <w:lang w:eastAsia="en-AU"/>
        </w:rPr>
        <w:t xml:space="preserve">person’s </w:t>
      </w:r>
      <w:r w:rsidRPr="008E6674">
        <w:rPr>
          <w:lang w:eastAsia="en-AU"/>
        </w:rPr>
        <w:t>expenditure exceeds $120</w:t>
      </w:r>
      <w:r w:rsidR="008B6BE5" w:rsidRPr="008E6674">
        <w:rPr>
          <w:lang w:eastAsia="en-AU"/>
        </w:rPr>
        <w:t xml:space="preserve"> million</w:t>
      </w:r>
      <w:r w:rsidRPr="008E6674">
        <w:rPr>
          <w:lang w:eastAsia="en-AU"/>
        </w:rPr>
        <w:t>, then their eligible expenditure for the R&amp;D tax credit regime equals $120</w:t>
      </w:r>
      <w:r w:rsidR="008B6BE5" w:rsidRPr="008E6674">
        <w:rPr>
          <w:lang w:eastAsia="en-AU"/>
        </w:rPr>
        <w:t xml:space="preserve"> million</w:t>
      </w:r>
      <w:r w:rsidR="00485279">
        <w:rPr>
          <w:lang w:eastAsia="en-AU"/>
        </w:rPr>
        <w:t xml:space="preserve">. </w:t>
      </w:r>
      <w:r w:rsidR="0033260F" w:rsidRPr="008E6674">
        <w:rPr>
          <w:lang w:eastAsia="en-AU"/>
        </w:rPr>
        <w:t>The cap includes expenditure claimed by the person’s associates, so that the combined claim of a person and their associates is limited to $120 million.</w:t>
      </w:r>
    </w:p>
    <w:p w14:paraId="3612F904" w14:textId="77777777" w:rsidR="00B97523" w:rsidRPr="008E6674" w:rsidRDefault="00B97523" w:rsidP="00CF5051">
      <w:pPr>
        <w:rPr>
          <w:lang w:eastAsia="en-AU"/>
        </w:rPr>
      </w:pPr>
    </w:p>
    <w:p w14:paraId="634F98DE" w14:textId="77777777" w:rsidR="008E6B90" w:rsidRPr="008E6674" w:rsidRDefault="008E6B90" w:rsidP="00CF5051">
      <w:pPr>
        <w:pStyle w:val="Heading3"/>
      </w:pPr>
      <w:r w:rsidRPr="008E6674">
        <w:t>Applying to exceed the cap</w:t>
      </w:r>
    </w:p>
    <w:p w14:paraId="7FA866A2" w14:textId="77777777" w:rsidR="008E6B90" w:rsidRDefault="008E6B90" w:rsidP="00CF5051">
      <w:pPr>
        <w:rPr>
          <w:lang w:eastAsia="en-AU"/>
        </w:rPr>
      </w:pPr>
    </w:p>
    <w:p w14:paraId="7A763F3F" w14:textId="46E51EB5" w:rsidR="008E6B90" w:rsidRDefault="008E6B90" w:rsidP="00CF5051">
      <w:pPr>
        <w:rPr>
          <w:lang w:eastAsia="en-AU"/>
        </w:rPr>
      </w:pPr>
      <w:r>
        <w:rPr>
          <w:lang w:eastAsia="en-AU"/>
        </w:rPr>
        <w:t xml:space="preserve">Proposed new section 68CD enables </w:t>
      </w:r>
      <w:r w:rsidR="00662D85">
        <w:rPr>
          <w:lang w:eastAsia="en-AU"/>
        </w:rPr>
        <w:t xml:space="preserve">people </w:t>
      </w:r>
      <w:r w:rsidR="00892CA5">
        <w:rPr>
          <w:lang w:eastAsia="en-AU"/>
        </w:rPr>
        <w:t>who expect to have more than $120</w:t>
      </w:r>
      <w:r w:rsidR="00CD5D14">
        <w:rPr>
          <w:lang w:eastAsia="en-AU"/>
        </w:rPr>
        <w:t> </w:t>
      </w:r>
      <w:r w:rsidR="008B6BE5">
        <w:rPr>
          <w:lang w:eastAsia="en-AU"/>
        </w:rPr>
        <w:t>million</w:t>
      </w:r>
      <w:r w:rsidR="00892CA5">
        <w:rPr>
          <w:lang w:eastAsia="en-AU"/>
        </w:rPr>
        <w:t xml:space="preserve"> of eligible expenditure in an income year to apply to the Commissioner to exceed the expenditure cap. </w:t>
      </w:r>
      <w:r w:rsidR="00C7677E">
        <w:rPr>
          <w:lang w:eastAsia="en-AU"/>
        </w:rPr>
        <w:t xml:space="preserve">If approved, a </w:t>
      </w:r>
      <w:r w:rsidR="00662D85">
        <w:rPr>
          <w:lang w:eastAsia="en-AU"/>
        </w:rPr>
        <w:t xml:space="preserve">person’s </w:t>
      </w:r>
      <w:r w:rsidR="00C7677E">
        <w:rPr>
          <w:lang w:eastAsia="en-AU"/>
        </w:rPr>
        <w:t>total R&amp;D expenditure (for calculating their R&amp;D tax credit under proposed new section LY 4) equals their cap as approved by the Com</w:t>
      </w:r>
      <w:r w:rsidR="002A4D32">
        <w:rPr>
          <w:lang w:eastAsia="en-AU"/>
        </w:rPr>
        <w:t>missioner (approved R&amp;D cap).</w:t>
      </w:r>
    </w:p>
    <w:p w14:paraId="25655165" w14:textId="77777777" w:rsidR="008E6B90" w:rsidRDefault="008E6B90" w:rsidP="00CF5051">
      <w:pPr>
        <w:rPr>
          <w:lang w:eastAsia="en-AU"/>
        </w:rPr>
      </w:pPr>
    </w:p>
    <w:p w14:paraId="3AF04CC2" w14:textId="04CBB7CA" w:rsidR="008E6B90" w:rsidRDefault="008E6B90" w:rsidP="00CF5051">
      <w:pPr>
        <w:rPr>
          <w:lang w:eastAsia="en-AU"/>
        </w:rPr>
      </w:pPr>
      <w:r>
        <w:rPr>
          <w:lang w:eastAsia="en-AU"/>
        </w:rPr>
        <w:t xml:space="preserve">Applications to exceed the cap must be made by the </w:t>
      </w:r>
      <w:r w:rsidR="00662D85">
        <w:rPr>
          <w:lang w:eastAsia="en-AU"/>
        </w:rPr>
        <w:t xml:space="preserve">seventh </w:t>
      </w:r>
      <w:r>
        <w:rPr>
          <w:lang w:eastAsia="en-AU"/>
        </w:rPr>
        <w:t xml:space="preserve">day of the </w:t>
      </w:r>
      <w:r w:rsidR="00662D85">
        <w:rPr>
          <w:lang w:eastAsia="en-AU"/>
        </w:rPr>
        <w:t xml:space="preserve">second </w:t>
      </w:r>
      <w:r>
        <w:rPr>
          <w:lang w:eastAsia="en-AU"/>
        </w:rPr>
        <w:t xml:space="preserve">month after the end of the relevant income year (for a </w:t>
      </w:r>
      <w:r w:rsidR="00A76C31">
        <w:rPr>
          <w:lang w:eastAsia="en-AU"/>
        </w:rPr>
        <w:t xml:space="preserve">person </w:t>
      </w:r>
      <w:r>
        <w:rPr>
          <w:lang w:eastAsia="en-AU"/>
        </w:rPr>
        <w:t>with a standard balance date in the year ended 31 March 2021, their application to exceed the cap would n</w:t>
      </w:r>
      <w:r w:rsidR="002A4D32">
        <w:rPr>
          <w:lang w:eastAsia="en-AU"/>
        </w:rPr>
        <w:t>eed to be filed by 7 May 2021).</w:t>
      </w:r>
    </w:p>
    <w:p w14:paraId="2FBD89BE" w14:textId="77777777" w:rsidR="008E6B90" w:rsidRDefault="008E6B90" w:rsidP="00CF5051">
      <w:pPr>
        <w:rPr>
          <w:lang w:eastAsia="en-AU"/>
        </w:rPr>
      </w:pPr>
    </w:p>
    <w:p w14:paraId="1559FAA5" w14:textId="6EA8ED79" w:rsidR="00892CA5" w:rsidRDefault="008E6B90" w:rsidP="00CF5051">
      <w:pPr>
        <w:rPr>
          <w:lang w:eastAsia="en-AU"/>
        </w:rPr>
      </w:pPr>
      <w:r>
        <w:rPr>
          <w:lang w:eastAsia="en-AU"/>
        </w:rPr>
        <w:t xml:space="preserve">The Commissioner can only approve applications to exceed the cap if satisfied </w:t>
      </w:r>
      <w:r w:rsidR="00CD5D14">
        <w:rPr>
          <w:lang w:eastAsia="en-AU"/>
        </w:rPr>
        <w:t xml:space="preserve">that </w:t>
      </w:r>
      <w:r>
        <w:rPr>
          <w:lang w:eastAsia="en-AU"/>
        </w:rPr>
        <w:t xml:space="preserve">an applicant’s R&amp;D activities will give rise to </w:t>
      </w:r>
      <w:r w:rsidR="00A76C31">
        <w:rPr>
          <w:lang w:eastAsia="en-AU"/>
        </w:rPr>
        <w:t xml:space="preserve">a </w:t>
      </w:r>
      <w:r>
        <w:rPr>
          <w:lang w:eastAsia="en-AU"/>
        </w:rPr>
        <w:t xml:space="preserve">substantial net benefit for New Zealand. </w:t>
      </w:r>
      <w:r w:rsidR="00CD5D14">
        <w:rPr>
          <w:lang w:eastAsia="en-AU"/>
        </w:rPr>
        <w:t>The Commissioner</w:t>
      </w:r>
      <w:r w:rsidRPr="00EF63F7">
        <w:rPr>
          <w:lang w:eastAsia="en-AU"/>
        </w:rPr>
        <w:t xml:space="preserve"> is</w:t>
      </w:r>
      <w:r>
        <w:rPr>
          <w:lang w:eastAsia="en-AU"/>
        </w:rPr>
        <w:t xml:space="preserve"> also required to consult with the </w:t>
      </w:r>
      <w:r w:rsidR="008E6674">
        <w:rPr>
          <w:lang w:eastAsia="en-AU"/>
        </w:rPr>
        <w:t>C</w:t>
      </w:r>
      <w:r>
        <w:rPr>
          <w:lang w:eastAsia="en-AU"/>
        </w:rPr>
        <w:t xml:space="preserve">hief </w:t>
      </w:r>
      <w:r w:rsidR="008E6674">
        <w:rPr>
          <w:lang w:eastAsia="en-AU"/>
        </w:rPr>
        <w:t>E</w:t>
      </w:r>
      <w:r>
        <w:rPr>
          <w:lang w:eastAsia="en-AU"/>
        </w:rPr>
        <w:t>xecutive of MBIE.</w:t>
      </w:r>
    </w:p>
    <w:p w14:paraId="10E7E0A7" w14:textId="77777777" w:rsidR="00B97523" w:rsidRDefault="00B97523" w:rsidP="00CF5051">
      <w:pPr>
        <w:rPr>
          <w:lang w:eastAsia="en-AU"/>
        </w:rPr>
      </w:pPr>
    </w:p>
    <w:p w14:paraId="2AA2241C" w14:textId="77777777" w:rsidR="00B97523" w:rsidRPr="004B5D10" w:rsidRDefault="00B97523" w:rsidP="00CF5051">
      <w:pPr>
        <w:rPr>
          <w:lang w:eastAsia="en-AU"/>
        </w:rPr>
      </w:pPr>
    </w:p>
    <w:p w14:paraId="37F13D65" w14:textId="77777777" w:rsidR="004B5D10" w:rsidRPr="004B5D10" w:rsidRDefault="004B5D10" w:rsidP="00CF5051">
      <w:pPr>
        <w:pStyle w:val="Heading2"/>
      </w:pPr>
      <w:r w:rsidRPr="004B5D10">
        <w:t>Background</w:t>
      </w:r>
    </w:p>
    <w:p w14:paraId="29501DEA" w14:textId="77777777" w:rsidR="00B97523" w:rsidRDefault="00B97523" w:rsidP="00CF5051">
      <w:pPr>
        <w:rPr>
          <w:lang w:val="en-GB" w:eastAsia="en-AU"/>
        </w:rPr>
      </w:pPr>
    </w:p>
    <w:p w14:paraId="3CCD2109" w14:textId="103CB2DA" w:rsidR="00892CA5" w:rsidRDefault="00892CA5" w:rsidP="00CF5051">
      <w:pPr>
        <w:rPr>
          <w:lang w:val="en-GB" w:eastAsia="en-AU"/>
        </w:rPr>
      </w:pPr>
      <w:r>
        <w:rPr>
          <w:lang w:val="en-GB" w:eastAsia="en-AU"/>
        </w:rPr>
        <w:t>The expenditure cap of $120</w:t>
      </w:r>
      <w:r w:rsidR="008B6BE5">
        <w:rPr>
          <w:lang w:val="en-GB" w:eastAsia="en-AU"/>
        </w:rPr>
        <w:t xml:space="preserve"> million</w:t>
      </w:r>
      <w:r>
        <w:rPr>
          <w:lang w:val="en-GB" w:eastAsia="en-AU"/>
        </w:rPr>
        <w:t xml:space="preserve"> for each income year equates to a maximum credit of $18</w:t>
      </w:r>
      <w:r w:rsidR="008B6BE5">
        <w:rPr>
          <w:lang w:val="en-GB" w:eastAsia="en-AU"/>
        </w:rPr>
        <w:t xml:space="preserve"> million</w:t>
      </w:r>
      <w:r>
        <w:rPr>
          <w:lang w:val="en-GB" w:eastAsia="en-AU"/>
        </w:rPr>
        <w:t>, based on a 15% R&amp;D tax credit rate. The cap contain</w:t>
      </w:r>
      <w:r w:rsidR="00083245">
        <w:rPr>
          <w:lang w:val="en-GB" w:eastAsia="en-AU"/>
        </w:rPr>
        <w:t>s</w:t>
      </w:r>
      <w:r>
        <w:rPr>
          <w:lang w:val="en-GB" w:eastAsia="en-AU"/>
        </w:rPr>
        <w:t xml:space="preserve"> the fiscal risk associated </w:t>
      </w:r>
      <w:r w:rsidR="002A4D32">
        <w:rPr>
          <w:lang w:val="en-GB" w:eastAsia="en-AU"/>
        </w:rPr>
        <w:t>with the R&amp;D tax credit regime.</w:t>
      </w:r>
    </w:p>
    <w:p w14:paraId="24792BD7" w14:textId="77777777" w:rsidR="00892CA5" w:rsidRDefault="00892CA5" w:rsidP="00CF5051">
      <w:pPr>
        <w:rPr>
          <w:lang w:val="en-GB" w:eastAsia="en-AU"/>
        </w:rPr>
      </w:pPr>
    </w:p>
    <w:p w14:paraId="57939B37" w14:textId="15456D89" w:rsidR="00892CA5" w:rsidRDefault="00892CA5" w:rsidP="00CF5051">
      <w:pPr>
        <w:rPr>
          <w:lang w:val="en-GB" w:eastAsia="en-AU"/>
        </w:rPr>
      </w:pPr>
      <w:r>
        <w:rPr>
          <w:lang w:val="en-GB" w:eastAsia="en-AU"/>
        </w:rPr>
        <w:t>The Government believes it is important, however, for businesses to be able to apply to exceed the $120</w:t>
      </w:r>
      <w:r w:rsidR="008B6BE5">
        <w:rPr>
          <w:lang w:val="en-GB" w:eastAsia="en-AU"/>
        </w:rPr>
        <w:t xml:space="preserve"> million</w:t>
      </w:r>
      <w:r>
        <w:rPr>
          <w:lang w:val="en-GB" w:eastAsia="en-AU"/>
        </w:rPr>
        <w:t xml:space="preserve"> cap if their R&amp;D is expected to result in a substanti</w:t>
      </w:r>
      <w:r w:rsidR="002A4D32">
        <w:rPr>
          <w:lang w:val="en-GB" w:eastAsia="en-AU"/>
        </w:rPr>
        <w:t>al net benefit for New Zealand.</w:t>
      </w:r>
    </w:p>
    <w:p w14:paraId="20C800C1" w14:textId="77777777" w:rsidR="00D409AC" w:rsidRDefault="00D409AC" w:rsidP="00CF5051">
      <w:pPr>
        <w:rPr>
          <w:lang w:val="en-GB" w:eastAsia="en-AU"/>
        </w:rPr>
      </w:pPr>
    </w:p>
    <w:p w14:paraId="33D1A62F" w14:textId="351ABBD0" w:rsidR="00D409AC" w:rsidRDefault="00D409AC" w:rsidP="00CF5051">
      <w:pPr>
        <w:rPr>
          <w:lang w:val="en-GB" w:eastAsia="en-AU"/>
        </w:rPr>
      </w:pPr>
      <w:r>
        <w:rPr>
          <w:lang w:val="en-GB" w:eastAsia="en-AU"/>
        </w:rPr>
        <w:t>The information that is likely to be required to demonstrate a substantial net benefit for New Zealand includes:</w:t>
      </w:r>
    </w:p>
    <w:p w14:paraId="0CE12A26" w14:textId="77777777" w:rsidR="00D409AC" w:rsidRDefault="00D409AC" w:rsidP="00CF5051">
      <w:pPr>
        <w:rPr>
          <w:lang w:val="en-GB" w:eastAsia="en-AU"/>
        </w:rPr>
      </w:pPr>
    </w:p>
    <w:p w14:paraId="5DA3E364" w14:textId="2F80C722" w:rsidR="00D409AC" w:rsidRPr="00D409AC" w:rsidRDefault="00CD5D14" w:rsidP="00CF5051">
      <w:pPr>
        <w:pStyle w:val="dotpoint"/>
      </w:pPr>
      <w:r>
        <w:t>i</w:t>
      </w:r>
      <w:r w:rsidR="00D409AC" w:rsidRPr="00D409AC">
        <w:t>mpacts on New Zealand based economic activity;</w:t>
      </w:r>
    </w:p>
    <w:p w14:paraId="60402D37" w14:textId="6FAC7394" w:rsidR="00D409AC" w:rsidRPr="00D409AC" w:rsidRDefault="00CD5D14" w:rsidP="00CF5051">
      <w:pPr>
        <w:pStyle w:val="dotpoint"/>
      </w:pPr>
      <w:r>
        <w:t>i</w:t>
      </w:r>
      <w:r w:rsidR="00D409AC" w:rsidRPr="00D409AC">
        <w:t>mpacts on job opportunitie</w:t>
      </w:r>
      <w:r w:rsidR="002A4D32">
        <w:t>s and skills of New Zealanders;</w:t>
      </w:r>
    </w:p>
    <w:p w14:paraId="1AD60EB6" w14:textId="790381B9" w:rsidR="00D409AC" w:rsidRPr="00D409AC" w:rsidRDefault="00CD5D14" w:rsidP="00CF5051">
      <w:pPr>
        <w:pStyle w:val="dotpoint"/>
      </w:pPr>
      <w:r>
        <w:t>e</w:t>
      </w:r>
      <w:r w:rsidR="00D409AC" w:rsidRPr="00D409AC">
        <w:t>nhancements to market competition, efficiency, productivity, and</w:t>
      </w:r>
      <w:r w:rsidR="002A4D32">
        <w:t xml:space="preserve"> service levels in New Zealand;</w:t>
      </w:r>
    </w:p>
    <w:p w14:paraId="338AFA31" w14:textId="596A1935" w:rsidR="00D409AC" w:rsidRPr="00D409AC" w:rsidRDefault="00CD5D14" w:rsidP="00CF5051">
      <w:pPr>
        <w:pStyle w:val="dotpoint"/>
      </w:pPr>
      <w:r>
        <w:t>w</w:t>
      </w:r>
      <w:r w:rsidR="00D409AC" w:rsidRPr="00D409AC">
        <w:t>ider benefits to New Zealand; and</w:t>
      </w:r>
    </w:p>
    <w:p w14:paraId="06ECFA4F" w14:textId="3B7F3C7B" w:rsidR="00D409AC" w:rsidRDefault="00CD5D14" w:rsidP="00CF5051">
      <w:pPr>
        <w:pStyle w:val="dotpoint"/>
        <w:spacing w:after="0"/>
      </w:pPr>
      <w:r>
        <w:t>t</w:t>
      </w:r>
      <w:r w:rsidR="00D409AC" w:rsidRPr="00D409AC">
        <w:t>he durability and sustainability of the benefits to New Zealand.</w:t>
      </w:r>
    </w:p>
    <w:p w14:paraId="6B21DF39" w14:textId="77777777" w:rsidR="00CF5051" w:rsidRDefault="00CF5051" w:rsidP="00CF5051">
      <w:pPr>
        <w:pStyle w:val="dotpoint"/>
        <w:numPr>
          <w:ilvl w:val="0"/>
          <w:numId w:val="0"/>
        </w:numPr>
        <w:spacing w:after="0"/>
        <w:ind w:left="567" w:hanging="567"/>
      </w:pPr>
    </w:p>
    <w:p w14:paraId="0D7D7C28" w14:textId="600A42D5" w:rsidR="00CF5051" w:rsidRPr="00D409AC" w:rsidRDefault="002C3CD8" w:rsidP="00CF5051">
      <w:pPr>
        <w:pStyle w:val="dotpoint"/>
        <w:numPr>
          <w:ilvl w:val="0"/>
          <w:numId w:val="0"/>
        </w:numPr>
        <w:spacing w:after="0"/>
        <w:ind w:left="567" w:hanging="567"/>
      </w:pPr>
      <w:r>
        <w:rPr>
          <w:noProof/>
          <w:lang w:eastAsia="en-NZ"/>
        </w:rPr>
        <mc:AlternateContent>
          <mc:Choice Requires="wps">
            <w:drawing>
              <wp:anchor distT="0" distB="0" distL="114300" distR="114300" simplePos="0" relativeHeight="251660288" behindDoc="1" locked="0" layoutInCell="1" allowOverlap="1" wp14:anchorId="04B2C152" wp14:editId="6F518836">
                <wp:simplePos x="0" y="0"/>
                <wp:positionH relativeFrom="column">
                  <wp:posOffset>-131445</wp:posOffset>
                </wp:positionH>
                <wp:positionV relativeFrom="paragraph">
                  <wp:posOffset>48895</wp:posOffset>
                </wp:positionV>
                <wp:extent cx="5572125" cy="60293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572125" cy="602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49CC8" w14:textId="77777777" w:rsidR="00016F1F" w:rsidRDefault="00016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left:0;text-align:left;margin-left:-10.35pt;margin-top:3.85pt;width:438.75pt;height:474.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" fillcolor="white [3201]" strokeweight=".5pt">
                <v:textbox>
                  <w:txbxContent>
                    <w:p w14:paraId="4FD49CC8" w14:textId="77777777" w:rsidR="00016F1F" w:rsidRDefault="00016F1F"/>
                  </w:txbxContent>
                </v:textbox>
              </v:shape>
            </w:pict>
          </mc:Fallback>
        </mc:AlternateContent>
      </w:r>
    </w:p>
    <w:p w14:paraId="42C75343" w14:textId="1636F7F4" w:rsidR="00CF5051" w:rsidRDefault="00CF5051" w:rsidP="002A4D32">
      <w:pPr>
        <w:pStyle w:val="Exampleheading1"/>
        <w:pBdr>
          <w:top w:val="none" w:sz="0" w:space="0" w:color="auto"/>
          <w:left w:val="none" w:sz="0" w:space="0" w:color="auto"/>
          <w:bottom w:val="none" w:sz="0" w:space="0" w:color="auto"/>
          <w:right w:val="none" w:sz="0" w:space="0" w:color="auto"/>
        </w:pBdr>
      </w:pPr>
      <w:r w:rsidRPr="00697F90">
        <w:t>Example</w:t>
      </w:r>
      <w:r w:rsidR="00DF2F85">
        <w:t xml:space="preserve"> 14</w:t>
      </w:r>
      <w:r w:rsidRPr="00697F90">
        <w:t xml:space="preserve">: </w:t>
      </w:r>
      <w:r w:rsidR="00DF2F85">
        <w:t>A</w:t>
      </w:r>
      <w:r w:rsidRPr="00697F90">
        <w:t>ssociated persons with expenditure in excess of the cap</w:t>
      </w:r>
    </w:p>
    <w:p w14:paraId="33C36C2B" w14:textId="77777777" w:rsidR="00CF5051" w:rsidRPr="00697F90" w:rsidRDefault="00CF5051" w:rsidP="002A4D32">
      <w:pPr>
        <w:pStyle w:val="Exampletext"/>
        <w:pBdr>
          <w:top w:val="none" w:sz="0" w:space="0" w:color="auto"/>
          <w:left w:val="none" w:sz="0" w:space="0" w:color="auto"/>
          <w:bottom w:val="none" w:sz="0" w:space="0" w:color="auto"/>
          <w:right w:val="none" w:sz="0" w:space="0" w:color="auto"/>
        </w:pBdr>
      </w:pPr>
    </w:p>
    <w:p w14:paraId="73D1FCF1" w14:textId="77777777" w:rsidR="00CF5051" w:rsidRDefault="00CF5051" w:rsidP="002A4D32">
      <w:pPr>
        <w:pStyle w:val="Exampletext"/>
        <w:pBdr>
          <w:top w:val="none" w:sz="0" w:space="0" w:color="auto"/>
          <w:left w:val="none" w:sz="0" w:space="0" w:color="auto"/>
          <w:bottom w:val="none" w:sz="0" w:space="0" w:color="auto"/>
          <w:right w:val="none" w:sz="0" w:space="0" w:color="auto"/>
        </w:pBdr>
      </w:pPr>
      <w:r w:rsidRPr="00697F90">
        <w:t>Muff Ltd and Mungnip Ltd are associated. Their combined R&amp;D expenditure for the year ended 31 March 2022 totals $150 million. They were not able to apply to exceed the $120 million cap, because their R&amp;D will not result in a substantial net benefit for New Zealand.</w:t>
      </w:r>
    </w:p>
    <w:p w14:paraId="40EE610E" w14:textId="77777777" w:rsidR="00016F1F" w:rsidRDefault="00016F1F" w:rsidP="002A4D32">
      <w:pPr>
        <w:pStyle w:val="Exampletext"/>
        <w:pBdr>
          <w:top w:val="none" w:sz="0" w:space="0" w:color="auto"/>
          <w:left w:val="none" w:sz="0" w:space="0" w:color="auto"/>
          <w:bottom w:val="none" w:sz="0" w:space="0" w:color="auto"/>
          <w:right w:val="none" w:sz="0" w:space="0" w:color="auto"/>
        </w:pBdr>
      </w:pPr>
    </w:p>
    <w:p w14:paraId="59E18DF4" w14:textId="734A858F" w:rsidR="00CF5051" w:rsidRPr="00016F1F" w:rsidRDefault="00016F1F" w:rsidP="00016F1F">
      <w:pPr>
        <w:spacing w:after="100"/>
        <w:jc w:val="center"/>
        <w:rPr>
          <w:rFonts w:cs="Times New Roman"/>
          <w:b/>
          <w:sz w:val="20"/>
          <w:szCs w:val="20"/>
        </w:rPr>
      </w:pPr>
      <w:r w:rsidRPr="00016F1F">
        <w:rPr>
          <w:rFonts w:cs="Times New Roman"/>
          <w:b/>
          <w:sz w:val="20"/>
          <w:szCs w:val="20"/>
        </w:rPr>
        <w:t xml:space="preserve">Muff Ltd and Mungnip Ltd </w:t>
      </w:r>
      <w:r w:rsidRPr="00016F1F">
        <w:rPr>
          <w:rFonts w:cs="Times New Roman"/>
          <w:b/>
          <w:sz w:val="20"/>
          <w:szCs w:val="20"/>
        </w:rPr>
        <w:br/>
        <w:t>31 March 2022</w:t>
      </w:r>
    </w:p>
    <w:tbl>
      <w:tblPr>
        <w:tblStyle w:val="TableGrid"/>
        <w:tblW w:w="0" w:type="auto"/>
        <w:tblInd w:w="2518" w:type="dxa"/>
        <w:tblLook w:val="04A0" w:firstRow="1" w:lastRow="0" w:firstColumn="1" w:lastColumn="0" w:noHBand="0" w:noVBand="1"/>
      </w:tblPr>
      <w:tblGrid>
        <w:gridCol w:w="1549"/>
        <w:gridCol w:w="1995"/>
      </w:tblGrid>
      <w:tr w:rsidR="00CF5051" w:rsidRPr="00457302" w14:paraId="41EAE264" w14:textId="77777777" w:rsidTr="00016F1F">
        <w:trPr>
          <w:tblHeader/>
        </w:trPr>
        <w:tc>
          <w:tcPr>
            <w:tcW w:w="1549" w:type="dxa"/>
            <w:shd w:val="clear" w:color="auto" w:fill="auto"/>
          </w:tcPr>
          <w:p w14:paraId="12AF1925" w14:textId="77777777" w:rsidR="00CF5051" w:rsidRPr="00016F1F" w:rsidRDefault="00CF5051" w:rsidP="00E31F02">
            <w:pPr>
              <w:spacing w:before="40" w:after="40"/>
              <w:jc w:val="left"/>
              <w:rPr>
                <w:rFonts w:cs="Times New Roman"/>
                <w:b/>
                <w:sz w:val="20"/>
                <w:szCs w:val="20"/>
              </w:rPr>
            </w:pPr>
            <w:r w:rsidRPr="00016F1F">
              <w:rPr>
                <w:rFonts w:cs="Times New Roman"/>
                <w:b/>
                <w:sz w:val="20"/>
                <w:szCs w:val="20"/>
              </w:rPr>
              <w:t>Claimant</w:t>
            </w:r>
          </w:p>
        </w:tc>
        <w:tc>
          <w:tcPr>
            <w:tcW w:w="1995" w:type="dxa"/>
            <w:shd w:val="clear" w:color="auto" w:fill="auto"/>
          </w:tcPr>
          <w:p w14:paraId="62646E5D" w14:textId="2E0BC07E" w:rsidR="00CF5051" w:rsidRPr="00016F1F" w:rsidRDefault="00CF5051" w:rsidP="00E36934">
            <w:pPr>
              <w:spacing w:before="40" w:after="40"/>
              <w:jc w:val="right"/>
              <w:rPr>
                <w:rFonts w:cs="Times New Roman"/>
                <w:b/>
                <w:sz w:val="20"/>
                <w:szCs w:val="20"/>
              </w:rPr>
            </w:pPr>
            <w:r w:rsidRPr="00016F1F">
              <w:rPr>
                <w:rFonts w:cs="Times New Roman"/>
                <w:b/>
                <w:sz w:val="20"/>
                <w:szCs w:val="20"/>
              </w:rPr>
              <w:t>R&amp;D expenditure</w:t>
            </w:r>
          </w:p>
        </w:tc>
      </w:tr>
      <w:tr w:rsidR="00CF5051" w:rsidRPr="00457302" w14:paraId="70A957E2" w14:textId="77777777" w:rsidTr="001C51DF">
        <w:tc>
          <w:tcPr>
            <w:tcW w:w="1549" w:type="dxa"/>
          </w:tcPr>
          <w:p w14:paraId="6AFBF2CA" w14:textId="77777777" w:rsidR="00CF5051" w:rsidRPr="00697F90" w:rsidRDefault="00CF5051" w:rsidP="00E31F02">
            <w:pPr>
              <w:spacing w:before="40" w:after="40"/>
              <w:jc w:val="left"/>
              <w:rPr>
                <w:rFonts w:cs="Times New Roman"/>
                <w:sz w:val="20"/>
                <w:szCs w:val="20"/>
              </w:rPr>
            </w:pPr>
            <w:r w:rsidRPr="00697F90">
              <w:rPr>
                <w:rFonts w:cs="Times New Roman"/>
                <w:sz w:val="20"/>
                <w:szCs w:val="20"/>
              </w:rPr>
              <w:t>Muff Ltd</w:t>
            </w:r>
          </w:p>
        </w:tc>
        <w:tc>
          <w:tcPr>
            <w:tcW w:w="1995" w:type="dxa"/>
          </w:tcPr>
          <w:p w14:paraId="5E9E0EC4" w14:textId="77777777" w:rsidR="00CF5051" w:rsidRPr="00697F90" w:rsidRDefault="00CF5051" w:rsidP="00E31F02">
            <w:pPr>
              <w:spacing w:before="40" w:after="40"/>
              <w:jc w:val="right"/>
              <w:rPr>
                <w:rFonts w:cs="Times New Roman"/>
                <w:sz w:val="20"/>
                <w:szCs w:val="20"/>
              </w:rPr>
            </w:pPr>
            <w:r w:rsidRPr="00697F90">
              <w:rPr>
                <w:rFonts w:cs="Times New Roman"/>
                <w:sz w:val="20"/>
                <w:szCs w:val="20"/>
              </w:rPr>
              <w:t>$80 million</w:t>
            </w:r>
          </w:p>
        </w:tc>
      </w:tr>
      <w:tr w:rsidR="00CF5051" w:rsidRPr="00457302" w14:paraId="7E7A56BD" w14:textId="77777777" w:rsidTr="001C51DF">
        <w:tc>
          <w:tcPr>
            <w:tcW w:w="1549" w:type="dxa"/>
            <w:tcBorders>
              <w:bottom w:val="single" w:sz="4" w:space="0" w:color="auto"/>
            </w:tcBorders>
          </w:tcPr>
          <w:p w14:paraId="2B9D5B69" w14:textId="77777777" w:rsidR="00CF5051" w:rsidRPr="00697F90" w:rsidRDefault="00CF5051" w:rsidP="00E31F02">
            <w:pPr>
              <w:spacing w:before="40" w:after="40"/>
              <w:jc w:val="left"/>
              <w:rPr>
                <w:rFonts w:cs="Times New Roman"/>
                <w:sz w:val="20"/>
                <w:szCs w:val="20"/>
              </w:rPr>
            </w:pPr>
            <w:r w:rsidRPr="00697F90">
              <w:rPr>
                <w:rFonts w:cs="Times New Roman"/>
                <w:sz w:val="20"/>
                <w:szCs w:val="20"/>
              </w:rPr>
              <w:t>Mungnip Ltd</w:t>
            </w:r>
          </w:p>
        </w:tc>
        <w:tc>
          <w:tcPr>
            <w:tcW w:w="1995" w:type="dxa"/>
          </w:tcPr>
          <w:p w14:paraId="4EC88A9C" w14:textId="77777777" w:rsidR="00CF5051" w:rsidRPr="00697F90" w:rsidRDefault="00CF5051" w:rsidP="00E31F02">
            <w:pPr>
              <w:spacing w:before="40" w:after="40"/>
              <w:jc w:val="right"/>
              <w:rPr>
                <w:rFonts w:cs="Times New Roman"/>
                <w:sz w:val="20"/>
                <w:szCs w:val="20"/>
              </w:rPr>
            </w:pPr>
            <w:r w:rsidRPr="00697F90">
              <w:rPr>
                <w:rFonts w:cs="Times New Roman"/>
                <w:sz w:val="20"/>
                <w:szCs w:val="20"/>
              </w:rPr>
              <w:t>$70 million</w:t>
            </w:r>
          </w:p>
        </w:tc>
      </w:tr>
      <w:tr w:rsidR="00CF5051" w:rsidRPr="00457302" w14:paraId="4CDF226A" w14:textId="77777777" w:rsidTr="001C51DF">
        <w:tc>
          <w:tcPr>
            <w:tcW w:w="1549" w:type="dxa"/>
            <w:tcBorders>
              <w:left w:val="nil"/>
              <w:bottom w:val="nil"/>
            </w:tcBorders>
          </w:tcPr>
          <w:p w14:paraId="365E8938" w14:textId="77777777" w:rsidR="00CF5051" w:rsidRPr="00697F90" w:rsidRDefault="00CF5051" w:rsidP="00016F1F">
            <w:pPr>
              <w:spacing w:before="40" w:after="40"/>
              <w:jc w:val="right"/>
              <w:rPr>
                <w:rFonts w:cs="Times New Roman"/>
                <w:b/>
                <w:sz w:val="20"/>
                <w:szCs w:val="20"/>
              </w:rPr>
            </w:pPr>
            <w:r w:rsidRPr="00697F90">
              <w:rPr>
                <w:rFonts w:cs="Times New Roman"/>
                <w:b/>
                <w:sz w:val="20"/>
                <w:szCs w:val="20"/>
              </w:rPr>
              <w:t>Total</w:t>
            </w:r>
          </w:p>
        </w:tc>
        <w:tc>
          <w:tcPr>
            <w:tcW w:w="1995" w:type="dxa"/>
          </w:tcPr>
          <w:p w14:paraId="63C30D39" w14:textId="77777777" w:rsidR="00CF5051" w:rsidRPr="00697F90" w:rsidRDefault="00CF5051" w:rsidP="00E31F02">
            <w:pPr>
              <w:spacing w:before="40" w:after="40"/>
              <w:jc w:val="right"/>
              <w:rPr>
                <w:rFonts w:cs="Times New Roman"/>
                <w:b/>
                <w:sz w:val="20"/>
                <w:szCs w:val="20"/>
              </w:rPr>
            </w:pPr>
            <w:r w:rsidRPr="00697F90">
              <w:rPr>
                <w:rFonts w:cs="Times New Roman"/>
                <w:b/>
                <w:sz w:val="20"/>
                <w:szCs w:val="20"/>
              </w:rPr>
              <w:t>$150 million</w:t>
            </w:r>
          </w:p>
        </w:tc>
      </w:tr>
    </w:tbl>
    <w:p w14:paraId="172F5672" w14:textId="77777777" w:rsidR="00CF5051" w:rsidRDefault="00CF5051" w:rsidP="00CF5051"/>
    <w:p w14:paraId="27382D20" w14:textId="57A14F46" w:rsidR="00CF5051" w:rsidRDefault="00CF5051" w:rsidP="002A4D32">
      <w:pPr>
        <w:pStyle w:val="Exampletext"/>
        <w:pBdr>
          <w:top w:val="none" w:sz="0" w:space="0" w:color="auto"/>
          <w:left w:val="none" w:sz="0" w:space="0" w:color="auto"/>
          <w:bottom w:val="none" w:sz="0" w:space="0" w:color="auto"/>
          <w:right w:val="none" w:sz="0" w:space="0" w:color="auto"/>
        </w:pBdr>
      </w:pPr>
      <w:r w:rsidRPr="00697F90">
        <w:t>Muff Ltd filed its income tax and R&amp;D supplementary returns on 1 October 2022. Mungnip Ltd intends to file its returns by 31 March 2023. The returns of both Muff Ltd and Mungnip Ltd are prepared by tax agents, so they both have an extension of time</w:t>
      </w:r>
      <w:r w:rsidR="00C02DAD">
        <w:t xml:space="preserve"> for</w:t>
      </w:r>
      <w:r w:rsidR="002C3CD8">
        <w:t xml:space="preserve"> their returns.</w:t>
      </w:r>
    </w:p>
    <w:p w14:paraId="0E1408D7" w14:textId="77777777" w:rsidR="00CF5051" w:rsidRPr="00697F90" w:rsidRDefault="00CF5051" w:rsidP="002A4D32">
      <w:pPr>
        <w:pStyle w:val="Exampletext"/>
        <w:pBdr>
          <w:top w:val="none" w:sz="0" w:space="0" w:color="auto"/>
          <w:left w:val="none" w:sz="0" w:space="0" w:color="auto"/>
          <w:bottom w:val="none" w:sz="0" w:space="0" w:color="auto"/>
          <w:right w:val="none" w:sz="0" w:space="0" w:color="auto"/>
        </w:pBdr>
      </w:pPr>
    </w:p>
    <w:p w14:paraId="3127FEB1" w14:textId="77777777" w:rsidR="00CF5051" w:rsidRDefault="00CF5051" w:rsidP="002A4D32">
      <w:pPr>
        <w:pStyle w:val="Exampletext"/>
        <w:pBdr>
          <w:top w:val="none" w:sz="0" w:space="0" w:color="auto"/>
          <w:left w:val="none" w:sz="0" w:space="0" w:color="auto"/>
          <w:bottom w:val="none" w:sz="0" w:space="0" w:color="auto"/>
          <w:right w:val="none" w:sz="0" w:space="0" w:color="auto"/>
        </w:pBdr>
      </w:pPr>
      <w:r w:rsidRPr="00697F90">
        <w:t>Applying the aggregation rules in clause 1, schedule 21B, part B:</w:t>
      </w:r>
    </w:p>
    <w:p w14:paraId="19E2CE14" w14:textId="77777777" w:rsidR="00016F1F" w:rsidRDefault="00016F1F" w:rsidP="002A4D32">
      <w:pPr>
        <w:pStyle w:val="Exampletext"/>
        <w:pBdr>
          <w:top w:val="none" w:sz="0" w:space="0" w:color="auto"/>
          <w:left w:val="none" w:sz="0" w:space="0" w:color="auto"/>
          <w:bottom w:val="none" w:sz="0" w:space="0" w:color="auto"/>
          <w:right w:val="none" w:sz="0" w:space="0" w:color="auto"/>
        </w:pBdr>
      </w:pPr>
    </w:p>
    <w:p w14:paraId="6BE04E79" w14:textId="1F1787F7" w:rsidR="00CF5051" w:rsidRPr="00697F90" w:rsidRDefault="00016F1F" w:rsidP="00016F1F">
      <w:pPr>
        <w:spacing w:after="100"/>
        <w:jc w:val="center"/>
      </w:pPr>
      <w:r w:rsidRPr="00016F1F">
        <w:rPr>
          <w:rFonts w:cs="Times New Roman"/>
          <w:b/>
          <w:sz w:val="20"/>
          <w:szCs w:val="20"/>
        </w:rPr>
        <w:t xml:space="preserve">Muff Ltd and Mungnip Ltd </w:t>
      </w:r>
      <w:r w:rsidRPr="00016F1F">
        <w:rPr>
          <w:rFonts w:cs="Times New Roman"/>
          <w:b/>
          <w:sz w:val="20"/>
          <w:szCs w:val="20"/>
        </w:rPr>
        <w:br/>
        <w:t>31 March 2022</w:t>
      </w:r>
    </w:p>
    <w:tbl>
      <w:tblPr>
        <w:tblStyle w:val="TableGrid"/>
        <w:tblW w:w="0" w:type="auto"/>
        <w:tblInd w:w="675" w:type="dxa"/>
        <w:tblLook w:val="04A0" w:firstRow="1" w:lastRow="0" w:firstColumn="1" w:lastColumn="0" w:noHBand="0" w:noVBand="1"/>
      </w:tblPr>
      <w:tblGrid>
        <w:gridCol w:w="5103"/>
        <w:gridCol w:w="1560"/>
      </w:tblGrid>
      <w:tr w:rsidR="00CF5051" w:rsidRPr="00457302" w14:paraId="435995C3" w14:textId="77777777" w:rsidTr="00016F1F">
        <w:trPr>
          <w:tblHeader/>
        </w:trPr>
        <w:tc>
          <w:tcPr>
            <w:tcW w:w="5103" w:type="dxa"/>
            <w:shd w:val="clear" w:color="auto" w:fill="auto"/>
          </w:tcPr>
          <w:p w14:paraId="64BC1C88" w14:textId="77777777" w:rsidR="00CF5051" w:rsidRPr="00016F1F" w:rsidRDefault="00CF5051" w:rsidP="00E31F02">
            <w:pPr>
              <w:spacing w:before="40" w:after="40"/>
              <w:jc w:val="left"/>
              <w:rPr>
                <w:rFonts w:cs="Times New Roman"/>
                <w:b/>
                <w:sz w:val="20"/>
                <w:szCs w:val="20"/>
              </w:rPr>
            </w:pPr>
            <w:r w:rsidRPr="00016F1F">
              <w:rPr>
                <w:rFonts w:cs="Times New Roman"/>
                <w:b/>
                <w:sz w:val="20"/>
                <w:szCs w:val="20"/>
              </w:rPr>
              <w:t>Description</w:t>
            </w:r>
          </w:p>
        </w:tc>
        <w:tc>
          <w:tcPr>
            <w:tcW w:w="1560" w:type="dxa"/>
            <w:shd w:val="clear" w:color="auto" w:fill="auto"/>
          </w:tcPr>
          <w:p w14:paraId="1F9F7509" w14:textId="77777777" w:rsidR="00CF5051" w:rsidRPr="00016F1F" w:rsidRDefault="00CF5051" w:rsidP="00016F1F">
            <w:pPr>
              <w:spacing w:before="40" w:after="40"/>
              <w:jc w:val="right"/>
              <w:rPr>
                <w:rFonts w:cs="Times New Roman"/>
                <w:b/>
                <w:sz w:val="20"/>
                <w:szCs w:val="20"/>
              </w:rPr>
            </w:pPr>
            <w:r w:rsidRPr="00016F1F">
              <w:rPr>
                <w:rFonts w:cs="Times New Roman"/>
                <w:b/>
                <w:sz w:val="20"/>
                <w:szCs w:val="20"/>
              </w:rPr>
              <w:t>Amount</w:t>
            </w:r>
          </w:p>
        </w:tc>
      </w:tr>
      <w:tr w:rsidR="00CF5051" w:rsidRPr="00457302" w14:paraId="46FCBE07" w14:textId="77777777" w:rsidTr="001C51DF">
        <w:tc>
          <w:tcPr>
            <w:tcW w:w="5103" w:type="dxa"/>
          </w:tcPr>
          <w:p w14:paraId="5ED33C38" w14:textId="77777777" w:rsidR="00CF5051" w:rsidRPr="00697F90" w:rsidRDefault="00CF5051" w:rsidP="00E31F02">
            <w:pPr>
              <w:spacing w:before="40" w:after="40"/>
              <w:jc w:val="left"/>
              <w:rPr>
                <w:rFonts w:cs="Times New Roman"/>
                <w:sz w:val="20"/>
                <w:szCs w:val="20"/>
              </w:rPr>
            </w:pPr>
            <w:r w:rsidRPr="00697F90">
              <w:rPr>
                <w:rFonts w:cs="Times New Roman"/>
                <w:sz w:val="20"/>
                <w:szCs w:val="20"/>
              </w:rPr>
              <w:t>Muff Ltd’s claimed expenditure (as returned)</w:t>
            </w:r>
          </w:p>
        </w:tc>
        <w:tc>
          <w:tcPr>
            <w:tcW w:w="1560" w:type="dxa"/>
          </w:tcPr>
          <w:p w14:paraId="68BA1D23" w14:textId="77777777" w:rsidR="00CF5051" w:rsidRPr="00697F90" w:rsidRDefault="00CF5051" w:rsidP="00016F1F">
            <w:pPr>
              <w:spacing w:before="40" w:after="40"/>
              <w:jc w:val="right"/>
              <w:rPr>
                <w:rFonts w:cs="Times New Roman"/>
                <w:sz w:val="20"/>
                <w:szCs w:val="20"/>
              </w:rPr>
            </w:pPr>
            <w:r w:rsidRPr="00697F90">
              <w:rPr>
                <w:rFonts w:cs="Times New Roman"/>
                <w:sz w:val="20"/>
                <w:szCs w:val="20"/>
              </w:rPr>
              <w:t>$80 million</w:t>
            </w:r>
          </w:p>
        </w:tc>
      </w:tr>
      <w:tr w:rsidR="00CF5051" w:rsidRPr="00457302" w14:paraId="4CA4606D" w14:textId="77777777" w:rsidTr="001C51DF">
        <w:tc>
          <w:tcPr>
            <w:tcW w:w="5103" w:type="dxa"/>
            <w:tcBorders>
              <w:bottom w:val="single" w:sz="4" w:space="0" w:color="auto"/>
            </w:tcBorders>
          </w:tcPr>
          <w:p w14:paraId="6912E51D" w14:textId="77777777" w:rsidR="00CF5051" w:rsidRPr="00697F90" w:rsidRDefault="00CF5051" w:rsidP="00E31F02">
            <w:pPr>
              <w:spacing w:before="40" w:after="40"/>
              <w:jc w:val="left"/>
              <w:rPr>
                <w:rFonts w:cs="Times New Roman"/>
                <w:sz w:val="20"/>
                <w:szCs w:val="20"/>
              </w:rPr>
            </w:pPr>
            <w:r w:rsidRPr="00697F90">
              <w:rPr>
                <w:rFonts w:cs="Times New Roman"/>
                <w:sz w:val="20"/>
                <w:szCs w:val="20"/>
              </w:rPr>
              <w:t>Mungnip Ltd’s gross eligible expenditure</w:t>
            </w:r>
          </w:p>
        </w:tc>
        <w:tc>
          <w:tcPr>
            <w:tcW w:w="1560" w:type="dxa"/>
          </w:tcPr>
          <w:p w14:paraId="14EC69D2" w14:textId="77777777" w:rsidR="00CF5051" w:rsidRPr="00697F90" w:rsidRDefault="00CF5051" w:rsidP="00016F1F">
            <w:pPr>
              <w:spacing w:before="40" w:after="40"/>
              <w:jc w:val="right"/>
              <w:rPr>
                <w:rFonts w:cs="Times New Roman"/>
                <w:sz w:val="20"/>
                <w:szCs w:val="20"/>
              </w:rPr>
            </w:pPr>
            <w:r w:rsidRPr="00697F90">
              <w:rPr>
                <w:rFonts w:cs="Times New Roman"/>
                <w:sz w:val="20"/>
                <w:szCs w:val="20"/>
              </w:rPr>
              <w:t>$70 million</w:t>
            </w:r>
          </w:p>
        </w:tc>
      </w:tr>
      <w:tr w:rsidR="00CF5051" w:rsidRPr="00457302" w14:paraId="275569CF" w14:textId="77777777" w:rsidTr="001C51DF">
        <w:tc>
          <w:tcPr>
            <w:tcW w:w="5103" w:type="dxa"/>
            <w:tcBorders>
              <w:left w:val="single" w:sz="4" w:space="0" w:color="auto"/>
            </w:tcBorders>
          </w:tcPr>
          <w:p w14:paraId="591405D8" w14:textId="77777777" w:rsidR="00CF5051" w:rsidRPr="00697F90" w:rsidRDefault="00CF5051" w:rsidP="00E31F02">
            <w:pPr>
              <w:spacing w:before="40" w:after="40"/>
              <w:jc w:val="left"/>
              <w:rPr>
                <w:rFonts w:cs="Times New Roman"/>
                <w:b/>
                <w:sz w:val="20"/>
                <w:szCs w:val="20"/>
              </w:rPr>
            </w:pPr>
            <w:r w:rsidRPr="00697F90">
              <w:rPr>
                <w:rFonts w:cs="Times New Roman"/>
                <w:b/>
                <w:sz w:val="20"/>
                <w:szCs w:val="20"/>
              </w:rPr>
              <w:t>Total</w:t>
            </w:r>
          </w:p>
        </w:tc>
        <w:tc>
          <w:tcPr>
            <w:tcW w:w="1560" w:type="dxa"/>
          </w:tcPr>
          <w:p w14:paraId="70311DE9" w14:textId="77777777" w:rsidR="00CF5051" w:rsidRPr="00697F90" w:rsidRDefault="00CF5051" w:rsidP="00016F1F">
            <w:pPr>
              <w:spacing w:before="40" w:after="40"/>
              <w:jc w:val="right"/>
              <w:rPr>
                <w:rFonts w:cs="Times New Roman"/>
                <w:b/>
                <w:sz w:val="20"/>
                <w:szCs w:val="20"/>
              </w:rPr>
            </w:pPr>
            <w:r w:rsidRPr="00697F90">
              <w:rPr>
                <w:rFonts w:cs="Times New Roman"/>
                <w:b/>
                <w:sz w:val="20"/>
                <w:szCs w:val="20"/>
              </w:rPr>
              <w:t>$150 million</w:t>
            </w:r>
          </w:p>
        </w:tc>
      </w:tr>
      <w:tr w:rsidR="00CF5051" w:rsidRPr="00457302" w14:paraId="418229C6" w14:textId="77777777" w:rsidTr="001C51DF">
        <w:trPr>
          <w:trHeight w:val="129"/>
        </w:trPr>
        <w:tc>
          <w:tcPr>
            <w:tcW w:w="6663" w:type="dxa"/>
            <w:gridSpan w:val="2"/>
            <w:tcBorders>
              <w:left w:val="single" w:sz="4" w:space="0" w:color="auto"/>
            </w:tcBorders>
          </w:tcPr>
          <w:p w14:paraId="12C8EEE9" w14:textId="77777777" w:rsidR="00CF5051" w:rsidRPr="00697F90" w:rsidRDefault="00CF5051" w:rsidP="00E31F02">
            <w:pPr>
              <w:spacing w:before="40" w:after="40"/>
              <w:jc w:val="left"/>
              <w:rPr>
                <w:rFonts w:cs="Times New Roman"/>
                <w:sz w:val="20"/>
                <w:szCs w:val="20"/>
              </w:rPr>
            </w:pPr>
          </w:p>
        </w:tc>
      </w:tr>
      <w:tr w:rsidR="00CF5051" w:rsidRPr="00457302" w14:paraId="002362CF" w14:textId="77777777" w:rsidTr="001C51DF">
        <w:tc>
          <w:tcPr>
            <w:tcW w:w="5103" w:type="dxa"/>
            <w:tcBorders>
              <w:left w:val="single" w:sz="4" w:space="0" w:color="auto"/>
            </w:tcBorders>
          </w:tcPr>
          <w:p w14:paraId="3989758F" w14:textId="77777777" w:rsidR="00CF5051" w:rsidRPr="00697F90" w:rsidRDefault="00CF5051" w:rsidP="00E31F02">
            <w:pPr>
              <w:spacing w:before="40" w:after="40"/>
              <w:jc w:val="left"/>
              <w:rPr>
                <w:rFonts w:cs="Times New Roman"/>
                <w:sz w:val="20"/>
                <w:szCs w:val="20"/>
              </w:rPr>
            </w:pPr>
            <w:r w:rsidRPr="00697F90">
              <w:rPr>
                <w:rFonts w:cs="Times New Roman"/>
                <w:sz w:val="20"/>
                <w:szCs w:val="20"/>
              </w:rPr>
              <w:t>Mungnip Ltd’s gross eligible expenditure</w:t>
            </w:r>
          </w:p>
        </w:tc>
        <w:tc>
          <w:tcPr>
            <w:tcW w:w="1560" w:type="dxa"/>
          </w:tcPr>
          <w:p w14:paraId="696FC69D" w14:textId="77777777" w:rsidR="00CF5051" w:rsidRPr="00697F90" w:rsidRDefault="00CF5051" w:rsidP="00016F1F">
            <w:pPr>
              <w:spacing w:before="40" w:after="40"/>
              <w:jc w:val="right"/>
              <w:rPr>
                <w:rFonts w:cs="Times New Roman"/>
                <w:sz w:val="20"/>
                <w:szCs w:val="20"/>
              </w:rPr>
            </w:pPr>
            <w:r w:rsidRPr="00697F90">
              <w:rPr>
                <w:rFonts w:cs="Times New Roman"/>
                <w:sz w:val="20"/>
                <w:szCs w:val="20"/>
              </w:rPr>
              <w:t>$70 million</w:t>
            </w:r>
          </w:p>
        </w:tc>
      </w:tr>
      <w:tr w:rsidR="00CF5051" w:rsidRPr="00457302" w14:paraId="5C682A4C" w14:textId="77777777" w:rsidTr="001C51DF">
        <w:tc>
          <w:tcPr>
            <w:tcW w:w="5103" w:type="dxa"/>
            <w:tcBorders>
              <w:left w:val="single" w:sz="4" w:space="0" w:color="auto"/>
            </w:tcBorders>
          </w:tcPr>
          <w:p w14:paraId="689256A5" w14:textId="77777777" w:rsidR="00CF5051" w:rsidRPr="00697F90" w:rsidRDefault="00CF5051" w:rsidP="00E31F02">
            <w:pPr>
              <w:spacing w:before="40" w:after="40"/>
              <w:jc w:val="left"/>
              <w:rPr>
                <w:rFonts w:cs="Times New Roman"/>
                <w:sz w:val="20"/>
                <w:szCs w:val="20"/>
              </w:rPr>
            </w:pPr>
            <w:r w:rsidRPr="00697F90">
              <w:rPr>
                <w:rFonts w:cs="Times New Roman"/>
                <w:sz w:val="20"/>
                <w:szCs w:val="20"/>
              </w:rPr>
              <w:t>Mungnip Ltd’s ineligible expenditure ($150,000,000 less $120,000,000)</w:t>
            </w:r>
          </w:p>
        </w:tc>
        <w:tc>
          <w:tcPr>
            <w:tcW w:w="1560" w:type="dxa"/>
            <w:vAlign w:val="center"/>
          </w:tcPr>
          <w:p w14:paraId="5112E1AA" w14:textId="77777777" w:rsidR="00CF5051" w:rsidRPr="00697F90" w:rsidRDefault="00CF5051" w:rsidP="00016F1F">
            <w:pPr>
              <w:spacing w:before="40" w:after="40"/>
              <w:jc w:val="right"/>
              <w:rPr>
                <w:rFonts w:cs="Times New Roman"/>
                <w:color w:val="FF0000"/>
                <w:sz w:val="20"/>
                <w:szCs w:val="20"/>
              </w:rPr>
            </w:pPr>
            <w:r w:rsidRPr="00697F90">
              <w:rPr>
                <w:rFonts w:cs="Times New Roman"/>
                <w:color w:val="FF0000"/>
                <w:sz w:val="20"/>
                <w:szCs w:val="20"/>
              </w:rPr>
              <w:t>($30 million)</w:t>
            </w:r>
          </w:p>
        </w:tc>
      </w:tr>
      <w:tr w:rsidR="00CF5051" w:rsidRPr="00457302" w14:paraId="36878C23" w14:textId="77777777" w:rsidTr="001C51DF">
        <w:tc>
          <w:tcPr>
            <w:tcW w:w="5103" w:type="dxa"/>
            <w:tcBorders>
              <w:left w:val="single" w:sz="4" w:space="0" w:color="auto"/>
              <w:bottom w:val="single" w:sz="4" w:space="0" w:color="auto"/>
            </w:tcBorders>
          </w:tcPr>
          <w:p w14:paraId="232B82E6" w14:textId="77777777" w:rsidR="00CF5051" w:rsidRPr="00697F90" w:rsidRDefault="00CF5051" w:rsidP="00E31F02">
            <w:pPr>
              <w:spacing w:before="40" w:after="40"/>
              <w:jc w:val="left"/>
              <w:rPr>
                <w:rFonts w:cs="Times New Roman"/>
                <w:b/>
                <w:sz w:val="20"/>
                <w:szCs w:val="20"/>
              </w:rPr>
            </w:pPr>
            <w:r w:rsidRPr="00697F90">
              <w:rPr>
                <w:rFonts w:cs="Times New Roman"/>
                <w:b/>
                <w:sz w:val="20"/>
                <w:szCs w:val="20"/>
              </w:rPr>
              <w:t xml:space="preserve">Mungnip Ltd’s net eligible expenditure </w:t>
            </w:r>
          </w:p>
        </w:tc>
        <w:tc>
          <w:tcPr>
            <w:tcW w:w="1560" w:type="dxa"/>
          </w:tcPr>
          <w:p w14:paraId="57496A80" w14:textId="77777777" w:rsidR="00CF5051" w:rsidRPr="00697F90" w:rsidRDefault="00CF5051" w:rsidP="00016F1F">
            <w:pPr>
              <w:spacing w:before="40" w:after="40"/>
              <w:jc w:val="right"/>
              <w:rPr>
                <w:rFonts w:cs="Times New Roman"/>
                <w:b/>
                <w:sz w:val="20"/>
                <w:szCs w:val="20"/>
              </w:rPr>
            </w:pPr>
            <w:r w:rsidRPr="00697F90">
              <w:rPr>
                <w:rFonts w:cs="Times New Roman"/>
                <w:b/>
                <w:sz w:val="20"/>
                <w:szCs w:val="20"/>
              </w:rPr>
              <w:t>$40 million</w:t>
            </w:r>
          </w:p>
        </w:tc>
      </w:tr>
    </w:tbl>
    <w:p w14:paraId="0917FA2D" w14:textId="77777777" w:rsidR="00CF5051" w:rsidRPr="00697F90" w:rsidRDefault="00CF5051" w:rsidP="00CF5051">
      <w:pPr>
        <w:rPr>
          <w:rFonts w:cs="Times New Roman"/>
          <w:sz w:val="20"/>
          <w:szCs w:val="20"/>
        </w:rPr>
      </w:pPr>
    </w:p>
    <w:p w14:paraId="206D68FC" w14:textId="77777777" w:rsidR="002C3CD8" w:rsidRDefault="00CF5051" w:rsidP="002C3CD8">
      <w:pPr>
        <w:pStyle w:val="Exampletext"/>
        <w:pBdr>
          <w:top w:val="none" w:sz="0" w:space="0" w:color="auto"/>
          <w:left w:val="none" w:sz="0" w:space="0" w:color="auto"/>
          <w:bottom w:val="none" w:sz="0" w:space="0" w:color="auto"/>
          <w:right w:val="none" w:sz="0" w:space="0" w:color="auto"/>
        </w:pBdr>
      </w:pPr>
      <w:r w:rsidRPr="00697F90">
        <w:t>Mungnip Ltd’s eligible expenditure that it can claim in its income tax and R&amp;D supplementary returns is $40 million. This is because $80 million (Muff Ltd’s claimed expenditure) plus $40 million (Mungnip Ltd’s eligible expenditure) equals $120 million.</w:t>
      </w:r>
    </w:p>
    <w:p w14:paraId="614FE586" w14:textId="20615055" w:rsidR="004B5D10" w:rsidRDefault="004B5D10" w:rsidP="002C3CD8">
      <w:pPr>
        <w:pStyle w:val="Exampletext"/>
        <w:pBdr>
          <w:top w:val="none" w:sz="0" w:space="0" w:color="auto"/>
          <w:left w:val="none" w:sz="0" w:space="0" w:color="auto"/>
          <w:bottom w:val="none" w:sz="0" w:space="0" w:color="auto"/>
          <w:right w:val="none" w:sz="0" w:space="0" w:color="auto"/>
        </w:pBdr>
        <w:rPr>
          <w:b/>
          <w:caps/>
          <w:sz w:val="26"/>
        </w:rPr>
      </w:pPr>
      <w:r>
        <w:br w:type="page"/>
      </w:r>
    </w:p>
    <w:p w14:paraId="51252969" w14:textId="77777777" w:rsidR="00E61B69" w:rsidRDefault="00577748" w:rsidP="00F9523D">
      <w:pPr>
        <w:pStyle w:val="Heading1"/>
      </w:pPr>
      <w:bookmarkStart w:id="38" w:name="_Toc528157366"/>
      <w:bookmarkStart w:id="39" w:name="_Toc528195584"/>
      <w:r>
        <w:t>T</w:t>
      </w:r>
      <w:r w:rsidR="00C7677E">
        <w:t xml:space="preserve">ax credit </w:t>
      </w:r>
      <w:r w:rsidR="008B6BE5">
        <w:t xml:space="preserve">rate and </w:t>
      </w:r>
      <w:r w:rsidR="00E61B69">
        <w:t>calculation</w:t>
      </w:r>
      <w:bookmarkEnd w:id="38"/>
      <w:bookmarkEnd w:id="39"/>
    </w:p>
    <w:p w14:paraId="19B271EB" w14:textId="15B18B44" w:rsidR="00E61B69" w:rsidRDefault="00E61B69" w:rsidP="00F9523D">
      <w:pPr>
        <w:pStyle w:val="Heading3"/>
      </w:pPr>
      <w:r w:rsidRPr="00E61B69">
        <w:t xml:space="preserve">Clauses </w:t>
      </w:r>
      <w:r>
        <w:t>10</w:t>
      </w:r>
      <w:r w:rsidR="00681778">
        <w:t xml:space="preserve"> (proposed new section LY 4)</w:t>
      </w:r>
      <w:r>
        <w:t>, 21(7)</w:t>
      </w:r>
      <w:r w:rsidR="004F72A5">
        <w:t xml:space="preserve"> and</w:t>
      </w:r>
      <w:r>
        <w:t xml:space="preserve"> 21(15)</w:t>
      </w:r>
    </w:p>
    <w:p w14:paraId="26B8BD66" w14:textId="77777777" w:rsidR="00F9523D" w:rsidRDefault="00F9523D" w:rsidP="00F9523D">
      <w:pPr>
        <w:rPr>
          <w:lang w:val="en-GB" w:eastAsia="en-AU"/>
        </w:rPr>
      </w:pPr>
    </w:p>
    <w:p w14:paraId="1846AADA" w14:textId="77777777" w:rsidR="00F9523D" w:rsidRPr="00F9523D" w:rsidRDefault="00F9523D" w:rsidP="00F9523D">
      <w:pPr>
        <w:rPr>
          <w:lang w:val="en-GB" w:eastAsia="en-AU"/>
        </w:rPr>
      </w:pPr>
    </w:p>
    <w:p w14:paraId="6DC916DD" w14:textId="66636E08" w:rsidR="00E61B69" w:rsidRPr="00E61B69" w:rsidRDefault="00E61B69" w:rsidP="00F9523D">
      <w:pPr>
        <w:pStyle w:val="Heading2"/>
      </w:pPr>
      <w:r w:rsidRPr="00E61B69">
        <w:t>Summary of proposed amendment</w:t>
      </w:r>
    </w:p>
    <w:p w14:paraId="6A153AE5" w14:textId="77777777" w:rsidR="00F9523D" w:rsidRDefault="00F9523D" w:rsidP="00F9523D">
      <w:pPr>
        <w:rPr>
          <w:lang w:eastAsia="en-AU"/>
        </w:rPr>
      </w:pPr>
    </w:p>
    <w:p w14:paraId="567F1BF6" w14:textId="77777777" w:rsidR="00E61B69" w:rsidRPr="00E61B69" w:rsidRDefault="00E61B69" w:rsidP="00F9523D">
      <w:pPr>
        <w:rPr>
          <w:lang w:eastAsia="en-AU"/>
        </w:rPr>
      </w:pPr>
      <w:r>
        <w:rPr>
          <w:lang w:eastAsia="en-AU"/>
        </w:rPr>
        <w:t xml:space="preserve">The </w:t>
      </w:r>
      <w:r w:rsidR="00A76C31">
        <w:rPr>
          <w:lang w:eastAsia="en-AU"/>
        </w:rPr>
        <w:t xml:space="preserve">Bill </w:t>
      </w:r>
      <w:r>
        <w:rPr>
          <w:lang w:eastAsia="en-AU"/>
        </w:rPr>
        <w:t xml:space="preserve">proposes that </w:t>
      </w:r>
      <w:r w:rsidR="00A76C31">
        <w:rPr>
          <w:lang w:eastAsia="en-AU"/>
        </w:rPr>
        <w:t xml:space="preserve">a person’s </w:t>
      </w:r>
      <w:r>
        <w:rPr>
          <w:lang w:eastAsia="en-AU"/>
        </w:rPr>
        <w:t>R&amp;D tax credit equal</w:t>
      </w:r>
      <w:r w:rsidR="00845E5F">
        <w:rPr>
          <w:lang w:eastAsia="en-AU"/>
        </w:rPr>
        <w:t>s</w:t>
      </w:r>
      <w:r>
        <w:rPr>
          <w:lang w:eastAsia="en-AU"/>
        </w:rPr>
        <w:t xml:space="preserve"> 15% of the</w:t>
      </w:r>
      <w:r w:rsidR="00845E5F">
        <w:rPr>
          <w:lang w:eastAsia="en-AU"/>
        </w:rPr>
        <w:t>ir</w:t>
      </w:r>
      <w:r>
        <w:rPr>
          <w:lang w:eastAsia="en-AU"/>
        </w:rPr>
        <w:t xml:space="preserve"> eligible expenditure</w:t>
      </w:r>
      <w:r w:rsidR="00A76C31">
        <w:rPr>
          <w:lang w:eastAsia="en-AU"/>
        </w:rPr>
        <w:t xml:space="preserve">, </w:t>
      </w:r>
      <w:r>
        <w:rPr>
          <w:lang w:eastAsia="en-AU"/>
        </w:rPr>
        <w:t xml:space="preserve">subject to </w:t>
      </w:r>
      <w:r w:rsidR="00A76C31">
        <w:rPr>
          <w:lang w:eastAsia="en-AU"/>
        </w:rPr>
        <w:t xml:space="preserve">a </w:t>
      </w:r>
      <w:r>
        <w:rPr>
          <w:lang w:eastAsia="en-AU"/>
        </w:rPr>
        <w:t>minimum threshold and expenditure cap. Special rules apply for contracted and foreign expenditure.</w:t>
      </w:r>
    </w:p>
    <w:p w14:paraId="656099FC" w14:textId="77777777" w:rsidR="00E61B69" w:rsidRDefault="00E61B69" w:rsidP="00F9523D">
      <w:pPr>
        <w:rPr>
          <w:lang w:eastAsia="en-AU"/>
        </w:rPr>
      </w:pPr>
    </w:p>
    <w:p w14:paraId="4B814AE4" w14:textId="77777777" w:rsidR="00F9523D" w:rsidRPr="00E61B69" w:rsidRDefault="00F9523D" w:rsidP="00F9523D">
      <w:pPr>
        <w:rPr>
          <w:lang w:eastAsia="en-AU"/>
        </w:rPr>
      </w:pPr>
    </w:p>
    <w:p w14:paraId="46004EC9" w14:textId="77777777" w:rsidR="00E61B69" w:rsidRPr="00E61B69" w:rsidRDefault="00E61B69" w:rsidP="00F9523D">
      <w:pPr>
        <w:pStyle w:val="Heading2"/>
      </w:pPr>
      <w:r w:rsidRPr="00E61B69">
        <w:t>Application date</w:t>
      </w:r>
    </w:p>
    <w:p w14:paraId="14DB40A0" w14:textId="77777777" w:rsidR="00E61B69" w:rsidRPr="00E61B69" w:rsidRDefault="00E61B69" w:rsidP="00F9523D">
      <w:pPr>
        <w:rPr>
          <w:lang w:eastAsia="en-AU"/>
        </w:rPr>
      </w:pPr>
    </w:p>
    <w:p w14:paraId="3A4AF82B" w14:textId="159C0D95" w:rsidR="00E61B69" w:rsidRPr="00E61B69" w:rsidRDefault="00F9523D" w:rsidP="00F9523D">
      <w:pPr>
        <w:rPr>
          <w:lang w:eastAsia="en-AU"/>
        </w:rPr>
      </w:pPr>
      <w:r>
        <w:rPr>
          <w:lang w:eastAsia="en-AU"/>
        </w:rPr>
        <w:t xml:space="preserve">From the </w:t>
      </w:r>
      <w:r w:rsidR="00E010FC">
        <w:rPr>
          <w:lang w:eastAsia="en-AU"/>
        </w:rPr>
        <w:t>2019–20</w:t>
      </w:r>
      <w:r>
        <w:rPr>
          <w:lang w:eastAsia="en-AU"/>
        </w:rPr>
        <w:t xml:space="preserve"> income year.</w:t>
      </w:r>
    </w:p>
    <w:p w14:paraId="691F4C61" w14:textId="77777777" w:rsidR="00E61B69" w:rsidRDefault="00E61B69" w:rsidP="00F9523D">
      <w:pPr>
        <w:rPr>
          <w:lang w:eastAsia="en-AU"/>
        </w:rPr>
      </w:pPr>
    </w:p>
    <w:p w14:paraId="3A22F5A7" w14:textId="77777777" w:rsidR="00F9523D" w:rsidRPr="00E61B69" w:rsidRDefault="00F9523D" w:rsidP="00F9523D">
      <w:pPr>
        <w:rPr>
          <w:lang w:eastAsia="en-AU"/>
        </w:rPr>
      </w:pPr>
    </w:p>
    <w:p w14:paraId="70C21F5E" w14:textId="77777777" w:rsidR="00E61B69" w:rsidRPr="00E61B69" w:rsidRDefault="00E61B69" w:rsidP="00F9523D">
      <w:pPr>
        <w:pStyle w:val="Heading2"/>
      </w:pPr>
      <w:r w:rsidRPr="00E61B69">
        <w:t>Key features</w:t>
      </w:r>
    </w:p>
    <w:p w14:paraId="623A5C32" w14:textId="77777777" w:rsidR="00E61B69" w:rsidRPr="00E61B69" w:rsidRDefault="00E61B69" w:rsidP="00F9523D">
      <w:pPr>
        <w:rPr>
          <w:lang w:eastAsia="en-AU"/>
        </w:rPr>
      </w:pPr>
    </w:p>
    <w:p w14:paraId="73EFDE86" w14:textId="66DE392C" w:rsidR="00E61B69" w:rsidRDefault="00E61B69" w:rsidP="00F9523D">
      <w:pPr>
        <w:rPr>
          <w:lang w:eastAsia="en-AU"/>
        </w:rPr>
      </w:pPr>
      <w:r>
        <w:rPr>
          <w:lang w:eastAsia="en-AU"/>
        </w:rPr>
        <w:t xml:space="preserve">Proposed new section LY 4 provides the formula for calculating a person’s R&amp;D tax credits for an income year. The formula is 15% multiplied by a person’s total eligible R&amp;D expenditure (restricted by </w:t>
      </w:r>
      <w:r w:rsidR="00A76C31">
        <w:rPr>
          <w:lang w:eastAsia="en-AU"/>
        </w:rPr>
        <w:t xml:space="preserve">a </w:t>
      </w:r>
      <w:r>
        <w:rPr>
          <w:lang w:eastAsia="en-AU"/>
        </w:rPr>
        <w:t>$120</w:t>
      </w:r>
      <w:r w:rsidR="00A76C31">
        <w:rPr>
          <w:lang w:eastAsia="en-AU"/>
        </w:rPr>
        <w:t xml:space="preserve"> million</w:t>
      </w:r>
      <w:r>
        <w:rPr>
          <w:lang w:eastAsia="en-AU"/>
        </w:rPr>
        <w:t xml:space="preserve"> expenditure cap, </w:t>
      </w:r>
      <w:r w:rsidR="00E579BB">
        <w:rPr>
          <w:lang w:eastAsia="en-AU"/>
        </w:rPr>
        <w:t>for more information</w:t>
      </w:r>
      <w:r w:rsidR="00E579BB">
        <w:rPr>
          <w:lang w:eastAsia="en-AU"/>
        </w:rPr>
        <w:t xml:space="preserve"> </w:t>
      </w:r>
      <w:r w:rsidR="00CF3BE1">
        <w:rPr>
          <w:lang w:eastAsia="en-AU"/>
        </w:rPr>
        <w:t xml:space="preserve">see the section on </w:t>
      </w:r>
      <w:r w:rsidR="00CF3BE1" w:rsidRPr="00CF3BE1">
        <w:rPr>
          <w:rStyle w:val="Emphasis"/>
          <w:lang w:eastAsia="en-AU"/>
        </w:rPr>
        <w:t>Expenditure cap (including approved R&amp;D caps)</w:t>
      </w:r>
      <w:r w:rsidR="00CF3BE1">
        <w:rPr>
          <w:lang w:eastAsia="en-AU"/>
        </w:rPr>
        <w:t xml:space="preserve"> (page 51)</w:t>
      </w:r>
      <w:r>
        <w:rPr>
          <w:lang w:eastAsia="en-AU"/>
        </w:rPr>
        <w:t>).</w:t>
      </w:r>
    </w:p>
    <w:p w14:paraId="5438BE41" w14:textId="77777777" w:rsidR="00E61B69" w:rsidRDefault="00E61B69" w:rsidP="00F9523D">
      <w:pPr>
        <w:rPr>
          <w:lang w:eastAsia="en-AU"/>
        </w:rPr>
      </w:pPr>
    </w:p>
    <w:p w14:paraId="1FE79BF5" w14:textId="1B345810" w:rsidR="00E61B69" w:rsidRDefault="00A76C31" w:rsidP="00F9523D">
      <w:pPr>
        <w:rPr>
          <w:lang w:eastAsia="en-AU"/>
        </w:rPr>
      </w:pPr>
      <w:r>
        <w:rPr>
          <w:lang w:eastAsia="en-AU"/>
        </w:rPr>
        <w:t>T</w:t>
      </w:r>
      <w:r w:rsidR="00E61B69">
        <w:rPr>
          <w:lang w:eastAsia="en-AU"/>
        </w:rPr>
        <w:t xml:space="preserve">otal eligible R&amp;D expenditure is defined </w:t>
      </w:r>
      <w:r w:rsidR="00F9523D">
        <w:rPr>
          <w:lang w:eastAsia="en-AU"/>
        </w:rPr>
        <w:t>to mean:</w:t>
      </w:r>
    </w:p>
    <w:p w14:paraId="1356BF67" w14:textId="77777777" w:rsidR="00C7677E" w:rsidRDefault="00C7677E" w:rsidP="00F9523D">
      <w:pPr>
        <w:rPr>
          <w:lang w:eastAsia="en-AU"/>
        </w:rPr>
      </w:pPr>
    </w:p>
    <w:p w14:paraId="01F98B25" w14:textId="56EDAEF5" w:rsidR="00E61B69" w:rsidRDefault="00E61B69" w:rsidP="00F9523D">
      <w:pPr>
        <w:pStyle w:val="dotpoint"/>
      </w:pPr>
      <w:r w:rsidRPr="00E61B69">
        <w:t>$120</w:t>
      </w:r>
      <w:r w:rsidR="00A76C31">
        <w:t xml:space="preserve"> million</w:t>
      </w:r>
      <w:r w:rsidRPr="00E61B69">
        <w:t xml:space="preserve"> if a person has exceeded the </w:t>
      </w:r>
      <w:r w:rsidR="00C7677E">
        <w:t xml:space="preserve">expenditure </w:t>
      </w:r>
      <w:r w:rsidRPr="00E61B69">
        <w:t>cap</w:t>
      </w:r>
      <w:r w:rsidR="00C7677E">
        <w:t xml:space="preserve"> in </w:t>
      </w:r>
      <w:r w:rsidR="00A76C31">
        <w:t xml:space="preserve">proposed new </w:t>
      </w:r>
      <w:r w:rsidR="00C7677E">
        <w:t xml:space="preserve">section LY 4(3)(a) but </w:t>
      </w:r>
      <w:r w:rsidRPr="00E61B69">
        <w:t>has not received approval to exceed the cap</w:t>
      </w:r>
      <w:r w:rsidR="00F9523D">
        <w:t>;</w:t>
      </w:r>
    </w:p>
    <w:p w14:paraId="5D5BAACF" w14:textId="0388940E" w:rsidR="00C7677E" w:rsidRDefault="00CD5D14" w:rsidP="00F9523D">
      <w:pPr>
        <w:pStyle w:val="dotpoint"/>
      </w:pPr>
      <w:r>
        <w:t>a</w:t>
      </w:r>
      <w:r w:rsidR="00A76C31">
        <w:t xml:space="preserve"> </w:t>
      </w:r>
      <w:r w:rsidR="00C7677E">
        <w:t>person’s approved R&amp;D cap, if the person has received approval from the Commissioner to exceed the expenditure cap (see sections LY 3 and 68CD</w:t>
      </w:r>
      <w:r w:rsidR="00A76C31">
        <w:t xml:space="preserve">); </w:t>
      </w:r>
      <w:r w:rsidR="00C7677E">
        <w:t>or</w:t>
      </w:r>
    </w:p>
    <w:p w14:paraId="142F5AAE" w14:textId="64497121" w:rsidR="00F9523D" w:rsidRPr="00F9523D" w:rsidRDefault="00CD5D14" w:rsidP="00E579BB">
      <w:pPr>
        <w:pStyle w:val="dotpoint"/>
        <w:rPr>
          <w:caps/>
          <w:sz w:val="26"/>
        </w:rPr>
      </w:pPr>
      <w:r>
        <w:t>i</w:t>
      </w:r>
      <w:r w:rsidR="00A76C31">
        <w:t xml:space="preserve">f a person’s expenditure is less than $120 million, </w:t>
      </w:r>
      <w:r w:rsidR="00C7677E">
        <w:t>the person’s actual eligible expenditure, as defined in proposed n</w:t>
      </w:r>
      <w:r w:rsidR="002B4A33">
        <w:t>ew section LY 5 (</w:t>
      </w:r>
      <w:r w:rsidR="00E579BB">
        <w:t xml:space="preserve">see the section on </w:t>
      </w:r>
      <w:r w:rsidR="00E579BB" w:rsidRPr="00E579BB">
        <w:rPr>
          <w:rStyle w:val="Emphasis"/>
        </w:rPr>
        <w:t>Eligible expenditure</w:t>
      </w:r>
      <w:r w:rsidR="00E579BB" w:rsidRPr="00E579BB">
        <w:t xml:space="preserve"> </w:t>
      </w:r>
      <w:r w:rsidR="00E579BB">
        <w:t xml:space="preserve">(page 30) </w:t>
      </w:r>
      <w:r w:rsidR="00E579BB">
        <w:t>for more information</w:t>
      </w:r>
      <w:r w:rsidR="00C7677E">
        <w:t>).</w:t>
      </w:r>
    </w:p>
    <w:p w14:paraId="2F0177F3" w14:textId="77777777" w:rsidR="00F9523D" w:rsidRDefault="00F9523D" w:rsidP="00F9523D"/>
    <w:p w14:paraId="20B4B307" w14:textId="77B67DB5" w:rsidR="008B6BE5" w:rsidRDefault="008B6BE5" w:rsidP="00F9523D">
      <w:pPr>
        <w:rPr>
          <w:caps/>
          <w:sz w:val="26"/>
        </w:rPr>
      </w:pPr>
      <w:r>
        <w:br w:type="page"/>
      </w:r>
    </w:p>
    <w:p w14:paraId="34D300E5" w14:textId="77777777" w:rsidR="00ED09D1" w:rsidRPr="007923F2" w:rsidRDefault="00ED09D1" w:rsidP="00831FC3">
      <w:pPr>
        <w:pStyle w:val="Heading1"/>
      </w:pPr>
      <w:bookmarkStart w:id="40" w:name="_Toc528157367"/>
      <w:bookmarkStart w:id="41" w:name="_Toc528195585"/>
      <w:r w:rsidRPr="007923F2">
        <w:t>Stripping out GST inputs</w:t>
      </w:r>
      <w:bookmarkEnd w:id="40"/>
      <w:bookmarkEnd w:id="41"/>
    </w:p>
    <w:p w14:paraId="1DD61D8C" w14:textId="4BF7C050" w:rsidR="00ED09D1" w:rsidRPr="00831FC3" w:rsidRDefault="00ED09D1" w:rsidP="00831FC3">
      <w:pPr>
        <w:pStyle w:val="Heading3"/>
      </w:pPr>
      <w:r w:rsidRPr="00831FC3">
        <w:t xml:space="preserve">Clause 10 (proposed new </w:t>
      </w:r>
      <w:r w:rsidR="00993D9F" w:rsidRPr="00831FC3">
        <w:t xml:space="preserve">sections </w:t>
      </w:r>
      <w:r w:rsidRPr="00831FC3">
        <w:t>LY 1(5</w:t>
      </w:r>
      <w:r w:rsidR="00993D9F" w:rsidRPr="00831FC3">
        <w:t>)</w:t>
      </w:r>
      <w:r w:rsidR="00DA164B">
        <w:t xml:space="preserve"> </w:t>
      </w:r>
      <w:r w:rsidR="00993D9F" w:rsidRPr="00831FC3">
        <w:t>to</w:t>
      </w:r>
      <w:r w:rsidRPr="00831FC3">
        <w:t xml:space="preserve"> (7))</w:t>
      </w:r>
    </w:p>
    <w:p w14:paraId="28C27EAF" w14:textId="77777777" w:rsidR="00831FC3" w:rsidRDefault="00831FC3" w:rsidP="00831FC3">
      <w:pPr>
        <w:rPr>
          <w:lang w:val="en-GB" w:eastAsia="en-AU"/>
        </w:rPr>
      </w:pPr>
    </w:p>
    <w:p w14:paraId="4882CE66" w14:textId="77777777" w:rsidR="00831FC3" w:rsidRPr="00831FC3" w:rsidRDefault="00831FC3" w:rsidP="00831FC3">
      <w:pPr>
        <w:rPr>
          <w:lang w:val="en-GB" w:eastAsia="en-AU"/>
        </w:rPr>
      </w:pPr>
    </w:p>
    <w:p w14:paraId="3A383ADC" w14:textId="03D9E932" w:rsidR="00ED09D1" w:rsidRPr="007923F2" w:rsidRDefault="00ED09D1" w:rsidP="00612061">
      <w:pPr>
        <w:pStyle w:val="Heading2"/>
      </w:pPr>
      <w:r w:rsidRPr="00831FC3">
        <w:t>S</w:t>
      </w:r>
      <w:r w:rsidRPr="007923F2">
        <w:t>ummary of proposed amendment</w:t>
      </w:r>
    </w:p>
    <w:p w14:paraId="5D34FC30" w14:textId="77777777" w:rsidR="00831FC3" w:rsidRDefault="00831FC3" w:rsidP="00831FC3">
      <w:pPr>
        <w:rPr>
          <w:lang w:eastAsia="en-AU"/>
        </w:rPr>
      </w:pPr>
    </w:p>
    <w:p w14:paraId="1A36C9D7" w14:textId="77777777" w:rsidR="00ED09D1" w:rsidRDefault="00993D9F" w:rsidP="00831FC3">
      <w:pPr>
        <w:rPr>
          <w:lang w:eastAsia="en-AU"/>
        </w:rPr>
      </w:pPr>
      <w:r>
        <w:rPr>
          <w:lang w:eastAsia="en-AU"/>
        </w:rPr>
        <w:t xml:space="preserve">The Bill proposes </w:t>
      </w:r>
      <w:r w:rsidR="00ED09D1" w:rsidRPr="007923F2">
        <w:rPr>
          <w:lang w:eastAsia="en-AU"/>
        </w:rPr>
        <w:t xml:space="preserve">that a person </w:t>
      </w:r>
      <w:r>
        <w:rPr>
          <w:lang w:eastAsia="en-AU"/>
        </w:rPr>
        <w:t xml:space="preserve">cannot </w:t>
      </w:r>
      <w:r w:rsidR="00ED09D1" w:rsidRPr="007923F2">
        <w:rPr>
          <w:lang w:eastAsia="en-AU"/>
        </w:rPr>
        <w:t>receive R&amp;D tax credit</w:t>
      </w:r>
      <w:r>
        <w:rPr>
          <w:lang w:eastAsia="en-AU"/>
        </w:rPr>
        <w:t>s</w:t>
      </w:r>
      <w:r w:rsidR="00ED09D1" w:rsidRPr="007923F2">
        <w:rPr>
          <w:lang w:eastAsia="en-AU"/>
        </w:rPr>
        <w:t xml:space="preserve"> for expenditure </w:t>
      </w:r>
      <w:r>
        <w:rPr>
          <w:lang w:eastAsia="en-AU"/>
        </w:rPr>
        <w:t xml:space="preserve">to the extent the </w:t>
      </w:r>
      <w:r w:rsidR="00ED09D1" w:rsidRPr="007923F2">
        <w:rPr>
          <w:lang w:eastAsia="en-AU"/>
        </w:rPr>
        <w:t xml:space="preserve">person </w:t>
      </w:r>
      <w:r>
        <w:rPr>
          <w:lang w:eastAsia="en-AU"/>
        </w:rPr>
        <w:t xml:space="preserve">is able to </w:t>
      </w:r>
      <w:r w:rsidR="00ED09D1" w:rsidRPr="007923F2">
        <w:rPr>
          <w:lang w:eastAsia="en-AU"/>
        </w:rPr>
        <w:t>claim GST input tax</w:t>
      </w:r>
      <w:r>
        <w:rPr>
          <w:lang w:eastAsia="en-AU"/>
        </w:rPr>
        <w:t xml:space="preserve"> credits in relation to the expenditure</w:t>
      </w:r>
      <w:r w:rsidR="00ED09D1" w:rsidRPr="007923F2">
        <w:rPr>
          <w:lang w:eastAsia="en-AU"/>
        </w:rPr>
        <w:t>.</w:t>
      </w:r>
    </w:p>
    <w:p w14:paraId="54BBB52C" w14:textId="77777777" w:rsidR="00831FC3" w:rsidRDefault="00831FC3" w:rsidP="00831FC3">
      <w:pPr>
        <w:rPr>
          <w:lang w:eastAsia="en-AU"/>
        </w:rPr>
      </w:pPr>
    </w:p>
    <w:p w14:paraId="40223CDD" w14:textId="77777777" w:rsidR="00831FC3" w:rsidRPr="007923F2" w:rsidRDefault="00831FC3" w:rsidP="00831FC3">
      <w:pPr>
        <w:rPr>
          <w:lang w:eastAsia="en-AU"/>
        </w:rPr>
      </w:pPr>
    </w:p>
    <w:p w14:paraId="42E9EE42" w14:textId="77777777" w:rsidR="00ED09D1" w:rsidRPr="007923F2" w:rsidRDefault="00ED09D1" w:rsidP="00612061">
      <w:pPr>
        <w:pStyle w:val="Heading2"/>
      </w:pPr>
      <w:r w:rsidRPr="00831FC3">
        <w:t>A</w:t>
      </w:r>
      <w:r w:rsidRPr="007923F2">
        <w:t>pplication date</w:t>
      </w:r>
    </w:p>
    <w:p w14:paraId="7C85C8FE" w14:textId="77777777" w:rsidR="00831FC3" w:rsidRDefault="00831FC3" w:rsidP="00831FC3">
      <w:pPr>
        <w:rPr>
          <w:lang w:eastAsia="en-AU"/>
        </w:rPr>
      </w:pPr>
    </w:p>
    <w:p w14:paraId="236639D0" w14:textId="0C5CB116" w:rsidR="00ED09D1" w:rsidRDefault="00ED09D1" w:rsidP="00831FC3">
      <w:pPr>
        <w:rPr>
          <w:lang w:eastAsia="en-AU"/>
        </w:rPr>
      </w:pPr>
      <w:r w:rsidRPr="007923F2">
        <w:rPr>
          <w:lang w:eastAsia="en-AU"/>
        </w:rPr>
        <w:t xml:space="preserve">From the </w:t>
      </w:r>
      <w:r w:rsidR="00E010FC">
        <w:rPr>
          <w:lang w:eastAsia="en-AU"/>
        </w:rPr>
        <w:t>2019–20</w:t>
      </w:r>
      <w:r w:rsidRPr="007923F2">
        <w:rPr>
          <w:lang w:eastAsia="en-AU"/>
        </w:rPr>
        <w:t xml:space="preserve"> income year.</w:t>
      </w:r>
    </w:p>
    <w:p w14:paraId="337CA8E4" w14:textId="77777777" w:rsidR="00831FC3" w:rsidRDefault="00831FC3" w:rsidP="00831FC3">
      <w:pPr>
        <w:rPr>
          <w:lang w:eastAsia="en-AU"/>
        </w:rPr>
      </w:pPr>
    </w:p>
    <w:p w14:paraId="50680CF7" w14:textId="77777777" w:rsidR="00831FC3" w:rsidRPr="007923F2" w:rsidRDefault="00831FC3" w:rsidP="00831FC3">
      <w:pPr>
        <w:rPr>
          <w:lang w:eastAsia="en-AU"/>
        </w:rPr>
      </w:pPr>
    </w:p>
    <w:p w14:paraId="23C4A041" w14:textId="77777777" w:rsidR="00ED09D1" w:rsidRPr="007923F2" w:rsidRDefault="00ED09D1" w:rsidP="00831FC3">
      <w:pPr>
        <w:pStyle w:val="Heading2"/>
      </w:pPr>
      <w:r w:rsidRPr="007923F2">
        <w:t>Key features</w:t>
      </w:r>
    </w:p>
    <w:p w14:paraId="42C64D47" w14:textId="77777777" w:rsidR="00831FC3" w:rsidRDefault="00831FC3" w:rsidP="00831FC3">
      <w:pPr>
        <w:rPr>
          <w:lang w:eastAsia="en-AU"/>
        </w:rPr>
      </w:pPr>
    </w:p>
    <w:p w14:paraId="4944A039" w14:textId="77777777" w:rsidR="00ED09D1" w:rsidRPr="007923F2" w:rsidRDefault="00993D9F" w:rsidP="00831FC3">
      <w:pPr>
        <w:rPr>
          <w:lang w:eastAsia="en-AU"/>
        </w:rPr>
      </w:pPr>
      <w:r>
        <w:rPr>
          <w:lang w:eastAsia="en-AU"/>
        </w:rPr>
        <w:t xml:space="preserve">Proposed new sections LY 1(5) to (7) provide that </w:t>
      </w:r>
      <w:r w:rsidR="00ED09D1" w:rsidRPr="007923F2">
        <w:rPr>
          <w:lang w:eastAsia="en-AU"/>
        </w:rPr>
        <w:t xml:space="preserve">a person’s </w:t>
      </w:r>
      <w:r>
        <w:rPr>
          <w:lang w:eastAsia="en-AU"/>
        </w:rPr>
        <w:t xml:space="preserve">eligible </w:t>
      </w:r>
      <w:r w:rsidR="00ED09D1" w:rsidRPr="007923F2">
        <w:rPr>
          <w:lang w:eastAsia="en-AU"/>
        </w:rPr>
        <w:t>expenditure is:</w:t>
      </w:r>
    </w:p>
    <w:p w14:paraId="68C396E7" w14:textId="77777777" w:rsidR="00ED09D1" w:rsidRPr="007923F2" w:rsidRDefault="00ED09D1" w:rsidP="00831FC3">
      <w:pPr>
        <w:rPr>
          <w:lang w:eastAsia="en-AU"/>
        </w:rPr>
      </w:pPr>
    </w:p>
    <w:p w14:paraId="328100D9" w14:textId="69DFC313" w:rsidR="00ED09D1" w:rsidRPr="007923F2" w:rsidRDefault="00CD5D14" w:rsidP="00831FC3">
      <w:pPr>
        <w:pStyle w:val="dotpoint"/>
      </w:pPr>
      <w:r>
        <w:t>r</w:t>
      </w:r>
      <w:r w:rsidR="00ED09D1" w:rsidRPr="007923F2">
        <w:t xml:space="preserve">educed by the amount of input tax the person may claim for </w:t>
      </w:r>
      <w:r w:rsidR="00993D9F" w:rsidRPr="007923F2">
        <w:t>th</w:t>
      </w:r>
      <w:r w:rsidR="00993D9F">
        <w:t>e</w:t>
      </w:r>
      <w:r w:rsidR="00993D9F" w:rsidRPr="007923F2">
        <w:t xml:space="preserve"> </w:t>
      </w:r>
      <w:r w:rsidR="00ED09D1" w:rsidRPr="007923F2">
        <w:t>expenditure</w:t>
      </w:r>
      <w:r w:rsidR="00993D9F">
        <w:t>;</w:t>
      </w:r>
    </w:p>
    <w:p w14:paraId="1A0A5203" w14:textId="17EF8D2B" w:rsidR="00ED09D1" w:rsidRPr="007923F2" w:rsidRDefault="00CD5D14" w:rsidP="00831FC3">
      <w:pPr>
        <w:pStyle w:val="dotpoint"/>
      </w:pPr>
      <w:r>
        <w:t>r</w:t>
      </w:r>
      <w:r w:rsidR="00ED09D1" w:rsidRPr="007923F2">
        <w:t>educed by the amount of an adjustment made under section 20(3)(e) of the Goods and Services Tax Act 1985</w:t>
      </w:r>
      <w:r w:rsidR="00993D9F">
        <w:t>; and</w:t>
      </w:r>
    </w:p>
    <w:p w14:paraId="18F8F404" w14:textId="23750274" w:rsidR="00ED09D1" w:rsidRDefault="00CD5D14" w:rsidP="00831FC3">
      <w:pPr>
        <w:pStyle w:val="dotpoint"/>
        <w:spacing w:after="0"/>
      </w:pPr>
      <w:r>
        <w:t>i</w:t>
      </w:r>
      <w:r w:rsidR="00ED09D1" w:rsidRPr="007923F2">
        <w:t>ncreased by adding a relevant amount of deductible output tax the person has for the income year.</w:t>
      </w:r>
    </w:p>
    <w:p w14:paraId="4C8F65B3" w14:textId="77777777" w:rsidR="00831FC3" w:rsidRDefault="00831FC3" w:rsidP="00831FC3">
      <w:pPr>
        <w:rPr>
          <w:lang w:eastAsia="en-AU"/>
        </w:rPr>
      </w:pPr>
    </w:p>
    <w:p w14:paraId="343D53C1" w14:textId="77777777" w:rsidR="00831FC3" w:rsidRPr="007923F2" w:rsidRDefault="00831FC3" w:rsidP="00831FC3">
      <w:pPr>
        <w:rPr>
          <w:lang w:eastAsia="en-AU"/>
        </w:rPr>
      </w:pPr>
    </w:p>
    <w:p w14:paraId="21B5F667" w14:textId="77777777" w:rsidR="00ED09D1" w:rsidRPr="007923F2" w:rsidRDefault="00ED09D1" w:rsidP="00831FC3">
      <w:pPr>
        <w:pStyle w:val="Heading2"/>
      </w:pPr>
      <w:r w:rsidRPr="007923F2">
        <w:t>Background</w:t>
      </w:r>
    </w:p>
    <w:p w14:paraId="2FC2D0C8" w14:textId="77777777" w:rsidR="00831FC3" w:rsidRDefault="00831FC3" w:rsidP="00831FC3">
      <w:pPr>
        <w:rPr>
          <w:lang w:eastAsia="en-AU"/>
        </w:rPr>
      </w:pPr>
    </w:p>
    <w:p w14:paraId="5CBA82B1" w14:textId="2AD62F63" w:rsidR="0088382D" w:rsidRDefault="00ED09D1" w:rsidP="00831FC3">
      <w:pPr>
        <w:rPr>
          <w:lang w:eastAsia="en-AU"/>
        </w:rPr>
      </w:pPr>
      <w:r w:rsidRPr="007923F2">
        <w:rPr>
          <w:lang w:eastAsia="en-AU"/>
        </w:rPr>
        <w:t xml:space="preserve">R&amp;D expenditure need not be </w:t>
      </w:r>
      <w:r w:rsidR="00993D9F">
        <w:rPr>
          <w:lang w:eastAsia="en-AU"/>
        </w:rPr>
        <w:t xml:space="preserve">tax </w:t>
      </w:r>
      <w:r w:rsidRPr="007923F2">
        <w:rPr>
          <w:lang w:eastAsia="en-AU"/>
        </w:rPr>
        <w:t xml:space="preserve">deductible to </w:t>
      </w:r>
      <w:r w:rsidR="00993D9F">
        <w:rPr>
          <w:lang w:eastAsia="en-AU"/>
        </w:rPr>
        <w:t xml:space="preserve">be eligible expenditure </w:t>
      </w:r>
      <w:r w:rsidRPr="007923F2">
        <w:rPr>
          <w:lang w:eastAsia="en-AU"/>
        </w:rPr>
        <w:t>(see</w:t>
      </w:r>
      <w:r w:rsidR="008374CF">
        <w:rPr>
          <w:lang w:eastAsia="en-AU"/>
        </w:rPr>
        <w:t xml:space="preserve"> the section on</w:t>
      </w:r>
      <w:r w:rsidRPr="007923F2">
        <w:rPr>
          <w:lang w:eastAsia="en-AU"/>
        </w:rPr>
        <w:t xml:space="preserve"> </w:t>
      </w:r>
      <w:r w:rsidR="008374CF" w:rsidRPr="008374CF">
        <w:rPr>
          <w:rStyle w:val="Emphasis"/>
          <w:lang w:eastAsia="en-AU"/>
        </w:rPr>
        <w:t>Eligible expenditure</w:t>
      </w:r>
      <w:r w:rsidR="008374CF" w:rsidRPr="008374CF">
        <w:rPr>
          <w:lang w:eastAsia="en-AU"/>
        </w:rPr>
        <w:t xml:space="preserve"> </w:t>
      </w:r>
      <w:r w:rsidR="008374CF">
        <w:rPr>
          <w:lang w:eastAsia="en-AU"/>
        </w:rPr>
        <w:t>(</w:t>
      </w:r>
      <w:r w:rsidRPr="000E4472">
        <w:rPr>
          <w:lang w:eastAsia="en-AU"/>
        </w:rPr>
        <w:t xml:space="preserve">page </w:t>
      </w:r>
      <w:r w:rsidR="008374CF">
        <w:rPr>
          <w:lang w:eastAsia="en-AU"/>
        </w:rPr>
        <w:t>30)</w:t>
      </w:r>
      <w:r w:rsidR="00993D9F">
        <w:rPr>
          <w:lang w:eastAsia="en-AU"/>
        </w:rPr>
        <w:t xml:space="preserve"> for more information</w:t>
      </w:r>
      <w:r w:rsidR="008374CF">
        <w:rPr>
          <w:lang w:eastAsia="en-AU"/>
        </w:rPr>
        <w:t>)</w:t>
      </w:r>
      <w:r w:rsidR="00485279">
        <w:rPr>
          <w:lang w:eastAsia="en-AU"/>
        </w:rPr>
        <w:t xml:space="preserve">. </w:t>
      </w:r>
      <w:r w:rsidRPr="007923F2">
        <w:rPr>
          <w:lang w:eastAsia="en-AU"/>
        </w:rPr>
        <w:t>As a result, section DB 2, which denies a person a deduction for the GST input tax portion of expenditure</w:t>
      </w:r>
      <w:r w:rsidR="00993D9F">
        <w:rPr>
          <w:lang w:eastAsia="en-AU"/>
        </w:rPr>
        <w:t>,</w:t>
      </w:r>
      <w:r w:rsidRPr="007923F2">
        <w:rPr>
          <w:lang w:eastAsia="en-AU"/>
        </w:rPr>
        <w:t xml:space="preserve"> does not apply to R&amp;D</w:t>
      </w:r>
      <w:r w:rsidR="00831FC3">
        <w:rPr>
          <w:lang w:eastAsia="en-AU"/>
        </w:rPr>
        <w:t xml:space="preserve"> tax credit claims.</w:t>
      </w:r>
    </w:p>
    <w:p w14:paraId="7A349FC2" w14:textId="77777777" w:rsidR="0088382D" w:rsidRDefault="0088382D" w:rsidP="00831FC3">
      <w:pPr>
        <w:rPr>
          <w:lang w:eastAsia="en-AU"/>
        </w:rPr>
      </w:pPr>
    </w:p>
    <w:p w14:paraId="4FE1BF0D" w14:textId="77777777" w:rsidR="00ED09D1" w:rsidRDefault="0088382D" w:rsidP="00831FC3">
      <w:pPr>
        <w:rPr>
          <w:lang w:eastAsia="en-AU"/>
        </w:rPr>
      </w:pPr>
      <w:r>
        <w:rPr>
          <w:lang w:eastAsia="en-AU"/>
        </w:rPr>
        <w:t xml:space="preserve">Proposed new sections LY 1(5) to (7) </w:t>
      </w:r>
      <w:r w:rsidR="00ED09D1" w:rsidRPr="007923F2">
        <w:rPr>
          <w:lang w:eastAsia="en-AU"/>
        </w:rPr>
        <w:t>are intended to achieve the same effect as section DB 2 in the context of</w:t>
      </w:r>
      <w:r w:rsidR="00993D9F">
        <w:rPr>
          <w:lang w:eastAsia="en-AU"/>
        </w:rPr>
        <w:t xml:space="preserve"> the</w:t>
      </w:r>
      <w:r w:rsidR="00ED09D1" w:rsidRPr="007923F2">
        <w:rPr>
          <w:lang w:eastAsia="en-AU"/>
        </w:rPr>
        <w:t xml:space="preserve"> R&amp;D tax credit</w:t>
      </w:r>
      <w:r w:rsidR="00993D9F">
        <w:rPr>
          <w:lang w:eastAsia="en-AU"/>
        </w:rPr>
        <w:t xml:space="preserve"> regime</w:t>
      </w:r>
      <w:r w:rsidR="00ED09D1" w:rsidRPr="007923F2">
        <w:rPr>
          <w:lang w:eastAsia="en-AU"/>
        </w:rPr>
        <w:t>.</w:t>
      </w:r>
      <w:r>
        <w:rPr>
          <w:lang w:eastAsia="en-AU"/>
        </w:rPr>
        <w:t xml:space="preserve"> </w:t>
      </w:r>
      <w:r w:rsidR="00ED09D1" w:rsidRPr="007923F2">
        <w:rPr>
          <w:lang w:eastAsia="en-AU"/>
        </w:rPr>
        <w:t>The rationale is to ensure a person does not receive an R&amp;D tax credit for expenditure which is then refunded to them through claiming a GST input tax credit.</w:t>
      </w:r>
    </w:p>
    <w:p w14:paraId="5FD04EF0" w14:textId="77777777" w:rsidR="00831FC3" w:rsidRDefault="00831FC3" w:rsidP="00831FC3">
      <w:pPr>
        <w:rPr>
          <w:lang w:eastAsia="en-AU"/>
        </w:rPr>
      </w:pPr>
    </w:p>
    <w:p w14:paraId="55713590" w14:textId="77777777" w:rsidR="00831FC3" w:rsidRPr="007923F2" w:rsidRDefault="00831FC3" w:rsidP="00831FC3">
      <w:pPr>
        <w:rPr>
          <w:lang w:eastAsia="en-AU"/>
        </w:rPr>
      </w:pPr>
    </w:p>
    <w:p w14:paraId="226B2D04" w14:textId="77777777" w:rsidR="00ED09D1" w:rsidRPr="007923F2" w:rsidRDefault="00ED09D1" w:rsidP="00831FC3">
      <w:pPr>
        <w:pStyle w:val="Heading2"/>
      </w:pPr>
      <w:r w:rsidRPr="007923F2">
        <w:t>Detailed analysis</w:t>
      </w:r>
    </w:p>
    <w:p w14:paraId="7320B01F" w14:textId="77777777" w:rsidR="00831FC3" w:rsidRDefault="00831FC3" w:rsidP="00831FC3"/>
    <w:p w14:paraId="04AABD63" w14:textId="227B79F7" w:rsidR="00ED09D1" w:rsidRPr="00831FC3" w:rsidRDefault="00ED09D1" w:rsidP="00831FC3">
      <w:pPr>
        <w:pStyle w:val="Heading3"/>
      </w:pPr>
      <w:r w:rsidRPr="00831FC3">
        <w:t>GST inputs</w:t>
      </w:r>
      <w:r w:rsidR="00730FAA">
        <w:t xml:space="preserve"> (section </w:t>
      </w:r>
      <w:r w:rsidR="00730FAA" w:rsidRPr="00831FC3">
        <w:t>LY 1(5)</w:t>
      </w:r>
      <w:r w:rsidR="00730FAA">
        <w:t>)</w:t>
      </w:r>
    </w:p>
    <w:p w14:paraId="253024A8" w14:textId="77777777" w:rsidR="00ED09D1" w:rsidRPr="007923F2" w:rsidRDefault="00ED09D1" w:rsidP="00831FC3">
      <w:pPr>
        <w:rPr>
          <w:lang w:eastAsia="en-AU"/>
        </w:rPr>
      </w:pPr>
    </w:p>
    <w:p w14:paraId="42FB0285" w14:textId="363263FC" w:rsidR="00ED09D1" w:rsidRDefault="00ED09D1" w:rsidP="00831FC3">
      <w:pPr>
        <w:rPr>
          <w:lang w:eastAsia="en-AU"/>
        </w:rPr>
      </w:pPr>
      <w:r w:rsidRPr="007923F2">
        <w:rPr>
          <w:lang w:eastAsia="en-AU"/>
        </w:rPr>
        <w:t xml:space="preserve">Proposed new </w:t>
      </w:r>
      <w:r w:rsidR="0088382D">
        <w:rPr>
          <w:lang w:eastAsia="en-AU"/>
        </w:rPr>
        <w:t xml:space="preserve">section </w:t>
      </w:r>
      <w:r w:rsidRPr="007923F2">
        <w:rPr>
          <w:lang w:eastAsia="en-AU"/>
        </w:rPr>
        <w:t xml:space="preserve">LY 1(5) reduces a person’s </w:t>
      </w:r>
      <w:r w:rsidR="0088382D">
        <w:rPr>
          <w:lang w:eastAsia="en-AU"/>
        </w:rPr>
        <w:t xml:space="preserve">eligible expenditure </w:t>
      </w:r>
      <w:r w:rsidRPr="007923F2">
        <w:rPr>
          <w:lang w:eastAsia="en-AU"/>
        </w:rPr>
        <w:t>by the amount of input tax credit applying to the relevant goods or services purchased by the person.</w:t>
      </w:r>
    </w:p>
    <w:p w14:paraId="667A3E25" w14:textId="77777777" w:rsidR="00831FC3" w:rsidRDefault="00831FC3" w:rsidP="00831FC3">
      <w:pPr>
        <w:rPr>
          <w:lang w:eastAsia="en-AU"/>
        </w:rPr>
      </w:pPr>
    </w:p>
    <w:p w14:paraId="7E2A9264" w14:textId="77777777" w:rsidR="00453540" w:rsidRPr="00453540" w:rsidRDefault="00453540" w:rsidP="00453540">
      <w:r w:rsidRPr="00453540">
        <w:br w:type="page"/>
      </w:r>
    </w:p>
    <w:p w14:paraId="46327836" w14:textId="73D64539" w:rsidR="00831FC3" w:rsidRDefault="00831FC3" w:rsidP="00831FC3">
      <w:pPr>
        <w:pStyle w:val="Exampleheading1"/>
      </w:pPr>
      <w:r w:rsidRPr="002B4A33">
        <w:t>Example</w:t>
      </w:r>
      <w:r w:rsidR="00DF2F85">
        <w:t xml:space="preserve"> 15</w:t>
      </w:r>
      <w:r w:rsidRPr="002B4A33">
        <w:t>: GST input amount excluded from eligible expenditure</w:t>
      </w:r>
    </w:p>
    <w:p w14:paraId="78899EB6" w14:textId="77777777" w:rsidR="00831FC3" w:rsidRPr="002B4A33" w:rsidRDefault="00831FC3" w:rsidP="00831FC3">
      <w:pPr>
        <w:pStyle w:val="Exampletext"/>
      </w:pPr>
    </w:p>
    <w:p w14:paraId="193A9C44" w14:textId="5ED7D88C" w:rsidR="00831FC3" w:rsidRPr="002B4A33" w:rsidRDefault="00831FC3" w:rsidP="00831FC3">
      <w:pPr>
        <w:pStyle w:val="Exampletext"/>
      </w:pPr>
      <w:r w:rsidRPr="002B4A33">
        <w:t>Alison purchases $10,000 of oil for use in her R&amp;D activities</w:t>
      </w:r>
      <w:r w:rsidR="00485279">
        <w:t xml:space="preserve">. </w:t>
      </w:r>
      <w:r w:rsidRPr="002B4A33">
        <w:t>Alison is GST registered, so she can claim an input tax credit of $1,304.34, which is refunded to her by Inland Revenue</w:t>
      </w:r>
      <w:r w:rsidR="00485279">
        <w:t xml:space="preserve">. </w:t>
      </w:r>
      <w:r w:rsidRPr="002B4A33">
        <w:t>The true cost of the oil to Alison is $8,695.66, and she may only include this amount in her eligible expenditure for the R&amp;D tax credit regime.</w:t>
      </w:r>
    </w:p>
    <w:p w14:paraId="48119B29" w14:textId="77777777" w:rsidR="00831FC3" w:rsidRPr="007923F2" w:rsidRDefault="00831FC3" w:rsidP="00831FC3">
      <w:pPr>
        <w:rPr>
          <w:lang w:eastAsia="en-AU"/>
        </w:rPr>
      </w:pPr>
    </w:p>
    <w:p w14:paraId="329C78B7" w14:textId="77777777" w:rsidR="00ED09D1" w:rsidRPr="007923F2" w:rsidRDefault="00ED09D1" w:rsidP="00831FC3">
      <w:pPr>
        <w:rPr>
          <w:lang w:eastAsia="en-AU"/>
        </w:rPr>
      </w:pPr>
    </w:p>
    <w:p w14:paraId="37CFDA80" w14:textId="7915F15E" w:rsidR="00ED09D1" w:rsidRPr="007923F2" w:rsidRDefault="0099594D" w:rsidP="00831FC3">
      <w:pPr>
        <w:pStyle w:val="Heading3"/>
      </w:pPr>
      <w:r>
        <w:t>D</w:t>
      </w:r>
      <w:r w:rsidR="0088382D" w:rsidRPr="007923F2">
        <w:t xml:space="preserve">eductions </w:t>
      </w:r>
      <w:r w:rsidR="00ED09D1" w:rsidRPr="007923F2">
        <w:t>from output tax</w:t>
      </w:r>
      <w:r w:rsidR="00730FAA">
        <w:t xml:space="preserve"> (section </w:t>
      </w:r>
      <w:r w:rsidR="00730FAA" w:rsidRPr="007923F2">
        <w:t>LY 1(6)</w:t>
      </w:r>
      <w:r w:rsidR="00730FAA">
        <w:t>)</w:t>
      </w:r>
    </w:p>
    <w:p w14:paraId="3BFE280F" w14:textId="77777777" w:rsidR="00ED09D1" w:rsidRPr="007923F2" w:rsidRDefault="00ED09D1" w:rsidP="00831FC3">
      <w:pPr>
        <w:rPr>
          <w:lang w:eastAsia="en-AU"/>
        </w:rPr>
      </w:pPr>
    </w:p>
    <w:p w14:paraId="20538CD6" w14:textId="77777777" w:rsidR="00ED09D1" w:rsidRPr="007923F2" w:rsidRDefault="0088382D" w:rsidP="00831FC3">
      <w:pPr>
        <w:rPr>
          <w:lang w:eastAsia="en-AU"/>
        </w:rPr>
      </w:pPr>
      <w:r>
        <w:rPr>
          <w:lang w:eastAsia="en-AU"/>
        </w:rPr>
        <w:t>A</w:t>
      </w:r>
      <w:r w:rsidR="00ED09D1" w:rsidRPr="007923F2">
        <w:rPr>
          <w:lang w:eastAsia="en-AU"/>
        </w:rPr>
        <w:t xml:space="preserve"> person’s </w:t>
      </w:r>
      <w:r>
        <w:rPr>
          <w:lang w:eastAsia="en-AU"/>
        </w:rPr>
        <w:t xml:space="preserve">eligible expenditure </w:t>
      </w:r>
      <w:r w:rsidR="00ED09D1" w:rsidRPr="007923F2">
        <w:rPr>
          <w:lang w:eastAsia="en-AU"/>
        </w:rPr>
        <w:t>is reduced by the amount of any adjustment made under section 20(3)(e) of the Goods and Services Act 1985.</w:t>
      </w:r>
    </w:p>
    <w:p w14:paraId="404EA8DC" w14:textId="77777777" w:rsidR="00ED09D1" w:rsidRDefault="00ED09D1" w:rsidP="00831FC3">
      <w:pPr>
        <w:rPr>
          <w:lang w:eastAsia="en-AU"/>
        </w:rPr>
      </w:pPr>
    </w:p>
    <w:p w14:paraId="7BF1539F" w14:textId="250DCFC7" w:rsidR="00831FC3" w:rsidRDefault="00831FC3" w:rsidP="00831FC3">
      <w:pPr>
        <w:pStyle w:val="Exampleheading1"/>
      </w:pPr>
      <w:r w:rsidRPr="008C4B03">
        <w:t>Example</w:t>
      </w:r>
      <w:r w:rsidR="00DF2F85">
        <w:t xml:space="preserve"> 16</w:t>
      </w:r>
      <w:r w:rsidRPr="008C4B03">
        <w:t xml:space="preserve">: </w:t>
      </w:r>
      <w:r w:rsidR="00DF2F85">
        <w:t>D</w:t>
      </w:r>
      <w:r w:rsidRPr="008C4B03">
        <w:t>eductions from output tax</w:t>
      </w:r>
    </w:p>
    <w:p w14:paraId="7421F232" w14:textId="77777777" w:rsidR="00831FC3" w:rsidRPr="008C4B03" w:rsidRDefault="00831FC3" w:rsidP="00831FC3">
      <w:pPr>
        <w:pStyle w:val="Exampletext"/>
      </w:pPr>
    </w:p>
    <w:p w14:paraId="55555688" w14:textId="7D5B659F" w:rsidR="00831FC3" w:rsidRDefault="00831FC3" w:rsidP="00831FC3">
      <w:pPr>
        <w:pStyle w:val="Exampletext"/>
      </w:pPr>
      <w:r w:rsidRPr="008C4B03">
        <w:t>James purchases $20,000 worth of oil</w:t>
      </w:r>
      <w:r w:rsidR="00485279">
        <w:t xml:space="preserve">. </w:t>
      </w:r>
      <w:r w:rsidRPr="008C4B03">
        <w:t>He originally intended to use 2/3 of the oil in his R&amp;D process and take 1/3 home for his Ferrari</w:t>
      </w:r>
      <w:r w:rsidR="00485279">
        <w:t xml:space="preserve">. </w:t>
      </w:r>
      <w:r w:rsidRPr="008C4B03">
        <w:t>James ends up using all $20,000 of the oil in his R&amp;D process.</w:t>
      </w:r>
    </w:p>
    <w:p w14:paraId="45E58EAD" w14:textId="77777777" w:rsidR="00831FC3" w:rsidRPr="008C4B03" w:rsidRDefault="00831FC3" w:rsidP="00831FC3">
      <w:pPr>
        <w:pStyle w:val="Exampletext"/>
      </w:pPr>
    </w:p>
    <w:p w14:paraId="129F5293" w14:textId="56B4BEB1" w:rsidR="00831FC3" w:rsidRDefault="00831FC3" w:rsidP="00831FC3">
      <w:pPr>
        <w:pStyle w:val="Exampletext"/>
      </w:pPr>
      <w:r w:rsidRPr="008C4B03">
        <w:t>As James thought he would be using 1/3 of the oil for private use when he purchased it, he only claimed an input tax credit of $1,739</w:t>
      </w:r>
      <w:r w:rsidR="00485279">
        <w:t xml:space="preserve">. </w:t>
      </w:r>
      <w:r w:rsidRPr="008C4B03">
        <w:t>Because James used all of the oil for taxable purposes, he could have claimed an input tax credit of $2,609</w:t>
      </w:r>
      <w:r w:rsidR="00485279">
        <w:t xml:space="preserve">. </w:t>
      </w:r>
      <w:r w:rsidRPr="008C4B03">
        <w:t>James may deduct from his output tax $870, being the additional input tax credit he could have claimed.</w:t>
      </w:r>
    </w:p>
    <w:p w14:paraId="052F8F12" w14:textId="77777777" w:rsidR="00831FC3" w:rsidRPr="008C4B03" w:rsidRDefault="00831FC3" w:rsidP="00831FC3">
      <w:pPr>
        <w:pStyle w:val="Exampletext"/>
      </w:pPr>
    </w:p>
    <w:p w14:paraId="0C906BD3" w14:textId="77777777" w:rsidR="00831FC3" w:rsidRPr="008C4B03" w:rsidRDefault="00831FC3" w:rsidP="00831FC3">
      <w:pPr>
        <w:pStyle w:val="Exampletext"/>
      </w:pPr>
      <w:r w:rsidRPr="008C4B03">
        <w:t>When James files his tax return and claims his R&amp;D tax credit, this $870 must be deducted off his eligible expenditure to reflect the fact that the true cost of the oil to James was $17,391.</w:t>
      </w:r>
    </w:p>
    <w:p w14:paraId="13248AE6" w14:textId="77777777" w:rsidR="00831FC3" w:rsidRDefault="00831FC3" w:rsidP="00831FC3">
      <w:pPr>
        <w:rPr>
          <w:lang w:eastAsia="en-AU"/>
        </w:rPr>
      </w:pPr>
    </w:p>
    <w:p w14:paraId="7AAF11DE" w14:textId="77777777" w:rsidR="00831FC3" w:rsidRPr="007923F2" w:rsidRDefault="00831FC3" w:rsidP="00831FC3">
      <w:pPr>
        <w:rPr>
          <w:rFonts w:eastAsia="Times New Roman" w:cs="Times New Roman"/>
          <w:szCs w:val="20"/>
          <w:lang w:eastAsia="en-AU"/>
        </w:rPr>
      </w:pPr>
    </w:p>
    <w:p w14:paraId="573A1660" w14:textId="4AF33B0F" w:rsidR="00ED09D1" w:rsidRPr="007923F2" w:rsidRDefault="00730FAA" w:rsidP="00F010DE">
      <w:pPr>
        <w:pStyle w:val="Heading3"/>
      </w:pPr>
      <w:r>
        <w:t>A</w:t>
      </w:r>
      <w:r w:rsidRPr="007923F2">
        <w:t>djustments for output tax</w:t>
      </w:r>
      <w:r w:rsidRPr="007923F2">
        <w:t xml:space="preserve"> </w:t>
      </w:r>
      <w:r>
        <w:t xml:space="preserve">(section </w:t>
      </w:r>
      <w:r w:rsidR="00ED09D1" w:rsidRPr="007923F2">
        <w:t>LY 1(7)</w:t>
      </w:r>
      <w:r>
        <w:t>)</w:t>
      </w:r>
    </w:p>
    <w:p w14:paraId="6A79450D" w14:textId="77777777" w:rsidR="00ED09D1" w:rsidRPr="007923F2" w:rsidRDefault="00ED09D1" w:rsidP="00F010DE">
      <w:pPr>
        <w:rPr>
          <w:lang w:eastAsia="en-AU"/>
        </w:rPr>
      </w:pPr>
    </w:p>
    <w:p w14:paraId="495AFE4E" w14:textId="77777777" w:rsidR="00ED09D1" w:rsidRPr="007923F2" w:rsidRDefault="00762AEC" w:rsidP="00F010DE">
      <w:pPr>
        <w:rPr>
          <w:lang w:eastAsia="en-AU"/>
        </w:rPr>
      </w:pPr>
      <w:r>
        <w:rPr>
          <w:lang w:eastAsia="en-AU"/>
        </w:rPr>
        <w:t>A</w:t>
      </w:r>
      <w:r w:rsidR="00ED09D1" w:rsidRPr="007923F2">
        <w:rPr>
          <w:lang w:eastAsia="en-AU"/>
        </w:rPr>
        <w:t xml:space="preserve"> person’s expenditure or loss is increased by adding the relevant amount of deductible output tax the person has.</w:t>
      </w:r>
    </w:p>
    <w:p w14:paraId="42DAD678" w14:textId="77777777" w:rsidR="00ED09D1" w:rsidRPr="007923F2" w:rsidRDefault="00ED09D1" w:rsidP="00F010DE">
      <w:pPr>
        <w:rPr>
          <w:lang w:eastAsia="en-AU"/>
        </w:rPr>
      </w:pPr>
    </w:p>
    <w:p w14:paraId="5D37C583" w14:textId="51B3241B" w:rsidR="00F010DE" w:rsidRDefault="00F010DE">
      <w:pPr>
        <w:spacing w:after="200" w:line="276" w:lineRule="auto"/>
        <w:jc w:val="left"/>
        <w:rPr>
          <w:rFonts w:eastAsia="Times New Roman" w:cs="Times New Roman"/>
          <w:szCs w:val="20"/>
          <w:lang w:eastAsia="en-AU"/>
        </w:rPr>
      </w:pPr>
      <w:r>
        <w:rPr>
          <w:rFonts w:eastAsia="Times New Roman" w:cs="Times New Roman"/>
          <w:szCs w:val="20"/>
          <w:lang w:eastAsia="en-AU"/>
        </w:rPr>
        <w:br w:type="page"/>
      </w:r>
    </w:p>
    <w:p w14:paraId="6285F99D" w14:textId="77777777" w:rsidR="00ED09D1" w:rsidRPr="001F46A8" w:rsidRDefault="00ED09D1" w:rsidP="00F010DE">
      <w:pPr>
        <w:pStyle w:val="Heading1"/>
      </w:pPr>
      <w:bookmarkStart w:id="42" w:name="_Toc528157368"/>
      <w:bookmarkStart w:id="43" w:name="_Toc528195586"/>
      <w:r>
        <w:t>R</w:t>
      </w:r>
      <w:r w:rsidRPr="001F46A8">
        <w:t>efundability</w:t>
      </w:r>
      <w:bookmarkEnd w:id="42"/>
      <w:bookmarkEnd w:id="43"/>
    </w:p>
    <w:p w14:paraId="48C5E1A3" w14:textId="77777777" w:rsidR="00ED09D1" w:rsidRPr="001F46A8" w:rsidRDefault="00ED09D1" w:rsidP="00F010DE">
      <w:pPr>
        <w:pStyle w:val="Heading3"/>
      </w:pPr>
      <w:r w:rsidRPr="001F46A8">
        <w:t>Clause 9</w:t>
      </w:r>
    </w:p>
    <w:p w14:paraId="6A6E0FBE" w14:textId="77777777" w:rsidR="00ED09D1" w:rsidRDefault="00ED09D1" w:rsidP="00F010DE">
      <w:pPr>
        <w:rPr>
          <w:lang w:eastAsia="en-AU"/>
        </w:rPr>
      </w:pPr>
    </w:p>
    <w:p w14:paraId="57385D55" w14:textId="77777777" w:rsidR="004F72A5" w:rsidRPr="001F46A8" w:rsidRDefault="004F72A5" w:rsidP="00F010DE">
      <w:pPr>
        <w:rPr>
          <w:lang w:eastAsia="en-AU"/>
        </w:rPr>
      </w:pPr>
    </w:p>
    <w:p w14:paraId="1B5ECA96" w14:textId="5043F00F" w:rsidR="00ED09D1" w:rsidRPr="001F46A8" w:rsidRDefault="00ED09D1" w:rsidP="00F010DE">
      <w:pPr>
        <w:pStyle w:val="Heading2"/>
      </w:pPr>
      <w:r w:rsidRPr="001F46A8">
        <w:t>Summary of proposed amendment</w:t>
      </w:r>
    </w:p>
    <w:p w14:paraId="1E8E98D0" w14:textId="77777777" w:rsidR="00ED09D1" w:rsidRPr="001F46A8" w:rsidRDefault="00ED09D1" w:rsidP="00F010DE">
      <w:pPr>
        <w:rPr>
          <w:lang w:eastAsia="en-AU"/>
        </w:rPr>
      </w:pPr>
    </w:p>
    <w:p w14:paraId="5F891F81" w14:textId="5906A554" w:rsidR="00ED09D1" w:rsidRPr="001F46A8" w:rsidRDefault="00ED09D1" w:rsidP="00F010DE">
      <w:pPr>
        <w:rPr>
          <w:lang w:eastAsia="en-AU"/>
        </w:rPr>
      </w:pPr>
      <w:r w:rsidRPr="001F46A8">
        <w:rPr>
          <w:lang w:eastAsia="en-AU"/>
        </w:rPr>
        <w:t xml:space="preserve">The </w:t>
      </w:r>
      <w:r w:rsidR="004326D4">
        <w:rPr>
          <w:lang w:eastAsia="en-AU"/>
        </w:rPr>
        <w:t>B</w:t>
      </w:r>
      <w:r w:rsidRPr="001F46A8">
        <w:rPr>
          <w:lang w:eastAsia="en-AU"/>
        </w:rPr>
        <w:t xml:space="preserve">ill proposes that R&amp;D tax credits be refundable for companies in loss or with insufficient income tax liability to </w:t>
      </w:r>
      <w:r w:rsidR="0099594D">
        <w:rPr>
          <w:lang w:eastAsia="en-AU"/>
        </w:rPr>
        <w:t>use</w:t>
      </w:r>
      <w:r w:rsidRPr="001F46A8">
        <w:rPr>
          <w:lang w:eastAsia="en-AU"/>
        </w:rPr>
        <w:t xml:space="preserve"> all of their R&amp;D tax credits in an income year, provided certain criteria are met. A company may receive a maximum of $255,000 refundable R&amp;D tax credits. Any credits that are not refunded may be carried forward by the company to the next income year, provided shareholder c</w:t>
      </w:r>
      <w:r w:rsidR="00F010DE">
        <w:rPr>
          <w:lang w:eastAsia="en-AU"/>
        </w:rPr>
        <w:t>ontinuity requirements are met.</w:t>
      </w:r>
    </w:p>
    <w:p w14:paraId="2A8A7DB1" w14:textId="77777777" w:rsidR="00ED09D1" w:rsidRDefault="00ED09D1" w:rsidP="00F010DE">
      <w:pPr>
        <w:rPr>
          <w:lang w:eastAsia="en-AU"/>
        </w:rPr>
      </w:pPr>
    </w:p>
    <w:p w14:paraId="343795DA" w14:textId="77777777" w:rsidR="00F010DE" w:rsidRPr="001F46A8" w:rsidRDefault="00F010DE" w:rsidP="00F010DE">
      <w:pPr>
        <w:rPr>
          <w:lang w:eastAsia="en-AU"/>
        </w:rPr>
      </w:pPr>
    </w:p>
    <w:p w14:paraId="1E04C35F" w14:textId="77777777" w:rsidR="00ED09D1" w:rsidRPr="001F46A8" w:rsidRDefault="00ED09D1" w:rsidP="00F010DE">
      <w:pPr>
        <w:pStyle w:val="Heading2"/>
      </w:pPr>
      <w:r w:rsidRPr="00F010DE">
        <w:rPr>
          <w:rStyle w:val="Heading2Char"/>
        </w:rPr>
        <w:t>A</w:t>
      </w:r>
      <w:r w:rsidRPr="001F46A8">
        <w:t>pplication date</w:t>
      </w:r>
    </w:p>
    <w:p w14:paraId="37C7E5B5" w14:textId="77777777" w:rsidR="00ED09D1" w:rsidRPr="001F46A8" w:rsidRDefault="00ED09D1" w:rsidP="00F010DE">
      <w:pPr>
        <w:rPr>
          <w:lang w:eastAsia="en-AU"/>
        </w:rPr>
      </w:pPr>
    </w:p>
    <w:p w14:paraId="0AC43490" w14:textId="003140CF" w:rsidR="00ED09D1" w:rsidRPr="001F46A8" w:rsidRDefault="00ED09D1" w:rsidP="00F010DE">
      <w:pPr>
        <w:rPr>
          <w:lang w:eastAsia="en-AU"/>
        </w:rPr>
      </w:pPr>
      <w:r w:rsidRPr="001F46A8">
        <w:rPr>
          <w:lang w:eastAsia="en-AU"/>
        </w:rPr>
        <w:t xml:space="preserve">From the </w:t>
      </w:r>
      <w:r w:rsidR="00E010FC">
        <w:rPr>
          <w:lang w:eastAsia="en-AU"/>
        </w:rPr>
        <w:t>2019–20</w:t>
      </w:r>
      <w:r w:rsidRPr="001F46A8">
        <w:rPr>
          <w:lang w:eastAsia="en-AU"/>
        </w:rPr>
        <w:t xml:space="preserve"> income year.</w:t>
      </w:r>
    </w:p>
    <w:p w14:paraId="242129B1" w14:textId="77777777" w:rsidR="00ED09D1" w:rsidRDefault="00ED09D1" w:rsidP="00F010DE">
      <w:pPr>
        <w:rPr>
          <w:lang w:eastAsia="en-AU"/>
        </w:rPr>
      </w:pPr>
    </w:p>
    <w:p w14:paraId="537C8CC8" w14:textId="77777777" w:rsidR="00F010DE" w:rsidRPr="001F46A8" w:rsidRDefault="00F010DE" w:rsidP="00F010DE">
      <w:pPr>
        <w:rPr>
          <w:lang w:eastAsia="en-AU"/>
        </w:rPr>
      </w:pPr>
    </w:p>
    <w:p w14:paraId="274939AD" w14:textId="77777777" w:rsidR="00ED09D1" w:rsidRPr="001F46A8" w:rsidRDefault="00ED09D1" w:rsidP="00F010DE">
      <w:pPr>
        <w:pStyle w:val="Heading2"/>
      </w:pPr>
      <w:r w:rsidRPr="001F46A8">
        <w:t>Key features</w:t>
      </w:r>
    </w:p>
    <w:p w14:paraId="3F367B8A" w14:textId="77777777" w:rsidR="00ED09D1" w:rsidRPr="001F46A8" w:rsidRDefault="00ED09D1" w:rsidP="00ED09D1">
      <w:pPr>
        <w:rPr>
          <w:rFonts w:eastAsia="Times New Roman" w:cs="Times New Roman"/>
          <w:szCs w:val="20"/>
          <w:lang w:eastAsia="en-AU"/>
        </w:rPr>
      </w:pPr>
    </w:p>
    <w:p w14:paraId="282E20DF" w14:textId="0D779E2B" w:rsidR="00ED09D1" w:rsidRPr="001F46A8" w:rsidRDefault="004326D4" w:rsidP="00ED09D1">
      <w:pPr>
        <w:rPr>
          <w:rFonts w:eastAsia="Times New Roman" w:cs="Times New Roman"/>
          <w:szCs w:val="20"/>
          <w:lang w:eastAsia="en-AU"/>
        </w:rPr>
      </w:pPr>
      <w:r>
        <w:rPr>
          <w:rFonts w:eastAsia="Times New Roman" w:cs="Times New Roman"/>
          <w:szCs w:val="20"/>
          <w:lang w:eastAsia="en-AU"/>
        </w:rPr>
        <w:t>Proposed n</w:t>
      </w:r>
      <w:r w:rsidR="00ED09D1" w:rsidRPr="001F46A8">
        <w:rPr>
          <w:rFonts w:eastAsia="Times New Roman" w:cs="Times New Roman"/>
          <w:szCs w:val="20"/>
          <w:lang w:eastAsia="en-AU"/>
        </w:rPr>
        <w:t>ew section LA 5(4B) provides that a company’s R&amp;D tax credits</w:t>
      </w:r>
      <w:r w:rsidR="00F010DE">
        <w:rPr>
          <w:rFonts w:eastAsia="Times New Roman" w:cs="Times New Roman"/>
          <w:szCs w:val="20"/>
          <w:lang w:eastAsia="en-AU"/>
        </w:rPr>
        <w:t xml:space="preserve"> are refundable if the company:</w:t>
      </w:r>
    </w:p>
    <w:p w14:paraId="0CAFC649" w14:textId="77777777" w:rsidR="00ED09D1" w:rsidRPr="001F46A8" w:rsidRDefault="00ED09D1" w:rsidP="00ED09D1">
      <w:pPr>
        <w:rPr>
          <w:rFonts w:eastAsia="Times New Roman" w:cs="Times New Roman"/>
          <w:szCs w:val="20"/>
          <w:lang w:eastAsia="en-AU"/>
        </w:rPr>
      </w:pPr>
    </w:p>
    <w:p w14:paraId="4E5685A2" w14:textId="45AB02B3" w:rsidR="00ED09D1" w:rsidRPr="001F46A8" w:rsidRDefault="0099594D" w:rsidP="001C51DF">
      <w:pPr>
        <w:pStyle w:val="dotpoint"/>
      </w:pPr>
      <w:r>
        <w:t>i</w:t>
      </w:r>
      <w:r w:rsidR="00ED09D1" w:rsidRPr="001F46A8">
        <w:t>s in a tax loss position, or has insufficient income tax liability to utilise all of its R&amp;D tax credits in the relevant income year;</w:t>
      </w:r>
    </w:p>
    <w:p w14:paraId="68516AA5" w14:textId="4C34B776" w:rsidR="00ED09D1" w:rsidRPr="001F46A8" w:rsidRDefault="0099594D" w:rsidP="001C51DF">
      <w:pPr>
        <w:pStyle w:val="dotpoint"/>
      </w:pPr>
      <w:r>
        <w:t>s</w:t>
      </w:r>
      <w:r w:rsidR="00ED09D1" w:rsidRPr="001F46A8">
        <w:t>atisfies the R&amp;D tax loss cash-out corporate eligibility and wage intensity criteria in sections MX 2 and 3;</w:t>
      </w:r>
    </w:p>
    <w:p w14:paraId="16753122" w14:textId="46474FED" w:rsidR="00ED09D1" w:rsidRPr="001F46A8" w:rsidRDefault="0099594D" w:rsidP="001C51DF">
      <w:pPr>
        <w:pStyle w:val="dotpoint"/>
      </w:pPr>
      <w:r>
        <w:t>d</w:t>
      </w:r>
      <w:r w:rsidR="00ED09D1" w:rsidRPr="001F46A8">
        <w:t>oes not derive exempt income and is not associated with a pe</w:t>
      </w:r>
      <w:r w:rsidR="00F010DE">
        <w:t>rson who derives exempt income;</w:t>
      </w:r>
    </w:p>
    <w:p w14:paraId="28EA9C20" w14:textId="1B235D11" w:rsidR="00ED09D1" w:rsidRDefault="0099594D" w:rsidP="001C51DF">
      <w:pPr>
        <w:pStyle w:val="dotpoint"/>
      </w:pPr>
      <w:r>
        <w:t>is</w:t>
      </w:r>
      <w:r w:rsidR="00ED09D1" w:rsidRPr="001F46A8">
        <w:t xml:space="preserve"> not a listed company and is not associated with a listed company</w:t>
      </w:r>
      <w:r w:rsidR="00845E5F">
        <w:t>;</w:t>
      </w:r>
      <w:r w:rsidR="00845E5F" w:rsidRPr="001F46A8">
        <w:t xml:space="preserve"> </w:t>
      </w:r>
      <w:r w:rsidR="00845E5F">
        <w:t>and</w:t>
      </w:r>
    </w:p>
    <w:p w14:paraId="4B7448FF" w14:textId="0505CBD6" w:rsidR="003D5492" w:rsidRPr="001F46A8" w:rsidRDefault="0099594D" w:rsidP="001C51DF">
      <w:pPr>
        <w:pStyle w:val="dotpoint"/>
        <w:spacing w:after="0"/>
      </w:pPr>
      <w:r>
        <w:t>d</w:t>
      </w:r>
      <w:r w:rsidR="003D5492">
        <w:t>oes not have an outstanding tax liability.</w:t>
      </w:r>
    </w:p>
    <w:p w14:paraId="47214284" w14:textId="77777777" w:rsidR="00ED09D1" w:rsidRPr="001F46A8" w:rsidRDefault="00ED09D1" w:rsidP="001C51DF">
      <w:pPr>
        <w:rPr>
          <w:lang w:eastAsia="en-AU"/>
        </w:rPr>
      </w:pPr>
    </w:p>
    <w:p w14:paraId="6201A0A9" w14:textId="256D95CC" w:rsidR="00ED09D1" w:rsidRPr="001F46A8" w:rsidRDefault="00ED09D1" w:rsidP="001C51DF">
      <w:pPr>
        <w:rPr>
          <w:lang w:eastAsia="en-AU"/>
        </w:rPr>
      </w:pPr>
      <w:r w:rsidRPr="001F46A8">
        <w:rPr>
          <w:lang w:eastAsia="en-AU"/>
        </w:rPr>
        <w:t>Only the first $255,000 of the company’s R&amp;D tax credits is refundable, which is the equivalent of $1</w:t>
      </w:r>
      <w:r w:rsidR="004326D4">
        <w:rPr>
          <w:lang w:eastAsia="en-AU"/>
        </w:rPr>
        <w:t>.</w:t>
      </w:r>
      <w:r w:rsidRPr="001F46A8">
        <w:rPr>
          <w:lang w:eastAsia="en-AU"/>
        </w:rPr>
        <w:t>7</w:t>
      </w:r>
      <w:r w:rsidR="004326D4">
        <w:rPr>
          <w:lang w:eastAsia="en-AU"/>
        </w:rPr>
        <w:t xml:space="preserve"> million</w:t>
      </w:r>
      <w:r w:rsidR="008C4B03">
        <w:rPr>
          <w:lang w:eastAsia="en-AU"/>
        </w:rPr>
        <w:t xml:space="preserve"> of eligible </w:t>
      </w:r>
      <w:r w:rsidRPr="001F46A8">
        <w:rPr>
          <w:lang w:eastAsia="en-AU"/>
        </w:rPr>
        <w:t xml:space="preserve">expenditure. Any remaining R&amp;D tax credits may be carried forward to </w:t>
      </w:r>
      <w:r w:rsidR="003D5492">
        <w:rPr>
          <w:lang w:eastAsia="en-AU"/>
        </w:rPr>
        <w:t xml:space="preserve">the next </w:t>
      </w:r>
      <w:r w:rsidRPr="001F46A8">
        <w:rPr>
          <w:lang w:eastAsia="en-AU"/>
        </w:rPr>
        <w:t xml:space="preserve">income year provided the shareholder continuity requirements in </w:t>
      </w:r>
      <w:r w:rsidR="00EA5922">
        <w:rPr>
          <w:lang w:eastAsia="en-AU"/>
        </w:rPr>
        <w:t xml:space="preserve">proposed </w:t>
      </w:r>
      <w:r w:rsidRPr="001F46A8">
        <w:rPr>
          <w:lang w:eastAsia="en-AU"/>
        </w:rPr>
        <w:t>new section LY 8 are met.</w:t>
      </w:r>
    </w:p>
    <w:p w14:paraId="737D6402" w14:textId="77777777" w:rsidR="00ED09D1" w:rsidRDefault="00ED09D1" w:rsidP="001C51DF">
      <w:pPr>
        <w:rPr>
          <w:lang w:eastAsia="en-AU"/>
        </w:rPr>
      </w:pPr>
    </w:p>
    <w:p w14:paraId="6C31C486" w14:textId="77777777" w:rsidR="00F010DE" w:rsidRPr="001F46A8" w:rsidRDefault="00F010DE" w:rsidP="001C51DF">
      <w:pPr>
        <w:rPr>
          <w:lang w:eastAsia="en-AU"/>
        </w:rPr>
      </w:pPr>
    </w:p>
    <w:p w14:paraId="2C72A128" w14:textId="77777777" w:rsidR="00ED09D1" w:rsidRPr="001F46A8" w:rsidRDefault="00ED09D1" w:rsidP="001C51DF">
      <w:pPr>
        <w:pStyle w:val="Heading2"/>
      </w:pPr>
      <w:r w:rsidRPr="001F46A8">
        <w:t>Background</w:t>
      </w:r>
    </w:p>
    <w:p w14:paraId="449D3BE5" w14:textId="77777777" w:rsidR="00ED09D1" w:rsidRPr="001F46A8" w:rsidRDefault="00ED09D1" w:rsidP="001C51DF">
      <w:pPr>
        <w:rPr>
          <w:lang w:val="en-GB" w:eastAsia="en-AU"/>
        </w:rPr>
      </w:pPr>
    </w:p>
    <w:p w14:paraId="5F0F9B27" w14:textId="77777777" w:rsidR="00ED09D1" w:rsidRPr="001F46A8" w:rsidRDefault="004F5C30" w:rsidP="001C51DF">
      <w:pPr>
        <w:rPr>
          <w:szCs w:val="20"/>
          <w:lang w:eastAsia="en-AU"/>
        </w:rPr>
      </w:pPr>
      <w:r>
        <w:rPr>
          <w:szCs w:val="20"/>
          <w:lang w:eastAsia="en-AU"/>
        </w:rPr>
        <w:t>Many R&amp;D intensive firms operate at a loss, especially in their early years. For the R&amp;D tax credit regime to encourage</w:t>
      </w:r>
      <w:r w:rsidR="00ED09D1" w:rsidRPr="001F46A8">
        <w:rPr>
          <w:szCs w:val="20"/>
          <w:lang w:eastAsia="en-AU"/>
        </w:rPr>
        <w:t xml:space="preserve"> more businesses to undertake a greater amount of R&amp;D</w:t>
      </w:r>
      <w:r>
        <w:rPr>
          <w:szCs w:val="20"/>
          <w:lang w:eastAsia="en-AU"/>
        </w:rPr>
        <w:t xml:space="preserve">, </w:t>
      </w:r>
      <w:r w:rsidR="003D5492">
        <w:rPr>
          <w:szCs w:val="20"/>
          <w:lang w:eastAsia="en-AU"/>
        </w:rPr>
        <w:t xml:space="preserve">proposed </w:t>
      </w:r>
      <w:r>
        <w:rPr>
          <w:szCs w:val="20"/>
          <w:lang w:eastAsia="en-AU"/>
        </w:rPr>
        <w:t>n</w:t>
      </w:r>
      <w:r w:rsidR="00ED09D1" w:rsidRPr="001F46A8">
        <w:rPr>
          <w:szCs w:val="20"/>
          <w:lang w:eastAsia="en-AU"/>
        </w:rPr>
        <w:t>ew section LA 5(4B) ensures that eligible companies are able to receive the benefit of up to $255,000 of their R&amp;D tax credits each income year.</w:t>
      </w:r>
    </w:p>
    <w:p w14:paraId="74C014A3" w14:textId="77777777" w:rsidR="00ED09D1" w:rsidRPr="001F46A8" w:rsidRDefault="00ED09D1" w:rsidP="001C51DF">
      <w:pPr>
        <w:rPr>
          <w:szCs w:val="20"/>
          <w:lang w:eastAsia="en-AU"/>
        </w:rPr>
      </w:pPr>
    </w:p>
    <w:p w14:paraId="07E49985" w14:textId="781884B4" w:rsidR="00ED09D1" w:rsidRPr="001F46A8" w:rsidRDefault="00ED09D1" w:rsidP="001C51DF">
      <w:pPr>
        <w:rPr>
          <w:szCs w:val="20"/>
          <w:lang w:eastAsia="en-AU"/>
        </w:rPr>
      </w:pPr>
      <w:r w:rsidRPr="001F46A8">
        <w:rPr>
          <w:szCs w:val="20"/>
          <w:lang w:eastAsia="en-AU"/>
        </w:rPr>
        <w:t xml:space="preserve">The corporate eligibility and wage intensity criteria (LA 5(4B)(a)(i) and (ii)) are intended to target the refundability of R&amp;D tax credits to start-up firms </w:t>
      </w:r>
      <w:r w:rsidR="004F5C30">
        <w:rPr>
          <w:szCs w:val="20"/>
          <w:lang w:eastAsia="en-AU"/>
        </w:rPr>
        <w:t>heavily engaged in R&amp;D. N</w:t>
      </w:r>
      <w:r w:rsidRPr="001F46A8">
        <w:rPr>
          <w:szCs w:val="20"/>
          <w:lang w:eastAsia="en-AU"/>
        </w:rPr>
        <w:t>ew section LA 5(4B) uses the R&amp;D tax loss cash-out corporate eligibili</w:t>
      </w:r>
      <w:r w:rsidR="00F010DE">
        <w:rPr>
          <w:szCs w:val="20"/>
          <w:lang w:eastAsia="en-AU"/>
        </w:rPr>
        <w:t>ty and wage intensity criteria.</w:t>
      </w:r>
    </w:p>
    <w:p w14:paraId="67E230CC" w14:textId="77777777" w:rsidR="00ED09D1" w:rsidRPr="001F46A8" w:rsidRDefault="00ED09D1" w:rsidP="001C51DF">
      <w:pPr>
        <w:rPr>
          <w:szCs w:val="20"/>
          <w:lang w:eastAsia="en-AU"/>
        </w:rPr>
      </w:pPr>
    </w:p>
    <w:p w14:paraId="6B76E5C3" w14:textId="4510E240" w:rsidR="00ED09D1" w:rsidRDefault="00ED09D1" w:rsidP="001C51DF">
      <w:pPr>
        <w:rPr>
          <w:szCs w:val="20"/>
          <w:lang w:eastAsia="en-AU"/>
        </w:rPr>
      </w:pPr>
      <w:r w:rsidRPr="001F46A8">
        <w:rPr>
          <w:szCs w:val="20"/>
          <w:lang w:eastAsia="en-AU"/>
        </w:rPr>
        <w:t>R&amp;D tax credits cannot be refunded under LA 5(4B) for non-corporate entities and companies that do not satisfy the requirem</w:t>
      </w:r>
      <w:r w:rsidR="00F010DE">
        <w:rPr>
          <w:szCs w:val="20"/>
          <w:lang w:eastAsia="en-AU"/>
        </w:rPr>
        <w:t>ents of LA 5(4B)(a)(i) to (vi).</w:t>
      </w:r>
    </w:p>
    <w:p w14:paraId="47C5F951" w14:textId="77777777" w:rsidR="00D409AC" w:rsidRDefault="00D409AC" w:rsidP="001C51DF">
      <w:pPr>
        <w:rPr>
          <w:szCs w:val="20"/>
          <w:lang w:eastAsia="en-AU"/>
        </w:rPr>
      </w:pPr>
    </w:p>
    <w:p w14:paraId="10FA7BEF" w14:textId="5FA7E62C" w:rsidR="00D409AC" w:rsidRPr="001F46A8" w:rsidRDefault="00D409AC" w:rsidP="001C51DF">
      <w:pPr>
        <w:rPr>
          <w:szCs w:val="20"/>
          <w:lang w:eastAsia="en-AU"/>
        </w:rPr>
      </w:pPr>
      <w:r>
        <w:rPr>
          <w:szCs w:val="20"/>
          <w:lang w:eastAsia="en-AU"/>
        </w:rPr>
        <w:t xml:space="preserve">The Government intends to </w:t>
      </w:r>
      <w:r w:rsidR="0099594D">
        <w:rPr>
          <w:szCs w:val="20"/>
          <w:lang w:eastAsia="en-AU"/>
        </w:rPr>
        <w:t>undertake</w:t>
      </w:r>
      <w:r>
        <w:rPr>
          <w:szCs w:val="20"/>
          <w:lang w:eastAsia="en-AU"/>
        </w:rPr>
        <w:t xml:space="preserve"> further policy work on refunding R&amp;D tax credits, and the policy may change for year two.</w:t>
      </w:r>
    </w:p>
    <w:p w14:paraId="4B595A02" w14:textId="77777777" w:rsidR="00ED09D1" w:rsidRDefault="00ED09D1" w:rsidP="001C51DF">
      <w:pPr>
        <w:rPr>
          <w:lang w:eastAsia="en-AU"/>
        </w:rPr>
      </w:pPr>
    </w:p>
    <w:p w14:paraId="4C4D29C9" w14:textId="77777777" w:rsidR="00F010DE" w:rsidRPr="001F46A8" w:rsidRDefault="00F010DE" w:rsidP="001C51DF">
      <w:pPr>
        <w:rPr>
          <w:lang w:eastAsia="en-AU"/>
        </w:rPr>
      </w:pPr>
    </w:p>
    <w:p w14:paraId="3DDED56B" w14:textId="77777777" w:rsidR="00ED09D1" w:rsidRPr="001F46A8" w:rsidRDefault="00ED09D1" w:rsidP="001C51DF">
      <w:pPr>
        <w:pStyle w:val="Heading2"/>
      </w:pPr>
      <w:r w:rsidRPr="001F46A8">
        <w:t>Detailed analysis</w:t>
      </w:r>
    </w:p>
    <w:p w14:paraId="28AE49C8" w14:textId="77777777" w:rsidR="00ED09D1" w:rsidRPr="001F46A8" w:rsidRDefault="00ED09D1" w:rsidP="001C51DF">
      <w:pPr>
        <w:rPr>
          <w:lang w:eastAsia="en-AU"/>
        </w:rPr>
      </w:pPr>
    </w:p>
    <w:p w14:paraId="41514450" w14:textId="77777777" w:rsidR="00ED09D1" w:rsidRPr="001F46A8" w:rsidRDefault="00ED09D1" w:rsidP="001C51DF">
      <w:pPr>
        <w:pStyle w:val="Heading3"/>
      </w:pPr>
      <w:r w:rsidRPr="001F46A8">
        <w:t>Criteria for refundable R&amp;D tax credits</w:t>
      </w:r>
    </w:p>
    <w:p w14:paraId="65B695EA" w14:textId="77777777" w:rsidR="00ED09D1" w:rsidRDefault="00ED09D1" w:rsidP="001C51DF">
      <w:pPr>
        <w:rPr>
          <w:lang w:eastAsia="en-AU"/>
        </w:rPr>
      </w:pPr>
    </w:p>
    <w:p w14:paraId="28A21E95" w14:textId="13D89B7F" w:rsidR="00ED09D1" w:rsidRPr="001F46A8" w:rsidRDefault="00ED09D1" w:rsidP="001C51DF">
      <w:pPr>
        <w:rPr>
          <w:lang w:eastAsia="en-AU"/>
        </w:rPr>
      </w:pPr>
      <w:r w:rsidRPr="001F46A8">
        <w:rPr>
          <w:lang w:eastAsia="en-AU"/>
        </w:rPr>
        <w:t xml:space="preserve">A person who has received R&amp;D tax credits may only have their credits refunded under new section LA 5(4B), up to a maximum of $255,000, if they meet certain criteria. These criteria are in addition to the general eligibility criteria in </w:t>
      </w:r>
      <w:r w:rsidR="00EA5922">
        <w:rPr>
          <w:lang w:eastAsia="en-AU"/>
        </w:rPr>
        <w:t xml:space="preserve">proposed new </w:t>
      </w:r>
      <w:r w:rsidRPr="001F46A8">
        <w:rPr>
          <w:lang w:eastAsia="en-AU"/>
        </w:rPr>
        <w:t>section LY 3, which require, among other things, that a person carries on business through a fixed establishment in New Zealand.</w:t>
      </w:r>
    </w:p>
    <w:p w14:paraId="6E7BF52B" w14:textId="77777777" w:rsidR="00ED09D1" w:rsidRPr="001F46A8" w:rsidRDefault="00ED09D1" w:rsidP="001C51DF">
      <w:pPr>
        <w:rPr>
          <w:lang w:eastAsia="en-AU"/>
        </w:rPr>
      </w:pPr>
    </w:p>
    <w:p w14:paraId="247977EC" w14:textId="77777777" w:rsidR="00ED09D1" w:rsidRPr="001F46A8" w:rsidRDefault="00ED09D1" w:rsidP="001C51DF">
      <w:pPr>
        <w:pStyle w:val="Heading4"/>
      </w:pPr>
      <w:r w:rsidRPr="001F46A8">
        <w:t>Corporate eligibility criteria must be met ((a)(i))</w:t>
      </w:r>
    </w:p>
    <w:p w14:paraId="62FA519A" w14:textId="77777777" w:rsidR="00ED09D1" w:rsidRPr="001F46A8" w:rsidRDefault="00ED09D1" w:rsidP="001C51DF">
      <w:pPr>
        <w:rPr>
          <w:lang w:eastAsia="en-AU"/>
        </w:rPr>
      </w:pPr>
    </w:p>
    <w:p w14:paraId="38197BFA" w14:textId="77777777" w:rsidR="00ED09D1" w:rsidRPr="001F46A8" w:rsidRDefault="00ED09D1" w:rsidP="001C51DF">
      <w:pPr>
        <w:rPr>
          <w:lang w:eastAsia="en-AU"/>
        </w:rPr>
      </w:pPr>
      <w:r w:rsidRPr="001F46A8">
        <w:rPr>
          <w:lang w:eastAsia="en-AU"/>
        </w:rPr>
        <w:t>The corporate eligibility criteria are met if a person:</w:t>
      </w:r>
    </w:p>
    <w:p w14:paraId="44B60966" w14:textId="77777777" w:rsidR="00ED09D1" w:rsidRPr="001F46A8" w:rsidRDefault="00ED09D1" w:rsidP="001C51DF">
      <w:pPr>
        <w:rPr>
          <w:lang w:eastAsia="en-AU"/>
        </w:rPr>
      </w:pPr>
    </w:p>
    <w:p w14:paraId="16937742" w14:textId="7C428993" w:rsidR="00ED09D1" w:rsidRPr="001F46A8" w:rsidRDefault="0099594D" w:rsidP="001C51DF">
      <w:pPr>
        <w:pStyle w:val="dotpoint"/>
      </w:pPr>
      <w:r>
        <w:t>i</w:t>
      </w:r>
      <w:r w:rsidR="00ED09D1" w:rsidRPr="001F46A8">
        <w:t>s a company (this includes companies incorporated part way through an income year);</w:t>
      </w:r>
    </w:p>
    <w:p w14:paraId="3252D35A" w14:textId="11557BF5" w:rsidR="00ED09D1" w:rsidRPr="001F46A8" w:rsidRDefault="0099594D" w:rsidP="001C51DF">
      <w:pPr>
        <w:pStyle w:val="dotpoint"/>
      </w:pPr>
      <w:r>
        <w:t>i</w:t>
      </w:r>
      <w:r w:rsidR="00ED09D1" w:rsidRPr="001F46A8">
        <w:t>s tax resident in New Zealand;</w:t>
      </w:r>
    </w:p>
    <w:p w14:paraId="2E82FC43" w14:textId="3039C1C0" w:rsidR="00ED09D1" w:rsidRPr="001F46A8" w:rsidRDefault="0099594D" w:rsidP="001C51DF">
      <w:pPr>
        <w:pStyle w:val="dotpoint"/>
      </w:pPr>
      <w:r>
        <w:t>i</w:t>
      </w:r>
      <w:r w:rsidR="00ED09D1" w:rsidRPr="001F46A8">
        <w:t>s not treated as tax resident in another country under a double tax agreement;</w:t>
      </w:r>
    </w:p>
    <w:p w14:paraId="721464A3" w14:textId="76C52DA9" w:rsidR="00ED09D1" w:rsidRPr="001F46A8" w:rsidRDefault="0099594D" w:rsidP="001C51DF">
      <w:pPr>
        <w:pStyle w:val="dotpoint"/>
      </w:pPr>
      <w:r>
        <w:t>d</w:t>
      </w:r>
      <w:r w:rsidR="00ED09D1" w:rsidRPr="001F46A8">
        <w:t xml:space="preserve">oes not have </w:t>
      </w:r>
      <w:r w:rsidR="004360B9">
        <w:t>fifty percent</w:t>
      </w:r>
      <w:r w:rsidR="00ED09D1" w:rsidRPr="001F46A8">
        <w:t xml:space="preserve"> or more of its shares held by a public or local authority, a </w:t>
      </w:r>
      <w:r w:rsidR="004326D4">
        <w:t xml:space="preserve">CRI </w:t>
      </w:r>
      <w:r w:rsidR="00ED09D1" w:rsidRPr="001F46A8">
        <w:t>, or a State enterprise;</w:t>
      </w:r>
    </w:p>
    <w:p w14:paraId="1365BA4D" w14:textId="4C21ACFB" w:rsidR="00ED09D1" w:rsidRPr="001F46A8" w:rsidRDefault="0099594D" w:rsidP="001C51DF">
      <w:pPr>
        <w:pStyle w:val="dotpoint"/>
      </w:pPr>
      <w:r>
        <w:t>i</w:t>
      </w:r>
      <w:r w:rsidR="00ED09D1" w:rsidRPr="001F46A8">
        <w:t>s not an entity established by, or subject to, the Education Act 1989, the New Zealand Public Health and Disability Act 2000, or the Crown Entities Act 2004; and</w:t>
      </w:r>
    </w:p>
    <w:p w14:paraId="40A8E3D4" w14:textId="729B2647" w:rsidR="00ED09D1" w:rsidRDefault="0099594D" w:rsidP="001C51DF">
      <w:pPr>
        <w:pStyle w:val="dotpoint"/>
        <w:spacing w:after="0"/>
      </w:pPr>
      <w:r>
        <w:t>i</w:t>
      </w:r>
      <w:r w:rsidR="00ED09D1" w:rsidRPr="001F46A8">
        <w:t>s not a listed company or otherwise l</w:t>
      </w:r>
      <w:r w:rsidR="00F010DE">
        <w:t>isted on a recognised exchange.</w:t>
      </w:r>
    </w:p>
    <w:p w14:paraId="3BD1F33A" w14:textId="77777777" w:rsidR="00F010DE" w:rsidRDefault="00F010DE" w:rsidP="00F010DE">
      <w:pPr>
        <w:rPr>
          <w:lang w:eastAsia="en-AU"/>
        </w:rPr>
      </w:pPr>
    </w:p>
    <w:p w14:paraId="385885F3" w14:textId="0E510979" w:rsidR="00F010DE" w:rsidRDefault="00F010DE" w:rsidP="00F010DE">
      <w:pPr>
        <w:pStyle w:val="Exampleheading1"/>
      </w:pPr>
      <w:r w:rsidRPr="003646BA">
        <w:t>Example</w:t>
      </w:r>
      <w:r w:rsidR="00DF2F85">
        <w:t xml:space="preserve"> 17</w:t>
      </w:r>
      <w:r w:rsidRPr="003646BA">
        <w:t xml:space="preserve">: </w:t>
      </w:r>
      <w:r w:rsidR="00DF2F85">
        <w:t>J</w:t>
      </w:r>
      <w:r>
        <w:t>oint venture partially owned by Crown ineligible</w:t>
      </w:r>
    </w:p>
    <w:p w14:paraId="1CCF27F2" w14:textId="77777777" w:rsidR="00F010DE" w:rsidRPr="003646BA" w:rsidRDefault="00F010DE" w:rsidP="00F010DE">
      <w:pPr>
        <w:pStyle w:val="Exampletext"/>
      </w:pPr>
    </w:p>
    <w:p w14:paraId="37178828" w14:textId="2F35AC30" w:rsidR="00F010DE" w:rsidRPr="003646BA" w:rsidRDefault="00F010DE" w:rsidP="00F010DE">
      <w:pPr>
        <w:pStyle w:val="Exampletext"/>
      </w:pPr>
      <w:r w:rsidRPr="003646BA">
        <w:t xml:space="preserve">A tertiary education organisation and a State enterprise each have a </w:t>
      </w:r>
      <w:r w:rsidR="004360B9">
        <w:t>twenty five percent</w:t>
      </w:r>
      <w:r w:rsidRPr="003646BA">
        <w:t xml:space="preserve"> share of a joint venture company set up to do R&amp;D on a new method of generating electricity through wind turbines. The other </w:t>
      </w:r>
      <w:r w:rsidR="004360B9">
        <w:t>fifty percent</w:t>
      </w:r>
      <w:r w:rsidRPr="003646BA">
        <w:t xml:space="preserve"> is owned by Brya, who is a private investor. The joint venture company is unable to receive a refund of its R&amp;D tax credits under new section LA 5(4B) becaus</w:t>
      </w:r>
      <w:r>
        <w:t xml:space="preserve">e it is </w:t>
      </w:r>
      <w:r w:rsidR="004360B9">
        <w:t>fifty percent</w:t>
      </w:r>
      <w:r>
        <w:t xml:space="preserve"> owned by the Crown.</w:t>
      </w:r>
    </w:p>
    <w:p w14:paraId="006CC001" w14:textId="77777777" w:rsidR="00F010DE" w:rsidRDefault="00F010DE" w:rsidP="00F010DE">
      <w:pPr>
        <w:rPr>
          <w:lang w:eastAsia="en-AU"/>
        </w:rPr>
      </w:pPr>
    </w:p>
    <w:p w14:paraId="670EA839" w14:textId="77777777" w:rsidR="00F010DE" w:rsidRPr="001F46A8" w:rsidRDefault="00F010DE" w:rsidP="00F010DE">
      <w:pPr>
        <w:rPr>
          <w:lang w:eastAsia="en-AU"/>
        </w:rPr>
      </w:pPr>
    </w:p>
    <w:p w14:paraId="054C73C8" w14:textId="77777777" w:rsidR="00453540" w:rsidRPr="00453540" w:rsidRDefault="00453540" w:rsidP="00453540">
      <w:r w:rsidRPr="00453540">
        <w:br w:type="page"/>
      </w:r>
    </w:p>
    <w:p w14:paraId="1DC666AC" w14:textId="423EFBBE" w:rsidR="00F010DE" w:rsidRPr="003646BA" w:rsidRDefault="00F010DE" w:rsidP="00F010DE">
      <w:pPr>
        <w:pStyle w:val="Exampleheading1"/>
      </w:pPr>
      <w:r w:rsidRPr="003646BA">
        <w:t>Example</w:t>
      </w:r>
      <w:r w:rsidR="00DF2F85">
        <w:t xml:space="preserve"> 18</w:t>
      </w:r>
      <w:r w:rsidRPr="003646BA">
        <w:t xml:space="preserve">: </w:t>
      </w:r>
      <w:r w:rsidR="00DF2F85">
        <w:t>R</w:t>
      </w:r>
      <w:r w:rsidRPr="003646BA">
        <w:t>esidence of shareholders</w:t>
      </w:r>
    </w:p>
    <w:p w14:paraId="61555593" w14:textId="77777777" w:rsidR="00F010DE" w:rsidRDefault="00F010DE" w:rsidP="00F010DE">
      <w:pPr>
        <w:pStyle w:val="Exampletext"/>
      </w:pPr>
    </w:p>
    <w:p w14:paraId="5F5D9A8A" w14:textId="77777777" w:rsidR="00F010DE" w:rsidRDefault="00F010DE" w:rsidP="00F010DE">
      <w:pPr>
        <w:pStyle w:val="Exampletext"/>
      </w:pPr>
      <w:r w:rsidRPr="003646BA">
        <w:t>James is a pumpkin grower who has an idea to develop purple pumpkins that can glow in the dark. James thinks that “glow in the dark” purple pumpkins will appeal greatly to the US market, especially over Halloween. Stephanie, who is an Australian resident, agrees to provide funding for initial resear</w:t>
      </w:r>
      <w:r>
        <w:t>ch and development on the idea.</w:t>
      </w:r>
    </w:p>
    <w:p w14:paraId="21C0C384" w14:textId="77777777" w:rsidR="00F010DE" w:rsidRPr="003646BA" w:rsidRDefault="00F010DE" w:rsidP="00F010DE">
      <w:pPr>
        <w:pStyle w:val="Exampletext"/>
      </w:pPr>
    </w:p>
    <w:p w14:paraId="24FE99F8" w14:textId="74068715" w:rsidR="00F010DE" w:rsidRDefault="00F010DE" w:rsidP="00F010DE">
      <w:pPr>
        <w:pStyle w:val="Exampletext"/>
      </w:pPr>
      <w:r w:rsidRPr="003646BA">
        <w:t xml:space="preserve">James and Stephanie incorporate Purple Pumpkin Ltd (PPL) in New Zealand. James holds </w:t>
      </w:r>
      <w:r w:rsidR="004360B9">
        <w:t>thirty percent</w:t>
      </w:r>
      <w:r w:rsidRPr="003646BA">
        <w:t xml:space="preserve"> of the shares in PPL, and Stephanie holds the remaining </w:t>
      </w:r>
      <w:r w:rsidR="004360B9">
        <w:t>seventy percent</w:t>
      </w:r>
      <w:r w:rsidRPr="003646BA">
        <w:t xml:space="preserve"> of shares. PPL commences R&amp;D on the idea. </w:t>
      </w:r>
    </w:p>
    <w:p w14:paraId="7B1973FE" w14:textId="77777777" w:rsidR="00F010DE" w:rsidRPr="003646BA" w:rsidRDefault="00F010DE" w:rsidP="00F010DE">
      <w:pPr>
        <w:pStyle w:val="Exampletext"/>
      </w:pPr>
    </w:p>
    <w:p w14:paraId="56657FE8" w14:textId="77777777" w:rsidR="00F010DE" w:rsidRDefault="00F010DE" w:rsidP="00F010DE">
      <w:pPr>
        <w:pStyle w:val="Exampletext"/>
      </w:pPr>
      <w:r w:rsidRPr="003646BA">
        <w:t>PPL is eligible for refundable R&amp;D tax credits unde</w:t>
      </w:r>
      <w:r>
        <w:t>r new section LA 5(4B) because:</w:t>
      </w:r>
    </w:p>
    <w:p w14:paraId="1A83DDB3" w14:textId="77777777" w:rsidR="00F010DE" w:rsidRPr="003646BA" w:rsidRDefault="00F010DE" w:rsidP="00F010DE">
      <w:pPr>
        <w:pStyle w:val="Exampletext"/>
      </w:pPr>
    </w:p>
    <w:p w14:paraId="0EE8C5B2" w14:textId="2E9D883C" w:rsidR="00F010DE" w:rsidRPr="003646BA" w:rsidRDefault="00F6191D" w:rsidP="00F010DE">
      <w:pPr>
        <w:pStyle w:val="Examplebullet1"/>
      </w:pPr>
      <w:r>
        <w:t>t</w:t>
      </w:r>
      <w:r w:rsidR="00F010DE" w:rsidRPr="003646BA">
        <w:t>he residence of its shareholders does not affect PPL’s New Zealand tax resident status;</w:t>
      </w:r>
    </w:p>
    <w:p w14:paraId="12F4EC0C" w14:textId="77777777" w:rsidR="00F010DE" w:rsidRPr="003646BA" w:rsidRDefault="00F010DE" w:rsidP="00F010DE">
      <w:pPr>
        <w:pStyle w:val="Examplebullet1"/>
      </w:pPr>
      <w:r w:rsidRPr="003646BA">
        <w:t>PPL is in a tax loss position; and</w:t>
      </w:r>
    </w:p>
    <w:p w14:paraId="59104C8B" w14:textId="77777777" w:rsidR="00F010DE" w:rsidRPr="003646BA" w:rsidRDefault="00F010DE" w:rsidP="00F010DE">
      <w:pPr>
        <w:pStyle w:val="Examplebullet1"/>
        <w:spacing w:after="0"/>
      </w:pPr>
      <w:r w:rsidRPr="003646BA">
        <w:t>PPL satisfies the other requirements of LA 5(4B)(a).</w:t>
      </w:r>
    </w:p>
    <w:p w14:paraId="6C24D76D" w14:textId="523C3858" w:rsidR="00ED09D1" w:rsidRPr="001F46A8" w:rsidRDefault="00ED09D1" w:rsidP="001C51DF">
      <w:pPr>
        <w:rPr>
          <w:lang w:eastAsia="en-AU"/>
        </w:rPr>
      </w:pPr>
    </w:p>
    <w:p w14:paraId="5C6957FF" w14:textId="77777777" w:rsidR="00ED09D1" w:rsidRPr="001F46A8" w:rsidRDefault="00ED09D1" w:rsidP="001C51DF">
      <w:pPr>
        <w:rPr>
          <w:lang w:eastAsia="en-AU"/>
        </w:rPr>
      </w:pPr>
    </w:p>
    <w:p w14:paraId="55A7E47D" w14:textId="77777777" w:rsidR="00ED09D1" w:rsidRPr="001F46A8" w:rsidRDefault="00ED09D1" w:rsidP="001C51DF">
      <w:pPr>
        <w:pStyle w:val="Heading4"/>
      </w:pPr>
      <w:r w:rsidRPr="001F46A8">
        <w:t>Wage intensity criteria must be met ((a)(ii))</w:t>
      </w:r>
    </w:p>
    <w:p w14:paraId="24F569ED" w14:textId="77777777" w:rsidR="00ED09D1" w:rsidRPr="001F46A8" w:rsidRDefault="00ED09D1" w:rsidP="001C51DF">
      <w:pPr>
        <w:rPr>
          <w:lang w:eastAsia="en-AU"/>
        </w:rPr>
      </w:pPr>
    </w:p>
    <w:p w14:paraId="75ED6CC1" w14:textId="199B680D" w:rsidR="00ED09D1" w:rsidRPr="001F46A8" w:rsidRDefault="00ED09D1" w:rsidP="001C51DF">
      <w:pPr>
        <w:rPr>
          <w:lang w:eastAsia="en-AU"/>
        </w:rPr>
      </w:pPr>
      <w:r w:rsidRPr="001F46A8">
        <w:rPr>
          <w:lang w:eastAsia="en-AU"/>
        </w:rPr>
        <w:t xml:space="preserve">The wage intensity criteria are set out in section MX 3. To be eligible, </w:t>
      </w:r>
      <w:r w:rsidR="004360B9">
        <w:rPr>
          <w:lang w:eastAsia="en-AU"/>
        </w:rPr>
        <w:t>twenty percent</w:t>
      </w:r>
      <w:r w:rsidR="004C3713">
        <w:rPr>
          <w:lang w:eastAsia="en-AU"/>
        </w:rPr>
        <w:t xml:space="preserve"> or more of a firm’s labour costs must be R&amp;D related</w:t>
      </w:r>
      <w:r w:rsidRPr="001F46A8">
        <w:rPr>
          <w:lang w:eastAsia="en-AU"/>
        </w:rPr>
        <w:t>. If the company is part of a group of companies, the amount calculated for the R&amp;D group (in the aggregate) should be 0.2 or more. Wage intensity for the R&amp;D tax credit regime is calculated in the same way as for th</w:t>
      </w:r>
      <w:r w:rsidR="00F010DE">
        <w:rPr>
          <w:lang w:eastAsia="en-AU"/>
        </w:rPr>
        <w:t>e R&amp;D tax loss cash-out regime.</w:t>
      </w:r>
    </w:p>
    <w:p w14:paraId="30722924" w14:textId="77777777" w:rsidR="00ED09D1" w:rsidRPr="001F46A8" w:rsidRDefault="00ED09D1" w:rsidP="001C51DF">
      <w:pPr>
        <w:rPr>
          <w:lang w:eastAsia="en-AU"/>
        </w:rPr>
      </w:pPr>
    </w:p>
    <w:p w14:paraId="26A11BD4" w14:textId="77777777" w:rsidR="00ED09D1" w:rsidRPr="001F46A8" w:rsidRDefault="00ED09D1" w:rsidP="001C51DF">
      <w:pPr>
        <w:pStyle w:val="Heading4"/>
      </w:pPr>
      <w:r w:rsidRPr="001F46A8">
        <w:t>Company must not derive exempt income</w:t>
      </w:r>
    </w:p>
    <w:p w14:paraId="0DB54E03" w14:textId="77777777" w:rsidR="00ED09D1" w:rsidRPr="001F46A8" w:rsidRDefault="00ED09D1" w:rsidP="001C51DF">
      <w:pPr>
        <w:rPr>
          <w:lang w:eastAsia="en-AU"/>
        </w:rPr>
      </w:pPr>
    </w:p>
    <w:p w14:paraId="7F7E9331" w14:textId="726AEA57" w:rsidR="00ED09D1" w:rsidRPr="001F46A8" w:rsidRDefault="00ED09D1" w:rsidP="001C51DF">
      <w:pPr>
        <w:rPr>
          <w:lang w:eastAsia="en-AU"/>
        </w:rPr>
      </w:pPr>
      <w:r w:rsidRPr="001F46A8">
        <w:rPr>
          <w:lang w:eastAsia="en-AU"/>
        </w:rPr>
        <w:t>Companies that derive exempt income, or are associated with an entity that derives exempt income, are not eligible for refundable R&amp;D tax credits. These entities will, however, be able to carry their R&amp;D tax credits forward i</w:t>
      </w:r>
      <w:r w:rsidR="00F010DE">
        <w:rPr>
          <w:lang w:eastAsia="en-AU"/>
        </w:rPr>
        <w:t>n accordance with section LY 8.</w:t>
      </w:r>
    </w:p>
    <w:p w14:paraId="35E1B14B" w14:textId="77777777" w:rsidR="00ED09D1" w:rsidRPr="001F46A8" w:rsidRDefault="00ED09D1" w:rsidP="001C51DF">
      <w:pPr>
        <w:rPr>
          <w:i/>
          <w:lang w:eastAsia="en-AU"/>
        </w:rPr>
      </w:pPr>
    </w:p>
    <w:p w14:paraId="2E5B52B4" w14:textId="77777777" w:rsidR="00ED09D1" w:rsidRPr="001F46A8" w:rsidRDefault="00ED09D1" w:rsidP="001C51DF">
      <w:pPr>
        <w:pStyle w:val="Heading4"/>
      </w:pPr>
      <w:r w:rsidRPr="001F46A8">
        <w:t>Company must not be a listed company</w:t>
      </w:r>
    </w:p>
    <w:p w14:paraId="00808FAC" w14:textId="77777777" w:rsidR="00ED09D1" w:rsidRPr="001F46A8" w:rsidRDefault="00ED09D1" w:rsidP="001C51DF">
      <w:pPr>
        <w:rPr>
          <w:lang w:eastAsia="en-AU"/>
        </w:rPr>
      </w:pPr>
    </w:p>
    <w:p w14:paraId="5F146983" w14:textId="77777777" w:rsidR="00ED09D1" w:rsidRPr="001F46A8" w:rsidRDefault="00ED09D1" w:rsidP="001C51DF">
      <w:pPr>
        <w:rPr>
          <w:lang w:eastAsia="en-AU"/>
        </w:rPr>
      </w:pPr>
      <w:r w:rsidRPr="001F46A8">
        <w:rPr>
          <w:lang w:eastAsia="en-AU"/>
        </w:rPr>
        <w:t>Listed companies and entities associated with listed companies will not be eligible t</w:t>
      </w:r>
      <w:r w:rsidR="001C5F0C">
        <w:rPr>
          <w:lang w:eastAsia="en-AU"/>
        </w:rPr>
        <w:t>o refund their R&amp;D tax credits.</w:t>
      </w:r>
    </w:p>
    <w:p w14:paraId="2D20B0FE" w14:textId="77777777" w:rsidR="00ED09D1" w:rsidRPr="001F46A8" w:rsidRDefault="00ED09D1" w:rsidP="001C51DF">
      <w:pPr>
        <w:rPr>
          <w:lang w:eastAsia="en-AU"/>
        </w:rPr>
      </w:pPr>
    </w:p>
    <w:p w14:paraId="5A32BC84" w14:textId="77777777" w:rsidR="00ED09D1" w:rsidRPr="001F46A8" w:rsidRDefault="00ED09D1" w:rsidP="001C51DF">
      <w:pPr>
        <w:pStyle w:val="Heading3"/>
      </w:pPr>
      <w:r w:rsidRPr="001F46A8">
        <w:t>R&amp;D tax loss cash-out regime</w:t>
      </w:r>
    </w:p>
    <w:p w14:paraId="6776EF4A" w14:textId="77777777" w:rsidR="00ED09D1" w:rsidRPr="001F46A8" w:rsidRDefault="00ED09D1" w:rsidP="001C51DF">
      <w:pPr>
        <w:rPr>
          <w:lang w:eastAsia="en-AU"/>
        </w:rPr>
      </w:pPr>
    </w:p>
    <w:p w14:paraId="58C6D3D5" w14:textId="77777777" w:rsidR="00ED09D1" w:rsidRPr="001F46A8" w:rsidRDefault="00ED09D1" w:rsidP="001C51DF">
      <w:pPr>
        <w:rPr>
          <w:lang w:eastAsia="en-AU"/>
        </w:rPr>
      </w:pPr>
      <w:r w:rsidRPr="001F46A8">
        <w:rPr>
          <w:lang w:eastAsia="en-AU"/>
        </w:rPr>
        <w:t xml:space="preserve">The R&amp;D tax loss cash-out and the R&amp;D tax credit regimes have different criteria and definitions for eligible R&amp;D activity. </w:t>
      </w:r>
      <w:r w:rsidR="001C5F0C">
        <w:rPr>
          <w:lang w:eastAsia="en-AU"/>
        </w:rPr>
        <w:t>A</w:t>
      </w:r>
      <w:r w:rsidRPr="001F46A8">
        <w:rPr>
          <w:lang w:eastAsia="en-AU"/>
        </w:rPr>
        <w:t xml:space="preserve"> company which cashes out its losses under the R&amp;D tax loss cash-out regime is also able to claim R&amp;D tax credits in the same income year.</w:t>
      </w:r>
    </w:p>
    <w:p w14:paraId="5EB96612" w14:textId="77777777" w:rsidR="00ED09D1" w:rsidRPr="001F46A8" w:rsidRDefault="00ED09D1" w:rsidP="001C51DF">
      <w:pPr>
        <w:rPr>
          <w:lang w:eastAsia="en-AU"/>
        </w:rPr>
      </w:pPr>
    </w:p>
    <w:p w14:paraId="098DBCA0" w14:textId="77777777" w:rsidR="00ED09D1" w:rsidRPr="001F46A8" w:rsidRDefault="00ED09D1" w:rsidP="001C51DF">
      <w:pPr>
        <w:rPr>
          <w:lang w:eastAsia="en-AU"/>
        </w:rPr>
      </w:pPr>
      <w:r w:rsidRPr="001F46A8">
        <w:rPr>
          <w:lang w:eastAsia="en-AU"/>
        </w:rPr>
        <w:t>The provisions relating to the R&amp;D tax loss cash-out regime in subpart MX are only relevant to the R&amp;D tax credit regime to the extent they are brought into LA 5(4B) for determining a company’s eligibility for refundable R&amp;D tax credits. Other aspects of eligibility for the R&amp;D tax credit regime are determined solely by reference to the requirements in subpart LY.</w:t>
      </w:r>
    </w:p>
    <w:p w14:paraId="1D89F1D0" w14:textId="77777777" w:rsidR="001C5F0C" w:rsidRDefault="001C5F0C">
      <w:pPr>
        <w:rPr>
          <w:rFonts w:eastAsia="Times New Roman" w:cs="Times New Roman"/>
          <w:b/>
          <w:caps/>
          <w:sz w:val="26"/>
          <w:szCs w:val="20"/>
          <w:lang w:eastAsia="en-AU"/>
        </w:rPr>
      </w:pPr>
      <w:r>
        <w:br w:type="page"/>
      </w:r>
    </w:p>
    <w:p w14:paraId="500E6811" w14:textId="77777777" w:rsidR="00600D9B" w:rsidRPr="001F46A8" w:rsidRDefault="00600D9B" w:rsidP="001C51DF">
      <w:pPr>
        <w:pStyle w:val="Heading1"/>
      </w:pPr>
      <w:bookmarkStart w:id="44" w:name="_Toc528157369"/>
      <w:bookmarkStart w:id="45" w:name="_Toc528195587"/>
      <w:r w:rsidRPr="001F46A8">
        <w:t xml:space="preserve">Carrying </w:t>
      </w:r>
      <w:r>
        <w:t>f</w:t>
      </w:r>
      <w:r w:rsidRPr="001F46A8">
        <w:t xml:space="preserve">orward </w:t>
      </w:r>
      <w:r>
        <w:t>s</w:t>
      </w:r>
      <w:r w:rsidRPr="001F46A8">
        <w:t xml:space="preserve">urplus R&amp;D </w:t>
      </w:r>
      <w:r>
        <w:t>t</w:t>
      </w:r>
      <w:r w:rsidRPr="001F46A8">
        <w:t xml:space="preserve">ax </w:t>
      </w:r>
      <w:r>
        <w:t>c</w:t>
      </w:r>
      <w:r w:rsidRPr="001F46A8">
        <w:t>redits</w:t>
      </w:r>
      <w:bookmarkEnd w:id="44"/>
      <w:bookmarkEnd w:id="45"/>
    </w:p>
    <w:p w14:paraId="53BB3428" w14:textId="2331569D" w:rsidR="00600D9B" w:rsidRDefault="00600D9B" w:rsidP="001C51DF">
      <w:pPr>
        <w:pStyle w:val="Heading3"/>
      </w:pPr>
      <w:r w:rsidRPr="001F46A8">
        <w:t xml:space="preserve">Clause </w:t>
      </w:r>
      <w:r w:rsidR="004F72A5">
        <w:t xml:space="preserve">10 (proposed new section LY 8) and </w:t>
      </w:r>
      <w:r w:rsidRPr="001F46A8">
        <w:t>21</w:t>
      </w:r>
    </w:p>
    <w:p w14:paraId="34385DA9" w14:textId="77777777" w:rsidR="001C51DF" w:rsidRDefault="001C51DF" w:rsidP="001C51DF">
      <w:pPr>
        <w:rPr>
          <w:lang w:eastAsia="en-AU"/>
        </w:rPr>
      </w:pPr>
    </w:p>
    <w:p w14:paraId="716DEFC9" w14:textId="77777777" w:rsidR="001C51DF" w:rsidRPr="001F46A8" w:rsidRDefault="001C51DF" w:rsidP="001C51DF">
      <w:pPr>
        <w:rPr>
          <w:lang w:eastAsia="en-AU"/>
        </w:rPr>
      </w:pPr>
    </w:p>
    <w:p w14:paraId="4FCCD685" w14:textId="611F4ED3" w:rsidR="00600D9B" w:rsidRPr="001F46A8" w:rsidRDefault="00600D9B" w:rsidP="001C51DF">
      <w:pPr>
        <w:pStyle w:val="Heading2"/>
      </w:pPr>
      <w:r w:rsidRPr="001F46A8">
        <w:t>Summary of proposed amendment</w:t>
      </w:r>
    </w:p>
    <w:p w14:paraId="004E8D0E" w14:textId="77777777" w:rsidR="00600D9B" w:rsidRPr="001F46A8" w:rsidRDefault="00600D9B" w:rsidP="001C51DF">
      <w:pPr>
        <w:rPr>
          <w:lang w:eastAsia="en-AU"/>
        </w:rPr>
      </w:pPr>
    </w:p>
    <w:p w14:paraId="6085F24E" w14:textId="3287E29C" w:rsidR="00600D9B" w:rsidRPr="001F46A8" w:rsidRDefault="00600D9B" w:rsidP="001C51DF">
      <w:pPr>
        <w:rPr>
          <w:lang w:eastAsia="en-AU"/>
        </w:rPr>
      </w:pPr>
      <w:r w:rsidRPr="001F46A8">
        <w:rPr>
          <w:lang w:eastAsia="en-AU"/>
        </w:rPr>
        <w:t>It is proposed that a taxpayer may carry forward any surplus R&amp;D tax credits to the next tax year</w:t>
      </w:r>
      <w:r w:rsidR="00485279">
        <w:rPr>
          <w:lang w:eastAsia="en-AU"/>
        </w:rPr>
        <w:t xml:space="preserve">. </w:t>
      </w:r>
      <w:r w:rsidR="00C5413C">
        <w:rPr>
          <w:lang w:eastAsia="en-AU"/>
        </w:rPr>
        <w:t>C</w:t>
      </w:r>
      <w:r w:rsidRPr="001F46A8">
        <w:rPr>
          <w:lang w:eastAsia="en-AU"/>
        </w:rPr>
        <w:t>ompanies</w:t>
      </w:r>
      <w:r w:rsidR="00C5413C">
        <w:rPr>
          <w:lang w:eastAsia="en-AU"/>
        </w:rPr>
        <w:t xml:space="preserve"> must meet</w:t>
      </w:r>
      <w:r w:rsidRPr="001F46A8">
        <w:rPr>
          <w:lang w:eastAsia="en-AU"/>
        </w:rPr>
        <w:t xml:space="preserve"> certain shareholder continuity requirements in order for R&amp;D tax credits to be carried forward.</w:t>
      </w:r>
    </w:p>
    <w:p w14:paraId="0DAD783A" w14:textId="77777777" w:rsidR="00600D9B" w:rsidRDefault="00600D9B" w:rsidP="001C51DF">
      <w:pPr>
        <w:rPr>
          <w:lang w:eastAsia="en-AU"/>
        </w:rPr>
      </w:pPr>
    </w:p>
    <w:p w14:paraId="2194F898" w14:textId="77777777" w:rsidR="001C51DF" w:rsidRPr="001F46A8" w:rsidRDefault="001C51DF" w:rsidP="001C51DF">
      <w:pPr>
        <w:rPr>
          <w:lang w:eastAsia="en-AU"/>
        </w:rPr>
      </w:pPr>
    </w:p>
    <w:p w14:paraId="52E9FB6C" w14:textId="77777777" w:rsidR="00600D9B" w:rsidRPr="001F46A8" w:rsidRDefault="00600D9B" w:rsidP="001C51DF">
      <w:pPr>
        <w:pStyle w:val="Heading2"/>
      </w:pPr>
      <w:r w:rsidRPr="001F46A8">
        <w:t>Application date</w:t>
      </w:r>
    </w:p>
    <w:p w14:paraId="755F3A78" w14:textId="77777777" w:rsidR="00600D9B" w:rsidRPr="001F46A8" w:rsidRDefault="00600D9B" w:rsidP="001C51DF">
      <w:pPr>
        <w:rPr>
          <w:lang w:eastAsia="en-AU"/>
        </w:rPr>
      </w:pPr>
    </w:p>
    <w:p w14:paraId="6152FE6F" w14:textId="379D750B" w:rsidR="00600D9B" w:rsidRPr="001F46A8" w:rsidRDefault="00600D9B" w:rsidP="001C51DF">
      <w:pPr>
        <w:rPr>
          <w:lang w:eastAsia="en-AU"/>
        </w:rPr>
      </w:pPr>
      <w:r w:rsidRPr="001F46A8">
        <w:rPr>
          <w:lang w:eastAsia="en-AU"/>
        </w:rPr>
        <w:t xml:space="preserve">From the </w:t>
      </w:r>
      <w:r w:rsidR="00E010FC">
        <w:rPr>
          <w:lang w:eastAsia="en-AU"/>
        </w:rPr>
        <w:t>2019–20</w:t>
      </w:r>
      <w:r w:rsidRPr="001F46A8">
        <w:rPr>
          <w:lang w:eastAsia="en-AU"/>
        </w:rPr>
        <w:t xml:space="preserve"> income year.</w:t>
      </w:r>
    </w:p>
    <w:p w14:paraId="47F7D771" w14:textId="77777777" w:rsidR="00600D9B" w:rsidRDefault="00600D9B" w:rsidP="001C51DF">
      <w:pPr>
        <w:rPr>
          <w:lang w:eastAsia="en-AU"/>
        </w:rPr>
      </w:pPr>
    </w:p>
    <w:p w14:paraId="6B119B62" w14:textId="77777777" w:rsidR="001C51DF" w:rsidRPr="001F46A8" w:rsidRDefault="001C51DF" w:rsidP="001C51DF">
      <w:pPr>
        <w:rPr>
          <w:lang w:eastAsia="en-AU"/>
        </w:rPr>
      </w:pPr>
    </w:p>
    <w:p w14:paraId="0A10F234" w14:textId="77777777" w:rsidR="00600D9B" w:rsidRPr="001F46A8" w:rsidRDefault="00600D9B" w:rsidP="001C51DF">
      <w:pPr>
        <w:pStyle w:val="Heading2"/>
      </w:pPr>
      <w:r w:rsidRPr="001F46A8">
        <w:t>Key features</w:t>
      </w:r>
    </w:p>
    <w:p w14:paraId="47287ACC" w14:textId="77777777" w:rsidR="00600D9B" w:rsidRPr="001F46A8" w:rsidRDefault="00600D9B" w:rsidP="001C51DF">
      <w:pPr>
        <w:rPr>
          <w:lang w:eastAsia="en-AU"/>
        </w:rPr>
      </w:pPr>
    </w:p>
    <w:p w14:paraId="76FBD001" w14:textId="34BAFF56" w:rsidR="00600D9B" w:rsidRPr="001F46A8" w:rsidRDefault="00600D9B" w:rsidP="001C51DF">
      <w:pPr>
        <w:rPr>
          <w:lang w:eastAsia="en-AU"/>
        </w:rPr>
      </w:pPr>
      <w:r w:rsidRPr="001F46A8">
        <w:rPr>
          <w:lang w:eastAsia="en-AU"/>
        </w:rPr>
        <w:t>Under proposed new section LY 8, a taxpayer may carry forward any remaining R&amp;D tax credits to the next tax year</w:t>
      </w:r>
      <w:r w:rsidR="00C5413C">
        <w:rPr>
          <w:lang w:eastAsia="en-AU"/>
        </w:rPr>
        <w:t xml:space="preserve">. A company </w:t>
      </w:r>
      <w:r w:rsidRPr="001F46A8">
        <w:rPr>
          <w:lang w:eastAsia="en-AU"/>
        </w:rPr>
        <w:t xml:space="preserve">may carry forward those credits if </w:t>
      </w:r>
      <w:r w:rsidR="00C5413C">
        <w:rPr>
          <w:lang w:eastAsia="en-AU"/>
        </w:rPr>
        <w:t xml:space="preserve">it meets the </w:t>
      </w:r>
      <w:r w:rsidRPr="001F46A8">
        <w:rPr>
          <w:lang w:eastAsia="en-AU"/>
        </w:rPr>
        <w:t xml:space="preserve">continuity </w:t>
      </w:r>
      <w:r w:rsidR="00C5413C">
        <w:rPr>
          <w:lang w:eastAsia="en-AU"/>
        </w:rPr>
        <w:t>requirements.</w:t>
      </w:r>
    </w:p>
    <w:p w14:paraId="3567A5C8" w14:textId="77777777" w:rsidR="00600D9B" w:rsidRPr="001F46A8" w:rsidRDefault="00600D9B" w:rsidP="001C51DF">
      <w:pPr>
        <w:rPr>
          <w:lang w:eastAsia="en-AU"/>
        </w:rPr>
      </w:pPr>
    </w:p>
    <w:p w14:paraId="44A41FF3" w14:textId="77777777" w:rsidR="001C51DF" w:rsidRPr="001F46A8" w:rsidRDefault="001C51DF" w:rsidP="001C51DF">
      <w:pPr>
        <w:rPr>
          <w:lang w:eastAsia="en-AU"/>
        </w:rPr>
      </w:pPr>
    </w:p>
    <w:p w14:paraId="5DA48F9F" w14:textId="77777777" w:rsidR="00600D9B" w:rsidRPr="001F46A8" w:rsidRDefault="00600D9B" w:rsidP="001C51DF">
      <w:pPr>
        <w:pStyle w:val="Heading2"/>
      </w:pPr>
      <w:r w:rsidRPr="001F46A8">
        <w:t>Background</w:t>
      </w:r>
    </w:p>
    <w:p w14:paraId="0D26C193" w14:textId="77777777" w:rsidR="00600D9B" w:rsidRPr="001F46A8" w:rsidRDefault="00600D9B" w:rsidP="001C51DF">
      <w:pPr>
        <w:rPr>
          <w:lang w:eastAsia="en-AU"/>
        </w:rPr>
      </w:pPr>
    </w:p>
    <w:p w14:paraId="22DCCCB7" w14:textId="77777777" w:rsidR="00600D9B" w:rsidRPr="001F46A8" w:rsidRDefault="00600D9B" w:rsidP="001C51DF">
      <w:pPr>
        <w:rPr>
          <w:lang w:eastAsia="en-AU"/>
        </w:rPr>
      </w:pPr>
      <w:r w:rsidRPr="001F46A8">
        <w:rPr>
          <w:lang w:eastAsia="en-AU"/>
        </w:rPr>
        <w:t>The test proposed above for whether a company can carry forward its remaining R&amp;D tax credits is the same as the test that currently determines whether a company can carry forward its losses.</w:t>
      </w:r>
    </w:p>
    <w:p w14:paraId="0BA657AF" w14:textId="77777777" w:rsidR="00600D9B" w:rsidRPr="001F46A8" w:rsidRDefault="00600D9B" w:rsidP="001C51DF">
      <w:pPr>
        <w:rPr>
          <w:lang w:eastAsia="en-AU"/>
        </w:rPr>
      </w:pPr>
    </w:p>
    <w:p w14:paraId="077E87D4" w14:textId="3D3D265B" w:rsidR="00600D9B" w:rsidRPr="001F46A8" w:rsidRDefault="00600D9B" w:rsidP="001C51DF">
      <w:pPr>
        <w:rPr>
          <w:lang w:eastAsia="en-AU"/>
        </w:rPr>
      </w:pPr>
      <w:r w:rsidRPr="001F46A8">
        <w:rPr>
          <w:lang w:eastAsia="en-AU"/>
        </w:rPr>
        <w:t xml:space="preserve">The rationale behind </w:t>
      </w:r>
      <w:r w:rsidR="00C5413C">
        <w:rPr>
          <w:lang w:eastAsia="en-AU"/>
        </w:rPr>
        <w:t xml:space="preserve">the </w:t>
      </w:r>
      <w:r w:rsidRPr="001F46A8">
        <w:rPr>
          <w:lang w:eastAsia="en-AU"/>
        </w:rPr>
        <w:t>continuity requirement is to ensure that substantially the same people who incurred the expenditure giving rise to the R&amp;D tax credit are able to benefit from it when the credit is ultimately applied in satisfaction of</w:t>
      </w:r>
      <w:r w:rsidR="0093516A">
        <w:rPr>
          <w:lang w:eastAsia="en-AU"/>
        </w:rPr>
        <w:t xml:space="preserve"> a tax liability, or refunded.</w:t>
      </w:r>
    </w:p>
    <w:p w14:paraId="1C2D8CC9" w14:textId="77777777" w:rsidR="00600D9B" w:rsidRDefault="00600D9B" w:rsidP="001C51DF">
      <w:pPr>
        <w:rPr>
          <w:lang w:eastAsia="en-AU"/>
        </w:rPr>
      </w:pPr>
    </w:p>
    <w:p w14:paraId="676A8098" w14:textId="77777777" w:rsidR="001C51DF" w:rsidRPr="001F46A8" w:rsidRDefault="001C51DF" w:rsidP="001C51DF">
      <w:pPr>
        <w:rPr>
          <w:lang w:eastAsia="en-AU"/>
        </w:rPr>
      </w:pPr>
    </w:p>
    <w:p w14:paraId="1A7EBA69" w14:textId="77777777" w:rsidR="00600D9B" w:rsidRPr="001F46A8" w:rsidRDefault="00600D9B" w:rsidP="001C51DF">
      <w:pPr>
        <w:pStyle w:val="Heading2"/>
      </w:pPr>
      <w:r>
        <w:t>Detailed analysis</w:t>
      </w:r>
    </w:p>
    <w:p w14:paraId="0AC21B40" w14:textId="77777777" w:rsidR="00600D9B" w:rsidRPr="001F46A8" w:rsidRDefault="00600D9B" w:rsidP="001C51DF">
      <w:pPr>
        <w:rPr>
          <w:lang w:eastAsia="en-AU"/>
        </w:rPr>
      </w:pPr>
    </w:p>
    <w:p w14:paraId="539C1634" w14:textId="77777777" w:rsidR="00600D9B" w:rsidRPr="001F46A8" w:rsidRDefault="00600D9B" w:rsidP="001C51DF">
      <w:pPr>
        <w:rPr>
          <w:lang w:eastAsia="en-AU"/>
        </w:rPr>
      </w:pPr>
      <w:r w:rsidRPr="001F46A8">
        <w:rPr>
          <w:lang w:eastAsia="en-AU"/>
        </w:rPr>
        <w:t>Under proposed new section LY 8, a person’s remaining R&amp;D tax credits for a tax year may be carried forward to the next tax year.</w:t>
      </w:r>
    </w:p>
    <w:p w14:paraId="260CAC53" w14:textId="77777777" w:rsidR="00600D9B" w:rsidRPr="001F46A8" w:rsidRDefault="00600D9B" w:rsidP="001C51DF">
      <w:pPr>
        <w:rPr>
          <w:lang w:eastAsia="en-AU"/>
        </w:rPr>
      </w:pPr>
    </w:p>
    <w:p w14:paraId="4F3BA10D" w14:textId="6598CB65" w:rsidR="00600D9B" w:rsidRPr="001F46A8" w:rsidRDefault="00600D9B" w:rsidP="001C51DF">
      <w:pPr>
        <w:rPr>
          <w:lang w:eastAsia="en-AU"/>
        </w:rPr>
      </w:pPr>
      <w:r w:rsidRPr="001F46A8">
        <w:rPr>
          <w:lang w:eastAsia="en-AU"/>
        </w:rPr>
        <w:t>If the taxpayer is a company, the remaining tax credits are extinguished and must not be carried forward unless a group of persons has, for the continuity period</w:t>
      </w:r>
      <w:r w:rsidR="00605590">
        <w:rPr>
          <w:lang w:eastAsia="en-AU"/>
        </w:rPr>
        <w:t>:</w:t>
      </w:r>
    </w:p>
    <w:p w14:paraId="3D9E52B4" w14:textId="77777777" w:rsidR="00600D9B" w:rsidRPr="001F46A8" w:rsidRDefault="00600D9B" w:rsidP="001C51DF">
      <w:pPr>
        <w:rPr>
          <w:lang w:eastAsia="en-AU"/>
        </w:rPr>
      </w:pPr>
    </w:p>
    <w:p w14:paraId="7DD79B34" w14:textId="79CDEAB5" w:rsidR="00600D9B" w:rsidRPr="001F46A8" w:rsidRDefault="00F6191D" w:rsidP="001C51DF">
      <w:pPr>
        <w:pStyle w:val="dotpoint"/>
      </w:pPr>
      <w:r>
        <w:t>m</w:t>
      </w:r>
      <w:r w:rsidR="00845E5F" w:rsidRPr="001F46A8">
        <w:t xml:space="preserve">inimum </w:t>
      </w:r>
      <w:r w:rsidR="00600D9B" w:rsidRPr="001F46A8">
        <w:t xml:space="preserve">voting interests in the company of </w:t>
      </w:r>
      <w:r w:rsidR="004360B9">
        <w:t>forty nine percent</w:t>
      </w:r>
      <w:r w:rsidR="00600D9B" w:rsidRPr="001F46A8">
        <w:t xml:space="preserve"> o</w:t>
      </w:r>
      <w:r w:rsidR="00605590">
        <w:t>r</w:t>
      </w:r>
      <w:r w:rsidR="00600D9B" w:rsidRPr="001F46A8">
        <w:t xml:space="preserve"> more; and</w:t>
      </w:r>
    </w:p>
    <w:p w14:paraId="536A1599" w14:textId="12F2B58A" w:rsidR="00600D9B" w:rsidRPr="001F46A8" w:rsidRDefault="00F6191D" w:rsidP="001C51DF">
      <w:pPr>
        <w:pStyle w:val="dotpoint"/>
        <w:spacing w:after="0"/>
      </w:pPr>
      <w:r>
        <w:t>i</w:t>
      </w:r>
      <w:r w:rsidR="00845E5F" w:rsidRPr="001F46A8">
        <w:t xml:space="preserve">f </w:t>
      </w:r>
      <w:r w:rsidR="00600D9B" w:rsidRPr="001F46A8">
        <w:t xml:space="preserve">a market value circumstance exists for the company in the continuity period, minimum market value interests in the company of </w:t>
      </w:r>
      <w:r w:rsidR="004360B9">
        <w:t>forty nine percent</w:t>
      </w:r>
      <w:r w:rsidR="00600D9B" w:rsidRPr="001F46A8">
        <w:t xml:space="preserve"> or more.</w:t>
      </w:r>
    </w:p>
    <w:p w14:paraId="5598C370" w14:textId="77777777" w:rsidR="008C4B03" w:rsidRDefault="008C4B03" w:rsidP="001C51DF">
      <w:pPr>
        <w:rPr>
          <w:lang w:eastAsia="en-AU"/>
        </w:rPr>
      </w:pPr>
    </w:p>
    <w:p w14:paraId="5557266B" w14:textId="77777777" w:rsidR="00453540" w:rsidRPr="00453540" w:rsidRDefault="00453540" w:rsidP="00453540">
      <w:r w:rsidRPr="00453540">
        <w:br w:type="page"/>
      </w:r>
    </w:p>
    <w:p w14:paraId="24644E4E" w14:textId="194709FE" w:rsidR="00600D9B" w:rsidRPr="001F46A8" w:rsidRDefault="00600D9B" w:rsidP="001C51DF">
      <w:pPr>
        <w:pStyle w:val="Heading4"/>
      </w:pPr>
      <w:r w:rsidRPr="001F46A8">
        <w:t>Continuity period</w:t>
      </w:r>
    </w:p>
    <w:p w14:paraId="501876F7" w14:textId="77777777" w:rsidR="008C4B03" w:rsidRDefault="008C4B03" w:rsidP="001C51DF">
      <w:pPr>
        <w:rPr>
          <w:lang w:eastAsia="en-AU"/>
        </w:rPr>
      </w:pPr>
    </w:p>
    <w:p w14:paraId="67B1A876" w14:textId="77777777" w:rsidR="00600D9B" w:rsidRPr="001F46A8" w:rsidRDefault="00600D9B" w:rsidP="001C51DF">
      <w:pPr>
        <w:rPr>
          <w:lang w:eastAsia="en-AU"/>
        </w:rPr>
      </w:pPr>
      <w:r w:rsidRPr="001F46A8">
        <w:rPr>
          <w:lang w:eastAsia="en-AU"/>
        </w:rPr>
        <w:t>The continuity period starts from the beginning of the income year in which the R&amp;D tax credits arises, and ends on the last day of the income year to which the R&amp;D tax credit has been carried forward to.</w:t>
      </w:r>
    </w:p>
    <w:p w14:paraId="25989BDF" w14:textId="77777777" w:rsidR="00600D9B" w:rsidRPr="001F46A8" w:rsidRDefault="00600D9B" w:rsidP="001C51DF">
      <w:pPr>
        <w:rPr>
          <w:i/>
          <w:lang w:eastAsia="en-AU"/>
        </w:rPr>
      </w:pPr>
    </w:p>
    <w:p w14:paraId="6AA08E27" w14:textId="77777777" w:rsidR="00600D9B" w:rsidRPr="001F46A8" w:rsidRDefault="00600D9B" w:rsidP="001C51DF">
      <w:pPr>
        <w:pStyle w:val="Heading4"/>
      </w:pPr>
      <w:r w:rsidRPr="001F46A8">
        <w:t>Minimum voting interest</w:t>
      </w:r>
    </w:p>
    <w:p w14:paraId="2C7A6DB3" w14:textId="77777777" w:rsidR="00600D9B" w:rsidRPr="001F46A8" w:rsidRDefault="00600D9B" w:rsidP="001C51DF">
      <w:pPr>
        <w:rPr>
          <w:lang w:eastAsia="en-AU"/>
        </w:rPr>
      </w:pPr>
    </w:p>
    <w:p w14:paraId="6FCF2558" w14:textId="117B6BCD" w:rsidR="00600D9B" w:rsidRPr="001F46A8" w:rsidRDefault="00600D9B" w:rsidP="001C51DF">
      <w:pPr>
        <w:rPr>
          <w:lang w:eastAsia="en-AU"/>
        </w:rPr>
      </w:pPr>
      <w:r w:rsidRPr="001F46A8">
        <w:rPr>
          <w:lang w:eastAsia="en-AU"/>
        </w:rPr>
        <w:t>A minimum voting interest is the lowest voting interest that a person has in the company</w:t>
      </w:r>
      <w:r w:rsidR="00485279">
        <w:rPr>
          <w:lang w:eastAsia="en-AU"/>
        </w:rPr>
        <w:t xml:space="preserve">. </w:t>
      </w:r>
      <w:r w:rsidRPr="001F46A8">
        <w:rPr>
          <w:lang w:eastAsia="en-AU"/>
        </w:rPr>
        <w:t>A person’s voting interest in a company is determined by the percentage of the total shareholder decision</w:t>
      </w:r>
      <w:r w:rsidR="00AE6C7E">
        <w:rPr>
          <w:lang w:eastAsia="en-AU"/>
        </w:rPr>
        <w:t xml:space="preserve"> </w:t>
      </w:r>
      <w:r w:rsidRPr="001F46A8">
        <w:rPr>
          <w:lang w:eastAsia="en-AU"/>
        </w:rPr>
        <w:t>making rights, ascertained from shares or options over shares, the person holds for the company.</w:t>
      </w:r>
    </w:p>
    <w:p w14:paraId="78D89F72" w14:textId="77777777" w:rsidR="00600D9B" w:rsidRPr="001F46A8" w:rsidRDefault="00600D9B" w:rsidP="001C51DF">
      <w:pPr>
        <w:rPr>
          <w:lang w:eastAsia="en-AU"/>
        </w:rPr>
      </w:pPr>
    </w:p>
    <w:p w14:paraId="2969C9A2" w14:textId="77777777" w:rsidR="00600D9B" w:rsidRPr="001F46A8" w:rsidRDefault="00600D9B" w:rsidP="001C51DF">
      <w:pPr>
        <w:pStyle w:val="Heading4"/>
      </w:pPr>
      <w:r w:rsidRPr="001F46A8">
        <w:t>Market value circumstance</w:t>
      </w:r>
    </w:p>
    <w:p w14:paraId="5A691102" w14:textId="77777777" w:rsidR="00600D9B" w:rsidRPr="001F46A8" w:rsidRDefault="00600D9B" w:rsidP="001C51DF">
      <w:pPr>
        <w:rPr>
          <w:lang w:eastAsia="en-AU"/>
        </w:rPr>
      </w:pPr>
    </w:p>
    <w:p w14:paraId="0BBE6CAC" w14:textId="1C067830" w:rsidR="00600D9B" w:rsidRDefault="00600D9B" w:rsidP="001C51DF">
      <w:pPr>
        <w:rPr>
          <w:lang w:eastAsia="en-AU"/>
        </w:rPr>
      </w:pPr>
      <w:r w:rsidRPr="001F46A8">
        <w:rPr>
          <w:lang w:eastAsia="en-AU"/>
        </w:rPr>
        <w:t>A market value circumstance exists where a person’s voting interest in the company does not accurately reflect their economic interest in the company</w:t>
      </w:r>
      <w:r w:rsidR="00485279">
        <w:rPr>
          <w:lang w:eastAsia="en-AU"/>
        </w:rPr>
        <w:t xml:space="preserve">. </w:t>
      </w:r>
      <w:r w:rsidRPr="001F46A8">
        <w:rPr>
          <w:lang w:eastAsia="en-AU"/>
        </w:rPr>
        <w:t>The market value interest takes into account debentures, shares, options or other arrangements which could affect the balance of interests within the company so that a simple examination of voting power would be misleading.</w:t>
      </w:r>
    </w:p>
    <w:p w14:paraId="23C73647" w14:textId="60EA1A00" w:rsidR="00F96F1B" w:rsidRDefault="00413ADC" w:rsidP="001C51DF">
      <w:pPr>
        <w:rPr>
          <w:lang w:eastAsia="en-AU"/>
        </w:rPr>
      </w:pPr>
      <w:r w:rsidRPr="001F46A8">
        <w:rPr>
          <w:rFonts w:eastAsia="Times New Roman" w:cs="Times New Roman"/>
          <w:noProof/>
          <w:szCs w:val="20"/>
          <w:lang w:eastAsia="en-NZ"/>
        </w:rPr>
        <mc:AlternateContent>
          <mc:Choice Requires="wps">
            <w:drawing>
              <wp:anchor distT="0" distB="0" distL="114300" distR="114300" simplePos="0" relativeHeight="251663360" behindDoc="0" locked="0" layoutInCell="1" allowOverlap="1" wp14:anchorId="596FAB29" wp14:editId="4487D2AF">
                <wp:simplePos x="0" y="0"/>
                <wp:positionH relativeFrom="column">
                  <wp:posOffset>-131445</wp:posOffset>
                </wp:positionH>
                <wp:positionV relativeFrom="paragraph">
                  <wp:posOffset>191135</wp:posOffset>
                </wp:positionV>
                <wp:extent cx="5530215" cy="3857625"/>
                <wp:effectExtent l="0" t="0" r="13335" b="28575"/>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215" cy="3857625"/>
                        </a:xfrm>
                        <a:prstGeom prst="rect">
                          <a:avLst/>
                        </a:prstGeom>
                        <a:solidFill>
                          <a:srgbClr val="FFFFFF"/>
                        </a:solidFill>
                        <a:ln w="9525">
                          <a:solidFill>
                            <a:srgbClr val="000000"/>
                          </a:solidFill>
                          <a:miter lim="800000"/>
                          <a:headEnd/>
                          <a:tailEnd/>
                        </a:ln>
                      </wps:spPr>
                      <wps:txbx>
                        <w:txbxContent>
                          <w:p w14:paraId="04B724A6" w14:textId="763BA211" w:rsidR="00016F1F" w:rsidRDefault="00016F1F" w:rsidP="00413ADC">
                            <w:pPr>
                              <w:pStyle w:val="Exampleheading1"/>
                              <w:pBdr>
                                <w:top w:val="none" w:sz="0" w:space="0" w:color="auto"/>
                                <w:left w:val="none" w:sz="0" w:space="0" w:color="auto"/>
                                <w:bottom w:val="none" w:sz="0" w:space="0" w:color="auto"/>
                                <w:right w:val="none" w:sz="0" w:space="0" w:color="auto"/>
                              </w:pBdr>
                            </w:pPr>
                            <w:r w:rsidRPr="008C4B03">
                              <w:t>Example</w:t>
                            </w:r>
                            <w:r>
                              <w:t xml:space="preserve"> 19: Company with market value circumstance</w:t>
                            </w:r>
                          </w:p>
                          <w:p w14:paraId="10115DA0" w14:textId="77777777" w:rsidR="00016F1F" w:rsidRPr="008C4B03" w:rsidRDefault="00016F1F" w:rsidP="00413ADC">
                            <w:pPr>
                              <w:pStyle w:val="Exampletext"/>
                              <w:pBdr>
                                <w:top w:val="none" w:sz="0" w:space="0" w:color="auto"/>
                                <w:left w:val="none" w:sz="0" w:space="0" w:color="auto"/>
                                <w:bottom w:val="none" w:sz="0" w:space="0" w:color="auto"/>
                                <w:right w:val="none" w:sz="0" w:space="0" w:color="auto"/>
                              </w:pBdr>
                            </w:pPr>
                          </w:p>
                          <w:p w14:paraId="0105AB3B" w14:textId="6F8BAB5D" w:rsidR="00016F1F" w:rsidRPr="008C4B03" w:rsidRDefault="00016F1F" w:rsidP="00413ADC">
                            <w:pPr>
                              <w:pStyle w:val="Exampletext"/>
                              <w:pBdr>
                                <w:top w:val="none" w:sz="0" w:space="0" w:color="auto"/>
                                <w:left w:val="none" w:sz="0" w:space="0" w:color="auto"/>
                                <w:bottom w:val="none" w:sz="0" w:space="0" w:color="auto"/>
                                <w:right w:val="none" w:sz="0" w:space="0" w:color="auto"/>
                              </w:pBdr>
                            </w:pPr>
                            <w:r w:rsidRPr="008C4B03">
                              <w:t>R&amp;D Ltd has an R&amp;D tax credit of $100,000 for the 2019</w:t>
                            </w:r>
                            <w:r>
                              <w:t>–</w:t>
                            </w:r>
                            <w:r w:rsidRPr="008C4B03">
                              <w:t>20 income year</w:t>
                            </w:r>
                            <w:r>
                              <w:t xml:space="preserve">. </w:t>
                            </w:r>
                            <w:r w:rsidRPr="008C4B03">
                              <w:t>R&amp;D Ltd is a standard balance date taxpayer, and wishes to carry forward its R&amp;D tax credit to the 2020</w:t>
                            </w:r>
                            <w:r>
                              <w:t>–</w:t>
                            </w:r>
                            <w:r w:rsidRPr="008C4B03">
                              <w:t>21 income year. R&amp;D Ltd’s shareholding for the relevant period is as follows:</w:t>
                            </w:r>
                          </w:p>
                          <w:p w14:paraId="5186AF61" w14:textId="77777777" w:rsidR="00016F1F" w:rsidRDefault="00016F1F" w:rsidP="000D2675">
                            <w:pPr>
                              <w:rPr>
                                <w:rFonts w:cs="Times New Roman"/>
                                <w:sz w:val="20"/>
                                <w:szCs w:val="20"/>
                              </w:rPr>
                            </w:pPr>
                          </w:p>
                          <w:p w14:paraId="1A323486" w14:textId="1315B719" w:rsidR="00016F1F" w:rsidRPr="008C4B03" w:rsidRDefault="00016F1F" w:rsidP="00016F1F">
                            <w:pPr>
                              <w:spacing w:after="100"/>
                              <w:jc w:val="center"/>
                              <w:rPr>
                                <w:rFonts w:cs="Times New Roman"/>
                                <w:sz w:val="20"/>
                                <w:szCs w:val="20"/>
                              </w:rPr>
                            </w:pPr>
                            <w:r w:rsidRPr="008C4B03">
                              <w:rPr>
                                <w:rFonts w:cs="Times New Roman"/>
                                <w:b/>
                                <w:sz w:val="20"/>
                                <w:szCs w:val="20"/>
                              </w:rPr>
                              <w:t>R&amp;D Ltd</w:t>
                            </w:r>
                          </w:p>
                          <w:tbl>
                            <w:tblPr>
                              <w:tblStyle w:val="TableGrid1"/>
                              <w:tblW w:w="0" w:type="auto"/>
                              <w:tblInd w:w="1101" w:type="dxa"/>
                              <w:tblLook w:val="04A0" w:firstRow="1" w:lastRow="0" w:firstColumn="1" w:lastColumn="0" w:noHBand="0" w:noVBand="1"/>
                            </w:tblPr>
                            <w:tblGrid>
                              <w:gridCol w:w="1350"/>
                              <w:gridCol w:w="1276"/>
                              <w:gridCol w:w="1559"/>
                              <w:gridCol w:w="2477"/>
                            </w:tblGrid>
                            <w:tr w:rsidR="00016F1F" w:rsidRPr="003646BA" w14:paraId="0D1F72BC" w14:textId="77777777" w:rsidTr="00E31F02">
                              <w:trPr>
                                <w:tblHeader/>
                              </w:trPr>
                              <w:tc>
                                <w:tcPr>
                                  <w:tcW w:w="1350" w:type="dxa"/>
                                  <w:vMerge w:val="restart"/>
                                  <w:shd w:val="clear" w:color="auto" w:fill="auto"/>
                                  <w:vAlign w:val="center"/>
                                </w:tcPr>
                                <w:p w14:paraId="0C12402B" w14:textId="77777777" w:rsidR="00016F1F" w:rsidRPr="00016F1F" w:rsidRDefault="00016F1F" w:rsidP="00016F1F">
                                  <w:pPr>
                                    <w:spacing w:before="40" w:after="40"/>
                                    <w:rPr>
                                      <w:rFonts w:cs="Times New Roman"/>
                                      <w:b/>
                                      <w:sz w:val="20"/>
                                      <w:szCs w:val="20"/>
                                    </w:rPr>
                                  </w:pPr>
                                  <w:r w:rsidRPr="00016F1F">
                                    <w:rPr>
                                      <w:rFonts w:cs="Times New Roman"/>
                                      <w:b/>
                                      <w:sz w:val="20"/>
                                      <w:szCs w:val="20"/>
                                    </w:rPr>
                                    <w:t>Shareholders</w:t>
                                  </w:r>
                                </w:p>
                              </w:tc>
                              <w:tc>
                                <w:tcPr>
                                  <w:tcW w:w="2835" w:type="dxa"/>
                                  <w:gridSpan w:val="2"/>
                                  <w:shd w:val="clear" w:color="auto" w:fill="auto"/>
                                </w:tcPr>
                                <w:p w14:paraId="33347821" w14:textId="088C34A6" w:rsidR="00016F1F" w:rsidRPr="00016F1F" w:rsidRDefault="00016F1F" w:rsidP="00016F1F">
                                  <w:pPr>
                                    <w:spacing w:before="40" w:after="40"/>
                                    <w:jc w:val="center"/>
                                    <w:rPr>
                                      <w:rFonts w:cs="Times New Roman"/>
                                      <w:b/>
                                      <w:sz w:val="20"/>
                                      <w:szCs w:val="20"/>
                                    </w:rPr>
                                  </w:pPr>
                                  <w:r>
                                    <w:rPr>
                                      <w:rFonts w:cs="Times New Roman"/>
                                      <w:b/>
                                      <w:sz w:val="20"/>
                                      <w:szCs w:val="20"/>
                                    </w:rPr>
                                    <w:t>Shares held as at</w:t>
                                  </w:r>
                                </w:p>
                              </w:tc>
                              <w:tc>
                                <w:tcPr>
                                  <w:tcW w:w="2477" w:type="dxa"/>
                                  <w:vMerge w:val="restart"/>
                                  <w:shd w:val="clear" w:color="auto" w:fill="auto"/>
                                </w:tcPr>
                                <w:p w14:paraId="7EF160E7" w14:textId="77777777" w:rsidR="00016F1F" w:rsidRPr="00016F1F" w:rsidRDefault="00016F1F" w:rsidP="00016F1F">
                                  <w:pPr>
                                    <w:spacing w:before="40" w:after="40"/>
                                    <w:jc w:val="center"/>
                                    <w:rPr>
                                      <w:rFonts w:cs="Times New Roman"/>
                                      <w:b/>
                                      <w:sz w:val="20"/>
                                      <w:szCs w:val="20"/>
                                    </w:rPr>
                                  </w:pPr>
                                  <w:r w:rsidRPr="00016F1F">
                                    <w:rPr>
                                      <w:rFonts w:cs="Times New Roman"/>
                                      <w:b/>
                                      <w:sz w:val="20"/>
                                      <w:szCs w:val="20"/>
                                    </w:rPr>
                                    <w:t>Minimum voting interests as at 31 March 2021</w:t>
                                  </w:r>
                                </w:p>
                              </w:tc>
                            </w:tr>
                            <w:tr w:rsidR="00016F1F" w:rsidRPr="003646BA" w14:paraId="461D994B" w14:textId="77777777" w:rsidTr="00E31F02">
                              <w:trPr>
                                <w:tblHeader/>
                              </w:trPr>
                              <w:tc>
                                <w:tcPr>
                                  <w:tcW w:w="1350" w:type="dxa"/>
                                  <w:vMerge/>
                                  <w:shd w:val="clear" w:color="auto" w:fill="auto"/>
                                </w:tcPr>
                                <w:p w14:paraId="0A8150AB" w14:textId="77777777" w:rsidR="00016F1F" w:rsidRPr="008C4B03" w:rsidRDefault="00016F1F" w:rsidP="00016F1F">
                                  <w:pPr>
                                    <w:spacing w:before="40" w:after="40"/>
                                    <w:rPr>
                                      <w:rFonts w:cs="Times New Roman"/>
                                      <w:b/>
                                      <w:sz w:val="20"/>
                                      <w:szCs w:val="20"/>
                                    </w:rPr>
                                  </w:pPr>
                                </w:p>
                              </w:tc>
                              <w:tc>
                                <w:tcPr>
                                  <w:tcW w:w="1276" w:type="dxa"/>
                                  <w:shd w:val="clear" w:color="auto" w:fill="auto"/>
                                </w:tcPr>
                                <w:p w14:paraId="1E0076B5" w14:textId="77777777" w:rsidR="00016F1F" w:rsidRPr="00016F1F" w:rsidRDefault="00016F1F" w:rsidP="00016F1F">
                                  <w:pPr>
                                    <w:spacing w:before="40" w:after="40"/>
                                    <w:rPr>
                                      <w:rFonts w:cs="Times New Roman"/>
                                      <w:b/>
                                      <w:sz w:val="20"/>
                                      <w:szCs w:val="20"/>
                                    </w:rPr>
                                  </w:pPr>
                                  <w:r w:rsidRPr="00016F1F">
                                    <w:rPr>
                                      <w:rFonts w:cs="Times New Roman"/>
                                      <w:b/>
                                      <w:sz w:val="20"/>
                                      <w:szCs w:val="20"/>
                                    </w:rPr>
                                    <w:t>1 April 2019</w:t>
                                  </w:r>
                                </w:p>
                              </w:tc>
                              <w:tc>
                                <w:tcPr>
                                  <w:tcW w:w="1559" w:type="dxa"/>
                                  <w:shd w:val="clear" w:color="auto" w:fill="auto"/>
                                </w:tcPr>
                                <w:p w14:paraId="12D6B547" w14:textId="77777777" w:rsidR="00016F1F" w:rsidRPr="00016F1F" w:rsidRDefault="00016F1F" w:rsidP="00016F1F">
                                  <w:pPr>
                                    <w:spacing w:before="40" w:after="40"/>
                                    <w:rPr>
                                      <w:rFonts w:cs="Times New Roman"/>
                                      <w:b/>
                                      <w:sz w:val="20"/>
                                      <w:szCs w:val="20"/>
                                    </w:rPr>
                                  </w:pPr>
                                  <w:r w:rsidRPr="00016F1F">
                                    <w:rPr>
                                      <w:rFonts w:cs="Times New Roman"/>
                                      <w:b/>
                                      <w:sz w:val="20"/>
                                      <w:szCs w:val="20"/>
                                    </w:rPr>
                                    <w:t>31 March 2021</w:t>
                                  </w:r>
                                </w:p>
                              </w:tc>
                              <w:tc>
                                <w:tcPr>
                                  <w:tcW w:w="2477" w:type="dxa"/>
                                  <w:vMerge/>
                                  <w:tcBorders>
                                    <w:bottom w:val="single" w:sz="4" w:space="0" w:color="auto"/>
                                  </w:tcBorders>
                                </w:tcPr>
                                <w:p w14:paraId="51F52F1F" w14:textId="77777777" w:rsidR="00016F1F" w:rsidRPr="008C4B03" w:rsidRDefault="00016F1F" w:rsidP="00016F1F">
                                  <w:pPr>
                                    <w:spacing w:before="40" w:after="40"/>
                                    <w:rPr>
                                      <w:rFonts w:cs="Times New Roman"/>
                                      <w:sz w:val="20"/>
                                      <w:szCs w:val="20"/>
                                    </w:rPr>
                                  </w:pPr>
                                </w:p>
                              </w:tc>
                            </w:tr>
                            <w:tr w:rsidR="00016F1F" w:rsidRPr="003646BA" w14:paraId="7A52CFFB" w14:textId="77777777" w:rsidTr="00016F1F">
                              <w:tc>
                                <w:tcPr>
                                  <w:tcW w:w="1350" w:type="dxa"/>
                                </w:tcPr>
                                <w:p w14:paraId="788EB4B3" w14:textId="77777777" w:rsidR="00016F1F" w:rsidRPr="00F6191D" w:rsidRDefault="00016F1F" w:rsidP="00016F1F">
                                  <w:pPr>
                                    <w:spacing w:before="40" w:after="40"/>
                                    <w:rPr>
                                      <w:rFonts w:cs="Times New Roman"/>
                                      <w:sz w:val="20"/>
                                      <w:szCs w:val="20"/>
                                    </w:rPr>
                                  </w:pPr>
                                  <w:r w:rsidRPr="00F6191D">
                                    <w:rPr>
                                      <w:rFonts w:cs="Times New Roman"/>
                                      <w:sz w:val="20"/>
                                      <w:szCs w:val="20"/>
                                    </w:rPr>
                                    <w:t>James</w:t>
                                  </w:r>
                                </w:p>
                              </w:tc>
                              <w:tc>
                                <w:tcPr>
                                  <w:tcW w:w="1276" w:type="dxa"/>
                                </w:tcPr>
                                <w:p w14:paraId="15B72ACB"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45</w:t>
                                  </w:r>
                                </w:p>
                              </w:tc>
                              <w:tc>
                                <w:tcPr>
                                  <w:tcW w:w="1559" w:type="dxa"/>
                                </w:tcPr>
                                <w:p w14:paraId="2EF179A6"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20</w:t>
                                  </w:r>
                                </w:p>
                              </w:tc>
                              <w:tc>
                                <w:tcPr>
                                  <w:tcW w:w="2477" w:type="dxa"/>
                                </w:tcPr>
                                <w:p w14:paraId="00D4AF39"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20</w:t>
                                  </w:r>
                                </w:p>
                              </w:tc>
                            </w:tr>
                            <w:tr w:rsidR="00016F1F" w:rsidRPr="003646BA" w14:paraId="001C323E" w14:textId="77777777" w:rsidTr="00016F1F">
                              <w:tc>
                                <w:tcPr>
                                  <w:tcW w:w="1350" w:type="dxa"/>
                                </w:tcPr>
                                <w:p w14:paraId="5601CBD1" w14:textId="77777777" w:rsidR="00016F1F" w:rsidRPr="00F6191D" w:rsidRDefault="00016F1F" w:rsidP="00016F1F">
                                  <w:pPr>
                                    <w:spacing w:before="40" w:after="40"/>
                                    <w:rPr>
                                      <w:rFonts w:cs="Times New Roman"/>
                                      <w:sz w:val="20"/>
                                      <w:szCs w:val="20"/>
                                    </w:rPr>
                                  </w:pPr>
                                  <w:r w:rsidRPr="00F6191D">
                                    <w:rPr>
                                      <w:rFonts w:cs="Times New Roman"/>
                                      <w:sz w:val="20"/>
                                      <w:szCs w:val="20"/>
                                    </w:rPr>
                                    <w:t>Steph</w:t>
                                  </w:r>
                                </w:p>
                              </w:tc>
                              <w:tc>
                                <w:tcPr>
                                  <w:tcW w:w="1276" w:type="dxa"/>
                                </w:tcPr>
                                <w:p w14:paraId="1DF4EB11"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30</w:t>
                                  </w:r>
                                </w:p>
                              </w:tc>
                              <w:tc>
                                <w:tcPr>
                                  <w:tcW w:w="1559" w:type="dxa"/>
                                </w:tcPr>
                                <w:p w14:paraId="57EAB25B"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20</w:t>
                                  </w:r>
                                </w:p>
                              </w:tc>
                              <w:tc>
                                <w:tcPr>
                                  <w:tcW w:w="2477" w:type="dxa"/>
                                </w:tcPr>
                                <w:p w14:paraId="61C93C53"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20</w:t>
                                  </w:r>
                                </w:p>
                              </w:tc>
                            </w:tr>
                            <w:tr w:rsidR="00016F1F" w:rsidRPr="003646BA" w14:paraId="5B91ABC2" w14:textId="77777777" w:rsidTr="00016F1F">
                              <w:tc>
                                <w:tcPr>
                                  <w:tcW w:w="1350" w:type="dxa"/>
                                </w:tcPr>
                                <w:p w14:paraId="54C03230" w14:textId="77777777" w:rsidR="00016F1F" w:rsidRPr="00F6191D" w:rsidRDefault="00016F1F" w:rsidP="00016F1F">
                                  <w:pPr>
                                    <w:spacing w:before="40" w:after="40"/>
                                    <w:rPr>
                                      <w:rFonts w:cs="Times New Roman"/>
                                      <w:sz w:val="20"/>
                                      <w:szCs w:val="20"/>
                                    </w:rPr>
                                  </w:pPr>
                                  <w:r w:rsidRPr="00F6191D">
                                    <w:rPr>
                                      <w:rFonts w:cs="Times New Roman"/>
                                      <w:sz w:val="20"/>
                                      <w:szCs w:val="20"/>
                                    </w:rPr>
                                    <w:t>Richard</w:t>
                                  </w:r>
                                </w:p>
                              </w:tc>
                              <w:tc>
                                <w:tcPr>
                                  <w:tcW w:w="1276" w:type="dxa"/>
                                </w:tcPr>
                                <w:p w14:paraId="6C524815"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15</w:t>
                                  </w:r>
                                </w:p>
                              </w:tc>
                              <w:tc>
                                <w:tcPr>
                                  <w:tcW w:w="1559" w:type="dxa"/>
                                </w:tcPr>
                                <w:p w14:paraId="2BA44464"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35</w:t>
                                  </w:r>
                                </w:p>
                              </w:tc>
                              <w:tc>
                                <w:tcPr>
                                  <w:tcW w:w="2477" w:type="dxa"/>
                                  <w:tcBorders>
                                    <w:bottom w:val="single" w:sz="4" w:space="0" w:color="auto"/>
                                  </w:tcBorders>
                                </w:tcPr>
                                <w:p w14:paraId="57E0866B"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15</w:t>
                                  </w:r>
                                </w:p>
                              </w:tc>
                            </w:tr>
                            <w:tr w:rsidR="00016F1F" w:rsidRPr="003646BA" w14:paraId="334CEEB9" w14:textId="77777777" w:rsidTr="00016F1F">
                              <w:tc>
                                <w:tcPr>
                                  <w:tcW w:w="1350" w:type="dxa"/>
                                  <w:tcBorders>
                                    <w:bottom w:val="single" w:sz="4" w:space="0" w:color="auto"/>
                                  </w:tcBorders>
                                </w:tcPr>
                                <w:p w14:paraId="7E771919" w14:textId="77777777" w:rsidR="00016F1F" w:rsidRPr="00F6191D" w:rsidRDefault="00016F1F" w:rsidP="00016F1F">
                                  <w:pPr>
                                    <w:spacing w:before="40" w:after="40"/>
                                    <w:rPr>
                                      <w:rFonts w:cs="Times New Roman"/>
                                      <w:sz w:val="20"/>
                                      <w:szCs w:val="20"/>
                                    </w:rPr>
                                  </w:pPr>
                                  <w:r w:rsidRPr="00F6191D">
                                    <w:rPr>
                                      <w:rFonts w:cs="Times New Roman"/>
                                      <w:sz w:val="20"/>
                                      <w:szCs w:val="20"/>
                                    </w:rPr>
                                    <w:t>Alison</w:t>
                                  </w:r>
                                </w:p>
                              </w:tc>
                              <w:tc>
                                <w:tcPr>
                                  <w:tcW w:w="1276" w:type="dxa"/>
                                  <w:tcBorders>
                                    <w:bottom w:val="single" w:sz="4" w:space="0" w:color="auto"/>
                                  </w:tcBorders>
                                </w:tcPr>
                                <w:p w14:paraId="3A0ADC4D"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10</w:t>
                                  </w:r>
                                </w:p>
                              </w:tc>
                              <w:tc>
                                <w:tcPr>
                                  <w:tcW w:w="1559" w:type="dxa"/>
                                  <w:tcBorders>
                                    <w:bottom w:val="single" w:sz="4" w:space="0" w:color="auto"/>
                                    <w:right w:val="single" w:sz="4" w:space="0" w:color="auto"/>
                                  </w:tcBorders>
                                </w:tcPr>
                                <w:p w14:paraId="4DB2585A"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25</w:t>
                                  </w:r>
                                </w:p>
                              </w:tc>
                              <w:tc>
                                <w:tcPr>
                                  <w:tcW w:w="2477" w:type="dxa"/>
                                  <w:tcBorders>
                                    <w:top w:val="single" w:sz="4" w:space="0" w:color="auto"/>
                                    <w:left w:val="single" w:sz="4" w:space="0" w:color="auto"/>
                                    <w:bottom w:val="single" w:sz="4" w:space="0" w:color="auto"/>
                                    <w:right w:val="single" w:sz="4" w:space="0" w:color="auto"/>
                                  </w:tcBorders>
                                </w:tcPr>
                                <w:p w14:paraId="4DF4617E"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10</w:t>
                                  </w:r>
                                </w:p>
                              </w:tc>
                            </w:tr>
                            <w:tr w:rsidR="00016F1F" w:rsidRPr="003646BA" w14:paraId="2963652B" w14:textId="77777777" w:rsidTr="00016F1F">
                              <w:tc>
                                <w:tcPr>
                                  <w:tcW w:w="2626" w:type="dxa"/>
                                  <w:gridSpan w:val="2"/>
                                  <w:tcBorders>
                                    <w:left w:val="nil"/>
                                    <w:bottom w:val="nil"/>
                                    <w:right w:val="nil"/>
                                  </w:tcBorders>
                                </w:tcPr>
                                <w:p w14:paraId="296F01C8" w14:textId="77777777" w:rsidR="00016F1F" w:rsidRPr="008C4B03" w:rsidRDefault="00016F1F" w:rsidP="00016F1F">
                                  <w:pPr>
                                    <w:spacing w:before="40" w:after="40"/>
                                    <w:jc w:val="right"/>
                                    <w:rPr>
                                      <w:rFonts w:cs="Times New Roman"/>
                                      <w:sz w:val="20"/>
                                      <w:szCs w:val="20"/>
                                    </w:rPr>
                                  </w:pPr>
                                </w:p>
                              </w:tc>
                              <w:tc>
                                <w:tcPr>
                                  <w:tcW w:w="1559" w:type="dxa"/>
                                  <w:tcBorders>
                                    <w:left w:val="nil"/>
                                    <w:bottom w:val="nil"/>
                                    <w:right w:val="single" w:sz="4" w:space="0" w:color="auto"/>
                                  </w:tcBorders>
                                </w:tcPr>
                                <w:p w14:paraId="22A40F94" w14:textId="77777777" w:rsidR="00016F1F" w:rsidRPr="00016F1F" w:rsidRDefault="00016F1F" w:rsidP="00016F1F">
                                  <w:pPr>
                                    <w:spacing w:before="40" w:after="40"/>
                                    <w:jc w:val="right"/>
                                    <w:rPr>
                                      <w:rFonts w:cs="Times New Roman"/>
                                      <w:b/>
                                      <w:sz w:val="20"/>
                                      <w:szCs w:val="20"/>
                                    </w:rPr>
                                  </w:pPr>
                                  <w:r w:rsidRPr="00016F1F">
                                    <w:rPr>
                                      <w:rFonts w:cs="Times New Roman"/>
                                      <w:b/>
                                      <w:sz w:val="20"/>
                                      <w:szCs w:val="20"/>
                                    </w:rPr>
                                    <w:t>Total:</w:t>
                                  </w:r>
                                </w:p>
                              </w:tc>
                              <w:tc>
                                <w:tcPr>
                                  <w:tcW w:w="2477" w:type="dxa"/>
                                  <w:tcBorders>
                                    <w:top w:val="single" w:sz="4" w:space="0" w:color="auto"/>
                                    <w:left w:val="single" w:sz="4" w:space="0" w:color="auto"/>
                                    <w:bottom w:val="single" w:sz="4" w:space="0" w:color="auto"/>
                                    <w:right w:val="single" w:sz="4" w:space="0" w:color="auto"/>
                                  </w:tcBorders>
                                </w:tcPr>
                                <w:p w14:paraId="0AF663E8" w14:textId="77777777" w:rsidR="00016F1F" w:rsidRPr="008C4B03" w:rsidRDefault="00016F1F" w:rsidP="00016F1F">
                                  <w:pPr>
                                    <w:spacing w:before="40" w:after="40"/>
                                    <w:jc w:val="right"/>
                                    <w:rPr>
                                      <w:rFonts w:cs="Times New Roman"/>
                                      <w:b/>
                                      <w:sz w:val="20"/>
                                      <w:szCs w:val="20"/>
                                    </w:rPr>
                                  </w:pPr>
                                  <w:r w:rsidRPr="008C4B03">
                                    <w:rPr>
                                      <w:rFonts w:cs="Times New Roman"/>
                                      <w:b/>
                                      <w:sz w:val="20"/>
                                      <w:szCs w:val="20"/>
                                    </w:rPr>
                                    <w:t>65</w:t>
                                  </w:r>
                                </w:p>
                              </w:tc>
                            </w:tr>
                          </w:tbl>
                          <w:p w14:paraId="652CEAB3" w14:textId="77777777" w:rsidR="00016F1F" w:rsidRPr="008C4B03" w:rsidRDefault="00016F1F" w:rsidP="000D2675">
                            <w:pPr>
                              <w:ind w:left="1560"/>
                              <w:rPr>
                                <w:rFonts w:cs="Times New Roman"/>
                                <w:sz w:val="20"/>
                                <w:szCs w:val="20"/>
                              </w:rPr>
                            </w:pPr>
                          </w:p>
                          <w:p w14:paraId="0734CB31" w14:textId="58B82EAF" w:rsidR="00016F1F" w:rsidRDefault="00016F1F" w:rsidP="00413ADC">
                            <w:pPr>
                              <w:pStyle w:val="Exampletext"/>
                              <w:pBdr>
                                <w:top w:val="none" w:sz="0" w:space="0" w:color="auto"/>
                                <w:left w:val="none" w:sz="0" w:space="0" w:color="auto"/>
                                <w:bottom w:val="none" w:sz="0" w:space="0" w:color="auto"/>
                                <w:right w:val="none" w:sz="0" w:space="0" w:color="auto"/>
                              </w:pBdr>
                            </w:pPr>
                            <w:r w:rsidRPr="008C4B03">
                              <w:t xml:space="preserve">The continuity period runs from </w:t>
                            </w:r>
                            <w:r>
                              <w:t xml:space="preserve">1 April 2019 </w:t>
                            </w:r>
                            <w:r w:rsidRPr="008C4B03">
                              <w:t>the beginning of the income year in which the R&amp;D tax credit arises) to 31</w:t>
                            </w:r>
                            <w:r>
                              <w:t xml:space="preserve"> March </w:t>
                            </w:r>
                            <w:r w:rsidRPr="008C4B03">
                              <w:t>2021 (the end of the income year to which the credit is being carried forward to).</w:t>
                            </w:r>
                          </w:p>
                          <w:p w14:paraId="51A9455D" w14:textId="77777777" w:rsidR="00016F1F" w:rsidRPr="008C4B03" w:rsidRDefault="00016F1F" w:rsidP="00413ADC">
                            <w:pPr>
                              <w:pStyle w:val="Exampletext"/>
                              <w:pBdr>
                                <w:top w:val="none" w:sz="0" w:space="0" w:color="auto"/>
                                <w:left w:val="none" w:sz="0" w:space="0" w:color="auto"/>
                                <w:bottom w:val="none" w:sz="0" w:space="0" w:color="auto"/>
                                <w:right w:val="none" w:sz="0" w:space="0" w:color="auto"/>
                              </w:pBdr>
                            </w:pPr>
                          </w:p>
                          <w:p w14:paraId="0F63DB70" w14:textId="5B6F8456" w:rsidR="00016F1F" w:rsidRPr="008C4B03" w:rsidRDefault="00016F1F" w:rsidP="00413ADC">
                            <w:pPr>
                              <w:pStyle w:val="Exampletext"/>
                              <w:pBdr>
                                <w:top w:val="none" w:sz="0" w:space="0" w:color="auto"/>
                                <w:left w:val="none" w:sz="0" w:space="0" w:color="auto"/>
                                <w:bottom w:val="none" w:sz="0" w:space="0" w:color="auto"/>
                                <w:right w:val="none" w:sz="0" w:space="0" w:color="auto"/>
                              </w:pBdr>
                            </w:pPr>
                            <w:r w:rsidRPr="008C4B03">
                              <w:t xml:space="preserve">The minimum voting interests in the company for the period total </w:t>
                            </w:r>
                            <w:r>
                              <w:t xml:space="preserve">sixty five percent. </w:t>
                            </w:r>
                            <w:r w:rsidRPr="008C4B03">
                              <w:t xml:space="preserve">This is greater than the required </w:t>
                            </w:r>
                            <w:r>
                              <w:t>forty nine percent</w:t>
                            </w:r>
                            <w:r w:rsidRPr="008C4B03">
                              <w:t>, therefore R&amp;D Ltd may carry forward its $100,000 R&amp;D tax credit to the 2020</w:t>
                            </w:r>
                            <w:r>
                              <w:t>–</w:t>
                            </w:r>
                            <w:r w:rsidRPr="008C4B03">
                              <w:t>21 income year.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0.35pt;margin-top:15.05pt;width:435.45pt;height:30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">
                <v:textbox>
                  <w:txbxContent>
                    <w:p w14:paraId="04B724A6" w14:textId="763BA211" w:rsidR="00016F1F" w:rsidRDefault="00016F1F" w:rsidP="00413ADC">
                      <w:pPr>
                        <w:pStyle w:val="Exampleheading1"/>
                        <w:pBdr>
                          <w:top w:val="none" w:sz="0" w:space="0" w:color="auto"/>
                          <w:left w:val="none" w:sz="0" w:space="0" w:color="auto"/>
                          <w:bottom w:val="none" w:sz="0" w:space="0" w:color="auto"/>
                          <w:right w:val="none" w:sz="0" w:space="0" w:color="auto"/>
                        </w:pBdr>
                      </w:pPr>
                      <w:r w:rsidRPr="008C4B03">
                        <w:t>Example</w:t>
                      </w:r>
                      <w:r>
                        <w:t xml:space="preserve"> 19: Company with market value circumstance</w:t>
                      </w:r>
                    </w:p>
                    <w:p w14:paraId="10115DA0" w14:textId="77777777" w:rsidR="00016F1F" w:rsidRPr="008C4B03" w:rsidRDefault="00016F1F" w:rsidP="00413ADC">
                      <w:pPr>
                        <w:pStyle w:val="Exampletext"/>
                        <w:pBdr>
                          <w:top w:val="none" w:sz="0" w:space="0" w:color="auto"/>
                          <w:left w:val="none" w:sz="0" w:space="0" w:color="auto"/>
                          <w:bottom w:val="none" w:sz="0" w:space="0" w:color="auto"/>
                          <w:right w:val="none" w:sz="0" w:space="0" w:color="auto"/>
                        </w:pBdr>
                      </w:pPr>
                    </w:p>
                    <w:p w14:paraId="0105AB3B" w14:textId="6F8BAB5D" w:rsidR="00016F1F" w:rsidRPr="008C4B03" w:rsidRDefault="00016F1F" w:rsidP="00413ADC">
                      <w:pPr>
                        <w:pStyle w:val="Exampletext"/>
                        <w:pBdr>
                          <w:top w:val="none" w:sz="0" w:space="0" w:color="auto"/>
                          <w:left w:val="none" w:sz="0" w:space="0" w:color="auto"/>
                          <w:bottom w:val="none" w:sz="0" w:space="0" w:color="auto"/>
                          <w:right w:val="none" w:sz="0" w:space="0" w:color="auto"/>
                        </w:pBdr>
                      </w:pPr>
                      <w:r w:rsidRPr="008C4B03">
                        <w:t>R&amp;D Ltd has an R&amp;D tax credit of $100,000 for the 2019</w:t>
                      </w:r>
                      <w:r>
                        <w:t>–</w:t>
                      </w:r>
                      <w:r w:rsidRPr="008C4B03">
                        <w:t>20 income year</w:t>
                      </w:r>
                      <w:r>
                        <w:t xml:space="preserve">. </w:t>
                      </w:r>
                      <w:r w:rsidRPr="008C4B03">
                        <w:t>R&amp;D Ltd is a standard balance date taxpayer, and wishes to carry forward its R&amp;D tax credit to the 2020</w:t>
                      </w:r>
                      <w:r>
                        <w:t>–</w:t>
                      </w:r>
                      <w:r w:rsidRPr="008C4B03">
                        <w:t>21 income year. R&amp;D Ltd’s shareholding for the relevant period is as follows:</w:t>
                      </w:r>
                    </w:p>
                    <w:p w14:paraId="5186AF61" w14:textId="77777777" w:rsidR="00016F1F" w:rsidRDefault="00016F1F" w:rsidP="000D2675">
                      <w:pPr>
                        <w:rPr>
                          <w:rFonts w:cs="Times New Roman"/>
                          <w:sz w:val="20"/>
                          <w:szCs w:val="20"/>
                        </w:rPr>
                      </w:pPr>
                    </w:p>
                    <w:p w14:paraId="1A323486" w14:textId="1315B719" w:rsidR="00016F1F" w:rsidRPr="008C4B03" w:rsidRDefault="00016F1F" w:rsidP="00016F1F">
                      <w:pPr>
                        <w:spacing w:after="100"/>
                        <w:jc w:val="center"/>
                        <w:rPr>
                          <w:rFonts w:cs="Times New Roman"/>
                          <w:sz w:val="20"/>
                          <w:szCs w:val="20"/>
                        </w:rPr>
                      </w:pPr>
                      <w:r w:rsidRPr="008C4B03">
                        <w:rPr>
                          <w:rFonts w:cs="Times New Roman"/>
                          <w:b/>
                          <w:sz w:val="20"/>
                          <w:szCs w:val="20"/>
                        </w:rPr>
                        <w:t>R&amp;D Ltd</w:t>
                      </w:r>
                    </w:p>
                    <w:tbl>
                      <w:tblPr>
                        <w:tblStyle w:val="TableGrid1"/>
                        <w:tblW w:w="0" w:type="auto"/>
                        <w:tblInd w:w="1101" w:type="dxa"/>
                        <w:tblLook w:val="04A0" w:firstRow="1" w:lastRow="0" w:firstColumn="1" w:lastColumn="0" w:noHBand="0" w:noVBand="1"/>
                      </w:tblPr>
                      <w:tblGrid>
                        <w:gridCol w:w="1350"/>
                        <w:gridCol w:w="1276"/>
                        <w:gridCol w:w="1559"/>
                        <w:gridCol w:w="2477"/>
                      </w:tblGrid>
                      <w:tr w:rsidR="00016F1F" w:rsidRPr="003646BA" w14:paraId="0D1F72BC" w14:textId="77777777" w:rsidTr="00E31F02">
                        <w:trPr>
                          <w:tblHeader/>
                        </w:trPr>
                        <w:tc>
                          <w:tcPr>
                            <w:tcW w:w="1350" w:type="dxa"/>
                            <w:vMerge w:val="restart"/>
                            <w:shd w:val="clear" w:color="auto" w:fill="auto"/>
                            <w:vAlign w:val="center"/>
                          </w:tcPr>
                          <w:p w14:paraId="0C12402B" w14:textId="77777777" w:rsidR="00016F1F" w:rsidRPr="00016F1F" w:rsidRDefault="00016F1F" w:rsidP="00016F1F">
                            <w:pPr>
                              <w:spacing w:before="40" w:after="40"/>
                              <w:rPr>
                                <w:rFonts w:cs="Times New Roman"/>
                                <w:b/>
                                <w:sz w:val="20"/>
                                <w:szCs w:val="20"/>
                              </w:rPr>
                            </w:pPr>
                            <w:r w:rsidRPr="00016F1F">
                              <w:rPr>
                                <w:rFonts w:cs="Times New Roman"/>
                                <w:b/>
                                <w:sz w:val="20"/>
                                <w:szCs w:val="20"/>
                              </w:rPr>
                              <w:t>Shareholders</w:t>
                            </w:r>
                          </w:p>
                        </w:tc>
                        <w:tc>
                          <w:tcPr>
                            <w:tcW w:w="2835" w:type="dxa"/>
                            <w:gridSpan w:val="2"/>
                            <w:shd w:val="clear" w:color="auto" w:fill="auto"/>
                          </w:tcPr>
                          <w:p w14:paraId="33347821" w14:textId="088C34A6" w:rsidR="00016F1F" w:rsidRPr="00016F1F" w:rsidRDefault="00016F1F" w:rsidP="00016F1F">
                            <w:pPr>
                              <w:spacing w:before="40" w:after="40"/>
                              <w:jc w:val="center"/>
                              <w:rPr>
                                <w:rFonts w:cs="Times New Roman"/>
                                <w:b/>
                                <w:sz w:val="20"/>
                                <w:szCs w:val="20"/>
                              </w:rPr>
                            </w:pPr>
                            <w:r>
                              <w:rPr>
                                <w:rFonts w:cs="Times New Roman"/>
                                <w:b/>
                                <w:sz w:val="20"/>
                                <w:szCs w:val="20"/>
                              </w:rPr>
                              <w:t>Shares held as at</w:t>
                            </w:r>
                          </w:p>
                        </w:tc>
                        <w:tc>
                          <w:tcPr>
                            <w:tcW w:w="2477" w:type="dxa"/>
                            <w:vMerge w:val="restart"/>
                            <w:shd w:val="clear" w:color="auto" w:fill="auto"/>
                          </w:tcPr>
                          <w:p w14:paraId="7EF160E7" w14:textId="77777777" w:rsidR="00016F1F" w:rsidRPr="00016F1F" w:rsidRDefault="00016F1F" w:rsidP="00016F1F">
                            <w:pPr>
                              <w:spacing w:before="40" w:after="40"/>
                              <w:jc w:val="center"/>
                              <w:rPr>
                                <w:rFonts w:cs="Times New Roman"/>
                                <w:b/>
                                <w:sz w:val="20"/>
                                <w:szCs w:val="20"/>
                              </w:rPr>
                            </w:pPr>
                            <w:r w:rsidRPr="00016F1F">
                              <w:rPr>
                                <w:rFonts w:cs="Times New Roman"/>
                                <w:b/>
                                <w:sz w:val="20"/>
                                <w:szCs w:val="20"/>
                              </w:rPr>
                              <w:t>Minimum voting interests as at 31 March 2021</w:t>
                            </w:r>
                          </w:p>
                        </w:tc>
                      </w:tr>
                      <w:tr w:rsidR="00016F1F" w:rsidRPr="003646BA" w14:paraId="461D994B" w14:textId="77777777" w:rsidTr="00E31F02">
                        <w:trPr>
                          <w:tblHeader/>
                        </w:trPr>
                        <w:tc>
                          <w:tcPr>
                            <w:tcW w:w="1350" w:type="dxa"/>
                            <w:vMerge/>
                            <w:shd w:val="clear" w:color="auto" w:fill="auto"/>
                          </w:tcPr>
                          <w:p w14:paraId="0A8150AB" w14:textId="77777777" w:rsidR="00016F1F" w:rsidRPr="008C4B03" w:rsidRDefault="00016F1F" w:rsidP="00016F1F">
                            <w:pPr>
                              <w:spacing w:before="40" w:after="40"/>
                              <w:rPr>
                                <w:rFonts w:cs="Times New Roman"/>
                                <w:b/>
                                <w:sz w:val="20"/>
                                <w:szCs w:val="20"/>
                              </w:rPr>
                            </w:pPr>
                          </w:p>
                        </w:tc>
                        <w:tc>
                          <w:tcPr>
                            <w:tcW w:w="1276" w:type="dxa"/>
                            <w:shd w:val="clear" w:color="auto" w:fill="auto"/>
                          </w:tcPr>
                          <w:p w14:paraId="1E0076B5" w14:textId="77777777" w:rsidR="00016F1F" w:rsidRPr="00016F1F" w:rsidRDefault="00016F1F" w:rsidP="00016F1F">
                            <w:pPr>
                              <w:spacing w:before="40" w:after="40"/>
                              <w:rPr>
                                <w:rFonts w:cs="Times New Roman"/>
                                <w:b/>
                                <w:sz w:val="20"/>
                                <w:szCs w:val="20"/>
                              </w:rPr>
                            </w:pPr>
                            <w:r w:rsidRPr="00016F1F">
                              <w:rPr>
                                <w:rFonts w:cs="Times New Roman"/>
                                <w:b/>
                                <w:sz w:val="20"/>
                                <w:szCs w:val="20"/>
                              </w:rPr>
                              <w:t>1 April 2019</w:t>
                            </w:r>
                          </w:p>
                        </w:tc>
                        <w:tc>
                          <w:tcPr>
                            <w:tcW w:w="1559" w:type="dxa"/>
                            <w:shd w:val="clear" w:color="auto" w:fill="auto"/>
                          </w:tcPr>
                          <w:p w14:paraId="12D6B547" w14:textId="77777777" w:rsidR="00016F1F" w:rsidRPr="00016F1F" w:rsidRDefault="00016F1F" w:rsidP="00016F1F">
                            <w:pPr>
                              <w:spacing w:before="40" w:after="40"/>
                              <w:rPr>
                                <w:rFonts w:cs="Times New Roman"/>
                                <w:b/>
                                <w:sz w:val="20"/>
                                <w:szCs w:val="20"/>
                              </w:rPr>
                            </w:pPr>
                            <w:r w:rsidRPr="00016F1F">
                              <w:rPr>
                                <w:rFonts w:cs="Times New Roman"/>
                                <w:b/>
                                <w:sz w:val="20"/>
                                <w:szCs w:val="20"/>
                              </w:rPr>
                              <w:t>31 March 2021</w:t>
                            </w:r>
                          </w:p>
                        </w:tc>
                        <w:tc>
                          <w:tcPr>
                            <w:tcW w:w="2477" w:type="dxa"/>
                            <w:vMerge/>
                            <w:tcBorders>
                              <w:bottom w:val="single" w:sz="4" w:space="0" w:color="auto"/>
                            </w:tcBorders>
                          </w:tcPr>
                          <w:p w14:paraId="51F52F1F" w14:textId="77777777" w:rsidR="00016F1F" w:rsidRPr="008C4B03" w:rsidRDefault="00016F1F" w:rsidP="00016F1F">
                            <w:pPr>
                              <w:spacing w:before="40" w:after="40"/>
                              <w:rPr>
                                <w:rFonts w:cs="Times New Roman"/>
                                <w:sz w:val="20"/>
                                <w:szCs w:val="20"/>
                              </w:rPr>
                            </w:pPr>
                          </w:p>
                        </w:tc>
                      </w:tr>
                      <w:tr w:rsidR="00016F1F" w:rsidRPr="003646BA" w14:paraId="7A52CFFB" w14:textId="77777777" w:rsidTr="00016F1F">
                        <w:tc>
                          <w:tcPr>
                            <w:tcW w:w="1350" w:type="dxa"/>
                          </w:tcPr>
                          <w:p w14:paraId="788EB4B3" w14:textId="77777777" w:rsidR="00016F1F" w:rsidRPr="00F6191D" w:rsidRDefault="00016F1F" w:rsidP="00016F1F">
                            <w:pPr>
                              <w:spacing w:before="40" w:after="40"/>
                              <w:rPr>
                                <w:rFonts w:cs="Times New Roman"/>
                                <w:sz w:val="20"/>
                                <w:szCs w:val="20"/>
                              </w:rPr>
                            </w:pPr>
                            <w:r w:rsidRPr="00F6191D">
                              <w:rPr>
                                <w:rFonts w:cs="Times New Roman"/>
                                <w:sz w:val="20"/>
                                <w:szCs w:val="20"/>
                              </w:rPr>
                              <w:t>James</w:t>
                            </w:r>
                          </w:p>
                        </w:tc>
                        <w:tc>
                          <w:tcPr>
                            <w:tcW w:w="1276" w:type="dxa"/>
                          </w:tcPr>
                          <w:p w14:paraId="15B72ACB"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45</w:t>
                            </w:r>
                          </w:p>
                        </w:tc>
                        <w:tc>
                          <w:tcPr>
                            <w:tcW w:w="1559" w:type="dxa"/>
                          </w:tcPr>
                          <w:p w14:paraId="2EF179A6"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20</w:t>
                            </w:r>
                          </w:p>
                        </w:tc>
                        <w:tc>
                          <w:tcPr>
                            <w:tcW w:w="2477" w:type="dxa"/>
                          </w:tcPr>
                          <w:p w14:paraId="00D4AF39"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20</w:t>
                            </w:r>
                          </w:p>
                        </w:tc>
                      </w:tr>
                      <w:tr w:rsidR="00016F1F" w:rsidRPr="003646BA" w14:paraId="001C323E" w14:textId="77777777" w:rsidTr="00016F1F">
                        <w:tc>
                          <w:tcPr>
                            <w:tcW w:w="1350" w:type="dxa"/>
                          </w:tcPr>
                          <w:p w14:paraId="5601CBD1" w14:textId="77777777" w:rsidR="00016F1F" w:rsidRPr="00F6191D" w:rsidRDefault="00016F1F" w:rsidP="00016F1F">
                            <w:pPr>
                              <w:spacing w:before="40" w:after="40"/>
                              <w:rPr>
                                <w:rFonts w:cs="Times New Roman"/>
                                <w:sz w:val="20"/>
                                <w:szCs w:val="20"/>
                              </w:rPr>
                            </w:pPr>
                            <w:r w:rsidRPr="00F6191D">
                              <w:rPr>
                                <w:rFonts w:cs="Times New Roman"/>
                                <w:sz w:val="20"/>
                                <w:szCs w:val="20"/>
                              </w:rPr>
                              <w:t>Steph</w:t>
                            </w:r>
                          </w:p>
                        </w:tc>
                        <w:tc>
                          <w:tcPr>
                            <w:tcW w:w="1276" w:type="dxa"/>
                          </w:tcPr>
                          <w:p w14:paraId="1DF4EB11"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30</w:t>
                            </w:r>
                          </w:p>
                        </w:tc>
                        <w:tc>
                          <w:tcPr>
                            <w:tcW w:w="1559" w:type="dxa"/>
                          </w:tcPr>
                          <w:p w14:paraId="57EAB25B"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20</w:t>
                            </w:r>
                          </w:p>
                        </w:tc>
                        <w:tc>
                          <w:tcPr>
                            <w:tcW w:w="2477" w:type="dxa"/>
                          </w:tcPr>
                          <w:p w14:paraId="61C93C53"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20</w:t>
                            </w:r>
                          </w:p>
                        </w:tc>
                      </w:tr>
                      <w:tr w:rsidR="00016F1F" w:rsidRPr="003646BA" w14:paraId="5B91ABC2" w14:textId="77777777" w:rsidTr="00016F1F">
                        <w:tc>
                          <w:tcPr>
                            <w:tcW w:w="1350" w:type="dxa"/>
                          </w:tcPr>
                          <w:p w14:paraId="54C03230" w14:textId="77777777" w:rsidR="00016F1F" w:rsidRPr="00F6191D" w:rsidRDefault="00016F1F" w:rsidP="00016F1F">
                            <w:pPr>
                              <w:spacing w:before="40" w:after="40"/>
                              <w:rPr>
                                <w:rFonts w:cs="Times New Roman"/>
                                <w:sz w:val="20"/>
                                <w:szCs w:val="20"/>
                              </w:rPr>
                            </w:pPr>
                            <w:r w:rsidRPr="00F6191D">
                              <w:rPr>
                                <w:rFonts w:cs="Times New Roman"/>
                                <w:sz w:val="20"/>
                                <w:szCs w:val="20"/>
                              </w:rPr>
                              <w:t>Richard</w:t>
                            </w:r>
                          </w:p>
                        </w:tc>
                        <w:tc>
                          <w:tcPr>
                            <w:tcW w:w="1276" w:type="dxa"/>
                          </w:tcPr>
                          <w:p w14:paraId="6C524815"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15</w:t>
                            </w:r>
                          </w:p>
                        </w:tc>
                        <w:tc>
                          <w:tcPr>
                            <w:tcW w:w="1559" w:type="dxa"/>
                          </w:tcPr>
                          <w:p w14:paraId="2BA44464"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35</w:t>
                            </w:r>
                          </w:p>
                        </w:tc>
                        <w:tc>
                          <w:tcPr>
                            <w:tcW w:w="2477" w:type="dxa"/>
                            <w:tcBorders>
                              <w:bottom w:val="single" w:sz="4" w:space="0" w:color="auto"/>
                            </w:tcBorders>
                          </w:tcPr>
                          <w:p w14:paraId="57E0866B"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15</w:t>
                            </w:r>
                          </w:p>
                        </w:tc>
                      </w:tr>
                      <w:tr w:rsidR="00016F1F" w:rsidRPr="003646BA" w14:paraId="334CEEB9" w14:textId="77777777" w:rsidTr="00016F1F">
                        <w:tc>
                          <w:tcPr>
                            <w:tcW w:w="1350" w:type="dxa"/>
                            <w:tcBorders>
                              <w:bottom w:val="single" w:sz="4" w:space="0" w:color="auto"/>
                            </w:tcBorders>
                          </w:tcPr>
                          <w:p w14:paraId="7E771919" w14:textId="77777777" w:rsidR="00016F1F" w:rsidRPr="00F6191D" w:rsidRDefault="00016F1F" w:rsidP="00016F1F">
                            <w:pPr>
                              <w:spacing w:before="40" w:after="40"/>
                              <w:rPr>
                                <w:rFonts w:cs="Times New Roman"/>
                                <w:sz w:val="20"/>
                                <w:szCs w:val="20"/>
                              </w:rPr>
                            </w:pPr>
                            <w:r w:rsidRPr="00F6191D">
                              <w:rPr>
                                <w:rFonts w:cs="Times New Roman"/>
                                <w:sz w:val="20"/>
                                <w:szCs w:val="20"/>
                              </w:rPr>
                              <w:t>Alison</w:t>
                            </w:r>
                          </w:p>
                        </w:tc>
                        <w:tc>
                          <w:tcPr>
                            <w:tcW w:w="1276" w:type="dxa"/>
                            <w:tcBorders>
                              <w:bottom w:val="single" w:sz="4" w:space="0" w:color="auto"/>
                            </w:tcBorders>
                          </w:tcPr>
                          <w:p w14:paraId="3A0ADC4D"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10</w:t>
                            </w:r>
                          </w:p>
                        </w:tc>
                        <w:tc>
                          <w:tcPr>
                            <w:tcW w:w="1559" w:type="dxa"/>
                            <w:tcBorders>
                              <w:bottom w:val="single" w:sz="4" w:space="0" w:color="auto"/>
                              <w:right w:val="single" w:sz="4" w:space="0" w:color="auto"/>
                            </w:tcBorders>
                          </w:tcPr>
                          <w:p w14:paraId="4DB2585A"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25</w:t>
                            </w:r>
                          </w:p>
                        </w:tc>
                        <w:tc>
                          <w:tcPr>
                            <w:tcW w:w="2477" w:type="dxa"/>
                            <w:tcBorders>
                              <w:top w:val="single" w:sz="4" w:space="0" w:color="auto"/>
                              <w:left w:val="single" w:sz="4" w:space="0" w:color="auto"/>
                              <w:bottom w:val="single" w:sz="4" w:space="0" w:color="auto"/>
                              <w:right w:val="single" w:sz="4" w:space="0" w:color="auto"/>
                            </w:tcBorders>
                          </w:tcPr>
                          <w:p w14:paraId="4DF4617E" w14:textId="77777777" w:rsidR="00016F1F" w:rsidRPr="008C4B03" w:rsidRDefault="00016F1F" w:rsidP="00016F1F">
                            <w:pPr>
                              <w:spacing w:before="40" w:after="40"/>
                              <w:jc w:val="right"/>
                              <w:rPr>
                                <w:rFonts w:cs="Times New Roman"/>
                                <w:sz w:val="20"/>
                                <w:szCs w:val="20"/>
                              </w:rPr>
                            </w:pPr>
                            <w:r w:rsidRPr="008C4B03">
                              <w:rPr>
                                <w:rFonts w:cs="Times New Roman"/>
                                <w:sz w:val="20"/>
                                <w:szCs w:val="20"/>
                              </w:rPr>
                              <w:t>10</w:t>
                            </w:r>
                          </w:p>
                        </w:tc>
                      </w:tr>
                      <w:tr w:rsidR="00016F1F" w:rsidRPr="003646BA" w14:paraId="2963652B" w14:textId="77777777" w:rsidTr="00016F1F">
                        <w:tc>
                          <w:tcPr>
                            <w:tcW w:w="2626" w:type="dxa"/>
                            <w:gridSpan w:val="2"/>
                            <w:tcBorders>
                              <w:left w:val="nil"/>
                              <w:bottom w:val="nil"/>
                              <w:right w:val="nil"/>
                            </w:tcBorders>
                          </w:tcPr>
                          <w:p w14:paraId="296F01C8" w14:textId="77777777" w:rsidR="00016F1F" w:rsidRPr="008C4B03" w:rsidRDefault="00016F1F" w:rsidP="00016F1F">
                            <w:pPr>
                              <w:spacing w:before="40" w:after="40"/>
                              <w:jc w:val="right"/>
                              <w:rPr>
                                <w:rFonts w:cs="Times New Roman"/>
                                <w:sz w:val="20"/>
                                <w:szCs w:val="20"/>
                              </w:rPr>
                            </w:pPr>
                          </w:p>
                        </w:tc>
                        <w:tc>
                          <w:tcPr>
                            <w:tcW w:w="1559" w:type="dxa"/>
                            <w:tcBorders>
                              <w:left w:val="nil"/>
                              <w:bottom w:val="nil"/>
                              <w:right w:val="single" w:sz="4" w:space="0" w:color="auto"/>
                            </w:tcBorders>
                          </w:tcPr>
                          <w:p w14:paraId="22A40F94" w14:textId="77777777" w:rsidR="00016F1F" w:rsidRPr="00016F1F" w:rsidRDefault="00016F1F" w:rsidP="00016F1F">
                            <w:pPr>
                              <w:spacing w:before="40" w:after="40"/>
                              <w:jc w:val="right"/>
                              <w:rPr>
                                <w:rFonts w:cs="Times New Roman"/>
                                <w:b/>
                                <w:sz w:val="20"/>
                                <w:szCs w:val="20"/>
                              </w:rPr>
                            </w:pPr>
                            <w:r w:rsidRPr="00016F1F">
                              <w:rPr>
                                <w:rFonts w:cs="Times New Roman"/>
                                <w:b/>
                                <w:sz w:val="20"/>
                                <w:szCs w:val="20"/>
                              </w:rPr>
                              <w:t>Total:</w:t>
                            </w:r>
                          </w:p>
                        </w:tc>
                        <w:tc>
                          <w:tcPr>
                            <w:tcW w:w="2477" w:type="dxa"/>
                            <w:tcBorders>
                              <w:top w:val="single" w:sz="4" w:space="0" w:color="auto"/>
                              <w:left w:val="single" w:sz="4" w:space="0" w:color="auto"/>
                              <w:bottom w:val="single" w:sz="4" w:space="0" w:color="auto"/>
                              <w:right w:val="single" w:sz="4" w:space="0" w:color="auto"/>
                            </w:tcBorders>
                          </w:tcPr>
                          <w:p w14:paraId="0AF663E8" w14:textId="77777777" w:rsidR="00016F1F" w:rsidRPr="008C4B03" w:rsidRDefault="00016F1F" w:rsidP="00016F1F">
                            <w:pPr>
                              <w:spacing w:before="40" w:after="40"/>
                              <w:jc w:val="right"/>
                              <w:rPr>
                                <w:rFonts w:cs="Times New Roman"/>
                                <w:b/>
                                <w:sz w:val="20"/>
                                <w:szCs w:val="20"/>
                              </w:rPr>
                            </w:pPr>
                            <w:r w:rsidRPr="008C4B03">
                              <w:rPr>
                                <w:rFonts w:cs="Times New Roman"/>
                                <w:b/>
                                <w:sz w:val="20"/>
                                <w:szCs w:val="20"/>
                              </w:rPr>
                              <w:t>65</w:t>
                            </w:r>
                          </w:p>
                        </w:tc>
                      </w:tr>
                    </w:tbl>
                    <w:p w14:paraId="652CEAB3" w14:textId="77777777" w:rsidR="00016F1F" w:rsidRPr="008C4B03" w:rsidRDefault="00016F1F" w:rsidP="000D2675">
                      <w:pPr>
                        <w:ind w:left="1560"/>
                        <w:rPr>
                          <w:rFonts w:cs="Times New Roman"/>
                          <w:sz w:val="20"/>
                          <w:szCs w:val="20"/>
                        </w:rPr>
                      </w:pPr>
                    </w:p>
                    <w:p w14:paraId="0734CB31" w14:textId="58B82EAF" w:rsidR="00016F1F" w:rsidRDefault="00016F1F" w:rsidP="00413ADC">
                      <w:pPr>
                        <w:pStyle w:val="Exampletext"/>
                        <w:pBdr>
                          <w:top w:val="none" w:sz="0" w:space="0" w:color="auto"/>
                          <w:left w:val="none" w:sz="0" w:space="0" w:color="auto"/>
                          <w:bottom w:val="none" w:sz="0" w:space="0" w:color="auto"/>
                          <w:right w:val="none" w:sz="0" w:space="0" w:color="auto"/>
                        </w:pBdr>
                      </w:pPr>
                      <w:r w:rsidRPr="008C4B03">
                        <w:t xml:space="preserve">The continuity period runs from </w:t>
                      </w:r>
                      <w:r>
                        <w:t xml:space="preserve">1 April 2019 </w:t>
                      </w:r>
                      <w:r w:rsidRPr="008C4B03">
                        <w:t>the beginning of the income year in which the R&amp;D tax credit arises) to 31</w:t>
                      </w:r>
                      <w:r>
                        <w:t xml:space="preserve"> March </w:t>
                      </w:r>
                      <w:r w:rsidRPr="008C4B03">
                        <w:t>2021 (the end of the income year to which the credit is being carried forward to).</w:t>
                      </w:r>
                    </w:p>
                    <w:p w14:paraId="51A9455D" w14:textId="77777777" w:rsidR="00016F1F" w:rsidRPr="008C4B03" w:rsidRDefault="00016F1F" w:rsidP="00413ADC">
                      <w:pPr>
                        <w:pStyle w:val="Exampletext"/>
                        <w:pBdr>
                          <w:top w:val="none" w:sz="0" w:space="0" w:color="auto"/>
                          <w:left w:val="none" w:sz="0" w:space="0" w:color="auto"/>
                          <w:bottom w:val="none" w:sz="0" w:space="0" w:color="auto"/>
                          <w:right w:val="none" w:sz="0" w:space="0" w:color="auto"/>
                        </w:pBdr>
                      </w:pPr>
                    </w:p>
                    <w:p w14:paraId="0F63DB70" w14:textId="5B6F8456" w:rsidR="00016F1F" w:rsidRPr="008C4B03" w:rsidRDefault="00016F1F" w:rsidP="00413ADC">
                      <w:pPr>
                        <w:pStyle w:val="Exampletext"/>
                        <w:pBdr>
                          <w:top w:val="none" w:sz="0" w:space="0" w:color="auto"/>
                          <w:left w:val="none" w:sz="0" w:space="0" w:color="auto"/>
                          <w:bottom w:val="none" w:sz="0" w:space="0" w:color="auto"/>
                          <w:right w:val="none" w:sz="0" w:space="0" w:color="auto"/>
                        </w:pBdr>
                      </w:pPr>
                      <w:r w:rsidRPr="008C4B03">
                        <w:t xml:space="preserve">The minimum voting interests in the company for the period total </w:t>
                      </w:r>
                      <w:r>
                        <w:t xml:space="preserve">sixty five percent. </w:t>
                      </w:r>
                      <w:r w:rsidRPr="008C4B03">
                        <w:t xml:space="preserve">This is greater than the required </w:t>
                      </w:r>
                      <w:r>
                        <w:t>forty nine percent</w:t>
                      </w:r>
                      <w:r w:rsidRPr="008C4B03">
                        <w:t>, therefore R&amp;D Ltd may carry forward its $100,000 R&amp;D tax credit to the 2020</w:t>
                      </w:r>
                      <w:r>
                        <w:t>–</w:t>
                      </w:r>
                      <w:r w:rsidRPr="008C4B03">
                        <w:t>21 income year.</w:t>
                      </w:r>
                    </w:p>
                  </w:txbxContent>
                </v:textbox>
                <w10:wrap type="square"/>
              </v:shape>
            </w:pict>
          </mc:Fallback>
        </mc:AlternateContent>
      </w:r>
    </w:p>
    <w:p w14:paraId="0A7A8296" w14:textId="522141E7" w:rsidR="000D2675" w:rsidRPr="001F46A8" w:rsidRDefault="000D2675" w:rsidP="000D2675">
      <w:pPr>
        <w:rPr>
          <w:rFonts w:eastAsia="Times New Roman" w:cs="Times New Roman"/>
          <w:szCs w:val="20"/>
          <w:lang w:eastAsia="en-AU"/>
        </w:rPr>
      </w:pPr>
    </w:p>
    <w:p w14:paraId="3D5C2059" w14:textId="77777777" w:rsidR="00413ADC" w:rsidRDefault="00413ADC">
      <w:pPr>
        <w:spacing w:after="200" w:line="276" w:lineRule="auto"/>
        <w:jc w:val="left"/>
        <w:rPr>
          <w:rFonts w:eastAsia="Times New Roman" w:cs="Times New Roman"/>
          <w:szCs w:val="20"/>
          <w:lang w:eastAsia="en-AU"/>
        </w:rPr>
      </w:pPr>
      <w:r>
        <w:rPr>
          <w:rFonts w:eastAsia="Times New Roman" w:cs="Times New Roman"/>
          <w:szCs w:val="20"/>
          <w:lang w:eastAsia="en-AU"/>
        </w:rPr>
        <w:br w:type="page"/>
      </w:r>
    </w:p>
    <w:p w14:paraId="18F0656C" w14:textId="0317A686" w:rsidR="000D2675" w:rsidRPr="001F46A8" w:rsidRDefault="00413ADC" w:rsidP="000D2675">
      <w:pPr>
        <w:rPr>
          <w:rFonts w:eastAsia="Times New Roman" w:cs="Times New Roman"/>
          <w:szCs w:val="20"/>
          <w:lang w:eastAsia="en-AU"/>
        </w:rPr>
      </w:pPr>
      <w:r>
        <w:rPr>
          <w:rFonts w:eastAsia="Times New Roman" w:cs="Times New Roman"/>
          <w:noProof/>
          <w:szCs w:val="20"/>
          <w:lang w:eastAsia="en-NZ"/>
        </w:rPr>
        <mc:AlternateContent>
          <mc:Choice Requires="wps">
            <w:drawing>
              <wp:anchor distT="0" distB="0" distL="114300" distR="114300" simplePos="0" relativeHeight="251664384" behindDoc="1" locked="0" layoutInCell="1" allowOverlap="1" wp14:anchorId="52FB517E" wp14:editId="29622AB2">
                <wp:simplePos x="0" y="0"/>
                <wp:positionH relativeFrom="column">
                  <wp:posOffset>-131445</wp:posOffset>
                </wp:positionH>
                <wp:positionV relativeFrom="paragraph">
                  <wp:posOffset>48260</wp:posOffset>
                </wp:positionV>
                <wp:extent cx="5530215" cy="3105150"/>
                <wp:effectExtent l="0" t="0" r="13335" b="19050"/>
                <wp:wrapNone/>
                <wp:docPr id="2" name="Text Box 2"/>
                <wp:cNvGraphicFramePr/>
                <a:graphic xmlns:a="http://schemas.openxmlformats.org/drawingml/2006/main">
                  <a:graphicData uri="http://schemas.microsoft.com/office/word/2010/wordprocessingShape">
                    <wps:wsp>
                      <wps:cNvSpPr txBox="1"/>
                      <wps:spPr>
                        <a:xfrm>
                          <a:off x="0" y="0"/>
                          <a:ext cx="5530215" cy="310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64C428" w14:textId="77777777" w:rsidR="00016F1F" w:rsidRDefault="00016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0" type="#_x0000_t202" style="position:absolute;left:0;text-align:left;margin-left:-10.35pt;margin-top:3.8pt;width:435.45pt;height:244.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" fillcolor="white [3201]" strokeweight=".5pt">
                <v:textbox>
                  <w:txbxContent>
                    <w:p w14:paraId="0864C428" w14:textId="77777777" w:rsidR="00016F1F" w:rsidRDefault="00016F1F"/>
                  </w:txbxContent>
                </v:textbox>
              </v:shape>
            </w:pict>
          </mc:Fallback>
        </mc:AlternateContent>
      </w:r>
    </w:p>
    <w:p w14:paraId="2B3CD7B6" w14:textId="5284C840" w:rsidR="00413ADC" w:rsidRPr="008C4B03" w:rsidRDefault="00413ADC" w:rsidP="00413ADC">
      <w:pPr>
        <w:pStyle w:val="Exampleheading1"/>
        <w:pBdr>
          <w:top w:val="none" w:sz="0" w:space="0" w:color="auto"/>
          <w:left w:val="none" w:sz="0" w:space="0" w:color="auto"/>
          <w:bottom w:val="none" w:sz="0" w:space="0" w:color="auto"/>
          <w:right w:val="none" w:sz="0" w:space="0" w:color="auto"/>
        </w:pBdr>
      </w:pPr>
      <w:r w:rsidRPr="008C4B03">
        <w:t>Example</w:t>
      </w:r>
      <w:r w:rsidR="00DF2F85">
        <w:t xml:space="preserve"> 20</w:t>
      </w:r>
      <w:r w:rsidRPr="008C4B03">
        <w:t xml:space="preserve">: </w:t>
      </w:r>
      <w:r w:rsidR="00DF2F85">
        <w:t>C</w:t>
      </w:r>
      <w:r>
        <w:t xml:space="preserve">ompany with </w:t>
      </w:r>
      <w:r w:rsidRPr="008C4B03">
        <w:t>minimum voting interests</w:t>
      </w:r>
      <w:r>
        <w:t xml:space="preserve"> below </w:t>
      </w:r>
      <w:r w:rsidR="004360B9">
        <w:t>forty nine percent</w:t>
      </w:r>
    </w:p>
    <w:p w14:paraId="0B8AF059" w14:textId="77777777" w:rsidR="00413ADC" w:rsidRDefault="00413ADC" w:rsidP="00413ADC">
      <w:pPr>
        <w:pStyle w:val="Exampletext"/>
        <w:pBdr>
          <w:top w:val="none" w:sz="0" w:space="0" w:color="auto"/>
          <w:left w:val="none" w:sz="0" w:space="0" w:color="auto"/>
          <w:bottom w:val="none" w:sz="0" w:space="0" w:color="auto"/>
          <w:right w:val="none" w:sz="0" w:space="0" w:color="auto"/>
        </w:pBdr>
      </w:pPr>
    </w:p>
    <w:p w14:paraId="582C3B55" w14:textId="35B212E0" w:rsidR="00413ADC" w:rsidRDefault="00413ADC" w:rsidP="00413ADC">
      <w:pPr>
        <w:pStyle w:val="Exampletext"/>
        <w:pBdr>
          <w:top w:val="none" w:sz="0" w:space="0" w:color="auto"/>
          <w:left w:val="none" w:sz="0" w:space="0" w:color="auto"/>
          <w:bottom w:val="none" w:sz="0" w:space="0" w:color="auto"/>
          <w:right w:val="none" w:sz="0" w:space="0" w:color="auto"/>
        </w:pBdr>
      </w:pPr>
      <w:r w:rsidRPr="008C4B03">
        <w:t>Using the same example as before, but the shareholding is now as follows:</w:t>
      </w:r>
    </w:p>
    <w:p w14:paraId="1251BC9F" w14:textId="77777777" w:rsidR="00413ADC" w:rsidRDefault="00413ADC" w:rsidP="00413ADC">
      <w:pPr>
        <w:pStyle w:val="Exampletext"/>
        <w:pBdr>
          <w:top w:val="none" w:sz="0" w:space="0" w:color="auto"/>
          <w:left w:val="none" w:sz="0" w:space="0" w:color="auto"/>
          <w:bottom w:val="none" w:sz="0" w:space="0" w:color="auto"/>
          <w:right w:val="none" w:sz="0" w:space="0" w:color="auto"/>
        </w:pBdr>
      </w:pPr>
    </w:p>
    <w:p w14:paraId="14E6DFC7" w14:textId="7823A1A4" w:rsidR="00016F1F" w:rsidRPr="008C4B03" w:rsidRDefault="00016F1F" w:rsidP="00016F1F">
      <w:pPr>
        <w:pStyle w:val="Exampletext"/>
        <w:pBdr>
          <w:top w:val="none" w:sz="0" w:space="0" w:color="auto"/>
          <w:left w:val="none" w:sz="0" w:space="0" w:color="auto"/>
          <w:bottom w:val="none" w:sz="0" w:space="0" w:color="auto"/>
          <w:right w:val="none" w:sz="0" w:space="0" w:color="auto"/>
        </w:pBdr>
        <w:spacing w:after="100"/>
        <w:jc w:val="center"/>
      </w:pPr>
      <w:r w:rsidRPr="008C4B03">
        <w:rPr>
          <w:b/>
        </w:rPr>
        <w:t>R&amp;D Ltd</w:t>
      </w:r>
    </w:p>
    <w:tbl>
      <w:tblPr>
        <w:tblStyle w:val="TableGrid1"/>
        <w:tblW w:w="0" w:type="auto"/>
        <w:tblInd w:w="1101" w:type="dxa"/>
        <w:tblLook w:val="04A0" w:firstRow="1" w:lastRow="0" w:firstColumn="1" w:lastColumn="0" w:noHBand="0" w:noVBand="1"/>
      </w:tblPr>
      <w:tblGrid>
        <w:gridCol w:w="1350"/>
        <w:gridCol w:w="1276"/>
        <w:gridCol w:w="1559"/>
        <w:gridCol w:w="2477"/>
      </w:tblGrid>
      <w:tr w:rsidR="00413ADC" w:rsidRPr="003646BA" w14:paraId="4F61B717" w14:textId="77777777" w:rsidTr="00016F1F">
        <w:tc>
          <w:tcPr>
            <w:tcW w:w="1350" w:type="dxa"/>
            <w:vMerge w:val="restart"/>
            <w:tcBorders>
              <w:top w:val="single" w:sz="4" w:space="0" w:color="auto"/>
              <w:left w:val="single" w:sz="4" w:space="0" w:color="auto"/>
            </w:tcBorders>
            <w:shd w:val="clear" w:color="auto" w:fill="auto"/>
            <w:vAlign w:val="center"/>
          </w:tcPr>
          <w:p w14:paraId="7FF757D4" w14:textId="77777777" w:rsidR="00413ADC" w:rsidRPr="00016F1F" w:rsidRDefault="00413ADC" w:rsidP="00016F1F">
            <w:pPr>
              <w:spacing w:before="40" w:after="40"/>
              <w:rPr>
                <w:rFonts w:cs="Times New Roman"/>
                <w:b/>
                <w:sz w:val="20"/>
                <w:szCs w:val="20"/>
              </w:rPr>
            </w:pPr>
            <w:r w:rsidRPr="00016F1F">
              <w:rPr>
                <w:rFonts w:cs="Times New Roman"/>
                <w:b/>
                <w:sz w:val="20"/>
                <w:szCs w:val="20"/>
              </w:rPr>
              <w:t>Shareholders</w:t>
            </w:r>
          </w:p>
        </w:tc>
        <w:tc>
          <w:tcPr>
            <w:tcW w:w="2835" w:type="dxa"/>
            <w:gridSpan w:val="2"/>
            <w:tcBorders>
              <w:top w:val="single" w:sz="4" w:space="0" w:color="auto"/>
            </w:tcBorders>
            <w:shd w:val="clear" w:color="auto" w:fill="auto"/>
          </w:tcPr>
          <w:p w14:paraId="4EF166D0" w14:textId="1606EBB5" w:rsidR="00413ADC" w:rsidRPr="00016F1F" w:rsidRDefault="00016F1F" w:rsidP="00016F1F">
            <w:pPr>
              <w:spacing w:before="40" w:after="40"/>
              <w:jc w:val="center"/>
              <w:rPr>
                <w:rFonts w:cs="Times New Roman"/>
                <w:b/>
                <w:sz w:val="20"/>
                <w:szCs w:val="20"/>
              </w:rPr>
            </w:pPr>
            <w:r>
              <w:rPr>
                <w:rFonts w:cs="Times New Roman"/>
                <w:b/>
                <w:sz w:val="20"/>
                <w:szCs w:val="20"/>
              </w:rPr>
              <w:t>Shares held as at</w:t>
            </w:r>
          </w:p>
        </w:tc>
        <w:tc>
          <w:tcPr>
            <w:tcW w:w="2477" w:type="dxa"/>
            <w:vMerge w:val="restart"/>
            <w:tcBorders>
              <w:top w:val="single" w:sz="4" w:space="0" w:color="auto"/>
            </w:tcBorders>
            <w:shd w:val="clear" w:color="auto" w:fill="auto"/>
          </w:tcPr>
          <w:p w14:paraId="1E020AB6" w14:textId="4A04D152" w:rsidR="00413ADC" w:rsidRPr="00016F1F" w:rsidRDefault="00413ADC" w:rsidP="00016F1F">
            <w:pPr>
              <w:spacing w:before="40" w:after="40"/>
              <w:jc w:val="center"/>
              <w:rPr>
                <w:rFonts w:cs="Times New Roman"/>
                <w:b/>
                <w:sz w:val="20"/>
                <w:szCs w:val="20"/>
              </w:rPr>
            </w:pPr>
            <w:r w:rsidRPr="00016F1F">
              <w:rPr>
                <w:rFonts w:cs="Times New Roman"/>
                <w:b/>
                <w:sz w:val="20"/>
                <w:szCs w:val="20"/>
              </w:rPr>
              <w:t>Minimum votin</w:t>
            </w:r>
            <w:r w:rsidR="00E24B0A">
              <w:rPr>
                <w:rFonts w:cs="Times New Roman"/>
                <w:b/>
                <w:sz w:val="20"/>
                <w:szCs w:val="20"/>
              </w:rPr>
              <w:t>g interests as at 31 March 2021</w:t>
            </w:r>
          </w:p>
        </w:tc>
      </w:tr>
      <w:tr w:rsidR="00413ADC" w:rsidRPr="003646BA" w14:paraId="2CE68B63" w14:textId="77777777" w:rsidTr="00016F1F">
        <w:tc>
          <w:tcPr>
            <w:tcW w:w="1350" w:type="dxa"/>
            <w:vMerge/>
            <w:tcBorders>
              <w:left w:val="single" w:sz="4" w:space="0" w:color="auto"/>
            </w:tcBorders>
            <w:shd w:val="clear" w:color="auto" w:fill="D9D9D9" w:themeFill="background1" w:themeFillShade="D9"/>
          </w:tcPr>
          <w:p w14:paraId="72B9D86D" w14:textId="77777777" w:rsidR="00413ADC" w:rsidRPr="008C4B03" w:rsidRDefault="00413ADC" w:rsidP="00016F1F">
            <w:pPr>
              <w:spacing w:before="40" w:after="40"/>
              <w:rPr>
                <w:rFonts w:cs="Times New Roman"/>
                <w:sz w:val="20"/>
                <w:szCs w:val="20"/>
              </w:rPr>
            </w:pPr>
          </w:p>
        </w:tc>
        <w:tc>
          <w:tcPr>
            <w:tcW w:w="1276" w:type="dxa"/>
            <w:shd w:val="clear" w:color="auto" w:fill="auto"/>
          </w:tcPr>
          <w:p w14:paraId="5EB0BD17" w14:textId="77777777" w:rsidR="00413ADC" w:rsidRPr="00016F1F" w:rsidRDefault="00413ADC" w:rsidP="00016F1F">
            <w:pPr>
              <w:spacing w:before="40" w:after="40"/>
              <w:jc w:val="right"/>
              <w:rPr>
                <w:rFonts w:cs="Times New Roman"/>
                <w:b/>
                <w:sz w:val="20"/>
                <w:szCs w:val="20"/>
              </w:rPr>
            </w:pPr>
            <w:r w:rsidRPr="00016F1F">
              <w:rPr>
                <w:rFonts w:cs="Times New Roman"/>
                <w:b/>
                <w:sz w:val="20"/>
                <w:szCs w:val="20"/>
              </w:rPr>
              <w:t>1 April 2019</w:t>
            </w:r>
          </w:p>
        </w:tc>
        <w:tc>
          <w:tcPr>
            <w:tcW w:w="1559" w:type="dxa"/>
            <w:shd w:val="clear" w:color="auto" w:fill="auto"/>
          </w:tcPr>
          <w:p w14:paraId="3D52FFFC" w14:textId="77777777" w:rsidR="00413ADC" w:rsidRPr="00016F1F" w:rsidRDefault="00413ADC" w:rsidP="00016F1F">
            <w:pPr>
              <w:spacing w:before="40" w:after="40"/>
              <w:jc w:val="right"/>
              <w:rPr>
                <w:rFonts w:cs="Times New Roman"/>
                <w:b/>
                <w:sz w:val="20"/>
                <w:szCs w:val="20"/>
              </w:rPr>
            </w:pPr>
            <w:r w:rsidRPr="00016F1F">
              <w:rPr>
                <w:rFonts w:cs="Times New Roman"/>
                <w:b/>
                <w:sz w:val="20"/>
                <w:szCs w:val="20"/>
              </w:rPr>
              <w:t>31 March 2021</w:t>
            </w:r>
          </w:p>
        </w:tc>
        <w:tc>
          <w:tcPr>
            <w:tcW w:w="2477" w:type="dxa"/>
            <w:vMerge/>
            <w:shd w:val="clear" w:color="auto" w:fill="D9D9D9" w:themeFill="background1" w:themeFillShade="D9"/>
          </w:tcPr>
          <w:p w14:paraId="34333E37" w14:textId="77777777" w:rsidR="00413ADC" w:rsidRPr="008C4B03" w:rsidRDefault="00413ADC" w:rsidP="00016F1F">
            <w:pPr>
              <w:spacing w:before="40" w:after="40"/>
              <w:rPr>
                <w:rFonts w:cs="Times New Roman"/>
                <w:sz w:val="20"/>
                <w:szCs w:val="20"/>
              </w:rPr>
            </w:pPr>
          </w:p>
        </w:tc>
      </w:tr>
      <w:tr w:rsidR="00413ADC" w:rsidRPr="003646BA" w14:paraId="4F39FD6F" w14:textId="77777777" w:rsidTr="00016F1F">
        <w:tc>
          <w:tcPr>
            <w:tcW w:w="1350" w:type="dxa"/>
            <w:shd w:val="clear" w:color="auto" w:fill="auto"/>
          </w:tcPr>
          <w:p w14:paraId="237E32C7" w14:textId="77777777" w:rsidR="00413ADC" w:rsidRPr="00F6191D" w:rsidRDefault="00413ADC" w:rsidP="00016F1F">
            <w:pPr>
              <w:spacing w:before="40" w:after="40"/>
              <w:rPr>
                <w:rFonts w:cs="Times New Roman"/>
                <w:sz w:val="20"/>
                <w:szCs w:val="20"/>
              </w:rPr>
            </w:pPr>
            <w:r w:rsidRPr="00F6191D">
              <w:rPr>
                <w:rFonts w:cs="Times New Roman"/>
                <w:sz w:val="20"/>
                <w:szCs w:val="20"/>
              </w:rPr>
              <w:t>James</w:t>
            </w:r>
          </w:p>
        </w:tc>
        <w:tc>
          <w:tcPr>
            <w:tcW w:w="1276" w:type="dxa"/>
          </w:tcPr>
          <w:p w14:paraId="3B6EBFA7" w14:textId="77777777" w:rsidR="00413ADC" w:rsidRPr="008C4B03" w:rsidRDefault="00413ADC" w:rsidP="00016F1F">
            <w:pPr>
              <w:spacing w:before="40" w:after="40"/>
              <w:jc w:val="right"/>
              <w:rPr>
                <w:rFonts w:cs="Times New Roman"/>
                <w:sz w:val="20"/>
                <w:szCs w:val="20"/>
              </w:rPr>
            </w:pPr>
            <w:r w:rsidRPr="008C4B03">
              <w:rPr>
                <w:rFonts w:cs="Times New Roman"/>
                <w:sz w:val="20"/>
                <w:szCs w:val="20"/>
              </w:rPr>
              <w:t>45</w:t>
            </w:r>
          </w:p>
        </w:tc>
        <w:tc>
          <w:tcPr>
            <w:tcW w:w="1559" w:type="dxa"/>
          </w:tcPr>
          <w:p w14:paraId="22BB4ED3" w14:textId="77777777" w:rsidR="00413ADC" w:rsidRPr="008C4B03" w:rsidRDefault="00413ADC" w:rsidP="00016F1F">
            <w:pPr>
              <w:spacing w:before="40" w:after="40"/>
              <w:jc w:val="right"/>
              <w:rPr>
                <w:rFonts w:cs="Times New Roman"/>
                <w:sz w:val="20"/>
                <w:szCs w:val="20"/>
              </w:rPr>
            </w:pPr>
            <w:r w:rsidRPr="008C4B03">
              <w:rPr>
                <w:rFonts w:cs="Times New Roman"/>
                <w:sz w:val="20"/>
                <w:szCs w:val="20"/>
              </w:rPr>
              <w:t>0</w:t>
            </w:r>
          </w:p>
        </w:tc>
        <w:tc>
          <w:tcPr>
            <w:tcW w:w="2477" w:type="dxa"/>
          </w:tcPr>
          <w:p w14:paraId="06CBB060" w14:textId="77777777" w:rsidR="00413ADC" w:rsidRPr="008C4B03" w:rsidRDefault="00413ADC" w:rsidP="00016F1F">
            <w:pPr>
              <w:spacing w:before="40" w:after="40"/>
              <w:jc w:val="right"/>
              <w:rPr>
                <w:rFonts w:cs="Times New Roman"/>
                <w:sz w:val="20"/>
                <w:szCs w:val="20"/>
              </w:rPr>
            </w:pPr>
            <w:r w:rsidRPr="008C4B03">
              <w:rPr>
                <w:rFonts w:cs="Times New Roman"/>
                <w:sz w:val="20"/>
                <w:szCs w:val="20"/>
              </w:rPr>
              <w:t>0</w:t>
            </w:r>
          </w:p>
        </w:tc>
      </w:tr>
      <w:tr w:rsidR="00413ADC" w:rsidRPr="003646BA" w14:paraId="5660D475" w14:textId="77777777" w:rsidTr="00016F1F">
        <w:tc>
          <w:tcPr>
            <w:tcW w:w="1350" w:type="dxa"/>
            <w:shd w:val="clear" w:color="auto" w:fill="auto"/>
          </w:tcPr>
          <w:p w14:paraId="7EBC6BC1" w14:textId="77777777" w:rsidR="00413ADC" w:rsidRPr="00F6191D" w:rsidRDefault="00413ADC" w:rsidP="00016F1F">
            <w:pPr>
              <w:spacing w:before="40" w:after="40"/>
              <w:rPr>
                <w:rFonts w:cs="Times New Roman"/>
                <w:sz w:val="20"/>
                <w:szCs w:val="20"/>
              </w:rPr>
            </w:pPr>
            <w:r w:rsidRPr="00F6191D">
              <w:rPr>
                <w:rFonts w:cs="Times New Roman"/>
                <w:sz w:val="20"/>
                <w:szCs w:val="20"/>
              </w:rPr>
              <w:t>Will</w:t>
            </w:r>
          </w:p>
        </w:tc>
        <w:tc>
          <w:tcPr>
            <w:tcW w:w="1276" w:type="dxa"/>
          </w:tcPr>
          <w:p w14:paraId="1D7EC28D" w14:textId="77777777" w:rsidR="00413ADC" w:rsidRPr="008C4B03" w:rsidRDefault="00413ADC" w:rsidP="00016F1F">
            <w:pPr>
              <w:spacing w:before="40" w:after="40"/>
              <w:jc w:val="right"/>
              <w:rPr>
                <w:rFonts w:cs="Times New Roman"/>
                <w:sz w:val="20"/>
                <w:szCs w:val="20"/>
              </w:rPr>
            </w:pPr>
            <w:r w:rsidRPr="008C4B03">
              <w:rPr>
                <w:rFonts w:cs="Times New Roman"/>
                <w:sz w:val="20"/>
                <w:szCs w:val="20"/>
              </w:rPr>
              <w:t>0</w:t>
            </w:r>
          </w:p>
        </w:tc>
        <w:tc>
          <w:tcPr>
            <w:tcW w:w="1559" w:type="dxa"/>
          </w:tcPr>
          <w:p w14:paraId="22FA633B" w14:textId="77777777" w:rsidR="00413ADC" w:rsidRPr="008C4B03" w:rsidRDefault="00413ADC" w:rsidP="00016F1F">
            <w:pPr>
              <w:spacing w:before="40" w:after="40"/>
              <w:jc w:val="right"/>
              <w:rPr>
                <w:rFonts w:cs="Times New Roman"/>
                <w:sz w:val="20"/>
                <w:szCs w:val="20"/>
              </w:rPr>
            </w:pPr>
            <w:r w:rsidRPr="008C4B03">
              <w:rPr>
                <w:rFonts w:cs="Times New Roman"/>
                <w:sz w:val="20"/>
                <w:szCs w:val="20"/>
              </w:rPr>
              <w:t>45</w:t>
            </w:r>
          </w:p>
        </w:tc>
        <w:tc>
          <w:tcPr>
            <w:tcW w:w="2477" w:type="dxa"/>
          </w:tcPr>
          <w:p w14:paraId="7ABD9743" w14:textId="77777777" w:rsidR="00413ADC" w:rsidRPr="008C4B03" w:rsidRDefault="00413ADC" w:rsidP="00016F1F">
            <w:pPr>
              <w:spacing w:before="40" w:after="40"/>
              <w:jc w:val="right"/>
              <w:rPr>
                <w:rFonts w:cs="Times New Roman"/>
                <w:sz w:val="20"/>
                <w:szCs w:val="20"/>
              </w:rPr>
            </w:pPr>
            <w:r w:rsidRPr="008C4B03">
              <w:rPr>
                <w:rFonts w:cs="Times New Roman"/>
                <w:sz w:val="20"/>
                <w:szCs w:val="20"/>
              </w:rPr>
              <w:t>0</w:t>
            </w:r>
          </w:p>
        </w:tc>
      </w:tr>
      <w:tr w:rsidR="00413ADC" w:rsidRPr="003646BA" w14:paraId="58ACAB55" w14:textId="77777777" w:rsidTr="00016F1F">
        <w:tc>
          <w:tcPr>
            <w:tcW w:w="1350" w:type="dxa"/>
            <w:tcBorders>
              <w:bottom w:val="single" w:sz="4" w:space="0" w:color="auto"/>
            </w:tcBorders>
            <w:shd w:val="clear" w:color="auto" w:fill="auto"/>
          </w:tcPr>
          <w:p w14:paraId="5BC374BA" w14:textId="77777777" w:rsidR="00413ADC" w:rsidRPr="00F6191D" w:rsidRDefault="00413ADC" w:rsidP="00016F1F">
            <w:pPr>
              <w:spacing w:before="40" w:after="40"/>
              <w:rPr>
                <w:rFonts w:cs="Times New Roman"/>
                <w:sz w:val="20"/>
                <w:szCs w:val="20"/>
              </w:rPr>
            </w:pPr>
            <w:r w:rsidRPr="00F6191D">
              <w:rPr>
                <w:rFonts w:cs="Times New Roman"/>
                <w:sz w:val="20"/>
                <w:szCs w:val="20"/>
              </w:rPr>
              <w:t>Steph</w:t>
            </w:r>
          </w:p>
        </w:tc>
        <w:tc>
          <w:tcPr>
            <w:tcW w:w="1276" w:type="dxa"/>
            <w:tcBorders>
              <w:bottom w:val="single" w:sz="4" w:space="0" w:color="auto"/>
            </w:tcBorders>
          </w:tcPr>
          <w:p w14:paraId="7461F6CF" w14:textId="77777777" w:rsidR="00413ADC" w:rsidRPr="008C4B03" w:rsidRDefault="00413ADC" w:rsidP="00016F1F">
            <w:pPr>
              <w:spacing w:before="40" w:after="40"/>
              <w:jc w:val="right"/>
              <w:rPr>
                <w:rFonts w:cs="Times New Roman"/>
                <w:sz w:val="20"/>
                <w:szCs w:val="20"/>
              </w:rPr>
            </w:pPr>
            <w:r w:rsidRPr="008C4B03">
              <w:rPr>
                <w:rFonts w:cs="Times New Roman"/>
                <w:sz w:val="20"/>
                <w:szCs w:val="20"/>
              </w:rPr>
              <w:t>30</w:t>
            </w:r>
          </w:p>
        </w:tc>
        <w:tc>
          <w:tcPr>
            <w:tcW w:w="1559" w:type="dxa"/>
            <w:tcBorders>
              <w:bottom w:val="single" w:sz="4" w:space="0" w:color="auto"/>
            </w:tcBorders>
          </w:tcPr>
          <w:p w14:paraId="6D464AF9" w14:textId="77777777" w:rsidR="00413ADC" w:rsidRPr="008C4B03" w:rsidRDefault="00413ADC" w:rsidP="00016F1F">
            <w:pPr>
              <w:spacing w:before="40" w:after="40"/>
              <w:jc w:val="right"/>
              <w:rPr>
                <w:rFonts w:cs="Times New Roman"/>
                <w:sz w:val="20"/>
                <w:szCs w:val="20"/>
              </w:rPr>
            </w:pPr>
            <w:r w:rsidRPr="008C4B03">
              <w:rPr>
                <w:rFonts w:cs="Times New Roman"/>
                <w:sz w:val="20"/>
                <w:szCs w:val="20"/>
              </w:rPr>
              <w:t>20</w:t>
            </w:r>
          </w:p>
        </w:tc>
        <w:tc>
          <w:tcPr>
            <w:tcW w:w="2477" w:type="dxa"/>
            <w:tcBorders>
              <w:bottom w:val="single" w:sz="4" w:space="0" w:color="auto"/>
            </w:tcBorders>
          </w:tcPr>
          <w:p w14:paraId="3CB72253" w14:textId="77777777" w:rsidR="00413ADC" w:rsidRPr="008C4B03" w:rsidRDefault="00413ADC" w:rsidP="00016F1F">
            <w:pPr>
              <w:spacing w:before="40" w:after="40"/>
              <w:jc w:val="right"/>
              <w:rPr>
                <w:rFonts w:cs="Times New Roman"/>
                <w:sz w:val="20"/>
                <w:szCs w:val="20"/>
              </w:rPr>
            </w:pPr>
            <w:r w:rsidRPr="008C4B03">
              <w:rPr>
                <w:rFonts w:cs="Times New Roman"/>
                <w:sz w:val="20"/>
                <w:szCs w:val="20"/>
              </w:rPr>
              <w:t>20</w:t>
            </w:r>
          </w:p>
        </w:tc>
      </w:tr>
      <w:tr w:rsidR="00413ADC" w:rsidRPr="003646BA" w14:paraId="57B135BF" w14:textId="77777777" w:rsidTr="00016F1F">
        <w:tc>
          <w:tcPr>
            <w:tcW w:w="1350" w:type="dxa"/>
            <w:tcBorders>
              <w:top w:val="single" w:sz="4" w:space="0" w:color="auto"/>
              <w:bottom w:val="single" w:sz="4" w:space="0" w:color="auto"/>
              <w:right w:val="single" w:sz="4" w:space="0" w:color="auto"/>
            </w:tcBorders>
            <w:shd w:val="clear" w:color="auto" w:fill="auto"/>
          </w:tcPr>
          <w:p w14:paraId="7335CC45" w14:textId="77777777" w:rsidR="00413ADC" w:rsidRPr="00F6191D" w:rsidRDefault="00413ADC" w:rsidP="00016F1F">
            <w:pPr>
              <w:spacing w:before="40" w:after="40"/>
              <w:rPr>
                <w:rFonts w:cs="Times New Roman"/>
                <w:sz w:val="20"/>
                <w:szCs w:val="20"/>
              </w:rPr>
            </w:pPr>
            <w:r w:rsidRPr="00F6191D">
              <w:rPr>
                <w:rFonts w:cs="Times New Roman"/>
                <w:sz w:val="20"/>
                <w:szCs w:val="20"/>
              </w:rPr>
              <w:t>Richard</w:t>
            </w:r>
          </w:p>
        </w:tc>
        <w:tc>
          <w:tcPr>
            <w:tcW w:w="1276" w:type="dxa"/>
            <w:tcBorders>
              <w:top w:val="single" w:sz="4" w:space="0" w:color="auto"/>
              <w:left w:val="single" w:sz="4" w:space="0" w:color="auto"/>
              <w:bottom w:val="single" w:sz="4" w:space="0" w:color="auto"/>
              <w:right w:val="single" w:sz="4" w:space="0" w:color="auto"/>
            </w:tcBorders>
          </w:tcPr>
          <w:p w14:paraId="71EA5E96" w14:textId="77777777" w:rsidR="00413ADC" w:rsidRPr="008C4B03" w:rsidRDefault="00413ADC" w:rsidP="00016F1F">
            <w:pPr>
              <w:spacing w:before="40" w:after="40"/>
              <w:jc w:val="right"/>
              <w:rPr>
                <w:rFonts w:cs="Times New Roman"/>
                <w:sz w:val="20"/>
                <w:szCs w:val="20"/>
              </w:rPr>
            </w:pPr>
            <w:r w:rsidRPr="008C4B03">
              <w:rPr>
                <w:rFonts w:cs="Times New Roman"/>
                <w:sz w:val="20"/>
                <w:szCs w:val="20"/>
              </w:rPr>
              <w:t>15</w:t>
            </w:r>
          </w:p>
        </w:tc>
        <w:tc>
          <w:tcPr>
            <w:tcW w:w="1559" w:type="dxa"/>
            <w:tcBorders>
              <w:top w:val="single" w:sz="4" w:space="0" w:color="auto"/>
              <w:left w:val="single" w:sz="4" w:space="0" w:color="auto"/>
              <w:bottom w:val="single" w:sz="4" w:space="0" w:color="auto"/>
              <w:right w:val="single" w:sz="4" w:space="0" w:color="auto"/>
            </w:tcBorders>
          </w:tcPr>
          <w:p w14:paraId="473B9382" w14:textId="77777777" w:rsidR="00413ADC" w:rsidRPr="008C4B03" w:rsidRDefault="00413ADC" w:rsidP="00016F1F">
            <w:pPr>
              <w:spacing w:before="40" w:after="40"/>
              <w:jc w:val="right"/>
              <w:rPr>
                <w:rFonts w:cs="Times New Roman"/>
                <w:sz w:val="20"/>
                <w:szCs w:val="20"/>
              </w:rPr>
            </w:pPr>
            <w:r w:rsidRPr="008C4B03">
              <w:rPr>
                <w:rFonts w:cs="Times New Roman"/>
                <w:sz w:val="20"/>
                <w:szCs w:val="20"/>
              </w:rPr>
              <w:t>35</w:t>
            </w:r>
          </w:p>
        </w:tc>
        <w:tc>
          <w:tcPr>
            <w:tcW w:w="2477" w:type="dxa"/>
            <w:tcBorders>
              <w:top w:val="single" w:sz="4" w:space="0" w:color="auto"/>
              <w:left w:val="single" w:sz="4" w:space="0" w:color="auto"/>
              <w:bottom w:val="single" w:sz="4" w:space="0" w:color="auto"/>
              <w:right w:val="single" w:sz="4" w:space="0" w:color="auto"/>
            </w:tcBorders>
          </w:tcPr>
          <w:p w14:paraId="5396B52C" w14:textId="77777777" w:rsidR="00413ADC" w:rsidRPr="008C4B03" w:rsidRDefault="00413ADC" w:rsidP="00016F1F">
            <w:pPr>
              <w:spacing w:before="40" w:after="40"/>
              <w:jc w:val="right"/>
              <w:rPr>
                <w:rFonts w:cs="Times New Roman"/>
                <w:sz w:val="20"/>
                <w:szCs w:val="20"/>
              </w:rPr>
            </w:pPr>
            <w:r w:rsidRPr="008C4B03">
              <w:rPr>
                <w:rFonts w:cs="Times New Roman"/>
                <w:sz w:val="20"/>
                <w:szCs w:val="20"/>
              </w:rPr>
              <w:t>15</w:t>
            </w:r>
          </w:p>
        </w:tc>
      </w:tr>
      <w:tr w:rsidR="00413ADC" w:rsidRPr="003646BA" w14:paraId="53B927B2" w14:textId="77777777" w:rsidTr="00016F1F">
        <w:tc>
          <w:tcPr>
            <w:tcW w:w="1350" w:type="dxa"/>
            <w:tcBorders>
              <w:top w:val="single" w:sz="4" w:space="0" w:color="auto"/>
              <w:bottom w:val="single" w:sz="4" w:space="0" w:color="auto"/>
              <w:right w:val="single" w:sz="4" w:space="0" w:color="auto"/>
            </w:tcBorders>
            <w:shd w:val="clear" w:color="auto" w:fill="auto"/>
          </w:tcPr>
          <w:p w14:paraId="4467B548" w14:textId="77777777" w:rsidR="00413ADC" w:rsidRPr="00F6191D" w:rsidRDefault="00413ADC" w:rsidP="00016F1F">
            <w:pPr>
              <w:spacing w:before="40" w:after="40"/>
              <w:rPr>
                <w:rFonts w:cs="Times New Roman"/>
                <w:sz w:val="20"/>
                <w:szCs w:val="20"/>
              </w:rPr>
            </w:pPr>
            <w:r w:rsidRPr="00F6191D">
              <w:rPr>
                <w:rFonts w:cs="Times New Roman"/>
                <w:sz w:val="20"/>
                <w:szCs w:val="20"/>
              </w:rPr>
              <w:t>Alison</w:t>
            </w:r>
          </w:p>
        </w:tc>
        <w:tc>
          <w:tcPr>
            <w:tcW w:w="1276" w:type="dxa"/>
            <w:tcBorders>
              <w:top w:val="single" w:sz="4" w:space="0" w:color="auto"/>
              <w:left w:val="single" w:sz="4" w:space="0" w:color="auto"/>
              <w:bottom w:val="single" w:sz="4" w:space="0" w:color="auto"/>
              <w:right w:val="single" w:sz="4" w:space="0" w:color="auto"/>
            </w:tcBorders>
          </w:tcPr>
          <w:p w14:paraId="59A25D47" w14:textId="77777777" w:rsidR="00413ADC" w:rsidRPr="008C4B03" w:rsidRDefault="00413ADC" w:rsidP="00016F1F">
            <w:pPr>
              <w:spacing w:before="40" w:after="40"/>
              <w:jc w:val="right"/>
              <w:rPr>
                <w:rFonts w:cs="Times New Roman"/>
                <w:sz w:val="20"/>
                <w:szCs w:val="20"/>
              </w:rPr>
            </w:pPr>
            <w:r w:rsidRPr="008C4B03">
              <w:rPr>
                <w:rFonts w:cs="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tcPr>
          <w:p w14:paraId="44E149A1" w14:textId="77777777" w:rsidR="00413ADC" w:rsidRPr="008C4B03" w:rsidRDefault="00413ADC" w:rsidP="00016F1F">
            <w:pPr>
              <w:spacing w:before="40" w:after="40"/>
              <w:jc w:val="right"/>
              <w:rPr>
                <w:rFonts w:cs="Times New Roman"/>
                <w:sz w:val="20"/>
                <w:szCs w:val="20"/>
              </w:rPr>
            </w:pPr>
            <w:r w:rsidRPr="008C4B03">
              <w:rPr>
                <w:rFonts w:cs="Times New Roman"/>
                <w:sz w:val="20"/>
                <w:szCs w:val="20"/>
              </w:rPr>
              <w:t>25</w:t>
            </w:r>
          </w:p>
        </w:tc>
        <w:tc>
          <w:tcPr>
            <w:tcW w:w="2477" w:type="dxa"/>
            <w:tcBorders>
              <w:top w:val="single" w:sz="4" w:space="0" w:color="auto"/>
              <w:left w:val="single" w:sz="4" w:space="0" w:color="auto"/>
              <w:bottom w:val="single" w:sz="4" w:space="0" w:color="auto"/>
              <w:right w:val="single" w:sz="4" w:space="0" w:color="auto"/>
            </w:tcBorders>
          </w:tcPr>
          <w:p w14:paraId="11D2815A" w14:textId="77777777" w:rsidR="00413ADC" w:rsidRPr="008C4B03" w:rsidRDefault="00413ADC" w:rsidP="00016F1F">
            <w:pPr>
              <w:spacing w:before="40" w:after="40"/>
              <w:jc w:val="right"/>
              <w:rPr>
                <w:rFonts w:cs="Times New Roman"/>
                <w:sz w:val="20"/>
                <w:szCs w:val="20"/>
              </w:rPr>
            </w:pPr>
            <w:r w:rsidRPr="008C4B03">
              <w:rPr>
                <w:rFonts w:cs="Times New Roman"/>
                <w:sz w:val="20"/>
                <w:szCs w:val="20"/>
              </w:rPr>
              <w:t>10</w:t>
            </w:r>
          </w:p>
        </w:tc>
      </w:tr>
      <w:tr w:rsidR="00413ADC" w:rsidRPr="003646BA" w14:paraId="749E9FB5" w14:textId="77777777" w:rsidTr="00016F1F">
        <w:tc>
          <w:tcPr>
            <w:tcW w:w="2626" w:type="dxa"/>
            <w:gridSpan w:val="2"/>
            <w:tcBorders>
              <w:top w:val="single" w:sz="4" w:space="0" w:color="auto"/>
              <w:left w:val="nil"/>
              <w:bottom w:val="nil"/>
              <w:right w:val="nil"/>
            </w:tcBorders>
            <w:shd w:val="clear" w:color="auto" w:fill="auto"/>
          </w:tcPr>
          <w:p w14:paraId="0134B4E1" w14:textId="77777777" w:rsidR="00413ADC" w:rsidRPr="008C4B03" w:rsidRDefault="00413ADC" w:rsidP="00016F1F">
            <w:pPr>
              <w:spacing w:before="40" w:after="40"/>
              <w:jc w:val="right"/>
              <w:rPr>
                <w:rFonts w:cs="Times New Roman"/>
                <w:sz w:val="20"/>
                <w:szCs w:val="20"/>
              </w:rPr>
            </w:pPr>
          </w:p>
        </w:tc>
        <w:tc>
          <w:tcPr>
            <w:tcW w:w="1559" w:type="dxa"/>
            <w:tcBorders>
              <w:top w:val="single" w:sz="4" w:space="0" w:color="auto"/>
              <w:left w:val="nil"/>
              <w:bottom w:val="nil"/>
              <w:right w:val="single" w:sz="2" w:space="0" w:color="auto"/>
            </w:tcBorders>
            <w:shd w:val="clear" w:color="auto" w:fill="auto"/>
          </w:tcPr>
          <w:p w14:paraId="5E0BCDB7" w14:textId="77777777" w:rsidR="00413ADC" w:rsidRPr="008C4B03" w:rsidRDefault="00413ADC" w:rsidP="00016F1F">
            <w:pPr>
              <w:spacing w:before="40" w:after="40"/>
              <w:jc w:val="right"/>
              <w:rPr>
                <w:rFonts w:cs="Times New Roman"/>
                <w:b/>
                <w:sz w:val="20"/>
                <w:szCs w:val="20"/>
              </w:rPr>
            </w:pPr>
            <w:r w:rsidRPr="008C4B03">
              <w:rPr>
                <w:rFonts w:cs="Times New Roman"/>
                <w:b/>
                <w:sz w:val="20"/>
                <w:szCs w:val="20"/>
              </w:rPr>
              <w:t>Total:</w:t>
            </w:r>
          </w:p>
        </w:tc>
        <w:tc>
          <w:tcPr>
            <w:tcW w:w="2477" w:type="dxa"/>
            <w:tcBorders>
              <w:top w:val="single" w:sz="4" w:space="0" w:color="auto"/>
              <w:left w:val="single" w:sz="2" w:space="0" w:color="auto"/>
              <w:bottom w:val="single" w:sz="2" w:space="0" w:color="auto"/>
              <w:right w:val="single" w:sz="2" w:space="0" w:color="auto"/>
            </w:tcBorders>
          </w:tcPr>
          <w:p w14:paraId="05DFC53E" w14:textId="77777777" w:rsidR="00413ADC" w:rsidRPr="008C4B03" w:rsidRDefault="00413ADC" w:rsidP="00016F1F">
            <w:pPr>
              <w:spacing w:before="40" w:after="40"/>
              <w:jc w:val="right"/>
              <w:rPr>
                <w:rFonts w:cs="Times New Roman"/>
                <w:b/>
                <w:sz w:val="20"/>
                <w:szCs w:val="20"/>
              </w:rPr>
            </w:pPr>
            <w:r w:rsidRPr="008C4B03">
              <w:rPr>
                <w:rFonts w:cs="Times New Roman"/>
                <w:b/>
                <w:sz w:val="20"/>
                <w:szCs w:val="20"/>
              </w:rPr>
              <w:t>45</w:t>
            </w:r>
          </w:p>
        </w:tc>
      </w:tr>
    </w:tbl>
    <w:p w14:paraId="397AC3B0" w14:textId="77777777" w:rsidR="00413ADC" w:rsidRDefault="00413ADC" w:rsidP="00413ADC">
      <w:pPr>
        <w:rPr>
          <w:rFonts w:cs="Times New Roman"/>
          <w:sz w:val="20"/>
          <w:szCs w:val="20"/>
        </w:rPr>
      </w:pPr>
    </w:p>
    <w:p w14:paraId="0461C7D6" w14:textId="6AB48C58" w:rsidR="00413ADC" w:rsidRPr="008C4B03" w:rsidRDefault="00413ADC" w:rsidP="00413ADC">
      <w:pPr>
        <w:pStyle w:val="Exampletext"/>
        <w:pBdr>
          <w:top w:val="none" w:sz="0" w:space="0" w:color="auto"/>
          <w:left w:val="none" w:sz="0" w:space="0" w:color="auto"/>
          <w:bottom w:val="none" w:sz="0" w:space="0" w:color="auto"/>
          <w:right w:val="none" w:sz="0" w:space="0" w:color="auto"/>
        </w:pBdr>
      </w:pPr>
      <w:r w:rsidRPr="008C4B03">
        <w:t xml:space="preserve">The minimum voting interests in R&amp;D Ltd for the continuity period total </w:t>
      </w:r>
      <w:r w:rsidR="004360B9">
        <w:t>forty five percent</w:t>
      </w:r>
      <w:r w:rsidRPr="008C4B03">
        <w:t>, so R&amp;D Ltd cannot carry forward its R&amp;D tax credit to the 2020</w:t>
      </w:r>
      <w:r w:rsidR="002613DD">
        <w:t>–</w:t>
      </w:r>
      <w:r w:rsidRPr="008C4B03">
        <w:t>21 income year.</w:t>
      </w:r>
    </w:p>
    <w:p w14:paraId="2C7A1770" w14:textId="77777777" w:rsidR="00F96F1B" w:rsidRDefault="00F96F1B" w:rsidP="001C51DF">
      <w:pPr>
        <w:rPr>
          <w:lang w:eastAsia="en-AU"/>
        </w:rPr>
      </w:pPr>
    </w:p>
    <w:p w14:paraId="62E1EEC4" w14:textId="77777777" w:rsidR="00F96F1B" w:rsidRDefault="00F96F1B" w:rsidP="001C51DF">
      <w:pPr>
        <w:rPr>
          <w:lang w:eastAsia="en-AU"/>
        </w:rPr>
      </w:pPr>
    </w:p>
    <w:p w14:paraId="7E149EC2" w14:textId="5D9EEB50" w:rsidR="00DA5318" w:rsidRDefault="00D00F10">
      <w:pPr>
        <w:spacing w:after="200" w:line="276" w:lineRule="auto"/>
        <w:jc w:val="left"/>
        <w:rPr>
          <w:rFonts w:eastAsia="Times New Roman" w:cs="Times New Roman"/>
          <w:szCs w:val="24"/>
          <w:lang w:val="en-GB" w:eastAsia="en-AU"/>
        </w:rPr>
      </w:pPr>
      <w:r>
        <w:rPr>
          <w:rFonts w:eastAsia="Times New Roman" w:cs="Times New Roman"/>
          <w:szCs w:val="24"/>
          <w:lang w:val="en-GB" w:eastAsia="en-AU"/>
        </w:rPr>
        <w:br w:type="page"/>
      </w:r>
      <w:r w:rsidR="00DA5318">
        <w:rPr>
          <w:rFonts w:eastAsia="Times New Roman" w:cs="Times New Roman"/>
          <w:szCs w:val="24"/>
          <w:lang w:val="en-GB" w:eastAsia="en-AU"/>
        </w:rPr>
        <w:br w:type="page"/>
      </w:r>
    </w:p>
    <w:p w14:paraId="34B65260" w14:textId="77777777" w:rsidR="00D00F10" w:rsidRPr="00453540" w:rsidRDefault="00D00F10" w:rsidP="00453540"/>
    <w:p w14:paraId="781B6D70" w14:textId="77777777" w:rsidR="00D00F10" w:rsidRDefault="00D00F10" w:rsidP="00D00F10"/>
    <w:p w14:paraId="4F42505B" w14:textId="77777777" w:rsidR="00D00F10" w:rsidRDefault="00D00F10" w:rsidP="00D00F10"/>
    <w:p w14:paraId="3E1197D6" w14:textId="77777777" w:rsidR="00D00F10" w:rsidRDefault="00D00F10" w:rsidP="00D00F10"/>
    <w:p w14:paraId="43FAD258" w14:textId="77777777" w:rsidR="00D00F10" w:rsidRDefault="00D00F10" w:rsidP="00D00F10"/>
    <w:p w14:paraId="08645F80" w14:textId="77777777" w:rsidR="00D00F10" w:rsidRDefault="00D00F10" w:rsidP="00D00F10"/>
    <w:p w14:paraId="0DB069B3" w14:textId="77777777" w:rsidR="00D00F10" w:rsidRDefault="00D00F10" w:rsidP="00D00F10"/>
    <w:p w14:paraId="43D3B458" w14:textId="77777777" w:rsidR="00D00F10" w:rsidRDefault="00D00F10" w:rsidP="00D00F10"/>
    <w:p w14:paraId="2BBA7647" w14:textId="77777777" w:rsidR="00D00F10" w:rsidRDefault="00D00F10" w:rsidP="00D00F10"/>
    <w:p w14:paraId="0B69CC36" w14:textId="77777777" w:rsidR="00453540" w:rsidRDefault="00453540" w:rsidP="00D00F10"/>
    <w:p w14:paraId="74CBF853" w14:textId="77777777" w:rsidR="00453540" w:rsidRDefault="00453540" w:rsidP="00D00F10"/>
    <w:p w14:paraId="500277A5" w14:textId="77777777" w:rsidR="00453540" w:rsidRDefault="00453540" w:rsidP="00D00F10"/>
    <w:p w14:paraId="298E98B3" w14:textId="77777777" w:rsidR="00DA5318" w:rsidRDefault="00D00F10" w:rsidP="00D00F10">
      <w:pPr>
        <w:pStyle w:val="Sectionheading"/>
      </w:pPr>
      <w:bookmarkStart w:id="46" w:name="_Toc528195588"/>
      <w:r>
        <w:t>Other matters</w:t>
      </w:r>
      <w:bookmarkEnd w:id="46"/>
    </w:p>
    <w:p w14:paraId="27E5F182" w14:textId="77777777" w:rsidR="00DA5318" w:rsidRDefault="00DA5318">
      <w:pPr>
        <w:spacing w:after="200" w:line="276" w:lineRule="auto"/>
        <w:jc w:val="left"/>
        <w:rPr>
          <w:rFonts w:eastAsia="Times New Roman" w:cs="Times New Roman"/>
          <w:sz w:val="60"/>
          <w:szCs w:val="20"/>
          <w:lang w:eastAsia="en-AU"/>
        </w:rPr>
      </w:pPr>
      <w:r>
        <w:br w:type="page"/>
      </w:r>
    </w:p>
    <w:p w14:paraId="2B584142" w14:textId="5E84CE29" w:rsidR="00D00F10" w:rsidRPr="002C3A01" w:rsidRDefault="00D00F10" w:rsidP="00D00F10">
      <w:pPr>
        <w:pStyle w:val="Sectionheading"/>
      </w:pPr>
      <w:r>
        <w:br w:type="page"/>
      </w:r>
    </w:p>
    <w:p w14:paraId="7BCB7525" w14:textId="77777777" w:rsidR="00ED09D1" w:rsidRPr="00AA7605" w:rsidRDefault="00ED09D1" w:rsidP="00875599">
      <w:pPr>
        <w:pStyle w:val="Heading1"/>
      </w:pPr>
      <w:bookmarkStart w:id="47" w:name="_Toc528157370"/>
      <w:bookmarkStart w:id="48" w:name="_Toc528195589"/>
      <w:r>
        <w:t>Approved research providers</w:t>
      </w:r>
      <w:bookmarkEnd w:id="47"/>
      <w:bookmarkEnd w:id="48"/>
    </w:p>
    <w:p w14:paraId="475A108A" w14:textId="2D6F3A5D" w:rsidR="00ED09D1" w:rsidRPr="00AA7605" w:rsidRDefault="00ED09D1" w:rsidP="002B701D">
      <w:pPr>
        <w:pStyle w:val="Heading3"/>
      </w:pPr>
      <w:r>
        <w:t>Clause</w:t>
      </w:r>
      <w:r w:rsidR="004F72A5">
        <w:t>s</w:t>
      </w:r>
      <w:r w:rsidR="00D73680">
        <w:t xml:space="preserve"> </w:t>
      </w:r>
      <w:r>
        <w:t>21(3), 24(3)</w:t>
      </w:r>
      <w:r w:rsidR="00273DF6">
        <w:t xml:space="preserve">, </w:t>
      </w:r>
      <w:r w:rsidR="004F72A5">
        <w:t>25 and</w:t>
      </w:r>
      <w:r w:rsidR="00D73680">
        <w:t xml:space="preserve"> </w:t>
      </w:r>
      <w:r w:rsidR="00273DF6">
        <w:t>36</w:t>
      </w:r>
    </w:p>
    <w:p w14:paraId="653960F6" w14:textId="77777777" w:rsidR="00ED09D1" w:rsidRDefault="00ED09D1" w:rsidP="002B701D">
      <w:pPr>
        <w:rPr>
          <w:lang w:eastAsia="en-AU"/>
        </w:rPr>
      </w:pPr>
    </w:p>
    <w:p w14:paraId="320198FB" w14:textId="77777777" w:rsidR="0093516A" w:rsidRPr="00AA7605" w:rsidRDefault="0093516A" w:rsidP="002B701D">
      <w:pPr>
        <w:rPr>
          <w:lang w:eastAsia="en-AU"/>
        </w:rPr>
      </w:pPr>
    </w:p>
    <w:p w14:paraId="6549AD9C" w14:textId="65E3D6C1" w:rsidR="00ED09D1" w:rsidRPr="00AA7605" w:rsidRDefault="00ED09D1" w:rsidP="002B701D">
      <w:pPr>
        <w:pStyle w:val="Heading2"/>
      </w:pPr>
      <w:r w:rsidRPr="00AA7605">
        <w:t>Summary of proposed amendment</w:t>
      </w:r>
    </w:p>
    <w:p w14:paraId="56961742" w14:textId="77777777" w:rsidR="00ED09D1" w:rsidRPr="00AA7605" w:rsidRDefault="00ED09D1" w:rsidP="002B701D">
      <w:pPr>
        <w:rPr>
          <w:lang w:eastAsia="en-AU"/>
        </w:rPr>
      </w:pPr>
    </w:p>
    <w:p w14:paraId="570713CB" w14:textId="79F3717E" w:rsidR="00ED09D1" w:rsidRPr="00AA7605" w:rsidRDefault="00ED09D1" w:rsidP="002B701D">
      <w:pPr>
        <w:rPr>
          <w:lang w:eastAsia="en-AU"/>
        </w:rPr>
      </w:pPr>
      <w:r>
        <w:rPr>
          <w:lang w:eastAsia="en-AU"/>
        </w:rPr>
        <w:t xml:space="preserve">The </w:t>
      </w:r>
      <w:r w:rsidR="00A92CD1">
        <w:rPr>
          <w:lang w:eastAsia="en-AU"/>
        </w:rPr>
        <w:t>B</w:t>
      </w:r>
      <w:r>
        <w:rPr>
          <w:lang w:eastAsia="en-AU"/>
        </w:rPr>
        <w:t>ill proposes that a person can apply for the Commissioner’s approval to be an approved research provider for the R&amp;D tax credit regime.</w:t>
      </w:r>
    </w:p>
    <w:p w14:paraId="458F4443" w14:textId="77777777" w:rsidR="00ED09D1" w:rsidRDefault="00ED09D1" w:rsidP="002B701D">
      <w:pPr>
        <w:rPr>
          <w:lang w:eastAsia="en-AU"/>
        </w:rPr>
      </w:pPr>
    </w:p>
    <w:p w14:paraId="0256A3B6" w14:textId="77777777" w:rsidR="0093516A" w:rsidRPr="00AA7605" w:rsidRDefault="0093516A" w:rsidP="002B701D">
      <w:pPr>
        <w:rPr>
          <w:lang w:eastAsia="en-AU"/>
        </w:rPr>
      </w:pPr>
    </w:p>
    <w:p w14:paraId="243A9F4D" w14:textId="77777777" w:rsidR="00ED09D1" w:rsidRPr="00AA7605" w:rsidRDefault="00ED09D1" w:rsidP="002B701D">
      <w:pPr>
        <w:pStyle w:val="Heading2"/>
      </w:pPr>
      <w:r w:rsidRPr="00AA7605">
        <w:t>Application date</w:t>
      </w:r>
    </w:p>
    <w:p w14:paraId="77FE0218" w14:textId="77777777" w:rsidR="00ED09D1" w:rsidRPr="00AA7605" w:rsidRDefault="00ED09D1" w:rsidP="002B701D">
      <w:pPr>
        <w:rPr>
          <w:lang w:eastAsia="en-AU"/>
        </w:rPr>
      </w:pPr>
    </w:p>
    <w:p w14:paraId="66A34A9A" w14:textId="49A9364C" w:rsidR="00ED09D1" w:rsidRPr="00AA7605" w:rsidRDefault="00ED09D1" w:rsidP="002B701D">
      <w:pPr>
        <w:rPr>
          <w:lang w:eastAsia="en-AU"/>
        </w:rPr>
      </w:pPr>
      <w:r>
        <w:rPr>
          <w:lang w:eastAsia="en-AU"/>
        </w:rPr>
        <w:t xml:space="preserve">From the </w:t>
      </w:r>
      <w:r w:rsidR="00E010FC">
        <w:rPr>
          <w:lang w:eastAsia="en-AU"/>
        </w:rPr>
        <w:t>2019–20</w:t>
      </w:r>
      <w:r>
        <w:rPr>
          <w:lang w:eastAsia="en-AU"/>
        </w:rPr>
        <w:t xml:space="preserve"> income year.</w:t>
      </w:r>
    </w:p>
    <w:p w14:paraId="2171E7C3" w14:textId="77777777" w:rsidR="00ED09D1" w:rsidRDefault="00ED09D1" w:rsidP="002B701D">
      <w:pPr>
        <w:rPr>
          <w:lang w:eastAsia="en-AU"/>
        </w:rPr>
      </w:pPr>
    </w:p>
    <w:p w14:paraId="50D33E61" w14:textId="77777777" w:rsidR="0093516A" w:rsidRPr="00AA7605" w:rsidRDefault="0093516A" w:rsidP="002B701D">
      <w:pPr>
        <w:rPr>
          <w:lang w:eastAsia="en-AU"/>
        </w:rPr>
      </w:pPr>
    </w:p>
    <w:p w14:paraId="29D4FA4F" w14:textId="77777777" w:rsidR="00ED09D1" w:rsidRPr="00AA7605" w:rsidRDefault="00ED09D1" w:rsidP="002B701D">
      <w:pPr>
        <w:pStyle w:val="Heading2"/>
      </w:pPr>
      <w:r w:rsidRPr="00AA7605">
        <w:t>Key features</w:t>
      </w:r>
    </w:p>
    <w:p w14:paraId="6A9373B3" w14:textId="77777777" w:rsidR="00ED09D1" w:rsidRPr="00AA7605" w:rsidRDefault="00ED09D1" w:rsidP="002B701D">
      <w:pPr>
        <w:rPr>
          <w:lang w:eastAsia="en-AU"/>
        </w:rPr>
      </w:pPr>
    </w:p>
    <w:p w14:paraId="35CA936A" w14:textId="11289802" w:rsidR="00ED09D1" w:rsidRDefault="00ED09D1" w:rsidP="002B701D">
      <w:pPr>
        <w:rPr>
          <w:lang w:eastAsia="en-AU"/>
        </w:rPr>
      </w:pPr>
      <w:r>
        <w:rPr>
          <w:lang w:eastAsia="en-AU"/>
        </w:rPr>
        <w:t>Proposed new section 15ZB provides that a person is an approved research provider if they apply, the Commissioner approves their application, and the pe</w:t>
      </w:r>
      <w:r w:rsidR="0093516A">
        <w:rPr>
          <w:lang w:eastAsia="en-AU"/>
        </w:rPr>
        <w:t>rson keeps appropriate records.</w:t>
      </w:r>
    </w:p>
    <w:p w14:paraId="378606E0" w14:textId="77777777" w:rsidR="00ED09D1" w:rsidRDefault="00ED09D1" w:rsidP="002B701D">
      <w:pPr>
        <w:rPr>
          <w:lang w:eastAsia="en-AU"/>
        </w:rPr>
      </w:pPr>
    </w:p>
    <w:p w14:paraId="2BC29026" w14:textId="77777777" w:rsidR="00ED09D1" w:rsidRDefault="00ED09D1" w:rsidP="002B701D">
      <w:pPr>
        <w:rPr>
          <w:lang w:eastAsia="en-AU"/>
        </w:rPr>
      </w:pPr>
      <w:r>
        <w:rPr>
          <w:lang w:eastAsia="en-AU"/>
        </w:rPr>
        <w:t>The Commissioner will only approve a person if the person is:</w:t>
      </w:r>
    </w:p>
    <w:p w14:paraId="6220D44D" w14:textId="77777777" w:rsidR="00ED09D1" w:rsidRDefault="00ED09D1" w:rsidP="002B701D">
      <w:pPr>
        <w:rPr>
          <w:lang w:eastAsia="en-AU"/>
        </w:rPr>
      </w:pPr>
    </w:p>
    <w:p w14:paraId="207D674A" w14:textId="4E3DABD3" w:rsidR="00ED09D1" w:rsidRDefault="00F6191D" w:rsidP="002B701D">
      <w:pPr>
        <w:pStyle w:val="dotpoint"/>
      </w:pPr>
      <w:r>
        <w:t>c</w:t>
      </w:r>
      <w:r w:rsidR="00845E5F">
        <w:t xml:space="preserve">apable </w:t>
      </w:r>
      <w:r w:rsidR="00ED09D1">
        <w:t>of performing R&amp;D activities on behalf of other people</w:t>
      </w:r>
      <w:r w:rsidR="00845E5F">
        <w:t>;</w:t>
      </w:r>
    </w:p>
    <w:p w14:paraId="05F04925" w14:textId="1DD5D90D" w:rsidR="00ED09D1" w:rsidRDefault="00F6191D" w:rsidP="002B701D">
      <w:pPr>
        <w:pStyle w:val="dotpoint"/>
      </w:pPr>
      <w:r>
        <w:t>h</w:t>
      </w:r>
      <w:r w:rsidR="00845E5F">
        <w:t xml:space="preserve">as </w:t>
      </w:r>
      <w:r w:rsidR="00ED09D1">
        <w:t>facilities in New Zealand to perform R&amp;D activities</w:t>
      </w:r>
      <w:r w:rsidR="00845E5F">
        <w:t>;</w:t>
      </w:r>
    </w:p>
    <w:p w14:paraId="6E32B9F3" w14:textId="55BBF06F" w:rsidR="00ED09D1" w:rsidRDefault="00F6191D" w:rsidP="002B701D">
      <w:pPr>
        <w:pStyle w:val="dotpoint"/>
      </w:pPr>
      <w:r>
        <w:t>i</w:t>
      </w:r>
      <w:r w:rsidR="00845E5F">
        <w:t xml:space="preserve">s </w:t>
      </w:r>
      <w:r w:rsidR="00ED09D1">
        <w:t>available to perform R&amp;D activities on behalf of third parties</w:t>
      </w:r>
      <w:r w:rsidR="00845E5F">
        <w:t xml:space="preserve">; </w:t>
      </w:r>
      <w:r w:rsidR="00ED09D1">
        <w:t>and</w:t>
      </w:r>
    </w:p>
    <w:p w14:paraId="2B14913F" w14:textId="76DC4E52" w:rsidR="00ED09D1" w:rsidRDefault="00F6191D" w:rsidP="002B701D">
      <w:pPr>
        <w:pStyle w:val="dotpoint"/>
        <w:spacing w:after="0"/>
      </w:pPr>
      <w:r>
        <w:t>p</w:t>
      </w:r>
      <w:r w:rsidR="00845E5F">
        <w:t>erforms</w:t>
      </w:r>
      <w:r w:rsidR="00ED09D1">
        <w:t>, or will perform, R&amp;D activities for other people for market value consideration.</w:t>
      </w:r>
    </w:p>
    <w:p w14:paraId="328A1F1B" w14:textId="77777777" w:rsidR="0093516A" w:rsidRDefault="0093516A" w:rsidP="002B701D">
      <w:pPr>
        <w:rPr>
          <w:lang w:eastAsia="en-AU"/>
        </w:rPr>
      </w:pPr>
    </w:p>
    <w:p w14:paraId="4F14DC00" w14:textId="28003AE0" w:rsidR="00ED09D1" w:rsidRPr="00AA7605" w:rsidRDefault="00ED09D1" w:rsidP="002B701D">
      <w:pPr>
        <w:rPr>
          <w:lang w:eastAsia="en-AU"/>
        </w:rPr>
      </w:pPr>
      <w:r>
        <w:rPr>
          <w:lang w:eastAsia="en-AU"/>
        </w:rPr>
        <w:t xml:space="preserve">If a person receives approval, the Commissioner has to notify the person and publish their name in a publication chosen by the Commissioner. The Commissioner is able to revoke approval at her discretion, although if she does revoke an approval she must provide the person with the reason for the revocation and specify the date from which the revocation takes effect. </w:t>
      </w:r>
      <w:r w:rsidR="00273DF6">
        <w:rPr>
          <w:lang w:eastAsia="en-AU"/>
        </w:rPr>
        <w:t>A decision made by the Commissioner under the proposed new section cannot be challenged, except through judicial review.</w:t>
      </w:r>
    </w:p>
    <w:p w14:paraId="6E48DC17" w14:textId="77777777" w:rsidR="00ED09D1" w:rsidRDefault="00ED09D1" w:rsidP="002B701D">
      <w:pPr>
        <w:rPr>
          <w:lang w:eastAsia="en-AU"/>
        </w:rPr>
      </w:pPr>
    </w:p>
    <w:p w14:paraId="530CF119" w14:textId="77777777" w:rsidR="0093516A" w:rsidRPr="00AA7605" w:rsidRDefault="0093516A" w:rsidP="002B701D">
      <w:pPr>
        <w:rPr>
          <w:lang w:eastAsia="en-AU"/>
        </w:rPr>
      </w:pPr>
    </w:p>
    <w:p w14:paraId="7C30545D" w14:textId="77777777" w:rsidR="00ED09D1" w:rsidRPr="00AA7605" w:rsidRDefault="00ED09D1" w:rsidP="002B701D">
      <w:pPr>
        <w:pStyle w:val="Heading2"/>
      </w:pPr>
      <w:r w:rsidRPr="00AA7605">
        <w:t>Background</w:t>
      </w:r>
    </w:p>
    <w:p w14:paraId="65217748" w14:textId="77777777" w:rsidR="00ED09D1" w:rsidRPr="00AA7605" w:rsidRDefault="00ED09D1" w:rsidP="002B701D">
      <w:pPr>
        <w:rPr>
          <w:lang w:val="en-GB" w:eastAsia="en-AU"/>
        </w:rPr>
      </w:pPr>
    </w:p>
    <w:p w14:paraId="4FE9FCF7" w14:textId="77777777" w:rsidR="00ED09D1" w:rsidRDefault="00ED09D1" w:rsidP="002B701D">
      <w:pPr>
        <w:rPr>
          <w:lang w:val="en-GB" w:eastAsia="en-AU"/>
        </w:rPr>
      </w:pPr>
      <w:r>
        <w:rPr>
          <w:lang w:val="en-GB" w:eastAsia="en-AU"/>
        </w:rPr>
        <w:t>Some businesses may not have sufficient expenditure to satisfy the minimum threshold of $50,000. These businesses are nevertheless able to be eligible for the R&amp;D tax credit regime if they have approved research provider expenditure. This is to ensure the R&amp;D tax credit regime is accessible to businesses of all sizes.</w:t>
      </w:r>
    </w:p>
    <w:p w14:paraId="5E9A7A94" w14:textId="77777777" w:rsidR="00ED09D1" w:rsidRDefault="00ED09D1" w:rsidP="002B701D">
      <w:pPr>
        <w:rPr>
          <w:lang w:val="en-GB" w:eastAsia="en-AU"/>
        </w:rPr>
      </w:pPr>
    </w:p>
    <w:p w14:paraId="675D5A5A" w14:textId="0FF4468B" w:rsidR="00ED09D1" w:rsidRPr="00AA7605" w:rsidRDefault="00ED09D1" w:rsidP="00AE6C7E">
      <w:pPr>
        <w:rPr>
          <w:rFonts w:eastAsia="Times New Roman" w:cs="Times New Roman"/>
          <w:szCs w:val="20"/>
          <w:lang w:eastAsia="en-AU"/>
        </w:rPr>
      </w:pPr>
      <w:r>
        <w:rPr>
          <w:lang w:val="en-GB" w:eastAsia="en-AU"/>
        </w:rPr>
        <w:t xml:space="preserve">It is expected that approved research providers will have robust processes in place and will have experience performing R&amp;D activities for other people. For more information on approved research providers and how they interact with the minimum threshold, </w:t>
      </w:r>
      <w:r w:rsidR="008374CF">
        <w:rPr>
          <w:lang w:val="en-GB" w:eastAsia="en-AU"/>
        </w:rPr>
        <w:t xml:space="preserve">see the section on </w:t>
      </w:r>
      <w:r w:rsidR="008374CF" w:rsidRPr="008374CF">
        <w:rPr>
          <w:rStyle w:val="Emphasis"/>
          <w:lang w:val="en-GB" w:eastAsia="en-AU"/>
        </w:rPr>
        <w:t>Minimum threshold</w:t>
      </w:r>
      <w:r w:rsidR="008374CF" w:rsidRPr="008374CF">
        <w:rPr>
          <w:lang w:val="en-GB" w:eastAsia="en-AU"/>
        </w:rPr>
        <w:t xml:space="preserve"> </w:t>
      </w:r>
      <w:r w:rsidR="008374CF">
        <w:rPr>
          <w:lang w:val="en-GB" w:eastAsia="en-AU"/>
        </w:rPr>
        <w:t>(</w:t>
      </w:r>
      <w:r w:rsidRPr="002B4A33">
        <w:rPr>
          <w:lang w:val="en-GB" w:eastAsia="en-AU"/>
        </w:rPr>
        <w:t>page</w:t>
      </w:r>
      <w:r w:rsidR="002B4A33" w:rsidRPr="002B4A33">
        <w:rPr>
          <w:lang w:val="en-GB" w:eastAsia="en-AU"/>
        </w:rPr>
        <w:t xml:space="preserve"> </w:t>
      </w:r>
      <w:r w:rsidR="008374CF">
        <w:rPr>
          <w:lang w:val="en-GB" w:eastAsia="en-AU"/>
        </w:rPr>
        <w:t>49)</w:t>
      </w:r>
      <w:r>
        <w:rPr>
          <w:lang w:val="en-GB" w:eastAsia="en-AU"/>
        </w:rPr>
        <w:t>.</w:t>
      </w:r>
      <w:r>
        <w:br w:type="page"/>
      </w:r>
    </w:p>
    <w:p w14:paraId="03601FB1" w14:textId="6180C7E8" w:rsidR="00ED09D1" w:rsidRPr="001F46A8" w:rsidRDefault="00ED09D1" w:rsidP="002B701D">
      <w:pPr>
        <w:pStyle w:val="Heading1"/>
      </w:pPr>
      <w:bookmarkStart w:id="49" w:name="_Toc528157371"/>
      <w:bookmarkStart w:id="50" w:name="_Toc528195590"/>
      <w:r w:rsidRPr="001F46A8">
        <w:t xml:space="preserve">Provisional </w:t>
      </w:r>
      <w:r>
        <w:t>t</w:t>
      </w:r>
      <w:r w:rsidRPr="001F46A8">
        <w:t>ax</w:t>
      </w:r>
      <w:bookmarkEnd w:id="49"/>
      <w:bookmarkEnd w:id="50"/>
    </w:p>
    <w:p w14:paraId="19AC797B" w14:textId="1B771442" w:rsidR="00ED09D1" w:rsidRPr="001F46A8" w:rsidRDefault="00ED09D1" w:rsidP="002B701D">
      <w:pPr>
        <w:pStyle w:val="Heading3"/>
      </w:pPr>
      <w:r w:rsidRPr="001F46A8">
        <w:t>Clause 21(1</w:t>
      </w:r>
      <w:r w:rsidR="00D73680">
        <w:t>7</w:t>
      </w:r>
      <w:r w:rsidRPr="001F46A8">
        <w:t>)</w:t>
      </w:r>
    </w:p>
    <w:p w14:paraId="08BD35A9" w14:textId="77777777" w:rsidR="00ED09D1" w:rsidRDefault="00ED09D1" w:rsidP="002B701D">
      <w:pPr>
        <w:rPr>
          <w:lang w:eastAsia="en-AU"/>
        </w:rPr>
      </w:pPr>
    </w:p>
    <w:p w14:paraId="1EB0D217" w14:textId="77777777" w:rsidR="002B701D" w:rsidRPr="001F46A8" w:rsidRDefault="002B701D" w:rsidP="002B701D">
      <w:pPr>
        <w:rPr>
          <w:lang w:eastAsia="en-AU"/>
        </w:rPr>
      </w:pPr>
    </w:p>
    <w:p w14:paraId="5DC03CEE" w14:textId="04548BB9" w:rsidR="00ED09D1" w:rsidRPr="001F46A8" w:rsidRDefault="00ED09D1" w:rsidP="002B701D">
      <w:pPr>
        <w:pStyle w:val="Heading2"/>
      </w:pPr>
      <w:r w:rsidRPr="001F46A8">
        <w:t>Summary of proposed amendment</w:t>
      </w:r>
    </w:p>
    <w:p w14:paraId="32EE5A91" w14:textId="77777777" w:rsidR="00ED09D1" w:rsidRPr="001F46A8" w:rsidRDefault="00ED09D1" w:rsidP="002B701D">
      <w:pPr>
        <w:rPr>
          <w:lang w:eastAsia="en-AU"/>
        </w:rPr>
      </w:pPr>
    </w:p>
    <w:p w14:paraId="7D1539EC" w14:textId="7E39309E" w:rsidR="00ED09D1" w:rsidRPr="001F46A8" w:rsidRDefault="00ED09D1" w:rsidP="002B701D">
      <w:pPr>
        <w:rPr>
          <w:lang w:eastAsia="en-AU"/>
        </w:rPr>
      </w:pPr>
      <w:r w:rsidRPr="001F46A8">
        <w:rPr>
          <w:lang w:eastAsia="en-AU"/>
        </w:rPr>
        <w:t xml:space="preserve">It is proposed that the R&amp;D tax credit will reduce a </w:t>
      </w:r>
      <w:r w:rsidR="008C4B03">
        <w:rPr>
          <w:lang w:eastAsia="en-AU"/>
        </w:rPr>
        <w:t>person</w:t>
      </w:r>
      <w:r w:rsidRPr="001F46A8">
        <w:rPr>
          <w:lang w:eastAsia="en-AU"/>
        </w:rPr>
        <w:t>’s future provisional tax payments.</w:t>
      </w:r>
    </w:p>
    <w:p w14:paraId="325C1D5A" w14:textId="77777777" w:rsidR="00ED09D1" w:rsidRDefault="00ED09D1" w:rsidP="002B701D">
      <w:pPr>
        <w:rPr>
          <w:lang w:eastAsia="en-AU"/>
        </w:rPr>
      </w:pPr>
    </w:p>
    <w:p w14:paraId="00788C75" w14:textId="77777777" w:rsidR="002B701D" w:rsidRPr="001F46A8" w:rsidRDefault="002B701D" w:rsidP="002B701D">
      <w:pPr>
        <w:rPr>
          <w:lang w:eastAsia="en-AU"/>
        </w:rPr>
      </w:pPr>
    </w:p>
    <w:p w14:paraId="12DEE109" w14:textId="77777777" w:rsidR="00ED09D1" w:rsidRPr="001F46A8" w:rsidRDefault="00ED09D1" w:rsidP="002B701D">
      <w:pPr>
        <w:pStyle w:val="Heading2"/>
      </w:pPr>
      <w:r w:rsidRPr="001F46A8">
        <w:t>Application date</w:t>
      </w:r>
    </w:p>
    <w:p w14:paraId="0B6BD9DC" w14:textId="77777777" w:rsidR="00ED09D1" w:rsidRPr="001F46A8" w:rsidRDefault="00ED09D1" w:rsidP="002B701D">
      <w:pPr>
        <w:rPr>
          <w:lang w:eastAsia="en-AU"/>
        </w:rPr>
      </w:pPr>
    </w:p>
    <w:p w14:paraId="43917A41" w14:textId="16D0B22E" w:rsidR="00ED09D1" w:rsidRPr="001F46A8" w:rsidRDefault="00ED09D1" w:rsidP="002B701D">
      <w:pPr>
        <w:rPr>
          <w:lang w:eastAsia="en-AU"/>
        </w:rPr>
      </w:pPr>
      <w:r w:rsidRPr="001F46A8">
        <w:rPr>
          <w:lang w:eastAsia="en-AU"/>
        </w:rPr>
        <w:t xml:space="preserve">From the </w:t>
      </w:r>
      <w:r w:rsidR="00E010FC">
        <w:rPr>
          <w:lang w:eastAsia="en-AU"/>
        </w:rPr>
        <w:t>2019–20</w:t>
      </w:r>
      <w:r w:rsidRPr="001F46A8">
        <w:rPr>
          <w:lang w:eastAsia="en-AU"/>
        </w:rPr>
        <w:t xml:space="preserve"> income year.</w:t>
      </w:r>
    </w:p>
    <w:p w14:paraId="3F0BE555" w14:textId="77777777" w:rsidR="00ED09D1" w:rsidRDefault="00ED09D1" w:rsidP="002B701D">
      <w:pPr>
        <w:rPr>
          <w:lang w:eastAsia="en-AU"/>
        </w:rPr>
      </w:pPr>
    </w:p>
    <w:p w14:paraId="2BB11EA6" w14:textId="77777777" w:rsidR="002B701D" w:rsidRPr="001F46A8" w:rsidRDefault="002B701D" w:rsidP="002B701D">
      <w:pPr>
        <w:rPr>
          <w:lang w:eastAsia="en-AU"/>
        </w:rPr>
      </w:pPr>
    </w:p>
    <w:p w14:paraId="4669BFED" w14:textId="77777777" w:rsidR="00ED09D1" w:rsidRPr="001F46A8" w:rsidRDefault="00ED09D1" w:rsidP="002B701D">
      <w:pPr>
        <w:pStyle w:val="Heading2"/>
      </w:pPr>
      <w:r w:rsidRPr="001F46A8">
        <w:t>Key features</w:t>
      </w:r>
    </w:p>
    <w:p w14:paraId="61F4BCF7" w14:textId="77777777" w:rsidR="00ED09D1" w:rsidRPr="001F46A8" w:rsidRDefault="00ED09D1" w:rsidP="002B701D">
      <w:pPr>
        <w:rPr>
          <w:lang w:eastAsia="en-AU"/>
        </w:rPr>
      </w:pPr>
    </w:p>
    <w:p w14:paraId="05022FB8" w14:textId="4E7E9251" w:rsidR="00ED09D1" w:rsidRPr="001F46A8" w:rsidRDefault="00ED09D1" w:rsidP="002B701D">
      <w:pPr>
        <w:rPr>
          <w:lang w:eastAsia="en-AU"/>
        </w:rPr>
      </w:pPr>
      <w:r w:rsidRPr="001F46A8">
        <w:rPr>
          <w:lang w:eastAsia="en-AU"/>
        </w:rPr>
        <w:t xml:space="preserve">The definition of residual income tax has been amended so that </w:t>
      </w:r>
      <w:r w:rsidR="00AE6C7E">
        <w:rPr>
          <w:lang w:eastAsia="en-AU"/>
        </w:rPr>
        <w:t xml:space="preserve">R&amp;D </w:t>
      </w:r>
      <w:r w:rsidRPr="001F46A8">
        <w:rPr>
          <w:lang w:eastAsia="en-AU"/>
        </w:rPr>
        <w:t xml:space="preserve">tax credits are taken into account in determining </w:t>
      </w:r>
      <w:r w:rsidR="008C4B03">
        <w:rPr>
          <w:lang w:eastAsia="en-AU"/>
        </w:rPr>
        <w:t>a</w:t>
      </w:r>
      <w:r w:rsidRPr="001F46A8">
        <w:rPr>
          <w:lang w:eastAsia="en-AU"/>
        </w:rPr>
        <w:t xml:space="preserve"> person’s residual income tax.</w:t>
      </w:r>
    </w:p>
    <w:p w14:paraId="3FED4D1B" w14:textId="77777777" w:rsidR="00ED09D1" w:rsidRDefault="00ED09D1" w:rsidP="002B701D">
      <w:pPr>
        <w:rPr>
          <w:lang w:eastAsia="en-AU"/>
        </w:rPr>
      </w:pPr>
    </w:p>
    <w:p w14:paraId="44F19E59" w14:textId="77777777" w:rsidR="002B701D" w:rsidRPr="001F46A8" w:rsidRDefault="002B701D" w:rsidP="002B701D">
      <w:pPr>
        <w:rPr>
          <w:lang w:eastAsia="en-AU"/>
        </w:rPr>
      </w:pPr>
    </w:p>
    <w:p w14:paraId="0DB3E58B" w14:textId="77777777" w:rsidR="00ED09D1" w:rsidRPr="001F46A8" w:rsidRDefault="00ED09D1" w:rsidP="002B701D">
      <w:pPr>
        <w:pStyle w:val="Heading2"/>
      </w:pPr>
      <w:r w:rsidRPr="001F46A8">
        <w:t>Background</w:t>
      </w:r>
    </w:p>
    <w:p w14:paraId="4979CC14" w14:textId="77777777" w:rsidR="00ED09D1" w:rsidRPr="001F46A8" w:rsidRDefault="00ED09D1" w:rsidP="002B701D">
      <w:pPr>
        <w:rPr>
          <w:lang w:eastAsia="en-AU"/>
        </w:rPr>
      </w:pPr>
    </w:p>
    <w:p w14:paraId="6096F926" w14:textId="524F68D2" w:rsidR="00ED09D1" w:rsidRPr="001F46A8" w:rsidRDefault="00ED09D1" w:rsidP="002B701D">
      <w:pPr>
        <w:rPr>
          <w:lang w:eastAsia="en-AU"/>
        </w:rPr>
      </w:pPr>
      <w:r w:rsidRPr="001F46A8">
        <w:rPr>
          <w:lang w:eastAsia="en-AU"/>
        </w:rPr>
        <w:t>A person’s residual income tax is their tax to pay after all available tax</w:t>
      </w:r>
      <w:r w:rsidR="002B701D">
        <w:rPr>
          <w:lang w:eastAsia="en-AU"/>
        </w:rPr>
        <w:t xml:space="preserve"> credits have been subtracted.</w:t>
      </w:r>
    </w:p>
    <w:p w14:paraId="1AE11780" w14:textId="77777777" w:rsidR="00ED09D1" w:rsidRPr="001F46A8" w:rsidRDefault="00ED09D1" w:rsidP="002B701D">
      <w:pPr>
        <w:rPr>
          <w:lang w:eastAsia="en-AU"/>
        </w:rPr>
      </w:pPr>
    </w:p>
    <w:p w14:paraId="484F442B" w14:textId="6C349D97" w:rsidR="00ED09D1" w:rsidRPr="001F46A8" w:rsidRDefault="00C5413C" w:rsidP="002B701D">
      <w:pPr>
        <w:rPr>
          <w:lang w:eastAsia="en-AU"/>
        </w:rPr>
      </w:pPr>
      <w:r>
        <w:rPr>
          <w:lang w:eastAsia="en-AU"/>
        </w:rPr>
        <w:t xml:space="preserve">Payment of </w:t>
      </w:r>
      <w:r w:rsidR="00ED09D1" w:rsidRPr="001F46A8">
        <w:rPr>
          <w:lang w:eastAsia="en-AU"/>
        </w:rPr>
        <w:t xml:space="preserve">provisional tax </w:t>
      </w:r>
      <w:r>
        <w:rPr>
          <w:lang w:eastAsia="en-AU"/>
        </w:rPr>
        <w:t xml:space="preserve">is generally based on </w:t>
      </w:r>
      <w:r w:rsidR="00ED09D1" w:rsidRPr="001F46A8">
        <w:rPr>
          <w:lang w:eastAsia="en-AU"/>
        </w:rPr>
        <w:t>the taxpayer’s residual income tax for the previous year</w:t>
      </w:r>
      <w:r w:rsidR="00485279">
        <w:rPr>
          <w:lang w:eastAsia="en-AU"/>
        </w:rPr>
        <w:t xml:space="preserve">. </w:t>
      </w:r>
      <w:r w:rsidR="00ED09D1" w:rsidRPr="001F46A8">
        <w:rPr>
          <w:lang w:eastAsia="en-AU"/>
        </w:rPr>
        <w:t>For example, under the standard method for paying provisional tax the amount payable is 105% of the person’s residual income tax for the preceding tax year</w:t>
      </w:r>
      <w:r w:rsidR="00485279">
        <w:rPr>
          <w:lang w:eastAsia="en-AU"/>
        </w:rPr>
        <w:t xml:space="preserve">. </w:t>
      </w:r>
      <w:r w:rsidR="00ED09D1" w:rsidRPr="001F46A8">
        <w:rPr>
          <w:lang w:eastAsia="en-AU"/>
        </w:rPr>
        <w:t xml:space="preserve">By ensuring that </w:t>
      </w:r>
      <w:r w:rsidR="00821C94">
        <w:rPr>
          <w:lang w:eastAsia="en-AU"/>
        </w:rPr>
        <w:t xml:space="preserve">R&amp;D </w:t>
      </w:r>
      <w:r w:rsidR="00ED09D1" w:rsidRPr="001F46A8">
        <w:rPr>
          <w:lang w:eastAsia="en-AU"/>
        </w:rPr>
        <w:t>tax credits are taken into account in calculating a person’s residual income tax, taxpayers using this method will have reduced provisional tax payments in the following year</w:t>
      </w:r>
      <w:r>
        <w:rPr>
          <w:lang w:eastAsia="en-AU"/>
        </w:rPr>
        <w:t>.</w:t>
      </w:r>
    </w:p>
    <w:p w14:paraId="23F70814" w14:textId="77777777" w:rsidR="00ED09D1" w:rsidRPr="001F46A8" w:rsidRDefault="00ED09D1" w:rsidP="002B701D">
      <w:pPr>
        <w:rPr>
          <w:lang w:eastAsia="en-AU"/>
        </w:rPr>
      </w:pPr>
    </w:p>
    <w:p w14:paraId="56FDB4AA" w14:textId="3520B07D" w:rsidR="00ED09D1" w:rsidRPr="001F46A8" w:rsidRDefault="00ED09D1" w:rsidP="002B701D">
      <w:pPr>
        <w:rPr>
          <w:lang w:eastAsia="en-AU"/>
        </w:rPr>
      </w:pPr>
      <w:r w:rsidRPr="001F46A8">
        <w:rPr>
          <w:lang w:eastAsia="en-AU"/>
        </w:rPr>
        <w:t>Taxpayers who wish to benefit from R&amp;D tax credit</w:t>
      </w:r>
      <w:r w:rsidR="00821C94">
        <w:rPr>
          <w:lang w:eastAsia="en-AU"/>
        </w:rPr>
        <w:t>s</w:t>
      </w:r>
      <w:r w:rsidRPr="001F46A8">
        <w:rPr>
          <w:lang w:eastAsia="en-AU"/>
        </w:rPr>
        <w:t xml:space="preserve"> via reduced tax payments in the current year may use the estimation method for paying their provisional tax.</w:t>
      </w:r>
    </w:p>
    <w:p w14:paraId="5E08CFF2" w14:textId="77777777" w:rsidR="00ED09D1" w:rsidRPr="001F46A8" w:rsidRDefault="00ED09D1" w:rsidP="002B701D">
      <w:pPr>
        <w:rPr>
          <w:lang w:eastAsia="en-AU"/>
        </w:rPr>
      </w:pPr>
    </w:p>
    <w:p w14:paraId="59B5FBF7" w14:textId="77777777" w:rsidR="00ED09D1" w:rsidRDefault="00ED09D1" w:rsidP="00ED09D1">
      <w:pPr>
        <w:rPr>
          <w:rFonts w:eastAsia="Times New Roman" w:cs="Times New Roman"/>
          <w:szCs w:val="24"/>
          <w:lang w:val="en-GB" w:eastAsia="en-AU"/>
        </w:rPr>
      </w:pPr>
      <w:r>
        <w:rPr>
          <w:rFonts w:eastAsia="Times New Roman" w:cs="Times New Roman"/>
          <w:szCs w:val="24"/>
          <w:lang w:val="en-GB" w:eastAsia="en-AU"/>
        </w:rPr>
        <w:br w:type="page"/>
      </w:r>
    </w:p>
    <w:p w14:paraId="35901004" w14:textId="77777777" w:rsidR="00ED09D1" w:rsidRPr="001F46A8" w:rsidRDefault="00ED09D1" w:rsidP="002B701D">
      <w:pPr>
        <w:pStyle w:val="Heading1"/>
      </w:pPr>
      <w:bookmarkStart w:id="51" w:name="_Toc528157372"/>
      <w:bookmarkStart w:id="52" w:name="_Toc528195591"/>
      <w:r w:rsidRPr="001F46A8">
        <w:t xml:space="preserve">Ordering </w:t>
      </w:r>
      <w:r>
        <w:t>r</w:t>
      </w:r>
      <w:r w:rsidRPr="001F46A8">
        <w:t>ules</w:t>
      </w:r>
      <w:bookmarkEnd w:id="51"/>
      <w:bookmarkEnd w:id="52"/>
    </w:p>
    <w:p w14:paraId="72C348C2" w14:textId="77777777" w:rsidR="00ED09D1" w:rsidRDefault="00ED09D1" w:rsidP="002B701D">
      <w:pPr>
        <w:pStyle w:val="Heading3"/>
      </w:pPr>
      <w:r w:rsidRPr="001F46A8">
        <w:t>Clause 8</w:t>
      </w:r>
    </w:p>
    <w:p w14:paraId="644CBFE5" w14:textId="77777777" w:rsidR="002B701D" w:rsidRDefault="002B701D" w:rsidP="002B701D">
      <w:pPr>
        <w:rPr>
          <w:lang w:eastAsia="en-AU"/>
        </w:rPr>
      </w:pPr>
    </w:p>
    <w:p w14:paraId="20B59DDD" w14:textId="77777777" w:rsidR="002B701D" w:rsidRPr="001F46A8" w:rsidRDefault="002B701D" w:rsidP="002B701D">
      <w:pPr>
        <w:rPr>
          <w:lang w:eastAsia="en-AU"/>
        </w:rPr>
      </w:pPr>
    </w:p>
    <w:p w14:paraId="48CB3C7A" w14:textId="4A725F0F" w:rsidR="00ED09D1" w:rsidRPr="001F46A8" w:rsidRDefault="00ED09D1" w:rsidP="002B701D">
      <w:pPr>
        <w:pStyle w:val="Heading2"/>
      </w:pPr>
      <w:r w:rsidRPr="001F46A8">
        <w:t>Summary of proposed amendment</w:t>
      </w:r>
    </w:p>
    <w:p w14:paraId="37DBF3DB" w14:textId="77777777" w:rsidR="00ED09D1" w:rsidRPr="001F46A8" w:rsidRDefault="00ED09D1" w:rsidP="002B701D">
      <w:pPr>
        <w:rPr>
          <w:lang w:eastAsia="en-AU"/>
        </w:rPr>
      </w:pPr>
    </w:p>
    <w:p w14:paraId="0C26E2BE" w14:textId="77B9E1AA" w:rsidR="00ED09D1" w:rsidRPr="001F46A8" w:rsidRDefault="00ED09D1" w:rsidP="002B701D">
      <w:pPr>
        <w:rPr>
          <w:lang w:eastAsia="en-AU"/>
        </w:rPr>
      </w:pPr>
      <w:r w:rsidRPr="001F46A8">
        <w:rPr>
          <w:lang w:eastAsia="en-AU"/>
        </w:rPr>
        <w:t>It is proposed that R&amp;D tax credit</w:t>
      </w:r>
      <w:r w:rsidR="00821C94">
        <w:rPr>
          <w:lang w:eastAsia="en-AU"/>
        </w:rPr>
        <w:t>s</w:t>
      </w:r>
      <w:r w:rsidRPr="001F46A8">
        <w:rPr>
          <w:lang w:eastAsia="en-AU"/>
        </w:rPr>
        <w:t xml:space="preserve"> </w:t>
      </w:r>
      <w:r w:rsidR="00821C94">
        <w:rPr>
          <w:lang w:eastAsia="en-AU"/>
        </w:rPr>
        <w:t>are</w:t>
      </w:r>
      <w:r w:rsidRPr="001F46A8">
        <w:rPr>
          <w:lang w:eastAsia="en-AU"/>
        </w:rPr>
        <w:t xml:space="preserve"> used fourth</w:t>
      </w:r>
      <w:r w:rsidR="008C4B03">
        <w:rPr>
          <w:lang w:eastAsia="en-AU"/>
        </w:rPr>
        <w:t>,</w:t>
      </w:r>
      <w:r w:rsidRPr="001F46A8">
        <w:rPr>
          <w:lang w:eastAsia="en-AU"/>
        </w:rPr>
        <w:t xml:space="preserve"> in the order of utilising tax credits to satisfy a taxpayer’s income tax liability, after credits for imputation credits and before refundable tax credits.</w:t>
      </w:r>
    </w:p>
    <w:p w14:paraId="4AD53FC1" w14:textId="77777777" w:rsidR="00ED09D1" w:rsidRDefault="00ED09D1" w:rsidP="002B701D">
      <w:pPr>
        <w:rPr>
          <w:lang w:eastAsia="en-AU"/>
        </w:rPr>
      </w:pPr>
    </w:p>
    <w:p w14:paraId="6F6A9346" w14:textId="77777777" w:rsidR="002B701D" w:rsidRPr="001F46A8" w:rsidRDefault="002B701D" w:rsidP="002B701D">
      <w:pPr>
        <w:rPr>
          <w:lang w:eastAsia="en-AU"/>
        </w:rPr>
      </w:pPr>
    </w:p>
    <w:p w14:paraId="71FBB9CF" w14:textId="77777777" w:rsidR="00ED09D1" w:rsidRPr="001F46A8" w:rsidRDefault="00ED09D1" w:rsidP="002B701D">
      <w:pPr>
        <w:pStyle w:val="Heading2"/>
      </w:pPr>
      <w:r w:rsidRPr="001F46A8">
        <w:t>Application date</w:t>
      </w:r>
    </w:p>
    <w:p w14:paraId="61142D36" w14:textId="77777777" w:rsidR="00ED09D1" w:rsidRPr="001F46A8" w:rsidRDefault="00ED09D1" w:rsidP="002B701D">
      <w:pPr>
        <w:rPr>
          <w:lang w:eastAsia="en-AU"/>
        </w:rPr>
      </w:pPr>
    </w:p>
    <w:p w14:paraId="5E1769ED" w14:textId="253BBAC9" w:rsidR="00ED09D1" w:rsidRPr="001F46A8" w:rsidRDefault="00ED09D1" w:rsidP="002B701D">
      <w:pPr>
        <w:rPr>
          <w:lang w:eastAsia="en-AU"/>
        </w:rPr>
      </w:pPr>
      <w:r w:rsidRPr="001F46A8">
        <w:rPr>
          <w:lang w:eastAsia="en-AU"/>
        </w:rPr>
        <w:t xml:space="preserve">From the </w:t>
      </w:r>
      <w:r w:rsidR="00E010FC">
        <w:rPr>
          <w:lang w:eastAsia="en-AU"/>
        </w:rPr>
        <w:t>2019–20</w:t>
      </w:r>
      <w:r w:rsidRPr="001F46A8">
        <w:rPr>
          <w:lang w:eastAsia="en-AU"/>
        </w:rPr>
        <w:t xml:space="preserve"> income year.</w:t>
      </w:r>
    </w:p>
    <w:p w14:paraId="434785DC" w14:textId="77777777" w:rsidR="00ED09D1" w:rsidRDefault="00ED09D1" w:rsidP="002B701D">
      <w:pPr>
        <w:rPr>
          <w:lang w:eastAsia="en-AU"/>
        </w:rPr>
      </w:pPr>
    </w:p>
    <w:p w14:paraId="66A0D186" w14:textId="77777777" w:rsidR="002B701D" w:rsidRPr="001F46A8" w:rsidRDefault="002B701D" w:rsidP="002B701D">
      <w:pPr>
        <w:rPr>
          <w:lang w:eastAsia="en-AU"/>
        </w:rPr>
      </w:pPr>
    </w:p>
    <w:p w14:paraId="29E71DD1" w14:textId="77777777" w:rsidR="00ED09D1" w:rsidRPr="001F46A8" w:rsidRDefault="00ED09D1" w:rsidP="002B701D">
      <w:pPr>
        <w:pStyle w:val="Heading2"/>
      </w:pPr>
      <w:r w:rsidRPr="001F46A8">
        <w:t>Key features</w:t>
      </w:r>
    </w:p>
    <w:p w14:paraId="226FAD0D" w14:textId="77777777" w:rsidR="00ED09D1" w:rsidRPr="001F46A8" w:rsidRDefault="00ED09D1" w:rsidP="002B701D">
      <w:pPr>
        <w:rPr>
          <w:lang w:eastAsia="en-AU"/>
        </w:rPr>
      </w:pPr>
    </w:p>
    <w:p w14:paraId="314E8232" w14:textId="77777777" w:rsidR="00ED09D1" w:rsidRPr="001F46A8" w:rsidRDefault="00ED09D1" w:rsidP="002B701D">
      <w:pPr>
        <w:rPr>
          <w:lang w:eastAsia="en-AU"/>
        </w:rPr>
      </w:pPr>
      <w:r w:rsidRPr="001F46A8">
        <w:rPr>
          <w:lang w:eastAsia="en-AU"/>
        </w:rPr>
        <w:t>It is proposed that section LA 4 is amended so that a person’s R&amp;D tax credit is applied to satisfy a person’s income tax liability after imputation credits, and before refundable tax credits.</w:t>
      </w:r>
    </w:p>
    <w:p w14:paraId="2BE59407" w14:textId="77777777" w:rsidR="00ED09D1" w:rsidRDefault="00ED09D1" w:rsidP="002B701D">
      <w:pPr>
        <w:rPr>
          <w:lang w:eastAsia="en-AU"/>
        </w:rPr>
      </w:pPr>
    </w:p>
    <w:p w14:paraId="4292ED80" w14:textId="77777777" w:rsidR="002B701D" w:rsidRPr="001F46A8" w:rsidRDefault="002B701D" w:rsidP="002B701D">
      <w:pPr>
        <w:rPr>
          <w:lang w:eastAsia="en-AU"/>
        </w:rPr>
      </w:pPr>
    </w:p>
    <w:p w14:paraId="216C9E8C" w14:textId="77777777" w:rsidR="00ED09D1" w:rsidRPr="001F46A8" w:rsidRDefault="00ED09D1" w:rsidP="002B701D">
      <w:pPr>
        <w:pStyle w:val="Heading2"/>
      </w:pPr>
      <w:r w:rsidRPr="001F46A8">
        <w:t>Background</w:t>
      </w:r>
    </w:p>
    <w:p w14:paraId="5F0B17B5" w14:textId="77777777" w:rsidR="00ED09D1" w:rsidRPr="001F46A8" w:rsidRDefault="00ED09D1" w:rsidP="002B701D">
      <w:pPr>
        <w:rPr>
          <w:lang w:eastAsia="en-AU"/>
        </w:rPr>
      </w:pPr>
    </w:p>
    <w:p w14:paraId="47995318" w14:textId="77777777" w:rsidR="00ED09D1" w:rsidRPr="001F46A8" w:rsidRDefault="00ED09D1" w:rsidP="002B701D">
      <w:pPr>
        <w:rPr>
          <w:lang w:eastAsia="en-AU"/>
        </w:rPr>
      </w:pPr>
      <w:r w:rsidRPr="001F46A8">
        <w:rPr>
          <w:lang w:eastAsia="en-AU"/>
        </w:rPr>
        <w:t>Where a person’s tax credit for a tax year is greater than their income tax liability for the tax year, excess tax credits are currently used according to the following order:</w:t>
      </w:r>
    </w:p>
    <w:p w14:paraId="60159F7A" w14:textId="77777777" w:rsidR="00ED09D1" w:rsidRPr="001F46A8" w:rsidRDefault="00ED09D1" w:rsidP="002B701D">
      <w:pPr>
        <w:rPr>
          <w:lang w:eastAsia="en-AU"/>
        </w:rPr>
      </w:pPr>
    </w:p>
    <w:p w14:paraId="3893EA68" w14:textId="2E4591B6" w:rsidR="00ED09D1" w:rsidRPr="001F46A8" w:rsidRDefault="00845E5F" w:rsidP="00AB5AF9">
      <w:pPr>
        <w:pStyle w:val="ListParagraph"/>
        <w:numPr>
          <w:ilvl w:val="0"/>
          <w:numId w:val="6"/>
        </w:numPr>
        <w:spacing w:after="140"/>
        <w:ind w:left="567" w:hanging="567"/>
      </w:pPr>
      <w:r>
        <w:t>F</w:t>
      </w:r>
      <w:r w:rsidRPr="001F46A8">
        <w:t>irst</w:t>
      </w:r>
      <w:r w:rsidR="00AB5AF9">
        <w:t>, a non-refundable tax credit.</w:t>
      </w:r>
    </w:p>
    <w:p w14:paraId="1D945E84" w14:textId="4D91BE99" w:rsidR="00ED09D1" w:rsidRPr="001F46A8" w:rsidRDefault="00845E5F" w:rsidP="00AB5AF9">
      <w:pPr>
        <w:pStyle w:val="ListParagraph"/>
        <w:numPr>
          <w:ilvl w:val="0"/>
          <w:numId w:val="6"/>
        </w:numPr>
        <w:spacing w:after="140"/>
        <w:ind w:left="567" w:hanging="567"/>
      </w:pPr>
      <w:r>
        <w:t>S</w:t>
      </w:r>
      <w:r w:rsidRPr="001F46A8">
        <w:t>econd</w:t>
      </w:r>
      <w:r w:rsidR="00ED09D1" w:rsidRPr="001F46A8">
        <w:t>, a tax cred</w:t>
      </w:r>
      <w:r w:rsidR="00AB5AF9">
        <w:t>it for a supplementary dividend.</w:t>
      </w:r>
    </w:p>
    <w:p w14:paraId="5FFAB369" w14:textId="147CC023" w:rsidR="00ED09D1" w:rsidRPr="001F46A8" w:rsidRDefault="00845E5F" w:rsidP="00AB5AF9">
      <w:pPr>
        <w:pStyle w:val="ListParagraph"/>
        <w:numPr>
          <w:ilvl w:val="0"/>
          <w:numId w:val="6"/>
        </w:numPr>
        <w:spacing w:after="140"/>
        <w:ind w:left="567" w:hanging="567"/>
      </w:pPr>
      <w:r>
        <w:t>T</w:t>
      </w:r>
      <w:r w:rsidRPr="001F46A8">
        <w:t>hird</w:t>
      </w:r>
      <w:r w:rsidR="00ED09D1" w:rsidRPr="001F46A8">
        <w:t xml:space="preserve">, a tax </w:t>
      </w:r>
      <w:r w:rsidR="00AB5AF9">
        <w:t>credit for an imputation credit.</w:t>
      </w:r>
    </w:p>
    <w:p w14:paraId="2FC1AB99" w14:textId="77777777" w:rsidR="00ED09D1" w:rsidRPr="001F46A8" w:rsidRDefault="00845E5F" w:rsidP="00AB5AF9">
      <w:pPr>
        <w:pStyle w:val="ListParagraph"/>
        <w:numPr>
          <w:ilvl w:val="0"/>
          <w:numId w:val="6"/>
        </w:numPr>
        <w:spacing w:after="0"/>
        <w:ind w:left="567" w:hanging="567"/>
      </w:pPr>
      <w:r>
        <w:t>F</w:t>
      </w:r>
      <w:r w:rsidRPr="001F46A8">
        <w:t>ourth</w:t>
      </w:r>
      <w:r w:rsidR="00ED09D1" w:rsidRPr="001F46A8">
        <w:t>, a refundable tax credit.</w:t>
      </w:r>
    </w:p>
    <w:p w14:paraId="33E0C800" w14:textId="77777777" w:rsidR="00ED09D1" w:rsidRDefault="00ED09D1" w:rsidP="002B701D">
      <w:pPr>
        <w:rPr>
          <w:lang w:eastAsia="en-AU"/>
        </w:rPr>
      </w:pPr>
    </w:p>
    <w:p w14:paraId="19AE2FF4" w14:textId="77777777" w:rsidR="002B701D" w:rsidRPr="001F46A8" w:rsidRDefault="002B701D" w:rsidP="002B701D">
      <w:pPr>
        <w:rPr>
          <w:lang w:eastAsia="en-AU"/>
        </w:rPr>
      </w:pPr>
    </w:p>
    <w:p w14:paraId="51658369" w14:textId="77777777" w:rsidR="00ED09D1" w:rsidRPr="001F46A8" w:rsidRDefault="00ED09D1" w:rsidP="002B701D">
      <w:pPr>
        <w:pStyle w:val="Heading2"/>
      </w:pPr>
      <w:r w:rsidRPr="001F46A8">
        <w:t>Detailed analysis</w:t>
      </w:r>
    </w:p>
    <w:p w14:paraId="3E6F4410" w14:textId="77777777" w:rsidR="00ED09D1" w:rsidRPr="001F46A8" w:rsidRDefault="00ED09D1" w:rsidP="002B701D">
      <w:pPr>
        <w:rPr>
          <w:lang w:eastAsia="en-AU"/>
        </w:rPr>
      </w:pPr>
    </w:p>
    <w:p w14:paraId="4D92E963" w14:textId="2DDCA818" w:rsidR="00ED09D1" w:rsidRDefault="00ED09D1" w:rsidP="002B701D">
      <w:pPr>
        <w:rPr>
          <w:lang w:eastAsia="en-AU"/>
        </w:rPr>
      </w:pPr>
      <w:r w:rsidRPr="001F46A8">
        <w:rPr>
          <w:lang w:eastAsia="en-AU"/>
        </w:rPr>
        <w:t xml:space="preserve">The proposed amendment to section LA 4 </w:t>
      </w:r>
      <w:r w:rsidR="00AB5AF9">
        <w:rPr>
          <w:lang w:eastAsia="en-AU"/>
        </w:rPr>
        <w:t>puts</w:t>
      </w:r>
      <w:r w:rsidR="00C5413C">
        <w:rPr>
          <w:lang w:eastAsia="en-AU"/>
        </w:rPr>
        <w:t xml:space="preserve"> </w:t>
      </w:r>
      <w:r w:rsidRPr="001F46A8">
        <w:rPr>
          <w:lang w:eastAsia="en-AU"/>
        </w:rPr>
        <w:t xml:space="preserve">R&amp;D tax credits </w:t>
      </w:r>
      <w:r w:rsidR="00C5413C">
        <w:rPr>
          <w:lang w:eastAsia="en-AU"/>
        </w:rPr>
        <w:t>into fourth place</w:t>
      </w:r>
      <w:r w:rsidR="00485279">
        <w:rPr>
          <w:lang w:eastAsia="en-AU"/>
        </w:rPr>
        <w:t xml:space="preserve">. </w:t>
      </w:r>
      <w:r w:rsidRPr="001F46A8">
        <w:rPr>
          <w:lang w:eastAsia="en-AU"/>
        </w:rPr>
        <w:t xml:space="preserve">The rationale behind this is that imputation credits are more likely to be lost than R&amp;D tax credits due to the fact that </w:t>
      </w:r>
      <w:r w:rsidR="004360B9">
        <w:rPr>
          <w:lang w:eastAsia="en-AU"/>
        </w:rPr>
        <w:t>sixty six percent</w:t>
      </w:r>
      <w:r w:rsidRPr="001F46A8">
        <w:rPr>
          <w:lang w:eastAsia="en-AU"/>
        </w:rPr>
        <w:t xml:space="preserve"> continuity of shareholding is required to carry imputation credits forward (compared with </w:t>
      </w:r>
      <w:r w:rsidR="004360B9">
        <w:rPr>
          <w:lang w:eastAsia="en-AU"/>
        </w:rPr>
        <w:t>forty nine percent</w:t>
      </w:r>
      <w:r w:rsidRPr="001F46A8">
        <w:rPr>
          <w:lang w:eastAsia="en-AU"/>
        </w:rPr>
        <w:t xml:space="preserve"> for R&amp;D tax credit</w:t>
      </w:r>
      <w:r w:rsidR="00821C94">
        <w:rPr>
          <w:lang w:eastAsia="en-AU"/>
        </w:rPr>
        <w:t>s</w:t>
      </w:r>
      <w:r w:rsidRPr="001F46A8">
        <w:rPr>
          <w:lang w:eastAsia="en-AU"/>
        </w:rPr>
        <w:t>), and therefore should be used before R&amp;D tax credits.</w:t>
      </w:r>
    </w:p>
    <w:p w14:paraId="78F37A8B" w14:textId="77777777" w:rsidR="002B701D" w:rsidRDefault="002B701D" w:rsidP="002B701D">
      <w:pPr>
        <w:rPr>
          <w:lang w:eastAsia="en-AU"/>
        </w:rPr>
      </w:pPr>
    </w:p>
    <w:p w14:paraId="7A0B8DB4" w14:textId="77777777" w:rsidR="00453540" w:rsidRPr="00453540" w:rsidRDefault="00453540" w:rsidP="00453540">
      <w:r w:rsidRPr="00453540">
        <w:br w:type="page"/>
      </w:r>
    </w:p>
    <w:p w14:paraId="13A0F052" w14:textId="09B4D993" w:rsidR="002B701D" w:rsidRPr="008C4B03" w:rsidRDefault="002B701D" w:rsidP="002B701D">
      <w:pPr>
        <w:pStyle w:val="Exampleheading1"/>
      </w:pPr>
      <w:r w:rsidRPr="008C4B03">
        <w:t>Example</w:t>
      </w:r>
      <w:r w:rsidR="00DF2F85">
        <w:t xml:space="preserve"> 21</w:t>
      </w:r>
      <w:r>
        <w:t xml:space="preserve">: </w:t>
      </w:r>
      <w:r w:rsidR="00DF2F85">
        <w:t>P</w:t>
      </w:r>
      <w:r>
        <w:t>erson with imputation credits and tax credits</w:t>
      </w:r>
    </w:p>
    <w:p w14:paraId="743C9040" w14:textId="77777777" w:rsidR="002B701D" w:rsidRDefault="002B701D" w:rsidP="002B701D">
      <w:pPr>
        <w:pStyle w:val="Exampletext"/>
      </w:pPr>
    </w:p>
    <w:p w14:paraId="203033B6" w14:textId="12E19577" w:rsidR="002B701D" w:rsidRPr="008C4B03" w:rsidRDefault="002B701D" w:rsidP="002B701D">
      <w:pPr>
        <w:pStyle w:val="Exampletext"/>
      </w:pPr>
      <w:r w:rsidRPr="008C4B03">
        <w:t>Keith has an income tax liability for the 2020 tax year of $50,000</w:t>
      </w:r>
      <w:r w:rsidR="00485279">
        <w:t xml:space="preserve">. </w:t>
      </w:r>
      <w:r w:rsidRPr="008C4B03">
        <w:t>He has $10,000 of imputation credits and $50,000 of R&amp;D tax credits</w:t>
      </w:r>
      <w:r w:rsidR="00485279">
        <w:t xml:space="preserve">. </w:t>
      </w:r>
      <w:r w:rsidRPr="008C4B03">
        <w:t>His imputation credits would be first applied to his tax liability, followed by his R&amp;D tax credits</w:t>
      </w:r>
      <w:r w:rsidR="00485279">
        <w:t xml:space="preserve">. </w:t>
      </w:r>
      <w:r w:rsidRPr="008C4B03">
        <w:t>Keith’s remaining $10,000 R&amp;D tax credits would either be carried forward to a future tax year, or refunded (if Keith met the requirements – see</w:t>
      </w:r>
      <w:r w:rsidR="008374CF" w:rsidRPr="008374CF">
        <w:t xml:space="preserve"> </w:t>
      </w:r>
      <w:r w:rsidR="008374CF">
        <w:t xml:space="preserve">the section on </w:t>
      </w:r>
      <w:r w:rsidR="008374CF" w:rsidRPr="008374CF">
        <w:rPr>
          <w:rStyle w:val="Emphasis"/>
        </w:rPr>
        <w:t>Refundability</w:t>
      </w:r>
      <w:r w:rsidRPr="008C4B03">
        <w:t xml:space="preserve"> </w:t>
      </w:r>
      <w:r w:rsidR="008374CF">
        <w:t>(</w:t>
      </w:r>
      <w:r w:rsidRPr="008C4B03">
        <w:t xml:space="preserve">page </w:t>
      </w:r>
      <w:r w:rsidR="008374CF">
        <w:t>56)</w:t>
      </w:r>
      <w:r w:rsidRPr="008C4B03">
        <w:t xml:space="preserve"> for </w:t>
      </w:r>
      <w:r w:rsidR="008374CF">
        <w:t>more information</w:t>
      </w:r>
      <w:r w:rsidRPr="008C4B03">
        <w:t>).</w:t>
      </w:r>
    </w:p>
    <w:p w14:paraId="45027AF9" w14:textId="5276DDDC" w:rsidR="002B701D" w:rsidRDefault="002B701D">
      <w:pPr>
        <w:spacing w:after="200" w:line="276" w:lineRule="auto"/>
        <w:jc w:val="left"/>
        <w:rPr>
          <w:rFonts w:eastAsia="Times New Roman" w:cs="Times New Roman"/>
          <w:szCs w:val="24"/>
          <w:lang w:val="en-GB" w:eastAsia="en-AU"/>
        </w:rPr>
      </w:pPr>
      <w:r>
        <w:rPr>
          <w:rFonts w:eastAsia="Times New Roman" w:cs="Times New Roman"/>
          <w:szCs w:val="24"/>
          <w:lang w:val="en-GB" w:eastAsia="en-AU"/>
        </w:rPr>
        <w:br w:type="page"/>
      </w:r>
    </w:p>
    <w:p w14:paraId="0B348A16" w14:textId="6C6180F8" w:rsidR="00ED09D1" w:rsidRPr="001F46A8" w:rsidRDefault="00ED09D1" w:rsidP="002B701D">
      <w:pPr>
        <w:pStyle w:val="Heading1"/>
      </w:pPr>
      <w:bookmarkStart w:id="53" w:name="_Toc528157373"/>
      <w:bookmarkStart w:id="54" w:name="_Toc528195592"/>
      <w:r w:rsidRPr="001F46A8">
        <w:t xml:space="preserve">Imputation and </w:t>
      </w:r>
      <w:r w:rsidR="003574F5" w:rsidRPr="001F46A8">
        <w:t>M</w:t>
      </w:r>
      <w:r w:rsidR="003574F5">
        <w:t>ā</w:t>
      </w:r>
      <w:r w:rsidR="003574F5" w:rsidRPr="001F46A8">
        <w:t xml:space="preserve">ori </w:t>
      </w:r>
      <w:r w:rsidR="006B3045">
        <w:t>a</w:t>
      </w:r>
      <w:r w:rsidRPr="001F46A8">
        <w:t xml:space="preserve">uthority </w:t>
      </w:r>
      <w:r>
        <w:t>c</w:t>
      </w:r>
      <w:r w:rsidRPr="001F46A8">
        <w:t>redits</w:t>
      </w:r>
      <w:bookmarkEnd w:id="53"/>
      <w:bookmarkEnd w:id="54"/>
    </w:p>
    <w:p w14:paraId="79A2297B" w14:textId="7BAEB3E2" w:rsidR="00ED09D1" w:rsidRPr="001F46A8" w:rsidRDefault="00ED09D1" w:rsidP="002B701D">
      <w:pPr>
        <w:pStyle w:val="Heading3"/>
      </w:pPr>
      <w:r w:rsidRPr="001F46A8">
        <w:t>Clauses 11</w:t>
      </w:r>
      <w:r w:rsidR="007F3668">
        <w:t>–</w:t>
      </w:r>
      <w:r w:rsidRPr="001F46A8">
        <w:t>20</w:t>
      </w:r>
    </w:p>
    <w:p w14:paraId="5D1E5C6D" w14:textId="77777777" w:rsidR="00ED09D1" w:rsidRDefault="00ED09D1" w:rsidP="002B701D">
      <w:pPr>
        <w:rPr>
          <w:lang w:eastAsia="en-AU"/>
        </w:rPr>
      </w:pPr>
    </w:p>
    <w:p w14:paraId="2E6AD8D2" w14:textId="77777777" w:rsidR="002B701D" w:rsidRPr="001F46A8" w:rsidRDefault="002B701D" w:rsidP="002B701D">
      <w:pPr>
        <w:rPr>
          <w:lang w:eastAsia="en-AU"/>
        </w:rPr>
      </w:pPr>
    </w:p>
    <w:p w14:paraId="70CCAE77" w14:textId="53C39907" w:rsidR="00ED09D1" w:rsidRPr="001F46A8" w:rsidRDefault="00ED09D1" w:rsidP="002B701D">
      <w:pPr>
        <w:pStyle w:val="Heading2"/>
      </w:pPr>
      <w:r w:rsidRPr="001F46A8">
        <w:t>Summary of proposed amendment</w:t>
      </w:r>
    </w:p>
    <w:p w14:paraId="774E0882" w14:textId="77777777" w:rsidR="00ED09D1" w:rsidRPr="001F46A8" w:rsidRDefault="00ED09D1" w:rsidP="002B701D">
      <w:pPr>
        <w:rPr>
          <w:lang w:eastAsia="en-AU"/>
        </w:rPr>
      </w:pPr>
    </w:p>
    <w:p w14:paraId="07A9580B" w14:textId="79F0E29A" w:rsidR="00ED09D1" w:rsidRPr="001F46A8" w:rsidRDefault="00ED09D1" w:rsidP="002B701D">
      <w:pPr>
        <w:rPr>
          <w:lang w:eastAsia="en-AU"/>
        </w:rPr>
      </w:pPr>
      <w:r w:rsidRPr="001F46A8">
        <w:rPr>
          <w:lang w:eastAsia="en-AU"/>
        </w:rPr>
        <w:t xml:space="preserve">The </w:t>
      </w:r>
      <w:r w:rsidR="00821C94">
        <w:rPr>
          <w:lang w:eastAsia="en-AU"/>
        </w:rPr>
        <w:t>B</w:t>
      </w:r>
      <w:r w:rsidRPr="001F46A8">
        <w:rPr>
          <w:lang w:eastAsia="en-AU"/>
        </w:rPr>
        <w:t xml:space="preserve">ill proposes that companies and </w:t>
      </w:r>
      <w:r w:rsidR="00821C94" w:rsidRPr="001F46A8">
        <w:rPr>
          <w:lang w:eastAsia="en-AU"/>
        </w:rPr>
        <w:t>M</w:t>
      </w:r>
      <w:r w:rsidR="00821C94">
        <w:rPr>
          <w:lang w:eastAsia="en-AU"/>
        </w:rPr>
        <w:t>ā</w:t>
      </w:r>
      <w:r w:rsidR="00821C94" w:rsidRPr="001F46A8">
        <w:rPr>
          <w:lang w:eastAsia="en-AU"/>
        </w:rPr>
        <w:t xml:space="preserve">ori </w:t>
      </w:r>
      <w:r w:rsidRPr="001F46A8">
        <w:rPr>
          <w:lang w:eastAsia="en-AU"/>
        </w:rPr>
        <w:t>authorities performing R&amp;D have an imputation credit or M</w:t>
      </w:r>
      <w:r w:rsidR="00821C94">
        <w:rPr>
          <w:lang w:eastAsia="en-AU"/>
        </w:rPr>
        <w:t>ā</w:t>
      </w:r>
      <w:r w:rsidRPr="001F46A8">
        <w:rPr>
          <w:lang w:eastAsia="en-AU"/>
        </w:rPr>
        <w:t>ori authority credit respectively, equal to their R&amp;D tax credit.</w:t>
      </w:r>
    </w:p>
    <w:p w14:paraId="06A3585E" w14:textId="77777777" w:rsidR="00ED09D1" w:rsidRDefault="00ED09D1" w:rsidP="002B701D">
      <w:pPr>
        <w:rPr>
          <w:lang w:eastAsia="en-AU"/>
        </w:rPr>
      </w:pPr>
    </w:p>
    <w:p w14:paraId="540CB0CD" w14:textId="77777777" w:rsidR="002B701D" w:rsidRPr="001F46A8" w:rsidRDefault="002B701D" w:rsidP="002B701D">
      <w:pPr>
        <w:rPr>
          <w:lang w:eastAsia="en-AU"/>
        </w:rPr>
      </w:pPr>
    </w:p>
    <w:p w14:paraId="4381D4BB" w14:textId="77777777" w:rsidR="00ED09D1" w:rsidRPr="001F46A8" w:rsidRDefault="00ED09D1" w:rsidP="00C6162F">
      <w:pPr>
        <w:pStyle w:val="Heading2"/>
      </w:pPr>
      <w:r w:rsidRPr="001F46A8">
        <w:t>Application date</w:t>
      </w:r>
    </w:p>
    <w:p w14:paraId="66CAE7D1" w14:textId="77777777" w:rsidR="00ED09D1" w:rsidRPr="001F46A8" w:rsidRDefault="00ED09D1" w:rsidP="00C6162F">
      <w:pPr>
        <w:rPr>
          <w:lang w:eastAsia="en-AU"/>
        </w:rPr>
      </w:pPr>
    </w:p>
    <w:p w14:paraId="112C2D9F" w14:textId="6F61AA2F" w:rsidR="00ED09D1" w:rsidRPr="001F46A8" w:rsidRDefault="00ED09D1" w:rsidP="00C6162F">
      <w:pPr>
        <w:rPr>
          <w:lang w:eastAsia="en-AU"/>
        </w:rPr>
      </w:pPr>
      <w:r w:rsidRPr="001F46A8">
        <w:rPr>
          <w:lang w:eastAsia="en-AU"/>
        </w:rPr>
        <w:t xml:space="preserve">From the </w:t>
      </w:r>
      <w:r w:rsidR="00E010FC">
        <w:rPr>
          <w:lang w:eastAsia="en-AU"/>
        </w:rPr>
        <w:t>2019–20</w:t>
      </w:r>
      <w:r w:rsidRPr="001F46A8">
        <w:rPr>
          <w:lang w:eastAsia="en-AU"/>
        </w:rPr>
        <w:t xml:space="preserve"> income year.</w:t>
      </w:r>
    </w:p>
    <w:p w14:paraId="66DEE76E" w14:textId="77777777" w:rsidR="00ED09D1" w:rsidRDefault="00ED09D1" w:rsidP="00C6162F">
      <w:pPr>
        <w:rPr>
          <w:lang w:eastAsia="en-AU"/>
        </w:rPr>
      </w:pPr>
    </w:p>
    <w:p w14:paraId="05E79160" w14:textId="77777777" w:rsidR="002B701D" w:rsidRPr="001F46A8" w:rsidRDefault="002B701D" w:rsidP="00C6162F">
      <w:pPr>
        <w:rPr>
          <w:lang w:eastAsia="en-AU"/>
        </w:rPr>
      </w:pPr>
    </w:p>
    <w:p w14:paraId="1061496C" w14:textId="77777777" w:rsidR="00ED09D1" w:rsidRPr="001F46A8" w:rsidRDefault="00ED09D1" w:rsidP="00C6162F">
      <w:pPr>
        <w:pStyle w:val="Heading2"/>
      </w:pPr>
      <w:bookmarkStart w:id="55" w:name="_Hlk527629707"/>
      <w:r w:rsidRPr="001F46A8">
        <w:t>Key features</w:t>
      </w:r>
    </w:p>
    <w:p w14:paraId="7F4A5B45" w14:textId="77777777" w:rsidR="00ED09D1" w:rsidRDefault="00ED09D1" w:rsidP="00C6162F">
      <w:pPr>
        <w:rPr>
          <w:lang w:eastAsia="en-AU"/>
        </w:rPr>
      </w:pPr>
    </w:p>
    <w:p w14:paraId="146E1E08" w14:textId="3A68A06F" w:rsidR="00545E4B" w:rsidRDefault="00545E4B" w:rsidP="00C6162F">
      <w:pPr>
        <w:rPr>
          <w:lang w:eastAsia="en-AU"/>
        </w:rPr>
      </w:pPr>
      <w:r>
        <w:rPr>
          <w:lang w:eastAsia="en-AU"/>
        </w:rPr>
        <w:t>It is proposed that:</w:t>
      </w:r>
    </w:p>
    <w:p w14:paraId="5F82DD17" w14:textId="77777777" w:rsidR="00545E4B" w:rsidRPr="001F46A8" w:rsidRDefault="00545E4B" w:rsidP="00C6162F">
      <w:pPr>
        <w:rPr>
          <w:lang w:eastAsia="en-AU"/>
        </w:rPr>
      </w:pPr>
    </w:p>
    <w:p w14:paraId="629C5841" w14:textId="3A8827DD" w:rsidR="00ED09D1" w:rsidRPr="001F46A8" w:rsidRDefault="00545E4B" w:rsidP="00C6162F">
      <w:pPr>
        <w:pStyle w:val="dotpoint"/>
      </w:pPr>
      <w:r>
        <w:t>n</w:t>
      </w:r>
      <w:r w:rsidR="00ED09D1" w:rsidRPr="001F46A8">
        <w:t xml:space="preserve">ew section OB 9C grants a company an imputation credit for the amount of </w:t>
      </w:r>
      <w:r w:rsidR="00DE5732">
        <w:t>R&amp;D</w:t>
      </w:r>
      <w:r w:rsidR="00ED09D1" w:rsidRPr="001F46A8">
        <w:t xml:space="preserve"> </w:t>
      </w:r>
      <w:r w:rsidR="00A92CD1">
        <w:t xml:space="preserve">tax </w:t>
      </w:r>
      <w:r w:rsidR="00ED09D1" w:rsidRPr="001F46A8">
        <w:t>credit</w:t>
      </w:r>
      <w:r w:rsidR="00A92CD1">
        <w:t>s</w:t>
      </w:r>
      <w:r w:rsidR="00ED09D1" w:rsidRPr="001F46A8">
        <w:t xml:space="preserve"> the company is entitled to</w:t>
      </w:r>
      <w:r w:rsidR="00A92CD1">
        <w:t>;</w:t>
      </w:r>
    </w:p>
    <w:p w14:paraId="22F2AEED" w14:textId="4FA7A6BB" w:rsidR="00ED09D1" w:rsidRPr="001F46A8" w:rsidRDefault="00545E4B" w:rsidP="00C6162F">
      <w:pPr>
        <w:pStyle w:val="dotpoint"/>
      </w:pPr>
      <w:r>
        <w:t>n</w:t>
      </w:r>
      <w:r w:rsidR="00ED09D1" w:rsidRPr="001F46A8">
        <w:t>ew section OK 6C grants a M</w:t>
      </w:r>
      <w:r w:rsidR="00821C94">
        <w:t>ā</w:t>
      </w:r>
      <w:r w:rsidR="00ED09D1" w:rsidRPr="001F46A8">
        <w:t>ori authority a M</w:t>
      </w:r>
      <w:r w:rsidR="00821C94">
        <w:t>ā</w:t>
      </w:r>
      <w:r w:rsidR="00ED09D1" w:rsidRPr="001F46A8">
        <w:t xml:space="preserve">ori authority credit for the amount of </w:t>
      </w:r>
      <w:r w:rsidR="00A92CD1">
        <w:t>R&amp;D tax credits</w:t>
      </w:r>
      <w:r w:rsidR="00ED09D1" w:rsidRPr="001F46A8">
        <w:t xml:space="preserve"> the M</w:t>
      </w:r>
      <w:r w:rsidR="00821C94">
        <w:t>ā</w:t>
      </w:r>
      <w:r w:rsidR="00ED09D1" w:rsidRPr="001F46A8">
        <w:t>ori authority is entitled to</w:t>
      </w:r>
      <w:r w:rsidR="00A92CD1">
        <w:t>;</w:t>
      </w:r>
    </w:p>
    <w:p w14:paraId="532D707F" w14:textId="6F0494DC" w:rsidR="00ED09D1" w:rsidRPr="001F46A8" w:rsidRDefault="00545E4B" w:rsidP="00C6162F">
      <w:pPr>
        <w:pStyle w:val="dotpoint"/>
      </w:pPr>
      <w:r>
        <w:t>n</w:t>
      </w:r>
      <w:r w:rsidR="00ED09D1" w:rsidRPr="001F46A8">
        <w:t xml:space="preserve">ew section OP 11C grants a consolidated imputation group an imputation credit for the amount of </w:t>
      </w:r>
      <w:r w:rsidR="00A92CD1">
        <w:t>R&amp;D tax credits</w:t>
      </w:r>
      <w:r w:rsidR="00ED09D1" w:rsidRPr="001F46A8">
        <w:t xml:space="preserve"> the group company is entitled to</w:t>
      </w:r>
      <w:r w:rsidR="00A92CD1">
        <w:t>;</w:t>
      </w:r>
      <w:r>
        <w:t xml:space="preserve"> and</w:t>
      </w:r>
    </w:p>
    <w:p w14:paraId="11418D09" w14:textId="5267B12B" w:rsidR="00ED09D1" w:rsidRPr="001F46A8" w:rsidRDefault="00545E4B" w:rsidP="00C6162F">
      <w:pPr>
        <w:pStyle w:val="dotpoint"/>
        <w:spacing w:after="0"/>
      </w:pPr>
      <w:r>
        <w:t>t</w:t>
      </w:r>
      <w:r w:rsidR="00ED09D1" w:rsidRPr="001F46A8">
        <w:t>he imputation credit or M</w:t>
      </w:r>
      <w:r w:rsidR="00821C94">
        <w:t>ā</w:t>
      </w:r>
      <w:r w:rsidR="00ED09D1" w:rsidRPr="001F46A8">
        <w:t xml:space="preserve">ori authority credit, as applicable, is credited on the day the relevant entity files its </w:t>
      </w:r>
      <w:r w:rsidR="00A92CD1">
        <w:t>R&amp;D</w:t>
      </w:r>
      <w:r w:rsidR="00ED09D1" w:rsidRPr="001F46A8">
        <w:t xml:space="preserve"> supplementary return for the income year.</w:t>
      </w:r>
    </w:p>
    <w:bookmarkEnd w:id="55"/>
    <w:p w14:paraId="1ACC3E08" w14:textId="77777777" w:rsidR="00ED09D1" w:rsidRDefault="00ED09D1" w:rsidP="00C6162F">
      <w:pPr>
        <w:rPr>
          <w:lang w:eastAsia="en-AU"/>
        </w:rPr>
      </w:pPr>
    </w:p>
    <w:p w14:paraId="1FC0CEBE" w14:textId="77777777" w:rsidR="002B701D" w:rsidRPr="001F46A8" w:rsidRDefault="002B701D" w:rsidP="00C6162F">
      <w:pPr>
        <w:rPr>
          <w:lang w:eastAsia="en-AU"/>
        </w:rPr>
      </w:pPr>
    </w:p>
    <w:p w14:paraId="28746F62" w14:textId="77777777" w:rsidR="00ED09D1" w:rsidRPr="001F46A8" w:rsidRDefault="00ED09D1" w:rsidP="00C6162F">
      <w:pPr>
        <w:pStyle w:val="Heading2"/>
      </w:pPr>
      <w:r w:rsidRPr="001F46A8">
        <w:t>Background</w:t>
      </w:r>
    </w:p>
    <w:p w14:paraId="15E1B81A" w14:textId="77777777" w:rsidR="00ED09D1" w:rsidRPr="001F46A8" w:rsidRDefault="00ED09D1" w:rsidP="00C6162F">
      <w:pPr>
        <w:rPr>
          <w:lang w:val="en-GB" w:eastAsia="en-AU"/>
        </w:rPr>
      </w:pPr>
    </w:p>
    <w:p w14:paraId="0F608B73" w14:textId="64E1D3A2" w:rsidR="00ED09D1" w:rsidRPr="001F46A8" w:rsidRDefault="00ED09D1" w:rsidP="00C6162F">
      <w:pPr>
        <w:rPr>
          <w:lang w:val="en-GB" w:eastAsia="en-AU"/>
        </w:rPr>
      </w:pPr>
      <w:r w:rsidRPr="001F46A8">
        <w:rPr>
          <w:lang w:val="en-GB" w:eastAsia="en-AU"/>
        </w:rPr>
        <w:t>Unless an imputation or M</w:t>
      </w:r>
      <w:r w:rsidR="00821C94">
        <w:rPr>
          <w:lang w:val="en-GB" w:eastAsia="en-AU"/>
        </w:rPr>
        <w:t>ā</w:t>
      </w:r>
      <w:r w:rsidRPr="001F46A8">
        <w:rPr>
          <w:lang w:val="en-GB" w:eastAsia="en-AU"/>
        </w:rPr>
        <w:t xml:space="preserve">ori </w:t>
      </w:r>
      <w:r w:rsidR="00B41717">
        <w:rPr>
          <w:lang w:val="en-GB" w:eastAsia="en-AU"/>
        </w:rPr>
        <w:t>a</w:t>
      </w:r>
      <w:r w:rsidRPr="001F46A8">
        <w:rPr>
          <w:lang w:val="en-GB" w:eastAsia="en-AU"/>
        </w:rPr>
        <w:t xml:space="preserve">uthority credit (as applicable) is given for </w:t>
      </w:r>
      <w:r w:rsidR="008C4B03">
        <w:rPr>
          <w:lang w:val="en-GB" w:eastAsia="en-AU"/>
        </w:rPr>
        <w:t>an</w:t>
      </w:r>
      <w:r w:rsidRPr="001F46A8">
        <w:rPr>
          <w:lang w:val="en-GB" w:eastAsia="en-AU"/>
        </w:rPr>
        <w:t xml:space="preserve"> R&amp;D tax credit, the R&amp;D tax credit will be “clawed back” when </w:t>
      </w:r>
      <w:r w:rsidR="008C4B03">
        <w:rPr>
          <w:lang w:val="en-GB" w:eastAsia="en-AU"/>
        </w:rPr>
        <w:t>a</w:t>
      </w:r>
      <w:r w:rsidRPr="001F46A8">
        <w:rPr>
          <w:lang w:val="en-GB" w:eastAsia="en-AU"/>
        </w:rPr>
        <w:t xml:space="preserve"> company</w:t>
      </w:r>
      <w:r w:rsidR="008C4B03">
        <w:rPr>
          <w:lang w:val="en-GB" w:eastAsia="en-AU"/>
        </w:rPr>
        <w:t xml:space="preserve"> or </w:t>
      </w:r>
      <w:r w:rsidRPr="001F46A8">
        <w:rPr>
          <w:lang w:val="en-GB" w:eastAsia="en-AU"/>
        </w:rPr>
        <w:t>M</w:t>
      </w:r>
      <w:r w:rsidR="00821C94">
        <w:rPr>
          <w:lang w:val="en-GB" w:eastAsia="en-AU"/>
        </w:rPr>
        <w:t>ā</w:t>
      </w:r>
      <w:r w:rsidRPr="001F46A8">
        <w:rPr>
          <w:lang w:val="en-GB" w:eastAsia="en-AU"/>
        </w:rPr>
        <w:t>ori authority makes a distribution.</w:t>
      </w:r>
    </w:p>
    <w:p w14:paraId="05D271A1" w14:textId="77777777" w:rsidR="001C5F0C" w:rsidRDefault="001C5F0C" w:rsidP="00C6162F">
      <w:pPr>
        <w:rPr>
          <w:lang w:val="en-GB" w:eastAsia="en-AU"/>
        </w:rPr>
      </w:pPr>
    </w:p>
    <w:p w14:paraId="30B1289B" w14:textId="77777777" w:rsidR="00AB6E7D" w:rsidRPr="00AB6E7D" w:rsidRDefault="00AB6E7D" w:rsidP="00AB6E7D">
      <w:r w:rsidRPr="00AB6E7D">
        <w:br w:type="page"/>
      </w:r>
    </w:p>
    <w:p w14:paraId="76F8254B" w14:textId="7EA23AA8" w:rsidR="00C6162F" w:rsidRPr="008C4B03" w:rsidRDefault="00C6162F" w:rsidP="00C6162F">
      <w:pPr>
        <w:pStyle w:val="Exampleheading1"/>
        <w:rPr>
          <w:lang w:val="en-GB"/>
        </w:rPr>
      </w:pPr>
      <w:r w:rsidRPr="008C4B03">
        <w:rPr>
          <w:lang w:val="en-GB"/>
        </w:rPr>
        <w:t>Example</w:t>
      </w:r>
      <w:r w:rsidR="00DF2F85">
        <w:rPr>
          <w:lang w:val="en-GB"/>
        </w:rPr>
        <w:t xml:space="preserve"> 22</w:t>
      </w:r>
      <w:r w:rsidRPr="008C4B03">
        <w:rPr>
          <w:lang w:val="en-GB"/>
        </w:rPr>
        <w:t xml:space="preserve">: </w:t>
      </w:r>
      <w:r w:rsidR="00DF2F85">
        <w:rPr>
          <w:lang w:val="en-GB"/>
        </w:rPr>
        <w:t>C</w:t>
      </w:r>
      <w:r w:rsidRPr="008C4B03">
        <w:rPr>
          <w:lang w:val="en-GB"/>
        </w:rPr>
        <w:t>ompany with ICAs but no R&amp;D special credits</w:t>
      </w:r>
    </w:p>
    <w:p w14:paraId="28BB9A5F" w14:textId="77777777" w:rsidR="00C6162F" w:rsidRPr="008C4B03" w:rsidRDefault="00C6162F" w:rsidP="00C6162F">
      <w:pPr>
        <w:pStyle w:val="Exampletext"/>
        <w:rPr>
          <w:lang w:val="en-GB"/>
        </w:rPr>
      </w:pPr>
    </w:p>
    <w:p w14:paraId="401DFD1D" w14:textId="6574CA77" w:rsidR="00C6162F" w:rsidRPr="008C4B03" w:rsidRDefault="00C6162F" w:rsidP="004B3F59">
      <w:pPr>
        <w:pStyle w:val="Exampletext"/>
        <w:tabs>
          <w:tab w:val="right" w:pos="2835"/>
        </w:tabs>
        <w:rPr>
          <w:lang w:val="en-GB"/>
        </w:rPr>
      </w:pPr>
      <w:r w:rsidRPr="008C4B03">
        <w:rPr>
          <w:lang w:val="en-GB"/>
        </w:rPr>
        <w:t>Company income:</w:t>
      </w:r>
      <w:r w:rsidRPr="008C4B03">
        <w:rPr>
          <w:lang w:val="en-GB"/>
        </w:rPr>
        <w:tab/>
      </w:r>
      <w:r w:rsidR="004B3F59">
        <w:rPr>
          <w:lang w:val="en-GB"/>
        </w:rPr>
        <w:t>$</w:t>
      </w:r>
      <w:r w:rsidRPr="008C4B03">
        <w:rPr>
          <w:lang w:val="en-GB"/>
        </w:rPr>
        <w:t>200</w:t>
      </w:r>
    </w:p>
    <w:p w14:paraId="598409C4" w14:textId="4C88139E" w:rsidR="00C6162F" w:rsidRPr="008C4B03" w:rsidRDefault="00C6162F" w:rsidP="004B3F59">
      <w:pPr>
        <w:pStyle w:val="Exampletext"/>
        <w:tabs>
          <w:tab w:val="right" w:pos="2835"/>
        </w:tabs>
        <w:rPr>
          <w:lang w:val="en-GB"/>
        </w:rPr>
      </w:pPr>
      <w:r w:rsidRPr="008C4B03">
        <w:rPr>
          <w:lang w:val="en-GB"/>
        </w:rPr>
        <w:t>R&amp;D expenditure:</w:t>
      </w:r>
      <w:r w:rsidRPr="008C4B03">
        <w:rPr>
          <w:lang w:val="en-GB"/>
        </w:rPr>
        <w:tab/>
      </w:r>
      <w:r w:rsidR="004B3F59" w:rsidRPr="004B3F59">
        <w:rPr>
          <w:u w:val="single"/>
          <w:lang w:val="en-GB"/>
        </w:rPr>
        <w:t>$</w:t>
      </w:r>
      <w:r w:rsidRPr="008C4B03">
        <w:rPr>
          <w:u w:val="single"/>
          <w:lang w:val="en-GB"/>
        </w:rPr>
        <w:t>100</w:t>
      </w:r>
    </w:p>
    <w:p w14:paraId="397781F0" w14:textId="1B85796D" w:rsidR="00C6162F" w:rsidRPr="008C4B03" w:rsidRDefault="004B3F59" w:rsidP="004B3F59">
      <w:pPr>
        <w:pStyle w:val="Exampletext"/>
        <w:tabs>
          <w:tab w:val="right" w:pos="2835"/>
        </w:tabs>
        <w:rPr>
          <w:lang w:val="en-GB"/>
        </w:rPr>
      </w:pPr>
      <w:r>
        <w:rPr>
          <w:lang w:val="en-GB"/>
        </w:rPr>
        <w:t>Taxable income:</w:t>
      </w:r>
      <w:r w:rsidR="00C6162F">
        <w:rPr>
          <w:lang w:val="en-GB"/>
        </w:rPr>
        <w:tab/>
      </w:r>
      <w:r>
        <w:rPr>
          <w:lang w:val="en-GB"/>
        </w:rPr>
        <w:t>$</w:t>
      </w:r>
      <w:r w:rsidR="00C6162F" w:rsidRPr="008C4B03">
        <w:rPr>
          <w:lang w:val="en-GB"/>
        </w:rPr>
        <w:t>100</w:t>
      </w:r>
    </w:p>
    <w:p w14:paraId="38C0B6F2" w14:textId="77777777" w:rsidR="00C6162F" w:rsidRPr="008C4B03" w:rsidRDefault="00C6162F" w:rsidP="00C6162F">
      <w:pPr>
        <w:pStyle w:val="Exampletext"/>
        <w:rPr>
          <w:lang w:val="en-GB"/>
        </w:rPr>
      </w:pPr>
    </w:p>
    <w:p w14:paraId="543724D3" w14:textId="6A900078" w:rsidR="00C6162F" w:rsidRPr="008C4B03" w:rsidRDefault="00C6162F" w:rsidP="004B3F59">
      <w:pPr>
        <w:pStyle w:val="Exampletext"/>
        <w:tabs>
          <w:tab w:val="right" w:pos="2835"/>
        </w:tabs>
        <w:rPr>
          <w:lang w:val="en-GB"/>
        </w:rPr>
      </w:pPr>
      <w:r w:rsidRPr="008C4B03">
        <w:rPr>
          <w:lang w:val="en-GB"/>
        </w:rPr>
        <w:t>Tax at 28%:</w:t>
      </w:r>
      <w:r w:rsidRPr="008C4B03">
        <w:rPr>
          <w:lang w:val="en-GB"/>
        </w:rPr>
        <w:tab/>
      </w:r>
      <w:r w:rsidR="004B3F59">
        <w:rPr>
          <w:lang w:val="en-GB"/>
        </w:rPr>
        <w:t>$</w:t>
      </w:r>
      <w:r w:rsidRPr="008C4B03">
        <w:rPr>
          <w:lang w:val="en-GB"/>
        </w:rPr>
        <w:t>28</w:t>
      </w:r>
    </w:p>
    <w:p w14:paraId="628C945B" w14:textId="316EEC70" w:rsidR="00C6162F" w:rsidRPr="00545E4B" w:rsidRDefault="00C6162F" w:rsidP="004B3F59">
      <w:pPr>
        <w:pStyle w:val="Exampletext"/>
        <w:tabs>
          <w:tab w:val="right" w:pos="2835"/>
        </w:tabs>
        <w:rPr>
          <w:color w:val="FF0000"/>
          <w:lang w:val="en-GB"/>
        </w:rPr>
      </w:pPr>
      <w:r w:rsidRPr="008C4B03">
        <w:rPr>
          <w:lang w:val="en-GB"/>
        </w:rPr>
        <w:t>R&amp;D tax credit</w:t>
      </w:r>
      <w:r w:rsidRPr="008C4B03">
        <w:rPr>
          <w:lang w:val="en-GB"/>
        </w:rPr>
        <w:tab/>
      </w:r>
      <w:r w:rsidRPr="004B3F59">
        <w:rPr>
          <w:color w:val="FF0000"/>
          <w:u w:val="single"/>
          <w:lang w:val="en-GB"/>
        </w:rPr>
        <w:t>(</w:t>
      </w:r>
      <w:r w:rsidR="004B3F59" w:rsidRPr="004B3F59">
        <w:rPr>
          <w:color w:val="FF0000"/>
          <w:u w:val="single"/>
          <w:lang w:val="en-GB"/>
        </w:rPr>
        <w:t>$</w:t>
      </w:r>
      <w:r w:rsidRPr="00545E4B">
        <w:rPr>
          <w:color w:val="FF0000"/>
          <w:u w:val="single"/>
          <w:lang w:val="en-GB"/>
        </w:rPr>
        <w:t>15)</w:t>
      </w:r>
    </w:p>
    <w:p w14:paraId="462461DE" w14:textId="07714D4C" w:rsidR="00C6162F" w:rsidRPr="008C4B03" w:rsidRDefault="00C6162F" w:rsidP="004B3F59">
      <w:pPr>
        <w:pStyle w:val="Exampletext"/>
        <w:tabs>
          <w:tab w:val="right" w:pos="2835"/>
        </w:tabs>
        <w:rPr>
          <w:lang w:val="en-GB"/>
        </w:rPr>
      </w:pPr>
      <w:r w:rsidRPr="008C4B03">
        <w:rPr>
          <w:lang w:val="en-GB"/>
        </w:rPr>
        <w:t xml:space="preserve">Tax to pay: </w:t>
      </w:r>
      <w:r w:rsidRPr="008C4B03">
        <w:rPr>
          <w:lang w:val="en-GB"/>
        </w:rPr>
        <w:tab/>
      </w:r>
      <w:r w:rsidR="004B3F59">
        <w:rPr>
          <w:lang w:val="en-GB"/>
        </w:rPr>
        <w:t>$</w:t>
      </w:r>
      <w:r w:rsidRPr="008C4B03">
        <w:rPr>
          <w:lang w:val="en-GB"/>
        </w:rPr>
        <w:t>13</w:t>
      </w:r>
    </w:p>
    <w:p w14:paraId="7CCB5052" w14:textId="77777777" w:rsidR="00C6162F" w:rsidRPr="008C4B03" w:rsidRDefault="00C6162F" w:rsidP="00C6162F">
      <w:pPr>
        <w:pStyle w:val="Exampletext"/>
        <w:rPr>
          <w:lang w:val="en-GB"/>
        </w:rPr>
      </w:pPr>
    </w:p>
    <w:p w14:paraId="1ED54F5B" w14:textId="77777777" w:rsidR="00C6162F" w:rsidRPr="008C4B03" w:rsidRDefault="00C6162F" w:rsidP="00C6162F">
      <w:pPr>
        <w:pStyle w:val="Exampletext"/>
        <w:rPr>
          <w:lang w:val="en-GB"/>
        </w:rPr>
      </w:pPr>
      <w:r w:rsidRPr="008C4B03">
        <w:rPr>
          <w:lang w:val="en-GB"/>
        </w:rPr>
        <w:t>ICA result:</w:t>
      </w:r>
    </w:p>
    <w:p w14:paraId="78520962" w14:textId="53F27D9A" w:rsidR="00C6162F" w:rsidRPr="008C4B03" w:rsidRDefault="00C6162F" w:rsidP="00AE7716">
      <w:pPr>
        <w:pStyle w:val="Exampletext"/>
        <w:tabs>
          <w:tab w:val="right" w:pos="2835"/>
        </w:tabs>
        <w:rPr>
          <w:lang w:val="en-GB"/>
        </w:rPr>
      </w:pPr>
      <w:r w:rsidRPr="008C4B03">
        <w:rPr>
          <w:lang w:val="en-GB"/>
        </w:rPr>
        <w:t>Tax paid:</w:t>
      </w:r>
      <w:r w:rsidR="0049181E">
        <w:rPr>
          <w:lang w:val="en-GB"/>
        </w:rPr>
        <w:tab/>
      </w:r>
      <w:r w:rsidR="004B3F59">
        <w:rPr>
          <w:lang w:val="en-GB"/>
        </w:rPr>
        <w:t>$</w:t>
      </w:r>
      <w:r w:rsidRPr="008C4B03">
        <w:rPr>
          <w:lang w:val="en-GB"/>
        </w:rPr>
        <w:t>13</w:t>
      </w:r>
    </w:p>
    <w:p w14:paraId="7E3EDEB2" w14:textId="1E314FE8" w:rsidR="00C6162F" w:rsidRPr="008C4B03" w:rsidRDefault="00C6162F" w:rsidP="00AE7716">
      <w:pPr>
        <w:pStyle w:val="Exampletext"/>
        <w:tabs>
          <w:tab w:val="right" w:pos="2835"/>
        </w:tabs>
        <w:rPr>
          <w:lang w:val="en-GB"/>
        </w:rPr>
      </w:pPr>
      <w:r w:rsidRPr="008C4B03">
        <w:rPr>
          <w:lang w:val="en-GB"/>
        </w:rPr>
        <w:t>R&amp;D special credit:</w:t>
      </w:r>
      <w:r w:rsidRPr="008C4B03">
        <w:rPr>
          <w:lang w:val="en-GB"/>
        </w:rPr>
        <w:tab/>
      </w:r>
      <w:r w:rsidR="00AE7716" w:rsidRPr="00AE7716">
        <w:rPr>
          <w:u w:val="single"/>
          <w:lang w:val="en-GB"/>
        </w:rPr>
        <w:t xml:space="preserve">  </w:t>
      </w:r>
      <w:r w:rsidR="004B3F59" w:rsidRPr="004B3F59">
        <w:rPr>
          <w:u w:val="single"/>
          <w:lang w:val="en-GB"/>
        </w:rPr>
        <w:t>$</w:t>
      </w:r>
      <w:r w:rsidRPr="008C4B03">
        <w:rPr>
          <w:u w:val="single"/>
          <w:lang w:val="en-GB"/>
        </w:rPr>
        <w:t>0</w:t>
      </w:r>
    </w:p>
    <w:p w14:paraId="4CF25AA9" w14:textId="7D9D7F80" w:rsidR="00C6162F" w:rsidRPr="008C4B03" w:rsidRDefault="0049181E" w:rsidP="00AE7716">
      <w:pPr>
        <w:pStyle w:val="Exampletext"/>
        <w:tabs>
          <w:tab w:val="right" w:pos="2835"/>
        </w:tabs>
        <w:rPr>
          <w:lang w:val="en-GB"/>
        </w:rPr>
      </w:pPr>
      <w:r>
        <w:rPr>
          <w:lang w:val="en-GB"/>
        </w:rPr>
        <w:tab/>
      </w:r>
      <w:r w:rsidR="004B3F59">
        <w:rPr>
          <w:lang w:val="en-GB"/>
        </w:rPr>
        <w:t>$</w:t>
      </w:r>
      <w:r w:rsidR="00C6162F" w:rsidRPr="008C4B03">
        <w:rPr>
          <w:lang w:val="en-GB"/>
        </w:rPr>
        <w:t>13</w:t>
      </w:r>
    </w:p>
    <w:p w14:paraId="4D319370" w14:textId="77777777" w:rsidR="00C6162F" w:rsidRPr="008C4B03" w:rsidRDefault="00C6162F" w:rsidP="00C6162F">
      <w:pPr>
        <w:pStyle w:val="Exampletext"/>
        <w:rPr>
          <w:lang w:val="en-GB"/>
        </w:rPr>
      </w:pPr>
    </w:p>
    <w:p w14:paraId="01F1FFB7" w14:textId="77777777" w:rsidR="00C6162F" w:rsidRPr="008C4B03" w:rsidRDefault="00C6162F" w:rsidP="00C6162F">
      <w:pPr>
        <w:pStyle w:val="Exampletext"/>
        <w:rPr>
          <w:lang w:val="en-GB"/>
        </w:rPr>
      </w:pPr>
      <w:r w:rsidRPr="008C4B03">
        <w:rPr>
          <w:lang w:val="en-GB"/>
        </w:rPr>
        <w:t>Retained earnings</w:t>
      </w:r>
    </w:p>
    <w:p w14:paraId="3BEBC2A8" w14:textId="51FE8219" w:rsidR="00C6162F" w:rsidRPr="008C4B03" w:rsidRDefault="00C6162F" w:rsidP="00AE7716">
      <w:pPr>
        <w:pStyle w:val="Exampletext"/>
        <w:tabs>
          <w:tab w:val="right" w:pos="2835"/>
        </w:tabs>
        <w:rPr>
          <w:lang w:val="en-GB"/>
        </w:rPr>
      </w:pPr>
      <w:r w:rsidRPr="008C4B03">
        <w:rPr>
          <w:lang w:val="en-GB"/>
        </w:rPr>
        <w:t>Pre-tax income:</w:t>
      </w:r>
      <w:r w:rsidRPr="008C4B03">
        <w:rPr>
          <w:lang w:val="en-GB"/>
        </w:rPr>
        <w:tab/>
      </w:r>
      <w:r w:rsidR="004B3F59">
        <w:rPr>
          <w:lang w:val="en-GB"/>
        </w:rPr>
        <w:t>$</w:t>
      </w:r>
      <w:r w:rsidRPr="008C4B03">
        <w:rPr>
          <w:lang w:val="en-GB"/>
        </w:rPr>
        <w:t>100</w:t>
      </w:r>
    </w:p>
    <w:p w14:paraId="5E978332" w14:textId="7A68F1CB" w:rsidR="00C6162F" w:rsidRPr="008C4B03" w:rsidRDefault="00C6162F" w:rsidP="00AE7716">
      <w:pPr>
        <w:pStyle w:val="Exampletext"/>
        <w:tabs>
          <w:tab w:val="right" w:pos="2835"/>
        </w:tabs>
        <w:rPr>
          <w:lang w:val="en-GB"/>
        </w:rPr>
      </w:pPr>
      <w:r w:rsidRPr="008C4B03">
        <w:rPr>
          <w:lang w:val="en-GB"/>
        </w:rPr>
        <w:t>Less tax expense:</w:t>
      </w:r>
      <w:r w:rsidR="0049181E">
        <w:rPr>
          <w:lang w:val="en-GB"/>
        </w:rPr>
        <w:tab/>
      </w:r>
      <w:r w:rsidR="00AE7716" w:rsidRPr="00AE7716">
        <w:rPr>
          <w:u w:val="single"/>
          <w:lang w:val="en-GB"/>
        </w:rPr>
        <w:t xml:space="preserve">  </w:t>
      </w:r>
      <w:r w:rsidR="004B3F59" w:rsidRPr="004B3F59">
        <w:rPr>
          <w:u w:val="single"/>
          <w:lang w:val="en-GB"/>
        </w:rPr>
        <w:t>$</w:t>
      </w:r>
      <w:r w:rsidRPr="008C4B03">
        <w:rPr>
          <w:u w:val="single"/>
          <w:lang w:val="en-GB"/>
        </w:rPr>
        <w:t>13</w:t>
      </w:r>
    </w:p>
    <w:p w14:paraId="7590EFAD" w14:textId="54F29C74" w:rsidR="00C6162F" w:rsidRPr="008C4B03" w:rsidRDefault="0049181E" w:rsidP="00AE7716">
      <w:pPr>
        <w:pStyle w:val="Exampletext"/>
        <w:tabs>
          <w:tab w:val="right" w:pos="2835"/>
        </w:tabs>
        <w:rPr>
          <w:lang w:val="en-GB"/>
        </w:rPr>
      </w:pPr>
      <w:r>
        <w:rPr>
          <w:lang w:val="en-GB"/>
        </w:rPr>
        <w:tab/>
      </w:r>
      <w:r w:rsidR="004B3F59">
        <w:rPr>
          <w:lang w:val="en-GB"/>
        </w:rPr>
        <w:t>$</w:t>
      </w:r>
      <w:r w:rsidR="00C6162F" w:rsidRPr="008C4B03">
        <w:rPr>
          <w:lang w:val="en-GB"/>
        </w:rPr>
        <w:t>87</w:t>
      </w:r>
    </w:p>
    <w:p w14:paraId="5447A9DF" w14:textId="77777777" w:rsidR="00C6162F" w:rsidRPr="008C4B03" w:rsidRDefault="00C6162F" w:rsidP="00C6162F">
      <w:pPr>
        <w:pStyle w:val="Exampletext"/>
        <w:rPr>
          <w:lang w:val="en-GB"/>
        </w:rPr>
      </w:pPr>
    </w:p>
    <w:p w14:paraId="5C4CAAC0" w14:textId="739D9AA2" w:rsidR="00C6162F" w:rsidRPr="008C4B03" w:rsidRDefault="00C6162F" w:rsidP="00C6162F">
      <w:pPr>
        <w:pStyle w:val="Exampletext"/>
        <w:rPr>
          <w:lang w:val="en-GB"/>
        </w:rPr>
      </w:pPr>
      <w:r w:rsidRPr="008C4B03">
        <w:rPr>
          <w:lang w:val="en-GB"/>
        </w:rPr>
        <w:t xml:space="preserve">Dividend to 28% </w:t>
      </w:r>
      <w:r w:rsidR="003574F5">
        <w:rPr>
          <w:lang w:val="en-GB"/>
        </w:rPr>
        <w:t>shareholder</w:t>
      </w:r>
    </w:p>
    <w:p w14:paraId="043F6052" w14:textId="77777777" w:rsidR="00C6162F" w:rsidRPr="008C4B03" w:rsidRDefault="00C6162F" w:rsidP="00C6162F">
      <w:pPr>
        <w:pStyle w:val="Exampletext"/>
        <w:rPr>
          <w:lang w:val="en-GB"/>
        </w:rPr>
      </w:pPr>
    </w:p>
    <w:p w14:paraId="0E5ED1BB" w14:textId="2710E8EA" w:rsidR="00C6162F" w:rsidRPr="008C4B03" w:rsidRDefault="00C6162F" w:rsidP="00AE7716">
      <w:pPr>
        <w:pStyle w:val="Exampletext"/>
        <w:tabs>
          <w:tab w:val="right" w:pos="2835"/>
        </w:tabs>
        <w:rPr>
          <w:lang w:val="en-GB"/>
        </w:rPr>
      </w:pPr>
      <w:r w:rsidRPr="008C4B03">
        <w:rPr>
          <w:lang w:val="en-GB"/>
        </w:rPr>
        <w:t>Cash dividend:</w:t>
      </w:r>
      <w:r w:rsidR="0049181E">
        <w:rPr>
          <w:lang w:val="en-GB"/>
        </w:rPr>
        <w:tab/>
      </w:r>
      <w:r w:rsidR="004B3F59">
        <w:rPr>
          <w:lang w:val="en-GB"/>
        </w:rPr>
        <w:t>$</w:t>
      </w:r>
      <w:r w:rsidRPr="008C4B03">
        <w:rPr>
          <w:lang w:val="en-GB"/>
        </w:rPr>
        <w:t>87</w:t>
      </w:r>
    </w:p>
    <w:p w14:paraId="66A09F4A" w14:textId="32119953" w:rsidR="00C6162F" w:rsidRPr="008C4B03" w:rsidRDefault="00C6162F" w:rsidP="00AE7716">
      <w:pPr>
        <w:pStyle w:val="Exampletext"/>
        <w:tabs>
          <w:tab w:val="right" w:pos="2835"/>
        </w:tabs>
        <w:rPr>
          <w:u w:val="single"/>
          <w:lang w:val="en-GB"/>
        </w:rPr>
      </w:pPr>
      <w:r w:rsidRPr="008C4B03">
        <w:rPr>
          <w:lang w:val="en-GB"/>
        </w:rPr>
        <w:t>Imputation credits</w:t>
      </w:r>
      <w:r w:rsidRPr="008C4B03">
        <w:rPr>
          <w:lang w:val="en-GB"/>
        </w:rPr>
        <w:tab/>
      </w:r>
      <w:r w:rsidR="00AE7716">
        <w:rPr>
          <w:u w:val="single"/>
          <w:lang w:val="en-GB"/>
        </w:rPr>
        <w:t xml:space="preserve">  </w:t>
      </w:r>
      <w:r w:rsidR="004B3F59" w:rsidRPr="004B3F59">
        <w:rPr>
          <w:u w:val="single"/>
          <w:lang w:val="en-GB"/>
        </w:rPr>
        <w:t>$</w:t>
      </w:r>
      <w:r w:rsidRPr="008C4B03">
        <w:rPr>
          <w:u w:val="single"/>
          <w:lang w:val="en-GB"/>
        </w:rPr>
        <w:t>13</w:t>
      </w:r>
    </w:p>
    <w:p w14:paraId="3B0BC81A" w14:textId="5766C5EF" w:rsidR="00C6162F" w:rsidRPr="008C4B03" w:rsidRDefault="0049181E" w:rsidP="00AE7716">
      <w:pPr>
        <w:pStyle w:val="Exampletext"/>
        <w:tabs>
          <w:tab w:val="right" w:pos="2835"/>
        </w:tabs>
        <w:rPr>
          <w:lang w:val="en-GB"/>
        </w:rPr>
      </w:pPr>
      <w:r>
        <w:rPr>
          <w:lang w:val="en-GB"/>
        </w:rPr>
        <w:tab/>
      </w:r>
      <w:r w:rsidR="004B3F59">
        <w:rPr>
          <w:lang w:val="en-GB"/>
        </w:rPr>
        <w:t>$</w:t>
      </w:r>
      <w:r w:rsidR="00C6162F" w:rsidRPr="008C4B03">
        <w:rPr>
          <w:lang w:val="en-GB"/>
        </w:rPr>
        <w:t>100</w:t>
      </w:r>
    </w:p>
    <w:p w14:paraId="4E086EB4" w14:textId="77777777" w:rsidR="00C6162F" w:rsidRPr="008C4B03" w:rsidRDefault="00C6162F" w:rsidP="00C6162F">
      <w:pPr>
        <w:pStyle w:val="Exampletext"/>
        <w:rPr>
          <w:lang w:val="en-GB"/>
        </w:rPr>
      </w:pPr>
    </w:p>
    <w:p w14:paraId="348BC064" w14:textId="6833CB5C" w:rsidR="00C6162F" w:rsidRPr="008C4B03" w:rsidRDefault="00C6162F" w:rsidP="00AE7716">
      <w:pPr>
        <w:pStyle w:val="Exampletext"/>
        <w:tabs>
          <w:tab w:val="right" w:pos="2835"/>
        </w:tabs>
        <w:rPr>
          <w:lang w:val="en-GB"/>
        </w:rPr>
      </w:pPr>
      <w:r w:rsidRPr="008C4B03">
        <w:rPr>
          <w:lang w:val="en-GB"/>
        </w:rPr>
        <w:t>Tax at 28%:</w:t>
      </w:r>
      <w:r w:rsidR="0049181E">
        <w:rPr>
          <w:lang w:val="en-GB"/>
        </w:rPr>
        <w:tab/>
      </w:r>
      <w:r w:rsidR="004B3F59">
        <w:rPr>
          <w:lang w:val="en-GB"/>
        </w:rPr>
        <w:t>$</w:t>
      </w:r>
      <w:r w:rsidRPr="008C4B03">
        <w:rPr>
          <w:lang w:val="en-GB"/>
        </w:rPr>
        <w:t>28</w:t>
      </w:r>
    </w:p>
    <w:p w14:paraId="70607D5D" w14:textId="6BA1C8F3" w:rsidR="00C6162F" w:rsidRPr="008C4B03" w:rsidRDefault="00C6162F" w:rsidP="00AE7716">
      <w:pPr>
        <w:pStyle w:val="Exampletext"/>
        <w:tabs>
          <w:tab w:val="right" w:pos="2835"/>
        </w:tabs>
        <w:rPr>
          <w:lang w:val="en-GB"/>
        </w:rPr>
      </w:pPr>
      <w:r w:rsidRPr="008C4B03">
        <w:rPr>
          <w:lang w:val="en-GB"/>
        </w:rPr>
        <w:t>Less ICs:</w:t>
      </w:r>
      <w:r w:rsidR="0049181E">
        <w:rPr>
          <w:lang w:val="en-GB"/>
        </w:rPr>
        <w:tab/>
      </w:r>
      <w:r w:rsidR="00AE7716" w:rsidRPr="00AE7716">
        <w:rPr>
          <w:u w:val="single"/>
          <w:lang w:val="en-GB"/>
        </w:rPr>
        <w:t xml:space="preserve">  </w:t>
      </w:r>
      <w:r w:rsidR="004B3F59" w:rsidRPr="004B3F59">
        <w:rPr>
          <w:u w:val="single"/>
          <w:lang w:val="en-GB"/>
        </w:rPr>
        <w:t>$</w:t>
      </w:r>
      <w:r w:rsidRPr="008C4B03">
        <w:rPr>
          <w:u w:val="single"/>
          <w:lang w:val="en-GB"/>
        </w:rPr>
        <w:t>13</w:t>
      </w:r>
    </w:p>
    <w:p w14:paraId="40B64C1A" w14:textId="35A1338A" w:rsidR="00C6162F" w:rsidRPr="008C4B03" w:rsidRDefault="00C6162F" w:rsidP="00AE7716">
      <w:pPr>
        <w:pStyle w:val="Exampletext"/>
        <w:tabs>
          <w:tab w:val="right" w:pos="2835"/>
        </w:tabs>
        <w:rPr>
          <w:lang w:val="en-GB"/>
        </w:rPr>
      </w:pPr>
      <w:r w:rsidRPr="008C4B03">
        <w:rPr>
          <w:lang w:val="en-GB"/>
        </w:rPr>
        <w:t>Shareholder tax to pay:</w:t>
      </w:r>
      <w:r>
        <w:rPr>
          <w:lang w:val="en-GB"/>
        </w:rPr>
        <w:tab/>
      </w:r>
      <w:r w:rsidR="004B3F59">
        <w:rPr>
          <w:lang w:val="en-GB"/>
        </w:rPr>
        <w:t>$</w:t>
      </w:r>
      <w:r w:rsidRPr="008C4B03">
        <w:rPr>
          <w:lang w:val="en-GB"/>
        </w:rPr>
        <w:t>15.5</w:t>
      </w:r>
    </w:p>
    <w:p w14:paraId="3668141C" w14:textId="77777777" w:rsidR="00ED09D1" w:rsidRDefault="00ED09D1" w:rsidP="0049181E">
      <w:pPr>
        <w:rPr>
          <w:lang w:val="en-GB" w:eastAsia="en-AU"/>
        </w:rPr>
      </w:pPr>
    </w:p>
    <w:p w14:paraId="51D859C0" w14:textId="77777777" w:rsidR="001C5F0C" w:rsidRDefault="001C5F0C" w:rsidP="0049181E">
      <w:pPr>
        <w:rPr>
          <w:lang w:val="en-GB" w:eastAsia="en-AU"/>
        </w:rPr>
      </w:pPr>
    </w:p>
    <w:p w14:paraId="2F6473E0" w14:textId="77777777" w:rsidR="00AB6E7D" w:rsidRPr="00AB6E7D" w:rsidRDefault="00AB6E7D" w:rsidP="00AB6E7D">
      <w:r w:rsidRPr="00AB6E7D">
        <w:br w:type="page"/>
      </w:r>
    </w:p>
    <w:p w14:paraId="3122DE18" w14:textId="176F999A" w:rsidR="00ED09D1" w:rsidRPr="001F46A8" w:rsidRDefault="00ED09D1" w:rsidP="0049181E">
      <w:pPr>
        <w:rPr>
          <w:rFonts w:eastAsia="Times New Roman" w:cs="Times New Roman"/>
          <w:szCs w:val="20"/>
          <w:lang w:eastAsia="en-AU"/>
        </w:rPr>
      </w:pPr>
      <w:r w:rsidRPr="001F46A8">
        <w:rPr>
          <w:rFonts w:eastAsia="Times New Roman" w:cs="Times New Roman"/>
          <w:szCs w:val="20"/>
          <w:lang w:eastAsia="en-AU"/>
        </w:rPr>
        <w:t>By issuing the company with an imputation credit equal to the R&amp;D tax credit, the value of the tax credit is substantially preserved following a distribution</w:t>
      </w:r>
      <w:r w:rsidR="001C5F0C">
        <w:rPr>
          <w:rFonts w:eastAsia="Times New Roman" w:cs="Times New Roman"/>
          <w:szCs w:val="20"/>
          <w:lang w:eastAsia="en-AU"/>
        </w:rPr>
        <w:t>.</w:t>
      </w:r>
    </w:p>
    <w:p w14:paraId="21AF13FD" w14:textId="77777777" w:rsidR="00ED09D1" w:rsidRDefault="00ED09D1" w:rsidP="0049181E">
      <w:pPr>
        <w:rPr>
          <w:rFonts w:eastAsia="Times New Roman" w:cs="Times New Roman"/>
          <w:szCs w:val="20"/>
          <w:lang w:eastAsia="en-AU"/>
        </w:rPr>
      </w:pPr>
    </w:p>
    <w:p w14:paraId="33417DE5" w14:textId="54BCE6DB" w:rsidR="00C6162F" w:rsidRPr="008C4B03" w:rsidRDefault="00C6162F" w:rsidP="00C6162F">
      <w:pPr>
        <w:pStyle w:val="Exampleheading1"/>
        <w:rPr>
          <w:lang w:val="en-GB"/>
        </w:rPr>
      </w:pPr>
      <w:r w:rsidRPr="008C4B03">
        <w:rPr>
          <w:lang w:val="en-GB"/>
        </w:rPr>
        <w:t>Example</w:t>
      </w:r>
      <w:r w:rsidR="00DF2F85">
        <w:rPr>
          <w:lang w:val="en-GB"/>
        </w:rPr>
        <w:t xml:space="preserve"> </w:t>
      </w:r>
      <w:r w:rsidR="00E24B0A">
        <w:rPr>
          <w:lang w:val="en-GB"/>
        </w:rPr>
        <w:t>23</w:t>
      </w:r>
      <w:r w:rsidRPr="008C4B03">
        <w:rPr>
          <w:lang w:val="en-GB"/>
        </w:rPr>
        <w:t xml:space="preserve">: </w:t>
      </w:r>
      <w:r w:rsidR="00DF2F85">
        <w:rPr>
          <w:lang w:val="en-GB"/>
        </w:rPr>
        <w:t>C</w:t>
      </w:r>
      <w:r w:rsidRPr="008C4B03">
        <w:rPr>
          <w:lang w:val="en-GB"/>
        </w:rPr>
        <w:t xml:space="preserve">ompany with ICAs </w:t>
      </w:r>
      <w:r w:rsidRPr="004360B9">
        <w:rPr>
          <w:i/>
          <w:lang w:val="en-GB"/>
        </w:rPr>
        <w:t>and</w:t>
      </w:r>
      <w:r w:rsidRPr="008C4B03">
        <w:rPr>
          <w:lang w:val="en-GB"/>
        </w:rPr>
        <w:t xml:space="preserve"> R&amp;D special credits</w:t>
      </w:r>
    </w:p>
    <w:p w14:paraId="72877EAC" w14:textId="77777777" w:rsidR="00C6162F" w:rsidRPr="008C4B03" w:rsidRDefault="00C6162F" w:rsidP="00C6162F">
      <w:pPr>
        <w:pStyle w:val="Exampletext"/>
        <w:rPr>
          <w:lang w:val="en-GB"/>
        </w:rPr>
      </w:pPr>
    </w:p>
    <w:p w14:paraId="53138D6F" w14:textId="2C5C8A45" w:rsidR="00C6162F" w:rsidRPr="008C4B03" w:rsidRDefault="00C6162F" w:rsidP="00AE7716">
      <w:pPr>
        <w:pStyle w:val="Exampletext"/>
        <w:tabs>
          <w:tab w:val="right" w:pos="2835"/>
        </w:tabs>
        <w:rPr>
          <w:lang w:val="en-GB"/>
        </w:rPr>
      </w:pPr>
      <w:r w:rsidRPr="008C4B03">
        <w:rPr>
          <w:lang w:val="en-GB"/>
        </w:rPr>
        <w:t>Company income:</w:t>
      </w:r>
      <w:r w:rsidRPr="008C4B03">
        <w:rPr>
          <w:lang w:val="en-GB"/>
        </w:rPr>
        <w:tab/>
      </w:r>
      <w:r w:rsidR="00AE7716">
        <w:rPr>
          <w:lang w:val="en-GB"/>
        </w:rPr>
        <w:t>$</w:t>
      </w:r>
      <w:r w:rsidRPr="008C4B03">
        <w:rPr>
          <w:lang w:val="en-GB"/>
        </w:rPr>
        <w:t>200</w:t>
      </w:r>
    </w:p>
    <w:p w14:paraId="3025CC64" w14:textId="753142A5" w:rsidR="00C6162F" w:rsidRPr="008C4B03" w:rsidRDefault="00C6162F" w:rsidP="00AE7716">
      <w:pPr>
        <w:pStyle w:val="Exampletext"/>
        <w:tabs>
          <w:tab w:val="right" w:pos="2835"/>
        </w:tabs>
        <w:rPr>
          <w:lang w:val="en-GB"/>
        </w:rPr>
      </w:pPr>
      <w:r w:rsidRPr="008C4B03">
        <w:rPr>
          <w:lang w:val="en-GB"/>
        </w:rPr>
        <w:t>R&amp;D expenditure:</w:t>
      </w:r>
      <w:r w:rsidRPr="008C4B03">
        <w:rPr>
          <w:lang w:val="en-GB"/>
        </w:rPr>
        <w:tab/>
      </w:r>
      <w:r w:rsidR="00AE7716" w:rsidRPr="00AE7716">
        <w:rPr>
          <w:u w:val="single"/>
          <w:lang w:val="en-GB"/>
        </w:rPr>
        <w:t>$</w:t>
      </w:r>
      <w:r w:rsidRPr="008C4B03">
        <w:rPr>
          <w:u w:val="single"/>
          <w:lang w:val="en-GB"/>
        </w:rPr>
        <w:t>100</w:t>
      </w:r>
    </w:p>
    <w:p w14:paraId="351EF5D7" w14:textId="7DD69C03" w:rsidR="00C6162F" w:rsidRPr="008C4B03" w:rsidRDefault="00C6162F" w:rsidP="00AE7716">
      <w:pPr>
        <w:pStyle w:val="Exampletext"/>
        <w:tabs>
          <w:tab w:val="right" w:pos="2835"/>
        </w:tabs>
        <w:rPr>
          <w:lang w:val="en-GB"/>
        </w:rPr>
      </w:pPr>
      <w:r w:rsidRPr="008C4B03">
        <w:rPr>
          <w:lang w:val="en-GB"/>
        </w:rPr>
        <w:t>Taxable income:</w:t>
      </w:r>
      <w:r w:rsidRPr="008C4B03">
        <w:rPr>
          <w:lang w:val="en-GB"/>
        </w:rPr>
        <w:tab/>
      </w:r>
      <w:r w:rsidR="00AE7716">
        <w:rPr>
          <w:lang w:val="en-GB"/>
        </w:rPr>
        <w:t>$</w:t>
      </w:r>
      <w:r w:rsidRPr="008C4B03">
        <w:rPr>
          <w:lang w:val="en-GB"/>
        </w:rPr>
        <w:t>100</w:t>
      </w:r>
    </w:p>
    <w:p w14:paraId="7FCA06F4" w14:textId="77777777" w:rsidR="00C6162F" w:rsidRPr="008C4B03" w:rsidRDefault="00C6162F" w:rsidP="00AE7716">
      <w:pPr>
        <w:pStyle w:val="Exampletext"/>
        <w:tabs>
          <w:tab w:val="right" w:pos="2835"/>
        </w:tabs>
        <w:rPr>
          <w:lang w:val="en-GB"/>
        </w:rPr>
      </w:pPr>
    </w:p>
    <w:p w14:paraId="0479B448" w14:textId="2D2C2AD5" w:rsidR="00C6162F" w:rsidRPr="008C4B03" w:rsidRDefault="00C6162F" w:rsidP="00AE7716">
      <w:pPr>
        <w:pStyle w:val="Exampletext"/>
        <w:tabs>
          <w:tab w:val="right" w:pos="2835"/>
        </w:tabs>
        <w:rPr>
          <w:lang w:val="en-GB"/>
        </w:rPr>
      </w:pPr>
      <w:r w:rsidRPr="008C4B03">
        <w:rPr>
          <w:lang w:val="en-GB"/>
        </w:rPr>
        <w:t>Tax at 28%:</w:t>
      </w:r>
      <w:r w:rsidRPr="008C4B03">
        <w:rPr>
          <w:lang w:val="en-GB"/>
        </w:rPr>
        <w:tab/>
      </w:r>
      <w:r w:rsidR="00AE7716">
        <w:rPr>
          <w:lang w:val="en-GB"/>
        </w:rPr>
        <w:t>$</w:t>
      </w:r>
      <w:r w:rsidRPr="008C4B03">
        <w:rPr>
          <w:lang w:val="en-GB"/>
        </w:rPr>
        <w:t>28</w:t>
      </w:r>
    </w:p>
    <w:p w14:paraId="4C05E860" w14:textId="1273FE14" w:rsidR="00C6162F" w:rsidRPr="00545E4B" w:rsidRDefault="00C6162F" w:rsidP="00AE7716">
      <w:pPr>
        <w:pStyle w:val="Exampletext"/>
        <w:tabs>
          <w:tab w:val="right" w:pos="2835"/>
        </w:tabs>
        <w:rPr>
          <w:color w:val="FF0000"/>
          <w:lang w:val="en-GB"/>
        </w:rPr>
      </w:pPr>
      <w:r w:rsidRPr="008C4B03">
        <w:rPr>
          <w:lang w:val="en-GB"/>
        </w:rPr>
        <w:t>Tax credit</w:t>
      </w:r>
      <w:r w:rsidRPr="008C4B03">
        <w:rPr>
          <w:lang w:val="en-GB"/>
        </w:rPr>
        <w:tab/>
      </w:r>
      <w:r w:rsidRPr="00AE7716">
        <w:rPr>
          <w:color w:val="FF0000"/>
          <w:u w:val="single"/>
          <w:lang w:val="en-GB"/>
        </w:rPr>
        <w:t>(</w:t>
      </w:r>
      <w:r w:rsidR="00AE7716" w:rsidRPr="00AE7716">
        <w:rPr>
          <w:color w:val="FF0000"/>
          <w:u w:val="single"/>
          <w:lang w:val="en-GB"/>
        </w:rPr>
        <w:t>$</w:t>
      </w:r>
      <w:r w:rsidRPr="00545E4B">
        <w:rPr>
          <w:color w:val="FF0000"/>
          <w:u w:val="single"/>
          <w:lang w:val="en-GB"/>
        </w:rPr>
        <w:t>15)</w:t>
      </w:r>
    </w:p>
    <w:p w14:paraId="19B089E3" w14:textId="06E710CC" w:rsidR="00C6162F" w:rsidRPr="008C4B03" w:rsidRDefault="00C6162F" w:rsidP="00AE7716">
      <w:pPr>
        <w:pStyle w:val="Exampletext"/>
        <w:tabs>
          <w:tab w:val="right" w:pos="2835"/>
        </w:tabs>
        <w:rPr>
          <w:lang w:val="en-GB"/>
        </w:rPr>
      </w:pPr>
      <w:r w:rsidRPr="008C4B03">
        <w:rPr>
          <w:lang w:val="en-GB"/>
        </w:rPr>
        <w:t>Tax to pay:</w:t>
      </w:r>
      <w:r w:rsidRPr="008C4B03">
        <w:rPr>
          <w:lang w:val="en-GB"/>
        </w:rPr>
        <w:tab/>
      </w:r>
      <w:r w:rsidR="00AE7716">
        <w:rPr>
          <w:lang w:val="en-GB"/>
        </w:rPr>
        <w:t>$</w:t>
      </w:r>
      <w:r w:rsidRPr="008C4B03">
        <w:rPr>
          <w:lang w:val="en-GB"/>
        </w:rPr>
        <w:t>13</w:t>
      </w:r>
    </w:p>
    <w:p w14:paraId="24A6893B" w14:textId="77777777" w:rsidR="00C6162F" w:rsidRPr="008C4B03" w:rsidRDefault="00C6162F" w:rsidP="00AE7716">
      <w:pPr>
        <w:pStyle w:val="Exampletext"/>
        <w:tabs>
          <w:tab w:val="right" w:pos="2835"/>
        </w:tabs>
        <w:rPr>
          <w:lang w:val="en-GB"/>
        </w:rPr>
      </w:pPr>
    </w:p>
    <w:p w14:paraId="23EB6604" w14:textId="77777777" w:rsidR="00C6162F" w:rsidRPr="008C4B03" w:rsidRDefault="00C6162F" w:rsidP="00AE7716">
      <w:pPr>
        <w:pStyle w:val="Exampletext"/>
        <w:tabs>
          <w:tab w:val="right" w:pos="2835"/>
        </w:tabs>
        <w:rPr>
          <w:lang w:val="en-GB"/>
        </w:rPr>
      </w:pPr>
      <w:r w:rsidRPr="008C4B03">
        <w:rPr>
          <w:lang w:val="en-GB"/>
        </w:rPr>
        <w:t>ICA result:</w:t>
      </w:r>
    </w:p>
    <w:p w14:paraId="18B5692B" w14:textId="697C192E" w:rsidR="00C6162F" w:rsidRPr="008C4B03" w:rsidRDefault="00C6162F" w:rsidP="00AE7716">
      <w:pPr>
        <w:pStyle w:val="Exampletext"/>
        <w:tabs>
          <w:tab w:val="right" w:pos="2835"/>
        </w:tabs>
        <w:rPr>
          <w:lang w:val="en-GB"/>
        </w:rPr>
      </w:pPr>
      <w:r>
        <w:rPr>
          <w:lang w:val="en-GB"/>
        </w:rPr>
        <w:t>Tax paid</w:t>
      </w:r>
      <w:r>
        <w:rPr>
          <w:lang w:val="en-GB"/>
        </w:rPr>
        <w:tab/>
      </w:r>
      <w:r w:rsidR="00AE7716">
        <w:rPr>
          <w:lang w:val="en-GB"/>
        </w:rPr>
        <w:t>$</w:t>
      </w:r>
      <w:r w:rsidRPr="008C4B03">
        <w:rPr>
          <w:lang w:val="en-GB"/>
        </w:rPr>
        <w:t>13</w:t>
      </w:r>
    </w:p>
    <w:p w14:paraId="02905591" w14:textId="58DEE6F5" w:rsidR="00C6162F" w:rsidRPr="008C4B03" w:rsidRDefault="0049181E" w:rsidP="00AE7716">
      <w:pPr>
        <w:pStyle w:val="Exampletext"/>
        <w:tabs>
          <w:tab w:val="right" w:pos="2835"/>
        </w:tabs>
        <w:rPr>
          <w:lang w:val="en-GB"/>
        </w:rPr>
      </w:pPr>
      <w:r>
        <w:rPr>
          <w:lang w:val="en-GB"/>
        </w:rPr>
        <w:t>R&amp;D special credit:</w:t>
      </w:r>
      <w:r w:rsidR="00C6162F" w:rsidRPr="008C4B03">
        <w:rPr>
          <w:lang w:val="en-GB"/>
        </w:rPr>
        <w:tab/>
      </w:r>
      <w:r w:rsidR="00AE7716" w:rsidRPr="00AE7716">
        <w:rPr>
          <w:u w:val="single"/>
          <w:lang w:val="en-GB"/>
        </w:rPr>
        <w:t>$</w:t>
      </w:r>
      <w:r w:rsidR="00C6162F" w:rsidRPr="008C4B03">
        <w:rPr>
          <w:u w:val="single"/>
          <w:lang w:val="en-GB"/>
        </w:rPr>
        <w:t>15</w:t>
      </w:r>
    </w:p>
    <w:p w14:paraId="762F3EF7" w14:textId="7A4F1865" w:rsidR="00C6162F" w:rsidRPr="008C4B03" w:rsidRDefault="00C6162F" w:rsidP="00AE7716">
      <w:pPr>
        <w:pStyle w:val="Exampletext"/>
        <w:tabs>
          <w:tab w:val="right" w:pos="2835"/>
        </w:tabs>
        <w:rPr>
          <w:lang w:val="en-GB"/>
        </w:rPr>
      </w:pPr>
      <w:r>
        <w:rPr>
          <w:lang w:val="en-GB"/>
        </w:rPr>
        <w:tab/>
      </w:r>
      <w:r w:rsidR="00AE7716">
        <w:rPr>
          <w:lang w:val="en-GB"/>
        </w:rPr>
        <w:t>$</w:t>
      </w:r>
      <w:r w:rsidRPr="008C4B03">
        <w:rPr>
          <w:lang w:val="en-GB"/>
        </w:rPr>
        <w:t>28</w:t>
      </w:r>
    </w:p>
    <w:p w14:paraId="0D8F78C8" w14:textId="77777777" w:rsidR="00C6162F" w:rsidRPr="008C4B03" w:rsidRDefault="00C6162F" w:rsidP="00AE7716">
      <w:pPr>
        <w:pStyle w:val="Exampletext"/>
        <w:tabs>
          <w:tab w:val="right" w:pos="2835"/>
        </w:tabs>
        <w:rPr>
          <w:lang w:val="en-GB"/>
        </w:rPr>
      </w:pPr>
    </w:p>
    <w:p w14:paraId="54193C0A" w14:textId="77777777" w:rsidR="00C6162F" w:rsidRPr="008C4B03" w:rsidRDefault="00C6162F" w:rsidP="00AE7716">
      <w:pPr>
        <w:pStyle w:val="Exampletext"/>
        <w:tabs>
          <w:tab w:val="right" w:pos="2835"/>
        </w:tabs>
        <w:rPr>
          <w:lang w:val="en-GB"/>
        </w:rPr>
      </w:pPr>
      <w:r w:rsidRPr="008C4B03">
        <w:rPr>
          <w:lang w:val="en-GB"/>
        </w:rPr>
        <w:t>Retained earnings</w:t>
      </w:r>
    </w:p>
    <w:p w14:paraId="67212BFD" w14:textId="4767E143" w:rsidR="00C6162F" w:rsidRPr="008C4B03" w:rsidRDefault="00C6162F" w:rsidP="00AE7716">
      <w:pPr>
        <w:pStyle w:val="Exampletext"/>
        <w:tabs>
          <w:tab w:val="right" w:pos="2835"/>
        </w:tabs>
        <w:rPr>
          <w:lang w:val="en-GB"/>
        </w:rPr>
      </w:pPr>
      <w:r w:rsidRPr="008C4B03">
        <w:rPr>
          <w:lang w:val="en-GB"/>
        </w:rPr>
        <w:t>Pre-tax income:</w:t>
      </w:r>
      <w:r>
        <w:rPr>
          <w:lang w:val="en-GB"/>
        </w:rPr>
        <w:tab/>
      </w:r>
      <w:r w:rsidR="00AE7716">
        <w:rPr>
          <w:lang w:val="en-GB"/>
        </w:rPr>
        <w:t>$</w:t>
      </w:r>
      <w:r w:rsidRPr="008C4B03">
        <w:rPr>
          <w:lang w:val="en-GB"/>
        </w:rPr>
        <w:t>100</w:t>
      </w:r>
    </w:p>
    <w:p w14:paraId="7EA17960" w14:textId="1D4D0B4F" w:rsidR="00C6162F" w:rsidRPr="008C4B03" w:rsidRDefault="00C6162F" w:rsidP="00AE7716">
      <w:pPr>
        <w:pStyle w:val="Exampletext"/>
        <w:tabs>
          <w:tab w:val="right" w:pos="2835"/>
        </w:tabs>
        <w:rPr>
          <w:lang w:val="en-GB"/>
        </w:rPr>
      </w:pPr>
      <w:r w:rsidRPr="008C4B03">
        <w:rPr>
          <w:lang w:val="en-GB"/>
        </w:rPr>
        <w:t>Net tax expense:</w:t>
      </w:r>
      <w:r>
        <w:rPr>
          <w:lang w:val="en-GB"/>
        </w:rPr>
        <w:tab/>
      </w:r>
      <w:r w:rsidR="00AE7716">
        <w:rPr>
          <w:lang w:val="en-GB"/>
        </w:rPr>
        <w:t xml:space="preserve"> </w:t>
      </w:r>
      <w:r w:rsidR="00AE7716" w:rsidRPr="00AE7716">
        <w:rPr>
          <w:u w:val="single"/>
          <w:lang w:val="en-GB"/>
        </w:rPr>
        <w:t xml:space="preserve"> $</w:t>
      </w:r>
      <w:r w:rsidRPr="008C4B03">
        <w:rPr>
          <w:u w:val="single"/>
          <w:lang w:val="en-GB"/>
        </w:rPr>
        <w:t>13</w:t>
      </w:r>
    </w:p>
    <w:p w14:paraId="13BA4A5E" w14:textId="7A36A461" w:rsidR="00C6162F" w:rsidRPr="008C4B03" w:rsidRDefault="00C6162F" w:rsidP="00AE7716">
      <w:pPr>
        <w:pStyle w:val="Exampletext"/>
        <w:tabs>
          <w:tab w:val="right" w:pos="2835"/>
        </w:tabs>
        <w:rPr>
          <w:lang w:val="en-GB"/>
        </w:rPr>
      </w:pPr>
      <w:r>
        <w:rPr>
          <w:lang w:val="en-GB"/>
        </w:rPr>
        <w:tab/>
      </w:r>
      <w:r w:rsidR="00AE7716">
        <w:rPr>
          <w:lang w:val="en-GB"/>
        </w:rPr>
        <w:t>$</w:t>
      </w:r>
      <w:r w:rsidRPr="008C4B03">
        <w:rPr>
          <w:lang w:val="en-GB"/>
        </w:rPr>
        <w:t>87</w:t>
      </w:r>
    </w:p>
    <w:p w14:paraId="6CC3C09A" w14:textId="77777777" w:rsidR="00C6162F" w:rsidRPr="008C4B03" w:rsidRDefault="00C6162F" w:rsidP="00AE7716">
      <w:pPr>
        <w:pStyle w:val="Exampletext"/>
        <w:tabs>
          <w:tab w:val="right" w:pos="2835"/>
        </w:tabs>
        <w:rPr>
          <w:lang w:val="en-GB"/>
        </w:rPr>
      </w:pPr>
    </w:p>
    <w:p w14:paraId="2CC0C696" w14:textId="00423251" w:rsidR="00C6162F" w:rsidRPr="008C4B03" w:rsidRDefault="00C6162F" w:rsidP="00AE7716">
      <w:pPr>
        <w:pStyle w:val="Exampletext"/>
        <w:tabs>
          <w:tab w:val="right" w:pos="2835"/>
        </w:tabs>
        <w:rPr>
          <w:lang w:val="en-GB"/>
        </w:rPr>
      </w:pPr>
      <w:r w:rsidRPr="008C4B03">
        <w:rPr>
          <w:lang w:val="en-GB"/>
        </w:rPr>
        <w:t xml:space="preserve">Dividend to 28% </w:t>
      </w:r>
      <w:r w:rsidR="003574F5">
        <w:rPr>
          <w:lang w:val="en-GB"/>
        </w:rPr>
        <w:t>shareholder</w:t>
      </w:r>
    </w:p>
    <w:p w14:paraId="7A8F3EE2" w14:textId="77777777" w:rsidR="00C6162F" w:rsidRPr="008C4B03" w:rsidRDefault="00C6162F" w:rsidP="00AE7716">
      <w:pPr>
        <w:pStyle w:val="Exampletext"/>
        <w:tabs>
          <w:tab w:val="right" w:pos="2835"/>
        </w:tabs>
        <w:rPr>
          <w:lang w:val="en-GB"/>
        </w:rPr>
      </w:pPr>
    </w:p>
    <w:p w14:paraId="646C4E7F" w14:textId="2FB7A919" w:rsidR="00C6162F" w:rsidRPr="008C4B03" w:rsidRDefault="00C6162F" w:rsidP="00AE7716">
      <w:pPr>
        <w:pStyle w:val="Exampletext"/>
        <w:tabs>
          <w:tab w:val="right" w:pos="2835"/>
        </w:tabs>
        <w:rPr>
          <w:lang w:val="en-GB"/>
        </w:rPr>
      </w:pPr>
      <w:r w:rsidRPr="008C4B03">
        <w:rPr>
          <w:lang w:val="en-GB"/>
        </w:rPr>
        <w:t>Cash dividend:</w:t>
      </w:r>
      <w:r>
        <w:rPr>
          <w:lang w:val="en-GB"/>
        </w:rPr>
        <w:tab/>
      </w:r>
      <w:r w:rsidR="00AE7716">
        <w:rPr>
          <w:lang w:val="en-GB"/>
        </w:rPr>
        <w:t>$</w:t>
      </w:r>
      <w:r w:rsidRPr="008C4B03">
        <w:rPr>
          <w:lang w:val="en-GB"/>
        </w:rPr>
        <w:t>87</w:t>
      </w:r>
    </w:p>
    <w:p w14:paraId="2A0C5BA5" w14:textId="510287DB" w:rsidR="00C6162F" w:rsidRPr="008C4B03" w:rsidRDefault="00C6162F" w:rsidP="00AE7716">
      <w:pPr>
        <w:pStyle w:val="Exampletext"/>
        <w:tabs>
          <w:tab w:val="right" w:pos="2835"/>
        </w:tabs>
        <w:rPr>
          <w:u w:val="single"/>
          <w:lang w:val="en-GB"/>
        </w:rPr>
      </w:pPr>
      <w:r w:rsidRPr="008C4B03">
        <w:rPr>
          <w:lang w:val="en-GB"/>
        </w:rPr>
        <w:t>Imputation credits</w:t>
      </w:r>
      <w:r w:rsidRPr="008C4B03">
        <w:rPr>
          <w:lang w:val="en-GB"/>
        </w:rPr>
        <w:tab/>
      </w:r>
      <w:r w:rsidR="00AE7716" w:rsidRPr="00AE7716">
        <w:rPr>
          <w:u w:val="single"/>
          <w:lang w:val="en-GB"/>
        </w:rPr>
        <w:t xml:space="preserve">  $</w:t>
      </w:r>
      <w:r w:rsidRPr="008C4B03">
        <w:rPr>
          <w:u w:val="single"/>
          <w:lang w:val="en-GB"/>
        </w:rPr>
        <w:t>28</w:t>
      </w:r>
    </w:p>
    <w:p w14:paraId="372485EF" w14:textId="07F4AFA2" w:rsidR="00C6162F" w:rsidRPr="008C4B03" w:rsidRDefault="00C6162F" w:rsidP="00AE7716">
      <w:pPr>
        <w:pStyle w:val="Exampletext"/>
        <w:tabs>
          <w:tab w:val="right" w:pos="2835"/>
        </w:tabs>
        <w:rPr>
          <w:lang w:val="en-GB"/>
        </w:rPr>
      </w:pPr>
      <w:r>
        <w:rPr>
          <w:lang w:val="en-GB"/>
        </w:rPr>
        <w:tab/>
      </w:r>
      <w:r w:rsidR="00AE7716">
        <w:rPr>
          <w:lang w:val="en-GB"/>
        </w:rPr>
        <w:t>$</w:t>
      </w:r>
      <w:r w:rsidRPr="008C4B03">
        <w:rPr>
          <w:lang w:val="en-GB"/>
        </w:rPr>
        <w:t>115</w:t>
      </w:r>
    </w:p>
    <w:p w14:paraId="0F32F61F" w14:textId="77777777" w:rsidR="00C6162F" w:rsidRPr="008C4B03" w:rsidRDefault="00C6162F" w:rsidP="00AE7716">
      <w:pPr>
        <w:pStyle w:val="Exampletext"/>
        <w:tabs>
          <w:tab w:val="right" w:pos="2835"/>
        </w:tabs>
        <w:rPr>
          <w:lang w:val="en-GB"/>
        </w:rPr>
      </w:pPr>
    </w:p>
    <w:p w14:paraId="3118C400" w14:textId="6922CAA0" w:rsidR="00C6162F" w:rsidRPr="008C4B03" w:rsidRDefault="00C6162F" w:rsidP="00AE7716">
      <w:pPr>
        <w:pStyle w:val="Exampletext"/>
        <w:tabs>
          <w:tab w:val="right" w:pos="2835"/>
        </w:tabs>
        <w:rPr>
          <w:lang w:val="en-GB"/>
        </w:rPr>
      </w:pPr>
      <w:r w:rsidRPr="008C4B03">
        <w:rPr>
          <w:lang w:val="en-GB"/>
        </w:rPr>
        <w:t>Tax at 28%</w:t>
      </w:r>
      <w:r w:rsidR="0049181E">
        <w:rPr>
          <w:lang w:val="en-GB"/>
        </w:rPr>
        <w:t>:</w:t>
      </w:r>
      <w:r w:rsidR="0049181E">
        <w:rPr>
          <w:lang w:val="en-GB"/>
        </w:rPr>
        <w:tab/>
      </w:r>
      <w:r w:rsidR="00AE7716">
        <w:rPr>
          <w:lang w:val="en-GB"/>
        </w:rPr>
        <w:t>$</w:t>
      </w:r>
      <w:r w:rsidRPr="008C4B03">
        <w:rPr>
          <w:lang w:val="en-GB"/>
        </w:rPr>
        <w:t>32.2</w:t>
      </w:r>
    </w:p>
    <w:p w14:paraId="1E240B72" w14:textId="6A3EB640" w:rsidR="00C6162F" w:rsidRPr="008C4B03" w:rsidRDefault="00C6162F" w:rsidP="00AE7716">
      <w:pPr>
        <w:pStyle w:val="Exampletext"/>
        <w:tabs>
          <w:tab w:val="right" w:pos="2835"/>
        </w:tabs>
        <w:rPr>
          <w:lang w:val="en-GB"/>
        </w:rPr>
      </w:pPr>
      <w:r w:rsidRPr="008C4B03">
        <w:rPr>
          <w:lang w:val="en-GB"/>
        </w:rPr>
        <w:t>Less ICs:</w:t>
      </w:r>
      <w:r w:rsidR="0049181E">
        <w:rPr>
          <w:lang w:val="en-GB"/>
        </w:rPr>
        <w:tab/>
      </w:r>
      <w:r w:rsidR="00AE7716" w:rsidRPr="00AE7716">
        <w:rPr>
          <w:u w:val="single"/>
          <w:lang w:val="en-GB"/>
        </w:rPr>
        <w:t>$</w:t>
      </w:r>
      <w:r w:rsidRPr="008C4B03">
        <w:rPr>
          <w:u w:val="single"/>
          <w:lang w:val="en-GB"/>
        </w:rPr>
        <w:t>28</w:t>
      </w:r>
      <w:r w:rsidR="00AE7716">
        <w:rPr>
          <w:u w:val="single"/>
          <w:lang w:val="en-GB"/>
        </w:rPr>
        <w:t>.0</w:t>
      </w:r>
    </w:p>
    <w:p w14:paraId="67D7C6EA" w14:textId="1AE9126B" w:rsidR="00C6162F" w:rsidRPr="008C4B03" w:rsidRDefault="00C6162F" w:rsidP="00AE7716">
      <w:pPr>
        <w:pStyle w:val="Exampletext"/>
        <w:tabs>
          <w:tab w:val="right" w:pos="2835"/>
        </w:tabs>
        <w:rPr>
          <w:lang w:val="en-GB"/>
        </w:rPr>
      </w:pPr>
      <w:r w:rsidRPr="008C4B03">
        <w:rPr>
          <w:lang w:val="en-GB"/>
        </w:rPr>
        <w:t>Shareholder tax to pay:</w:t>
      </w:r>
      <w:r w:rsidR="0049181E">
        <w:rPr>
          <w:lang w:val="en-GB"/>
        </w:rPr>
        <w:tab/>
      </w:r>
      <w:r w:rsidR="00AE7716">
        <w:rPr>
          <w:lang w:val="en-GB"/>
        </w:rPr>
        <w:t>$</w:t>
      </w:r>
      <w:r w:rsidRPr="008C4B03">
        <w:rPr>
          <w:lang w:val="en-GB"/>
        </w:rPr>
        <w:t>4.2</w:t>
      </w:r>
    </w:p>
    <w:p w14:paraId="58FA0621" w14:textId="77777777" w:rsidR="00C6162F" w:rsidRDefault="00C6162F" w:rsidP="0049181E">
      <w:pPr>
        <w:rPr>
          <w:lang w:eastAsia="en-AU"/>
        </w:rPr>
      </w:pPr>
    </w:p>
    <w:p w14:paraId="0ACA13D5" w14:textId="77777777" w:rsidR="00C6162F" w:rsidRDefault="00C6162F" w:rsidP="0049181E">
      <w:pPr>
        <w:rPr>
          <w:lang w:eastAsia="en-AU"/>
        </w:rPr>
      </w:pPr>
    </w:p>
    <w:p w14:paraId="72765206" w14:textId="77777777" w:rsidR="00ED09D1" w:rsidRPr="001F46A8" w:rsidRDefault="00ED09D1" w:rsidP="0049181E">
      <w:pPr>
        <w:pStyle w:val="Heading2"/>
      </w:pPr>
      <w:r w:rsidRPr="001F46A8">
        <w:t>Detailed analysis</w:t>
      </w:r>
    </w:p>
    <w:p w14:paraId="403592EF" w14:textId="77777777" w:rsidR="00ED09D1" w:rsidRPr="001F46A8" w:rsidRDefault="00ED09D1" w:rsidP="0049181E">
      <w:pPr>
        <w:rPr>
          <w:lang w:eastAsia="en-AU"/>
        </w:rPr>
      </w:pPr>
    </w:p>
    <w:p w14:paraId="6252C43F" w14:textId="77777777" w:rsidR="00ED09D1" w:rsidRPr="001F46A8" w:rsidRDefault="00ED09D1" w:rsidP="00545E4B">
      <w:pPr>
        <w:pStyle w:val="Heading3"/>
      </w:pPr>
      <w:r w:rsidRPr="001F46A8">
        <w:t>Companies</w:t>
      </w:r>
    </w:p>
    <w:p w14:paraId="1C3F9488" w14:textId="77777777" w:rsidR="00ED09D1" w:rsidRPr="001F46A8" w:rsidRDefault="00ED09D1" w:rsidP="0049181E">
      <w:pPr>
        <w:rPr>
          <w:lang w:eastAsia="en-AU"/>
        </w:rPr>
      </w:pPr>
    </w:p>
    <w:p w14:paraId="4E31F19C" w14:textId="0846CF68" w:rsidR="00ED09D1" w:rsidRPr="001F46A8" w:rsidRDefault="00ED09D1" w:rsidP="0049181E">
      <w:pPr>
        <w:rPr>
          <w:lang w:eastAsia="en-AU"/>
        </w:rPr>
      </w:pPr>
      <w:bookmarkStart w:id="56" w:name="_Hlk527629478"/>
      <w:r w:rsidRPr="001F46A8">
        <w:rPr>
          <w:lang w:eastAsia="en-AU"/>
        </w:rPr>
        <w:t>Proposed new section OB 9C grants a company an imputation credit equal to the R&amp;D tax credit it is entitled to</w:t>
      </w:r>
      <w:r w:rsidR="00485279">
        <w:rPr>
          <w:lang w:eastAsia="en-AU"/>
        </w:rPr>
        <w:t xml:space="preserve">. </w:t>
      </w:r>
      <w:r w:rsidRPr="001F46A8">
        <w:rPr>
          <w:lang w:eastAsia="en-AU"/>
        </w:rPr>
        <w:t xml:space="preserve">This is credited on the date the company files its </w:t>
      </w:r>
      <w:r w:rsidR="00A92CD1">
        <w:rPr>
          <w:lang w:eastAsia="en-AU"/>
        </w:rPr>
        <w:t xml:space="preserve">R&amp;D </w:t>
      </w:r>
      <w:r w:rsidRPr="001F46A8">
        <w:rPr>
          <w:lang w:eastAsia="en-AU"/>
        </w:rPr>
        <w:t>supplementary return</w:t>
      </w:r>
      <w:r w:rsidR="00485279">
        <w:rPr>
          <w:lang w:eastAsia="en-AU"/>
        </w:rPr>
        <w:t xml:space="preserve">. </w:t>
      </w:r>
      <w:r w:rsidRPr="001F46A8">
        <w:rPr>
          <w:lang w:eastAsia="en-AU"/>
        </w:rPr>
        <w:t>Proposed new section OP 11C achieves the same effect but for consolidated imputation groups.</w:t>
      </w:r>
    </w:p>
    <w:p w14:paraId="6D0EBD18" w14:textId="77777777" w:rsidR="00ED09D1" w:rsidRPr="001F46A8" w:rsidRDefault="00ED09D1" w:rsidP="0049181E">
      <w:pPr>
        <w:rPr>
          <w:lang w:eastAsia="en-AU"/>
        </w:rPr>
      </w:pPr>
    </w:p>
    <w:p w14:paraId="6979303C" w14:textId="2EBD81D9" w:rsidR="00ED09D1" w:rsidRPr="002B4A33" w:rsidRDefault="00ED09D1" w:rsidP="0049181E">
      <w:pPr>
        <w:rPr>
          <w:lang w:eastAsia="en-AU"/>
        </w:rPr>
      </w:pPr>
      <w:r w:rsidRPr="001F46A8">
        <w:rPr>
          <w:lang w:eastAsia="en-AU"/>
        </w:rPr>
        <w:t xml:space="preserve">An amendment to section OB 4 </w:t>
      </w:r>
      <w:r w:rsidRPr="002B4A33">
        <w:rPr>
          <w:lang w:eastAsia="en-AU"/>
        </w:rPr>
        <w:t>ensures that a company does not receive an imputation credit for tax paid by crediting an R&amp;D tax credit</w:t>
      </w:r>
      <w:r w:rsidR="00485279">
        <w:rPr>
          <w:lang w:eastAsia="en-AU"/>
        </w:rPr>
        <w:t xml:space="preserve">. </w:t>
      </w:r>
      <w:r w:rsidRPr="002B4A33">
        <w:rPr>
          <w:lang w:eastAsia="en-AU"/>
        </w:rPr>
        <w:t xml:space="preserve">This ensures a company does not receive double the amount of imputation credits that was intended – </w:t>
      </w:r>
      <w:r w:rsidR="00545E4B">
        <w:rPr>
          <w:lang w:eastAsia="en-AU"/>
        </w:rPr>
        <w:t xml:space="preserve">that is, </w:t>
      </w:r>
      <w:r w:rsidRPr="002B4A33">
        <w:rPr>
          <w:lang w:eastAsia="en-AU"/>
        </w:rPr>
        <w:t xml:space="preserve">the first amount when the company filed its </w:t>
      </w:r>
      <w:r w:rsidR="005037E6" w:rsidRPr="002B4A33">
        <w:rPr>
          <w:lang w:eastAsia="en-AU"/>
        </w:rPr>
        <w:t xml:space="preserve">R&amp;D </w:t>
      </w:r>
      <w:r w:rsidRPr="002B4A33">
        <w:rPr>
          <w:lang w:eastAsia="en-AU"/>
        </w:rPr>
        <w:t>supplementary return, and the second amount when the company used the R&amp;D tax credit to satisfy a tax liability</w:t>
      </w:r>
      <w:r w:rsidR="00485279">
        <w:rPr>
          <w:lang w:eastAsia="en-AU"/>
        </w:rPr>
        <w:t xml:space="preserve">. </w:t>
      </w:r>
      <w:r w:rsidRPr="002B4A33">
        <w:rPr>
          <w:lang w:eastAsia="en-AU"/>
        </w:rPr>
        <w:t>A similar amendment has been made to OP 7 to ensure consolidated imputation groups do not receive the imputation credits twice.</w:t>
      </w:r>
      <w:bookmarkEnd w:id="56"/>
    </w:p>
    <w:p w14:paraId="693C6B00" w14:textId="77777777" w:rsidR="00ED09D1" w:rsidRPr="002B4A33" w:rsidRDefault="00ED09D1" w:rsidP="0049181E">
      <w:pPr>
        <w:rPr>
          <w:lang w:eastAsia="en-AU"/>
        </w:rPr>
      </w:pPr>
    </w:p>
    <w:p w14:paraId="08885174" w14:textId="77777777" w:rsidR="00AB6E7D" w:rsidRPr="00AB6E7D" w:rsidRDefault="00AB6E7D" w:rsidP="00AB6E7D">
      <w:r w:rsidRPr="00AB6E7D">
        <w:br w:type="page"/>
      </w:r>
    </w:p>
    <w:p w14:paraId="4DE1CCD8" w14:textId="3BBE246E" w:rsidR="00ED09D1" w:rsidRPr="001F46A8" w:rsidRDefault="00ED09D1" w:rsidP="00545E4B">
      <w:pPr>
        <w:pStyle w:val="Heading3"/>
      </w:pPr>
      <w:r w:rsidRPr="002B4A33">
        <w:t>M</w:t>
      </w:r>
      <w:r w:rsidR="00F9138D" w:rsidRPr="002B4A33">
        <w:t>ā</w:t>
      </w:r>
      <w:r w:rsidRPr="002B4A33">
        <w:t>ori authorities</w:t>
      </w:r>
    </w:p>
    <w:p w14:paraId="6A7C5F3F" w14:textId="77777777" w:rsidR="00ED09D1" w:rsidRPr="001F46A8" w:rsidRDefault="00ED09D1" w:rsidP="0049181E">
      <w:pPr>
        <w:rPr>
          <w:lang w:eastAsia="en-AU"/>
        </w:rPr>
      </w:pPr>
    </w:p>
    <w:p w14:paraId="405ED97D" w14:textId="56797776" w:rsidR="00ED09D1" w:rsidRPr="001F46A8" w:rsidRDefault="00ED09D1" w:rsidP="0049181E">
      <w:pPr>
        <w:rPr>
          <w:lang w:eastAsia="en-AU"/>
        </w:rPr>
      </w:pPr>
      <w:r w:rsidRPr="001F46A8">
        <w:rPr>
          <w:lang w:eastAsia="en-AU"/>
        </w:rPr>
        <w:t>Proposed new section OK 6C grants a M</w:t>
      </w:r>
      <w:r w:rsidR="00F9138D">
        <w:rPr>
          <w:lang w:eastAsia="en-AU"/>
        </w:rPr>
        <w:t>ā</w:t>
      </w:r>
      <w:r w:rsidRPr="001F46A8">
        <w:rPr>
          <w:lang w:eastAsia="en-AU"/>
        </w:rPr>
        <w:t>ori authority a M</w:t>
      </w:r>
      <w:r w:rsidR="00F9138D">
        <w:rPr>
          <w:lang w:eastAsia="en-AU"/>
        </w:rPr>
        <w:t>ā</w:t>
      </w:r>
      <w:r w:rsidRPr="001F46A8">
        <w:rPr>
          <w:lang w:eastAsia="en-AU"/>
        </w:rPr>
        <w:t xml:space="preserve">ori </w:t>
      </w:r>
      <w:r w:rsidR="00B41717">
        <w:rPr>
          <w:lang w:eastAsia="en-AU"/>
        </w:rPr>
        <w:t>a</w:t>
      </w:r>
      <w:r w:rsidRPr="001F46A8">
        <w:rPr>
          <w:lang w:eastAsia="en-AU"/>
        </w:rPr>
        <w:t>uthority credit equal to the R&amp;D tax credit it is entitled to</w:t>
      </w:r>
      <w:r w:rsidR="00485279">
        <w:rPr>
          <w:lang w:eastAsia="en-AU"/>
        </w:rPr>
        <w:t xml:space="preserve">. </w:t>
      </w:r>
      <w:r w:rsidRPr="001F46A8">
        <w:rPr>
          <w:lang w:eastAsia="en-AU"/>
        </w:rPr>
        <w:t>This is credited on the date the M</w:t>
      </w:r>
      <w:r w:rsidR="00F9138D">
        <w:rPr>
          <w:lang w:eastAsia="en-AU"/>
        </w:rPr>
        <w:t>ā</w:t>
      </w:r>
      <w:r w:rsidRPr="001F46A8">
        <w:rPr>
          <w:lang w:eastAsia="en-AU"/>
        </w:rPr>
        <w:t xml:space="preserve">ori authority files its </w:t>
      </w:r>
      <w:r w:rsidR="005037E6">
        <w:rPr>
          <w:lang w:eastAsia="en-AU"/>
        </w:rPr>
        <w:t xml:space="preserve">R&amp;D </w:t>
      </w:r>
      <w:r w:rsidRPr="005037E6">
        <w:rPr>
          <w:lang w:eastAsia="en-AU"/>
        </w:rPr>
        <w:t>supplementary return.</w:t>
      </w:r>
    </w:p>
    <w:p w14:paraId="11CA75F1" w14:textId="77777777" w:rsidR="00ED09D1" w:rsidRPr="001F46A8" w:rsidRDefault="00ED09D1" w:rsidP="0049181E">
      <w:pPr>
        <w:rPr>
          <w:lang w:eastAsia="en-AU"/>
        </w:rPr>
      </w:pPr>
    </w:p>
    <w:p w14:paraId="1F1B56C0" w14:textId="5B1E4C1A" w:rsidR="00ED09D1" w:rsidRPr="001F46A8" w:rsidRDefault="00ED09D1" w:rsidP="0049181E">
      <w:pPr>
        <w:rPr>
          <w:lang w:eastAsia="en-AU"/>
        </w:rPr>
      </w:pPr>
      <w:r w:rsidRPr="001F46A8">
        <w:rPr>
          <w:lang w:eastAsia="en-AU"/>
        </w:rPr>
        <w:t>An amendment to section OK 2 ensures that a M</w:t>
      </w:r>
      <w:r w:rsidR="00F9138D">
        <w:rPr>
          <w:lang w:eastAsia="en-AU"/>
        </w:rPr>
        <w:t>ā</w:t>
      </w:r>
      <w:r w:rsidRPr="001F46A8">
        <w:rPr>
          <w:lang w:eastAsia="en-AU"/>
        </w:rPr>
        <w:t>ori authority does not receive a M</w:t>
      </w:r>
      <w:r w:rsidR="00F9138D">
        <w:rPr>
          <w:lang w:eastAsia="en-AU"/>
        </w:rPr>
        <w:t>ā</w:t>
      </w:r>
      <w:r w:rsidRPr="001F46A8">
        <w:rPr>
          <w:lang w:eastAsia="en-AU"/>
        </w:rPr>
        <w:t xml:space="preserve">ori </w:t>
      </w:r>
      <w:r w:rsidR="00B41717">
        <w:rPr>
          <w:lang w:eastAsia="en-AU"/>
        </w:rPr>
        <w:t>a</w:t>
      </w:r>
      <w:r w:rsidRPr="001F46A8">
        <w:rPr>
          <w:lang w:eastAsia="en-AU"/>
        </w:rPr>
        <w:t>uthority credit for tax paid by crediting an R&amp;D tax credit</w:t>
      </w:r>
      <w:r w:rsidR="00485279">
        <w:rPr>
          <w:lang w:eastAsia="en-AU"/>
        </w:rPr>
        <w:t xml:space="preserve">. </w:t>
      </w:r>
      <w:r w:rsidRPr="001F46A8">
        <w:rPr>
          <w:lang w:eastAsia="en-AU"/>
        </w:rPr>
        <w:t>The rationale is the same as that explained above in relation to companies.</w:t>
      </w:r>
    </w:p>
    <w:p w14:paraId="76DBC010" w14:textId="70A9792C" w:rsidR="00D00F10" w:rsidRDefault="00D00F10">
      <w:pPr>
        <w:spacing w:after="200" w:line="276" w:lineRule="auto"/>
        <w:jc w:val="left"/>
        <w:rPr>
          <w:rFonts w:eastAsia="Times New Roman" w:cs="Times New Roman"/>
          <w:szCs w:val="24"/>
          <w:lang w:val="en-GB" w:eastAsia="en-AU"/>
        </w:rPr>
      </w:pPr>
      <w:r>
        <w:rPr>
          <w:rFonts w:eastAsia="Times New Roman" w:cs="Times New Roman"/>
          <w:szCs w:val="24"/>
          <w:lang w:val="en-GB" w:eastAsia="en-AU"/>
        </w:rPr>
        <w:br w:type="page"/>
      </w:r>
    </w:p>
    <w:p w14:paraId="4C154E77" w14:textId="77777777" w:rsidR="00ED09D1" w:rsidRDefault="00ED09D1" w:rsidP="00ED09D1">
      <w:pPr>
        <w:rPr>
          <w:rFonts w:eastAsia="Times New Roman" w:cs="Times New Roman"/>
          <w:szCs w:val="24"/>
          <w:lang w:val="en-GB" w:eastAsia="en-AU"/>
        </w:rPr>
      </w:pPr>
    </w:p>
    <w:p w14:paraId="687009F0" w14:textId="77777777" w:rsidR="00D00F10" w:rsidRDefault="00D00F10" w:rsidP="00ED09D1">
      <w:pPr>
        <w:rPr>
          <w:rFonts w:eastAsia="Times New Roman" w:cs="Times New Roman"/>
          <w:szCs w:val="24"/>
          <w:lang w:val="en-GB" w:eastAsia="en-AU"/>
        </w:rPr>
      </w:pPr>
    </w:p>
    <w:p w14:paraId="2D3A3845" w14:textId="77777777" w:rsidR="00D00F10" w:rsidRDefault="00D00F10" w:rsidP="00ED09D1">
      <w:pPr>
        <w:rPr>
          <w:rFonts w:eastAsia="Times New Roman" w:cs="Times New Roman"/>
          <w:szCs w:val="24"/>
          <w:lang w:val="en-GB" w:eastAsia="en-AU"/>
        </w:rPr>
      </w:pPr>
    </w:p>
    <w:p w14:paraId="3B6ED04F" w14:textId="77777777" w:rsidR="00DA5318" w:rsidRDefault="00DA5318" w:rsidP="00ED09D1">
      <w:pPr>
        <w:rPr>
          <w:rFonts w:eastAsia="Times New Roman" w:cs="Times New Roman"/>
          <w:szCs w:val="24"/>
          <w:lang w:val="en-GB" w:eastAsia="en-AU"/>
        </w:rPr>
      </w:pPr>
    </w:p>
    <w:p w14:paraId="253A3680" w14:textId="77777777" w:rsidR="00DA5318" w:rsidRDefault="00DA5318" w:rsidP="00ED09D1">
      <w:pPr>
        <w:rPr>
          <w:rFonts w:eastAsia="Times New Roman" w:cs="Times New Roman"/>
          <w:szCs w:val="24"/>
          <w:lang w:val="en-GB" w:eastAsia="en-AU"/>
        </w:rPr>
      </w:pPr>
    </w:p>
    <w:p w14:paraId="45499122" w14:textId="77777777" w:rsidR="00DA5318" w:rsidRDefault="00DA5318" w:rsidP="00ED09D1">
      <w:pPr>
        <w:rPr>
          <w:rFonts w:eastAsia="Times New Roman" w:cs="Times New Roman"/>
          <w:szCs w:val="24"/>
          <w:lang w:val="en-GB" w:eastAsia="en-AU"/>
        </w:rPr>
      </w:pPr>
    </w:p>
    <w:p w14:paraId="3251ADE1" w14:textId="77777777" w:rsidR="00DA5318" w:rsidRDefault="00DA5318" w:rsidP="00ED09D1">
      <w:pPr>
        <w:rPr>
          <w:rFonts w:eastAsia="Times New Roman" w:cs="Times New Roman"/>
          <w:szCs w:val="24"/>
          <w:lang w:val="en-GB" w:eastAsia="en-AU"/>
        </w:rPr>
      </w:pPr>
    </w:p>
    <w:p w14:paraId="2D8D811D" w14:textId="77777777" w:rsidR="00D00F10" w:rsidRDefault="00D00F10" w:rsidP="00ED09D1">
      <w:pPr>
        <w:rPr>
          <w:rFonts w:eastAsia="Times New Roman" w:cs="Times New Roman"/>
          <w:szCs w:val="24"/>
          <w:lang w:val="en-GB" w:eastAsia="en-AU"/>
        </w:rPr>
      </w:pPr>
    </w:p>
    <w:p w14:paraId="289F0B68" w14:textId="77777777" w:rsidR="00D00F10" w:rsidRDefault="00D00F10" w:rsidP="00ED09D1">
      <w:pPr>
        <w:rPr>
          <w:rFonts w:eastAsia="Times New Roman" w:cs="Times New Roman"/>
          <w:szCs w:val="24"/>
          <w:lang w:val="en-GB" w:eastAsia="en-AU"/>
        </w:rPr>
      </w:pPr>
    </w:p>
    <w:p w14:paraId="78854E66" w14:textId="77777777" w:rsidR="00D00F10" w:rsidRDefault="00D00F10" w:rsidP="00ED09D1">
      <w:pPr>
        <w:rPr>
          <w:rFonts w:eastAsia="Times New Roman" w:cs="Times New Roman"/>
          <w:szCs w:val="24"/>
          <w:lang w:val="en-GB" w:eastAsia="en-AU"/>
        </w:rPr>
      </w:pPr>
    </w:p>
    <w:p w14:paraId="2D1D930C" w14:textId="77777777" w:rsidR="00D00F10" w:rsidRDefault="00D00F10" w:rsidP="00ED09D1">
      <w:pPr>
        <w:rPr>
          <w:rFonts w:eastAsia="Times New Roman" w:cs="Times New Roman"/>
          <w:szCs w:val="24"/>
          <w:lang w:val="en-GB" w:eastAsia="en-AU"/>
        </w:rPr>
      </w:pPr>
    </w:p>
    <w:p w14:paraId="629EEDBA" w14:textId="77777777" w:rsidR="00D00F10" w:rsidRDefault="00D00F10" w:rsidP="00ED09D1">
      <w:pPr>
        <w:rPr>
          <w:rFonts w:eastAsia="Times New Roman" w:cs="Times New Roman"/>
          <w:szCs w:val="24"/>
          <w:lang w:val="en-GB" w:eastAsia="en-AU"/>
        </w:rPr>
      </w:pPr>
    </w:p>
    <w:p w14:paraId="0612E585" w14:textId="1C30DC84" w:rsidR="00D00F10" w:rsidRDefault="00D00F10" w:rsidP="00D00F10">
      <w:pPr>
        <w:pStyle w:val="Sectionheading"/>
        <w:rPr>
          <w:lang w:val="en-GB"/>
        </w:rPr>
      </w:pPr>
      <w:bookmarkStart w:id="57" w:name="_Toc528195593"/>
      <w:r>
        <w:rPr>
          <w:lang w:val="en-GB"/>
        </w:rPr>
        <w:t>Administrative requirements</w:t>
      </w:r>
      <w:bookmarkEnd w:id="57"/>
    </w:p>
    <w:p w14:paraId="1988815B" w14:textId="02885321" w:rsidR="00DA5318" w:rsidRDefault="00D00F10">
      <w:pPr>
        <w:spacing w:after="200" w:line="276" w:lineRule="auto"/>
        <w:jc w:val="left"/>
        <w:rPr>
          <w:lang w:val="en-GB"/>
        </w:rPr>
      </w:pPr>
      <w:r>
        <w:rPr>
          <w:lang w:val="en-GB"/>
        </w:rPr>
        <w:br w:type="page"/>
      </w:r>
      <w:r w:rsidR="00DA5318">
        <w:rPr>
          <w:lang w:val="en-GB"/>
        </w:rPr>
        <w:br w:type="page"/>
      </w:r>
    </w:p>
    <w:p w14:paraId="67642E7B" w14:textId="77777777" w:rsidR="00ED09D1" w:rsidRPr="00D966AA" w:rsidRDefault="00ED09D1" w:rsidP="00D249EB">
      <w:pPr>
        <w:pStyle w:val="Heading1"/>
      </w:pPr>
      <w:bookmarkStart w:id="58" w:name="_Toc528157374"/>
      <w:bookmarkStart w:id="59" w:name="_Toc528195594"/>
      <w:r w:rsidRPr="00D966AA">
        <w:t>Record keeping</w:t>
      </w:r>
      <w:bookmarkEnd w:id="58"/>
      <w:bookmarkEnd w:id="59"/>
    </w:p>
    <w:p w14:paraId="09580A84" w14:textId="77777777" w:rsidR="00ED09D1" w:rsidRDefault="00ED09D1" w:rsidP="00D249EB">
      <w:pPr>
        <w:pStyle w:val="Heading3"/>
      </w:pPr>
      <w:r w:rsidRPr="00D966AA">
        <w:t>Clause 26</w:t>
      </w:r>
    </w:p>
    <w:p w14:paraId="634792EB" w14:textId="77777777" w:rsidR="0049181E" w:rsidRDefault="0049181E" w:rsidP="00D249EB">
      <w:pPr>
        <w:rPr>
          <w:lang w:val="en-GB" w:eastAsia="en-AU"/>
        </w:rPr>
      </w:pPr>
    </w:p>
    <w:p w14:paraId="4BDC252D" w14:textId="77777777" w:rsidR="0049181E" w:rsidRPr="0049181E" w:rsidRDefault="0049181E" w:rsidP="00D249EB">
      <w:pPr>
        <w:rPr>
          <w:lang w:val="en-GB" w:eastAsia="en-AU"/>
        </w:rPr>
      </w:pPr>
    </w:p>
    <w:p w14:paraId="119817AA" w14:textId="74AF8883" w:rsidR="00ED09D1" w:rsidRPr="00D966AA" w:rsidRDefault="00ED09D1" w:rsidP="00D249EB">
      <w:pPr>
        <w:pStyle w:val="Heading2"/>
      </w:pPr>
      <w:r w:rsidRPr="00D966AA">
        <w:t>Summary of proposed amendment</w:t>
      </w:r>
    </w:p>
    <w:p w14:paraId="578B0716" w14:textId="77777777" w:rsidR="0049181E" w:rsidRDefault="0049181E" w:rsidP="00D249EB">
      <w:pPr>
        <w:rPr>
          <w:lang w:eastAsia="en-AU"/>
        </w:rPr>
      </w:pPr>
    </w:p>
    <w:p w14:paraId="12D08098" w14:textId="77777777" w:rsidR="00ED09D1" w:rsidRDefault="00ED09D1" w:rsidP="00D249EB">
      <w:pPr>
        <w:rPr>
          <w:lang w:eastAsia="en-AU"/>
        </w:rPr>
      </w:pPr>
      <w:r w:rsidRPr="00D966AA">
        <w:rPr>
          <w:lang w:eastAsia="en-AU"/>
        </w:rPr>
        <w:t>It is proposed that taxpayers must keep sufficient records to support their claim for an R&amp;D tax credit.</w:t>
      </w:r>
    </w:p>
    <w:p w14:paraId="0B9BCBBC" w14:textId="77777777" w:rsidR="0049181E" w:rsidRDefault="0049181E" w:rsidP="00D249EB">
      <w:pPr>
        <w:rPr>
          <w:lang w:eastAsia="en-AU"/>
        </w:rPr>
      </w:pPr>
    </w:p>
    <w:p w14:paraId="72E39E9F" w14:textId="77777777" w:rsidR="0049181E" w:rsidRPr="00D966AA" w:rsidRDefault="0049181E" w:rsidP="00D249EB">
      <w:pPr>
        <w:rPr>
          <w:lang w:eastAsia="en-AU"/>
        </w:rPr>
      </w:pPr>
    </w:p>
    <w:p w14:paraId="63E204A8" w14:textId="77777777" w:rsidR="00ED09D1" w:rsidRPr="00D966AA" w:rsidRDefault="00ED09D1" w:rsidP="00D249EB">
      <w:pPr>
        <w:pStyle w:val="Heading2"/>
      </w:pPr>
      <w:r w:rsidRPr="00D966AA">
        <w:t>Application date</w:t>
      </w:r>
    </w:p>
    <w:p w14:paraId="214923DD" w14:textId="77777777" w:rsidR="0049181E" w:rsidRDefault="0049181E" w:rsidP="00D249EB">
      <w:pPr>
        <w:rPr>
          <w:lang w:eastAsia="en-AU"/>
        </w:rPr>
      </w:pPr>
    </w:p>
    <w:p w14:paraId="70D99F22" w14:textId="4F152FD5" w:rsidR="00ED09D1" w:rsidRDefault="00ED09D1" w:rsidP="00D249EB">
      <w:pPr>
        <w:rPr>
          <w:lang w:eastAsia="en-AU"/>
        </w:rPr>
      </w:pPr>
      <w:r w:rsidRPr="00D966AA">
        <w:rPr>
          <w:lang w:eastAsia="en-AU"/>
        </w:rPr>
        <w:t xml:space="preserve">From the </w:t>
      </w:r>
      <w:r w:rsidR="00E010FC">
        <w:rPr>
          <w:lang w:eastAsia="en-AU"/>
        </w:rPr>
        <w:t>2019–20</w:t>
      </w:r>
      <w:r w:rsidRPr="00D966AA">
        <w:rPr>
          <w:lang w:eastAsia="en-AU"/>
        </w:rPr>
        <w:t xml:space="preserve"> income year.</w:t>
      </w:r>
    </w:p>
    <w:p w14:paraId="0DF1908F" w14:textId="77777777" w:rsidR="0049181E" w:rsidRDefault="0049181E" w:rsidP="00D249EB">
      <w:pPr>
        <w:rPr>
          <w:lang w:eastAsia="en-AU"/>
        </w:rPr>
      </w:pPr>
    </w:p>
    <w:p w14:paraId="07436511" w14:textId="77777777" w:rsidR="0049181E" w:rsidRPr="00D966AA" w:rsidRDefault="0049181E" w:rsidP="00D249EB">
      <w:pPr>
        <w:rPr>
          <w:lang w:eastAsia="en-AU"/>
        </w:rPr>
      </w:pPr>
    </w:p>
    <w:p w14:paraId="67BAD016" w14:textId="77777777" w:rsidR="00ED09D1" w:rsidRPr="00D966AA" w:rsidRDefault="00ED09D1" w:rsidP="00D249EB">
      <w:pPr>
        <w:pStyle w:val="Heading2"/>
      </w:pPr>
      <w:r w:rsidRPr="00D966AA">
        <w:t>Key features</w:t>
      </w:r>
    </w:p>
    <w:p w14:paraId="3F88E99C" w14:textId="77777777" w:rsidR="0049181E" w:rsidRDefault="0049181E" w:rsidP="00D249EB">
      <w:pPr>
        <w:rPr>
          <w:lang w:eastAsia="en-AU"/>
        </w:rPr>
      </w:pPr>
    </w:p>
    <w:p w14:paraId="04CDDC33" w14:textId="77777777" w:rsidR="00ED09D1" w:rsidRPr="00D966AA" w:rsidRDefault="00ED09D1" w:rsidP="00D249EB">
      <w:pPr>
        <w:rPr>
          <w:lang w:eastAsia="en-AU"/>
        </w:rPr>
      </w:pPr>
      <w:r w:rsidRPr="00D966AA">
        <w:rPr>
          <w:lang w:eastAsia="en-AU"/>
        </w:rPr>
        <w:t>It is proposed that:</w:t>
      </w:r>
    </w:p>
    <w:p w14:paraId="68853BD5" w14:textId="77777777" w:rsidR="00ED09D1" w:rsidRPr="00D966AA" w:rsidRDefault="00ED09D1" w:rsidP="00D249EB">
      <w:pPr>
        <w:rPr>
          <w:lang w:eastAsia="en-AU"/>
        </w:rPr>
      </w:pPr>
    </w:p>
    <w:p w14:paraId="5A555A21" w14:textId="1140DFCA" w:rsidR="00ED09D1" w:rsidRPr="00D966AA" w:rsidRDefault="00545E4B" w:rsidP="00D249EB">
      <w:pPr>
        <w:pStyle w:val="dotpoint"/>
      </w:pPr>
      <w:r>
        <w:t>p</w:t>
      </w:r>
      <w:r w:rsidR="00ED09D1" w:rsidRPr="00D966AA">
        <w:t xml:space="preserve">ersons who receive an R&amp;D tax credit </w:t>
      </w:r>
      <w:r w:rsidR="00823EB0">
        <w:t xml:space="preserve">be required to </w:t>
      </w:r>
      <w:r w:rsidR="00ED09D1" w:rsidRPr="00D966AA">
        <w:t>keep sufficient records to support their R&amp;D claim</w:t>
      </w:r>
      <w:r w:rsidR="005037E6">
        <w:t>;</w:t>
      </w:r>
    </w:p>
    <w:p w14:paraId="176F9894" w14:textId="2B65A185" w:rsidR="00ED09D1" w:rsidRPr="00D966AA" w:rsidRDefault="00545E4B" w:rsidP="00D249EB">
      <w:pPr>
        <w:pStyle w:val="dotpoint"/>
      </w:pPr>
      <w:r>
        <w:t>a</w:t>
      </w:r>
      <w:r w:rsidR="00ED09D1" w:rsidRPr="00D966AA">
        <w:t xml:space="preserve">pproved research providers </w:t>
      </w:r>
      <w:r w:rsidR="00823EB0">
        <w:t xml:space="preserve">be required to </w:t>
      </w:r>
      <w:r w:rsidR="00ED09D1" w:rsidRPr="00D966AA">
        <w:t xml:space="preserve">keep </w:t>
      </w:r>
      <w:r w:rsidR="00823EB0">
        <w:t xml:space="preserve">sufficient </w:t>
      </w:r>
      <w:r w:rsidR="00ED09D1" w:rsidRPr="00D966AA">
        <w:t>records to show:</w:t>
      </w:r>
    </w:p>
    <w:p w14:paraId="2F3D3185" w14:textId="09E17469" w:rsidR="00ED09D1" w:rsidRPr="00D966AA" w:rsidRDefault="00545E4B" w:rsidP="00231391">
      <w:pPr>
        <w:pStyle w:val="dotpoint2"/>
      </w:pPr>
      <w:r>
        <w:t>t</w:t>
      </w:r>
      <w:r w:rsidR="00ED09D1" w:rsidRPr="00D966AA">
        <w:t>hey meet the requirements to be an approved research provider; and</w:t>
      </w:r>
    </w:p>
    <w:p w14:paraId="59A1874B" w14:textId="6F9AB569" w:rsidR="00ED09D1" w:rsidRPr="00D966AA" w:rsidRDefault="00545E4B" w:rsidP="00231391">
      <w:pPr>
        <w:pStyle w:val="dotpoint2"/>
        <w:spacing w:after="0"/>
      </w:pPr>
      <w:r>
        <w:t>t</w:t>
      </w:r>
      <w:r w:rsidR="00ED09D1" w:rsidRPr="00D966AA">
        <w:t>he amounts derived and incurred by them in performing R&amp;D activities on behalf of other persons.</w:t>
      </w:r>
    </w:p>
    <w:p w14:paraId="24D02921" w14:textId="77777777" w:rsidR="00ED09D1" w:rsidRPr="00D966AA" w:rsidRDefault="00ED09D1" w:rsidP="00231391">
      <w:pPr>
        <w:rPr>
          <w:lang w:eastAsia="en-AU"/>
        </w:rPr>
      </w:pPr>
    </w:p>
    <w:p w14:paraId="60C6AB81" w14:textId="0C187E74" w:rsidR="00ED09D1" w:rsidRDefault="00ED09D1" w:rsidP="00231391">
      <w:pPr>
        <w:rPr>
          <w:lang w:eastAsia="en-AU"/>
        </w:rPr>
      </w:pPr>
      <w:r w:rsidRPr="00D966AA">
        <w:rPr>
          <w:lang w:eastAsia="en-AU"/>
        </w:rPr>
        <w:t xml:space="preserve">The records must be kept for </w:t>
      </w:r>
      <w:r w:rsidR="00F9138D">
        <w:rPr>
          <w:lang w:eastAsia="en-AU"/>
        </w:rPr>
        <w:t>seven</w:t>
      </w:r>
      <w:r w:rsidRPr="00D966AA">
        <w:rPr>
          <w:lang w:eastAsia="en-AU"/>
        </w:rPr>
        <w:t xml:space="preserve"> years after the end of the income year to which the records relate.</w:t>
      </w:r>
    </w:p>
    <w:p w14:paraId="40AE6FDF" w14:textId="77777777" w:rsidR="001C5F0C" w:rsidRDefault="001C5F0C" w:rsidP="00231391">
      <w:pPr>
        <w:rPr>
          <w:lang w:eastAsia="en-AU"/>
        </w:rPr>
      </w:pPr>
    </w:p>
    <w:p w14:paraId="7F068916" w14:textId="2CE3CBAA" w:rsidR="001C5F0C" w:rsidRDefault="001C5F0C" w:rsidP="00231391">
      <w:pPr>
        <w:rPr>
          <w:lang w:eastAsia="en-AU"/>
        </w:rPr>
      </w:pPr>
      <w:r>
        <w:rPr>
          <w:lang w:eastAsia="en-AU"/>
        </w:rPr>
        <w:t xml:space="preserve">Inland Revenue will </w:t>
      </w:r>
      <w:r w:rsidR="00545E4B">
        <w:rPr>
          <w:lang w:eastAsia="en-AU"/>
        </w:rPr>
        <w:t>provide</w:t>
      </w:r>
      <w:r>
        <w:rPr>
          <w:lang w:eastAsia="en-AU"/>
        </w:rPr>
        <w:t xml:space="preserve"> further guidance on the rec</w:t>
      </w:r>
      <w:r w:rsidR="00231391">
        <w:rPr>
          <w:lang w:eastAsia="en-AU"/>
        </w:rPr>
        <w:t>ord</w:t>
      </w:r>
      <w:r w:rsidR="003574F5">
        <w:rPr>
          <w:lang w:eastAsia="en-AU"/>
        </w:rPr>
        <w:t>s</w:t>
      </w:r>
      <w:r w:rsidR="00231391">
        <w:rPr>
          <w:lang w:eastAsia="en-AU"/>
        </w:rPr>
        <w:t xml:space="preserve"> firms are required to keep.</w:t>
      </w:r>
    </w:p>
    <w:p w14:paraId="0276D480" w14:textId="77777777" w:rsidR="0049181E" w:rsidRDefault="0049181E" w:rsidP="00231391">
      <w:pPr>
        <w:rPr>
          <w:lang w:eastAsia="en-AU"/>
        </w:rPr>
      </w:pPr>
    </w:p>
    <w:p w14:paraId="23C2E946" w14:textId="77777777" w:rsidR="0049181E" w:rsidRPr="00D966AA" w:rsidRDefault="0049181E" w:rsidP="00231391">
      <w:pPr>
        <w:rPr>
          <w:lang w:eastAsia="en-AU"/>
        </w:rPr>
      </w:pPr>
    </w:p>
    <w:p w14:paraId="38C61158" w14:textId="77777777" w:rsidR="00ED09D1" w:rsidRPr="00D966AA" w:rsidRDefault="00ED09D1" w:rsidP="00231391">
      <w:pPr>
        <w:pStyle w:val="Heading2"/>
      </w:pPr>
      <w:r w:rsidRPr="00D966AA">
        <w:t>Background</w:t>
      </w:r>
    </w:p>
    <w:p w14:paraId="26454AB4" w14:textId="77777777" w:rsidR="0049181E" w:rsidRDefault="0049181E" w:rsidP="00231391">
      <w:pPr>
        <w:rPr>
          <w:lang w:eastAsia="en-AU"/>
        </w:rPr>
      </w:pPr>
    </w:p>
    <w:p w14:paraId="21943CA8" w14:textId="77777777" w:rsidR="00ED09D1" w:rsidRDefault="00ED09D1" w:rsidP="00231391">
      <w:pPr>
        <w:rPr>
          <w:lang w:eastAsia="en-AU"/>
        </w:rPr>
      </w:pPr>
      <w:r w:rsidRPr="00D966AA">
        <w:rPr>
          <w:lang w:eastAsia="en-AU"/>
        </w:rPr>
        <w:t>The rationale for requiring taxpayers to keep records is so that they are able to substantiate their claim.</w:t>
      </w:r>
    </w:p>
    <w:p w14:paraId="077BF3CF" w14:textId="77777777" w:rsidR="0049181E" w:rsidRDefault="0049181E" w:rsidP="00231391">
      <w:pPr>
        <w:rPr>
          <w:lang w:eastAsia="en-AU"/>
        </w:rPr>
      </w:pPr>
    </w:p>
    <w:p w14:paraId="3944FA5B" w14:textId="77777777" w:rsidR="0049181E" w:rsidRPr="00D966AA" w:rsidRDefault="0049181E" w:rsidP="00231391">
      <w:pPr>
        <w:rPr>
          <w:lang w:eastAsia="en-AU"/>
        </w:rPr>
      </w:pPr>
    </w:p>
    <w:p w14:paraId="4EE7AAC8" w14:textId="77777777" w:rsidR="00ED09D1" w:rsidRPr="00D966AA" w:rsidRDefault="00ED09D1" w:rsidP="00231391">
      <w:pPr>
        <w:pStyle w:val="Heading2"/>
      </w:pPr>
      <w:r w:rsidRPr="00D966AA">
        <w:t>Detailed analysis</w:t>
      </w:r>
    </w:p>
    <w:p w14:paraId="4B4FA678" w14:textId="77777777" w:rsidR="0049181E" w:rsidRDefault="0049181E" w:rsidP="00231391">
      <w:pPr>
        <w:rPr>
          <w:lang w:eastAsia="en-AU"/>
        </w:rPr>
      </w:pPr>
    </w:p>
    <w:p w14:paraId="288FABE0" w14:textId="04B75BD3" w:rsidR="00ED09D1" w:rsidRPr="00D966AA" w:rsidRDefault="00ED09D1" w:rsidP="00231391">
      <w:pPr>
        <w:rPr>
          <w:lang w:eastAsia="en-AU"/>
        </w:rPr>
      </w:pPr>
      <w:r w:rsidRPr="00D966AA">
        <w:rPr>
          <w:lang w:eastAsia="en-AU"/>
        </w:rPr>
        <w:t>Section 22</w:t>
      </w:r>
      <w:r w:rsidR="007C2EB9">
        <w:rPr>
          <w:lang w:eastAsia="en-AU"/>
        </w:rPr>
        <w:t xml:space="preserve"> of the Tax Administration Act 1994</w:t>
      </w:r>
      <w:r w:rsidRPr="00D966AA">
        <w:rPr>
          <w:lang w:eastAsia="en-AU"/>
        </w:rPr>
        <w:t xml:space="preserve">, which sets out the keeping of business and other records, is being amended to require persons receiving an R&amp;D tax credit and approved research providers to keep, for </w:t>
      </w:r>
      <w:r w:rsidR="00F9138D">
        <w:rPr>
          <w:lang w:eastAsia="en-AU"/>
        </w:rPr>
        <w:t>seven</w:t>
      </w:r>
      <w:r w:rsidRPr="00D966AA">
        <w:rPr>
          <w:lang w:eastAsia="en-AU"/>
        </w:rPr>
        <w:t xml:space="preserve"> years, sufficient records so that the Commissioner may readily ascertain:</w:t>
      </w:r>
    </w:p>
    <w:p w14:paraId="2AC17576" w14:textId="77777777" w:rsidR="00ED09D1" w:rsidRPr="00D966AA" w:rsidRDefault="00ED09D1" w:rsidP="00231391">
      <w:pPr>
        <w:rPr>
          <w:lang w:eastAsia="en-AU"/>
        </w:rPr>
      </w:pPr>
    </w:p>
    <w:p w14:paraId="5AC3F579" w14:textId="6887FC9C" w:rsidR="00ED09D1" w:rsidRPr="00D966AA" w:rsidRDefault="00545E4B" w:rsidP="00231391">
      <w:pPr>
        <w:pStyle w:val="dotpoint"/>
      </w:pPr>
      <w:r>
        <w:t>t</w:t>
      </w:r>
      <w:r w:rsidR="00ED09D1" w:rsidRPr="00D966AA">
        <w:t>he am</w:t>
      </w:r>
      <w:r w:rsidR="00231391">
        <w:t>ount of the person’s credit</w:t>
      </w:r>
      <w:r>
        <w:t>;</w:t>
      </w:r>
      <w:r w:rsidR="00231391">
        <w:t xml:space="preserve"> or</w:t>
      </w:r>
    </w:p>
    <w:p w14:paraId="2AAD1958" w14:textId="593F8181" w:rsidR="00ED09D1" w:rsidRPr="00D966AA" w:rsidRDefault="00545E4B" w:rsidP="00231391">
      <w:pPr>
        <w:pStyle w:val="dotpoint"/>
        <w:spacing w:after="0"/>
      </w:pPr>
      <w:r>
        <w:t>i</w:t>
      </w:r>
      <w:r w:rsidR="00ED09D1" w:rsidRPr="00D966AA">
        <w:t>n the case of approved research providers, their compliance with the requirements to be an approved research provider, and the amounts incurred by them in performing R&amp;D activities on behalf of others.</w:t>
      </w:r>
    </w:p>
    <w:p w14:paraId="4DB21E82" w14:textId="77777777" w:rsidR="00ED09D1" w:rsidRPr="00D966AA" w:rsidRDefault="00ED09D1" w:rsidP="00231391">
      <w:pPr>
        <w:rPr>
          <w:lang w:eastAsia="en-AU"/>
        </w:rPr>
      </w:pPr>
    </w:p>
    <w:p w14:paraId="45493D63" w14:textId="00A65495" w:rsidR="00ED09D1" w:rsidRPr="00D966AA" w:rsidRDefault="00ED09D1" w:rsidP="00231391">
      <w:pPr>
        <w:rPr>
          <w:lang w:eastAsia="en-AU"/>
        </w:rPr>
      </w:pPr>
      <w:r w:rsidRPr="00D966AA">
        <w:rPr>
          <w:lang w:eastAsia="en-AU"/>
        </w:rPr>
        <w:t xml:space="preserve">For Inland Revenue to </w:t>
      </w:r>
      <w:r w:rsidR="003574F5">
        <w:rPr>
          <w:lang w:eastAsia="en-AU"/>
        </w:rPr>
        <w:t xml:space="preserve">calculate and approve </w:t>
      </w:r>
      <w:r w:rsidRPr="00D966AA">
        <w:rPr>
          <w:lang w:eastAsia="en-AU"/>
        </w:rPr>
        <w:t xml:space="preserve">the </w:t>
      </w:r>
      <w:r w:rsidR="00845E5F">
        <w:rPr>
          <w:lang w:eastAsia="en-AU"/>
        </w:rPr>
        <w:t xml:space="preserve">R&amp;D </w:t>
      </w:r>
      <w:r w:rsidRPr="00D966AA">
        <w:rPr>
          <w:lang w:eastAsia="en-AU"/>
        </w:rPr>
        <w:t xml:space="preserve">tax </w:t>
      </w:r>
      <w:r w:rsidR="00845E5F">
        <w:rPr>
          <w:lang w:eastAsia="en-AU"/>
        </w:rPr>
        <w:t>credit</w:t>
      </w:r>
      <w:r w:rsidR="003574F5">
        <w:rPr>
          <w:lang w:eastAsia="en-AU"/>
        </w:rPr>
        <w:t>,</w:t>
      </w:r>
      <w:r w:rsidR="00845E5F">
        <w:rPr>
          <w:lang w:eastAsia="en-AU"/>
        </w:rPr>
        <w:t xml:space="preserve"> </w:t>
      </w:r>
      <w:r w:rsidRPr="00D966AA">
        <w:rPr>
          <w:lang w:eastAsia="en-AU"/>
        </w:rPr>
        <w:t>the claim must be based on records which identify the creator and the date of creation, not records which are backdated or created at year end.</w:t>
      </w:r>
    </w:p>
    <w:p w14:paraId="25C4E8D7" w14:textId="77777777" w:rsidR="00ED09D1" w:rsidRPr="00D966AA" w:rsidRDefault="00ED09D1" w:rsidP="00231391">
      <w:pPr>
        <w:rPr>
          <w:lang w:eastAsia="en-AU"/>
        </w:rPr>
      </w:pPr>
    </w:p>
    <w:p w14:paraId="0E254CD6" w14:textId="77777777" w:rsidR="00ED09D1" w:rsidRPr="00D966AA" w:rsidRDefault="00ED09D1" w:rsidP="00231391">
      <w:pPr>
        <w:rPr>
          <w:lang w:eastAsia="en-AU"/>
        </w:rPr>
      </w:pPr>
      <w:r w:rsidRPr="00D966AA">
        <w:rPr>
          <w:lang w:eastAsia="en-AU"/>
        </w:rPr>
        <w:t>These record keeping requirements go beyond the general financial records that businesses must keep under section 22.</w:t>
      </w:r>
    </w:p>
    <w:p w14:paraId="48016138" w14:textId="77777777" w:rsidR="00ED09D1" w:rsidRPr="00D966AA" w:rsidRDefault="00ED09D1" w:rsidP="00231391"/>
    <w:p w14:paraId="77FB7303" w14:textId="77777777" w:rsidR="00ED09D1" w:rsidRPr="00D966AA" w:rsidRDefault="00ED09D1" w:rsidP="00231391">
      <w:pPr>
        <w:pStyle w:val="Heading3"/>
      </w:pPr>
      <w:r w:rsidRPr="00D966AA">
        <w:t>Claiming an R&amp;D tax credit</w:t>
      </w:r>
    </w:p>
    <w:p w14:paraId="047839D9" w14:textId="77777777" w:rsidR="00ED09D1" w:rsidRPr="00D966AA" w:rsidRDefault="00ED09D1" w:rsidP="00231391"/>
    <w:p w14:paraId="134FE1C6" w14:textId="7196D3A8" w:rsidR="00ED09D1" w:rsidRPr="00D966AA" w:rsidRDefault="00ED09D1" w:rsidP="00231391">
      <w:pPr>
        <w:rPr>
          <w:rFonts w:eastAsia="Times New Roman" w:cs="Times New Roman"/>
          <w:szCs w:val="20"/>
          <w:lang w:eastAsia="en-AU"/>
        </w:rPr>
      </w:pPr>
      <w:r w:rsidRPr="00D966AA">
        <w:rPr>
          <w:rFonts w:eastAsia="Times New Roman" w:cs="Times New Roman"/>
          <w:szCs w:val="20"/>
          <w:lang w:eastAsia="en-AU"/>
        </w:rPr>
        <w:t xml:space="preserve">A person claiming an R&amp;D tax credit will need to keep records for </w:t>
      </w:r>
      <w:r w:rsidR="00A67BD0">
        <w:rPr>
          <w:rFonts w:eastAsia="Times New Roman" w:cs="Times New Roman"/>
          <w:szCs w:val="20"/>
          <w:lang w:eastAsia="en-AU"/>
        </w:rPr>
        <w:t>seven</w:t>
      </w:r>
      <w:r w:rsidRPr="00D966AA">
        <w:rPr>
          <w:rFonts w:eastAsia="Times New Roman" w:cs="Times New Roman"/>
          <w:szCs w:val="20"/>
          <w:lang w:eastAsia="en-AU"/>
        </w:rPr>
        <w:t xml:space="preserve"> years to substantiate the following:</w:t>
      </w:r>
    </w:p>
    <w:p w14:paraId="7A951549" w14:textId="77777777" w:rsidR="00ED09D1" w:rsidRPr="00D966AA" w:rsidRDefault="00ED09D1" w:rsidP="00231391">
      <w:pPr>
        <w:rPr>
          <w:rFonts w:eastAsia="Times New Roman" w:cs="Times New Roman"/>
          <w:szCs w:val="20"/>
          <w:lang w:eastAsia="en-AU"/>
        </w:rPr>
      </w:pPr>
    </w:p>
    <w:p w14:paraId="445E7FBD" w14:textId="50B3B78B" w:rsidR="00ED09D1" w:rsidRPr="00D966AA" w:rsidRDefault="00E805BC" w:rsidP="00231391">
      <w:pPr>
        <w:pStyle w:val="dotpoint"/>
      </w:pPr>
      <w:r>
        <w:t>e</w:t>
      </w:r>
      <w:r w:rsidR="00ED09D1" w:rsidRPr="00D966AA">
        <w:t>ligibility</w:t>
      </w:r>
      <w:r w:rsidR="00845E5F">
        <w:t>;</w:t>
      </w:r>
    </w:p>
    <w:p w14:paraId="785756FD" w14:textId="77777777" w:rsidR="00ED09D1" w:rsidRPr="00D966AA" w:rsidRDefault="00ED09D1" w:rsidP="00231391">
      <w:pPr>
        <w:pStyle w:val="dotpoint"/>
      </w:pPr>
      <w:r w:rsidRPr="00D966AA">
        <w:t>R&amp;D activity</w:t>
      </w:r>
      <w:r w:rsidR="00845E5F">
        <w:t>; and</w:t>
      </w:r>
    </w:p>
    <w:p w14:paraId="49B1263D" w14:textId="77777777" w:rsidR="00ED09D1" w:rsidRPr="00D966AA" w:rsidRDefault="00ED09D1" w:rsidP="00231391">
      <w:pPr>
        <w:pStyle w:val="dotpoint"/>
        <w:spacing w:after="0"/>
      </w:pPr>
      <w:r w:rsidRPr="00D966AA">
        <w:t>R&amp;D expenditure</w:t>
      </w:r>
      <w:r w:rsidR="00845E5F">
        <w:t>.</w:t>
      </w:r>
    </w:p>
    <w:p w14:paraId="2C14D597" w14:textId="77777777" w:rsidR="00ED09D1" w:rsidRPr="00D966AA" w:rsidRDefault="00ED09D1" w:rsidP="00231391">
      <w:pPr>
        <w:rPr>
          <w:lang w:eastAsia="en-AU"/>
        </w:rPr>
      </w:pPr>
    </w:p>
    <w:p w14:paraId="3652DD1E" w14:textId="125D95B1" w:rsidR="00ED09D1" w:rsidRPr="00D966AA" w:rsidRDefault="00ED09D1" w:rsidP="00231391">
      <w:pPr>
        <w:rPr>
          <w:lang w:eastAsia="en-AU"/>
        </w:rPr>
      </w:pPr>
      <w:r w:rsidRPr="00D966AA">
        <w:rPr>
          <w:lang w:eastAsia="en-AU"/>
        </w:rPr>
        <w:t xml:space="preserve">The type of evidence required to substantiate the above will </w:t>
      </w:r>
      <w:r w:rsidR="002149C8">
        <w:rPr>
          <w:lang w:eastAsia="en-AU"/>
        </w:rPr>
        <w:t>include</w:t>
      </w:r>
      <w:r w:rsidR="003574F5">
        <w:rPr>
          <w:lang w:eastAsia="en-AU"/>
        </w:rPr>
        <w:t xml:space="preserve"> </w:t>
      </w:r>
      <w:r w:rsidRPr="00D966AA">
        <w:rPr>
          <w:lang w:eastAsia="en-AU"/>
        </w:rPr>
        <w:t>project documentation (such as log sheets, project plans and test results), as well as minutes of meetings, internal reports, receipts and contracts.</w:t>
      </w:r>
    </w:p>
    <w:p w14:paraId="23F9AAE1" w14:textId="77777777" w:rsidR="00ED09D1" w:rsidRPr="00D966AA" w:rsidRDefault="00ED09D1" w:rsidP="00231391">
      <w:pPr>
        <w:rPr>
          <w:lang w:eastAsia="en-AU"/>
        </w:rPr>
      </w:pPr>
    </w:p>
    <w:p w14:paraId="3C1D518E" w14:textId="2B4450AA" w:rsidR="00ED09D1" w:rsidRPr="00D966AA" w:rsidRDefault="00ED09D1" w:rsidP="00231391">
      <w:pPr>
        <w:rPr>
          <w:lang w:eastAsia="en-AU"/>
        </w:rPr>
      </w:pPr>
      <w:r w:rsidRPr="00D966AA">
        <w:rPr>
          <w:lang w:eastAsia="en-AU"/>
        </w:rPr>
        <w:t>The onus is on the person claiming the credit to have sufficient records</w:t>
      </w:r>
      <w:r w:rsidR="00485279">
        <w:rPr>
          <w:lang w:eastAsia="en-AU"/>
        </w:rPr>
        <w:t xml:space="preserve">. </w:t>
      </w:r>
      <w:r w:rsidRPr="00D966AA">
        <w:rPr>
          <w:lang w:eastAsia="en-AU"/>
        </w:rPr>
        <w:t xml:space="preserve">This means that where the person has engaged a contractor to perform the R&amp;D activities, the person will need to ensure that the contractor provides them with </w:t>
      </w:r>
      <w:r w:rsidR="003574F5">
        <w:rPr>
          <w:lang w:eastAsia="en-AU"/>
        </w:rPr>
        <w:t>the required</w:t>
      </w:r>
      <w:r w:rsidRPr="00D966AA">
        <w:rPr>
          <w:lang w:eastAsia="en-AU"/>
        </w:rPr>
        <w:t xml:space="preserve"> evidence</w:t>
      </w:r>
      <w:r w:rsidR="003574F5">
        <w:rPr>
          <w:lang w:eastAsia="en-AU"/>
        </w:rPr>
        <w:t>,</w:t>
      </w:r>
      <w:r w:rsidRPr="00D966AA">
        <w:rPr>
          <w:lang w:eastAsia="en-AU"/>
        </w:rPr>
        <w:t xml:space="preserve"> of the activities undertaken and the expenditure incurred.</w:t>
      </w:r>
    </w:p>
    <w:p w14:paraId="4BCE89EE" w14:textId="77777777" w:rsidR="00ED09D1" w:rsidRPr="00D966AA" w:rsidRDefault="00ED09D1" w:rsidP="00231391">
      <w:pPr>
        <w:rPr>
          <w:lang w:eastAsia="en-AU"/>
        </w:rPr>
      </w:pPr>
    </w:p>
    <w:p w14:paraId="4D8E4507" w14:textId="77777777" w:rsidR="00ED09D1" w:rsidRPr="00D966AA" w:rsidRDefault="00ED09D1" w:rsidP="00231391">
      <w:pPr>
        <w:pStyle w:val="Heading4"/>
      </w:pPr>
      <w:r w:rsidRPr="00D966AA">
        <w:t>Business eligibility</w:t>
      </w:r>
    </w:p>
    <w:p w14:paraId="65FB0804" w14:textId="77777777" w:rsidR="00ED09D1" w:rsidRPr="00D966AA" w:rsidRDefault="00ED09D1" w:rsidP="00231391">
      <w:pPr>
        <w:rPr>
          <w:lang w:eastAsia="en-AU"/>
        </w:rPr>
      </w:pPr>
    </w:p>
    <w:p w14:paraId="6A6F5F90" w14:textId="77777777" w:rsidR="00ED09D1" w:rsidRPr="00D966AA" w:rsidRDefault="00ED09D1" w:rsidP="00231391">
      <w:pPr>
        <w:rPr>
          <w:lang w:eastAsia="en-AU"/>
        </w:rPr>
      </w:pPr>
      <w:r w:rsidRPr="00D966AA">
        <w:rPr>
          <w:lang w:eastAsia="en-AU"/>
        </w:rPr>
        <w:t>Records will need to be kept to evidence the following:</w:t>
      </w:r>
    </w:p>
    <w:p w14:paraId="4DB1F68C" w14:textId="77777777" w:rsidR="00ED09D1" w:rsidRPr="00D966AA" w:rsidRDefault="00ED09D1" w:rsidP="00231391">
      <w:pPr>
        <w:rPr>
          <w:lang w:eastAsia="en-AU"/>
        </w:rPr>
      </w:pPr>
    </w:p>
    <w:p w14:paraId="3F4C2D87" w14:textId="09B041CE" w:rsidR="00ED09D1" w:rsidRPr="00D966AA" w:rsidRDefault="00E805BC" w:rsidP="00231391">
      <w:pPr>
        <w:pStyle w:val="dotpoint"/>
      </w:pPr>
      <w:r>
        <w:t>a</w:t>
      </w:r>
      <w:r w:rsidR="00ED09D1" w:rsidRPr="00D966AA">
        <w:t>n R&amp;D activity is performed in New Zealand</w:t>
      </w:r>
      <w:r w:rsidR="00845E5F">
        <w:t>;</w:t>
      </w:r>
    </w:p>
    <w:p w14:paraId="687B779F" w14:textId="2F151DEA" w:rsidR="00ED09D1" w:rsidRPr="00D966AA" w:rsidRDefault="00E805BC" w:rsidP="00231391">
      <w:pPr>
        <w:pStyle w:val="dotpoint"/>
      </w:pPr>
      <w:r>
        <w:t>t</w:t>
      </w:r>
      <w:r w:rsidR="00ED09D1" w:rsidRPr="00D966AA">
        <w:t>he person carries on business in New Zealand</w:t>
      </w:r>
      <w:r w:rsidR="00845E5F">
        <w:t>;</w:t>
      </w:r>
    </w:p>
    <w:p w14:paraId="63A8F7F6" w14:textId="44E47054" w:rsidR="00ED09D1" w:rsidRPr="00D966AA" w:rsidRDefault="00E805BC" w:rsidP="00231391">
      <w:pPr>
        <w:pStyle w:val="dotpoint"/>
      </w:pPr>
      <w:r>
        <w:t>t</w:t>
      </w:r>
      <w:r w:rsidR="00ED09D1" w:rsidRPr="00D966AA">
        <w:t>he person, or a company in the same corporate group has the R&amp;D controlling rights over the R&amp;D activity</w:t>
      </w:r>
      <w:r w:rsidR="00845E5F">
        <w:t>; and</w:t>
      </w:r>
    </w:p>
    <w:p w14:paraId="643D731A" w14:textId="0931E728" w:rsidR="00ED09D1" w:rsidRPr="00D966AA" w:rsidRDefault="00E805BC" w:rsidP="00231391">
      <w:pPr>
        <w:pStyle w:val="dotpoint"/>
      </w:pPr>
      <w:r>
        <w:t>t</w:t>
      </w:r>
      <w:r w:rsidR="00845E5F">
        <w:t>hat</w:t>
      </w:r>
      <w:r w:rsidR="00ED09D1" w:rsidRPr="00D966AA">
        <w:t>:</w:t>
      </w:r>
    </w:p>
    <w:p w14:paraId="2475AB60" w14:textId="1E50DAAC" w:rsidR="00ED09D1" w:rsidRPr="00D966AA" w:rsidRDefault="00E805BC" w:rsidP="00231391">
      <w:pPr>
        <w:pStyle w:val="dotpoint2"/>
      </w:pPr>
      <w:r>
        <w:t>t</w:t>
      </w:r>
      <w:r w:rsidR="00ED09D1" w:rsidRPr="00D966AA">
        <w:t>he person, or a company that is in the same group of companies as the person and is resident in a country with which New Zealand has a double tax agreement, owns the results of the R&amp;D activity</w:t>
      </w:r>
      <w:r w:rsidR="00845E5F">
        <w:t>;</w:t>
      </w:r>
      <w:r w:rsidR="00845E5F" w:rsidRPr="00D966AA">
        <w:t xml:space="preserve"> </w:t>
      </w:r>
      <w:r w:rsidR="00231391">
        <w:t>or</w:t>
      </w:r>
    </w:p>
    <w:p w14:paraId="513C502D" w14:textId="52862E6D" w:rsidR="00ED09D1" w:rsidRPr="00D966AA" w:rsidRDefault="00E805BC" w:rsidP="00231391">
      <w:pPr>
        <w:pStyle w:val="dotpoint2"/>
        <w:spacing w:after="0"/>
      </w:pPr>
      <w:r>
        <w:t>t</w:t>
      </w:r>
      <w:r w:rsidR="00845E5F">
        <w:t>he person h</w:t>
      </w:r>
      <w:r w:rsidR="00845E5F" w:rsidRPr="00D966AA">
        <w:t xml:space="preserve">as </w:t>
      </w:r>
      <w:r w:rsidR="00ED09D1" w:rsidRPr="00D966AA">
        <w:t>the ability to use the results for no further consideration.</w:t>
      </w:r>
    </w:p>
    <w:p w14:paraId="11DCA112" w14:textId="77777777" w:rsidR="00ED09D1" w:rsidRDefault="00ED09D1" w:rsidP="00231391"/>
    <w:p w14:paraId="581BF765" w14:textId="77777777" w:rsidR="00ED09D1" w:rsidRPr="00D966AA" w:rsidRDefault="00ED09D1" w:rsidP="00231391">
      <w:pPr>
        <w:pStyle w:val="Heading4"/>
      </w:pPr>
      <w:r w:rsidRPr="00D966AA">
        <w:t>R&amp;D activity</w:t>
      </w:r>
    </w:p>
    <w:p w14:paraId="43EEBEF3" w14:textId="77777777" w:rsidR="00ED09D1" w:rsidRPr="00D966AA" w:rsidRDefault="00ED09D1" w:rsidP="00231391"/>
    <w:p w14:paraId="39204147" w14:textId="5D81846A" w:rsidR="00ED09D1" w:rsidRPr="00D966AA" w:rsidRDefault="00ED09D1" w:rsidP="00231391">
      <w:pPr>
        <w:rPr>
          <w:rFonts w:eastAsia="Times New Roman" w:cs="Times New Roman"/>
          <w:szCs w:val="20"/>
          <w:lang w:eastAsia="en-AU"/>
        </w:rPr>
      </w:pPr>
      <w:r w:rsidRPr="00D966AA">
        <w:rPr>
          <w:rFonts w:eastAsia="Times New Roman" w:cs="Times New Roman"/>
          <w:szCs w:val="20"/>
          <w:lang w:eastAsia="en-AU"/>
        </w:rPr>
        <w:t xml:space="preserve">It is proposed that a person must keep records to demonstrate that the activities they undertook met the definition of </w:t>
      </w:r>
      <w:r w:rsidR="00A67BD0">
        <w:rPr>
          <w:rFonts w:eastAsia="Times New Roman" w:cs="Times New Roman"/>
          <w:szCs w:val="20"/>
          <w:lang w:eastAsia="en-AU"/>
        </w:rPr>
        <w:t>R&amp;D</w:t>
      </w:r>
      <w:r w:rsidRPr="00D966AA">
        <w:rPr>
          <w:rFonts w:eastAsia="Times New Roman" w:cs="Times New Roman"/>
          <w:szCs w:val="20"/>
          <w:lang w:eastAsia="en-AU"/>
        </w:rPr>
        <w:t xml:space="preserve"> activity</w:t>
      </w:r>
      <w:r w:rsidR="00485279">
        <w:rPr>
          <w:rFonts w:eastAsia="Times New Roman" w:cs="Times New Roman"/>
          <w:szCs w:val="20"/>
          <w:lang w:eastAsia="en-AU"/>
        </w:rPr>
        <w:t xml:space="preserve">. </w:t>
      </w:r>
      <w:r w:rsidRPr="00D966AA">
        <w:rPr>
          <w:rFonts w:eastAsia="Times New Roman" w:cs="Times New Roman"/>
          <w:szCs w:val="20"/>
          <w:lang w:eastAsia="en-AU"/>
        </w:rPr>
        <w:t>The type of records that must be kept include</w:t>
      </w:r>
      <w:r w:rsidR="00845E5F">
        <w:rPr>
          <w:rFonts w:eastAsia="Times New Roman" w:cs="Times New Roman"/>
          <w:szCs w:val="20"/>
          <w:lang w:eastAsia="en-AU"/>
        </w:rPr>
        <w:t xml:space="preserve"> records which show</w:t>
      </w:r>
      <w:r w:rsidRPr="00D966AA">
        <w:rPr>
          <w:rFonts w:eastAsia="Times New Roman" w:cs="Times New Roman"/>
          <w:szCs w:val="20"/>
          <w:lang w:eastAsia="en-AU"/>
        </w:rPr>
        <w:t>:</w:t>
      </w:r>
    </w:p>
    <w:p w14:paraId="257501D5" w14:textId="77777777" w:rsidR="00ED09D1" w:rsidRPr="00D966AA" w:rsidRDefault="00ED09D1" w:rsidP="00231391">
      <w:pPr>
        <w:rPr>
          <w:lang w:val="en-GB" w:eastAsia="en-AU"/>
        </w:rPr>
      </w:pPr>
    </w:p>
    <w:p w14:paraId="14D41555" w14:textId="78CAD6CB" w:rsidR="00ED09D1" w:rsidRPr="00D966AA" w:rsidRDefault="00E805BC" w:rsidP="00231391">
      <w:pPr>
        <w:pStyle w:val="dotpoint"/>
      </w:pPr>
      <w:r>
        <w:t>t</w:t>
      </w:r>
      <w:r w:rsidR="00ED09D1" w:rsidRPr="00D966AA">
        <w:t>he purpose of the R&amp;D</w:t>
      </w:r>
      <w:r w:rsidR="005037E6">
        <w:t>;</w:t>
      </w:r>
    </w:p>
    <w:p w14:paraId="27432643" w14:textId="2C921291" w:rsidR="00ED09D1" w:rsidRPr="00D966AA" w:rsidRDefault="00E805BC" w:rsidP="00231391">
      <w:pPr>
        <w:pStyle w:val="dotpoint"/>
      </w:pPr>
      <w:r>
        <w:t>t</w:t>
      </w:r>
      <w:r w:rsidR="00ED09D1" w:rsidRPr="00D966AA">
        <w:t>he scientific or technological uncertainty the R&amp;D intends to resolve</w:t>
      </w:r>
      <w:r w:rsidR="005037E6">
        <w:t>;</w:t>
      </w:r>
    </w:p>
    <w:p w14:paraId="561F9DA6" w14:textId="5CB0DEFA" w:rsidR="00ED09D1" w:rsidRPr="00D966AA" w:rsidRDefault="00E805BC" w:rsidP="00231391">
      <w:pPr>
        <w:pStyle w:val="dotpoint"/>
      </w:pPr>
      <w:r>
        <w:t>w</w:t>
      </w:r>
      <w:r w:rsidR="00ED09D1" w:rsidRPr="00D966AA">
        <w:t>hy that uncertainty could not be resolved by information that is publicly available or deductible by a competent professional</w:t>
      </w:r>
      <w:r w:rsidR="005037E6">
        <w:t>;</w:t>
      </w:r>
    </w:p>
    <w:p w14:paraId="15EFC3D2" w14:textId="73AC650F" w:rsidR="00ED09D1" w:rsidRPr="00D966AA" w:rsidRDefault="00E805BC" w:rsidP="00231391">
      <w:pPr>
        <w:pStyle w:val="dotpoint"/>
      </w:pPr>
      <w:r>
        <w:t>t</w:t>
      </w:r>
      <w:r w:rsidR="00ED09D1" w:rsidRPr="00D966AA">
        <w:t>he systematic approach that was undertaken to try resolve the uncertainty</w:t>
      </w:r>
      <w:r w:rsidR="005037E6">
        <w:t>;</w:t>
      </w:r>
      <w:r w:rsidR="00823EB0">
        <w:t xml:space="preserve"> and</w:t>
      </w:r>
    </w:p>
    <w:p w14:paraId="2A3812F3" w14:textId="2757C405" w:rsidR="00ED09D1" w:rsidRDefault="00E805BC" w:rsidP="00231391">
      <w:pPr>
        <w:pStyle w:val="dotpoint"/>
        <w:spacing w:after="0"/>
      </w:pPr>
      <w:r>
        <w:t>t</w:t>
      </w:r>
      <w:r w:rsidR="00ED09D1" w:rsidRPr="00D966AA">
        <w:t>he nature of any supporting activities, and evidence to show they were integral to the core R&amp;D activity.</w:t>
      </w:r>
    </w:p>
    <w:p w14:paraId="6C32C31E" w14:textId="77777777" w:rsidR="00231391" w:rsidRDefault="00231391" w:rsidP="00231391"/>
    <w:p w14:paraId="7274422B" w14:textId="77777777" w:rsidR="00231391" w:rsidRPr="00D966AA" w:rsidRDefault="00231391" w:rsidP="00231391"/>
    <w:p w14:paraId="2B5E153A" w14:textId="77777777" w:rsidR="00ED09D1" w:rsidRPr="00D966AA" w:rsidRDefault="00ED09D1" w:rsidP="00231391">
      <w:pPr>
        <w:pStyle w:val="Heading4"/>
      </w:pPr>
      <w:r w:rsidRPr="00D966AA">
        <w:t>R&amp;D expenditure</w:t>
      </w:r>
    </w:p>
    <w:p w14:paraId="5361246A" w14:textId="77777777" w:rsidR="00ED09D1" w:rsidRPr="00D966AA" w:rsidRDefault="00ED09D1" w:rsidP="00231391"/>
    <w:p w14:paraId="50BEE840" w14:textId="77777777" w:rsidR="00ED09D1" w:rsidRPr="00D966AA" w:rsidRDefault="00ED09D1" w:rsidP="00231391">
      <w:pPr>
        <w:rPr>
          <w:rFonts w:eastAsia="Times New Roman" w:cs="Times New Roman"/>
          <w:szCs w:val="20"/>
          <w:lang w:eastAsia="en-AU"/>
        </w:rPr>
      </w:pPr>
      <w:r w:rsidRPr="00D966AA">
        <w:rPr>
          <w:rFonts w:eastAsia="Times New Roman" w:cs="Times New Roman"/>
          <w:szCs w:val="20"/>
          <w:lang w:eastAsia="en-AU"/>
        </w:rPr>
        <w:t>Records kept in relation to expenditure will need to be sufficiently detailed to show:</w:t>
      </w:r>
    </w:p>
    <w:p w14:paraId="46E0AEC0" w14:textId="77777777" w:rsidR="00ED09D1" w:rsidRPr="00D966AA" w:rsidRDefault="00ED09D1" w:rsidP="00231391"/>
    <w:p w14:paraId="349CCAE0" w14:textId="5CA377A5" w:rsidR="00ED09D1" w:rsidRPr="00D966AA" w:rsidRDefault="00E805BC" w:rsidP="00231391">
      <w:pPr>
        <w:pStyle w:val="dotpoint"/>
      </w:pPr>
      <w:r>
        <w:t>t</w:t>
      </w:r>
      <w:r w:rsidR="00ED09D1" w:rsidRPr="00D966AA">
        <w:t>he connection between the expenditure and the eligible R&amp;D activities</w:t>
      </w:r>
      <w:r w:rsidR="005037E6">
        <w:t>;</w:t>
      </w:r>
    </w:p>
    <w:p w14:paraId="7E1FC604" w14:textId="42D8FDAB" w:rsidR="00ED09D1" w:rsidRPr="00D966AA" w:rsidRDefault="00E805BC" w:rsidP="00231391">
      <w:pPr>
        <w:pStyle w:val="dotpoint"/>
      </w:pPr>
      <w:r>
        <w:t>t</w:t>
      </w:r>
      <w:r w:rsidR="00ED09D1" w:rsidRPr="00D966AA">
        <w:t>hat the expenditure is on the list of eligible expenditure, and not on the list of ineligible expenditure</w:t>
      </w:r>
      <w:r w:rsidR="005037E6">
        <w:t>;</w:t>
      </w:r>
    </w:p>
    <w:p w14:paraId="23FC9512" w14:textId="216E7BDA" w:rsidR="00ED09D1" w:rsidRPr="00D966AA" w:rsidRDefault="00E805BC" w:rsidP="00231391">
      <w:pPr>
        <w:pStyle w:val="dotpoint"/>
      </w:pPr>
      <w:r>
        <w:t>e</w:t>
      </w:r>
      <w:r w:rsidR="00ED09D1" w:rsidRPr="00D966AA">
        <w:t>vidence of reasonable apportionment methods where the expenditure is incurred</w:t>
      </w:r>
      <w:r w:rsidR="00440474">
        <w:t xml:space="preserve"> on R&amp;D and non-R&amp;D activities.</w:t>
      </w:r>
      <w:r w:rsidR="00ED09D1" w:rsidRPr="00D966AA">
        <w:t xml:space="preserve"> </w:t>
      </w:r>
      <w:r w:rsidR="00440474">
        <w:t>F</w:t>
      </w:r>
      <w:r w:rsidR="00ED09D1" w:rsidRPr="00D966AA">
        <w:t>or example, a time recording system or weekly project report to show the extent to which staff costs relate to eligible R&amp;D activities</w:t>
      </w:r>
      <w:r w:rsidR="005037E6">
        <w:t>;</w:t>
      </w:r>
    </w:p>
    <w:p w14:paraId="2BEF92B5" w14:textId="128696B3" w:rsidR="00ED09D1" w:rsidRPr="00D966AA" w:rsidRDefault="00E805BC" w:rsidP="008374CF">
      <w:pPr>
        <w:pStyle w:val="dotpoint"/>
      </w:pPr>
      <w:r>
        <w:t>w</w:t>
      </w:r>
      <w:r w:rsidR="00ED09D1" w:rsidRPr="00D966AA">
        <w:t xml:space="preserve">here R&amp;D expenditure is incurred in a commercial </w:t>
      </w:r>
      <w:r w:rsidR="00845E5F">
        <w:t xml:space="preserve">production </w:t>
      </w:r>
      <w:r w:rsidR="00ED09D1" w:rsidRPr="00D966AA">
        <w:t xml:space="preserve">environment (see </w:t>
      </w:r>
      <w:r w:rsidR="008374CF">
        <w:t xml:space="preserve">the section on </w:t>
      </w:r>
      <w:r w:rsidR="008374CF" w:rsidRPr="008374CF">
        <w:rPr>
          <w:rStyle w:val="Emphasis"/>
        </w:rPr>
        <w:t>Eligible expenditure</w:t>
      </w:r>
      <w:r w:rsidR="008374CF" w:rsidRPr="008374CF">
        <w:t xml:space="preserve"> </w:t>
      </w:r>
      <w:r w:rsidR="008374CF">
        <w:t>(</w:t>
      </w:r>
      <w:r w:rsidR="00ED09D1" w:rsidRPr="002B4A33">
        <w:t xml:space="preserve">page </w:t>
      </w:r>
      <w:r w:rsidR="008374CF">
        <w:t>30) for more information</w:t>
      </w:r>
      <w:r w:rsidR="00ED09D1" w:rsidRPr="00D966AA">
        <w:t>), evidence that the expenditure is additional expenditure</w:t>
      </w:r>
      <w:r w:rsidR="00440474">
        <w:t xml:space="preserve">. That is, the expenditure </w:t>
      </w:r>
      <w:r w:rsidR="00ED09D1" w:rsidRPr="00D966AA">
        <w:t>would not have been incurred in the absence of the R&amp;D activity)</w:t>
      </w:r>
      <w:r w:rsidR="005037E6">
        <w:t>;</w:t>
      </w:r>
    </w:p>
    <w:p w14:paraId="20DBE1F4" w14:textId="3B3EE334" w:rsidR="00ED09D1" w:rsidRPr="00D966AA" w:rsidRDefault="00E805BC" w:rsidP="00231391">
      <w:pPr>
        <w:pStyle w:val="dotpoint"/>
      </w:pPr>
      <w:r>
        <w:t>t</w:t>
      </w:r>
      <w:r w:rsidR="00ED09D1" w:rsidRPr="00D966AA">
        <w:t>he proportion of expenditure incurred on R&amp;D activities conducted outside New Zealand</w:t>
      </w:r>
      <w:r w:rsidR="005037E6">
        <w:t>;</w:t>
      </w:r>
      <w:r w:rsidR="00823EB0">
        <w:t xml:space="preserve"> and</w:t>
      </w:r>
    </w:p>
    <w:p w14:paraId="2E7809F6" w14:textId="51E91BBE" w:rsidR="00ED09D1" w:rsidRDefault="00E805BC" w:rsidP="00231391">
      <w:pPr>
        <w:pStyle w:val="dotpoint"/>
        <w:spacing w:after="0"/>
      </w:pPr>
      <w:r>
        <w:t>t</w:t>
      </w:r>
      <w:r w:rsidR="00ED09D1" w:rsidRPr="00D966AA">
        <w:t>he amount of expenditure incurred on internal software development.</w:t>
      </w:r>
    </w:p>
    <w:p w14:paraId="1FE8CF6D" w14:textId="77777777" w:rsidR="00231391" w:rsidRDefault="00231391" w:rsidP="00231391"/>
    <w:p w14:paraId="2AB76287" w14:textId="77777777" w:rsidR="00ED09D1" w:rsidRPr="00D966AA" w:rsidRDefault="00ED09D1" w:rsidP="00231391">
      <w:pPr>
        <w:pStyle w:val="Heading3"/>
      </w:pPr>
      <w:r w:rsidRPr="00D966AA">
        <w:t>Approved research providers</w:t>
      </w:r>
    </w:p>
    <w:p w14:paraId="584BA91D" w14:textId="77777777" w:rsidR="00ED09D1" w:rsidRPr="00D966AA" w:rsidRDefault="00ED09D1" w:rsidP="00231391"/>
    <w:p w14:paraId="69A38FBB" w14:textId="094A60C2" w:rsidR="00ED09D1" w:rsidRPr="00D966AA" w:rsidRDefault="00ED09D1" w:rsidP="00231391">
      <w:pPr>
        <w:rPr>
          <w:rFonts w:eastAsia="Times New Roman" w:cs="Times New Roman"/>
          <w:szCs w:val="20"/>
          <w:lang w:eastAsia="en-AU"/>
        </w:rPr>
      </w:pPr>
      <w:r w:rsidRPr="00D966AA">
        <w:rPr>
          <w:rFonts w:eastAsia="Times New Roman" w:cs="Times New Roman"/>
          <w:szCs w:val="20"/>
          <w:lang w:eastAsia="en-AU"/>
        </w:rPr>
        <w:t>An approved research provider will need to keep records to show that the</w:t>
      </w:r>
      <w:r w:rsidR="00E805BC">
        <w:rPr>
          <w:rFonts w:eastAsia="Times New Roman" w:cs="Times New Roman"/>
          <w:szCs w:val="20"/>
          <w:lang w:eastAsia="en-AU"/>
        </w:rPr>
        <w:t>y</w:t>
      </w:r>
      <w:r w:rsidRPr="00D966AA">
        <w:rPr>
          <w:rFonts w:eastAsia="Times New Roman" w:cs="Times New Roman"/>
          <w:szCs w:val="20"/>
          <w:lang w:eastAsia="en-AU"/>
        </w:rPr>
        <w:t xml:space="preserve"> meet the requirements of proposed new section 15ZB(4):</w:t>
      </w:r>
    </w:p>
    <w:p w14:paraId="42CDDCBD" w14:textId="77777777" w:rsidR="00ED09D1" w:rsidRPr="00D966AA" w:rsidRDefault="00ED09D1" w:rsidP="00231391">
      <w:pPr>
        <w:rPr>
          <w:rFonts w:eastAsia="Times New Roman" w:cs="Times New Roman"/>
          <w:szCs w:val="20"/>
          <w:lang w:eastAsia="en-AU"/>
        </w:rPr>
      </w:pPr>
    </w:p>
    <w:p w14:paraId="6E9A1666" w14:textId="291E2F49" w:rsidR="00ED09D1" w:rsidRPr="00D966AA" w:rsidRDefault="00E805BC" w:rsidP="00231391">
      <w:pPr>
        <w:pStyle w:val="dotpoint"/>
      </w:pPr>
      <w:r>
        <w:t>a</w:t>
      </w:r>
      <w:r w:rsidR="00ED09D1" w:rsidRPr="00D966AA">
        <w:t>re capable of performing R&amp;D activities on behalf of others and are available to do so</w:t>
      </w:r>
      <w:r w:rsidR="00A67BD0">
        <w:t>;</w:t>
      </w:r>
    </w:p>
    <w:p w14:paraId="285A3BCB" w14:textId="1CADE945" w:rsidR="00ED09D1" w:rsidRPr="00D966AA" w:rsidRDefault="00E805BC" w:rsidP="00231391">
      <w:pPr>
        <w:pStyle w:val="dotpoint"/>
      </w:pPr>
      <w:r>
        <w:t>h</w:t>
      </w:r>
      <w:r w:rsidR="00ED09D1" w:rsidRPr="00D966AA">
        <w:t>ave, in New Zealand, the necessary facilities to perform those activities</w:t>
      </w:r>
      <w:r w:rsidR="00A67BD0">
        <w:t>; and</w:t>
      </w:r>
    </w:p>
    <w:p w14:paraId="28B4B496" w14:textId="0F57E833" w:rsidR="00ED09D1" w:rsidRPr="00D966AA" w:rsidRDefault="00E805BC" w:rsidP="00231391">
      <w:pPr>
        <w:pStyle w:val="dotpoint"/>
        <w:spacing w:after="0"/>
      </w:pPr>
      <w:r>
        <w:t>p</w:t>
      </w:r>
      <w:r w:rsidR="00ED09D1" w:rsidRPr="00D966AA">
        <w:t>erform, or will perform</w:t>
      </w:r>
      <w:r>
        <w:t>,</w:t>
      </w:r>
      <w:r w:rsidR="00ED09D1" w:rsidRPr="00D966AA">
        <w:t xml:space="preserve"> those R&amp;D activities on behalf of others for market value consideration.</w:t>
      </w:r>
    </w:p>
    <w:p w14:paraId="3780B02A" w14:textId="77777777" w:rsidR="00ED09D1" w:rsidRPr="00D966AA" w:rsidRDefault="00ED09D1" w:rsidP="00231391"/>
    <w:p w14:paraId="5EF314A5" w14:textId="049CE243" w:rsidR="00ED09D1" w:rsidRPr="00D966AA" w:rsidRDefault="00ED09D1" w:rsidP="00231391">
      <w:pPr>
        <w:rPr>
          <w:rFonts w:eastAsia="Times New Roman" w:cs="Times New Roman"/>
          <w:szCs w:val="20"/>
          <w:lang w:eastAsia="en-AU"/>
        </w:rPr>
      </w:pPr>
      <w:r w:rsidRPr="00D966AA">
        <w:rPr>
          <w:rFonts w:eastAsia="Times New Roman" w:cs="Times New Roman"/>
          <w:szCs w:val="20"/>
          <w:lang w:eastAsia="en-AU"/>
        </w:rPr>
        <w:t>In addition, a</w:t>
      </w:r>
      <w:r w:rsidR="004C3713">
        <w:rPr>
          <w:rFonts w:eastAsia="Times New Roman" w:cs="Times New Roman"/>
          <w:szCs w:val="20"/>
          <w:lang w:eastAsia="en-AU"/>
        </w:rPr>
        <w:t>n</w:t>
      </w:r>
      <w:r w:rsidRPr="00D966AA">
        <w:rPr>
          <w:rFonts w:eastAsia="Times New Roman" w:cs="Times New Roman"/>
          <w:szCs w:val="20"/>
          <w:lang w:eastAsia="en-AU"/>
        </w:rPr>
        <w:t xml:space="preserve"> </w:t>
      </w:r>
      <w:r w:rsidR="004C3713">
        <w:rPr>
          <w:rFonts w:eastAsia="Times New Roman" w:cs="Times New Roman"/>
          <w:szCs w:val="20"/>
          <w:lang w:eastAsia="en-AU"/>
        </w:rPr>
        <w:t xml:space="preserve">approved </w:t>
      </w:r>
      <w:r w:rsidRPr="00D966AA">
        <w:rPr>
          <w:rFonts w:eastAsia="Times New Roman" w:cs="Times New Roman"/>
          <w:szCs w:val="20"/>
          <w:lang w:eastAsia="en-AU"/>
        </w:rPr>
        <w:t>research provider will need to keep records of the R&amp;D activities they perform for others and the associated expenditure, to the same detail as described above.</w:t>
      </w:r>
    </w:p>
    <w:p w14:paraId="2E6BF288" w14:textId="77777777" w:rsidR="00ED09D1" w:rsidRPr="00D966AA" w:rsidRDefault="00ED09D1" w:rsidP="00231391"/>
    <w:p w14:paraId="52208B0B" w14:textId="77777777" w:rsidR="00ED09D1" w:rsidRDefault="00ED09D1" w:rsidP="00ED09D1">
      <w:pPr>
        <w:rPr>
          <w:rFonts w:eastAsia="Times New Roman" w:cs="Times New Roman"/>
          <w:b/>
          <w:caps/>
          <w:sz w:val="26"/>
          <w:szCs w:val="20"/>
          <w:lang w:eastAsia="en-AU"/>
        </w:rPr>
      </w:pPr>
      <w:r>
        <w:br w:type="page"/>
      </w:r>
    </w:p>
    <w:p w14:paraId="45830774" w14:textId="63E844CF" w:rsidR="00ED09D1" w:rsidRPr="001E504A" w:rsidRDefault="00D409AC" w:rsidP="006B6FAD">
      <w:pPr>
        <w:pStyle w:val="Heading1"/>
      </w:pPr>
      <w:bookmarkStart w:id="60" w:name="_Toc528157375"/>
      <w:bookmarkStart w:id="61" w:name="_Toc528195595"/>
      <w:r>
        <w:t xml:space="preserve">R&amp;D </w:t>
      </w:r>
      <w:r w:rsidR="00ED09D1">
        <w:t>s</w:t>
      </w:r>
      <w:r w:rsidR="00ED09D1" w:rsidRPr="001E504A">
        <w:t xml:space="preserve">upplementary </w:t>
      </w:r>
      <w:r w:rsidR="00ED09D1">
        <w:t>r</w:t>
      </w:r>
      <w:r w:rsidR="00ED09D1" w:rsidRPr="001E504A">
        <w:t>eturns</w:t>
      </w:r>
      <w:bookmarkEnd w:id="60"/>
      <w:bookmarkEnd w:id="61"/>
    </w:p>
    <w:p w14:paraId="4EC1BA8A" w14:textId="1267BE77" w:rsidR="00ED09D1" w:rsidRDefault="00ED09D1" w:rsidP="006B6FAD">
      <w:pPr>
        <w:pStyle w:val="Heading3"/>
      </w:pPr>
      <w:r w:rsidRPr="001E504A">
        <w:t>Clauses 27</w:t>
      </w:r>
      <w:r w:rsidR="006B6FAD">
        <w:t>–</w:t>
      </w:r>
      <w:r w:rsidRPr="001E504A">
        <w:t>29</w:t>
      </w:r>
    </w:p>
    <w:p w14:paraId="088A9AF9" w14:textId="77777777" w:rsidR="006B6FAD" w:rsidRDefault="006B6FAD" w:rsidP="006B6FAD">
      <w:pPr>
        <w:rPr>
          <w:lang w:val="en-GB" w:eastAsia="en-AU"/>
        </w:rPr>
      </w:pPr>
    </w:p>
    <w:p w14:paraId="0A0DF33A" w14:textId="77777777" w:rsidR="006B6FAD" w:rsidRPr="006B6FAD" w:rsidRDefault="006B6FAD" w:rsidP="006B6FAD">
      <w:pPr>
        <w:rPr>
          <w:lang w:val="en-GB" w:eastAsia="en-AU"/>
        </w:rPr>
      </w:pPr>
    </w:p>
    <w:p w14:paraId="791E3252" w14:textId="07879B4E" w:rsidR="00ED09D1" w:rsidRPr="001E504A" w:rsidRDefault="00ED09D1" w:rsidP="006B6FAD">
      <w:pPr>
        <w:pStyle w:val="Heading2"/>
      </w:pPr>
      <w:r w:rsidRPr="001E504A">
        <w:t>Summary of proposed amendment</w:t>
      </w:r>
    </w:p>
    <w:p w14:paraId="5438B79C" w14:textId="77777777" w:rsidR="006B6FAD" w:rsidRDefault="006B6FAD" w:rsidP="006B6FAD">
      <w:pPr>
        <w:rPr>
          <w:lang w:eastAsia="en-AU"/>
        </w:rPr>
      </w:pPr>
    </w:p>
    <w:p w14:paraId="167D6D1A" w14:textId="77777777" w:rsidR="00ED09D1" w:rsidRDefault="00ED09D1" w:rsidP="006B6FAD">
      <w:pPr>
        <w:rPr>
          <w:lang w:eastAsia="en-AU"/>
        </w:rPr>
      </w:pPr>
      <w:r w:rsidRPr="001E504A">
        <w:rPr>
          <w:lang w:eastAsia="en-AU"/>
        </w:rPr>
        <w:t>It is proposed that a person who wishes to claim an R&amp;D tax credit must file a</w:t>
      </w:r>
      <w:r w:rsidR="00A67BD0">
        <w:rPr>
          <w:lang w:eastAsia="en-AU"/>
        </w:rPr>
        <w:t>n</w:t>
      </w:r>
      <w:r w:rsidRPr="001E504A">
        <w:rPr>
          <w:lang w:eastAsia="en-AU"/>
        </w:rPr>
        <w:t xml:space="preserve"> </w:t>
      </w:r>
      <w:r w:rsidR="00BC5F88">
        <w:rPr>
          <w:lang w:eastAsia="en-AU"/>
        </w:rPr>
        <w:t>R&amp;D</w:t>
      </w:r>
      <w:r w:rsidRPr="001E504A">
        <w:rPr>
          <w:lang w:eastAsia="en-AU"/>
        </w:rPr>
        <w:t xml:space="preserve"> supplementary return with</w:t>
      </w:r>
      <w:r w:rsidR="00845E5F">
        <w:rPr>
          <w:lang w:eastAsia="en-AU"/>
        </w:rPr>
        <w:t>in 30 days of</w:t>
      </w:r>
      <w:r w:rsidRPr="001E504A">
        <w:rPr>
          <w:lang w:eastAsia="en-AU"/>
        </w:rPr>
        <w:t xml:space="preserve"> </w:t>
      </w:r>
      <w:r w:rsidR="00845E5F">
        <w:rPr>
          <w:lang w:eastAsia="en-AU"/>
        </w:rPr>
        <w:t xml:space="preserve">filing </w:t>
      </w:r>
      <w:r w:rsidRPr="001E504A">
        <w:rPr>
          <w:lang w:eastAsia="en-AU"/>
        </w:rPr>
        <w:t xml:space="preserve">their tax return for the </w:t>
      </w:r>
      <w:r w:rsidR="00BC5F88">
        <w:rPr>
          <w:lang w:eastAsia="en-AU"/>
        </w:rPr>
        <w:t xml:space="preserve">relevant income </w:t>
      </w:r>
      <w:r w:rsidRPr="001E504A">
        <w:rPr>
          <w:lang w:eastAsia="en-AU"/>
        </w:rPr>
        <w:t>year.</w:t>
      </w:r>
    </w:p>
    <w:p w14:paraId="1EE8B6B6" w14:textId="77777777" w:rsidR="006B6FAD" w:rsidRDefault="006B6FAD" w:rsidP="006B6FAD">
      <w:pPr>
        <w:rPr>
          <w:lang w:eastAsia="en-AU"/>
        </w:rPr>
      </w:pPr>
    </w:p>
    <w:p w14:paraId="60B63231" w14:textId="77777777" w:rsidR="006B6FAD" w:rsidRPr="001E504A" w:rsidRDefault="006B6FAD" w:rsidP="006B6FAD">
      <w:pPr>
        <w:rPr>
          <w:lang w:eastAsia="en-AU"/>
        </w:rPr>
      </w:pPr>
    </w:p>
    <w:p w14:paraId="64CF34EB" w14:textId="77777777" w:rsidR="00ED09D1" w:rsidRPr="001E504A" w:rsidRDefault="00ED09D1" w:rsidP="006B6FAD">
      <w:pPr>
        <w:pStyle w:val="Heading2"/>
      </w:pPr>
      <w:r w:rsidRPr="001E504A">
        <w:t>Application date</w:t>
      </w:r>
    </w:p>
    <w:p w14:paraId="48B065FB" w14:textId="77777777" w:rsidR="006B6FAD" w:rsidRDefault="006B6FAD" w:rsidP="006B6FAD">
      <w:pPr>
        <w:rPr>
          <w:lang w:eastAsia="en-AU"/>
        </w:rPr>
      </w:pPr>
    </w:p>
    <w:p w14:paraId="7C2DF73B" w14:textId="6D52FDD9" w:rsidR="00ED09D1" w:rsidRDefault="00ED09D1" w:rsidP="006B6FAD">
      <w:pPr>
        <w:rPr>
          <w:lang w:eastAsia="en-AU"/>
        </w:rPr>
      </w:pPr>
      <w:r w:rsidRPr="001E504A">
        <w:rPr>
          <w:lang w:eastAsia="en-AU"/>
        </w:rPr>
        <w:t xml:space="preserve">From the </w:t>
      </w:r>
      <w:r w:rsidR="00E010FC">
        <w:rPr>
          <w:lang w:eastAsia="en-AU"/>
        </w:rPr>
        <w:t>2019–20</w:t>
      </w:r>
      <w:r w:rsidRPr="001E504A">
        <w:rPr>
          <w:lang w:eastAsia="en-AU"/>
        </w:rPr>
        <w:t xml:space="preserve"> income year.</w:t>
      </w:r>
    </w:p>
    <w:p w14:paraId="32452267" w14:textId="77777777" w:rsidR="006B6FAD" w:rsidRDefault="006B6FAD" w:rsidP="006B6FAD">
      <w:pPr>
        <w:rPr>
          <w:lang w:eastAsia="en-AU"/>
        </w:rPr>
      </w:pPr>
    </w:p>
    <w:p w14:paraId="2145A98E" w14:textId="77777777" w:rsidR="006B6FAD" w:rsidRPr="001E504A" w:rsidRDefault="006B6FAD" w:rsidP="006B6FAD">
      <w:pPr>
        <w:rPr>
          <w:lang w:eastAsia="en-AU"/>
        </w:rPr>
      </w:pPr>
    </w:p>
    <w:p w14:paraId="0A7286CD" w14:textId="77777777" w:rsidR="00ED09D1" w:rsidRDefault="00ED09D1" w:rsidP="006B6FAD">
      <w:pPr>
        <w:pStyle w:val="Heading2"/>
      </w:pPr>
      <w:r w:rsidRPr="001E504A">
        <w:t>Key features</w:t>
      </w:r>
    </w:p>
    <w:p w14:paraId="088661CA" w14:textId="77777777" w:rsidR="006B6FAD" w:rsidRDefault="006B6FAD" w:rsidP="006B6FAD">
      <w:pPr>
        <w:rPr>
          <w:lang w:eastAsia="en-AU"/>
        </w:rPr>
      </w:pPr>
    </w:p>
    <w:p w14:paraId="768C89D1" w14:textId="1941B0D8" w:rsidR="00E805BC" w:rsidRDefault="00E805BC" w:rsidP="006B6FAD">
      <w:pPr>
        <w:rPr>
          <w:lang w:eastAsia="en-AU"/>
        </w:rPr>
      </w:pPr>
      <w:r>
        <w:rPr>
          <w:lang w:eastAsia="en-AU"/>
        </w:rPr>
        <w:t>It is proposed that:</w:t>
      </w:r>
    </w:p>
    <w:p w14:paraId="08900CA4" w14:textId="77777777" w:rsidR="00E805BC" w:rsidRPr="006B6FAD" w:rsidRDefault="00E805BC" w:rsidP="006B6FAD">
      <w:pPr>
        <w:rPr>
          <w:lang w:eastAsia="en-AU"/>
        </w:rPr>
      </w:pPr>
    </w:p>
    <w:p w14:paraId="66AA1D65" w14:textId="073C0030" w:rsidR="00ED09D1" w:rsidRPr="001E504A" w:rsidRDefault="00E805BC" w:rsidP="006B6FAD">
      <w:pPr>
        <w:pStyle w:val="dotpoint"/>
      </w:pPr>
      <w:r>
        <w:t>a</w:t>
      </w:r>
      <w:r w:rsidR="00ED09D1" w:rsidRPr="001E504A">
        <w:t xml:space="preserve"> person claiming an R&amp;D tax credit must file a</w:t>
      </w:r>
      <w:r w:rsidR="00BC5F88">
        <w:t>n</w:t>
      </w:r>
      <w:r w:rsidR="00ED09D1" w:rsidRPr="001E504A">
        <w:t xml:space="preserve"> </w:t>
      </w:r>
      <w:r w:rsidR="00BC5F88">
        <w:t xml:space="preserve">R&amp;D </w:t>
      </w:r>
      <w:r w:rsidR="00ED09D1" w:rsidRPr="001E504A">
        <w:t xml:space="preserve">supplementary return in an electronic format prescribed by the Commissioner </w:t>
      </w:r>
      <w:r w:rsidR="00845E5F">
        <w:t>within 30 days of f</w:t>
      </w:r>
      <w:r w:rsidR="00BC5F88">
        <w:t>i</w:t>
      </w:r>
      <w:r w:rsidR="00845E5F">
        <w:t xml:space="preserve">ling </w:t>
      </w:r>
      <w:r w:rsidR="00ED09D1" w:rsidRPr="001E504A">
        <w:t xml:space="preserve">their </w:t>
      </w:r>
      <w:r w:rsidR="00BC5F88">
        <w:t xml:space="preserve">income </w:t>
      </w:r>
      <w:r w:rsidR="00ED09D1" w:rsidRPr="001E504A">
        <w:t xml:space="preserve">tax return for the </w:t>
      </w:r>
      <w:r w:rsidR="00BC5F88">
        <w:t xml:space="preserve">relevant income </w:t>
      </w:r>
      <w:r w:rsidR="00ED09D1" w:rsidRPr="001E504A">
        <w:t>year</w:t>
      </w:r>
      <w:r>
        <w:t>;</w:t>
      </w:r>
    </w:p>
    <w:p w14:paraId="27368B01" w14:textId="5DE247C0" w:rsidR="00ED09D1" w:rsidRPr="001E504A" w:rsidRDefault="00E805BC" w:rsidP="006B6FAD">
      <w:pPr>
        <w:pStyle w:val="dotpoint"/>
      </w:pPr>
      <w:r>
        <w:t>t</w:t>
      </w:r>
      <w:r w:rsidR="00ED09D1" w:rsidRPr="001E504A">
        <w:t>he Commissioner must prescribe one or more electronic formats in which a person’s</w:t>
      </w:r>
      <w:r w:rsidR="005037E6">
        <w:t xml:space="preserve"> R&amp;D </w:t>
      </w:r>
      <w:r w:rsidR="00ED09D1" w:rsidRPr="001E504A">
        <w:t>supplementary return must be filed</w:t>
      </w:r>
      <w:r w:rsidR="005037E6">
        <w:t>;</w:t>
      </w:r>
      <w:r w:rsidR="00440474">
        <w:t xml:space="preserve"> and</w:t>
      </w:r>
    </w:p>
    <w:p w14:paraId="727F5AA2" w14:textId="65E82967" w:rsidR="00ED09D1" w:rsidRPr="001E504A" w:rsidRDefault="00E805BC" w:rsidP="006B6FAD">
      <w:pPr>
        <w:pStyle w:val="dotpoint"/>
        <w:spacing w:after="0"/>
      </w:pPr>
      <w:r>
        <w:t>t</w:t>
      </w:r>
      <w:r w:rsidR="00ED09D1" w:rsidRPr="001E504A">
        <w:t xml:space="preserve">he Commissioner may also set specifications for software for use in prepopulating the </w:t>
      </w:r>
      <w:r w:rsidR="005037E6">
        <w:t>R&amp;D</w:t>
      </w:r>
      <w:r w:rsidR="00ED09D1" w:rsidRPr="001E504A">
        <w:t xml:space="preserve"> supplementary return.</w:t>
      </w:r>
    </w:p>
    <w:p w14:paraId="1AC4FEAD" w14:textId="77777777" w:rsidR="00ED09D1" w:rsidRDefault="00ED09D1" w:rsidP="006B6FAD">
      <w:pPr>
        <w:rPr>
          <w:lang w:eastAsia="en-AU"/>
        </w:rPr>
      </w:pPr>
    </w:p>
    <w:p w14:paraId="26623483" w14:textId="77777777" w:rsidR="006B6FAD" w:rsidRPr="001E504A" w:rsidRDefault="006B6FAD" w:rsidP="006B6FAD">
      <w:pPr>
        <w:rPr>
          <w:lang w:eastAsia="en-AU"/>
        </w:rPr>
      </w:pPr>
    </w:p>
    <w:p w14:paraId="126AF636" w14:textId="77777777" w:rsidR="00ED09D1" w:rsidRPr="001E504A" w:rsidRDefault="00ED09D1" w:rsidP="006B6FAD">
      <w:pPr>
        <w:pStyle w:val="Heading2"/>
      </w:pPr>
      <w:r w:rsidRPr="001E504A">
        <w:t>Background</w:t>
      </w:r>
    </w:p>
    <w:p w14:paraId="2C743469" w14:textId="77777777" w:rsidR="00ED09D1" w:rsidRPr="001E504A" w:rsidRDefault="00ED09D1" w:rsidP="006B6FAD"/>
    <w:p w14:paraId="010B5BDE" w14:textId="4065B7AC" w:rsidR="00ED09D1" w:rsidRPr="001E504A" w:rsidRDefault="00ED09D1" w:rsidP="006B6FAD">
      <w:pPr>
        <w:rPr>
          <w:rFonts w:eastAsia="Times New Roman" w:cs="Times New Roman"/>
          <w:szCs w:val="20"/>
          <w:lang w:eastAsia="en-AU"/>
        </w:rPr>
      </w:pPr>
      <w:r w:rsidRPr="001E504A">
        <w:rPr>
          <w:rFonts w:eastAsia="Times New Roman" w:cs="Times New Roman"/>
          <w:szCs w:val="20"/>
          <w:lang w:eastAsia="en-AU"/>
        </w:rPr>
        <w:t>The rationale behind requiring a person to file an R&amp;D supplementary return is to provide information to substantiate their claim for an R&amp;D tax credit</w:t>
      </w:r>
      <w:r w:rsidR="00485279">
        <w:rPr>
          <w:rFonts w:eastAsia="Times New Roman" w:cs="Times New Roman"/>
          <w:szCs w:val="20"/>
          <w:lang w:eastAsia="en-AU"/>
        </w:rPr>
        <w:t xml:space="preserve">. </w:t>
      </w:r>
      <w:r w:rsidRPr="001E504A">
        <w:rPr>
          <w:rFonts w:eastAsia="Times New Roman" w:cs="Times New Roman"/>
          <w:szCs w:val="20"/>
          <w:lang w:eastAsia="en-AU"/>
        </w:rPr>
        <w:t>It is important for the fiscal sustainability of the scheme that the credit is only provided for legitimate R&amp;D.</w:t>
      </w:r>
      <w:r w:rsidR="001C5F0C">
        <w:rPr>
          <w:rFonts w:eastAsia="Times New Roman" w:cs="Times New Roman"/>
          <w:szCs w:val="20"/>
          <w:lang w:eastAsia="en-AU"/>
        </w:rPr>
        <w:t xml:space="preserve"> Data will also be used for statistical and analytical purposes, for instance evaluating the R&amp;D tax credit </w:t>
      </w:r>
      <w:r w:rsidR="00476A0B">
        <w:rPr>
          <w:rFonts w:eastAsia="Times New Roman" w:cs="Times New Roman"/>
          <w:szCs w:val="20"/>
          <w:lang w:eastAsia="en-AU"/>
        </w:rPr>
        <w:t>regime policies’ effectiveness.</w:t>
      </w:r>
    </w:p>
    <w:p w14:paraId="2BCFFE36" w14:textId="77777777" w:rsidR="00ED09D1" w:rsidRPr="001E504A" w:rsidRDefault="00ED09D1" w:rsidP="006B6FAD">
      <w:pPr>
        <w:rPr>
          <w:rFonts w:eastAsia="Times New Roman" w:cs="Times New Roman"/>
          <w:szCs w:val="20"/>
          <w:lang w:eastAsia="en-AU"/>
        </w:rPr>
      </w:pPr>
    </w:p>
    <w:p w14:paraId="655817B0" w14:textId="76D7476C" w:rsidR="00ED09D1" w:rsidRPr="001E504A" w:rsidRDefault="00A11AF3" w:rsidP="006B6FAD">
      <w:pPr>
        <w:rPr>
          <w:rFonts w:eastAsia="Times New Roman" w:cs="Times New Roman"/>
          <w:szCs w:val="20"/>
          <w:lang w:eastAsia="en-AU"/>
        </w:rPr>
      </w:pPr>
      <w:r>
        <w:rPr>
          <w:rFonts w:eastAsia="Times New Roman" w:cs="Times New Roman"/>
          <w:szCs w:val="20"/>
          <w:lang w:eastAsia="en-AU"/>
        </w:rPr>
        <w:t>I</w:t>
      </w:r>
      <w:r w:rsidR="00ED09D1" w:rsidRPr="001E504A">
        <w:rPr>
          <w:rFonts w:eastAsia="Times New Roman" w:cs="Times New Roman"/>
          <w:szCs w:val="20"/>
          <w:lang w:eastAsia="en-AU"/>
        </w:rPr>
        <w:t>n the future software will be able to be used to extract relevant information and assist in completing a person’s supplementary return</w:t>
      </w:r>
      <w:r w:rsidR="00485279">
        <w:rPr>
          <w:rFonts w:eastAsia="Times New Roman" w:cs="Times New Roman"/>
          <w:szCs w:val="20"/>
          <w:lang w:eastAsia="en-AU"/>
        </w:rPr>
        <w:t xml:space="preserve">. </w:t>
      </w:r>
      <w:r w:rsidR="00ED09D1" w:rsidRPr="001E504A">
        <w:rPr>
          <w:rFonts w:eastAsia="Times New Roman" w:cs="Times New Roman"/>
          <w:szCs w:val="20"/>
          <w:lang w:eastAsia="en-AU"/>
        </w:rPr>
        <w:t>This is why it is proposed that the Commissioner has the ability to set specifications for such software.</w:t>
      </w:r>
    </w:p>
    <w:p w14:paraId="7F919782" w14:textId="77777777" w:rsidR="00ED09D1" w:rsidRDefault="00ED09D1" w:rsidP="006B6FAD"/>
    <w:p w14:paraId="20854CEC" w14:textId="77777777" w:rsidR="006B6FAD" w:rsidRPr="001E504A" w:rsidRDefault="006B6FAD" w:rsidP="006B6FAD"/>
    <w:p w14:paraId="0F6E5336" w14:textId="77777777" w:rsidR="00ED09D1" w:rsidRPr="001E504A" w:rsidRDefault="00ED09D1" w:rsidP="006B6FAD">
      <w:pPr>
        <w:pStyle w:val="Heading2"/>
        <w:rPr>
          <w:rFonts w:ascii="TimesNewRomanPSMT" w:hAnsi="TimesNewRomanPSMT" w:cs="TimesNewRomanPSMT"/>
          <w:sz w:val="23"/>
          <w:szCs w:val="23"/>
        </w:rPr>
      </w:pPr>
      <w:r w:rsidRPr="001E504A">
        <w:t>Detailed analysis</w:t>
      </w:r>
    </w:p>
    <w:p w14:paraId="167AF132" w14:textId="77777777" w:rsidR="00ED09D1" w:rsidRPr="001E504A" w:rsidRDefault="00ED09D1" w:rsidP="006B6FAD"/>
    <w:p w14:paraId="0583D5F2" w14:textId="34B5464C" w:rsidR="00ED09D1" w:rsidRPr="001E504A" w:rsidRDefault="00ED09D1" w:rsidP="006B6FAD">
      <w:pPr>
        <w:pStyle w:val="Heading3"/>
      </w:pPr>
      <w:r w:rsidRPr="001E504A">
        <w:t>R&amp;D supplementary return</w:t>
      </w:r>
      <w:r w:rsidR="00730FAA">
        <w:t xml:space="preserve"> (clause </w:t>
      </w:r>
      <w:r w:rsidR="00730FAA" w:rsidRPr="001E504A">
        <w:t>27</w:t>
      </w:r>
      <w:r w:rsidR="00730FAA">
        <w:t>)</w:t>
      </w:r>
    </w:p>
    <w:p w14:paraId="2DB36308" w14:textId="77777777" w:rsidR="00ED09D1" w:rsidRPr="001E504A" w:rsidRDefault="00ED09D1" w:rsidP="006B6FAD">
      <w:pPr>
        <w:rPr>
          <w:lang w:eastAsia="en-AU"/>
        </w:rPr>
      </w:pPr>
    </w:p>
    <w:p w14:paraId="55EAF3A2" w14:textId="65C624C0" w:rsidR="00ED09D1" w:rsidRPr="001E504A" w:rsidRDefault="00ED09D1" w:rsidP="006B6FAD">
      <w:pPr>
        <w:rPr>
          <w:lang w:eastAsia="en-AU"/>
        </w:rPr>
      </w:pPr>
      <w:r w:rsidRPr="001E504A">
        <w:rPr>
          <w:lang w:eastAsia="en-AU"/>
        </w:rPr>
        <w:t>Clause 27 proposes that a person must file a</w:t>
      </w:r>
      <w:r w:rsidR="00A67BD0">
        <w:rPr>
          <w:lang w:eastAsia="en-AU"/>
        </w:rPr>
        <w:t>n</w:t>
      </w:r>
      <w:r w:rsidRPr="001E504A">
        <w:rPr>
          <w:lang w:eastAsia="en-AU"/>
        </w:rPr>
        <w:t xml:space="preserve"> </w:t>
      </w:r>
      <w:r w:rsidR="005037E6">
        <w:rPr>
          <w:lang w:eastAsia="en-AU"/>
        </w:rPr>
        <w:t xml:space="preserve">R&amp;D </w:t>
      </w:r>
      <w:r w:rsidRPr="001E504A">
        <w:rPr>
          <w:lang w:eastAsia="en-AU"/>
        </w:rPr>
        <w:t>supplementary return in an electronic format prescribed by the Commissioner by the date they are required to file their tax return for the year.</w:t>
      </w:r>
    </w:p>
    <w:p w14:paraId="319183DD" w14:textId="77777777" w:rsidR="00ED09D1" w:rsidRPr="001E504A" w:rsidRDefault="00ED09D1" w:rsidP="006B6FAD">
      <w:pPr>
        <w:rPr>
          <w:lang w:eastAsia="en-AU"/>
        </w:rPr>
      </w:pPr>
    </w:p>
    <w:p w14:paraId="367C9259" w14:textId="77777777" w:rsidR="00ED09D1" w:rsidRPr="001E504A" w:rsidRDefault="00ED09D1" w:rsidP="006B6FAD">
      <w:pPr>
        <w:rPr>
          <w:lang w:eastAsia="en-AU"/>
        </w:rPr>
      </w:pPr>
      <w:r w:rsidRPr="001E504A">
        <w:rPr>
          <w:lang w:eastAsia="en-AU"/>
        </w:rPr>
        <w:t>The tax credit will be a claimed through the person’s tax return, with the supplementary return attached as evidence of the claim.</w:t>
      </w:r>
    </w:p>
    <w:p w14:paraId="64072ABC" w14:textId="77777777" w:rsidR="00ED09D1" w:rsidRPr="001E504A" w:rsidRDefault="00ED09D1" w:rsidP="006B6FAD">
      <w:pPr>
        <w:rPr>
          <w:lang w:eastAsia="en-AU"/>
        </w:rPr>
      </w:pPr>
    </w:p>
    <w:p w14:paraId="01FF564D" w14:textId="5A4B6EFB" w:rsidR="00ED09D1" w:rsidRPr="001E504A" w:rsidRDefault="00E805BC" w:rsidP="006B6FAD">
      <w:pPr>
        <w:pStyle w:val="Heading3"/>
        <w:rPr>
          <w:rFonts w:ascii="TimesNewRomanPSMT" w:hAnsi="TimesNewRomanPSMT" w:cs="TimesNewRomanPSMT"/>
          <w:sz w:val="23"/>
          <w:szCs w:val="23"/>
        </w:rPr>
      </w:pPr>
      <w:r>
        <w:t>E</w:t>
      </w:r>
      <w:r w:rsidR="00ED09D1" w:rsidRPr="001E504A">
        <w:t>lectronic formats</w:t>
      </w:r>
      <w:r w:rsidR="00730FAA">
        <w:t xml:space="preserve"> (c</w:t>
      </w:r>
      <w:r w:rsidR="00730FAA" w:rsidRPr="001E504A">
        <w:t>lause 28</w:t>
      </w:r>
      <w:r w:rsidR="00730FAA">
        <w:t>)</w:t>
      </w:r>
    </w:p>
    <w:p w14:paraId="3B9E7FF2" w14:textId="77777777" w:rsidR="00ED09D1" w:rsidRPr="001E504A" w:rsidRDefault="00ED09D1" w:rsidP="006B6FAD"/>
    <w:p w14:paraId="4A9F34B1" w14:textId="5388EA02" w:rsidR="00ED09D1" w:rsidRPr="001E504A" w:rsidRDefault="00ED09D1" w:rsidP="006B6FAD">
      <w:pPr>
        <w:rPr>
          <w:rFonts w:eastAsia="Times New Roman" w:cs="Times New Roman"/>
          <w:szCs w:val="20"/>
          <w:lang w:eastAsia="en-AU"/>
        </w:rPr>
      </w:pPr>
      <w:r w:rsidRPr="001E504A">
        <w:rPr>
          <w:rFonts w:eastAsia="Times New Roman" w:cs="Times New Roman"/>
          <w:szCs w:val="20"/>
          <w:lang w:eastAsia="en-AU"/>
        </w:rPr>
        <w:t>Clause 28 requires the Commissioner to prescribe one or more electronic formats in which the return must be filed</w:t>
      </w:r>
      <w:r w:rsidR="00485279">
        <w:rPr>
          <w:rFonts w:eastAsia="Times New Roman" w:cs="Times New Roman"/>
          <w:szCs w:val="20"/>
          <w:lang w:eastAsia="en-AU"/>
        </w:rPr>
        <w:t xml:space="preserve">. </w:t>
      </w:r>
      <w:r w:rsidRPr="001E504A">
        <w:rPr>
          <w:rFonts w:eastAsia="Times New Roman" w:cs="Times New Roman"/>
          <w:szCs w:val="20"/>
          <w:lang w:eastAsia="en-AU"/>
        </w:rPr>
        <w:t>Prescribing the electronic format includes the way the information must be delivered, as well as the content.</w:t>
      </w:r>
    </w:p>
    <w:p w14:paraId="58B5499C" w14:textId="77777777" w:rsidR="00ED09D1" w:rsidRPr="001E504A" w:rsidRDefault="00ED09D1" w:rsidP="006B6FAD">
      <w:pPr>
        <w:rPr>
          <w:rFonts w:eastAsia="Times New Roman" w:cs="Times New Roman"/>
          <w:szCs w:val="20"/>
          <w:lang w:eastAsia="en-AU"/>
        </w:rPr>
      </w:pPr>
    </w:p>
    <w:p w14:paraId="3DD5C14F" w14:textId="7D7CC8B7" w:rsidR="00ED09D1" w:rsidRPr="001E504A" w:rsidRDefault="00ED09D1" w:rsidP="006B6FAD">
      <w:pPr>
        <w:rPr>
          <w:rFonts w:eastAsia="Times New Roman" w:cs="Times New Roman"/>
          <w:szCs w:val="20"/>
          <w:lang w:eastAsia="en-AU"/>
        </w:rPr>
      </w:pPr>
      <w:r w:rsidRPr="001E504A">
        <w:rPr>
          <w:rFonts w:eastAsia="Times New Roman" w:cs="Times New Roman"/>
          <w:szCs w:val="20"/>
          <w:lang w:eastAsia="en-AU"/>
        </w:rPr>
        <w:t xml:space="preserve">Clause 28 also allows the Commissioner to set specifications for software for use in prepopulating </w:t>
      </w:r>
      <w:r w:rsidR="005037E6">
        <w:rPr>
          <w:rFonts w:eastAsia="Times New Roman" w:cs="Times New Roman"/>
          <w:szCs w:val="20"/>
          <w:lang w:eastAsia="en-AU"/>
        </w:rPr>
        <w:t xml:space="preserve">R&amp;D </w:t>
      </w:r>
      <w:r w:rsidRPr="001E504A">
        <w:rPr>
          <w:rFonts w:eastAsia="Times New Roman" w:cs="Times New Roman"/>
          <w:szCs w:val="20"/>
          <w:lang w:eastAsia="en-AU"/>
        </w:rPr>
        <w:t>supplementary returns.</w:t>
      </w:r>
    </w:p>
    <w:p w14:paraId="4C65D328" w14:textId="77777777" w:rsidR="00ED09D1" w:rsidRPr="001E504A" w:rsidRDefault="00ED09D1" w:rsidP="006B6FAD">
      <w:pPr>
        <w:rPr>
          <w:rFonts w:eastAsia="Times New Roman" w:cs="Times New Roman"/>
          <w:szCs w:val="20"/>
          <w:lang w:eastAsia="en-AU"/>
        </w:rPr>
      </w:pPr>
    </w:p>
    <w:p w14:paraId="79628F1A" w14:textId="77777777" w:rsidR="00ED09D1" w:rsidRPr="001E504A" w:rsidRDefault="00ED09D1" w:rsidP="006B6FAD">
      <w:pPr>
        <w:pStyle w:val="Heading3"/>
      </w:pPr>
      <w:r w:rsidRPr="001E504A">
        <w:t>Content of supplementary return</w:t>
      </w:r>
    </w:p>
    <w:p w14:paraId="5518D606" w14:textId="77777777" w:rsidR="00ED09D1" w:rsidRPr="001E504A" w:rsidRDefault="00ED09D1" w:rsidP="00476A0B"/>
    <w:p w14:paraId="34D78E81" w14:textId="77777777" w:rsidR="00ED09D1" w:rsidRPr="001E504A" w:rsidRDefault="00ED09D1" w:rsidP="00476A0B">
      <w:pPr>
        <w:rPr>
          <w:rFonts w:eastAsia="Times New Roman" w:cs="Times New Roman"/>
          <w:szCs w:val="20"/>
          <w:lang w:eastAsia="en-AU"/>
        </w:rPr>
      </w:pPr>
      <w:r w:rsidRPr="001E504A">
        <w:rPr>
          <w:rFonts w:eastAsia="Times New Roman" w:cs="Times New Roman"/>
          <w:szCs w:val="20"/>
          <w:lang w:eastAsia="en-AU"/>
        </w:rPr>
        <w:t>In the first year of the tax credit, taxpayers will be asked for a description of their R&amp;D activity and expenditure incurred.</w:t>
      </w:r>
    </w:p>
    <w:p w14:paraId="4C82BB09" w14:textId="77777777" w:rsidR="00ED09D1" w:rsidRPr="001E504A" w:rsidRDefault="00ED09D1" w:rsidP="00476A0B">
      <w:pPr>
        <w:rPr>
          <w:rFonts w:eastAsia="Times New Roman" w:cs="Times New Roman"/>
          <w:szCs w:val="20"/>
          <w:lang w:eastAsia="en-AU"/>
        </w:rPr>
      </w:pPr>
    </w:p>
    <w:p w14:paraId="4E4E2FBF" w14:textId="77777777" w:rsidR="00ED09D1" w:rsidRPr="001E504A" w:rsidRDefault="00ED09D1" w:rsidP="00476A0B">
      <w:pPr>
        <w:rPr>
          <w:rFonts w:eastAsia="Times New Roman" w:cs="Times New Roman"/>
          <w:szCs w:val="20"/>
          <w:lang w:eastAsia="en-AU"/>
        </w:rPr>
      </w:pPr>
      <w:r w:rsidRPr="001E504A">
        <w:rPr>
          <w:rFonts w:eastAsia="Times New Roman" w:cs="Times New Roman"/>
          <w:szCs w:val="20"/>
          <w:lang w:eastAsia="en-AU"/>
        </w:rPr>
        <w:t>The required information will include:</w:t>
      </w:r>
    </w:p>
    <w:p w14:paraId="288A864F" w14:textId="77777777" w:rsidR="00ED09D1" w:rsidRPr="001E504A" w:rsidRDefault="00ED09D1" w:rsidP="00476A0B">
      <w:pPr>
        <w:rPr>
          <w:rFonts w:eastAsia="Times New Roman" w:cs="Times New Roman"/>
          <w:szCs w:val="20"/>
          <w:lang w:eastAsia="en-AU"/>
        </w:rPr>
      </w:pPr>
    </w:p>
    <w:p w14:paraId="654F48F5" w14:textId="1AED6CF3" w:rsidR="00ED09D1" w:rsidRPr="001E504A" w:rsidRDefault="00ED09D1" w:rsidP="00730FAA">
      <w:pPr>
        <w:pStyle w:val="dotpoint"/>
      </w:pPr>
      <w:r w:rsidRPr="001E504A">
        <w:t>Activities</w:t>
      </w:r>
      <w:r w:rsidR="00730FAA">
        <w:t>:</w:t>
      </w:r>
    </w:p>
    <w:p w14:paraId="25B088B7" w14:textId="77777777" w:rsidR="00ED09D1" w:rsidRPr="001E504A" w:rsidRDefault="00ED09D1" w:rsidP="00730FAA">
      <w:pPr>
        <w:pStyle w:val="dotpoint2"/>
      </w:pPr>
      <w:r w:rsidRPr="001E504A">
        <w:t>What systematic approach was used to conduct the activity?</w:t>
      </w:r>
    </w:p>
    <w:p w14:paraId="0079A9E7" w14:textId="77777777" w:rsidR="00ED09D1" w:rsidRPr="001E504A" w:rsidRDefault="00ED09D1" w:rsidP="00730FAA">
      <w:pPr>
        <w:pStyle w:val="dotpoint2"/>
      </w:pPr>
      <w:r w:rsidRPr="001E504A">
        <w:t>What new knowledge, process, service or good did the eligible R&amp;D aim to produce?</w:t>
      </w:r>
    </w:p>
    <w:p w14:paraId="5677B917" w14:textId="77777777" w:rsidR="00ED09D1" w:rsidRPr="001E504A" w:rsidRDefault="00ED09D1" w:rsidP="00730FAA">
      <w:pPr>
        <w:pStyle w:val="dotpoint2"/>
      </w:pPr>
      <w:r w:rsidRPr="001E504A">
        <w:t>What scientific or technological uncertainty did the activity seek to resolve?</w:t>
      </w:r>
    </w:p>
    <w:p w14:paraId="4A048DB5" w14:textId="372D150F" w:rsidR="00ED09D1" w:rsidRPr="001E504A" w:rsidRDefault="00ED09D1" w:rsidP="00730FAA">
      <w:pPr>
        <w:pStyle w:val="dotpoint2"/>
      </w:pPr>
      <w:r w:rsidRPr="001E504A">
        <w:t>Why could the scientific or technological uncertainty not be resolved using publicly available knowledge or knowledge deducible by a competent professional working in the relevant scientific or technological field?</w:t>
      </w:r>
    </w:p>
    <w:p w14:paraId="2BBD42B4" w14:textId="77777777" w:rsidR="00ED09D1" w:rsidRPr="001E504A" w:rsidRDefault="00ED09D1" w:rsidP="00730FAA">
      <w:pPr>
        <w:pStyle w:val="dotpoint2"/>
      </w:pPr>
      <w:r w:rsidRPr="001E504A">
        <w:t>For supporting activities, why were they integral to the core activity?</w:t>
      </w:r>
    </w:p>
    <w:p w14:paraId="653AA520" w14:textId="3DEF72FE" w:rsidR="00ED09D1" w:rsidRPr="001E504A" w:rsidRDefault="00ED09D1" w:rsidP="00476A0B">
      <w:pPr>
        <w:pStyle w:val="dotpoint"/>
      </w:pPr>
      <w:r w:rsidRPr="001E504A">
        <w:t>Expenditure</w:t>
      </w:r>
      <w:r w:rsidR="0038340E">
        <w:t xml:space="preserve"> – </w:t>
      </w:r>
      <w:r w:rsidRPr="001E504A">
        <w:t xml:space="preserve">broken down </w:t>
      </w:r>
      <w:r w:rsidR="00BC5F88">
        <w:t>indicatively into categories such as</w:t>
      </w:r>
      <w:r w:rsidRPr="001E504A">
        <w:t>:</w:t>
      </w:r>
    </w:p>
    <w:p w14:paraId="71CDDA4B" w14:textId="7072CBFA" w:rsidR="00ED09D1" w:rsidRPr="001E504A" w:rsidRDefault="00ED09D1" w:rsidP="0038340E">
      <w:pPr>
        <w:pStyle w:val="dotpoint2"/>
      </w:pPr>
      <w:r w:rsidRPr="001E504A">
        <w:t>Employee remuneration</w:t>
      </w:r>
      <w:r w:rsidR="005037E6">
        <w:t>;</w:t>
      </w:r>
    </w:p>
    <w:p w14:paraId="013C7659" w14:textId="785DFDE3" w:rsidR="00ED09D1" w:rsidRPr="001E504A" w:rsidRDefault="00ED09D1" w:rsidP="0038340E">
      <w:pPr>
        <w:pStyle w:val="dotpoint2"/>
      </w:pPr>
      <w:r w:rsidRPr="001E504A">
        <w:t>Depreciation</w:t>
      </w:r>
      <w:r w:rsidR="005037E6">
        <w:t>;</w:t>
      </w:r>
    </w:p>
    <w:p w14:paraId="0794D4A1" w14:textId="1DDD9114" w:rsidR="00ED09D1" w:rsidRPr="001E504A" w:rsidRDefault="00ED09D1" w:rsidP="0038340E">
      <w:pPr>
        <w:pStyle w:val="dotpoint2"/>
      </w:pPr>
      <w:r w:rsidRPr="001E504A">
        <w:t>Consumables</w:t>
      </w:r>
      <w:r w:rsidR="005037E6">
        <w:t>;</w:t>
      </w:r>
    </w:p>
    <w:p w14:paraId="73ADE2FA" w14:textId="7C2CD818" w:rsidR="00ED09D1" w:rsidRPr="001E504A" w:rsidRDefault="00ED09D1" w:rsidP="0038340E">
      <w:pPr>
        <w:pStyle w:val="dotpoint2"/>
      </w:pPr>
      <w:r w:rsidRPr="001E504A">
        <w:t>Overheads</w:t>
      </w:r>
      <w:r w:rsidR="005037E6">
        <w:t>;</w:t>
      </w:r>
    </w:p>
    <w:p w14:paraId="70E988E4" w14:textId="578DAE99" w:rsidR="00ED09D1" w:rsidRPr="001E504A" w:rsidRDefault="00ED09D1" w:rsidP="0038340E">
      <w:pPr>
        <w:pStyle w:val="dotpoint2"/>
      </w:pPr>
      <w:r w:rsidRPr="001E504A">
        <w:t>Net cost of items used in, or subject to, a process or transformation</w:t>
      </w:r>
      <w:r w:rsidR="005037E6">
        <w:t>;</w:t>
      </w:r>
    </w:p>
    <w:p w14:paraId="4A3582FF" w14:textId="71700EBA" w:rsidR="00ED09D1" w:rsidRPr="001E504A" w:rsidRDefault="00ED09D1" w:rsidP="0038340E">
      <w:pPr>
        <w:pStyle w:val="dotpoint2"/>
      </w:pPr>
      <w:r w:rsidRPr="001E504A">
        <w:t>Expenditure on internal software development</w:t>
      </w:r>
      <w:r w:rsidR="005037E6">
        <w:t>;</w:t>
      </w:r>
      <w:r w:rsidR="00440474">
        <w:t xml:space="preserve"> and</w:t>
      </w:r>
    </w:p>
    <w:p w14:paraId="01EF4755" w14:textId="77777777" w:rsidR="00ED09D1" w:rsidRPr="001E504A" w:rsidRDefault="00ED09D1" w:rsidP="0038340E">
      <w:pPr>
        <w:pStyle w:val="dotpoint2"/>
        <w:spacing w:after="0"/>
      </w:pPr>
      <w:r w:rsidRPr="001E504A">
        <w:t>Expenditure incurred on R&amp;D activities conducted outside New Zealand.</w:t>
      </w:r>
    </w:p>
    <w:p w14:paraId="5390416C" w14:textId="77777777" w:rsidR="00ED09D1" w:rsidRPr="001E504A" w:rsidRDefault="00ED09D1" w:rsidP="00476A0B">
      <w:pPr>
        <w:rPr>
          <w:lang w:eastAsia="en-AU"/>
        </w:rPr>
      </w:pPr>
    </w:p>
    <w:p w14:paraId="602AB941" w14:textId="745D8222" w:rsidR="00ED09D1" w:rsidRPr="001E504A" w:rsidRDefault="00ED09D1" w:rsidP="00476A0B">
      <w:pPr>
        <w:rPr>
          <w:lang w:eastAsia="en-AU"/>
        </w:rPr>
      </w:pPr>
      <w:r w:rsidRPr="001E504A">
        <w:rPr>
          <w:lang w:eastAsia="en-AU"/>
        </w:rPr>
        <w:t xml:space="preserve">Taxpayers who are subject to </w:t>
      </w:r>
      <w:r w:rsidR="00440474">
        <w:rPr>
          <w:lang w:eastAsia="en-AU"/>
        </w:rPr>
        <w:t xml:space="preserve">the general in-year </w:t>
      </w:r>
      <w:r w:rsidRPr="001E504A">
        <w:rPr>
          <w:lang w:eastAsia="en-AU"/>
        </w:rPr>
        <w:t xml:space="preserve">approval </w:t>
      </w:r>
      <w:r w:rsidR="00440474">
        <w:rPr>
          <w:lang w:eastAsia="en-AU"/>
        </w:rPr>
        <w:t xml:space="preserve">process </w:t>
      </w:r>
      <w:r w:rsidRPr="001E504A">
        <w:rPr>
          <w:lang w:eastAsia="en-AU"/>
        </w:rPr>
        <w:t xml:space="preserve">(see </w:t>
      </w:r>
      <w:r w:rsidR="008374CF">
        <w:rPr>
          <w:lang w:eastAsia="en-AU"/>
        </w:rPr>
        <w:t xml:space="preserve">the section on </w:t>
      </w:r>
      <w:r w:rsidR="008374CF" w:rsidRPr="008374CF">
        <w:rPr>
          <w:rStyle w:val="Emphasis"/>
          <w:lang w:eastAsia="en-AU"/>
        </w:rPr>
        <w:t>Approval: general approval process (year two)</w:t>
      </w:r>
      <w:r w:rsidR="008374CF" w:rsidRPr="008374CF">
        <w:rPr>
          <w:lang w:eastAsia="en-AU"/>
        </w:rPr>
        <w:t xml:space="preserve"> </w:t>
      </w:r>
      <w:r w:rsidR="008374CF">
        <w:rPr>
          <w:lang w:eastAsia="en-AU"/>
        </w:rPr>
        <w:t>(</w:t>
      </w:r>
      <w:r w:rsidRPr="002B4A33">
        <w:rPr>
          <w:lang w:eastAsia="en-AU"/>
        </w:rPr>
        <w:t xml:space="preserve">page </w:t>
      </w:r>
      <w:r w:rsidR="003514CC">
        <w:rPr>
          <w:lang w:eastAsia="en-AU"/>
        </w:rPr>
        <w:t>95) for more information</w:t>
      </w:r>
      <w:r w:rsidRPr="001E504A">
        <w:rPr>
          <w:lang w:eastAsia="en-AU"/>
        </w:rPr>
        <w:t>) will mainly provide expenditure information with their tax return, as information on their activities will have been provided during the year. However, they will be required to provide a declaration that their activities haven’t materially changed from how they were described in their in-year approval application, and allocate their claimed expenditure to the relevant approved activity.</w:t>
      </w:r>
    </w:p>
    <w:p w14:paraId="6211EE78" w14:textId="77777777" w:rsidR="00ED09D1" w:rsidRPr="001E504A" w:rsidRDefault="00ED09D1" w:rsidP="00476A0B">
      <w:pPr>
        <w:rPr>
          <w:lang w:eastAsia="en-AU"/>
        </w:rPr>
      </w:pPr>
    </w:p>
    <w:p w14:paraId="449EF7CE" w14:textId="260DFA7C" w:rsidR="00476A0B" w:rsidRDefault="00ED09D1" w:rsidP="00476A0B">
      <w:pPr>
        <w:rPr>
          <w:lang w:eastAsia="en-AU"/>
        </w:rPr>
      </w:pPr>
      <w:r w:rsidRPr="001E504A">
        <w:rPr>
          <w:lang w:eastAsia="en-AU"/>
        </w:rPr>
        <w:t>The onus is on the person claiming the credit to provide the required detail</w:t>
      </w:r>
      <w:r w:rsidR="00485279">
        <w:rPr>
          <w:lang w:eastAsia="en-AU"/>
        </w:rPr>
        <w:t xml:space="preserve">. </w:t>
      </w:r>
      <w:r w:rsidRPr="001E504A">
        <w:rPr>
          <w:lang w:eastAsia="en-AU"/>
        </w:rPr>
        <w:t>This means that where the person has engaged a contractor to perform the R&amp;D activities, the person will need to ensure that the contractor provides them with enough information regarding the activities undertaken and the associated expenditure.</w:t>
      </w:r>
    </w:p>
    <w:p w14:paraId="64F65519" w14:textId="1DF4074E" w:rsidR="00D00F10" w:rsidRDefault="00ED09D1">
      <w:pPr>
        <w:spacing w:after="200" w:line="276" w:lineRule="auto"/>
        <w:jc w:val="left"/>
        <w:rPr>
          <w:b/>
          <w:caps/>
          <w:sz w:val="26"/>
          <w:lang w:eastAsia="en-AU"/>
        </w:rPr>
      </w:pPr>
      <w:r>
        <w:rPr>
          <w:b/>
          <w:caps/>
          <w:sz w:val="26"/>
          <w:lang w:eastAsia="en-AU"/>
        </w:rPr>
        <w:br w:type="page"/>
      </w:r>
    </w:p>
    <w:p w14:paraId="72871668" w14:textId="77777777" w:rsidR="00ED09D1" w:rsidRDefault="00ED09D1" w:rsidP="00476A0B">
      <w:pPr>
        <w:rPr>
          <w:lang w:eastAsia="en-AU"/>
        </w:rPr>
      </w:pPr>
    </w:p>
    <w:p w14:paraId="437396E8" w14:textId="77777777" w:rsidR="00D00F10" w:rsidRDefault="00D00F10" w:rsidP="00476A0B">
      <w:pPr>
        <w:rPr>
          <w:lang w:eastAsia="en-AU"/>
        </w:rPr>
      </w:pPr>
    </w:p>
    <w:p w14:paraId="4471172D" w14:textId="77777777" w:rsidR="00D00F10" w:rsidRDefault="00D00F10" w:rsidP="00476A0B">
      <w:pPr>
        <w:rPr>
          <w:lang w:eastAsia="en-AU"/>
        </w:rPr>
      </w:pPr>
    </w:p>
    <w:p w14:paraId="35C8F807" w14:textId="77777777" w:rsidR="00DA5318" w:rsidRDefault="00DA5318" w:rsidP="00476A0B">
      <w:pPr>
        <w:rPr>
          <w:lang w:eastAsia="en-AU"/>
        </w:rPr>
      </w:pPr>
    </w:p>
    <w:p w14:paraId="79E00353" w14:textId="77777777" w:rsidR="00DA5318" w:rsidRDefault="00DA5318" w:rsidP="00476A0B">
      <w:pPr>
        <w:rPr>
          <w:lang w:eastAsia="en-AU"/>
        </w:rPr>
      </w:pPr>
    </w:p>
    <w:p w14:paraId="21EC7EBD" w14:textId="77777777" w:rsidR="00DA5318" w:rsidRDefault="00DA5318" w:rsidP="00476A0B">
      <w:pPr>
        <w:rPr>
          <w:lang w:eastAsia="en-AU"/>
        </w:rPr>
      </w:pPr>
    </w:p>
    <w:p w14:paraId="08C6EE9B" w14:textId="77777777" w:rsidR="00DA5318" w:rsidRDefault="00DA5318" w:rsidP="00476A0B">
      <w:pPr>
        <w:rPr>
          <w:lang w:eastAsia="en-AU"/>
        </w:rPr>
      </w:pPr>
    </w:p>
    <w:p w14:paraId="4192EB78" w14:textId="77777777" w:rsidR="00D00F10" w:rsidRDefault="00D00F10" w:rsidP="00476A0B">
      <w:pPr>
        <w:rPr>
          <w:lang w:eastAsia="en-AU"/>
        </w:rPr>
      </w:pPr>
    </w:p>
    <w:p w14:paraId="3C60376E" w14:textId="77777777" w:rsidR="00D00F10" w:rsidRDefault="00D00F10" w:rsidP="00476A0B">
      <w:pPr>
        <w:rPr>
          <w:lang w:eastAsia="en-AU"/>
        </w:rPr>
      </w:pPr>
    </w:p>
    <w:p w14:paraId="523B52D2" w14:textId="77777777" w:rsidR="00D00F10" w:rsidRDefault="00D00F10" w:rsidP="00476A0B">
      <w:pPr>
        <w:rPr>
          <w:lang w:eastAsia="en-AU"/>
        </w:rPr>
      </w:pPr>
    </w:p>
    <w:p w14:paraId="48E536A7" w14:textId="77777777" w:rsidR="00D00F10" w:rsidRDefault="00D00F10" w:rsidP="00476A0B">
      <w:pPr>
        <w:rPr>
          <w:lang w:eastAsia="en-AU"/>
        </w:rPr>
      </w:pPr>
    </w:p>
    <w:p w14:paraId="1C6E81E2" w14:textId="77777777" w:rsidR="00D00F10" w:rsidRDefault="00D00F10" w:rsidP="00476A0B">
      <w:pPr>
        <w:rPr>
          <w:lang w:eastAsia="en-AU"/>
        </w:rPr>
      </w:pPr>
    </w:p>
    <w:p w14:paraId="56796D14" w14:textId="0CE44E26" w:rsidR="00D00F10" w:rsidRDefault="00D00F10" w:rsidP="00D00F10">
      <w:pPr>
        <w:pStyle w:val="Sectionheading"/>
      </w:pPr>
      <w:bookmarkStart w:id="62" w:name="_Toc528195596"/>
      <w:r>
        <w:t>Integrity measures</w:t>
      </w:r>
      <w:bookmarkEnd w:id="62"/>
    </w:p>
    <w:p w14:paraId="2D96C9E5" w14:textId="52BC70E5" w:rsidR="00DA5318" w:rsidRDefault="00D00F10">
      <w:pPr>
        <w:spacing w:after="200" w:line="276" w:lineRule="auto"/>
        <w:jc w:val="left"/>
      </w:pPr>
      <w:r>
        <w:br w:type="page"/>
      </w:r>
      <w:r w:rsidR="00DA5318">
        <w:br w:type="page"/>
      </w:r>
    </w:p>
    <w:p w14:paraId="592B8250" w14:textId="77777777" w:rsidR="00ED09D1" w:rsidRPr="001F46A8" w:rsidRDefault="00ED09D1" w:rsidP="001C68BB">
      <w:pPr>
        <w:pStyle w:val="Heading1"/>
      </w:pPr>
      <w:bookmarkStart w:id="63" w:name="_Toc528157376"/>
      <w:bookmarkStart w:id="64" w:name="_Toc528195597"/>
      <w:r w:rsidRPr="001F46A8">
        <w:t xml:space="preserve">Amendments to </w:t>
      </w:r>
      <w:r>
        <w:t>s</w:t>
      </w:r>
      <w:r w:rsidRPr="001F46A8">
        <w:t xml:space="preserve">ecrecy </w:t>
      </w:r>
      <w:r>
        <w:t>p</w:t>
      </w:r>
      <w:r w:rsidRPr="001F46A8">
        <w:t>rovisions</w:t>
      </w:r>
      <w:bookmarkEnd w:id="63"/>
      <w:bookmarkEnd w:id="64"/>
    </w:p>
    <w:p w14:paraId="753315EB" w14:textId="77777777" w:rsidR="00ED09D1" w:rsidRPr="001F46A8" w:rsidRDefault="00ED09D1" w:rsidP="001C68BB">
      <w:pPr>
        <w:pStyle w:val="Heading3"/>
      </w:pPr>
      <w:r w:rsidRPr="001F46A8">
        <w:t>Clause 31</w:t>
      </w:r>
    </w:p>
    <w:p w14:paraId="43DCD6ED" w14:textId="77777777" w:rsidR="00ED09D1" w:rsidRDefault="00ED09D1" w:rsidP="001C68BB">
      <w:pPr>
        <w:rPr>
          <w:lang w:eastAsia="en-AU"/>
        </w:rPr>
      </w:pPr>
    </w:p>
    <w:p w14:paraId="181D43B4" w14:textId="77777777" w:rsidR="001C68BB" w:rsidRPr="001F46A8" w:rsidRDefault="001C68BB" w:rsidP="001C68BB">
      <w:pPr>
        <w:rPr>
          <w:lang w:eastAsia="en-AU"/>
        </w:rPr>
      </w:pPr>
    </w:p>
    <w:p w14:paraId="0A2E13FF" w14:textId="51B2F7A2" w:rsidR="00ED09D1" w:rsidRPr="001F46A8" w:rsidRDefault="00ED09D1" w:rsidP="001C68BB">
      <w:pPr>
        <w:pStyle w:val="Heading2"/>
      </w:pPr>
      <w:r w:rsidRPr="001F46A8">
        <w:t>Summary of proposed amendment</w:t>
      </w:r>
    </w:p>
    <w:p w14:paraId="24C1E592" w14:textId="77777777" w:rsidR="00ED09D1" w:rsidRPr="001F46A8" w:rsidRDefault="00ED09D1" w:rsidP="001C68BB">
      <w:pPr>
        <w:rPr>
          <w:lang w:eastAsia="en-AU"/>
        </w:rPr>
      </w:pPr>
    </w:p>
    <w:p w14:paraId="3D90D3E7" w14:textId="2F2D0385" w:rsidR="00ED09D1" w:rsidRPr="001F46A8" w:rsidRDefault="00ED09D1" w:rsidP="001C68BB">
      <w:pPr>
        <w:rPr>
          <w:lang w:eastAsia="en-AU"/>
        </w:rPr>
      </w:pPr>
      <w:r w:rsidRPr="001F46A8">
        <w:rPr>
          <w:lang w:eastAsia="en-AU"/>
        </w:rPr>
        <w:t xml:space="preserve">The </w:t>
      </w:r>
      <w:r w:rsidR="00A67BD0">
        <w:rPr>
          <w:lang w:eastAsia="en-AU"/>
        </w:rPr>
        <w:t>B</w:t>
      </w:r>
      <w:r w:rsidRPr="001F46A8">
        <w:rPr>
          <w:lang w:eastAsia="en-AU"/>
        </w:rPr>
        <w:t xml:space="preserve">ill proposes amendments to existing secrecy provisions to ensure Inland Revenue is able to communicate information to other state sector entities for evaluating, administering, reporting statistics on, and forming the policy </w:t>
      </w:r>
      <w:r w:rsidR="001C5F0C">
        <w:rPr>
          <w:lang w:eastAsia="en-AU"/>
        </w:rPr>
        <w:t>for</w:t>
      </w:r>
      <w:r w:rsidR="001C68BB">
        <w:rPr>
          <w:lang w:eastAsia="en-AU"/>
        </w:rPr>
        <w:t xml:space="preserve"> the R&amp;D tax credit regime.</w:t>
      </w:r>
    </w:p>
    <w:p w14:paraId="781E11CB" w14:textId="77777777" w:rsidR="00ED09D1" w:rsidRDefault="00ED09D1" w:rsidP="001C68BB">
      <w:pPr>
        <w:rPr>
          <w:lang w:eastAsia="en-AU"/>
        </w:rPr>
      </w:pPr>
    </w:p>
    <w:p w14:paraId="35BB05E4" w14:textId="77777777" w:rsidR="001C68BB" w:rsidRPr="001F46A8" w:rsidRDefault="001C68BB" w:rsidP="001C68BB">
      <w:pPr>
        <w:rPr>
          <w:lang w:eastAsia="en-AU"/>
        </w:rPr>
      </w:pPr>
    </w:p>
    <w:p w14:paraId="349D8086" w14:textId="77777777" w:rsidR="00ED09D1" w:rsidRPr="001F46A8" w:rsidRDefault="00ED09D1" w:rsidP="001C68BB">
      <w:pPr>
        <w:pStyle w:val="Heading2"/>
      </w:pPr>
      <w:r w:rsidRPr="001F46A8">
        <w:t>Application date</w:t>
      </w:r>
    </w:p>
    <w:p w14:paraId="19585E30" w14:textId="77777777" w:rsidR="00ED09D1" w:rsidRPr="001F46A8" w:rsidRDefault="00ED09D1" w:rsidP="001C68BB">
      <w:pPr>
        <w:rPr>
          <w:lang w:eastAsia="en-AU"/>
        </w:rPr>
      </w:pPr>
    </w:p>
    <w:p w14:paraId="6E22122E" w14:textId="17C33DFD" w:rsidR="00ED09D1" w:rsidRPr="001F46A8" w:rsidRDefault="00ED09D1" w:rsidP="001C68BB">
      <w:pPr>
        <w:rPr>
          <w:lang w:eastAsia="en-AU"/>
        </w:rPr>
      </w:pPr>
      <w:r w:rsidRPr="001F46A8">
        <w:rPr>
          <w:lang w:eastAsia="en-AU"/>
        </w:rPr>
        <w:t xml:space="preserve">From the </w:t>
      </w:r>
      <w:r w:rsidR="00E010FC">
        <w:rPr>
          <w:lang w:eastAsia="en-AU"/>
        </w:rPr>
        <w:t>2019–20</w:t>
      </w:r>
      <w:r w:rsidRPr="001F46A8">
        <w:rPr>
          <w:lang w:eastAsia="en-AU"/>
        </w:rPr>
        <w:t xml:space="preserve"> income year.</w:t>
      </w:r>
    </w:p>
    <w:p w14:paraId="2C205823" w14:textId="77777777" w:rsidR="00ED09D1" w:rsidRDefault="00ED09D1" w:rsidP="001C68BB">
      <w:pPr>
        <w:rPr>
          <w:lang w:eastAsia="en-AU"/>
        </w:rPr>
      </w:pPr>
    </w:p>
    <w:p w14:paraId="62DDC9D4" w14:textId="77777777" w:rsidR="001C68BB" w:rsidRPr="001F46A8" w:rsidRDefault="001C68BB" w:rsidP="001C68BB">
      <w:pPr>
        <w:rPr>
          <w:lang w:eastAsia="en-AU"/>
        </w:rPr>
      </w:pPr>
    </w:p>
    <w:p w14:paraId="6FE20011" w14:textId="77777777" w:rsidR="00ED09D1" w:rsidRPr="001F46A8" w:rsidRDefault="00ED09D1" w:rsidP="001C68BB">
      <w:pPr>
        <w:pStyle w:val="Heading2"/>
      </w:pPr>
      <w:r w:rsidRPr="001F46A8">
        <w:t>Key features</w:t>
      </w:r>
    </w:p>
    <w:p w14:paraId="4C2985B6" w14:textId="77777777" w:rsidR="00ED09D1" w:rsidRPr="001F46A8" w:rsidRDefault="00ED09D1" w:rsidP="001C68BB">
      <w:pPr>
        <w:rPr>
          <w:lang w:eastAsia="en-AU"/>
        </w:rPr>
      </w:pPr>
    </w:p>
    <w:p w14:paraId="6FFB6291" w14:textId="659CF3D5" w:rsidR="00ED09D1" w:rsidRPr="001F46A8" w:rsidRDefault="00ED09D1" w:rsidP="001C68BB">
      <w:pPr>
        <w:rPr>
          <w:lang w:eastAsia="en-AU"/>
        </w:rPr>
      </w:pPr>
      <w:r w:rsidRPr="001F46A8">
        <w:rPr>
          <w:lang w:eastAsia="en-AU"/>
        </w:rPr>
        <w:t xml:space="preserve">The proposed amendments to section 81(4)(w) and (x) will enable Inland Revenue to share information with other state sector entities. These provisions, as currently enacted, amend Inland Revenue’s secrecy requirements </w:t>
      </w:r>
      <w:r w:rsidR="00E805BC">
        <w:rPr>
          <w:lang w:eastAsia="en-AU"/>
        </w:rPr>
        <w:t>for</w:t>
      </w:r>
      <w:r w:rsidRPr="001F46A8">
        <w:rPr>
          <w:lang w:eastAsia="en-AU"/>
        </w:rPr>
        <w:t xml:space="preserve"> the R&amp;D tax loss cash-out regime.</w:t>
      </w:r>
    </w:p>
    <w:p w14:paraId="1A015182" w14:textId="77777777" w:rsidR="00ED09D1" w:rsidRPr="001F46A8" w:rsidRDefault="00ED09D1" w:rsidP="001C68BB">
      <w:pPr>
        <w:rPr>
          <w:lang w:eastAsia="en-AU"/>
        </w:rPr>
      </w:pPr>
    </w:p>
    <w:p w14:paraId="3FA0B361" w14:textId="53BAB532" w:rsidR="00ED09D1" w:rsidRPr="001F46A8" w:rsidRDefault="00ED09D1" w:rsidP="001C68BB">
      <w:pPr>
        <w:rPr>
          <w:lang w:eastAsia="en-AU"/>
        </w:rPr>
      </w:pPr>
      <w:r w:rsidRPr="001F46A8">
        <w:rPr>
          <w:lang w:eastAsia="en-AU"/>
        </w:rPr>
        <w:t>The proposed amendment to section 81(4)(w) empowers Inland Revenue to share any information reasonably necessary for a representative of the Treasury, Callaghan Innovation, the Ministry of Business, Innovation and Employment (MBIE), or a state sector entity charged with any functions relating to R&amp;D advice or incentives to undertake the following:</w:t>
      </w:r>
    </w:p>
    <w:p w14:paraId="130E7133" w14:textId="77777777" w:rsidR="00ED09D1" w:rsidRPr="001F46A8" w:rsidRDefault="00ED09D1" w:rsidP="001C68BB">
      <w:pPr>
        <w:rPr>
          <w:lang w:eastAsia="en-AU"/>
        </w:rPr>
      </w:pPr>
      <w:r w:rsidRPr="001F46A8">
        <w:rPr>
          <w:lang w:eastAsia="en-AU"/>
        </w:rPr>
        <w:t xml:space="preserve"> </w:t>
      </w:r>
    </w:p>
    <w:p w14:paraId="2C1966A7" w14:textId="057F1555" w:rsidR="00ED09D1" w:rsidRPr="001F46A8" w:rsidRDefault="00E805BC" w:rsidP="001C68BB">
      <w:pPr>
        <w:pStyle w:val="dotpoint"/>
      </w:pPr>
      <w:r>
        <w:t>e</w:t>
      </w:r>
      <w:r w:rsidR="00ED09D1" w:rsidRPr="001F46A8">
        <w:t>valuate the R&amp;D tax credit regime in accordance with proposed new section LY 10;</w:t>
      </w:r>
    </w:p>
    <w:p w14:paraId="6583E630" w14:textId="0580616B" w:rsidR="00ED09D1" w:rsidRPr="001F46A8" w:rsidRDefault="00E805BC" w:rsidP="001C68BB">
      <w:pPr>
        <w:pStyle w:val="dotpoint"/>
      </w:pPr>
      <w:r>
        <w:t>a</w:t>
      </w:r>
      <w:r w:rsidR="00ED09D1" w:rsidRPr="001F46A8">
        <w:t>dminister the R&amp;D tax credit and</w:t>
      </w:r>
      <w:r w:rsidR="001C68BB">
        <w:t xml:space="preserve"> R&amp;D tax loss cash-out regimes;</w:t>
      </w:r>
    </w:p>
    <w:p w14:paraId="1022B142" w14:textId="32A1C892" w:rsidR="00ED09D1" w:rsidRPr="001F46A8" w:rsidRDefault="00E805BC" w:rsidP="001C68BB">
      <w:pPr>
        <w:pStyle w:val="dotpoint"/>
      </w:pPr>
      <w:r>
        <w:t>r</w:t>
      </w:r>
      <w:r w:rsidR="00ED09D1" w:rsidRPr="001F46A8">
        <w:t>eport statistics on the R&amp;D tax credit and R&amp;D tax loss cash-out regimes; and</w:t>
      </w:r>
    </w:p>
    <w:p w14:paraId="1DF6E115" w14:textId="082D2261" w:rsidR="00ED09D1" w:rsidRPr="001F46A8" w:rsidRDefault="00E805BC" w:rsidP="001C68BB">
      <w:pPr>
        <w:pStyle w:val="dotpoint"/>
        <w:spacing w:after="0"/>
      </w:pPr>
      <w:r>
        <w:t>f</w:t>
      </w:r>
      <w:r w:rsidR="00ED09D1" w:rsidRPr="001F46A8">
        <w:t>orm policy for the R&amp;D tax credit and R&amp;D tax loss cash-out regimes.</w:t>
      </w:r>
    </w:p>
    <w:p w14:paraId="2325ADA2" w14:textId="77777777" w:rsidR="00ED09D1" w:rsidRPr="001F46A8" w:rsidRDefault="00ED09D1" w:rsidP="001C68BB">
      <w:pPr>
        <w:rPr>
          <w:lang w:eastAsia="en-AU"/>
        </w:rPr>
      </w:pPr>
    </w:p>
    <w:p w14:paraId="7782F2DE" w14:textId="35AFEDA2" w:rsidR="00ED09D1" w:rsidRPr="001F46A8" w:rsidRDefault="00440474" w:rsidP="001C68BB">
      <w:pPr>
        <w:rPr>
          <w:lang w:eastAsia="en-AU"/>
        </w:rPr>
      </w:pPr>
      <w:r>
        <w:rPr>
          <w:lang w:eastAsia="en-AU"/>
        </w:rPr>
        <w:t>The p</w:t>
      </w:r>
      <w:r w:rsidR="00A67BD0">
        <w:rPr>
          <w:lang w:eastAsia="en-AU"/>
        </w:rPr>
        <w:t>roposed a</w:t>
      </w:r>
      <w:r w:rsidR="00ED09D1" w:rsidRPr="001F46A8">
        <w:rPr>
          <w:lang w:eastAsia="en-AU"/>
        </w:rPr>
        <w:t>mend</w:t>
      </w:r>
      <w:r>
        <w:rPr>
          <w:lang w:eastAsia="en-AU"/>
        </w:rPr>
        <w:t>ments to section 81(4)(x) allow</w:t>
      </w:r>
      <w:r w:rsidR="00ED09D1" w:rsidRPr="001F46A8">
        <w:rPr>
          <w:lang w:eastAsia="en-AU"/>
        </w:rPr>
        <w:t xml:space="preserve"> Inland Revenue to share any information reasonably necessary for a representative of MBIE or Callaghan Innovation to perform their work relating to offering R&amp;D advice and incentives.</w:t>
      </w:r>
    </w:p>
    <w:p w14:paraId="75AC38BD" w14:textId="77777777" w:rsidR="00ED09D1" w:rsidRDefault="00ED09D1" w:rsidP="001C68BB">
      <w:pPr>
        <w:rPr>
          <w:lang w:eastAsia="en-AU"/>
        </w:rPr>
      </w:pPr>
    </w:p>
    <w:p w14:paraId="7194A739" w14:textId="77777777" w:rsidR="001C68BB" w:rsidRPr="001F46A8" w:rsidRDefault="001C68BB" w:rsidP="001C68BB">
      <w:pPr>
        <w:rPr>
          <w:lang w:eastAsia="en-AU"/>
        </w:rPr>
      </w:pPr>
    </w:p>
    <w:p w14:paraId="6B09A1DE" w14:textId="77777777" w:rsidR="00ED09D1" w:rsidRPr="001F46A8" w:rsidRDefault="00ED09D1" w:rsidP="001C68BB">
      <w:pPr>
        <w:pStyle w:val="Heading2"/>
      </w:pPr>
      <w:r w:rsidRPr="001F46A8">
        <w:t>Background</w:t>
      </w:r>
    </w:p>
    <w:p w14:paraId="6B93C18C" w14:textId="77777777" w:rsidR="00ED09D1" w:rsidRPr="001F46A8" w:rsidRDefault="00ED09D1" w:rsidP="001C68BB">
      <w:pPr>
        <w:rPr>
          <w:lang w:val="en-GB" w:eastAsia="en-AU"/>
        </w:rPr>
      </w:pPr>
    </w:p>
    <w:p w14:paraId="1E751A76" w14:textId="6753508D" w:rsidR="00ED09D1" w:rsidRPr="001F46A8" w:rsidRDefault="00ED09D1" w:rsidP="001C68BB">
      <w:pPr>
        <w:rPr>
          <w:lang w:val="en-GB" w:eastAsia="en-AU"/>
        </w:rPr>
      </w:pPr>
      <w:r w:rsidRPr="001F46A8">
        <w:rPr>
          <w:lang w:val="en-GB" w:eastAsia="en-AU"/>
        </w:rPr>
        <w:t xml:space="preserve">The R&amp;D tax credit regime is an MBIE-led cross-agency initiative aimed at encouraging </w:t>
      </w:r>
      <w:r w:rsidR="001C68BB">
        <w:rPr>
          <w:lang w:val="en-GB" w:eastAsia="en-AU"/>
        </w:rPr>
        <w:t>greater levels of business R&amp;D.</w:t>
      </w:r>
    </w:p>
    <w:p w14:paraId="0D84EB6D" w14:textId="77777777" w:rsidR="00ED09D1" w:rsidRPr="001F46A8" w:rsidRDefault="00ED09D1" w:rsidP="001C68BB">
      <w:pPr>
        <w:rPr>
          <w:lang w:val="en-GB" w:eastAsia="en-AU"/>
        </w:rPr>
      </w:pPr>
    </w:p>
    <w:p w14:paraId="3F485DCF" w14:textId="2AA2DADE" w:rsidR="00ED09D1" w:rsidRPr="001F46A8" w:rsidRDefault="00ED09D1" w:rsidP="001C68BB">
      <w:pPr>
        <w:rPr>
          <w:lang w:val="en-GB" w:eastAsia="en-AU"/>
        </w:rPr>
      </w:pPr>
      <w:r w:rsidRPr="001F46A8">
        <w:rPr>
          <w:lang w:val="en-GB" w:eastAsia="en-AU"/>
        </w:rPr>
        <w:t xml:space="preserve">New section LY 10 proposes </w:t>
      </w:r>
      <w:r w:rsidR="00BC5F88">
        <w:rPr>
          <w:lang w:val="en-GB" w:eastAsia="en-AU"/>
        </w:rPr>
        <w:t xml:space="preserve">that </w:t>
      </w:r>
      <w:r w:rsidRPr="001F46A8">
        <w:rPr>
          <w:lang w:val="en-GB" w:eastAsia="en-AU"/>
        </w:rPr>
        <w:t xml:space="preserve">the Minister of Research, Science and Innovation </w:t>
      </w:r>
      <w:r w:rsidR="00A11AF3">
        <w:rPr>
          <w:lang w:val="en-GB" w:eastAsia="en-AU"/>
        </w:rPr>
        <w:t xml:space="preserve">evaluate the tax credit and </w:t>
      </w:r>
      <w:r w:rsidRPr="001F46A8">
        <w:rPr>
          <w:lang w:val="en-GB" w:eastAsia="en-AU"/>
        </w:rPr>
        <w:t>report to Parliament every five years. Inland Revenue needs to be able to communicate to MBIE the information required for the Minister to prepare the report.</w:t>
      </w:r>
    </w:p>
    <w:p w14:paraId="5643A44A" w14:textId="77777777" w:rsidR="00ED09D1" w:rsidRPr="001F46A8" w:rsidRDefault="00ED09D1" w:rsidP="001C68BB">
      <w:pPr>
        <w:rPr>
          <w:lang w:val="en-GB" w:eastAsia="en-AU"/>
        </w:rPr>
      </w:pPr>
    </w:p>
    <w:p w14:paraId="7C029FC5" w14:textId="5076A63F" w:rsidR="00ED09D1" w:rsidRDefault="00ED09D1" w:rsidP="001C68BB">
      <w:pPr>
        <w:rPr>
          <w:lang w:val="en-GB" w:eastAsia="en-AU"/>
        </w:rPr>
      </w:pPr>
      <w:r w:rsidRPr="001F46A8">
        <w:rPr>
          <w:lang w:val="en-GB" w:eastAsia="en-AU"/>
        </w:rPr>
        <w:t>It is expected that Inland Revenue, with the assistance of Callaghan Innovation (or another state sector entity), will be primarily responsible for administering the R&amp;D tax credit and R&amp;D tax loss cash-out regime</w:t>
      </w:r>
      <w:r w:rsidR="001C68BB">
        <w:rPr>
          <w:lang w:val="en-GB" w:eastAsia="en-AU"/>
        </w:rPr>
        <w:t xml:space="preserve">s from the </w:t>
      </w:r>
      <w:r w:rsidR="00E010FC">
        <w:rPr>
          <w:lang w:val="en-GB" w:eastAsia="en-AU"/>
        </w:rPr>
        <w:t>2019–20</w:t>
      </w:r>
      <w:r w:rsidR="001C68BB">
        <w:rPr>
          <w:lang w:val="en-GB" w:eastAsia="en-AU"/>
        </w:rPr>
        <w:t xml:space="preserve"> income year.</w:t>
      </w:r>
    </w:p>
    <w:p w14:paraId="3B61C828" w14:textId="77777777" w:rsidR="005037E6" w:rsidRPr="001F46A8" w:rsidRDefault="005037E6" w:rsidP="001C68BB">
      <w:pPr>
        <w:rPr>
          <w:lang w:val="en-GB" w:eastAsia="en-AU"/>
        </w:rPr>
      </w:pPr>
    </w:p>
    <w:p w14:paraId="0BB83032" w14:textId="77777777" w:rsidR="00ED09D1" w:rsidRPr="001F46A8" w:rsidRDefault="00ED09D1" w:rsidP="001C68BB">
      <w:pPr>
        <w:rPr>
          <w:lang w:val="en-GB" w:eastAsia="en-AU"/>
        </w:rPr>
      </w:pPr>
      <w:r w:rsidRPr="001F46A8">
        <w:rPr>
          <w:lang w:val="en-GB" w:eastAsia="en-AU"/>
        </w:rPr>
        <w:t>Inland Revenue intends to share statistical information on the R&amp;D tax credit and R&amp;D tax loss cash-out regimes with Stat</w:t>
      </w:r>
      <w:r w:rsidR="00BC5F88">
        <w:rPr>
          <w:lang w:val="en-GB" w:eastAsia="en-AU"/>
        </w:rPr>
        <w:t>i</w:t>
      </w:r>
      <w:r w:rsidRPr="001F46A8">
        <w:rPr>
          <w:lang w:val="en-GB" w:eastAsia="en-AU"/>
        </w:rPr>
        <w:t>s</w:t>
      </w:r>
      <w:r w:rsidR="00BC5F88">
        <w:rPr>
          <w:lang w:val="en-GB" w:eastAsia="en-AU"/>
        </w:rPr>
        <w:t>tics</w:t>
      </w:r>
      <w:r w:rsidRPr="001F46A8">
        <w:rPr>
          <w:lang w:val="en-GB" w:eastAsia="en-AU"/>
        </w:rPr>
        <w:t xml:space="preserve"> N</w:t>
      </w:r>
      <w:r w:rsidR="00BC5F88">
        <w:rPr>
          <w:lang w:val="en-GB" w:eastAsia="en-AU"/>
        </w:rPr>
        <w:t>ew Zealand</w:t>
      </w:r>
      <w:r w:rsidRPr="001F46A8">
        <w:rPr>
          <w:lang w:val="en-GB" w:eastAsia="en-AU"/>
        </w:rPr>
        <w:t>, to gain insights about business R&amp;D in New Zealand. Claim information will be integrated into the Stat</w:t>
      </w:r>
      <w:r w:rsidR="00BC5F88">
        <w:rPr>
          <w:lang w:val="en-GB" w:eastAsia="en-AU"/>
        </w:rPr>
        <w:t>i</w:t>
      </w:r>
      <w:r w:rsidRPr="001F46A8">
        <w:rPr>
          <w:lang w:val="en-GB" w:eastAsia="en-AU"/>
        </w:rPr>
        <w:t>s</w:t>
      </w:r>
      <w:r w:rsidR="00BC5F88">
        <w:rPr>
          <w:lang w:val="en-GB" w:eastAsia="en-AU"/>
        </w:rPr>
        <w:t>tics</w:t>
      </w:r>
      <w:r w:rsidRPr="001F46A8">
        <w:rPr>
          <w:lang w:val="en-GB" w:eastAsia="en-AU"/>
        </w:rPr>
        <w:t xml:space="preserve"> N</w:t>
      </w:r>
      <w:r w:rsidR="00BC5F88">
        <w:rPr>
          <w:lang w:val="en-GB" w:eastAsia="en-AU"/>
        </w:rPr>
        <w:t xml:space="preserve">ew </w:t>
      </w:r>
      <w:r w:rsidRPr="001F46A8">
        <w:rPr>
          <w:lang w:val="en-GB" w:eastAsia="en-AU"/>
        </w:rPr>
        <w:t>Z</w:t>
      </w:r>
      <w:r w:rsidR="00BC5F88">
        <w:rPr>
          <w:lang w:val="en-GB" w:eastAsia="en-AU"/>
        </w:rPr>
        <w:t>ealand</w:t>
      </w:r>
      <w:r w:rsidRPr="001F46A8">
        <w:rPr>
          <w:lang w:val="en-GB" w:eastAsia="en-AU"/>
        </w:rPr>
        <w:t xml:space="preserve"> Longitudinal Business Database and the National Research Information System. Information held by Stat</w:t>
      </w:r>
      <w:r w:rsidR="00BC5F88">
        <w:rPr>
          <w:lang w:val="en-GB" w:eastAsia="en-AU"/>
        </w:rPr>
        <w:t>istic</w:t>
      </w:r>
      <w:r w:rsidRPr="001F46A8">
        <w:rPr>
          <w:lang w:val="en-GB" w:eastAsia="en-AU"/>
        </w:rPr>
        <w:t>s N</w:t>
      </w:r>
      <w:r w:rsidR="00BC5F88">
        <w:rPr>
          <w:lang w:val="en-GB" w:eastAsia="en-AU"/>
        </w:rPr>
        <w:t xml:space="preserve">ew </w:t>
      </w:r>
      <w:r w:rsidRPr="001F46A8">
        <w:rPr>
          <w:lang w:val="en-GB" w:eastAsia="en-AU"/>
        </w:rPr>
        <w:t>Z</w:t>
      </w:r>
      <w:r w:rsidR="00BC5F88">
        <w:rPr>
          <w:lang w:val="en-GB" w:eastAsia="en-AU"/>
        </w:rPr>
        <w:t>ealand</w:t>
      </w:r>
      <w:r w:rsidRPr="001F46A8">
        <w:rPr>
          <w:lang w:val="en-GB" w:eastAsia="en-AU"/>
        </w:rPr>
        <w:t xml:space="preserve"> will be anonymised.</w:t>
      </w:r>
    </w:p>
    <w:p w14:paraId="341DA9BC" w14:textId="77777777" w:rsidR="00ED09D1" w:rsidRPr="001F46A8" w:rsidRDefault="00ED09D1" w:rsidP="001C68BB">
      <w:pPr>
        <w:rPr>
          <w:lang w:val="en-GB" w:eastAsia="en-AU"/>
        </w:rPr>
      </w:pPr>
    </w:p>
    <w:p w14:paraId="71055448" w14:textId="77777777" w:rsidR="00ED09D1" w:rsidRDefault="00ED09D1" w:rsidP="001C68BB">
      <w:pPr>
        <w:rPr>
          <w:lang w:val="en-GB" w:eastAsia="en-AU"/>
        </w:rPr>
      </w:pPr>
      <w:r w:rsidRPr="001F46A8">
        <w:rPr>
          <w:lang w:val="en-GB" w:eastAsia="en-AU"/>
        </w:rPr>
        <w:t>Policy formation of the R&amp;D tax credit regime to date has primarily involved Inland Revenue, MBIE, Callaghan Innovation and the Treasury. Any future policy development of the R&amp;D tax credit or R&amp;D tax loss cash-out regimes will continue to be undertaken across multiple state sector agencies. Therefore, Inland Revenue needs to have the ability to share information with other agencies for this purpose.</w:t>
      </w:r>
    </w:p>
    <w:p w14:paraId="747F36D4" w14:textId="77777777" w:rsidR="00ED09D1" w:rsidRDefault="00ED09D1" w:rsidP="00ED09D1">
      <w:pPr>
        <w:rPr>
          <w:rFonts w:eastAsia="Times New Roman" w:cs="Times New Roman"/>
          <w:szCs w:val="24"/>
          <w:lang w:val="en-GB" w:eastAsia="en-AU"/>
        </w:rPr>
      </w:pPr>
      <w:r>
        <w:rPr>
          <w:rFonts w:eastAsia="Times New Roman" w:cs="Times New Roman"/>
          <w:szCs w:val="24"/>
          <w:lang w:val="en-GB" w:eastAsia="en-AU"/>
        </w:rPr>
        <w:br w:type="page"/>
      </w:r>
    </w:p>
    <w:p w14:paraId="4F6759C7" w14:textId="77777777" w:rsidR="00ED09D1" w:rsidRPr="001F46A8" w:rsidRDefault="00ED09D1" w:rsidP="003B4C94">
      <w:pPr>
        <w:pStyle w:val="Heading1"/>
      </w:pPr>
      <w:bookmarkStart w:id="65" w:name="_Toc528157377"/>
      <w:bookmarkStart w:id="66" w:name="_Toc528195598"/>
      <w:r w:rsidRPr="001F46A8">
        <w:t xml:space="preserve">Publication of </w:t>
      </w:r>
      <w:r>
        <w:t>c</w:t>
      </w:r>
      <w:r w:rsidRPr="001F46A8">
        <w:t xml:space="preserve">laim </w:t>
      </w:r>
      <w:r>
        <w:t>d</w:t>
      </w:r>
      <w:r w:rsidRPr="001F46A8">
        <w:t>etails</w:t>
      </w:r>
      <w:bookmarkEnd w:id="65"/>
      <w:bookmarkEnd w:id="66"/>
    </w:p>
    <w:p w14:paraId="4AEBFD63" w14:textId="4250ECD6" w:rsidR="00ED09D1" w:rsidRPr="001F46A8" w:rsidRDefault="00ED09D1" w:rsidP="003B4C94">
      <w:pPr>
        <w:pStyle w:val="Heading3"/>
      </w:pPr>
      <w:r w:rsidRPr="001F46A8">
        <w:t>Clause 30</w:t>
      </w:r>
      <w:r w:rsidR="00D73680">
        <w:t xml:space="preserve"> (proposed new section 68CE)</w:t>
      </w:r>
    </w:p>
    <w:p w14:paraId="5A648D7D" w14:textId="77777777" w:rsidR="00ED09D1" w:rsidRDefault="00ED09D1" w:rsidP="003B4C94">
      <w:pPr>
        <w:rPr>
          <w:lang w:eastAsia="en-AU"/>
        </w:rPr>
      </w:pPr>
    </w:p>
    <w:p w14:paraId="1C793BF1" w14:textId="77777777" w:rsidR="003B4C94" w:rsidRPr="001F46A8" w:rsidRDefault="003B4C94" w:rsidP="003B4C94">
      <w:pPr>
        <w:rPr>
          <w:lang w:eastAsia="en-AU"/>
        </w:rPr>
      </w:pPr>
    </w:p>
    <w:p w14:paraId="5E94DC09" w14:textId="172D746B" w:rsidR="00ED09D1" w:rsidRPr="001F46A8" w:rsidRDefault="00ED09D1" w:rsidP="003B4C94">
      <w:pPr>
        <w:pStyle w:val="Heading2"/>
      </w:pPr>
      <w:r w:rsidRPr="001F46A8">
        <w:t>Summary of proposed amendment</w:t>
      </w:r>
    </w:p>
    <w:p w14:paraId="0FCA2721" w14:textId="77777777" w:rsidR="00ED09D1" w:rsidRPr="001F46A8" w:rsidRDefault="00ED09D1" w:rsidP="003B4C94">
      <w:pPr>
        <w:rPr>
          <w:lang w:eastAsia="en-AU"/>
        </w:rPr>
      </w:pPr>
    </w:p>
    <w:p w14:paraId="594BD901" w14:textId="2BCAD81D" w:rsidR="00ED09D1" w:rsidRPr="001F46A8" w:rsidRDefault="00ED09D1" w:rsidP="003B4C94">
      <w:pPr>
        <w:rPr>
          <w:lang w:eastAsia="en-AU"/>
        </w:rPr>
      </w:pPr>
      <w:r w:rsidRPr="001F46A8">
        <w:rPr>
          <w:lang w:eastAsia="en-AU"/>
        </w:rPr>
        <w:t xml:space="preserve">The </w:t>
      </w:r>
      <w:r w:rsidR="00A67BD0">
        <w:rPr>
          <w:lang w:eastAsia="en-AU"/>
        </w:rPr>
        <w:t>B</w:t>
      </w:r>
      <w:r w:rsidRPr="001F46A8">
        <w:rPr>
          <w:lang w:eastAsia="en-AU"/>
        </w:rPr>
        <w:t xml:space="preserve">ill proposes that the Commissioner </w:t>
      </w:r>
      <w:r w:rsidR="00440474">
        <w:rPr>
          <w:lang w:eastAsia="en-AU"/>
        </w:rPr>
        <w:t>be required to publish</w:t>
      </w:r>
      <w:r w:rsidRPr="001F46A8">
        <w:rPr>
          <w:lang w:eastAsia="en-AU"/>
        </w:rPr>
        <w:t xml:space="preserve"> the name of each </w:t>
      </w:r>
      <w:r w:rsidR="00062B70">
        <w:rPr>
          <w:lang w:eastAsia="en-AU"/>
        </w:rPr>
        <w:t>person</w:t>
      </w:r>
      <w:r w:rsidR="00440474">
        <w:rPr>
          <w:lang w:eastAsia="en-AU"/>
        </w:rPr>
        <w:t>,</w:t>
      </w:r>
      <w:r w:rsidR="00062B70" w:rsidRPr="001F46A8">
        <w:rPr>
          <w:lang w:eastAsia="en-AU"/>
        </w:rPr>
        <w:t xml:space="preserve"> </w:t>
      </w:r>
      <w:r w:rsidRPr="001F46A8">
        <w:rPr>
          <w:lang w:eastAsia="en-AU"/>
        </w:rPr>
        <w:t>and their eligible R&amp;D expenditure amount in dollar band</w:t>
      </w:r>
      <w:r w:rsidR="00A11AF3">
        <w:rPr>
          <w:lang w:eastAsia="en-AU"/>
        </w:rPr>
        <w:t>s</w:t>
      </w:r>
      <w:r w:rsidR="00440474">
        <w:rPr>
          <w:lang w:eastAsia="en-AU"/>
        </w:rPr>
        <w:t xml:space="preserve">, </w:t>
      </w:r>
      <w:r w:rsidR="00440474" w:rsidRPr="001F46A8">
        <w:rPr>
          <w:lang w:eastAsia="en-AU"/>
        </w:rPr>
        <w:t xml:space="preserve">two years after the end of the tax year to which an R&amp;D </w:t>
      </w:r>
      <w:r w:rsidR="00F73647">
        <w:rPr>
          <w:lang w:eastAsia="en-AU"/>
        </w:rPr>
        <w:t xml:space="preserve">tax credit </w:t>
      </w:r>
      <w:r w:rsidR="00440474" w:rsidRPr="001F46A8">
        <w:rPr>
          <w:lang w:eastAsia="en-AU"/>
        </w:rPr>
        <w:t>claim rela</w:t>
      </w:r>
      <w:r w:rsidR="00440474">
        <w:rPr>
          <w:lang w:eastAsia="en-AU"/>
        </w:rPr>
        <w:t>tes</w:t>
      </w:r>
      <w:r w:rsidRPr="001F46A8">
        <w:rPr>
          <w:lang w:eastAsia="en-AU"/>
        </w:rPr>
        <w:t>.</w:t>
      </w:r>
    </w:p>
    <w:p w14:paraId="4DD0E829" w14:textId="77777777" w:rsidR="00ED09D1" w:rsidRDefault="00ED09D1" w:rsidP="003B4C94">
      <w:pPr>
        <w:rPr>
          <w:lang w:eastAsia="en-AU"/>
        </w:rPr>
      </w:pPr>
    </w:p>
    <w:p w14:paraId="71FD5A40" w14:textId="77777777" w:rsidR="003B4C94" w:rsidRPr="001F46A8" w:rsidRDefault="003B4C94" w:rsidP="003B4C94">
      <w:pPr>
        <w:rPr>
          <w:lang w:eastAsia="en-AU"/>
        </w:rPr>
      </w:pPr>
    </w:p>
    <w:p w14:paraId="62673CD7" w14:textId="77777777" w:rsidR="00ED09D1" w:rsidRPr="001F46A8" w:rsidRDefault="00ED09D1" w:rsidP="003B4C94">
      <w:pPr>
        <w:pStyle w:val="Heading2"/>
      </w:pPr>
      <w:r w:rsidRPr="001F46A8">
        <w:t>Application date</w:t>
      </w:r>
    </w:p>
    <w:p w14:paraId="2D95FD0B" w14:textId="77777777" w:rsidR="00ED09D1" w:rsidRPr="001F46A8" w:rsidRDefault="00ED09D1" w:rsidP="003B4C94">
      <w:pPr>
        <w:rPr>
          <w:lang w:eastAsia="en-AU"/>
        </w:rPr>
      </w:pPr>
    </w:p>
    <w:p w14:paraId="6E1948EA" w14:textId="6221BBA9" w:rsidR="00ED09D1" w:rsidRPr="001F46A8" w:rsidRDefault="00ED09D1" w:rsidP="003B4C94">
      <w:pPr>
        <w:rPr>
          <w:lang w:eastAsia="en-AU"/>
        </w:rPr>
      </w:pPr>
      <w:r w:rsidRPr="001F46A8">
        <w:rPr>
          <w:lang w:eastAsia="en-AU"/>
        </w:rPr>
        <w:t xml:space="preserve">From the </w:t>
      </w:r>
      <w:r w:rsidR="00E010FC">
        <w:rPr>
          <w:lang w:eastAsia="en-AU"/>
        </w:rPr>
        <w:t>2019–20</w:t>
      </w:r>
      <w:r w:rsidRPr="001F46A8">
        <w:rPr>
          <w:lang w:eastAsia="en-AU"/>
        </w:rPr>
        <w:t xml:space="preserve"> income years.</w:t>
      </w:r>
    </w:p>
    <w:p w14:paraId="5B0F2281" w14:textId="77777777" w:rsidR="00ED09D1" w:rsidRDefault="00ED09D1" w:rsidP="003B4C94">
      <w:pPr>
        <w:rPr>
          <w:lang w:eastAsia="en-AU"/>
        </w:rPr>
      </w:pPr>
    </w:p>
    <w:p w14:paraId="1F7C30F4" w14:textId="77777777" w:rsidR="003B4C94" w:rsidRPr="001F46A8" w:rsidRDefault="003B4C94" w:rsidP="003B4C94">
      <w:pPr>
        <w:rPr>
          <w:lang w:eastAsia="en-AU"/>
        </w:rPr>
      </w:pPr>
    </w:p>
    <w:p w14:paraId="6EABA579" w14:textId="77777777" w:rsidR="00ED09D1" w:rsidRPr="001F46A8" w:rsidRDefault="00ED09D1" w:rsidP="003B4C94">
      <w:pPr>
        <w:pStyle w:val="Heading2"/>
      </w:pPr>
      <w:r w:rsidRPr="001F46A8">
        <w:t>Key features</w:t>
      </w:r>
    </w:p>
    <w:p w14:paraId="49F80167" w14:textId="77777777" w:rsidR="00ED09D1" w:rsidRPr="001F46A8" w:rsidRDefault="00ED09D1" w:rsidP="003B4C94">
      <w:pPr>
        <w:rPr>
          <w:lang w:eastAsia="en-AU"/>
        </w:rPr>
      </w:pPr>
    </w:p>
    <w:p w14:paraId="4A5A9C5E" w14:textId="39A05170" w:rsidR="00ED09D1" w:rsidRPr="001F46A8" w:rsidRDefault="00ED09D1" w:rsidP="003B4C94">
      <w:pPr>
        <w:rPr>
          <w:lang w:eastAsia="en-AU"/>
        </w:rPr>
      </w:pPr>
      <w:r w:rsidRPr="001F46A8">
        <w:rPr>
          <w:lang w:eastAsia="en-AU"/>
        </w:rPr>
        <w:t>Proposed new section 68CE requires the Commissioner to publish the names of people who have received R&amp;D tax credits</w:t>
      </w:r>
      <w:r w:rsidR="00F73647">
        <w:rPr>
          <w:lang w:eastAsia="en-AU"/>
        </w:rPr>
        <w:t>,</w:t>
      </w:r>
      <w:r w:rsidRPr="001F46A8">
        <w:rPr>
          <w:lang w:eastAsia="en-AU"/>
        </w:rPr>
        <w:t xml:space="preserve"> and the amount of eligible R&amp;D expenditure claimed</w:t>
      </w:r>
      <w:r w:rsidR="00F73647">
        <w:rPr>
          <w:lang w:eastAsia="en-AU"/>
        </w:rPr>
        <w:t>,</w:t>
      </w:r>
      <w:r w:rsidRPr="001F46A8">
        <w:rPr>
          <w:lang w:eastAsia="en-AU"/>
        </w:rPr>
        <w:t xml:space="preserve"> in appropriate dollar bands. The Commissioner must not publish a </w:t>
      </w:r>
      <w:r w:rsidR="00062B70">
        <w:rPr>
          <w:lang w:eastAsia="en-AU"/>
        </w:rPr>
        <w:t>person</w:t>
      </w:r>
      <w:r w:rsidRPr="001F46A8">
        <w:rPr>
          <w:lang w:eastAsia="en-AU"/>
        </w:rPr>
        <w:t xml:space="preserve">’s name and band until at least two years have passed since the end of the tax year to which the </w:t>
      </w:r>
      <w:r w:rsidR="00062B70">
        <w:rPr>
          <w:lang w:eastAsia="en-AU"/>
        </w:rPr>
        <w:t>person</w:t>
      </w:r>
      <w:r w:rsidRPr="001F46A8">
        <w:rPr>
          <w:lang w:eastAsia="en-AU"/>
        </w:rPr>
        <w:t>’s R&amp;D tax credit relates.</w:t>
      </w:r>
    </w:p>
    <w:p w14:paraId="7A6EC319" w14:textId="77777777" w:rsidR="003B4C94" w:rsidRPr="001F46A8" w:rsidRDefault="003B4C94" w:rsidP="003B4C94">
      <w:pPr>
        <w:rPr>
          <w:lang w:eastAsia="en-AU"/>
        </w:rPr>
      </w:pPr>
    </w:p>
    <w:p w14:paraId="1CAF3721" w14:textId="77777777" w:rsidR="00ED09D1" w:rsidRPr="001F46A8" w:rsidRDefault="00ED09D1" w:rsidP="003B4C94">
      <w:pPr>
        <w:pStyle w:val="Heading2"/>
      </w:pPr>
      <w:r w:rsidRPr="001F46A8">
        <w:t>Background</w:t>
      </w:r>
    </w:p>
    <w:p w14:paraId="08E2B021" w14:textId="77777777" w:rsidR="00ED09D1" w:rsidRPr="001F46A8" w:rsidRDefault="00ED09D1" w:rsidP="003B4C94">
      <w:pPr>
        <w:rPr>
          <w:lang w:val="en-GB" w:eastAsia="en-AU"/>
        </w:rPr>
      </w:pPr>
    </w:p>
    <w:p w14:paraId="7B8B8BDF" w14:textId="27D3F0FC" w:rsidR="00ED09D1" w:rsidRPr="001F46A8" w:rsidRDefault="00ED09D1" w:rsidP="003B4C94">
      <w:pPr>
        <w:rPr>
          <w:szCs w:val="20"/>
          <w:lang w:eastAsia="en-AU"/>
        </w:rPr>
      </w:pPr>
      <w:r w:rsidRPr="001F46A8">
        <w:rPr>
          <w:szCs w:val="20"/>
          <w:lang w:eastAsia="en-AU"/>
        </w:rPr>
        <w:t>Publishing the names of R&amp;D tax credit</w:t>
      </w:r>
      <w:r w:rsidR="00062B70">
        <w:rPr>
          <w:szCs w:val="20"/>
          <w:lang w:eastAsia="en-AU"/>
        </w:rPr>
        <w:t>s</w:t>
      </w:r>
      <w:r w:rsidRPr="001F46A8">
        <w:rPr>
          <w:szCs w:val="20"/>
          <w:lang w:eastAsia="en-AU"/>
        </w:rPr>
        <w:t xml:space="preserve"> recipients and the bands within which their eligible R&amp;D expenditure claims fall </w:t>
      </w:r>
      <w:r w:rsidR="00DF76DF">
        <w:rPr>
          <w:szCs w:val="20"/>
          <w:lang w:eastAsia="en-AU"/>
        </w:rPr>
        <w:t xml:space="preserve">provides transparency about how the R&amp;D </w:t>
      </w:r>
      <w:r w:rsidR="003B4C94">
        <w:rPr>
          <w:szCs w:val="20"/>
          <w:lang w:eastAsia="en-AU"/>
        </w:rPr>
        <w:t>tax credit regime is operating.</w:t>
      </w:r>
    </w:p>
    <w:p w14:paraId="3381D875" w14:textId="77777777" w:rsidR="00ED09D1" w:rsidRPr="001F46A8" w:rsidRDefault="00ED09D1" w:rsidP="003B4C94">
      <w:pPr>
        <w:rPr>
          <w:szCs w:val="20"/>
          <w:lang w:eastAsia="en-AU"/>
        </w:rPr>
      </w:pPr>
    </w:p>
    <w:p w14:paraId="1759D075" w14:textId="0D814BC1" w:rsidR="00ED09D1" w:rsidRDefault="00ED09D1" w:rsidP="003B4C94">
      <w:pPr>
        <w:rPr>
          <w:szCs w:val="20"/>
          <w:lang w:eastAsia="en-AU"/>
        </w:rPr>
      </w:pPr>
      <w:r w:rsidRPr="001F46A8">
        <w:rPr>
          <w:szCs w:val="20"/>
          <w:lang w:eastAsia="en-AU"/>
        </w:rPr>
        <w:t xml:space="preserve">Similar information is currently published by Callaghan Innovation </w:t>
      </w:r>
      <w:r w:rsidR="00C02DAD">
        <w:rPr>
          <w:szCs w:val="20"/>
          <w:lang w:eastAsia="en-AU"/>
        </w:rPr>
        <w:t>for</w:t>
      </w:r>
      <w:r w:rsidRPr="001F46A8">
        <w:rPr>
          <w:szCs w:val="20"/>
          <w:lang w:eastAsia="en-AU"/>
        </w:rPr>
        <w:t xml:space="preserve"> Growth Grants. The Commissioner will delay publishing claim information until two years have passed </w:t>
      </w:r>
      <w:r w:rsidR="00DF76DF">
        <w:rPr>
          <w:szCs w:val="20"/>
          <w:lang w:eastAsia="en-AU"/>
        </w:rPr>
        <w:t>to avoid publishing commercially sensitive information</w:t>
      </w:r>
      <w:r w:rsidRPr="001F46A8">
        <w:rPr>
          <w:szCs w:val="20"/>
          <w:lang w:eastAsia="en-AU"/>
        </w:rPr>
        <w:t>.</w:t>
      </w:r>
    </w:p>
    <w:p w14:paraId="29E37D06" w14:textId="77777777" w:rsidR="00A11AF3" w:rsidRPr="001F46A8" w:rsidRDefault="00A11AF3" w:rsidP="003B4C94">
      <w:pPr>
        <w:rPr>
          <w:szCs w:val="20"/>
          <w:lang w:eastAsia="en-AU"/>
        </w:rPr>
      </w:pPr>
    </w:p>
    <w:p w14:paraId="46C6D653" w14:textId="77777777" w:rsidR="007F3668" w:rsidRPr="001F46A8" w:rsidRDefault="007F3668" w:rsidP="007F3668">
      <w:pPr>
        <w:rPr>
          <w:rFonts w:eastAsia="Times New Roman" w:cs="Times New Roman"/>
          <w:szCs w:val="20"/>
          <w:lang w:eastAsia="en-AU"/>
        </w:rPr>
      </w:pPr>
      <w:r w:rsidRPr="001F46A8">
        <w:rPr>
          <w:rFonts w:eastAsia="Times New Roman" w:cs="Times New Roman"/>
          <w:noProof/>
          <w:szCs w:val="20"/>
          <w:lang w:eastAsia="en-NZ"/>
        </w:rPr>
        <mc:AlternateContent>
          <mc:Choice Requires="wps">
            <w:drawing>
              <wp:inline distT="0" distB="0" distL="0" distR="0" wp14:anchorId="39FE87D9" wp14:editId="7AD5D4C9">
                <wp:extent cx="5400675" cy="2571750"/>
                <wp:effectExtent l="0" t="0" r="28575"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2571750"/>
                        </a:xfrm>
                        <a:prstGeom prst="rect">
                          <a:avLst/>
                        </a:prstGeom>
                        <a:solidFill>
                          <a:srgbClr val="FFFFFF"/>
                        </a:solidFill>
                        <a:ln w="9525">
                          <a:solidFill>
                            <a:srgbClr val="000000"/>
                          </a:solidFill>
                          <a:miter lim="800000"/>
                          <a:headEnd/>
                          <a:tailEnd/>
                        </a:ln>
                      </wps:spPr>
                      <wps:txbx>
                        <w:txbxContent>
                          <w:p w14:paraId="0F4B388A" w14:textId="5D80E9B4" w:rsidR="00016F1F" w:rsidRPr="00F73647" w:rsidRDefault="00016F1F" w:rsidP="00016F1F">
                            <w:pPr>
                              <w:pStyle w:val="Exampleheading1"/>
                              <w:pBdr>
                                <w:top w:val="none" w:sz="0" w:space="0" w:color="auto"/>
                                <w:left w:val="none" w:sz="0" w:space="0" w:color="auto"/>
                                <w:bottom w:val="none" w:sz="0" w:space="0" w:color="auto"/>
                                <w:right w:val="none" w:sz="0" w:space="0" w:color="auto"/>
                              </w:pBdr>
                              <w:ind w:left="1134" w:hanging="1134"/>
                              <w:jc w:val="left"/>
                            </w:pPr>
                            <w:r w:rsidRPr="00F73647">
                              <w:t>Example</w:t>
                            </w:r>
                            <w:r>
                              <w:t xml:space="preserve"> 2</w:t>
                            </w:r>
                            <w:r w:rsidR="00E24B0A">
                              <w:t>4</w:t>
                            </w:r>
                            <w:r>
                              <w:t>:</w:t>
                            </w:r>
                            <w:r w:rsidRPr="00F73647">
                              <w:t xml:space="preserve"> </w:t>
                            </w:r>
                            <w:r>
                              <w:t xml:space="preserve">Claim details publication </w:t>
                            </w:r>
                            <w:r w:rsidRPr="00F73647">
                              <w:t>(illustrative only</w:t>
                            </w:r>
                            <w:r>
                              <w:t xml:space="preserve"> – a</w:t>
                            </w:r>
                            <w:r w:rsidRPr="00F73647">
                              <w:t>ctual publication format may vary)</w:t>
                            </w:r>
                          </w:p>
                          <w:p w14:paraId="20F4869E" w14:textId="77777777" w:rsidR="00016F1F" w:rsidRDefault="00016F1F" w:rsidP="007F3668">
                            <w:pPr>
                              <w:pStyle w:val="Exampletext"/>
                              <w:pBdr>
                                <w:top w:val="none" w:sz="0" w:space="0" w:color="auto"/>
                                <w:left w:val="none" w:sz="0" w:space="0" w:color="auto"/>
                                <w:bottom w:val="none" w:sz="0" w:space="0" w:color="auto"/>
                                <w:right w:val="none" w:sz="0" w:space="0" w:color="auto"/>
                              </w:pBdr>
                            </w:pPr>
                          </w:p>
                          <w:p w14:paraId="53C4BABB" w14:textId="4B0599DA" w:rsidR="00016F1F" w:rsidRDefault="00016F1F" w:rsidP="007F3668">
                            <w:pPr>
                              <w:pStyle w:val="Exampletext"/>
                              <w:pBdr>
                                <w:top w:val="none" w:sz="0" w:space="0" w:color="auto"/>
                                <w:left w:val="none" w:sz="0" w:space="0" w:color="auto"/>
                                <w:bottom w:val="none" w:sz="0" w:space="0" w:color="auto"/>
                                <w:right w:val="none" w:sz="0" w:space="0" w:color="auto"/>
                              </w:pBdr>
                            </w:pPr>
                            <w:r w:rsidRPr="00F73647">
                              <w:t>In the 2019</w:t>
                            </w:r>
                            <w:r>
                              <w:t>–</w:t>
                            </w:r>
                            <w:r w:rsidRPr="00F73647">
                              <w:t>20 tax year:</w:t>
                            </w:r>
                          </w:p>
                          <w:p w14:paraId="180C0A51" w14:textId="77777777" w:rsidR="00016F1F" w:rsidRPr="00F73647" w:rsidRDefault="00016F1F" w:rsidP="007F3668">
                            <w:pPr>
                              <w:pStyle w:val="Exampletext"/>
                              <w:pBdr>
                                <w:top w:val="none" w:sz="0" w:space="0" w:color="auto"/>
                                <w:left w:val="none" w:sz="0" w:space="0" w:color="auto"/>
                                <w:bottom w:val="none" w:sz="0" w:space="0" w:color="auto"/>
                                <w:right w:val="none" w:sz="0" w:space="0" w:color="auto"/>
                              </w:pBdr>
                            </w:pPr>
                          </w:p>
                          <w:p w14:paraId="3D3C8568" w14:textId="50C5043E" w:rsidR="00016F1F" w:rsidRPr="00F73647" w:rsidRDefault="00016F1F" w:rsidP="00E42A18">
                            <w:pPr>
                              <w:pStyle w:val="Examplebullet1"/>
                              <w:pBdr>
                                <w:top w:val="none" w:sz="0" w:space="0" w:color="auto"/>
                                <w:left w:val="none" w:sz="0" w:space="0" w:color="auto"/>
                                <w:bottom w:val="none" w:sz="0" w:space="0" w:color="auto"/>
                                <w:right w:val="none" w:sz="0" w:space="0" w:color="auto"/>
                              </w:pBdr>
                            </w:pPr>
                            <w:r w:rsidRPr="00F73647">
                              <w:t>Kawhia Ltd claims $79,</w:t>
                            </w:r>
                            <w:r>
                              <w:t>00 of eligible R&amp;D expenditure;</w:t>
                            </w:r>
                          </w:p>
                          <w:p w14:paraId="55D6A8B8" w14:textId="77777777" w:rsidR="00016F1F" w:rsidRPr="00F73647" w:rsidRDefault="00016F1F" w:rsidP="00E42A18">
                            <w:pPr>
                              <w:pStyle w:val="Examplebullet1"/>
                              <w:pBdr>
                                <w:top w:val="none" w:sz="0" w:space="0" w:color="auto"/>
                                <w:left w:val="none" w:sz="0" w:space="0" w:color="auto"/>
                                <w:bottom w:val="none" w:sz="0" w:space="0" w:color="auto"/>
                                <w:right w:val="none" w:sz="0" w:space="0" w:color="auto"/>
                              </w:pBdr>
                            </w:pPr>
                            <w:r w:rsidRPr="00F73647">
                              <w:t>Marsden Ltd claims $695,000 of eligible R&amp;D expenditure; and</w:t>
                            </w:r>
                          </w:p>
                          <w:p w14:paraId="27136EB1" w14:textId="77777777" w:rsidR="00016F1F" w:rsidRPr="00F73647" w:rsidRDefault="00016F1F" w:rsidP="00E42A18">
                            <w:pPr>
                              <w:pStyle w:val="Examplebullet1"/>
                              <w:pBdr>
                                <w:top w:val="none" w:sz="0" w:space="0" w:color="auto"/>
                                <w:left w:val="none" w:sz="0" w:space="0" w:color="auto"/>
                                <w:bottom w:val="none" w:sz="0" w:space="0" w:color="auto"/>
                                <w:right w:val="none" w:sz="0" w:space="0" w:color="auto"/>
                              </w:pBdr>
                              <w:spacing w:after="0"/>
                            </w:pPr>
                            <w:r w:rsidRPr="00F73647">
                              <w:t>Northland Ltd claims $50,000,000 of eligible R&amp;D expenditure.</w:t>
                            </w:r>
                          </w:p>
                          <w:p w14:paraId="2F8A3998" w14:textId="77777777" w:rsidR="00016F1F" w:rsidRPr="00F73647" w:rsidRDefault="00016F1F" w:rsidP="007F3668">
                            <w:pPr>
                              <w:pStyle w:val="Exampletext"/>
                              <w:pBdr>
                                <w:top w:val="none" w:sz="0" w:space="0" w:color="auto"/>
                                <w:left w:val="none" w:sz="0" w:space="0" w:color="auto"/>
                                <w:bottom w:val="none" w:sz="0" w:space="0" w:color="auto"/>
                                <w:right w:val="none" w:sz="0" w:space="0" w:color="auto"/>
                              </w:pBdr>
                            </w:pPr>
                          </w:p>
                          <w:p w14:paraId="64D04605" w14:textId="2235DF48" w:rsidR="00016F1F" w:rsidRDefault="00016F1F" w:rsidP="007F3668">
                            <w:pPr>
                              <w:pStyle w:val="Exampletext"/>
                              <w:pBdr>
                                <w:top w:val="none" w:sz="0" w:space="0" w:color="auto"/>
                                <w:left w:val="none" w:sz="0" w:space="0" w:color="auto"/>
                                <w:bottom w:val="none" w:sz="0" w:space="0" w:color="auto"/>
                                <w:right w:val="none" w:sz="0" w:space="0" w:color="auto"/>
                              </w:pBdr>
                            </w:pPr>
                            <w:r>
                              <w:t>After</w:t>
                            </w:r>
                            <w:r w:rsidRPr="00F73647">
                              <w:t xml:space="preserve"> 1 April 2022, the Commissioner publishes the following details in an online publication:</w:t>
                            </w:r>
                          </w:p>
                          <w:p w14:paraId="5E41A962" w14:textId="77777777" w:rsidR="00016F1F" w:rsidRPr="00F73647" w:rsidRDefault="00016F1F" w:rsidP="007F3668">
                            <w:pPr>
                              <w:rPr>
                                <w:rFonts w:cs="Times New Roman"/>
                                <w:sz w:val="20"/>
                                <w:szCs w:val="20"/>
                              </w:rPr>
                            </w:pPr>
                          </w:p>
                          <w:tbl>
                            <w:tblPr>
                              <w:tblStyle w:val="TableGrid2"/>
                              <w:tblW w:w="0" w:type="auto"/>
                              <w:tblInd w:w="1242" w:type="dxa"/>
                              <w:tblLook w:val="04A0" w:firstRow="1" w:lastRow="0" w:firstColumn="1" w:lastColumn="0" w:noHBand="0" w:noVBand="1"/>
                            </w:tblPr>
                            <w:tblGrid>
                              <w:gridCol w:w="1134"/>
                              <w:gridCol w:w="1843"/>
                              <w:gridCol w:w="2977"/>
                            </w:tblGrid>
                            <w:tr w:rsidR="00016F1F" w:rsidRPr="000862CD" w14:paraId="67F690FA" w14:textId="77777777" w:rsidTr="00AB6E7D">
                              <w:tc>
                                <w:tcPr>
                                  <w:tcW w:w="1134" w:type="dxa"/>
                                  <w:shd w:val="clear" w:color="auto" w:fill="auto"/>
                                </w:tcPr>
                                <w:p w14:paraId="251B2ACC" w14:textId="77777777" w:rsidR="00016F1F" w:rsidRPr="00AB6E7D" w:rsidRDefault="00016F1F" w:rsidP="00AB6E7D">
                                  <w:pPr>
                                    <w:spacing w:before="40" w:after="40"/>
                                    <w:rPr>
                                      <w:rFonts w:cs="Times New Roman"/>
                                      <w:b/>
                                      <w:sz w:val="20"/>
                                      <w:szCs w:val="20"/>
                                    </w:rPr>
                                  </w:pPr>
                                  <w:r w:rsidRPr="00AB6E7D">
                                    <w:rPr>
                                      <w:rFonts w:cs="Times New Roman"/>
                                      <w:b/>
                                      <w:sz w:val="20"/>
                                      <w:szCs w:val="20"/>
                                    </w:rPr>
                                    <w:t>Tax year</w:t>
                                  </w:r>
                                </w:p>
                              </w:tc>
                              <w:tc>
                                <w:tcPr>
                                  <w:tcW w:w="1843" w:type="dxa"/>
                                  <w:shd w:val="clear" w:color="auto" w:fill="auto"/>
                                </w:tcPr>
                                <w:p w14:paraId="1E45AD0D" w14:textId="77777777" w:rsidR="00016F1F" w:rsidRPr="00AB6E7D" w:rsidRDefault="00016F1F" w:rsidP="00AB6E7D">
                                  <w:pPr>
                                    <w:spacing w:before="40" w:after="40"/>
                                    <w:rPr>
                                      <w:rFonts w:cs="Times New Roman"/>
                                      <w:b/>
                                      <w:sz w:val="20"/>
                                      <w:szCs w:val="20"/>
                                    </w:rPr>
                                  </w:pPr>
                                  <w:r w:rsidRPr="00AB6E7D">
                                    <w:rPr>
                                      <w:rFonts w:cs="Times New Roman"/>
                                      <w:b/>
                                      <w:sz w:val="20"/>
                                      <w:szCs w:val="20"/>
                                    </w:rPr>
                                    <w:t>Claimant</w:t>
                                  </w:r>
                                </w:p>
                              </w:tc>
                              <w:tc>
                                <w:tcPr>
                                  <w:tcW w:w="2977" w:type="dxa"/>
                                  <w:shd w:val="clear" w:color="auto" w:fill="auto"/>
                                </w:tcPr>
                                <w:p w14:paraId="720C9680" w14:textId="77777777" w:rsidR="00016F1F" w:rsidRPr="00AB6E7D" w:rsidRDefault="00016F1F" w:rsidP="00AB6E7D">
                                  <w:pPr>
                                    <w:spacing w:before="40" w:after="40"/>
                                    <w:rPr>
                                      <w:rFonts w:cs="Times New Roman"/>
                                      <w:b/>
                                      <w:sz w:val="20"/>
                                      <w:szCs w:val="20"/>
                                    </w:rPr>
                                  </w:pPr>
                                  <w:r w:rsidRPr="00AB6E7D">
                                    <w:rPr>
                                      <w:rFonts w:cs="Times New Roman"/>
                                      <w:b/>
                                      <w:sz w:val="20"/>
                                      <w:szCs w:val="20"/>
                                    </w:rPr>
                                    <w:t>Expenditure band</w:t>
                                  </w:r>
                                </w:p>
                              </w:tc>
                            </w:tr>
                            <w:tr w:rsidR="00016F1F" w:rsidRPr="000862CD" w14:paraId="7F88C352" w14:textId="77777777" w:rsidTr="001F46A8">
                              <w:tc>
                                <w:tcPr>
                                  <w:tcW w:w="1134" w:type="dxa"/>
                                </w:tcPr>
                                <w:p w14:paraId="7924B6FC" w14:textId="6DA11213" w:rsidR="00016F1F" w:rsidRPr="00F73647" w:rsidRDefault="00016F1F" w:rsidP="00AB6E7D">
                                  <w:pPr>
                                    <w:spacing w:before="40" w:after="40"/>
                                    <w:rPr>
                                      <w:rFonts w:cs="Times New Roman"/>
                                      <w:sz w:val="20"/>
                                      <w:szCs w:val="20"/>
                                    </w:rPr>
                                  </w:pPr>
                                  <w:r w:rsidRPr="00F73647">
                                    <w:rPr>
                                      <w:rFonts w:cs="Times New Roman"/>
                                      <w:sz w:val="20"/>
                                      <w:szCs w:val="20"/>
                                    </w:rPr>
                                    <w:t>2019</w:t>
                                  </w:r>
                                  <w:r>
                                    <w:rPr>
                                      <w:rFonts w:cs="Times New Roman"/>
                                      <w:sz w:val="20"/>
                                      <w:szCs w:val="20"/>
                                    </w:rPr>
                                    <w:t>–</w:t>
                                  </w:r>
                                  <w:r w:rsidRPr="00F73647">
                                    <w:rPr>
                                      <w:rFonts w:cs="Times New Roman"/>
                                      <w:sz w:val="20"/>
                                      <w:szCs w:val="20"/>
                                    </w:rPr>
                                    <w:t>20</w:t>
                                  </w:r>
                                </w:p>
                              </w:tc>
                              <w:tc>
                                <w:tcPr>
                                  <w:tcW w:w="1843" w:type="dxa"/>
                                </w:tcPr>
                                <w:p w14:paraId="108CDE88" w14:textId="77777777" w:rsidR="00016F1F" w:rsidRPr="00F73647" w:rsidRDefault="00016F1F" w:rsidP="00AB6E7D">
                                  <w:pPr>
                                    <w:spacing w:before="40" w:after="40"/>
                                    <w:rPr>
                                      <w:rFonts w:cs="Times New Roman"/>
                                      <w:sz w:val="20"/>
                                      <w:szCs w:val="20"/>
                                    </w:rPr>
                                  </w:pPr>
                                  <w:r w:rsidRPr="00F73647">
                                    <w:rPr>
                                      <w:rFonts w:cs="Times New Roman"/>
                                      <w:sz w:val="20"/>
                                      <w:szCs w:val="20"/>
                                    </w:rPr>
                                    <w:t>Kawhia Ltd</w:t>
                                  </w:r>
                                </w:p>
                              </w:tc>
                              <w:tc>
                                <w:tcPr>
                                  <w:tcW w:w="2977" w:type="dxa"/>
                                </w:tcPr>
                                <w:p w14:paraId="0741B9FD" w14:textId="77777777" w:rsidR="00016F1F" w:rsidRPr="00F73647" w:rsidRDefault="00016F1F" w:rsidP="00AB6E7D">
                                  <w:pPr>
                                    <w:spacing w:before="40" w:after="40"/>
                                    <w:rPr>
                                      <w:rFonts w:cs="Times New Roman"/>
                                      <w:sz w:val="20"/>
                                      <w:szCs w:val="20"/>
                                    </w:rPr>
                                  </w:pPr>
                                  <w:r w:rsidRPr="00F73647">
                                    <w:rPr>
                                      <w:rFonts w:cs="Times New Roman"/>
                                      <w:sz w:val="20"/>
                                      <w:szCs w:val="20"/>
                                    </w:rPr>
                                    <w:t>Less than $100,000</w:t>
                                  </w:r>
                                </w:p>
                              </w:tc>
                            </w:tr>
                            <w:tr w:rsidR="00016F1F" w:rsidRPr="000862CD" w14:paraId="4B8B373F" w14:textId="77777777" w:rsidTr="001F46A8">
                              <w:tc>
                                <w:tcPr>
                                  <w:tcW w:w="1134" w:type="dxa"/>
                                </w:tcPr>
                                <w:p w14:paraId="3CBA2BA2" w14:textId="359616E2" w:rsidR="00016F1F" w:rsidRPr="00F73647" w:rsidRDefault="00016F1F" w:rsidP="00AB6E7D">
                                  <w:pPr>
                                    <w:spacing w:before="40" w:after="40"/>
                                    <w:rPr>
                                      <w:rFonts w:cs="Times New Roman"/>
                                      <w:sz w:val="20"/>
                                      <w:szCs w:val="20"/>
                                    </w:rPr>
                                  </w:pPr>
                                  <w:r w:rsidRPr="00F73647">
                                    <w:rPr>
                                      <w:rFonts w:cs="Times New Roman"/>
                                      <w:sz w:val="20"/>
                                      <w:szCs w:val="20"/>
                                    </w:rPr>
                                    <w:t>2019</w:t>
                                  </w:r>
                                  <w:r>
                                    <w:rPr>
                                      <w:rFonts w:cs="Times New Roman"/>
                                      <w:sz w:val="20"/>
                                      <w:szCs w:val="20"/>
                                    </w:rPr>
                                    <w:t>–</w:t>
                                  </w:r>
                                  <w:r w:rsidRPr="00F73647">
                                    <w:rPr>
                                      <w:rFonts w:cs="Times New Roman"/>
                                      <w:sz w:val="20"/>
                                      <w:szCs w:val="20"/>
                                    </w:rPr>
                                    <w:t>20</w:t>
                                  </w:r>
                                </w:p>
                              </w:tc>
                              <w:tc>
                                <w:tcPr>
                                  <w:tcW w:w="1843" w:type="dxa"/>
                                </w:tcPr>
                                <w:p w14:paraId="4D28AFA8" w14:textId="77777777" w:rsidR="00016F1F" w:rsidRPr="00F73647" w:rsidRDefault="00016F1F" w:rsidP="00AB6E7D">
                                  <w:pPr>
                                    <w:spacing w:before="40" w:after="40"/>
                                    <w:rPr>
                                      <w:rFonts w:cs="Times New Roman"/>
                                      <w:sz w:val="20"/>
                                      <w:szCs w:val="20"/>
                                    </w:rPr>
                                  </w:pPr>
                                  <w:r w:rsidRPr="00F73647">
                                    <w:rPr>
                                      <w:rFonts w:cs="Times New Roman"/>
                                      <w:sz w:val="20"/>
                                      <w:szCs w:val="20"/>
                                    </w:rPr>
                                    <w:t>Marsden Ltd</w:t>
                                  </w:r>
                                </w:p>
                              </w:tc>
                              <w:tc>
                                <w:tcPr>
                                  <w:tcW w:w="2977" w:type="dxa"/>
                                </w:tcPr>
                                <w:p w14:paraId="2CE796A6" w14:textId="77777777" w:rsidR="00016F1F" w:rsidRPr="00F73647" w:rsidRDefault="00016F1F" w:rsidP="00AB6E7D">
                                  <w:pPr>
                                    <w:spacing w:before="40" w:after="40"/>
                                    <w:rPr>
                                      <w:rFonts w:cs="Times New Roman"/>
                                      <w:sz w:val="20"/>
                                      <w:szCs w:val="20"/>
                                    </w:rPr>
                                  </w:pPr>
                                  <w:r w:rsidRPr="00F73647">
                                    <w:rPr>
                                      <w:rFonts w:cs="Times New Roman"/>
                                      <w:sz w:val="20"/>
                                      <w:szCs w:val="20"/>
                                    </w:rPr>
                                    <w:t>$500,000 to $1,000,000</w:t>
                                  </w:r>
                                </w:p>
                              </w:tc>
                            </w:tr>
                            <w:tr w:rsidR="00016F1F" w:rsidRPr="000862CD" w14:paraId="1029EF7B" w14:textId="77777777" w:rsidTr="001F46A8">
                              <w:tc>
                                <w:tcPr>
                                  <w:tcW w:w="1134" w:type="dxa"/>
                                </w:tcPr>
                                <w:p w14:paraId="36D336AB" w14:textId="3601095F" w:rsidR="00016F1F" w:rsidRPr="00F73647" w:rsidRDefault="00016F1F" w:rsidP="00AB6E7D">
                                  <w:pPr>
                                    <w:spacing w:before="40" w:after="40"/>
                                    <w:rPr>
                                      <w:rFonts w:cs="Times New Roman"/>
                                      <w:sz w:val="20"/>
                                      <w:szCs w:val="20"/>
                                    </w:rPr>
                                  </w:pPr>
                                  <w:r w:rsidRPr="00F73647">
                                    <w:rPr>
                                      <w:rFonts w:cs="Times New Roman"/>
                                      <w:sz w:val="20"/>
                                      <w:szCs w:val="20"/>
                                    </w:rPr>
                                    <w:t>2019</w:t>
                                  </w:r>
                                  <w:r>
                                    <w:rPr>
                                      <w:rFonts w:cs="Times New Roman"/>
                                      <w:sz w:val="20"/>
                                      <w:szCs w:val="20"/>
                                    </w:rPr>
                                    <w:t>–</w:t>
                                  </w:r>
                                  <w:r w:rsidRPr="00F73647">
                                    <w:rPr>
                                      <w:rFonts w:cs="Times New Roman"/>
                                      <w:sz w:val="20"/>
                                      <w:szCs w:val="20"/>
                                    </w:rPr>
                                    <w:t>20</w:t>
                                  </w:r>
                                </w:p>
                              </w:tc>
                              <w:tc>
                                <w:tcPr>
                                  <w:tcW w:w="1843" w:type="dxa"/>
                                </w:tcPr>
                                <w:p w14:paraId="5FE4FC3C" w14:textId="77777777" w:rsidR="00016F1F" w:rsidRPr="00F73647" w:rsidRDefault="00016F1F" w:rsidP="00AB6E7D">
                                  <w:pPr>
                                    <w:spacing w:before="40" w:after="40"/>
                                    <w:rPr>
                                      <w:rFonts w:cs="Times New Roman"/>
                                      <w:sz w:val="20"/>
                                      <w:szCs w:val="20"/>
                                    </w:rPr>
                                  </w:pPr>
                                  <w:r w:rsidRPr="00F73647">
                                    <w:rPr>
                                      <w:rFonts w:cs="Times New Roman"/>
                                      <w:sz w:val="20"/>
                                      <w:szCs w:val="20"/>
                                    </w:rPr>
                                    <w:t>Northland Ltd</w:t>
                                  </w:r>
                                </w:p>
                              </w:tc>
                              <w:tc>
                                <w:tcPr>
                                  <w:tcW w:w="2977" w:type="dxa"/>
                                </w:tcPr>
                                <w:p w14:paraId="6EAD79E3" w14:textId="77777777" w:rsidR="00016F1F" w:rsidRPr="00F73647" w:rsidRDefault="00016F1F" w:rsidP="00AB6E7D">
                                  <w:pPr>
                                    <w:spacing w:before="40" w:after="40"/>
                                    <w:rPr>
                                      <w:rFonts w:cs="Times New Roman"/>
                                      <w:sz w:val="20"/>
                                      <w:szCs w:val="20"/>
                                    </w:rPr>
                                  </w:pPr>
                                  <w:r w:rsidRPr="00F73647">
                                    <w:rPr>
                                      <w:rFonts w:cs="Times New Roman"/>
                                      <w:sz w:val="20"/>
                                      <w:szCs w:val="20"/>
                                    </w:rPr>
                                    <w:t>$50,00,000 to $120,000,000</w:t>
                                  </w:r>
                                </w:p>
                              </w:tc>
                            </w:tr>
                          </w:tbl>
                          <w:p w14:paraId="33D4F875" w14:textId="77777777" w:rsidR="00016F1F" w:rsidRPr="001F46A8" w:rsidRDefault="00016F1F" w:rsidP="007F3668">
                            <w:pPr>
                              <w:rPr>
                                <w:rFonts w:cs="Times New Roman"/>
                                <w:szCs w:val="24"/>
                              </w:rPr>
                            </w:pPr>
                          </w:p>
                        </w:txbxContent>
                      </wps:txbx>
                      <wps:bodyPr rot="0" vert="horz" wrap="square" lIns="91440" tIns="45720" rIns="91440" bIns="45720" anchor="t" anchorCtr="0">
                        <a:noAutofit/>
                      </wps:bodyPr>
                    </wps:wsp>
                  </a:graphicData>
                </a:graphic>
              </wp:inline>
            </w:drawing>
          </mc:Choice>
          <mc:Fallback>
            <w:pict>
              <v:shape id="Text Box 2" o:spid="_x0000_s1031" type="#_x0000_t202" style="width:425.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">
                <v:textbox>
                  <w:txbxContent>
                    <w:p w14:paraId="0F4B388A" w14:textId="5D80E9B4" w:rsidR="00016F1F" w:rsidRPr="00F73647" w:rsidRDefault="00016F1F" w:rsidP="00016F1F">
                      <w:pPr>
                        <w:pStyle w:val="Exampleheading1"/>
                        <w:pBdr>
                          <w:top w:val="none" w:sz="0" w:space="0" w:color="auto"/>
                          <w:left w:val="none" w:sz="0" w:space="0" w:color="auto"/>
                          <w:bottom w:val="none" w:sz="0" w:space="0" w:color="auto"/>
                          <w:right w:val="none" w:sz="0" w:space="0" w:color="auto"/>
                        </w:pBdr>
                        <w:ind w:left="1134" w:hanging="1134"/>
                        <w:jc w:val="left"/>
                      </w:pPr>
                      <w:r w:rsidRPr="00F73647">
                        <w:t>Example</w:t>
                      </w:r>
                      <w:r>
                        <w:t xml:space="preserve"> 2</w:t>
                      </w:r>
                      <w:r w:rsidR="00E24B0A">
                        <w:t>4</w:t>
                      </w:r>
                      <w:r>
                        <w:t>:</w:t>
                      </w:r>
                      <w:r w:rsidRPr="00F73647">
                        <w:t xml:space="preserve"> </w:t>
                      </w:r>
                      <w:r>
                        <w:t xml:space="preserve">Claim details publication </w:t>
                      </w:r>
                      <w:r w:rsidRPr="00F73647">
                        <w:t>(illustrative only</w:t>
                      </w:r>
                      <w:r>
                        <w:t xml:space="preserve"> – a</w:t>
                      </w:r>
                      <w:r w:rsidRPr="00F73647">
                        <w:t>ctual publication format may vary)</w:t>
                      </w:r>
                    </w:p>
                    <w:p w14:paraId="20F4869E" w14:textId="77777777" w:rsidR="00016F1F" w:rsidRDefault="00016F1F" w:rsidP="007F3668">
                      <w:pPr>
                        <w:pStyle w:val="Exampletext"/>
                        <w:pBdr>
                          <w:top w:val="none" w:sz="0" w:space="0" w:color="auto"/>
                          <w:left w:val="none" w:sz="0" w:space="0" w:color="auto"/>
                          <w:bottom w:val="none" w:sz="0" w:space="0" w:color="auto"/>
                          <w:right w:val="none" w:sz="0" w:space="0" w:color="auto"/>
                        </w:pBdr>
                      </w:pPr>
                    </w:p>
                    <w:p w14:paraId="53C4BABB" w14:textId="4B0599DA" w:rsidR="00016F1F" w:rsidRDefault="00016F1F" w:rsidP="007F3668">
                      <w:pPr>
                        <w:pStyle w:val="Exampletext"/>
                        <w:pBdr>
                          <w:top w:val="none" w:sz="0" w:space="0" w:color="auto"/>
                          <w:left w:val="none" w:sz="0" w:space="0" w:color="auto"/>
                          <w:bottom w:val="none" w:sz="0" w:space="0" w:color="auto"/>
                          <w:right w:val="none" w:sz="0" w:space="0" w:color="auto"/>
                        </w:pBdr>
                      </w:pPr>
                      <w:r w:rsidRPr="00F73647">
                        <w:t>In the 2019</w:t>
                      </w:r>
                      <w:r>
                        <w:t>–</w:t>
                      </w:r>
                      <w:r w:rsidRPr="00F73647">
                        <w:t>20 tax year:</w:t>
                      </w:r>
                    </w:p>
                    <w:p w14:paraId="180C0A51" w14:textId="77777777" w:rsidR="00016F1F" w:rsidRPr="00F73647" w:rsidRDefault="00016F1F" w:rsidP="007F3668">
                      <w:pPr>
                        <w:pStyle w:val="Exampletext"/>
                        <w:pBdr>
                          <w:top w:val="none" w:sz="0" w:space="0" w:color="auto"/>
                          <w:left w:val="none" w:sz="0" w:space="0" w:color="auto"/>
                          <w:bottom w:val="none" w:sz="0" w:space="0" w:color="auto"/>
                          <w:right w:val="none" w:sz="0" w:space="0" w:color="auto"/>
                        </w:pBdr>
                      </w:pPr>
                    </w:p>
                    <w:p w14:paraId="3D3C8568" w14:textId="50C5043E" w:rsidR="00016F1F" w:rsidRPr="00F73647" w:rsidRDefault="00016F1F" w:rsidP="00E42A18">
                      <w:pPr>
                        <w:pStyle w:val="Examplebullet1"/>
                        <w:pBdr>
                          <w:top w:val="none" w:sz="0" w:space="0" w:color="auto"/>
                          <w:left w:val="none" w:sz="0" w:space="0" w:color="auto"/>
                          <w:bottom w:val="none" w:sz="0" w:space="0" w:color="auto"/>
                          <w:right w:val="none" w:sz="0" w:space="0" w:color="auto"/>
                        </w:pBdr>
                      </w:pPr>
                      <w:r w:rsidRPr="00F73647">
                        <w:t>Kawhia Ltd claims $79,</w:t>
                      </w:r>
                      <w:r>
                        <w:t>00 of eligible R&amp;D expenditure;</w:t>
                      </w:r>
                    </w:p>
                    <w:p w14:paraId="55D6A8B8" w14:textId="77777777" w:rsidR="00016F1F" w:rsidRPr="00F73647" w:rsidRDefault="00016F1F" w:rsidP="00E42A18">
                      <w:pPr>
                        <w:pStyle w:val="Examplebullet1"/>
                        <w:pBdr>
                          <w:top w:val="none" w:sz="0" w:space="0" w:color="auto"/>
                          <w:left w:val="none" w:sz="0" w:space="0" w:color="auto"/>
                          <w:bottom w:val="none" w:sz="0" w:space="0" w:color="auto"/>
                          <w:right w:val="none" w:sz="0" w:space="0" w:color="auto"/>
                        </w:pBdr>
                      </w:pPr>
                      <w:r w:rsidRPr="00F73647">
                        <w:t>Marsden Ltd claims $695,000 of eligible R&amp;D expenditure; and</w:t>
                      </w:r>
                    </w:p>
                    <w:p w14:paraId="27136EB1" w14:textId="77777777" w:rsidR="00016F1F" w:rsidRPr="00F73647" w:rsidRDefault="00016F1F" w:rsidP="00E42A18">
                      <w:pPr>
                        <w:pStyle w:val="Examplebullet1"/>
                        <w:pBdr>
                          <w:top w:val="none" w:sz="0" w:space="0" w:color="auto"/>
                          <w:left w:val="none" w:sz="0" w:space="0" w:color="auto"/>
                          <w:bottom w:val="none" w:sz="0" w:space="0" w:color="auto"/>
                          <w:right w:val="none" w:sz="0" w:space="0" w:color="auto"/>
                        </w:pBdr>
                        <w:spacing w:after="0"/>
                      </w:pPr>
                      <w:r w:rsidRPr="00F73647">
                        <w:t>Northland Ltd claims $50,000,000 of eligible R&amp;D expenditure.</w:t>
                      </w:r>
                    </w:p>
                    <w:p w14:paraId="2F8A3998" w14:textId="77777777" w:rsidR="00016F1F" w:rsidRPr="00F73647" w:rsidRDefault="00016F1F" w:rsidP="007F3668">
                      <w:pPr>
                        <w:pStyle w:val="Exampletext"/>
                        <w:pBdr>
                          <w:top w:val="none" w:sz="0" w:space="0" w:color="auto"/>
                          <w:left w:val="none" w:sz="0" w:space="0" w:color="auto"/>
                          <w:bottom w:val="none" w:sz="0" w:space="0" w:color="auto"/>
                          <w:right w:val="none" w:sz="0" w:space="0" w:color="auto"/>
                        </w:pBdr>
                      </w:pPr>
                    </w:p>
                    <w:p w14:paraId="64D04605" w14:textId="2235DF48" w:rsidR="00016F1F" w:rsidRDefault="00016F1F" w:rsidP="007F3668">
                      <w:pPr>
                        <w:pStyle w:val="Exampletext"/>
                        <w:pBdr>
                          <w:top w:val="none" w:sz="0" w:space="0" w:color="auto"/>
                          <w:left w:val="none" w:sz="0" w:space="0" w:color="auto"/>
                          <w:bottom w:val="none" w:sz="0" w:space="0" w:color="auto"/>
                          <w:right w:val="none" w:sz="0" w:space="0" w:color="auto"/>
                        </w:pBdr>
                      </w:pPr>
                      <w:r>
                        <w:t>After</w:t>
                      </w:r>
                      <w:r w:rsidRPr="00F73647">
                        <w:t xml:space="preserve"> 1 April 2022, the Commissioner publishes the following details in an online publication:</w:t>
                      </w:r>
                    </w:p>
                    <w:p w14:paraId="5E41A962" w14:textId="77777777" w:rsidR="00016F1F" w:rsidRPr="00F73647" w:rsidRDefault="00016F1F" w:rsidP="007F3668">
                      <w:pPr>
                        <w:rPr>
                          <w:rFonts w:cs="Times New Roman"/>
                          <w:sz w:val="20"/>
                          <w:szCs w:val="20"/>
                        </w:rPr>
                      </w:pPr>
                    </w:p>
                    <w:tbl>
                      <w:tblPr>
                        <w:tblStyle w:val="TableGrid2"/>
                        <w:tblW w:w="0" w:type="auto"/>
                        <w:tblInd w:w="1242" w:type="dxa"/>
                        <w:tblLook w:val="04A0" w:firstRow="1" w:lastRow="0" w:firstColumn="1" w:lastColumn="0" w:noHBand="0" w:noVBand="1"/>
                      </w:tblPr>
                      <w:tblGrid>
                        <w:gridCol w:w="1134"/>
                        <w:gridCol w:w="1843"/>
                        <w:gridCol w:w="2977"/>
                      </w:tblGrid>
                      <w:tr w:rsidR="00016F1F" w:rsidRPr="000862CD" w14:paraId="67F690FA" w14:textId="77777777" w:rsidTr="00AB6E7D">
                        <w:tc>
                          <w:tcPr>
                            <w:tcW w:w="1134" w:type="dxa"/>
                            <w:shd w:val="clear" w:color="auto" w:fill="auto"/>
                          </w:tcPr>
                          <w:p w14:paraId="251B2ACC" w14:textId="77777777" w:rsidR="00016F1F" w:rsidRPr="00AB6E7D" w:rsidRDefault="00016F1F" w:rsidP="00AB6E7D">
                            <w:pPr>
                              <w:spacing w:before="40" w:after="40"/>
                              <w:rPr>
                                <w:rFonts w:cs="Times New Roman"/>
                                <w:b/>
                                <w:sz w:val="20"/>
                                <w:szCs w:val="20"/>
                              </w:rPr>
                            </w:pPr>
                            <w:r w:rsidRPr="00AB6E7D">
                              <w:rPr>
                                <w:rFonts w:cs="Times New Roman"/>
                                <w:b/>
                                <w:sz w:val="20"/>
                                <w:szCs w:val="20"/>
                              </w:rPr>
                              <w:t>Tax year</w:t>
                            </w:r>
                          </w:p>
                        </w:tc>
                        <w:tc>
                          <w:tcPr>
                            <w:tcW w:w="1843" w:type="dxa"/>
                            <w:shd w:val="clear" w:color="auto" w:fill="auto"/>
                          </w:tcPr>
                          <w:p w14:paraId="1E45AD0D" w14:textId="77777777" w:rsidR="00016F1F" w:rsidRPr="00AB6E7D" w:rsidRDefault="00016F1F" w:rsidP="00AB6E7D">
                            <w:pPr>
                              <w:spacing w:before="40" w:after="40"/>
                              <w:rPr>
                                <w:rFonts w:cs="Times New Roman"/>
                                <w:b/>
                                <w:sz w:val="20"/>
                                <w:szCs w:val="20"/>
                              </w:rPr>
                            </w:pPr>
                            <w:r w:rsidRPr="00AB6E7D">
                              <w:rPr>
                                <w:rFonts w:cs="Times New Roman"/>
                                <w:b/>
                                <w:sz w:val="20"/>
                                <w:szCs w:val="20"/>
                              </w:rPr>
                              <w:t>Claimant</w:t>
                            </w:r>
                          </w:p>
                        </w:tc>
                        <w:tc>
                          <w:tcPr>
                            <w:tcW w:w="2977" w:type="dxa"/>
                            <w:shd w:val="clear" w:color="auto" w:fill="auto"/>
                          </w:tcPr>
                          <w:p w14:paraId="720C9680" w14:textId="77777777" w:rsidR="00016F1F" w:rsidRPr="00AB6E7D" w:rsidRDefault="00016F1F" w:rsidP="00AB6E7D">
                            <w:pPr>
                              <w:spacing w:before="40" w:after="40"/>
                              <w:rPr>
                                <w:rFonts w:cs="Times New Roman"/>
                                <w:b/>
                                <w:sz w:val="20"/>
                                <w:szCs w:val="20"/>
                              </w:rPr>
                            </w:pPr>
                            <w:r w:rsidRPr="00AB6E7D">
                              <w:rPr>
                                <w:rFonts w:cs="Times New Roman"/>
                                <w:b/>
                                <w:sz w:val="20"/>
                                <w:szCs w:val="20"/>
                              </w:rPr>
                              <w:t>Expenditure band</w:t>
                            </w:r>
                          </w:p>
                        </w:tc>
                      </w:tr>
                      <w:tr w:rsidR="00016F1F" w:rsidRPr="000862CD" w14:paraId="7F88C352" w14:textId="77777777" w:rsidTr="001F46A8">
                        <w:tc>
                          <w:tcPr>
                            <w:tcW w:w="1134" w:type="dxa"/>
                          </w:tcPr>
                          <w:p w14:paraId="7924B6FC" w14:textId="6DA11213" w:rsidR="00016F1F" w:rsidRPr="00F73647" w:rsidRDefault="00016F1F" w:rsidP="00AB6E7D">
                            <w:pPr>
                              <w:spacing w:before="40" w:after="40"/>
                              <w:rPr>
                                <w:rFonts w:cs="Times New Roman"/>
                                <w:sz w:val="20"/>
                                <w:szCs w:val="20"/>
                              </w:rPr>
                            </w:pPr>
                            <w:r w:rsidRPr="00F73647">
                              <w:rPr>
                                <w:rFonts w:cs="Times New Roman"/>
                                <w:sz w:val="20"/>
                                <w:szCs w:val="20"/>
                              </w:rPr>
                              <w:t>2019</w:t>
                            </w:r>
                            <w:r>
                              <w:rPr>
                                <w:rFonts w:cs="Times New Roman"/>
                                <w:sz w:val="20"/>
                                <w:szCs w:val="20"/>
                              </w:rPr>
                              <w:t>–</w:t>
                            </w:r>
                            <w:r w:rsidRPr="00F73647">
                              <w:rPr>
                                <w:rFonts w:cs="Times New Roman"/>
                                <w:sz w:val="20"/>
                                <w:szCs w:val="20"/>
                              </w:rPr>
                              <w:t>20</w:t>
                            </w:r>
                          </w:p>
                        </w:tc>
                        <w:tc>
                          <w:tcPr>
                            <w:tcW w:w="1843" w:type="dxa"/>
                          </w:tcPr>
                          <w:p w14:paraId="108CDE88" w14:textId="77777777" w:rsidR="00016F1F" w:rsidRPr="00F73647" w:rsidRDefault="00016F1F" w:rsidP="00AB6E7D">
                            <w:pPr>
                              <w:spacing w:before="40" w:after="40"/>
                              <w:rPr>
                                <w:rFonts w:cs="Times New Roman"/>
                                <w:sz w:val="20"/>
                                <w:szCs w:val="20"/>
                              </w:rPr>
                            </w:pPr>
                            <w:r w:rsidRPr="00F73647">
                              <w:rPr>
                                <w:rFonts w:cs="Times New Roman"/>
                                <w:sz w:val="20"/>
                                <w:szCs w:val="20"/>
                              </w:rPr>
                              <w:t>Kawhia Ltd</w:t>
                            </w:r>
                          </w:p>
                        </w:tc>
                        <w:tc>
                          <w:tcPr>
                            <w:tcW w:w="2977" w:type="dxa"/>
                          </w:tcPr>
                          <w:p w14:paraId="0741B9FD" w14:textId="77777777" w:rsidR="00016F1F" w:rsidRPr="00F73647" w:rsidRDefault="00016F1F" w:rsidP="00AB6E7D">
                            <w:pPr>
                              <w:spacing w:before="40" w:after="40"/>
                              <w:rPr>
                                <w:rFonts w:cs="Times New Roman"/>
                                <w:sz w:val="20"/>
                                <w:szCs w:val="20"/>
                              </w:rPr>
                            </w:pPr>
                            <w:r w:rsidRPr="00F73647">
                              <w:rPr>
                                <w:rFonts w:cs="Times New Roman"/>
                                <w:sz w:val="20"/>
                                <w:szCs w:val="20"/>
                              </w:rPr>
                              <w:t>Less than $100,000</w:t>
                            </w:r>
                          </w:p>
                        </w:tc>
                      </w:tr>
                      <w:tr w:rsidR="00016F1F" w:rsidRPr="000862CD" w14:paraId="4B8B373F" w14:textId="77777777" w:rsidTr="001F46A8">
                        <w:tc>
                          <w:tcPr>
                            <w:tcW w:w="1134" w:type="dxa"/>
                          </w:tcPr>
                          <w:p w14:paraId="3CBA2BA2" w14:textId="359616E2" w:rsidR="00016F1F" w:rsidRPr="00F73647" w:rsidRDefault="00016F1F" w:rsidP="00AB6E7D">
                            <w:pPr>
                              <w:spacing w:before="40" w:after="40"/>
                              <w:rPr>
                                <w:rFonts w:cs="Times New Roman"/>
                                <w:sz w:val="20"/>
                                <w:szCs w:val="20"/>
                              </w:rPr>
                            </w:pPr>
                            <w:r w:rsidRPr="00F73647">
                              <w:rPr>
                                <w:rFonts w:cs="Times New Roman"/>
                                <w:sz w:val="20"/>
                                <w:szCs w:val="20"/>
                              </w:rPr>
                              <w:t>2019</w:t>
                            </w:r>
                            <w:r>
                              <w:rPr>
                                <w:rFonts w:cs="Times New Roman"/>
                                <w:sz w:val="20"/>
                                <w:szCs w:val="20"/>
                              </w:rPr>
                              <w:t>–</w:t>
                            </w:r>
                            <w:r w:rsidRPr="00F73647">
                              <w:rPr>
                                <w:rFonts w:cs="Times New Roman"/>
                                <w:sz w:val="20"/>
                                <w:szCs w:val="20"/>
                              </w:rPr>
                              <w:t>20</w:t>
                            </w:r>
                          </w:p>
                        </w:tc>
                        <w:tc>
                          <w:tcPr>
                            <w:tcW w:w="1843" w:type="dxa"/>
                          </w:tcPr>
                          <w:p w14:paraId="4D28AFA8" w14:textId="77777777" w:rsidR="00016F1F" w:rsidRPr="00F73647" w:rsidRDefault="00016F1F" w:rsidP="00AB6E7D">
                            <w:pPr>
                              <w:spacing w:before="40" w:after="40"/>
                              <w:rPr>
                                <w:rFonts w:cs="Times New Roman"/>
                                <w:sz w:val="20"/>
                                <w:szCs w:val="20"/>
                              </w:rPr>
                            </w:pPr>
                            <w:r w:rsidRPr="00F73647">
                              <w:rPr>
                                <w:rFonts w:cs="Times New Roman"/>
                                <w:sz w:val="20"/>
                                <w:szCs w:val="20"/>
                              </w:rPr>
                              <w:t>Marsden Ltd</w:t>
                            </w:r>
                          </w:p>
                        </w:tc>
                        <w:tc>
                          <w:tcPr>
                            <w:tcW w:w="2977" w:type="dxa"/>
                          </w:tcPr>
                          <w:p w14:paraId="2CE796A6" w14:textId="77777777" w:rsidR="00016F1F" w:rsidRPr="00F73647" w:rsidRDefault="00016F1F" w:rsidP="00AB6E7D">
                            <w:pPr>
                              <w:spacing w:before="40" w:after="40"/>
                              <w:rPr>
                                <w:rFonts w:cs="Times New Roman"/>
                                <w:sz w:val="20"/>
                                <w:szCs w:val="20"/>
                              </w:rPr>
                            </w:pPr>
                            <w:r w:rsidRPr="00F73647">
                              <w:rPr>
                                <w:rFonts w:cs="Times New Roman"/>
                                <w:sz w:val="20"/>
                                <w:szCs w:val="20"/>
                              </w:rPr>
                              <w:t>$500,000 to $1,000,000</w:t>
                            </w:r>
                          </w:p>
                        </w:tc>
                      </w:tr>
                      <w:tr w:rsidR="00016F1F" w:rsidRPr="000862CD" w14:paraId="1029EF7B" w14:textId="77777777" w:rsidTr="001F46A8">
                        <w:tc>
                          <w:tcPr>
                            <w:tcW w:w="1134" w:type="dxa"/>
                          </w:tcPr>
                          <w:p w14:paraId="36D336AB" w14:textId="3601095F" w:rsidR="00016F1F" w:rsidRPr="00F73647" w:rsidRDefault="00016F1F" w:rsidP="00AB6E7D">
                            <w:pPr>
                              <w:spacing w:before="40" w:after="40"/>
                              <w:rPr>
                                <w:rFonts w:cs="Times New Roman"/>
                                <w:sz w:val="20"/>
                                <w:szCs w:val="20"/>
                              </w:rPr>
                            </w:pPr>
                            <w:r w:rsidRPr="00F73647">
                              <w:rPr>
                                <w:rFonts w:cs="Times New Roman"/>
                                <w:sz w:val="20"/>
                                <w:szCs w:val="20"/>
                              </w:rPr>
                              <w:t>2019</w:t>
                            </w:r>
                            <w:r>
                              <w:rPr>
                                <w:rFonts w:cs="Times New Roman"/>
                                <w:sz w:val="20"/>
                                <w:szCs w:val="20"/>
                              </w:rPr>
                              <w:t>–</w:t>
                            </w:r>
                            <w:r w:rsidRPr="00F73647">
                              <w:rPr>
                                <w:rFonts w:cs="Times New Roman"/>
                                <w:sz w:val="20"/>
                                <w:szCs w:val="20"/>
                              </w:rPr>
                              <w:t>20</w:t>
                            </w:r>
                          </w:p>
                        </w:tc>
                        <w:tc>
                          <w:tcPr>
                            <w:tcW w:w="1843" w:type="dxa"/>
                          </w:tcPr>
                          <w:p w14:paraId="5FE4FC3C" w14:textId="77777777" w:rsidR="00016F1F" w:rsidRPr="00F73647" w:rsidRDefault="00016F1F" w:rsidP="00AB6E7D">
                            <w:pPr>
                              <w:spacing w:before="40" w:after="40"/>
                              <w:rPr>
                                <w:rFonts w:cs="Times New Roman"/>
                                <w:sz w:val="20"/>
                                <w:szCs w:val="20"/>
                              </w:rPr>
                            </w:pPr>
                            <w:r w:rsidRPr="00F73647">
                              <w:rPr>
                                <w:rFonts w:cs="Times New Roman"/>
                                <w:sz w:val="20"/>
                                <w:szCs w:val="20"/>
                              </w:rPr>
                              <w:t>Northland Ltd</w:t>
                            </w:r>
                          </w:p>
                        </w:tc>
                        <w:tc>
                          <w:tcPr>
                            <w:tcW w:w="2977" w:type="dxa"/>
                          </w:tcPr>
                          <w:p w14:paraId="6EAD79E3" w14:textId="77777777" w:rsidR="00016F1F" w:rsidRPr="00F73647" w:rsidRDefault="00016F1F" w:rsidP="00AB6E7D">
                            <w:pPr>
                              <w:spacing w:before="40" w:after="40"/>
                              <w:rPr>
                                <w:rFonts w:cs="Times New Roman"/>
                                <w:sz w:val="20"/>
                                <w:szCs w:val="20"/>
                              </w:rPr>
                            </w:pPr>
                            <w:r w:rsidRPr="00F73647">
                              <w:rPr>
                                <w:rFonts w:cs="Times New Roman"/>
                                <w:sz w:val="20"/>
                                <w:szCs w:val="20"/>
                              </w:rPr>
                              <w:t>$50,00,000 to $120,000,000</w:t>
                            </w:r>
                          </w:p>
                        </w:tc>
                      </w:tr>
                    </w:tbl>
                    <w:p w14:paraId="33D4F875" w14:textId="77777777" w:rsidR="00016F1F" w:rsidRPr="001F46A8" w:rsidRDefault="00016F1F" w:rsidP="007F3668">
                      <w:pPr>
                        <w:rPr>
                          <w:rFonts w:cs="Times New Roman"/>
                          <w:szCs w:val="24"/>
                        </w:rPr>
                      </w:pPr>
                    </w:p>
                  </w:txbxContent>
                </v:textbox>
                <w10:anchorlock/>
              </v:shape>
            </w:pict>
          </mc:Fallback>
        </mc:AlternateContent>
      </w:r>
    </w:p>
    <w:p w14:paraId="5FA01C34" w14:textId="77777777" w:rsidR="007F3668" w:rsidRDefault="007F3668">
      <w:pPr>
        <w:spacing w:after="200" w:line="276" w:lineRule="auto"/>
        <w:jc w:val="left"/>
      </w:pPr>
      <w:r>
        <w:br w:type="page"/>
      </w:r>
    </w:p>
    <w:p w14:paraId="60B1E4A1" w14:textId="326D07B0" w:rsidR="001F46A8" w:rsidRPr="001F46A8" w:rsidRDefault="001F46A8" w:rsidP="00EC6B76">
      <w:pPr>
        <w:pStyle w:val="Heading1"/>
      </w:pPr>
      <w:bookmarkStart w:id="67" w:name="_Toc528157378"/>
      <w:bookmarkStart w:id="68" w:name="_Toc528195599"/>
      <w:r w:rsidRPr="001F46A8">
        <w:t>Evaluation</w:t>
      </w:r>
      <w:bookmarkEnd w:id="67"/>
      <w:bookmarkEnd w:id="68"/>
    </w:p>
    <w:p w14:paraId="239CCBB5" w14:textId="4DC15E0A" w:rsidR="001F46A8" w:rsidRPr="001F46A8" w:rsidRDefault="001F46A8" w:rsidP="00EC6B76">
      <w:pPr>
        <w:pStyle w:val="Heading3"/>
      </w:pPr>
      <w:r w:rsidRPr="001F46A8">
        <w:t>Clauses 10</w:t>
      </w:r>
      <w:r w:rsidR="00D73680">
        <w:t xml:space="preserve"> (proposed new section LY 10)</w:t>
      </w:r>
      <w:r w:rsidR="004F72A5">
        <w:t xml:space="preserve"> and</w:t>
      </w:r>
      <w:r w:rsidRPr="001F46A8">
        <w:t xml:space="preserve"> 31</w:t>
      </w:r>
    </w:p>
    <w:p w14:paraId="513FA2B7" w14:textId="77777777" w:rsidR="001F46A8" w:rsidRDefault="001F46A8" w:rsidP="00EC6B76">
      <w:pPr>
        <w:rPr>
          <w:lang w:eastAsia="en-AU"/>
        </w:rPr>
      </w:pPr>
    </w:p>
    <w:p w14:paraId="54031D59" w14:textId="77777777" w:rsidR="00EC6B76" w:rsidRPr="001F46A8" w:rsidRDefault="00EC6B76" w:rsidP="00EC6B76">
      <w:pPr>
        <w:rPr>
          <w:lang w:eastAsia="en-AU"/>
        </w:rPr>
      </w:pPr>
    </w:p>
    <w:p w14:paraId="115216A8" w14:textId="53513D8F" w:rsidR="001F46A8" w:rsidRPr="001F46A8" w:rsidRDefault="001F46A8" w:rsidP="00EC6B76">
      <w:pPr>
        <w:pStyle w:val="Heading2"/>
      </w:pPr>
      <w:r w:rsidRPr="001F46A8">
        <w:t>Summary of proposed amendment</w:t>
      </w:r>
    </w:p>
    <w:p w14:paraId="153BEC26" w14:textId="77777777" w:rsidR="001F46A8" w:rsidRPr="001F46A8" w:rsidRDefault="001F46A8" w:rsidP="00EC6B76">
      <w:pPr>
        <w:rPr>
          <w:lang w:eastAsia="en-AU"/>
        </w:rPr>
      </w:pPr>
    </w:p>
    <w:p w14:paraId="36DF1B5D" w14:textId="1CD73466" w:rsidR="001F46A8" w:rsidRPr="001F46A8" w:rsidRDefault="001F46A8" w:rsidP="00EC6B76">
      <w:pPr>
        <w:rPr>
          <w:rFonts w:eastAsia="Times New Roman" w:cs="Times New Roman"/>
          <w:szCs w:val="20"/>
          <w:lang w:eastAsia="en-AU"/>
        </w:rPr>
      </w:pPr>
      <w:r w:rsidRPr="001F46A8">
        <w:rPr>
          <w:rFonts w:eastAsia="Times New Roman" w:cs="Times New Roman"/>
          <w:szCs w:val="20"/>
          <w:lang w:eastAsia="en-AU"/>
        </w:rPr>
        <w:t xml:space="preserve">The </w:t>
      </w:r>
      <w:r w:rsidR="00062B70">
        <w:rPr>
          <w:rFonts w:eastAsia="Times New Roman" w:cs="Times New Roman"/>
          <w:szCs w:val="20"/>
          <w:lang w:eastAsia="en-AU"/>
        </w:rPr>
        <w:t>B</w:t>
      </w:r>
      <w:r w:rsidRPr="001F46A8">
        <w:rPr>
          <w:rFonts w:eastAsia="Times New Roman" w:cs="Times New Roman"/>
          <w:szCs w:val="20"/>
          <w:lang w:eastAsia="en-AU"/>
        </w:rPr>
        <w:t>ill proposes that an objective and independent evaluation will be carried out on the R&amp;D tax credit regime every five years.</w:t>
      </w:r>
    </w:p>
    <w:p w14:paraId="2829830C" w14:textId="77777777" w:rsidR="001F46A8" w:rsidRDefault="001F46A8" w:rsidP="00EC6B76">
      <w:pPr>
        <w:rPr>
          <w:rFonts w:eastAsia="Times New Roman" w:cs="Times New Roman"/>
          <w:szCs w:val="20"/>
          <w:lang w:eastAsia="en-AU"/>
        </w:rPr>
      </w:pPr>
    </w:p>
    <w:p w14:paraId="1689BC2C" w14:textId="77777777" w:rsidR="00EC6B76" w:rsidRPr="001F46A8" w:rsidRDefault="00EC6B76" w:rsidP="00EC6B76">
      <w:pPr>
        <w:rPr>
          <w:rFonts w:eastAsia="Times New Roman" w:cs="Times New Roman"/>
          <w:szCs w:val="20"/>
          <w:lang w:eastAsia="en-AU"/>
        </w:rPr>
      </w:pPr>
    </w:p>
    <w:p w14:paraId="5B95290B" w14:textId="77777777" w:rsidR="001F46A8" w:rsidRPr="001F46A8" w:rsidRDefault="001F46A8" w:rsidP="00EC6B76">
      <w:pPr>
        <w:pStyle w:val="Heading2"/>
      </w:pPr>
      <w:r w:rsidRPr="001F46A8">
        <w:t>Application date</w:t>
      </w:r>
    </w:p>
    <w:p w14:paraId="045461FE" w14:textId="77777777" w:rsidR="001F46A8" w:rsidRPr="001F46A8" w:rsidRDefault="001F46A8" w:rsidP="00EC6B76">
      <w:pPr>
        <w:rPr>
          <w:lang w:eastAsia="en-AU"/>
        </w:rPr>
      </w:pPr>
    </w:p>
    <w:p w14:paraId="343FFC54" w14:textId="1F434C65" w:rsidR="001F46A8" w:rsidRPr="001F46A8" w:rsidRDefault="00EC6B76" w:rsidP="00EC6B76">
      <w:pPr>
        <w:rPr>
          <w:lang w:eastAsia="en-AU"/>
        </w:rPr>
      </w:pPr>
      <w:r>
        <w:rPr>
          <w:lang w:eastAsia="en-AU"/>
        </w:rPr>
        <w:t xml:space="preserve">From the </w:t>
      </w:r>
      <w:r w:rsidR="00E010FC">
        <w:rPr>
          <w:lang w:eastAsia="en-AU"/>
        </w:rPr>
        <w:t>2019–20</w:t>
      </w:r>
      <w:r>
        <w:rPr>
          <w:lang w:eastAsia="en-AU"/>
        </w:rPr>
        <w:t xml:space="preserve"> income year.</w:t>
      </w:r>
    </w:p>
    <w:p w14:paraId="15BFFF0E" w14:textId="77777777" w:rsidR="001F46A8" w:rsidRDefault="001F46A8" w:rsidP="00EC6B76">
      <w:pPr>
        <w:rPr>
          <w:lang w:eastAsia="en-AU"/>
        </w:rPr>
      </w:pPr>
    </w:p>
    <w:p w14:paraId="3D04997C" w14:textId="77777777" w:rsidR="00EC6B76" w:rsidRPr="001F46A8" w:rsidRDefault="00EC6B76" w:rsidP="00EC6B76">
      <w:pPr>
        <w:rPr>
          <w:lang w:eastAsia="en-AU"/>
        </w:rPr>
      </w:pPr>
    </w:p>
    <w:p w14:paraId="01A87C14" w14:textId="77777777" w:rsidR="001F46A8" w:rsidRPr="001F46A8" w:rsidRDefault="001F46A8" w:rsidP="00EC6B76">
      <w:pPr>
        <w:pStyle w:val="Heading2"/>
      </w:pPr>
      <w:r w:rsidRPr="001F46A8">
        <w:t>Key features</w:t>
      </w:r>
    </w:p>
    <w:p w14:paraId="37ACC363" w14:textId="77777777" w:rsidR="001F46A8" w:rsidRPr="001F46A8" w:rsidRDefault="001F46A8" w:rsidP="00EC6B76">
      <w:pPr>
        <w:rPr>
          <w:lang w:eastAsia="en-AU"/>
        </w:rPr>
      </w:pPr>
    </w:p>
    <w:p w14:paraId="79D088AD" w14:textId="2DFF6172" w:rsidR="001F46A8" w:rsidRPr="001F46A8" w:rsidRDefault="00062B70" w:rsidP="00EC6B76">
      <w:pPr>
        <w:rPr>
          <w:lang w:eastAsia="en-AU"/>
        </w:rPr>
      </w:pPr>
      <w:r>
        <w:rPr>
          <w:lang w:eastAsia="en-AU"/>
        </w:rPr>
        <w:t>Proposed n</w:t>
      </w:r>
      <w:r w:rsidR="001F46A8" w:rsidRPr="001F46A8">
        <w:rPr>
          <w:lang w:eastAsia="en-AU"/>
        </w:rPr>
        <w:t>ew section LY 10 of the Income Tax 2007 requires the Minister of Research, Science and Innovation to report to Parliament on the R&amp;D tax credit regime every five years. The first report will be due as soon as practicable after t</w:t>
      </w:r>
      <w:r w:rsidR="00EC6B76">
        <w:rPr>
          <w:lang w:eastAsia="en-AU"/>
        </w:rPr>
        <w:t>he end of the 2023/24 tax year.</w:t>
      </w:r>
    </w:p>
    <w:p w14:paraId="501846BD" w14:textId="77777777" w:rsidR="001F46A8" w:rsidRPr="001F46A8" w:rsidRDefault="001F46A8" w:rsidP="00EC6B76">
      <w:pPr>
        <w:rPr>
          <w:lang w:eastAsia="en-AU"/>
        </w:rPr>
      </w:pPr>
    </w:p>
    <w:p w14:paraId="4E5E9E18" w14:textId="77777777" w:rsidR="001F46A8" w:rsidRPr="001F46A8" w:rsidRDefault="001F46A8" w:rsidP="00EC6B76">
      <w:pPr>
        <w:rPr>
          <w:lang w:eastAsia="en-AU"/>
        </w:rPr>
      </w:pPr>
      <w:r w:rsidRPr="001F46A8">
        <w:rPr>
          <w:lang w:eastAsia="en-AU"/>
        </w:rPr>
        <w:t>The Minister’s report must objectively and independently evaluate the R&amp;D tax credit regime on:</w:t>
      </w:r>
    </w:p>
    <w:p w14:paraId="1EE3EBF7" w14:textId="77777777" w:rsidR="001F46A8" w:rsidRPr="001F46A8" w:rsidRDefault="001F46A8" w:rsidP="00EC6B76">
      <w:pPr>
        <w:rPr>
          <w:lang w:eastAsia="en-AU"/>
        </w:rPr>
      </w:pPr>
    </w:p>
    <w:p w14:paraId="28E03621" w14:textId="199191E3" w:rsidR="001F46A8" w:rsidRPr="001F46A8" w:rsidRDefault="003A4A1C" w:rsidP="00EC6B76">
      <w:pPr>
        <w:pStyle w:val="dotpoint"/>
      </w:pPr>
      <w:r>
        <w:t>d</w:t>
      </w:r>
      <w:r w:rsidR="001F46A8" w:rsidRPr="001F46A8">
        <w:t>elivery of the policy intent of the regime;</w:t>
      </w:r>
    </w:p>
    <w:p w14:paraId="3C8949D5" w14:textId="2557BB77" w:rsidR="001F46A8" w:rsidRPr="001F46A8" w:rsidRDefault="003A4A1C" w:rsidP="00EC6B76">
      <w:pPr>
        <w:pStyle w:val="dotpoint"/>
      </w:pPr>
      <w:r>
        <w:t>t</w:t>
      </w:r>
      <w:r w:rsidR="001F46A8" w:rsidRPr="001F46A8">
        <w:t>o what extent the regime is stimulating expenditure on R&amp;D activities;</w:t>
      </w:r>
    </w:p>
    <w:p w14:paraId="79E252E8" w14:textId="1C7F53FA" w:rsidR="001F46A8" w:rsidRPr="001F46A8" w:rsidRDefault="003A4A1C" w:rsidP="00EC6B76">
      <w:pPr>
        <w:pStyle w:val="dotpoint"/>
      </w:pPr>
      <w:r>
        <w:t>c</w:t>
      </w:r>
      <w:r w:rsidR="001F46A8" w:rsidRPr="001F46A8">
        <w:t>ompliance costs of the regime for taxpayers;</w:t>
      </w:r>
    </w:p>
    <w:p w14:paraId="7A938903" w14:textId="3EB690B9" w:rsidR="001F46A8" w:rsidRPr="001F46A8" w:rsidRDefault="003A4A1C" w:rsidP="00EC6B76">
      <w:pPr>
        <w:pStyle w:val="dotpoint"/>
      </w:pPr>
      <w:r>
        <w:t>a</w:t>
      </w:r>
      <w:r w:rsidR="001F46A8" w:rsidRPr="001F46A8">
        <w:t xml:space="preserve">dministration costs of the regime for </w:t>
      </w:r>
      <w:r w:rsidR="00115AAD">
        <w:t>g</w:t>
      </w:r>
      <w:r w:rsidR="001F46A8" w:rsidRPr="001F46A8">
        <w:t>overnment; and</w:t>
      </w:r>
    </w:p>
    <w:p w14:paraId="08FC2650" w14:textId="720BEEA3" w:rsidR="001F46A8" w:rsidRPr="001F46A8" w:rsidRDefault="003A4A1C" w:rsidP="00EC6B76">
      <w:pPr>
        <w:pStyle w:val="dotpoint"/>
        <w:spacing w:after="0"/>
      </w:pPr>
      <w:r>
        <w:t>t</w:t>
      </w:r>
      <w:r w:rsidR="001F46A8" w:rsidRPr="001F46A8">
        <w:t>he extent to which claimants are complying with the le</w:t>
      </w:r>
      <w:r w:rsidR="00EC6B76">
        <w:t>gal requirements of the regime.</w:t>
      </w:r>
    </w:p>
    <w:p w14:paraId="4C568608" w14:textId="77777777" w:rsidR="001F46A8" w:rsidRPr="001F46A8" w:rsidRDefault="001F46A8" w:rsidP="00EC6B76">
      <w:pPr>
        <w:rPr>
          <w:lang w:eastAsia="en-AU"/>
        </w:rPr>
      </w:pPr>
    </w:p>
    <w:p w14:paraId="2E60B8E0" w14:textId="374AE2E8" w:rsidR="001F46A8" w:rsidRPr="001F46A8" w:rsidRDefault="001F46A8" w:rsidP="00EC6B76">
      <w:pPr>
        <w:rPr>
          <w:lang w:eastAsia="en-AU"/>
        </w:rPr>
      </w:pPr>
      <w:r w:rsidRPr="001F46A8">
        <w:rPr>
          <w:lang w:eastAsia="en-AU"/>
        </w:rPr>
        <w:t>The</w:t>
      </w:r>
      <w:r w:rsidR="00F73647">
        <w:rPr>
          <w:lang w:eastAsia="en-AU"/>
        </w:rPr>
        <w:t xml:space="preserve"> proposed</w:t>
      </w:r>
      <w:r w:rsidRPr="001F46A8">
        <w:rPr>
          <w:lang w:eastAsia="en-AU"/>
        </w:rPr>
        <w:t xml:space="preserve"> amendment to section 81(w) of the Tax Administration Act 1994 provides Inland Revenue with the ability to communicate the information necessary for an evaluation of the R&amp;D tax credit regime to take place in acc</w:t>
      </w:r>
      <w:r w:rsidR="007C2EB9">
        <w:rPr>
          <w:lang w:eastAsia="en-AU"/>
        </w:rPr>
        <w:t>ordance with</w:t>
      </w:r>
      <w:r w:rsidR="003A4A1C">
        <w:rPr>
          <w:lang w:eastAsia="en-AU"/>
        </w:rPr>
        <w:t xml:space="preserve"> proposed </w:t>
      </w:r>
      <w:r w:rsidR="00EC6B76">
        <w:rPr>
          <w:lang w:eastAsia="en-AU"/>
        </w:rPr>
        <w:t>new section LY 10.</w:t>
      </w:r>
    </w:p>
    <w:p w14:paraId="4FA1264B" w14:textId="77777777" w:rsidR="001F46A8" w:rsidRDefault="001F46A8" w:rsidP="00EC6B76">
      <w:pPr>
        <w:rPr>
          <w:lang w:eastAsia="en-AU"/>
        </w:rPr>
      </w:pPr>
    </w:p>
    <w:p w14:paraId="7480F80B" w14:textId="77777777" w:rsidR="00EC6B76" w:rsidRPr="001F46A8" w:rsidRDefault="00EC6B76" w:rsidP="00EC6B76">
      <w:pPr>
        <w:rPr>
          <w:lang w:eastAsia="en-AU"/>
        </w:rPr>
      </w:pPr>
    </w:p>
    <w:p w14:paraId="7446D892" w14:textId="77777777" w:rsidR="001F46A8" w:rsidRPr="001F46A8" w:rsidRDefault="001F46A8" w:rsidP="00EC6B76">
      <w:pPr>
        <w:pStyle w:val="Heading2"/>
      </w:pPr>
      <w:r w:rsidRPr="001F46A8">
        <w:t>Background</w:t>
      </w:r>
    </w:p>
    <w:p w14:paraId="5CEF4443" w14:textId="77777777" w:rsidR="001F46A8" w:rsidRPr="001F46A8" w:rsidRDefault="001F46A8" w:rsidP="00EC6B76">
      <w:pPr>
        <w:rPr>
          <w:lang w:val="en-GB" w:eastAsia="en-AU"/>
        </w:rPr>
      </w:pPr>
    </w:p>
    <w:p w14:paraId="621A957B" w14:textId="77777777" w:rsidR="001F46A8" w:rsidRPr="001F46A8" w:rsidRDefault="001F46A8" w:rsidP="00EC6B76">
      <w:pPr>
        <w:rPr>
          <w:lang w:val="en-GB" w:eastAsia="en-AU"/>
        </w:rPr>
      </w:pPr>
      <w:r w:rsidRPr="001F46A8">
        <w:rPr>
          <w:lang w:val="en-GB" w:eastAsia="en-AU"/>
        </w:rPr>
        <w:t>Other jurisdictions’ experience with R&amp;D tax credit regimes indicates that regular, independent evaluations are important to ensure an R&amp;D tax credit regime continues to function as intended. Regular evaluations will ensure any deficiencies with the regime are identified and addressed through legislative or operational change.</w:t>
      </w:r>
    </w:p>
    <w:p w14:paraId="30E5730A" w14:textId="77777777" w:rsidR="00DF76DF" w:rsidRDefault="00DF76DF">
      <w:pPr>
        <w:rPr>
          <w:rFonts w:eastAsia="Times New Roman" w:cs="Times New Roman"/>
          <w:b/>
          <w:caps/>
          <w:sz w:val="26"/>
          <w:szCs w:val="20"/>
          <w:lang w:eastAsia="en-AU"/>
        </w:rPr>
      </w:pPr>
      <w:r>
        <w:br w:type="page"/>
      </w:r>
    </w:p>
    <w:p w14:paraId="6D7B1AED" w14:textId="77777777" w:rsidR="00D966AA" w:rsidRPr="00D966AA" w:rsidRDefault="00D966AA" w:rsidP="006056DC">
      <w:pPr>
        <w:pStyle w:val="Heading1"/>
      </w:pPr>
      <w:bookmarkStart w:id="69" w:name="_Toc528157379"/>
      <w:bookmarkStart w:id="70" w:name="_Toc528195600"/>
      <w:r w:rsidRPr="00D966AA">
        <w:t>Flexibility: Orders in Council</w:t>
      </w:r>
      <w:bookmarkEnd w:id="69"/>
      <w:bookmarkEnd w:id="70"/>
    </w:p>
    <w:p w14:paraId="26C4DD33" w14:textId="20A84D8A" w:rsidR="00D966AA" w:rsidRPr="00D966AA" w:rsidRDefault="00D966AA" w:rsidP="006056DC">
      <w:pPr>
        <w:pStyle w:val="Heading3"/>
      </w:pPr>
      <w:r w:rsidRPr="00D966AA">
        <w:t>Clauses 10</w:t>
      </w:r>
      <w:r w:rsidR="00D73680">
        <w:t xml:space="preserve"> (proposed new section LY 9)</w:t>
      </w:r>
      <w:r w:rsidR="00D96680">
        <w:t xml:space="preserve"> and</w:t>
      </w:r>
      <w:r w:rsidRPr="00D966AA">
        <w:t xml:space="preserve"> 22</w:t>
      </w:r>
      <w:r w:rsidR="00D73680">
        <w:t xml:space="preserve"> (proposed new schedules 21 and 21B)</w:t>
      </w:r>
    </w:p>
    <w:p w14:paraId="6966C4F7" w14:textId="77777777" w:rsidR="00D966AA" w:rsidRDefault="00D966AA" w:rsidP="006056DC">
      <w:pPr>
        <w:rPr>
          <w:lang w:eastAsia="en-AU"/>
        </w:rPr>
      </w:pPr>
    </w:p>
    <w:p w14:paraId="12B8C193" w14:textId="77777777" w:rsidR="00EC6B76" w:rsidRPr="00D966AA" w:rsidRDefault="00EC6B76" w:rsidP="006056DC">
      <w:pPr>
        <w:rPr>
          <w:lang w:eastAsia="en-AU"/>
        </w:rPr>
      </w:pPr>
    </w:p>
    <w:p w14:paraId="269F36F6" w14:textId="7E2D2263" w:rsidR="00D966AA" w:rsidRPr="00D966AA" w:rsidRDefault="00D966AA" w:rsidP="006056DC">
      <w:pPr>
        <w:pStyle w:val="Heading2"/>
      </w:pPr>
      <w:r w:rsidRPr="00D966AA">
        <w:t>Summary of proposed amendment</w:t>
      </w:r>
    </w:p>
    <w:p w14:paraId="450C3F2D" w14:textId="77777777" w:rsidR="00D966AA" w:rsidRPr="00D966AA" w:rsidRDefault="00D966AA" w:rsidP="006056DC">
      <w:pPr>
        <w:rPr>
          <w:lang w:eastAsia="en-AU"/>
        </w:rPr>
      </w:pPr>
    </w:p>
    <w:p w14:paraId="01E089F4" w14:textId="186EF961" w:rsidR="00D966AA" w:rsidRPr="00D966AA" w:rsidRDefault="00D966AA" w:rsidP="006056DC">
      <w:pPr>
        <w:rPr>
          <w:lang w:eastAsia="en-AU"/>
        </w:rPr>
      </w:pPr>
      <w:r w:rsidRPr="00D966AA">
        <w:rPr>
          <w:lang w:eastAsia="en-AU"/>
        </w:rPr>
        <w:t xml:space="preserve">The </w:t>
      </w:r>
      <w:r w:rsidR="00062B70">
        <w:rPr>
          <w:lang w:eastAsia="en-AU"/>
        </w:rPr>
        <w:t>B</w:t>
      </w:r>
      <w:r w:rsidRPr="00D966AA">
        <w:rPr>
          <w:lang w:eastAsia="en-AU"/>
        </w:rPr>
        <w:t>ill proposes that the Governor</w:t>
      </w:r>
      <w:r w:rsidR="00AE1B3E">
        <w:rPr>
          <w:lang w:eastAsia="en-AU"/>
        </w:rPr>
        <w:t>-</w:t>
      </w:r>
      <w:r w:rsidRPr="00D966AA">
        <w:rPr>
          <w:lang w:eastAsia="en-AU"/>
        </w:rPr>
        <w:t>General have the ability to make changes to schedules 21 and 21B on the joint recommendation of the Minister of Revenue and the Minister of Res</w:t>
      </w:r>
      <w:r w:rsidR="00086534">
        <w:rPr>
          <w:lang w:eastAsia="en-AU"/>
        </w:rPr>
        <w:t>earch, Science</w:t>
      </w:r>
      <w:r w:rsidR="006056DC">
        <w:rPr>
          <w:lang w:eastAsia="en-AU"/>
        </w:rPr>
        <w:t xml:space="preserve"> and Innovation.</w:t>
      </w:r>
    </w:p>
    <w:p w14:paraId="1E18F8A2" w14:textId="77777777" w:rsidR="00D966AA" w:rsidRDefault="00D966AA" w:rsidP="006056DC">
      <w:pPr>
        <w:rPr>
          <w:lang w:eastAsia="en-AU"/>
        </w:rPr>
      </w:pPr>
    </w:p>
    <w:p w14:paraId="54E6D661" w14:textId="77777777" w:rsidR="00EC6B76" w:rsidRPr="00D966AA" w:rsidRDefault="00EC6B76" w:rsidP="006056DC">
      <w:pPr>
        <w:rPr>
          <w:lang w:eastAsia="en-AU"/>
        </w:rPr>
      </w:pPr>
    </w:p>
    <w:p w14:paraId="3F073206" w14:textId="77777777" w:rsidR="00D966AA" w:rsidRPr="00D966AA" w:rsidRDefault="00D966AA" w:rsidP="006056DC">
      <w:pPr>
        <w:pStyle w:val="Heading2"/>
      </w:pPr>
      <w:r w:rsidRPr="00D966AA">
        <w:t>Application date</w:t>
      </w:r>
    </w:p>
    <w:p w14:paraId="1216F27D" w14:textId="77777777" w:rsidR="00D966AA" w:rsidRPr="00D966AA" w:rsidRDefault="00D966AA" w:rsidP="006056DC">
      <w:pPr>
        <w:rPr>
          <w:lang w:eastAsia="en-AU"/>
        </w:rPr>
      </w:pPr>
    </w:p>
    <w:p w14:paraId="156164E1" w14:textId="09FFB295" w:rsidR="00D966AA" w:rsidRPr="00D966AA" w:rsidRDefault="006056DC" w:rsidP="006056DC">
      <w:pPr>
        <w:rPr>
          <w:lang w:eastAsia="en-AU"/>
        </w:rPr>
      </w:pPr>
      <w:r>
        <w:rPr>
          <w:lang w:eastAsia="en-AU"/>
        </w:rPr>
        <w:t xml:space="preserve">From the </w:t>
      </w:r>
      <w:r w:rsidR="00E010FC">
        <w:rPr>
          <w:lang w:eastAsia="en-AU"/>
        </w:rPr>
        <w:t>2019–20</w:t>
      </w:r>
      <w:r>
        <w:rPr>
          <w:lang w:eastAsia="en-AU"/>
        </w:rPr>
        <w:t xml:space="preserve"> income year.</w:t>
      </w:r>
    </w:p>
    <w:p w14:paraId="5467B972" w14:textId="77777777" w:rsidR="00D966AA" w:rsidRDefault="00D966AA" w:rsidP="006056DC">
      <w:pPr>
        <w:rPr>
          <w:lang w:eastAsia="en-AU"/>
        </w:rPr>
      </w:pPr>
    </w:p>
    <w:p w14:paraId="36BB26FF" w14:textId="77777777" w:rsidR="00EC6B76" w:rsidRPr="00D966AA" w:rsidRDefault="00EC6B76" w:rsidP="006056DC">
      <w:pPr>
        <w:rPr>
          <w:lang w:eastAsia="en-AU"/>
        </w:rPr>
      </w:pPr>
    </w:p>
    <w:p w14:paraId="2A421C9D" w14:textId="77777777" w:rsidR="00D966AA" w:rsidRPr="00D966AA" w:rsidRDefault="00D966AA" w:rsidP="006056DC">
      <w:pPr>
        <w:pStyle w:val="Heading2"/>
      </w:pPr>
      <w:r w:rsidRPr="00D966AA">
        <w:t>Key features</w:t>
      </w:r>
    </w:p>
    <w:p w14:paraId="4550707A" w14:textId="77777777" w:rsidR="00D966AA" w:rsidRPr="00D966AA" w:rsidRDefault="00D966AA" w:rsidP="006056DC">
      <w:pPr>
        <w:rPr>
          <w:lang w:eastAsia="en-AU"/>
        </w:rPr>
      </w:pPr>
    </w:p>
    <w:p w14:paraId="39F7D010" w14:textId="133AC754" w:rsidR="00D966AA" w:rsidRPr="00D966AA" w:rsidRDefault="00D966AA" w:rsidP="006056DC">
      <w:pPr>
        <w:rPr>
          <w:lang w:eastAsia="en-AU"/>
        </w:rPr>
      </w:pPr>
      <w:r w:rsidRPr="00D966AA">
        <w:rPr>
          <w:lang w:eastAsia="en-AU"/>
        </w:rPr>
        <w:t>Proposed new section LY 9 empowers the Governor</w:t>
      </w:r>
      <w:r w:rsidR="00AE1B3E">
        <w:rPr>
          <w:lang w:eastAsia="en-AU"/>
        </w:rPr>
        <w:t>-</w:t>
      </w:r>
      <w:r w:rsidRPr="00D966AA">
        <w:rPr>
          <w:lang w:eastAsia="en-AU"/>
        </w:rPr>
        <w:t>General to amend proposed new schedules 21 (excluded activities) and 21B (eligible a</w:t>
      </w:r>
      <w:r w:rsidR="006056DC">
        <w:rPr>
          <w:lang w:eastAsia="en-AU"/>
        </w:rPr>
        <w:t>nd ineligible expenditure).</w:t>
      </w:r>
    </w:p>
    <w:p w14:paraId="72F5C42F" w14:textId="77777777" w:rsidR="00D966AA" w:rsidRDefault="00D966AA" w:rsidP="006056DC">
      <w:pPr>
        <w:rPr>
          <w:lang w:eastAsia="en-AU"/>
        </w:rPr>
      </w:pPr>
    </w:p>
    <w:p w14:paraId="44D3E3B9" w14:textId="77777777" w:rsidR="00EC6B76" w:rsidRPr="00D966AA" w:rsidRDefault="00EC6B76" w:rsidP="006056DC">
      <w:pPr>
        <w:rPr>
          <w:lang w:eastAsia="en-AU"/>
        </w:rPr>
      </w:pPr>
    </w:p>
    <w:p w14:paraId="59743F20" w14:textId="77777777" w:rsidR="00D966AA" w:rsidRPr="00D966AA" w:rsidRDefault="00D966AA" w:rsidP="006056DC">
      <w:pPr>
        <w:pStyle w:val="Heading2"/>
      </w:pPr>
      <w:r w:rsidRPr="00D966AA">
        <w:t>Background</w:t>
      </w:r>
    </w:p>
    <w:p w14:paraId="5BA698CC" w14:textId="77777777" w:rsidR="00D966AA" w:rsidRPr="00D966AA" w:rsidRDefault="00D966AA" w:rsidP="006056DC">
      <w:pPr>
        <w:rPr>
          <w:lang w:val="en-GB" w:eastAsia="en-AU"/>
        </w:rPr>
      </w:pPr>
    </w:p>
    <w:p w14:paraId="2140B2B6" w14:textId="107E4314" w:rsidR="00D966AA" w:rsidRPr="00D966AA" w:rsidRDefault="00D966AA" w:rsidP="006056DC">
      <w:pPr>
        <w:rPr>
          <w:szCs w:val="20"/>
          <w:lang w:eastAsia="en-AU"/>
        </w:rPr>
      </w:pPr>
      <w:r w:rsidRPr="00D966AA">
        <w:rPr>
          <w:szCs w:val="20"/>
          <w:lang w:eastAsia="en-AU"/>
        </w:rPr>
        <w:t xml:space="preserve">The flexibility </w:t>
      </w:r>
      <w:r w:rsidR="00A11AF3">
        <w:rPr>
          <w:szCs w:val="20"/>
          <w:lang w:eastAsia="en-AU"/>
        </w:rPr>
        <w:t>offered</w:t>
      </w:r>
      <w:r w:rsidRPr="00D966AA">
        <w:rPr>
          <w:szCs w:val="20"/>
          <w:lang w:eastAsia="en-AU"/>
        </w:rPr>
        <w:t xml:space="preserve"> by the ability to amend schedules 21 and 21B </w:t>
      </w:r>
      <w:r w:rsidR="003A4A1C">
        <w:rPr>
          <w:szCs w:val="20"/>
          <w:lang w:eastAsia="en-AU"/>
        </w:rPr>
        <w:t>by</w:t>
      </w:r>
      <w:r w:rsidRPr="00D966AA">
        <w:rPr>
          <w:szCs w:val="20"/>
          <w:lang w:eastAsia="en-AU"/>
        </w:rPr>
        <w:t xml:space="preserve"> Order in Council is necessary for three key reasons</w:t>
      </w:r>
      <w:r w:rsidR="00DF76DF">
        <w:rPr>
          <w:szCs w:val="20"/>
          <w:lang w:eastAsia="en-AU"/>
        </w:rPr>
        <w:t>:</w:t>
      </w:r>
    </w:p>
    <w:p w14:paraId="4A14B979" w14:textId="77777777" w:rsidR="00D966AA" w:rsidRPr="00D966AA" w:rsidRDefault="00D966AA" w:rsidP="006056DC">
      <w:pPr>
        <w:rPr>
          <w:szCs w:val="20"/>
          <w:lang w:eastAsia="en-AU"/>
        </w:rPr>
      </w:pPr>
    </w:p>
    <w:p w14:paraId="181C2A21" w14:textId="1372CBFE" w:rsidR="00DF76DF" w:rsidRDefault="00DF76DF" w:rsidP="006056DC">
      <w:pPr>
        <w:pStyle w:val="dotpoint"/>
      </w:pPr>
      <w:r>
        <w:t>G</w:t>
      </w:r>
      <w:r w:rsidR="00D966AA" w:rsidRPr="00DF76DF">
        <w:t>iven the constant and sometimes unpredictable advances of science and technology, it is impossible to fully anticipate all possible R&amp;D activities and determine whether these activities should be incentivised by the R&amp;D tax credit or some other support mechanism. Therefore, having the ability to amend the lists of excluded activities is necessary so that they do not remain static while science and technology continues to progress</w:t>
      </w:r>
      <w:r w:rsidR="003A4A1C">
        <w:t>.</w:t>
      </w:r>
    </w:p>
    <w:p w14:paraId="0B88FF4B" w14:textId="4A24964C" w:rsidR="00DF76DF" w:rsidRDefault="00DF76DF" w:rsidP="006056DC">
      <w:pPr>
        <w:pStyle w:val="dotpoint"/>
      </w:pPr>
      <w:r w:rsidRPr="00DF76DF">
        <w:t>I</w:t>
      </w:r>
      <w:r w:rsidR="00D966AA" w:rsidRPr="00DF76DF">
        <w:t>t enables the Government to make changes to the lists where the Governme</w:t>
      </w:r>
      <w:r w:rsidRPr="00DF76DF">
        <w:t>nt’s policy intent has changed</w:t>
      </w:r>
      <w:r w:rsidR="003A4A1C">
        <w:t>.</w:t>
      </w:r>
    </w:p>
    <w:p w14:paraId="21B6A8C7" w14:textId="51A3FDF0" w:rsidR="00D966AA" w:rsidRPr="00DF76DF" w:rsidRDefault="00DF76DF" w:rsidP="006056DC">
      <w:pPr>
        <w:pStyle w:val="dotpoint"/>
        <w:spacing w:after="0"/>
      </w:pPr>
      <w:r w:rsidRPr="00DF76DF">
        <w:t>T</w:t>
      </w:r>
      <w:r w:rsidR="00D966AA" w:rsidRPr="00DF76DF">
        <w:t>he Government needs to be able to add or remove activities and expenditure from the lists to close off problem areas that could impact on the fiscal sustainability of the R&amp;D tax credit</w:t>
      </w:r>
      <w:r w:rsidR="001B02D8">
        <w:t xml:space="preserve"> regime</w:t>
      </w:r>
      <w:r w:rsidR="006056DC">
        <w:t>.</w:t>
      </w:r>
    </w:p>
    <w:p w14:paraId="7775AD89" w14:textId="77777777" w:rsidR="00D966AA" w:rsidRDefault="00D966AA" w:rsidP="00F73647">
      <w:pPr>
        <w:pStyle w:val="ListParagraph"/>
        <w:spacing w:after="120"/>
        <w:rPr>
          <w:b/>
          <w:caps/>
          <w:sz w:val="26"/>
        </w:rPr>
      </w:pPr>
      <w:r>
        <w:br w:type="page"/>
      </w:r>
    </w:p>
    <w:p w14:paraId="788F5967" w14:textId="332D9AB6" w:rsidR="00ED09D1" w:rsidRPr="00D966AA" w:rsidRDefault="00ED09D1" w:rsidP="00F7796A">
      <w:pPr>
        <w:pStyle w:val="Heading1"/>
      </w:pPr>
      <w:bookmarkStart w:id="71" w:name="_Toc528157380"/>
      <w:bookmarkStart w:id="72" w:name="_Toc528195601"/>
      <w:r w:rsidRPr="00D966AA">
        <w:t>Binding rulings</w:t>
      </w:r>
      <w:bookmarkEnd w:id="71"/>
      <w:bookmarkEnd w:id="72"/>
    </w:p>
    <w:p w14:paraId="2E65AF58" w14:textId="77777777" w:rsidR="00ED09D1" w:rsidRDefault="00ED09D1" w:rsidP="00F7796A">
      <w:pPr>
        <w:pStyle w:val="Heading3"/>
      </w:pPr>
      <w:r w:rsidRPr="00D966AA">
        <w:t>Clause 24</w:t>
      </w:r>
    </w:p>
    <w:p w14:paraId="0FD3F6F1" w14:textId="77777777" w:rsidR="00EC6B76" w:rsidRDefault="00EC6B76" w:rsidP="00F7796A">
      <w:pPr>
        <w:rPr>
          <w:lang w:eastAsia="en-AU"/>
        </w:rPr>
      </w:pPr>
    </w:p>
    <w:p w14:paraId="51B54102" w14:textId="77777777" w:rsidR="00EC6B76" w:rsidRPr="00D966AA" w:rsidRDefault="00EC6B76" w:rsidP="00F7796A">
      <w:pPr>
        <w:rPr>
          <w:lang w:eastAsia="en-AU"/>
        </w:rPr>
      </w:pPr>
    </w:p>
    <w:p w14:paraId="0E047E3E" w14:textId="779507C3" w:rsidR="00ED09D1" w:rsidRPr="00D966AA" w:rsidRDefault="00ED09D1" w:rsidP="00F7796A">
      <w:pPr>
        <w:pStyle w:val="Heading2"/>
      </w:pPr>
      <w:r w:rsidRPr="00D966AA">
        <w:t>Summary of proposed amendment</w:t>
      </w:r>
    </w:p>
    <w:p w14:paraId="5D6BB7A2" w14:textId="77777777" w:rsidR="00ED09D1" w:rsidRPr="00D966AA" w:rsidRDefault="00ED09D1" w:rsidP="00F7796A">
      <w:pPr>
        <w:rPr>
          <w:lang w:eastAsia="en-AU"/>
        </w:rPr>
      </w:pPr>
    </w:p>
    <w:p w14:paraId="0870BB04" w14:textId="77777777" w:rsidR="00ED09D1" w:rsidRPr="00D966AA" w:rsidRDefault="00ED09D1" w:rsidP="00F7796A">
      <w:pPr>
        <w:rPr>
          <w:lang w:eastAsia="en-AU"/>
        </w:rPr>
      </w:pPr>
      <w:r w:rsidRPr="00D966AA">
        <w:rPr>
          <w:lang w:eastAsia="en-AU"/>
        </w:rPr>
        <w:t>It is proposed that taxpayers will not be able to obtain binding rulings as to whether they are eligible for an R&amp;D tax credit.</w:t>
      </w:r>
    </w:p>
    <w:p w14:paraId="67C330EA" w14:textId="77777777" w:rsidR="00ED09D1" w:rsidRDefault="00ED09D1" w:rsidP="00F7796A">
      <w:pPr>
        <w:rPr>
          <w:lang w:eastAsia="en-AU"/>
        </w:rPr>
      </w:pPr>
    </w:p>
    <w:p w14:paraId="318BD22E" w14:textId="77777777" w:rsidR="00EC6B76" w:rsidRPr="00D966AA" w:rsidRDefault="00EC6B76" w:rsidP="00F7796A">
      <w:pPr>
        <w:rPr>
          <w:lang w:eastAsia="en-AU"/>
        </w:rPr>
      </w:pPr>
    </w:p>
    <w:p w14:paraId="46385E25" w14:textId="77777777" w:rsidR="00ED09D1" w:rsidRPr="00D966AA" w:rsidRDefault="00ED09D1" w:rsidP="00F7796A">
      <w:pPr>
        <w:pStyle w:val="Heading2"/>
      </w:pPr>
      <w:r w:rsidRPr="00D966AA">
        <w:t>Application date</w:t>
      </w:r>
    </w:p>
    <w:p w14:paraId="7B8082CF" w14:textId="77777777" w:rsidR="00ED09D1" w:rsidRPr="00D966AA" w:rsidRDefault="00ED09D1" w:rsidP="00F7796A">
      <w:pPr>
        <w:rPr>
          <w:lang w:eastAsia="en-AU"/>
        </w:rPr>
      </w:pPr>
    </w:p>
    <w:p w14:paraId="0C274972" w14:textId="19564A80" w:rsidR="00ED09D1" w:rsidRPr="00D966AA" w:rsidRDefault="00ED09D1" w:rsidP="00F7796A">
      <w:pPr>
        <w:rPr>
          <w:lang w:eastAsia="en-AU"/>
        </w:rPr>
      </w:pPr>
      <w:r w:rsidRPr="00D966AA">
        <w:rPr>
          <w:lang w:eastAsia="en-AU"/>
        </w:rPr>
        <w:t xml:space="preserve">From the </w:t>
      </w:r>
      <w:r w:rsidR="00E010FC">
        <w:rPr>
          <w:lang w:eastAsia="en-AU"/>
        </w:rPr>
        <w:t>2019–20</w:t>
      </w:r>
      <w:r w:rsidRPr="00D966AA">
        <w:rPr>
          <w:lang w:eastAsia="en-AU"/>
        </w:rPr>
        <w:t xml:space="preserve"> income year.</w:t>
      </w:r>
    </w:p>
    <w:p w14:paraId="5A3952D5" w14:textId="77777777" w:rsidR="00ED09D1" w:rsidRDefault="00ED09D1" w:rsidP="00F7796A">
      <w:pPr>
        <w:rPr>
          <w:lang w:eastAsia="en-AU"/>
        </w:rPr>
      </w:pPr>
    </w:p>
    <w:p w14:paraId="5C0AEA21" w14:textId="77777777" w:rsidR="00EC6B76" w:rsidRPr="00D966AA" w:rsidRDefault="00EC6B76" w:rsidP="00F7796A">
      <w:pPr>
        <w:rPr>
          <w:lang w:eastAsia="en-AU"/>
        </w:rPr>
      </w:pPr>
    </w:p>
    <w:p w14:paraId="642BACF6" w14:textId="77777777" w:rsidR="00ED09D1" w:rsidRPr="00D966AA" w:rsidRDefault="00ED09D1" w:rsidP="00F7796A">
      <w:pPr>
        <w:pStyle w:val="Heading2"/>
      </w:pPr>
      <w:r w:rsidRPr="00D966AA">
        <w:t>Key features</w:t>
      </w:r>
    </w:p>
    <w:p w14:paraId="7A9755AC" w14:textId="77777777" w:rsidR="00ED09D1" w:rsidRPr="00D966AA" w:rsidRDefault="00ED09D1" w:rsidP="00F7796A">
      <w:pPr>
        <w:rPr>
          <w:lang w:eastAsia="en-AU"/>
        </w:rPr>
      </w:pPr>
    </w:p>
    <w:p w14:paraId="1ABE8E70" w14:textId="77777777" w:rsidR="00ED09D1" w:rsidRPr="00D966AA" w:rsidRDefault="00ED09D1" w:rsidP="00F7796A">
      <w:pPr>
        <w:rPr>
          <w:lang w:eastAsia="en-AU"/>
        </w:rPr>
      </w:pPr>
      <w:r w:rsidRPr="00D966AA">
        <w:rPr>
          <w:lang w:eastAsia="en-AU"/>
        </w:rPr>
        <w:t>The definition of proscribed question has been amended to include a question that relates to R&amp;D tax credits under subpart LY of the Income Tax Act 2007.</w:t>
      </w:r>
      <w:r w:rsidR="00DF76DF">
        <w:rPr>
          <w:lang w:eastAsia="en-AU"/>
        </w:rPr>
        <w:t xml:space="preserve"> </w:t>
      </w:r>
      <w:r w:rsidRPr="00D966AA">
        <w:rPr>
          <w:lang w:eastAsia="en-AU"/>
        </w:rPr>
        <w:t>This prevents taxpayers</w:t>
      </w:r>
      <w:r w:rsidR="00DF76DF">
        <w:rPr>
          <w:lang w:eastAsia="en-AU"/>
        </w:rPr>
        <w:t xml:space="preserve"> from</w:t>
      </w:r>
      <w:r w:rsidRPr="00D966AA">
        <w:rPr>
          <w:lang w:eastAsia="en-AU"/>
        </w:rPr>
        <w:t xml:space="preserve"> obtaining binding rulings, as the Commissioner may not make a private ruling if it would require the Commissioner to determine a proscribed question (section 91E(4) of the Tax Administration Act 1994).</w:t>
      </w:r>
    </w:p>
    <w:p w14:paraId="1B6B2858" w14:textId="77777777" w:rsidR="00ED09D1" w:rsidRDefault="00ED09D1" w:rsidP="00F7796A">
      <w:pPr>
        <w:rPr>
          <w:lang w:eastAsia="en-AU"/>
        </w:rPr>
      </w:pPr>
    </w:p>
    <w:p w14:paraId="29C4CF67" w14:textId="77777777" w:rsidR="00EC6B76" w:rsidRPr="00D966AA" w:rsidRDefault="00EC6B76" w:rsidP="00F7796A">
      <w:pPr>
        <w:rPr>
          <w:lang w:eastAsia="en-AU"/>
        </w:rPr>
      </w:pPr>
    </w:p>
    <w:p w14:paraId="78F780A5" w14:textId="77777777" w:rsidR="00ED09D1" w:rsidRPr="00D966AA" w:rsidRDefault="00ED09D1" w:rsidP="00F7796A">
      <w:pPr>
        <w:pStyle w:val="Heading2"/>
      </w:pPr>
      <w:r w:rsidRPr="00D966AA">
        <w:t>Background</w:t>
      </w:r>
    </w:p>
    <w:p w14:paraId="4A0F417D" w14:textId="77777777" w:rsidR="00ED09D1" w:rsidRPr="00D966AA" w:rsidRDefault="00ED09D1" w:rsidP="00F7796A">
      <w:pPr>
        <w:rPr>
          <w:lang w:eastAsia="en-AU"/>
        </w:rPr>
      </w:pPr>
    </w:p>
    <w:p w14:paraId="46502284" w14:textId="710F3CB9" w:rsidR="00ED09D1" w:rsidRPr="00D966AA" w:rsidRDefault="00ED09D1" w:rsidP="00F7796A">
      <w:pPr>
        <w:rPr>
          <w:lang w:eastAsia="en-AU"/>
        </w:rPr>
      </w:pPr>
      <w:r w:rsidRPr="00D966AA">
        <w:rPr>
          <w:lang w:eastAsia="en-AU"/>
        </w:rPr>
        <w:t xml:space="preserve">It is proposed that binding rulings are not available in the first year of the R&amp;D tax credit </w:t>
      </w:r>
      <w:r w:rsidR="001B02D8">
        <w:rPr>
          <w:lang w:eastAsia="en-AU"/>
        </w:rPr>
        <w:t xml:space="preserve">regime </w:t>
      </w:r>
      <w:r w:rsidRPr="00D966AA">
        <w:rPr>
          <w:lang w:eastAsia="en-AU"/>
        </w:rPr>
        <w:t xml:space="preserve">as Inland Revenue </w:t>
      </w:r>
      <w:r w:rsidR="00F73647">
        <w:rPr>
          <w:lang w:eastAsia="en-AU"/>
        </w:rPr>
        <w:t>will</w:t>
      </w:r>
      <w:r w:rsidRPr="00D966AA">
        <w:rPr>
          <w:lang w:eastAsia="en-AU"/>
        </w:rPr>
        <w:t xml:space="preserve"> not have sufficient resources to consider them.</w:t>
      </w:r>
      <w:r w:rsidR="00DF76DF">
        <w:rPr>
          <w:lang w:eastAsia="en-AU"/>
        </w:rPr>
        <w:t xml:space="preserve"> </w:t>
      </w:r>
      <w:r w:rsidRPr="00D966AA">
        <w:rPr>
          <w:lang w:eastAsia="en-AU"/>
        </w:rPr>
        <w:t xml:space="preserve">From the </w:t>
      </w:r>
      <w:r w:rsidR="00E010FC">
        <w:rPr>
          <w:lang w:eastAsia="en-AU"/>
        </w:rPr>
        <w:t>2020–21</w:t>
      </w:r>
      <w:r w:rsidR="00DF76DF">
        <w:rPr>
          <w:lang w:eastAsia="en-AU"/>
        </w:rPr>
        <w:t xml:space="preserve"> income year</w:t>
      </w:r>
      <w:r w:rsidRPr="00D966AA">
        <w:rPr>
          <w:lang w:eastAsia="en-AU"/>
        </w:rPr>
        <w:t xml:space="preserve">, most </w:t>
      </w:r>
      <w:r w:rsidR="00DF76DF">
        <w:rPr>
          <w:lang w:eastAsia="en-AU"/>
        </w:rPr>
        <w:t xml:space="preserve">claimants </w:t>
      </w:r>
      <w:r w:rsidRPr="00D966AA">
        <w:rPr>
          <w:lang w:eastAsia="en-AU"/>
        </w:rPr>
        <w:t xml:space="preserve">will be required to get in-year approval of their activity to </w:t>
      </w:r>
      <w:r w:rsidR="00DF76DF">
        <w:rPr>
          <w:lang w:eastAsia="en-AU"/>
        </w:rPr>
        <w:t>qualify for R&amp;D tax credits</w:t>
      </w:r>
      <w:r w:rsidR="002B4A33">
        <w:rPr>
          <w:lang w:eastAsia="en-AU"/>
        </w:rPr>
        <w:t xml:space="preserve"> </w:t>
      </w:r>
      <w:r w:rsidR="002B4A33" w:rsidRPr="00D966AA">
        <w:rPr>
          <w:lang w:eastAsia="en-AU"/>
        </w:rPr>
        <w:t>(</w:t>
      </w:r>
      <w:r w:rsidR="002B4A33" w:rsidRPr="002B4A33">
        <w:rPr>
          <w:lang w:eastAsia="en-AU"/>
        </w:rPr>
        <w:t xml:space="preserve">see </w:t>
      </w:r>
      <w:r w:rsidR="00AA6102">
        <w:rPr>
          <w:lang w:eastAsia="en-AU"/>
        </w:rPr>
        <w:t xml:space="preserve">the section on </w:t>
      </w:r>
      <w:r w:rsidR="00AA6102" w:rsidRPr="00AA6102">
        <w:rPr>
          <w:rStyle w:val="Emphasis"/>
          <w:lang w:eastAsia="en-AU"/>
        </w:rPr>
        <w:t>Approval: general approval process (year two)</w:t>
      </w:r>
      <w:r w:rsidR="00AA6102" w:rsidRPr="00AA6102">
        <w:rPr>
          <w:lang w:eastAsia="en-AU"/>
        </w:rPr>
        <w:t xml:space="preserve"> </w:t>
      </w:r>
      <w:r w:rsidR="00AA6102">
        <w:rPr>
          <w:lang w:eastAsia="en-AU"/>
        </w:rPr>
        <w:t>(</w:t>
      </w:r>
      <w:r w:rsidR="002B4A33" w:rsidRPr="002B4A33">
        <w:rPr>
          <w:lang w:eastAsia="en-AU"/>
        </w:rPr>
        <w:t xml:space="preserve">page </w:t>
      </w:r>
      <w:r w:rsidR="00AA6102">
        <w:rPr>
          <w:lang w:eastAsia="en-AU"/>
        </w:rPr>
        <w:t>95)</w:t>
      </w:r>
      <w:r w:rsidR="002B4A33">
        <w:rPr>
          <w:lang w:eastAsia="en-AU"/>
        </w:rPr>
        <w:t xml:space="preserve"> for more information</w:t>
      </w:r>
      <w:r w:rsidR="002B4A33" w:rsidRPr="00D966AA">
        <w:rPr>
          <w:lang w:eastAsia="en-AU"/>
        </w:rPr>
        <w:t>)</w:t>
      </w:r>
      <w:r w:rsidR="00DF76DF">
        <w:rPr>
          <w:lang w:eastAsia="en-AU"/>
        </w:rPr>
        <w:t>.</w:t>
      </w:r>
    </w:p>
    <w:p w14:paraId="0B48EE15" w14:textId="77777777" w:rsidR="00ED09D1" w:rsidRPr="00D966AA" w:rsidRDefault="00ED09D1" w:rsidP="00F7796A">
      <w:pPr>
        <w:rPr>
          <w:lang w:eastAsia="en-AU"/>
        </w:rPr>
      </w:pPr>
    </w:p>
    <w:p w14:paraId="13266C46" w14:textId="77777777" w:rsidR="00ED09D1" w:rsidRPr="00B91CC0" w:rsidRDefault="00ED09D1" w:rsidP="00ED09D1">
      <w:pPr>
        <w:rPr>
          <w:rFonts w:eastAsia="Times New Roman" w:cs="Times New Roman"/>
          <w:szCs w:val="20"/>
          <w:lang w:eastAsia="en-AU"/>
        </w:rPr>
      </w:pPr>
      <w:r>
        <w:br w:type="page"/>
      </w:r>
    </w:p>
    <w:p w14:paraId="44146975" w14:textId="77777777" w:rsidR="00ED09D1" w:rsidRPr="00D966AA" w:rsidRDefault="00ED09D1" w:rsidP="00D01075">
      <w:pPr>
        <w:pStyle w:val="Heading1"/>
      </w:pPr>
      <w:bookmarkStart w:id="73" w:name="_Toc528157381"/>
      <w:bookmarkStart w:id="74" w:name="_Toc528195602"/>
      <w:r w:rsidRPr="00D966AA">
        <w:t>Anti-avoidance rule</w:t>
      </w:r>
      <w:bookmarkEnd w:id="73"/>
      <w:bookmarkEnd w:id="74"/>
    </w:p>
    <w:p w14:paraId="5E1E97E7" w14:textId="5CE4F1B0" w:rsidR="00ED09D1" w:rsidRDefault="00ED09D1" w:rsidP="00D01075">
      <w:pPr>
        <w:pStyle w:val="Heading3"/>
      </w:pPr>
      <w:r w:rsidRPr="00D966AA">
        <w:t>Clauses 7</w:t>
      </w:r>
      <w:r w:rsidR="00D73680">
        <w:t xml:space="preserve"> (proposed new section GB 56)</w:t>
      </w:r>
      <w:r w:rsidRPr="00D966AA">
        <w:t xml:space="preserve"> and 10 (proposed new section LY 1(4))</w:t>
      </w:r>
    </w:p>
    <w:p w14:paraId="7E556CF8" w14:textId="77777777" w:rsidR="00EC6B76" w:rsidRDefault="00EC6B76" w:rsidP="00D01075">
      <w:pPr>
        <w:rPr>
          <w:lang w:val="en-GB" w:eastAsia="en-AU"/>
        </w:rPr>
      </w:pPr>
    </w:p>
    <w:p w14:paraId="2E425C08" w14:textId="77777777" w:rsidR="00EC6B76" w:rsidRPr="00EC6B76" w:rsidRDefault="00EC6B76" w:rsidP="00D01075">
      <w:pPr>
        <w:rPr>
          <w:lang w:val="en-GB" w:eastAsia="en-AU"/>
        </w:rPr>
      </w:pPr>
    </w:p>
    <w:p w14:paraId="56B6500F" w14:textId="06D8AA7B" w:rsidR="00ED09D1" w:rsidRPr="00D966AA" w:rsidRDefault="00ED09D1" w:rsidP="00D01075">
      <w:pPr>
        <w:pStyle w:val="Heading2"/>
      </w:pPr>
      <w:r w:rsidRPr="00D966AA">
        <w:t>Summary of proposed amendment</w:t>
      </w:r>
    </w:p>
    <w:p w14:paraId="42D17500" w14:textId="77777777" w:rsidR="00EC6B76" w:rsidRDefault="00EC6B76" w:rsidP="00D01075">
      <w:pPr>
        <w:rPr>
          <w:lang w:eastAsia="en-AU"/>
        </w:rPr>
      </w:pPr>
    </w:p>
    <w:p w14:paraId="2B2A32CE" w14:textId="77777777" w:rsidR="00ED09D1" w:rsidRPr="00D966AA" w:rsidRDefault="00ED09D1" w:rsidP="00D01075">
      <w:pPr>
        <w:rPr>
          <w:lang w:eastAsia="en-AU"/>
        </w:rPr>
      </w:pPr>
      <w:r w:rsidRPr="00D966AA">
        <w:rPr>
          <w:lang w:eastAsia="en-AU"/>
        </w:rPr>
        <w:t>Proposed new section GB 56 introduces an anti-avoidance rule for arrangements involving R&amp;D tax credits.</w:t>
      </w:r>
    </w:p>
    <w:p w14:paraId="0CEBDD22" w14:textId="77777777" w:rsidR="00ED09D1" w:rsidRDefault="00ED09D1" w:rsidP="00D01075">
      <w:pPr>
        <w:rPr>
          <w:lang w:eastAsia="en-AU"/>
        </w:rPr>
      </w:pPr>
    </w:p>
    <w:p w14:paraId="78824F86" w14:textId="77777777" w:rsidR="00EC6B76" w:rsidRPr="00D966AA" w:rsidRDefault="00EC6B76" w:rsidP="00D01075">
      <w:pPr>
        <w:rPr>
          <w:lang w:eastAsia="en-AU"/>
        </w:rPr>
      </w:pPr>
    </w:p>
    <w:p w14:paraId="4F8F2217" w14:textId="77777777" w:rsidR="00ED09D1" w:rsidRPr="00D966AA" w:rsidRDefault="00ED09D1" w:rsidP="00D01075">
      <w:pPr>
        <w:pStyle w:val="Heading2"/>
      </w:pPr>
      <w:r w:rsidRPr="00D966AA">
        <w:t>Application date</w:t>
      </w:r>
    </w:p>
    <w:p w14:paraId="411BA3CC" w14:textId="77777777" w:rsidR="00ED09D1" w:rsidRPr="00D966AA" w:rsidRDefault="00ED09D1" w:rsidP="00D01075">
      <w:pPr>
        <w:rPr>
          <w:lang w:eastAsia="en-AU"/>
        </w:rPr>
      </w:pPr>
    </w:p>
    <w:p w14:paraId="5C67A1F9" w14:textId="004FE257" w:rsidR="00ED09D1" w:rsidRPr="00D966AA" w:rsidRDefault="00ED09D1" w:rsidP="00D01075">
      <w:pPr>
        <w:rPr>
          <w:lang w:eastAsia="en-AU"/>
        </w:rPr>
      </w:pPr>
      <w:r w:rsidRPr="00D966AA">
        <w:rPr>
          <w:lang w:eastAsia="en-AU"/>
        </w:rPr>
        <w:t xml:space="preserve">From the </w:t>
      </w:r>
      <w:r w:rsidR="00E010FC">
        <w:rPr>
          <w:lang w:eastAsia="en-AU"/>
        </w:rPr>
        <w:t>2019–20</w:t>
      </w:r>
      <w:r w:rsidRPr="00D966AA">
        <w:rPr>
          <w:lang w:eastAsia="en-AU"/>
        </w:rPr>
        <w:t xml:space="preserve"> income year.</w:t>
      </w:r>
    </w:p>
    <w:p w14:paraId="0EBDB7A2" w14:textId="77777777" w:rsidR="00ED09D1" w:rsidRDefault="00ED09D1" w:rsidP="00D01075">
      <w:pPr>
        <w:rPr>
          <w:lang w:eastAsia="en-AU"/>
        </w:rPr>
      </w:pPr>
    </w:p>
    <w:p w14:paraId="3A31AF4E" w14:textId="77777777" w:rsidR="00EC6B76" w:rsidRPr="00D966AA" w:rsidRDefault="00EC6B76" w:rsidP="00D01075">
      <w:pPr>
        <w:rPr>
          <w:lang w:eastAsia="en-AU"/>
        </w:rPr>
      </w:pPr>
    </w:p>
    <w:p w14:paraId="1F3A8417" w14:textId="77777777" w:rsidR="00ED09D1" w:rsidRPr="00D966AA" w:rsidRDefault="00ED09D1" w:rsidP="00D01075">
      <w:pPr>
        <w:pStyle w:val="Heading2"/>
      </w:pPr>
      <w:r w:rsidRPr="00D966AA">
        <w:t>Key features</w:t>
      </w:r>
    </w:p>
    <w:p w14:paraId="22EA2FB6" w14:textId="77777777" w:rsidR="00ED09D1" w:rsidRPr="00D966AA" w:rsidRDefault="00ED09D1" w:rsidP="00D01075">
      <w:pPr>
        <w:rPr>
          <w:lang w:eastAsia="en-AU"/>
        </w:rPr>
      </w:pPr>
    </w:p>
    <w:p w14:paraId="0D352C4B" w14:textId="77777777" w:rsidR="00ED09D1" w:rsidRPr="00D966AA" w:rsidRDefault="00ED09D1" w:rsidP="00D01075">
      <w:pPr>
        <w:rPr>
          <w:lang w:eastAsia="en-AU"/>
        </w:rPr>
      </w:pPr>
      <w:r w:rsidRPr="00D966AA">
        <w:rPr>
          <w:lang w:eastAsia="en-AU"/>
        </w:rPr>
        <w:t>Proposed new section GB 56, which introduces an anti-avoidance rule in the context of R&amp;D tax credits, applies where:</w:t>
      </w:r>
    </w:p>
    <w:p w14:paraId="4BF0DE2F" w14:textId="77777777" w:rsidR="00ED09D1" w:rsidRPr="00D966AA" w:rsidRDefault="00ED09D1" w:rsidP="00D01075">
      <w:pPr>
        <w:rPr>
          <w:lang w:eastAsia="en-AU"/>
        </w:rPr>
      </w:pPr>
    </w:p>
    <w:p w14:paraId="72889FF7" w14:textId="6A464232" w:rsidR="00ED09D1" w:rsidRPr="00D966AA" w:rsidRDefault="003A4A1C" w:rsidP="00D01075">
      <w:pPr>
        <w:pStyle w:val="dotpoint"/>
      </w:pPr>
      <w:r>
        <w:t>a</w:t>
      </w:r>
      <w:r w:rsidR="00ED09D1" w:rsidRPr="00D966AA">
        <w:t>n arrangement has a purpose or effect of defeating the intent and application of the R&amp;D tax credit legislation in subpart LY</w:t>
      </w:r>
      <w:r w:rsidR="001B02D8">
        <w:t>;</w:t>
      </w:r>
      <w:r w:rsidR="00F73647">
        <w:t xml:space="preserve"> and/or</w:t>
      </w:r>
    </w:p>
    <w:p w14:paraId="7E6DC056" w14:textId="072AD07B" w:rsidR="00ED09D1" w:rsidRPr="00D966AA" w:rsidRDefault="003A4A1C" w:rsidP="00D01075">
      <w:pPr>
        <w:pStyle w:val="dotpoint"/>
        <w:spacing w:after="0"/>
      </w:pPr>
      <w:r>
        <w:t>e</w:t>
      </w:r>
      <w:r w:rsidR="00ED09D1" w:rsidRPr="00D966AA">
        <w:t>ligible R&amp;D expenditure for relevant goods and services is more than the market value.</w:t>
      </w:r>
    </w:p>
    <w:p w14:paraId="53789BF3" w14:textId="77777777" w:rsidR="00ED09D1" w:rsidRPr="00D966AA" w:rsidRDefault="00ED09D1" w:rsidP="00D01075">
      <w:pPr>
        <w:rPr>
          <w:lang w:val="en-GB" w:eastAsia="en-AU"/>
        </w:rPr>
      </w:pPr>
    </w:p>
    <w:p w14:paraId="5503AB18" w14:textId="559EF6FC" w:rsidR="00ED09D1" w:rsidRPr="00D966AA" w:rsidRDefault="00ED09D1" w:rsidP="00D01075">
      <w:pPr>
        <w:rPr>
          <w:lang w:val="en-GB" w:eastAsia="en-AU"/>
        </w:rPr>
      </w:pPr>
      <w:r w:rsidRPr="00D966AA">
        <w:rPr>
          <w:lang w:val="en-GB" w:eastAsia="en-AU"/>
        </w:rPr>
        <w:t>Under the rule the Commissioner may reduce the person’s entitlement to the R&amp;D tax credit to the amount the Commissioner considers would have arisen if the arrangement or inflated transaction had not occurred</w:t>
      </w:r>
      <w:r w:rsidR="00485279">
        <w:rPr>
          <w:lang w:val="en-GB" w:eastAsia="en-AU"/>
        </w:rPr>
        <w:t xml:space="preserve">. </w:t>
      </w:r>
      <w:r w:rsidRPr="00D966AA">
        <w:rPr>
          <w:lang w:val="en-GB" w:eastAsia="en-AU"/>
        </w:rPr>
        <w:t>The rule applies regardless of whether the relevant person is a party to the arrangement or inflated transaction.</w:t>
      </w:r>
    </w:p>
    <w:p w14:paraId="08C78E31" w14:textId="77777777" w:rsidR="00ED09D1" w:rsidRDefault="00ED09D1" w:rsidP="00D01075">
      <w:pPr>
        <w:rPr>
          <w:lang w:eastAsia="en-AU"/>
        </w:rPr>
      </w:pPr>
    </w:p>
    <w:p w14:paraId="1F1F2545" w14:textId="77777777" w:rsidR="00EC6B76" w:rsidRPr="00D966AA" w:rsidRDefault="00EC6B76" w:rsidP="00D01075">
      <w:pPr>
        <w:rPr>
          <w:lang w:eastAsia="en-AU"/>
        </w:rPr>
      </w:pPr>
    </w:p>
    <w:p w14:paraId="6AA69270" w14:textId="77777777" w:rsidR="00ED09D1" w:rsidRPr="00D966AA" w:rsidRDefault="00ED09D1" w:rsidP="00D01075">
      <w:pPr>
        <w:pStyle w:val="Heading2"/>
      </w:pPr>
      <w:r w:rsidRPr="00D966AA">
        <w:t>Background</w:t>
      </w:r>
    </w:p>
    <w:p w14:paraId="134CCC13" w14:textId="77777777" w:rsidR="00ED09D1" w:rsidRPr="00D966AA" w:rsidRDefault="00ED09D1" w:rsidP="00D01075">
      <w:pPr>
        <w:rPr>
          <w:lang w:eastAsia="en-AU"/>
        </w:rPr>
      </w:pPr>
    </w:p>
    <w:p w14:paraId="043DB246" w14:textId="3F615254" w:rsidR="00ED09D1" w:rsidRPr="00D966AA" w:rsidRDefault="00ED09D1" w:rsidP="00D01075">
      <w:pPr>
        <w:rPr>
          <w:lang w:eastAsia="en-AU"/>
        </w:rPr>
      </w:pPr>
      <w:r w:rsidRPr="00D966AA">
        <w:rPr>
          <w:lang w:eastAsia="en-AU"/>
        </w:rPr>
        <w:t xml:space="preserve">The </w:t>
      </w:r>
      <w:r w:rsidR="001B02D8">
        <w:rPr>
          <w:lang w:eastAsia="en-AU"/>
        </w:rPr>
        <w:t xml:space="preserve">proposed </w:t>
      </w:r>
      <w:r w:rsidRPr="00D966AA">
        <w:rPr>
          <w:lang w:eastAsia="en-AU"/>
        </w:rPr>
        <w:t>anti-avoidance rule has been drafted broad</w:t>
      </w:r>
      <w:r w:rsidR="00DF76DF">
        <w:rPr>
          <w:lang w:eastAsia="en-AU"/>
        </w:rPr>
        <w:t>ly</w:t>
      </w:r>
      <w:r w:rsidRPr="00D966AA">
        <w:rPr>
          <w:lang w:eastAsia="en-AU"/>
        </w:rPr>
        <w:t xml:space="preserve"> to catch expenditure misallocation and contrived R&amp;D activities, even where the person that benefits from the ar</w:t>
      </w:r>
      <w:r w:rsidR="00D01075">
        <w:rPr>
          <w:lang w:eastAsia="en-AU"/>
        </w:rPr>
        <w:t>rangement is not a party to it.</w:t>
      </w:r>
    </w:p>
    <w:p w14:paraId="4DECD1D7" w14:textId="77777777" w:rsidR="00ED09D1" w:rsidRPr="00D966AA" w:rsidRDefault="00ED09D1" w:rsidP="00D01075">
      <w:pPr>
        <w:rPr>
          <w:lang w:eastAsia="en-AU"/>
        </w:rPr>
      </w:pPr>
    </w:p>
    <w:p w14:paraId="113AF79B" w14:textId="20CC4FFF" w:rsidR="00ED09D1" w:rsidRPr="00D966AA" w:rsidRDefault="00ED09D1" w:rsidP="00D01075">
      <w:pPr>
        <w:rPr>
          <w:lang w:eastAsia="en-AU"/>
        </w:rPr>
      </w:pPr>
      <w:r w:rsidRPr="00D966AA">
        <w:rPr>
          <w:lang w:eastAsia="en-AU"/>
        </w:rPr>
        <w:t xml:space="preserve">The reconstruction provision </w:t>
      </w:r>
      <w:r w:rsidR="00DF76DF">
        <w:rPr>
          <w:lang w:eastAsia="en-AU"/>
        </w:rPr>
        <w:t>refers to reducing the person’s entitlement</w:t>
      </w:r>
      <w:r w:rsidR="00485279">
        <w:rPr>
          <w:lang w:eastAsia="en-AU"/>
        </w:rPr>
        <w:t xml:space="preserve">. </w:t>
      </w:r>
      <w:r w:rsidRPr="00D966AA">
        <w:rPr>
          <w:lang w:eastAsia="en-AU"/>
        </w:rPr>
        <w:t>This means that where there is an offending arrangement, the Commissioner may still give a credit for any legitimate expenditure that is part of the arrangement.</w:t>
      </w:r>
    </w:p>
    <w:p w14:paraId="1E39A843" w14:textId="77777777" w:rsidR="00ED09D1" w:rsidRPr="00D966AA" w:rsidRDefault="00ED09D1" w:rsidP="00D01075">
      <w:pPr>
        <w:rPr>
          <w:lang w:eastAsia="en-AU"/>
        </w:rPr>
      </w:pPr>
    </w:p>
    <w:p w14:paraId="24F8D999" w14:textId="77777777" w:rsidR="00ED09D1" w:rsidRDefault="00ED09D1" w:rsidP="00D01075">
      <w:pPr>
        <w:rPr>
          <w:lang w:eastAsia="en-AU"/>
        </w:rPr>
      </w:pPr>
      <w:r w:rsidRPr="00D966AA">
        <w:rPr>
          <w:lang w:eastAsia="en-AU"/>
        </w:rPr>
        <w:t>An anti-avoidance rule is necessary to uphold the integrity of the regime and to ensure government money is not misappropriated.</w:t>
      </w:r>
    </w:p>
    <w:p w14:paraId="79C09274" w14:textId="77777777" w:rsidR="00ED09D1" w:rsidRDefault="00ED09D1" w:rsidP="00ED09D1">
      <w:pPr>
        <w:rPr>
          <w:rFonts w:eastAsia="Times New Roman" w:cs="Times New Roman"/>
          <w:szCs w:val="20"/>
          <w:lang w:eastAsia="en-AU"/>
        </w:rPr>
      </w:pPr>
      <w:r>
        <w:rPr>
          <w:rFonts w:eastAsia="Times New Roman" w:cs="Times New Roman"/>
          <w:szCs w:val="20"/>
          <w:lang w:eastAsia="en-AU"/>
        </w:rPr>
        <w:br w:type="page"/>
      </w:r>
    </w:p>
    <w:p w14:paraId="6BBF5E1B" w14:textId="77777777" w:rsidR="00D966AA" w:rsidRPr="00D966AA" w:rsidRDefault="00D966AA" w:rsidP="00321E95">
      <w:pPr>
        <w:pStyle w:val="Heading1"/>
      </w:pPr>
      <w:bookmarkStart w:id="75" w:name="_Toc528157382"/>
      <w:bookmarkStart w:id="76" w:name="_Toc528195603"/>
      <w:r w:rsidRPr="00D966AA">
        <w:t>Penalties</w:t>
      </w:r>
      <w:bookmarkEnd w:id="75"/>
      <w:bookmarkEnd w:id="76"/>
    </w:p>
    <w:p w14:paraId="278A164A" w14:textId="331C2EF8" w:rsidR="00D966AA" w:rsidRDefault="00D966AA" w:rsidP="00321E95">
      <w:pPr>
        <w:pStyle w:val="Heading3"/>
      </w:pPr>
      <w:r w:rsidRPr="00D966AA">
        <w:t>Clause</w:t>
      </w:r>
      <w:r w:rsidR="00273DF6">
        <w:t>s</w:t>
      </w:r>
      <w:r w:rsidRPr="00D966AA">
        <w:t xml:space="preserve"> 36</w:t>
      </w:r>
      <w:r w:rsidR="00273DF6">
        <w:t xml:space="preserve"> and 37</w:t>
      </w:r>
    </w:p>
    <w:p w14:paraId="78C383BB" w14:textId="77777777" w:rsidR="00321E95" w:rsidRDefault="00321E95" w:rsidP="00321E95">
      <w:pPr>
        <w:rPr>
          <w:lang w:eastAsia="en-AU"/>
        </w:rPr>
      </w:pPr>
    </w:p>
    <w:p w14:paraId="7FA1A227" w14:textId="77777777" w:rsidR="00321E95" w:rsidRPr="00D966AA" w:rsidRDefault="00321E95" w:rsidP="00321E95">
      <w:pPr>
        <w:rPr>
          <w:lang w:eastAsia="en-AU"/>
        </w:rPr>
      </w:pPr>
    </w:p>
    <w:p w14:paraId="7785DEAF" w14:textId="39D24296" w:rsidR="00D966AA" w:rsidRPr="00D966AA" w:rsidRDefault="00D966AA" w:rsidP="00612061">
      <w:pPr>
        <w:pStyle w:val="Heading2"/>
      </w:pPr>
      <w:r w:rsidRPr="00321E95">
        <w:t>S</w:t>
      </w:r>
      <w:r w:rsidRPr="00D966AA">
        <w:t>ummary of proposed amendment</w:t>
      </w:r>
    </w:p>
    <w:p w14:paraId="76D6B0B8" w14:textId="77777777" w:rsidR="00321E95" w:rsidRDefault="00321E95" w:rsidP="00321E95">
      <w:pPr>
        <w:rPr>
          <w:lang w:eastAsia="en-AU"/>
        </w:rPr>
      </w:pPr>
    </w:p>
    <w:p w14:paraId="65BCDC8D" w14:textId="77777777" w:rsidR="00D966AA" w:rsidRPr="00D966AA" w:rsidRDefault="00D966AA" w:rsidP="00321E95">
      <w:pPr>
        <w:rPr>
          <w:lang w:eastAsia="en-AU"/>
        </w:rPr>
      </w:pPr>
      <w:r w:rsidRPr="00D966AA">
        <w:rPr>
          <w:lang w:eastAsia="en-AU"/>
        </w:rPr>
        <w:t>It is proposed that the promoter penalty regime is extended to include people offering schemes involving R&amp;D tax credits.</w:t>
      </w:r>
    </w:p>
    <w:p w14:paraId="19660C87" w14:textId="77777777" w:rsidR="00D966AA" w:rsidRDefault="00D966AA" w:rsidP="00321E95">
      <w:pPr>
        <w:rPr>
          <w:lang w:eastAsia="en-AU"/>
        </w:rPr>
      </w:pPr>
    </w:p>
    <w:p w14:paraId="25467B1B" w14:textId="77777777" w:rsidR="00321E95" w:rsidRPr="00D966AA" w:rsidRDefault="00321E95" w:rsidP="00321E95">
      <w:pPr>
        <w:rPr>
          <w:lang w:eastAsia="en-AU"/>
        </w:rPr>
      </w:pPr>
    </w:p>
    <w:p w14:paraId="7AFB61D1" w14:textId="77777777" w:rsidR="00D966AA" w:rsidRPr="00D966AA" w:rsidRDefault="00D966AA" w:rsidP="00321E95">
      <w:pPr>
        <w:pStyle w:val="Heading2"/>
      </w:pPr>
      <w:r w:rsidRPr="00D966AA">
        <w:t>Application date</w:t>
      </w:r>
    </w:p>
    <w:p w14:paraId="18E499C5" w14:textId="77777777" w:rsidR="00D966AA" w:rsidRPr="00D966AA" w:rsidRDefault="00D966AA" w:rsidP="00321E95">
      <w:pPr>
        <w:rPr>
          <w:lang w:eastAsia="en-AU"/>
        </w:rPr>
      </w:pPr>
    </w:p>
    <w:p w14:paraId="14EBE460" w14:textId="1E0F7B07" w:rsidR="00D966AA" w:rsidRPr="00D966AA" w:rsidRDefault="00D966AA" w:rsidP="00321E95">
      <w:pPr>
        <w:rPr>
          <w:lang w:eastAsia="en-AU"/>
        </w:rPr>
      </w:pPr>
      <w:r w:rsidRPr="00D966AA">
        <w:rPr>
          <w:lang w:eastAsia="en-AU"/>
        </w:rPr>
        <w:t xml:space="preserve">From the </w:t>
      </w:r>
      <w:r w:rsidR="00E010FC">
        <w:rPr>
          <w:lang w:eastAsia="en-AU"/>
        </w:rPr>
        <w:t>2019–20</w:t>
      </w:r>
      <w:r w:rsidRPr="00D966AA">
        <w:rPr>
          <w:lang w:eastAsia="en-AU"/>
        </w:rPr>
        <w:t xml:space="preserve"> income year.</w:t>
      </w:r>
    </w:p>
    <w:p w14:paraId="38A4E721" w14:textId="77777777" w:rsidR="00D966AA" w:rsidRDefault="00D966AA" w:rsidP="00321E95">
      <w:pPr>
        <w:rPr>
          <w:lang w:eastAsia="en-AU"/>
        </w:rPr>
      </w:pPr>
    </w:p>
    <w:p w14:paraId="1BED82D1" w14:textId="77777777" w:rsidR="00321E95" w:rsidRPr="00D966AA" w:rsidRDefault="00321E95" w:rsidP="00321E95">
      <w:pPr>
        <w:rPr>
          <w:lang w:eastAsia="en-AU"/>
        </w:rPr>
      </w:pPr>
    </w:p>
    <w:p w14:paraId="2943B5EE" w14:textId="77777777" w:rsidR="00D966AA" w:rsidRPr="00D966AA" w:rsidRDefault="00D966AA" w:rsidP="00321E95">
      <w:pPr>
        <w:pStyle w:val="Heading2"/>
      </w:pPr>
      <w:r w:rsidRPr="00D966AA">
        <w:t>Key features</w:t>
      </w:r>
    </w:p>
    <w:p w14:paraId="25A7363E" w14:textId="77777777" w:rsidR="00D966AA" w:rsidRPr="00D966AA" w:rsidRDefault="00D966AA" w:rsidP="00321E95">
      <w:pPr>
        <w:rPr>
          <w:lang w:eastAsia="en-AU"/>
        </w:rPr>
      </w:pPr>
    </w:p>
    <w:p w14:paraId="1AD8A6A4" w14:textId="174AA232" w:rsidR="00D966AA" w:rsidRDefault="00F73647" w:rsidP="00321E95">
      <w:pPr>
        <w:rPr>
          <w:lang w:eastAsia="en-AU"/>
        </w:rPr>
      </w:pPr>
      <w:r>
        <w:rPr>
          <w:lang w:eastAsia="en-AU"/>
        </w:rPr>
        <w:t>Proposed amendments to s</w:t>
      </w:r>
      <w:r w:rsidR="00D966AA" w:rsidRPr="00D966AA">
        <w:rPr>
          <w:lang w:eastAsia="en-AU"/>
        </w:rPr>
        <w:t xml:space="preserve">ection 141EC </w:t>
      </w:r>
      <w:r>
        <w:rPr>
          <w:lang w:eastAsia="en-AU"/>
        </w:rPr>
        <w:t>extend</w:t>
      </w:r>
      <w:r w:rsidR="00D966AA" w:rsidRPr="00D966AA">
        <w:rPr>
          <w:lang w:eastAsia="en-AU"/>
        </w:rPr>
        <w:t xml:space="preserve"> the promoter penalties regime to include a person </w:t>
      </w:r>
      <w:r>
        <w:rPr>
          <w:lang w:eastAsia="en-AU"/>
        </w:rPr>
        <w:t xml:space="preserve">providing </w:t>
      </w:r>
      <w:r w:rsidR="00D966AA" w:rsidRPr="00D966AA">
        <w:rPr>
          <w:lang w:eastAsia="en-AU"/>
        </w:rPr>
        <w:t>services on a contingency fee basis in relation to R&amp;D tax credit claims</w:t>
      </w:r>
      <w:r w:rsidR="00485279">
        <w:rPr>
          <w:lang w:eastAsia="en-AU"/>
        </w:rPr>
        <w:t xml:space="preserve">. </w:t>
      </w:r>
      <w:r w:rsidR="00D966AA" w:rsidRPr="00D966AA">
        <w:rPr>
          <w:lang w:eastAsia="en-AU"/>
        </w:rPr>
        <w:t>This means that promoters of R&amp;D tax credit schemes will be liable for a penalty where the requirements of section 141EB are met</w:t>
      </w:r>
      <w:r>
        <w:rPr>
          <w:lang w:eastAsia="en-AU"/>
        </w:rPr>
        <w:t>.</w:t>
      </w:r>
    </w:p>
    <w:p w14:paraId="4A805F3B" w14:textId="77777777" w:rsidR="00321E95" w:rsidRPr="00D966AA" w:rsidRDefault="00321E95" w:rsidP="00321E95">
      <w:pPr>
        <w:rPr>
          <w:lang w:eastAsia="en-AU"/>
        </w:rPr>
      </w:pPr>
    </w:p>
    <w:p w14:paraId="047DAB50" w14:textId="2243B60D" w:rsidR="00D966AA" w:rsidRPr="00D966AA" w:rsidRDefault="00F73647" w:rsidP="00321E95">
      <w:pPr>
        <w:rPr>
          <w:lang w:eastAsia="en-AU"/>
        </w:rPr>
      </w:pPr>
      <w:r>
        <w:rPr>
          <w:lang w:eastAsia="en-AU"/>
        </w:rPr>
        <w:t>The Bill proposes amendments to the definition of promoter, so that a promoter</w:t>
      </w:r>
      <w:r w:rsidR="00D966AA" w:rsidRPr="00D966AA">
        <w:rPr>
          <w:lang w:eastAsia="en-AU"/>
        </w:rPr>
        <w:t xml:space="preserve"> include</w:t>
      </w:r>
      <w:r>
        <w:rPr>
          <w:lang w:eastAsia="en-AU"/>
        </w:rPr>
        <w:t>s</w:t>
      </w:r>
      <w:r w:rsidR="00D966AA" w:rsidRPr="00D966AA">
        <w:rPr>
          <w:lang w:eastAsia="en-AU"/>
        </w:rPr>
        <w:t xml:space="preserve"> a person party to, or significantly involved </w:t>
      </w:r>
      <w:r>
        <w:rPr>
          <w:lang w:eastAsia="en-AU"/>
        </w:rPr>
        <w:t xml:space="preserve">in, </w:t>
      </w:r>
      <w:r w:rsidR="00D966AA" w:rsidRPr="00D966AA">
        <w:rPr>
          <w:lang w:eastAsia="en-AU"/>
        </w:rPr>
        <w:t>formulating software from which an arrangement is offered.</w:t>
      </w:r>
    </w:p>
    <w:p w14:paraId="6421C559" w14:textId="77777777" w:rsidR="00D966AA" w:rsidRDefault="00D966AA" w:rsidP="00321E95">
      <w:pPr>
        <w:rPr>
          <w:lang w:eastAsia="en-AU"/>
        </w:rPr>
      </w:pPr>
    </w:p>
    <w:p w14:paraId="01C054C3" w14:textId="77777777" w:rsidR="00321E95" w:rsidRPr="00D966AA" w:rsidRDefault="00321E95" w:rsidP="00321E95">
      <w:pPr>
        <w:rPr>
          <w:lang w:eastAsia="en-AU"/>
        </w:rPr>
      </w:pPr>
    </w:p>
    <w:p w14:paraId="7E9CC464" w14:textId="77777777" w:rsidR="00D966AA" w:rsidRPr="00D966AA" w:rsidRDefault="00D966AA" w:rsidP="00321E95">
      <w:pPr>
        <w:pStyle w:val="Heading2"/>
      </w:pPr>
      <w:r w:rsidRPr="00D966AA">
        <w:t>Background</w:t>
      </w:r>
    </w:p>
    <w:p w14:paraId="5F272118" w14:textId="77777777" w:rsidR="00D966AA" w:rsidRPr="00D966AA" w:rsidRDefault="00D966AA" w:rsidP="00321E95">
      <w:pPr>
        <w:rPr>
          <w:lang w:eastAsia="en-AU"/>
        </w:rPr>
      </w:pPr>
    </w:p>
    <w:p w14:paraId="7B2D7DCA" w14:textId="2CA5E524" w:rsidR="00D966AA" w:rsidRPr="00D966AA" w:rsidRDefault="00D966AA" w:rsidP="00321E95">
      <w:pPr>
        <w:rPr>
          <w:lang w:eastAsia="en-AU"/>
        </w:rPr>
      </w:pPr>
      <w:r w:rsidRPr="00D966AA">
        <w:rPr>
          <w:lang w:eastAsia="en-AU"/>
        </w:rPr>
        <w:t xml:space="preserve">The </w:t>
      </w:r>
      <w:r w:rsidR="00F73647">
        <w:rPr>
          <w:lang w:eastAsia="en-AU"/>
        </w:rPr>
        <w:t xml:space="preserve">Bill extends the </w:t>
      </w:r>
      <w:r w:rsidRPr="00D966AA">
        <w:rPr>
          <w:lang w:eastAsia="en-AU"/>
        </w:rPr>
        <w:t>promoter penalty regime to include promoters of R&amp;D tax credit schemes to disincentivise the promotion of such schemes.</w:t>
      </w:r>
    </w:p>
    <w:p w14:paraId="1B3FBA0D" w14:textId="77777777" w:rsidR="00D966AA" w:rsidRPr="00D966AA" w:rsidRDefault="00D966AA" w:rsidP="00321E95">
      <w:pPr>
        <w:rPr>
          <w:lang w:eastAsia="en-AU"/>
        </w:rPr>
      </w:pPr>
    </w:p>
    <w:p w14:paraId="3D258E57" w14:textId="77777777" w:rsidR="00D966AA" w:rsidRDefault="00D966AA">
      <w:pPr>
        <w:rPr>
          <w:rFonts w:eastAsia="Times New Roman" w:cs="Times New Roman"/>
          <w:b/>
          <w:caps/>
          <w:sz w:val="26"/>
          <w:szCs w:val="20"/>
          <w:lang w:eastAsia="en-AU"/>
        </w:rPr>
      </w:pPr>
      <w:r>
        <w:br w:type="page"/>
      </w:r>
    </w:p>
    <w:p w14:paraId="64D26CEE" w14:textId="77777777" w:rsidR="001E504A" w:rsidRPr="001E504A" w:rsidRDefault="00DF76DF" w:rsidP="0009535E">
      <w:pPr>
        <w:pStyle w:val="Heading1"/>
      </w:pPr>
      <w:bookmarkStart w:id="77" w:name="_Toc528157383"/>
      <w:bookmarkStart w:id="78" w:name="_Toc528195604"/>
      <w:r>
        <w:t>Deadlines for filing and amending assessments</w:t>
      </w:r>
      <w:bookmarkEnd w:id="77"/>
      <w:bookmarkEnd w:id="78"/>
      <w:r>
        <w:t xml:space="preserve"> </w:t>
      </w:r>
    </w:p>
    <w:p w14:paraId="77A9D1AE" w14:textId="505B2BAC" w:rsidR="001E504A" w:rsidRPr="001E504A" w:rsidRDefault="001E504A" w:rsidP="0009535E">
      <w:pPr>
        <w:pStyle w:val="Heading3"/>
      </w:pPr>
      <w:r w:rsidRPr="001E504A">
        <w:t>Clauses 10 (propo</w:t>
      </w:r>
      <w:r w:rsidR="00D73680">
        <w:t>sed new section LY 3(2)(a))</w:t>
      </w:r>
      <w:r w:rsidR="00D96680">
        <w:t xml:space="preserve"> and</w:t>
      </w:r>
      <w:r w:rsidR="00D73680">
        <w:t xml:space="preserve"> 32</w:t>
      </w:r>
      <w:r w:rsidR="00D96680">
        <w:t>–</w:t>
      </w:r>
      <w:r w:rsidRPr="001E504A">
        <w:t>34</w:t>
      </w:r>
    </w:p>
    <w:p w14:paraId="48DDFDA4" w14:textId="77777777" w:rsidR="001E504A" w:rsidRDefault="001E504A" w:rsidP="0009535E">
      <w:pPr>
        <w:rPr>
          <w:lang w:eastAsia="en-AU"/>
        </w:rPr>
      </w:pPr>
    </w:p>
    <w:p w14:paraId="0CDB1762" w14:textId="77777777" w:rsidR="0009535E" w:rsidRPr="001E504A" w:rsidRDefault="0009535E" w:rsidP="0009535E">
      <w:pPr>
        <w:rPr>
          <w:lang w:eastAsia="en-AU"/>
        </w:rPr>
      </w:pPr>
    </w:p>
    <w:p w14:paraId="0758591E" w14:textId="6BA986EC" w:rsidR="001E504A" w:rsidRPr="001E504A" w:rsidRDefault="001E504A" w:rsidP="0009535E">
      <w:pPr>
        <w:pStyle w:val="Heading2"/>
      </w:pPr>
      <w:r w:rsidRPr="001E504A">
        <w:t>Summary of proposed amendment</w:t>
      </w:r>
    </w:p>
    <w:p w14:paraId="635F93E3" w14:textId="77777777" w:rsidR="001E504A" w:rsidRPr="001E504A" w:rsidRDefault="001E504A" w:rsidP="0009535E">
      <w:pPr>
        <w:rPr>
          <w:lang w:eastAsia="en-AU"/>
        </w:rPr>
      </w:pPr>
    </w:p>
    <w:p w14:paraId="64B949F3" w14:textId="13D1996C" w:rsidR="001E504A" w:rsidRPr="001E504A" w:rsidRDefault="00F73647" w:rsidP="0009535E">
      <w:pPr>
        <w:rPr>
          <w:lang w:eastAsia="en-AU"/>
        </w:rPr>
      </w:pPr>
      <w:r>
        <w:rPr>
          <w:lang w:eastAsia="en-AU"/>
        </w:rPr>
        <w:t xml:space="preserve">The Bill proposes </w:t>
      </w:r>
      <w:r w:rsidR="001E504A" w:rsidRPr="001E504A">
        <w:rPr>
          <w:lang w:eastAsia="en-AU"/>
        </w:rPr>
        <w:t>to limit taxpayers’ ability to retrospectively claim an R&amp;D tax credit.</w:t>
      </w:r>
    </w:p>
    <w:p w14:paraId="3356CAFE" w14:textId="77777777" w:rsidR="001E504A" w:rsidRDefault="001E504A" w:rsidP="0009535E">
      <w:pPr>
        <w:rPr>
          <w:lang w:eastAsia="en-AU"/>
        </w:rPr>
      </w:pPr>
    </w:p>
    <w:p w14:paraId="4C1CC9D7" w14:textId="77777777" w:rsidR="0009535E" w:rsidRPr="001E504A" w:rsidRDefault="0009535E" w:rsidP="0009535E">
      <w:pPr>
        <w:rPr>
          <w:lang w:eastAsia="en-AU"/>
        </w:rPr>
      </w:pPr>
    </w:p>
    <w:p w14:paraId="23B63257" w14:textId="77777777" w:rsidR="001E504A" w:rsidRPr="001E504A" w:rsidRDefault="001E504A" w:rsidP="0009535E">
      <w:pPr>
        <w:pStyle w:val="Heading2"/>
      </w:pPr>
      <w:r w:rsidRPr="001E504A">
        <w:t>Application date</w:t>
      </w:r>
    </w:p>
    <w:p w14:paraId="1FB5F2B3" w14:textId="77777777" w:rsidR="001E504A" w:rsidRPr="001E504A" w:rsidRDefault="001E504A" w:rsidP="0009535E">
      <w:pPr>
        <w:rPr>
          <w:lang w:eastAsia="en-AU"/>
        </w:rPr>
      </w:pPr>
    </w:p>
    <w:p w14:paraId="222C6E42" w14:textId="46AA6ABB" w:rsidR="001E504A" w:rsidRPr="001E504A" w:rsidRDefault="001E504A" w:rsidP="0009535E">
      <w:pPr>
        <w:rPr>
          <w:lang w:eastAsia="en-AU"/>
        </w:rPr>
      </w:pPr>
      <w:r w:rsidRPr="001E504A">
        <w:rPr>
          <w:lang w:eastAsia="en-AU"/>
        </w:rPr>
        <w:t xml:space="preserve">From the </w:t>
      </w:r>
      <w:r w:rsidR="00E010FC">
        <w:rPr>
          <w:lang w:eastAsia="en-AU"/>
        </w:rPr>
        <w:t>2019–20</w:t>
      </w:r>
      <w:r w:rsidRPr="001E504A">
        <w:rPr>
          <w:lang w:eastAsia="en-AU"/>
        </w:rPr>
        <w:t xml:space="preserve"> income year.</w:t>
      </w:r>
    </w:p>
    <w:p w14:paraId="1D8E9A6B" w14:textId="77777777" w:rsidR="001E504A" w:rsidRDefault="001E504A" w:rsidP="0009535E">
      <w:pPr>
        <w:rPr>
          <w:lang w:eastAsia="en-AU"/>
        </w:rPr>
      </w:pPr>
    </w:p>
    <w:p w14:paraId="077822A3" w14:textId="77777777" w:rsidR="0009535E" w:rsidRPr="001E504A" w:rsidRDefault="0009535E" w:rsidP="0009535E">
      <w:pPr>
        <w:rPr>
          <w:lang w:eastAsia="en-AU"/>
        </w:rPr>
      </w:pPr>
    </w:p>
    <w:p w14:paraId="02C6B671" w14:textId="77777777" w:rsidR="001E504A" w:rsidRPr="001E504A" w:rsidRDefault="001E504A" w:rsidP="0009535E">
      <w:pPr>
        <w:pStyle w:val="Heading2"/>
      </w:pPr>
      <w:r w:rsidRPr="001E504A">
        <w:t>Key features</w:t>
      </w:r>
    </w:p>
    <w:p w14:paraId="1C51D00A" w14:textId="77777777" w:rsidR="001E504A" w:rsidRPr="001E504A" w:rsidRDefault="001E504A" w:rsidP="0009535E">
      <w:pPr>
        <w:rPr>
          <w:lang w:eastAsia="en-AU"/>
        </w:rPr>
      </w:pPr>
    </w:p>
    <w:p w14:paraId="09A6D1F3" w14:textId="77777777" w:rsidR="001E504A" w:rsidRPr="001E504A" w:rsidRDefault="001E504A" w:rsidP="0009535E">
      <w:pPr>
        <w:rPr>
          <w:lang w:eastAsia="en-AU"/>
        </w:rPr>
      </w:pPr>
      <w:r w:rsidRPr="001E504A">
        <w:rPr>
          <w:lang w:eastAsia="en-AU"/>
        </w:rPr>
        <w:t>It is proposed that:</w:t>
      </w:r>
    </w:p>
    <w:p w14:paraId="5FD1183D" w14:textId="77777777" w:rsidR="001E504A" w:rsidRPr="001E504A" w:rsidRDefault="001E504A" w:rsidP="0009535E">
      <w:pPr>
        <w:rPr>
          <w:rFonts w:ascii="Verdana" w:hAnsi="Verdana"/>
          <w:color w:val="1F497D"/>
          <w:sz w:val="20"/>
          <w:lang w:val="en-GB" w:eastAsia="en-AU"/>
        </w:rPr>
      </w:pPr>
    </w:p>
    <w:p w14:paraId="739BC881" w14:textId="7C506252" w:rsidR="001E504A" w:rsidRPr="001E504A" w:rsidRDefault="003A4A1C" w:rsidP="0009535E">
      <w:pPr>
        <w:pStyle w:val="dotpoint"/>
      </w:pPr>
      <w:r>
        <w:t>a</w:t>
      </w:r>
      <w:r w:rsidR="001E504A" w:rsidRPr="001E504A">
        <w:t xml:space="preserve"> taxpayer must file their income tax return within </w:t>
      </w:r>
      <w:r w:rsidR="00253283">
        <w:t>one</w:t>
      </w:r>
      <w:r w:rsidR="001E504A" w:rsidRPr="001E504A">
        <w:t xml:space="preserve"> year after the due date for filing if they </w:t>
      </w:r>
      <w:r>
        <w:t>wish to claim an R&amp;D tax credit;</w:t>
      </w:r>
    </w:p>
    <w:p w14:paraId="3A67EFBB" w14:textId="127A5C4A" w:rsidR="001E504A" w:rsidRPr="001E504A" w:rsidRDefault="003A4A1C" w:rsidP="0009535E">
      <w:pPr>
        <w:pStyle w:val="dotpoint"/>
      </w:pPr>
      <w:r>
        <w:t>t</w:t>
      </w:r>
      <w:r w:rsidR="001E504A" w:rsidRPr="001E504A">
        <w:t xml:space="preserve">he Commissioner </w:t>
      </w:r>
      <w:r w:rsidR="00F73647">
        <w:t xml:space="preserve">may </w:t>
      </w:r>
      <w:r w:rsidR="001E504A" w:rsidRPr="001E504A">
        <w:t xml:space="preserve">not increase the amount of a person’s R&amp;D tax credit after </w:t>
      </w:r>
      <w:r w:rsidR="00253283">
        <w:t>two</w:t>
      </w:r>
      <w:r w:rsidR="001E504A" w:rsidRPr="001E504A">
        <w:t xml:space="preserve"> years from the due date of the</w:t>
      </w:r>
      <w:r>
        <w:t xml:space="preserve"> person’s tax income tax return; and</w:t>
      </w:r>
    </w:p>
    <w:p w14:paraId="40649DF1" w14:textId="5245A472" w:rsidR="001E504A" w:rsidRPr="001E504A" w:rsidRDefault="003A4A1C" w:rsidP="0009535E">
      <w:pPr>
        <w:pStyle w:val="dotpoint"/>
        <w:spacing w:after="0"/>
      </w:pPr>
      <w:r>
        <w:t>a</w:t>
      </w:r>
      <w:r w:rsidR="001E504A" w:rsidRPr="001E504A">
        <w:t>n R&amp;D tax credit claim, once filed, can only be amended once. A request to amend a claim must be made within two years of</w:t>
      </w:r>
      <w:r w:rsidR="00DF76DF">
        <w:t xml:space="preserve"> the</w:t>
      </w:r>
      <w:r w:rsidR="001E504A" w:rsidRPr="001E504A">
        <w:t xml:space="preserve"> date on which a </w:t>
      </w:r>
      <w:r w:rsidR="00253283">
        <w:t>person</w:t>
      </w:r>
      <w:r w:rsidR="001E504A" w:rsidRPr="001E504A">
        <w:t>’s income tax return is due for the relevant income year.</w:t>
      </w:r>
    </w:p>
    <w:p w14:paraId="6F0C0B8D" w14:textId="77777777" w:rsidR="001E504A" w:rsidRDefault="001E504A" w:rsidP="0009535E">
      <w:pPr>
        <w:rPr>
          <w:lang w:eastAsia="en-AU"/>
        </w:rPr>
      </w:pPr>
    </w:p>
    <w:p w14:paraId="26D57F6A" w14:textId="77777777" w:rsidR="0009535E" w:rsidRPr="001E504A" w:rsidRDefault="0009535E" w:rsidP="0009535E">
      <w:pPr>
        <w:rPr>
          <w:lang w:eastAsia="en-AU"/>
        </w:rPr>
      </w:pPr>
    </w:p>
    <w:p w14:paraId="3C241ABB" w14:textId="77777777" w:rsidR="001E504A" w:rsidRPr="001E504A" w:rsidRDefault="001E504A" w:rsidP="0009535E">
      <w:pPr>
        <w:pStyle w:val="Heading2"/>
      </w:pPr>
      <w:r w:rsidRPr="001E504A">
        <w:t>Background</w:t>
      </w:r>
    </w:p>
    <w:p w14:paraId="5022512C" w14:textId="77777777" w:rsidR="001E504A" w:rsidRPr="001E504A" w:rsidRDefault="001E504A" w:rsidP="0009535E">
      <w:pPr>
        <w:rPr>
          <w:lang w:eastAsia="en-AU"/>
        </w:rPr>
      </w:pPr>
    </w:p>
    <w:p w14:paraId="4F90EBA3" w14:textId="61A9F1B6" w:rsidR="001E504A" w:rsidRPr="001E504A" w:rsidRDefault="001E504A" w:rsidP="0009535E">
      <w:pPr>
        <w:rPr>
          <w:lang w:val="en-GB" w:eastAsia="en-AU"/>
        </w:rPr>
      </w:pPr>
      <w:r w:rsidRPr="001E504A">
        <w:rPr>
          <w:snapToGrid w:val="0"/>
        </w:rPr>
        <w:t>The rationale behind the above amendments is to limit</w:t>
      </w:r>
      <w:r w:rsidR="00F73647">
        <w:rPr>
          <w:snapToGrid w:val="0"/>
        </w:rPr>
        <w:t xml:space="preserve"> a person’s ability to</w:t>
      </w:r>
      <w:r w:rsidRPr="001E504A">
        <w:rPr>
          <w:snapToGrid w:val="0"/>
        </w:rPr>
        <w:t xml:space="preserve"> retrospective</w:t>
      </w:r>
      <w:r w:rsidR="00F73647">
        <w:rPr>
          <w:snapToGrid w:val="0"/>
        </w:rPr>
        <w:t>ly reclassify their</w:t>
      </w:r>
      <w:r w:rsidRPr="001E504A">
        <w:rPr>
          <w:snapToGrid w:val="0"/>
        </w:rPr>
        <w:t xml:space="preserve"> expenditure</w:t>
      </w:r>
      <w:r w:rsidR="00DF76DF">
        <w:rPr>
          <w:snapToGrid w:val="0"/>
        </w:rPr>
        <w:t>.</w:t>
      </w:r>
      <w:r w:rsidRPr="001E504A">
        <w:rPr>
          <w:snapToGrid w:val="0"/>
        </w:rPr>
        <w:t xml:space="preserve"> </w:t>
      </w:r>
      <w:r w:rsidR="00DF76DF">
        <w:rPr>
          <w:snapToGrid w:val="0"/>
        </w:rPr>
        <w:t xml:space="preserve">This includes where R&amp;D </w:t>
      </w:r>
      <w:r w:rsidR="00F73647">
        <w:rPr>
          <w:snapToGrid w:val="0"/>
        </w:rPr>
        <w:t xml:space="preserve">activities or expenditure </w:t>
      </w:r>
      <w:r w:rsidR="00DF76DF">
        <w:rPr>
          <w:snapToGrid w:val="0"/>
        </w:rPr>
        <w:t xml:space="preserve">is </w:t>
      </w:r>
      <w:r w:rsidR="00F73647">
        <w:rPr>
          <w:snapToGrid w:val="0"/>
        </w:rPr>
        <w:t xml:space="preserve">identified </w:t>
      </w:r>
      <w:r w:rsidR="00DF76DF">
        <w:rPr>
          <w:snapToGrid w:val="0"/>
        </w:rPr>
        <w:t xml:space="preserve">after the end of an income year. </w:t>
      </w:r>
      <w:r w:rsidRPr="001E504A">
        <w:rPr>
          <w:lang w:val="en-GB" w:eastAsia="en-AU"/>
        </w:rPr>
        <w:t xml:space="preserve">If </w:t>
      </w:r>
      <w:r w:rsidR="002523F8">
        <w:rPr>
          <w:lang w:val="en-GB" w:eastAsia="en-AU"/>
        </w:rPr>
        <w:t xml:space="preserve">a person receives R&amp;D tax </w:t>
      </w:r>
      <w:r w:rsidRPr="001E504A">
        <w:rPr>
          <w:lang w:val="en-GB" w:eastAsia="en-AU"/>
        </w:rPr>
        <w:t xml:space="preserve">credits for R&amp;D </w:t>
      </w:r>
      <w:r w:rsidR="002523F8">
        <w:rPr>
          <w:lang w:val="en-GB" w:eastAsia="en-AU"/>
        </w:rPr>
        <w:t xml:space="preserve">they were </w:t>
      </w:r>
      <w:r w:rsidRPr="001E504A">
        <w:rPr>
          <w:lang w:val="en-GB" w:eastAsia="en-AU"/>
        </w:rPr>
        <w:t xml:space="preserve">unaware </w:t>
      </w:r>
      <w:r w:rsidR="002523F8">
        <w:rPr>
          <w:lang w:val="en-GB" w:eastAsia="en-AU"/>
        </w:rPr>
        <w:t>of at the time the R&amp;D activities took place</w:t>
      </w:r>
      <w:r w:rsidRPr="001E504A">
        <w:rPr>
          <w:lang w:val="en-GB" w:eastAsia="en-AU"/>
        </w:rPr>
        <w:t xml:space="preserve">, the </w:t>
      </w:r>
      <w:r w:rsidR="002523F8">
        <w:rPr>
          <w:lang w:val="en-GB" w:eastAsia="en-AU"/>
        </w:rPr>
        <w:t xml:space="preserve">R&amp;D tax </w:t>
      </w:r>
      <w:r w:rsidRPr="001E504A">
        <w:rPr>
          <w:lang w:val="en-GB" w:eastAsia="en-AU"/>
        </w:rPr>
        <w:t xml:space="preserve">credit </w:t>
      </w:r>
      <w:r w:rsidR="002523F8">
        <w:rPr>
          <w:lang w:val="en-GB" w:eastAsia="en-AU"/>
        </w:rPr>
        <w:t xml:space="preserve">regime </w:t>
      </w:r>
      <w:r w:rsidRPr="001E504A">
        <w:rPr>
          <w:lang w:val="en-GB" w:eastAsia="en-AU"/>
        </w:rPr>
        <w:t>has not provided any incentive</w:t>
      </w:r>
      <w:r w:rsidR="00DF76DF">
        <w:rPr>
          <w:lang w:val="en-GB" w:eastAsia="en-AU"/>
        </w:rPr>
        <w:t xml:space="preserve"> to </w:t>
      </w:r>
      <w:r w:rsidR="002523F8">
        <w:rPr>
          <w:lang w:val="en-GB" w:eastAsia="en-AU"/>
        </w:rPr>
        <w:t xml:space="preserve">the person to </w:t>
      </w:r>
      <w:r w:rsidR="00DF76DF">
        <w:rPr>
          <w:lang w:val="en-GB" w:eastAsia="en-AU"/>
        </w:rPr>
        <w:t>undertake</w:t>
      </w:r>
      <w:r w:rsidR="002523F8">
        <w:rPr>
          <w:lang w:val="en-GB" w:eastAsia="en-AU"/>
        </w:rPr>
        <w:t xml:space="preserve"> additional</w:t>
      </w:r>
      <w:r w:rsidR="00DF76DF">
        <w:rPr>
          <w:lang w:val="en-GB" w:eastAsia="en-AU"/>
        </w:rPr>
        <w:t xml:space="preserve"> R&amp;D</w:t>
      </w:r>
      <w:r w:rsidRPr="001E504A">
        <w:rPr>
          <w:lang w:val="en-GB" w:eastAsia="en-AU"/>
        </w:rPr>
        <w:t>.</w:t>
      </w:r>
    </w:p>
    <w:p w14:paraId="05ACA037" w14:textId="77777777" w:rsidR="001E504A" w:rsidRPr="001E504A" w:rsidRDefault="001E504A" w:rsidP="0009535E">
      <w:pPr>
        <w:rPr>
          <w:lang w:val="en-GB" w:eastAsia="en-AU"/>
        </w:rPr>
      </w:pPr>
    </w:p>
    <w:p w14:paraId="4A8B02D8" w14:textId="78EB7BA0" w:rsidR="001E504A" w:rsidRPr="001E504A" w:rsidRDefault="001E504A" w:rsidP="0009535E">
      <w:pPr>
        <w:rPr>
          <w:lang w:val="en-GB" w:eastAsia="en-AU"/>
        </w:rPr>
      </w:pPr>
      <w:r w:rsidRPr="001E504A">
        <w:rPr>
          <w:lang w:val="en-GB" w:eastAsia="en-AU"/>
        </w:rPr>
        <w:t xml:space="preserve">The </w:t>
      </w:r>
      <w:r w:rsidR="002523F8">
        <w:rPr>
          <w:lang w:val="en-GB" w:eastAsia="en-AU"/>
        </w:rPr>
        <w:t xml:space="preserve">proposed </w:t>
      </w:r>
      <w:r w:rsidRPr="001E504A">
        <w:rPr>
          <w:lang w:val="en-GB" w:eastAsia="en-AU"/>
        </w:rPr>
        <w:t xml:space="preserve">time limits are intended to give </w:t>
      </w:r>
      <w:r w:rsidR="002523F8">
        <w:rPr>
          <w:lang w:val="en-GB" w:eastAsia="en-AU"/>
        </w:rPr>
        <w:t xml:space="preserve">people </w:t>
      </w:r>
      <w:r w:rsidRPr="001E504A">
        <w:rPr>
          <w:lang w:val="en-GB" w:eastAsia="en-AU"/>
        </w:rPr>
        <w:t xml:space="preserve">enough time to prepare the </w:t>
      </w:r>
      <w:r w:rsidR="00A11AF3">
        <w:rPr>
          <w:lang w:val="en-GB" w:eastAsia="en-AU"/>
        </w:rPr>
        <w:t xml:space="preserve">required </w:t>
      </w:r>
      <w:r w:rsidRPr="001E504A">
        <w:rPr>
          <w:lang w:val="en-GB" w:eastAsia="en-AU"/>
        </w:rPr>
        <w:t>information</w:t>
      </w:r>
      <w:r w:rsidR="002523F8">
        <w:rPr>
          <w:lang w:val="en-GB" w:eastAsia="en-AU"/>
        </w:rPr>
        <w:t xml:space="preserve"> and </w:t>
      </w:r>
      <w:r w:rsidRPr="001E504A">
        <w:rPr>
          <w:lang w:val="en-GB" w:eastAsia="en-AU"/>
        </w:rPr>
        <w:t xml:space="preserve">make any </w:t>
      </w:r>
      <w:r w:rsidR="002523F8">
        <w:rPr>
          <w:lang w:val="en-GB" w:eastAsia="en-AU"/>
        </w:rPr>
        <w:t xml:space="preserve">necessary </w:t>
      </w:r>
      <w:r w:rsidRPr="001E504A">
        <w:rPr>
          <w:lang w:val="en-GB" w:eastAsia="en-AU"/>
        </w:rPr>
        <w:t>adjustments</w:t>
      </w:r>
      <w:r w:rsidR="002523F8">
        <w:rPr>
          <w:lang w:val="en-GB" w:eastAsia="en-AU"/>
        </w:rPr>
        <w:t xml:space="preserve"> to their claims</w:t>
      </w:r>
      <w:r w:rsidRPr="001E504A">
        <w:rPr>
          <w:lang w:val="en-GB" w:eastAsia="en-AU"/>
        </w:rPr>
        <w:t xml:space="preserve">, </w:t>
      </w:r>
      <w:r w:rsidR="002523F8">
        <w:rPr>
          <w:lang w:val="en-GB" w:eastAsia="en-AU"/>
        </w:rPr>
        <w:t>while discouraging</w:t>
      </w:r>
      <w:r w:rsidRPr="001E504A">
        <w:rPr>
          <w:lang w:val="en-GB" w:eastAsia="en-AU"/>
        </w:rPr>
        <w:t xml:space="preserve"> </w:t>
      </w:r>
      <w:r w:rsidR="002523F8">
        <w:rPr>
          <w:lang w:val="en-GB" w:eastAsia="en-AU"/>
        </w:rPr>
        <w:t xml:space="preserve">the </w:t>
      </w:r>
      <w:r w:rsidRPr="001E504A">
        <w:rPr>
          <w:lang w:val="en-GB" w:eastAsia="en-AU"/>
        </w:rPr>
        <w:t>retrospective reclassification of expenditure.</w:t>
      </w:r>
    </w:p>
    <w:p w14:paraId="51F90065" w14:textId="77777777" w:rsidR="001E504A" w:rsidRDefault="001E504A" w:rsidP="0009535E">
      <w:pPr>
        <w:rPr>
          <w:lang w:val="en-GB" w:eastAsia="en-AU"/>
        </w:rPr>
      </w:pPr>
    </w:p>
    <w:p w14:paraId="0F37D315" w14:textId="77777777" w:rsidR="0009535E" w:rsidRPr="001E504A" w:rsidRDefault="0009535E" w:rsidP="0009535E">
      <w:pPr>
        <w:rPr>
          <w:lang w:val="en-GB" w:eastAsia="en-AU"/>
        </w:rPr>
      </w:pPr>
    </w:p>
    <w:p w14:paraId="5890FA0E" w14:textId="77777777" w:rsidR="001E504A" w:rsidRPr="001E504A" w:rsidRDefault="001E504A" w:rsidP="0009535E">
      <w:pPr>
        <w:pStyle w:val="Heading2"/>
      </w:pPr>
      <w:r w:rsidRPr="001E504A">
        <w:t>Detailed analysis</w:t>
      </w:r>
    </w:p>
    <w:p w14:paraId="4CD5E358" w14:textId="77777777" w:rsidR="001E504A" w:rsidRPr="001E504A" w:rsidRDefault="001E504A" w:rsidP="0009535E">
      <w:pPr>
        <w:rPr>
          <w:lang w:eastAsia="en-AU"/>
        </w:rPr>
      </w:pPr>
    </w:p>
    <w:p w14:paraId="447F9543" w14:textId="77777777" w:rsidR="001E504A" w:rsidRPr="001E504A" w:rsidRDefault="001E504A" w:rsidP="0009535E">
      <w:pPr>
        <w:pStyle w:val="Heading3"/>
      </w:pPr>
      <w:r w:rsidRPr="001E504A">
        <w:t>Filing deadline</w:t>
      </w:r>
    </w:p>
    <w:p w14:paraId="6D8E1390" w14:textId="77777777" w:rsidR="001E504A" w:rsidRPr="001E504A" w:rsidRDefault="001E504A" w:rsidP="0009535E">
      <w:pPr>
        <w:rPr>
          <w:lang w:eastAsia="en-AU"/>
        </w:rPr>
      </w:pPr>
    </w:p>
    <w:p w14:paraId="780B0646" w14:textId="305B7AB1" w:rsidR="002523F8" w:rsidRDefault="001E504A" w:rsidP="0009535E">
      <w:pPr>
        <w:rPr>
          <w:lang w:eastAsia="en-AU"/>
        </w:rPr>
      </w:pPr>
      <w:r w:rsidRPr="001E504A">
        <w:rPr>
          <w:lang w:eastAsia="en-AU"/>
        </w:rPr>
        <w:t xml:space="preserve">Proposed new section LY 3(2)(a) prevents a taxpayer from claiming an R&amp;D tax credit if they have not filed their tax return for the relevant year within </w:t>
      </w:r>
      <w:r w:rsidR="00253283">
        <w:rPr>
          <w:lang w:eastAsia="en-AU"/>
        </w:rPr>
        <w:t>one</w:t>
      </w:r>
      <w:r w:rsidRPr="001E504A">
        <w:rPr>
          <w:lang w:eastAsia="en-AU"/>
        </w:rPr>
        <w:t xml:space="preserve"> year </w:t>
      </w:r>
      <w:r w:rsidR="0009535E">
        <w:rPr>
          <w:lang w:eastAsia="en-AU"/>
        </w:rPr>
        <w:t>after the due date for filing.</w:t>
      </w:r>
    </w:p>
    <w:p w14:paraId="4D2D491A" w14:textId="77777777" w:rsidR="002523F8" w:rsidRDefault="002523F8" w:rsidP="0009535E">
      <w:pPr>
        <w:rPr>
          <w:lang w:eastAsia="en-AU"/>
        </w:rPr>
      </w:pPr>
    </w:p>
    <w:p w14:paraId="7E916E8C" w14:textId="20A134FF" w:rsidR="00170718" w:rsidRPr="001E504A" w:rsidRDefault="001E504A" w:rsidP="0009535E">
      <w:pPr>
        <w:rPr>
          <w:lang w:eastAsia="en-AU"/>
        </w:rPr>
      </w:pPr>
      <w:r w:rsidRPr="001E504A">
        <w:rPr>
          <w:lang w:eastAsia="en-AU"/>
        </w:rPr>
        <w:t xml:space="preserve">For example, a </w:t>
      </w:r>
      <w:r w:rsidR="002523F8">
        <w:rPr>
          <w:lang w:eastAsia="en-AU"/>
        </w:rPr>
        <w:t>person</w:t>
      </w:r>
      <w:r w:rsidRPr="001E504A">
        <w:rPr>
          <w:lang w:eastAsia="en-AU"/>
        </w:rPr>
        <w:t xml:space="preserve"> with an extension of time arrangement</w:t>
      </w:r>
      <w:r w:rsidR="003A4A1C">
        <w:rPr>
          <w:lang w:eastAsia="en-AU"/>
        </w:rPr>
        <w:t xml:space="preserve"> for the year ended 31 </w:t>
      </w:r>
      <w:r w:rsidR="002523F8">
        <w:rPr>
          <w:lang w:eastAsia="en-AU"/>
        </w:rPr>
        <w:t xml:space="preserve">March 2019 has to file their income tax return for that year by 31 March 2020. </w:t>
      </w:r>
      <w:r w:rsidRPr="001E504A">
        <w:rPr>
          <w:lang w:eastAsia="en-AU"/>
        </w:rPr>
        <w:t>The effect of section LY 3(2)(a) is that if the person has not filed by 31 March 2021</w:t>
      </w:r>
      <w:r w:rsidR="002523F8">
        <w:rPr>
          <w:lang w:eastAsia="en-AU"/>
        </w:rPr>
        <w:t xml:space="preserve"> (which is one year after the person’s due date for filing), the person canno</w:t>
      </w:r>
      <w:r w:rsidR="0009535E">
        <w:rPr>
          <w:lang w:eastAsia="en-AU"/>
        </w:rPr>
        <w:t>t make an R&amp;D tax credit claim.</w:t>
      </w:r>
    </w:p>
    <w:p w14:paraId="2C4AFF26" w14:textId="77777777" w:rsidR="001E504A" w:rsidRPr="001E504A" w:rsidRDefault="001E504A" w:rsidP="0009535E">
      <w:pPr>
        <w:rPr>
          <w:lang w:eastAsia="en-AU"/>
        </w:rPr>
      </w:pPr>
    </w:p>
    <w:p w14:paraId="542B2C3F" w14:textId="77777777" w:rsidR="001E504A" w:rsidRPr="001E504A" w:rsidRDefault="001E504A" w:rsidP="0009535E">
      <w:pPr>
        <w:pStyle w:val="Heading3"/>
      </w:pPr>
      <w:r w:rsidRPr="001E504A">
        <w:t>Time bar</w:t>
      </w:r>
    </w:p>
    <w:p w14:paraId="174D45C1" w14:textId="77777777" w:rsidR="001E504A" w:rsidRPr="001E504A" w:rsidRDefault="001E504A" w:rsidP="0009535E">
      <w:pPr>
        <w:rPr>
          <w:lang w:eastAsia="en-AU"/>
        </w:rPr>
      </w:pPr>
    </w:p>
    <w:p w14:paraId="0A79C0ED" w14:textId="6AA35D03" w:rsidR="001E504A" w:rsidRPr="001E504A" w:rsidRDefault="002523F8" w:rsidP="0009535E">
      <w:pPr>
        <w:rPr>
          <w:lang w:eastAsia="en-AU"/>
        </w:rPr>
      </w:pPr>
      <w:r>
        <w:rPr>
          <w:lang w:eastAsia="en-AU"/>
        </w:rPr>
        <w:t>The Bill proposes amendments to t</w:t>
      </w:r>
      <w:r w:rsidR="001E504A" w:rsidRPr="001E504A">
        <w:rPr>
          <w:lang w:eastAsia="en-AU"/>
        </w:rPr>
        <w:t>he time bar in section 108</w:t>
      </w:r>
      <w:r w:rsidR="007C2EB9">
        <w:rPr>
          <w:lang w:eastAsia="en-AU"/>
        </w:rPr>
        <w:t xml:space="preserve"> of the Tax Administration Act </w:t>
      </w:r>
      <w:r w:rsidR="00BB32CC">
        <w:rPr>
          <w:lang w:eastAsia="en-AU"/>
        </w:rPr>
        <w:t>1994</w:t>
      </w:r>
      <w:r>
        <w:rPr>
          <w:lang w:eastAsia="en-AU"/>
        </w:rPr>
        <w:t>,</w:t>
      </w:r>
      <w:r w:rsidR="001E504A" w:rsidRPr="001E504A">
        <w:rPr>
          <w:lang w:eastAsia="en-AU"/>
        </w:rPr>
        <w:t xml:space="preserve"> so that the Commissioner cannot increase the amount of a person’s R&amp;D tax credit if </w:t>
      </w:r>
      <w:r w:rsidR="00253283">
        <w:rPr>
          <w:lang w:eastAsia="en-AU"/>
        </w:rPr>
        <w:t>two</w:t>
      </w:r>
      <w:r w:rsidR="001E504A" w:rsidRPr="001E504A">
        <w:rPr>
          <w:lang w:eastAsia="en-AU"/>
        </w:rPr>
        <w:t xml:space="preserve"> years have passed from the due date </w:t>
      </w:r>
      <w:r>
        <w:rPr>
          <w:lang w:eastAsia="en-AU"/>
        </w:rPr>
        <w:t xml:space="preserve">of </w:t>
      </w:r>
      <w:r w:rsidR="001E504A" w:rsidRPr="001E504A">
        <w:rPr>
          <w:lang w:eastAsia="en-AU"/>
        </w:rPr>
        <w:t>the person’s tax return for the relevant tax year.</w:t>
      </w:r>
    </w:p>
    <w:p w14:paraId="7BEB0655" w14:textId="77777777" w:rsidR="001E504A" w:rsidRPr="001E504A" w:rsidRDefault="001E504A" w:rsidP="0009535E">
      <w:pPr>
        <w:rPr>
          <w:lang w:eastAsia="en-AU"/>
        </w:rPr>
      </w:pPr>
    </w:p>
    <w:p w14:paraId="025EDA9A" w14:textId="2EA87E34" w:rsidR="001E504A" w:rsidRPr="001E504A" w:rsidRDefault="001E504A" w:rsidP="0009535E">
      <w:pPr>
        <w:pStyle w:val="Heading3"/>
      </w:pPr>
      <w:r w:rsidRPr="001E504A">
        <w:t xml:space="preserve">Notice of proposed adjustments </w:t>
      </w:r>
      <w:r w:rsidR="00576474">
        <w:t xml:space="preserve">(NOPA) </w:t>
      </w:r>
      <w:r w:rsidRPr="001E504A">
        <w:t>and section 113 adjustments</w:t>
      </w:r>
    </w:p>
    <w:p w14:paraId="0BF4F2D5" w14:textId="77777777" w:rsidR="001E504A" w:rsidRPr="001E504A" w:rsidRDefault="001E504A" w:rsidP="0009535E">
      <w:pPr>
        <w:rPr>
          <w:lang w:eastAsia="en-AU"/>
        </w:rPr>
      </w:pPr>
    </w:p>
    <w:p w14:paraId="6785C1D3" w14:textId="77777777" w:rsidR="0009535E" w:rsidRDefault="002523F8" w:rsidP="0009535E">
      <w:pPr>
        <w:rPr>
          <w:lang w:eastAsia="en-AU"/>
        </w:rPr>
      </w:pPr>
      <w:r>
        <w:rPr>
          <w:lang w:eastAsia="en-AU"/>
        </w:rPr>
        <w:t>A person is only able to adjust their R&amp;D tax credit claim upwards once, and must do so within two years of the due date of their income tax return for the relevant income year. This restriction applies whether a person issues a NOPA or requests an amendment under section 113.</w:t>
      </w:r>
    </w:p>
    <w:p w14:paraId="77E871E7" w14:textId="2B669970" w:rsidR="00DA5318" w:rsidRDefault="007923F2">
      <w:pPr>
        <w:spacing w:after="200" w:line="276" w:lineRule="auto"/>
        <w:jc w:val="left"/>
        <w:rPr>
          <w:rFonts w:eastAsia="Times New Roman" w:cs="Times New Roman"/>
          <w:szCs w:val="20"/>
          <w:lang w:eastAsia="en-AU"/>
        </w:rPr>
      </w:pPr>
      <w:r>
        <w:rPr>
          <w:rFonts w:eastAsia="Times New Roman" w:cs="Times New Roman"/>
          <w:szCs w:val="20"/>
          <w:lang w:eastAsia="en-AU"/>
        </w:rPr>
        <w:br w:type="page"/>
      </w:r>
    </w:p>
    <w:p w14:paraId="0BCC6917" w14:textId="77777777" w:rsidR="007923F2" w:rsidRDefault="007923F2" w:rsidP="002523F8">
      <w:pPr>
        <w:rPr>
          <w:rFonts w:eastAsia="Times New Roman" w:cs="Times New Roman"/>
          <w:szCs w:val="20"/>
          <w:lang w:eastAsia="en-AU"/>
        </w:rPr>
      </w:pPr>
    </w:p>
    <w:p w14:paraId="3BE83B8C" w14:textId="77777777" w:rsidR="00D00F10" w:rsidRDefault="00D00F10" w:rsidP="002523F8">
      <w:pPr>
        <w:rPr>
          <w:rFonts w:eastAsia="Times New Roman" w:cs="Times New Roman"/>
          <w:szCs w:val="20"/>
          <w:lang w:eastAsia="en-AU"/>
        </w:rPr>
      </w:pPr>
    </w:p>
    <w:p w14:paraId="5741396F" w14:textId="77777777" w:rsidR="00D00F10" w:rsidRDefault="00D00F10" w:rsidP="002523F8">
      <w:pPr>
        <w:rPr>
          <w:rFonts w:eastAsia="Times New Roman" w:cs="Times New Roman"/>
          <w:szCs w:val="20"/>
          <w:lang w:eastAsia="en-AU"/>
        </w:rPr>
      </w:pPr>
    </w:p>
    <w:p w14:paraId="7C452D6A" w14:textId="77777777" w:rsidR="00D00F10" w:rsidRDefault="00D00F10" w:rsidP="002523F8">
      <w:pPr>
        <w:rPr>
          <w:rFonts w:eastAsia="Times New Roman" w:cs="Times New Roman"/>
          <w:szCs w:val="20"/>
          <w:lang w:eastAsia="en-AU"/>
        </w:rPr>
      </w:pPr>
    </w:p>
    <w:p w14:paraId="04EC3066" w14:textId="77777777" w:rsidR="00D00F10" w:rsidRDefault="00D00F10" w:rsidP="002523F8">
      <w:pPr>
        <w:rPr>
          <w:rFonts w:eastAsia="Times New Roman" w:cs="Times New Roman"/>
          <w:szCs w:val="20"/>
          <w:lang w:eastAsia="en-AU"/>
        </w:rPr>
      </w:pPr>
    </w:p>
    <w:p w14:paraId="74097A50" w14:textId="77777777" w:rsidR="00D00F10" w:rsidRDefault="00D00F10" w:rsidP="002523F8">
      <w:pPr>
        <w:rPr>
          <w:rFonts w:eastAsia="Times New Roman" w:cs="Times New Roman"/>
          <w:szCs w:val="20"/>
          <w:lang w:eastAsia="en-AU"/>
        </w:rPr>
      </w:pPr>
    </w:p>
    <w:p w14:paraId="674C1E40" w14:textId="77777777" w:rsidR="00DA5318" w:rsidRDefault="00DA5318" w:rsidP="002523F8">
      <w:pPr>
        <w:rPr>
          <w:rFonts w:eastAsia="Times New Roman" w:cs="Times New Roman"/>
          <w:szCs w:val="20"/>
          <w:lang w:eastAsia="en-AU"/>
        </w:rPr>
      </w:pPr>
    </w:p>
    <w:p w14:paraId="6E315F8E" w14:textId="77777777" w:rsidR="00DA5318" w:rsidRDefault="00DA5318" w:rsidP="002523F8">
      <w:pPr>
        <w:rPr>
          <w:rFonts w:eastAsia="Times New Roman" w:cs="Times New Roman"/>
          <w:szCs w:val="20"/>
          <w:lang w:eastAsia="en-AU"/>
        </w:rPr>
      </w:pPr>
    </w:p>
    <w:p w14:paraId="772BB069" w14:textId="77777777" w:rsidR="00DA5318" w:rsidRDefault="00DA5318" w:rsidP="002523F8">
      <w:pPr>
        <w:rPr>
          <w:rFonts w:eastAsia="Times New Roman" w:cs="Times New Roman"/>
          <w:szCs w:val="20"/>
          <w:lang w:eastAsia="en-AU"/>
        </w:rPr>
      </w:pPr>
    </w:p>
    <w:p w14:paraId="621BA6A7" w14:textId="77777777" w:rsidR="00DA5318" w:rsidRDefault="00DA5318" w:rsidP="002523F8">
      <w:pPr>
        <w:rPr>
          <w:rFonts w:eastAsia="Times New Roman" w:cs="Times New Roman"/>
          <w:szCs w:val="20"/>
          <w:lang w:eastAsia="en-AU"/>
        </w:rPr>
      </w:pPr>
    </w:p>
    <w:p w14:paraId="2AA65749" w14:textId="77777777" w:rsidR="00D00F10" w:rsidRDefault="00D00F10" w:rsidP="002523F8">
      <w:pPr>
        <w:rPr>
          <w:rFonts w:eastAsia="Times New Roman" w:cs="Times New Roman"/>
          <w:szCs w:val="20"/>
          <w:lang w:eastAsia="en-AU"/>
        </w:rPr>
      </w:pPr>
    </w:p>
    <w:p w14:paraId="4A6F4789" w14:textId="77777777" w:rsidR="00D00F10" w:rsidRDefault="00D00F10" w:rsidP="002523F8">
      <w:pPr>
        <w:rPr>
          <w:rFonts w:eastAsia="Times New Roman" w:cs="Times New Roman"/>
          <w:szCs w:val="20"/>
          <w:lang w:eastAsia="en-AU"/>
        </w:rPr>
      </w:pPr>
    </w:p>
    <w:p w14:paraId="2A183F91" w14:textId="4678566A" w:rsidR="00D00F10" w:rsidRDefault="00D00F10" w:rsidP="00D00F10">
      <w:pPr>
        <w:pStyle w:val="Sectionheading"/>
      </w:pPr>
      <w:bookmarkStart w:id="79" w:name="_Toc528195605"/>
      <w:r>
        <w:t>In-year approval</w:t>
      </w:r>
      <w:bookmarkEnd w:id="79"/>
    </w:p>
    <w:p w14:paraId="1197F0C2" w14:textId="59D52DE8" w:rsidR="00DA5318" w:rsidRDefault="00D00F10">
      <w:pPr>
        <w:spacing w:after="200" w:line="276" w:lineRule="auto"/>
        <w:jc w:val="left"/>
      </w:pPr>
      <w:r>
        <w:br w:type="page"/>
      </w:r>
      <w:r w:rsidR="00DA5318">
        <w:br w:type="page"/>
      </w:r>
    </w:p>
    <w:p w14:paraId="7A0D0526" w14:textId="12D6425E" w:rsidR="00ED09D1" w:rsidRPr="007923F2" w:rsidRDefault="00ED09D1" w:rsidP="009D45B4">
      <w:pPr>
        <w:pStyle w:val="Heading1"/>
      </w:pPr>
      <w:bookmarkStart w:id="80" w:name="_Toc528157384"/>
      <w:bookmarkStart w:id="81" w:name="_Toc528195606"/>
      <w:r w:rsidRPr="007923F2">
        <w:t xml:space="preserve">Approval: general approval process (year </w:t>
      </w:r>
      <w:r w:rsidR="00C02DAD">
        <w:t>two</w:t>
      </w:r>
      <w:r w:rsidRPr="007923F2">
        <w:t>)</w:t>
      </w:r>
      <w:bookmarkEnd w:id="80"/>
      <w:bookmarkEnd w:id="81"/>
    </w:p>
    <w:p w14:paraId="608B76A4" w14:textId="32799F31" w:rsidR="00ED09D1" w:rsidRPr="007923F2" w:rsidRDefault="00ED09D1" w:rsidP="009D45B4">
      <w:pPr>
        <w:pStyle w:val="Heading3"/>
      </w:pPr>
      <w:r w:rsidRPr="007923F2">
        <w:t xml:space="preserve">Clauses </w:t>
      </w:r>
      <w:r w:rsidR="008A299B">
        <w:t>38,</w:t>
      </w:r>
      <w:r w:rsidRPr="007923F2">
        <w:t xml:space="preserve"> 3</w:t>
      </w:r>
      <w:r w:rsidR="008A299B">
        <w:t>9</w:t>
      </w:r>
      <w:r w:rsidRPr="007923F2">
        <w:t>, 4</w:t>
      </w:r>
      <w:r w:rsidR="008A299B">
        <w:t>3</w:t>
      </w:r>
      <w:r w:rsidR="00D96680">
        <w:t xml:space="preserve"> and</w:t>
      </w:r>
      <w:r w:rsidRPr="007923F2">
        <w:t xml:space="preserve"> 4</w:t>
      </w:r>
      <w:r w:rsidR="008A299B">
        <w:t>4</w:t>
      </w:r>
    </w:p>
    <w:p w14:paraId="61536AE3" w14:textId="77777777" w:rsidR="00ED09D1" w:rsidRDefault="00ED09D1" w:rsidP="009D45B4">
      <w:pPr>
        <w:rPr>
          <w:lang w:eastAsia="en-AU"/>
        </w:rPr>
      </w:pPr>
    </w:p>
    <w:p w14:paraId="566A31D7" w14:textId="77777777" w:rsidR="009D45B4" w:rsidRPr="007923F2" w:rsidRDefault="009D45B4" w:rsidP="009D45B4">
      <w:pPr>
        <w:rPr>
          <w:lang w:eastAsia="en-AU"/>
        </w:rPr>
      </w:pPr>
    </w:p>
    <w:p w14:paraId="5838633A" w14:textId="7038CC84" w:rsidR="00ED09D1" w:rsidRPr="007923F2" w:rsidRDefault="00ED09D1" w:rsidP="009D45B4">
      <w:pPr>
        <w:pStyle w:val="Heading2"/>
      </w:pPr>
      <w:r w:rsidRPr="007923F2">
        <w:t>Summary of proposed amendment</w:t>
      </w:r>
    </w:p>
    <w:p w14:paraId="06437CF8" w14:textId="77777777" w:rsidR="00ED09D1" w:rsidRPr="007923F2" w:rsidRDefault="00ED09D1" w:rsidP="009D45B4">
      <w:pPr>
        <w:rPr>
          <w:lang w:eastAsia="en-AU"/>
        </w:rPr>
      </w:pPr>
    </w:p>
    <w:p w14:paraId="661DE1DA" w14:textId="20CA2BE8" w:rsidR="00ED09D1" w:rsidRPr="007923F2" w:rsidRDefault="00ED09D1" w:rsidP="009D45B4">
      <w:pPr>
        <w:rPr>
          <w:lang w:eastAsia="en-AU"/>
        </w:rPr>
      </w:pPr>
      <w:r w:rsidRPr="007923F2">
        <w:rPr>
          <w:lang w:eastAsia="en-AU"/>
        </w:rPr>
        <w:t xml:space="preserve">The </w:t>
      </w:r>
      <w:r w:rsidR="00253283">
        <w:rPr>
          <w:lang w:eastAsia="en-AU"/>
        </w:rPr>
        <w:t>B</w:t>
      </w:r>
      <w:r w:rsidRPr="007923F2">
        <w:rPr>
          <w:lang w:eastAsia="en-AU"/>
        </w:rPr>
        <w:t xml:space="preserve">ill proposes that persons intending to apply for R&amp;D tax credits must, in most circumstances, obtain approval of their core activities </w:t>
      </w:r>
      <w:r w:rsidR="00C02DAD">
        <w:rPr>
          <w:lang w:eastAsia="en-AU"/>
        </w:rPr>
        <w:t>for</w:t>
      </w:r>
      <w:r w:rsidRPr="007923F2">
        <w:rPr>
          <w:lang w:eastAsia="en-AU"/>
        </w:rPr>
        <w:t xml:space="preserve"> each income year.</w:t>
      </w:r>
    </w:p>
    <w:p w14:paraId="236E4509" w14:textId="77777777" w:rsidR="00ED09D1" w:rsidRDefault="00ED09D1" w:rsidP="009D45B4">
      <w:pPr>
        <w:rPr>
          <w:lang w:eastAsia="en-AU"/>
        </w:rPr>
      </w:pPr>
    </w:p>
    <w:p w14:paraId="4306D940" w14:textId="77777777" w:rsidR="009D45B4" w:rsidRPr="007923F2" w:rsidRDefault="009D45B4" w:rsidP="009D45B4">
      <w:pPr>
        <w:rPr>
          <w:lang w:eastAsia="en-AU"/>
        </w:rPr>
      </w:pPr>
    </w:p>
    <w:p w14:paraId="585B1FC4" w14:textId="77777777" w:rsidR="00ED09D1" w:rsidRPr="007923F2" w:rsidRDefault="00ED09D1" w:rsidP="009D45B4">
      <w:pPr>
        <w:pStyle w:val="Heading2"/>
      </w:pPr>
      <w:r w:rsidRPr="007923F2">
        <w:t>Application date</w:t>
      </w:r>
    </w:p>
    <w:p w14:paraId="3ADE9691" w14:textId="77777777" w:rsidR="00ED09D1" w:rsidRPr="007923F2" w:rsidRDefault="00ED09D1" w:rsidP="009D45B4">
      <w:pPr>
        <w:rPr>
          <w:lang w:eastAsia="en-AU"/>
        </w:rPr>
      </w:pPr>
    </w:p>
    <w:p w14:paraId="084315E4" w14:textId="66A9B35F" w:rsidR="00ED09D1" w:rsidRPr="007923F2" w:rsidRDefault="00ED09D1" w:rsidP="009D45B4">
      <w:pPr>
        <w:rPr>
          <w:lang w:eastAsia="en-AU"/>
        </w:rPr>
      </w:pPr>
      <w:r w:rsidRPr="007923F2">
        <w:rPr>
          <w:lang w:eastAsia="en-AU"/>
        </w:rPr>
        <w:t xml:space="preserve">From the </w:t>
      </w:r>
      <w:r w:rsidR="00E010FC">
        <w:rPr>
          <w:lang w:eastAsia="en-AU"/>
        </w:rPr>
        <w:t>2020–21</w:t>
      </w:r>
      <w:r w:rsidRPr="007923F2">
        <w:rPr>
          <w:lang w:eastAsia="en-AU"/>
        </w:rPr>
        <w:t xml:space="preserve"> income year.</w:t>
      </w:r>
    </w:p>
    <w:p w14:paraId="10AB7DCF" w14:textId="77777777" w:rsidR="00ED09D1" w:rsidRDefault="00ED09D1" w:rsidP="009D45B4">
      <w:pPr>
        <w:rPr>
          <w:lang w:eastAsia="en-AU"/>
        </w:rPr>
      </w:pPr>
    </w:p>
    <w:p w14:paraId="78C94569" w14:textId="77777777" w:rsidR="009D45B4" w:rsidRPr="007923F2" w:rsidRDefault="009D45B4" w:rsidP="009D45B4">
      <w:pPr>
        <w:rPr>
          <w:lang w:eastAsia="en-AU"/>
        </w:rPr>
      </w:pPr>
    </w:p>
    <w:p w14:paraId="1E062799" w14:textId="77777777" w:rsidR="00ED09D1" w:rsidRPr="007923F2" w:rsidRDefault="00ED09D1" w:rsidP="009D45B4">
      <w:pPr>
        <w:pStyle w:val="Heading2"/>
      </w:pPr>
      <w:r w:rsidRPr="007923F2">
        <w:t>Key features</w:t>
      </w:r>
    </w:p>
    <w:p w14:paraId="6D29D14D" w14:textId="77777777" w:rsidR="00ED09D1" w:rsidRPr="007923F2" w:rsidRDefault="00ED09D1" w:rsidP="009D45B4">
      <w:pPr>
        <w:rPr>
          <w:lang w:eastAsia="en-AU"/>
        </w:rPr>
      </w:pPr>
    </w:p>
    <w:p w14:paraId="784F6411" w14:textId="6EEF6572" w:rsidR="00ED09D1" w:rsidRPr="007923F2" w:rsidRDefault="00ED09D1" w:rsidP="009D45B4">
      <w:pPr>
        <w:rPr>
          <w:lang w:eastAsia="en-AU"/>
        </w:rPr>
      </w:pPr>
      <w:r w:rsidRPr="007923F2">
        <w:rPr>
          <w:lang w:eastAsia="en-AU"/>
        </w:rPr>
        <w:t xml:space="preserve">From the </w:t>
      </w:r>
      <w:r w:rsidR="00E010FC">
        <w:rPr>
          <w:lang w:eastAsia="en-AU"/>
        </w:rPr>
        <w:t>2020–21</w:t>
      </w:r>
      <w:r w:rsidRPr="007923F2">
        <w:rPr>
          <w:lang w:eastAsia="en-AU"/>
        </w:rPr>
        <w:t xml:space="preserve"> income year, all persons</w:t>
      </w:r>
      <w:r w:rsidR="00D409AC">
        <w:rPr>
          <w:lang w:eastAsia="en-AU"/>
        </w:rPr>
        <w:t xml:space="preserve"> (including LTCs and partnerships)</w:t>
      </w:r>
      <w:r w:rsidRPr="007923F2">
        <w:rPr>
          <w:lang w:eastAsia="en-AU"/>
        </w:rPr>
        <w:t xml:space="preserve"> will be required to obtain approval under proposed new section 68CB or section 68CC. The default rule is in proposed new section 68CB, which requires anyone intending </w:t>
      </w:r>
      <w:r w:rsidR="00C02DAD">
        <w:rPr>
          <w:lang w:eastAsia="en-AU"/>
        </w:rPr>
        <w:t>to apply for an R&amp;D tax credit for</w:t>
      </w:r>
      <w:r w:rsidRPr="007923F2">
        <w:rPr>
          <w:lang w:eastAsia="en-AU"/>
        </w:rPr>
        <w:t xml:space="preserve"> an income year to obtain approval of their core activities (general approval). General approval can las</w:t>
      </w:r>
      <w:r w:rsidR="00765454">
        <w:rPr>
          <w:lang w:eastAsia="en-AU"/>
        </w:rPr>
        <w:t>t for up to three income years.</w:t>
      </w:r>
    </w:p>
    <w:p w14:paraId="18BECC00" w14:textId="77777777" w:rsidR="00ED09D1" w:rsidRPr="007923F2" w:rsidRDefault="00ED09D1" w:rsidP="009D45B4">
      <w:pPr>
        <w:rPr>
          <w:lang w:eastAsia="en-AU"/>
        </w:rPr>
      </w:pPr>
    </w:p>
    <w:p w14:paraId="6AA4DE29" w14:textId="4F53D97F" w:rsidR="00ED09D1" w:rsidRPr="007923F2" w:rsidRDefault="00ED09D1" w:rsidP="009D45B4">
      <w:pPr>
        <w:rPr>
          <w:lang w:eastAsia="en-AU"/>
        </w:rPr>
      </w:pPr>
      <w:r w:rsidRPr="007923F2">
        <w:rPr>
          <w:lang w:eastAsia="en-AU"/>
        </w:rPr>
        <w:t>Applications for approval must be made by the seventh day of the second month after the end of the relevant income year. For a</w:t>
      </w:r>
      <w:r w:rsidR="00253283">
        <w:rPr>
          <w:lang w:eastAsia="en-AU"/>
        </w:rPr>
        <w:t xml:space="preserve"> person with a</w:t>
      </w:r>
      <w:r w:rsidRPr="007923F2">
        <w:rPr>
          <w:lang w:eastAsia="en-AU"/>
        </w:rPr>
        <w:t xml:space="preserve"> standard balance date with eligible R&amp;D expenditure in the year ended 31 March 2021, the </w:t>
      </w:r>
      <w:r w:rsidR="00253283">
        <w:rPr>
          <w:lang w:eastAsia="en-AU"/>
        </w:rPr>
        <w:t>person</w:t>
      </w:r>
      <w:r w:rsidRPr="007923F2">
        <w:rPr>
          <w:lang w:eastAsia="en-AU"/>
        </w:rPr>
        <w:t xml:space="preserve"> would need to apply for general approval by 7 May 2021. Without general approval, a </w:t>
      </w:r>
      <w:r w:rsidR="00253283">
        <w:rPr>
          <w:lang w:eastAsia="en-AU"/>
        </w:rPr>
        <w:t>person</w:t>
      </w:r>
      <w:r w:rsidRPr="007923F2">
        <w:rPr>
          <w:lang w:eastAsia="en-AU"/>
        </w:rPr>
        <w:t xml:space="preserve"> is not able to obtain R&amp;D tax credits </w:t>
      </w:r>
      <w:r w:rsidR="00C02DAD">
        <w:rPr>
          <w:lang w:eastAsia="en-AU"/>
        </w:rPr>
        <w:t>for</w:t>
      </w:r>
      <w:r w:rsidRPr="007923F2">
        <w:rPr>
          <w:lang w:eastAsia="en-AU"/>
        </w:rPr>
        <w:t xml:space="preserve"> an income year, unless they satisfy the requirements of</w:t>
      </w:r>
      <w:r w:rsidR="00576474">
        <w:rPr>
          <w:lang w:eastAsia="en-AU"/>
        </w:rPr>
        <w:t>,</w:t>
      </w:r>
      <w:r w:rsidRPr="007923F2">
        <w:rPr>
          <w:lang w:eastAsia="en-AU"/>
        </w:rPr>
        <w:t xml:space="preserve"> and choose to apply</w:t>
      </w:r>
      <w:r w:rsidR="00576474">
        <w:rPr>
          <w:lang w:eastAsia="en-AU"/>
        </w:rPr>
        <w:t>,</w:t>
      </w:r>
      <w:r w:rsidR="00765454">
        <w:rPr>
          <w:lang w:eastAsia="en-AU"/>
        </w:rPr>
        <w:t xml:space="preserve"> proposed new section 68CC.</w:t>
      </w:r>
    </w:p>
    <w:p w14:paraId="51EBB3A5" w14:textId="77777777" w:rsidR="00ED09D1" w:rsidRPr="007923F2" w:rsidRDefault="00ED09D1" w:rsidP="009D45B4">
      <w:pPr>
        <w:rPr>
          <w:lang w:eastAsia="en-AU"/>
        </w:rPr>
      </w:pPr>
    </w:p>
    <w:p w14:paraId="5A57983B" w14:textId="5090306C" w:rsidR="00ED09D1" w:rsidRDefault="00ED09D1" w:rsidP="009D45B4">
      <w:pPr>
        <w:rPr>
          <w:lang w:eastAsia="en-AU"/>
        </w:rPr>
      </w:pPr>
      <w:r w:rsidRPr="007923F2">
        <w:rPr>
          <w:lang w:eastAsia="en-AU"/>
        </w:rPr>
        <w:t>Under proposed new section 68CC, a person may opt-out of the general approval regime if they satisfy certain requirements, including a requirement that the person (or their partnership or corporate group) has, or reasonably estimates that they will have, more than $2</w:t>
      </w:r>
      <w:r w:rsidR="00253283">
        <w:rPr>
          <w:lang w:eastAsia="en-AU"/>
        </w:rPr>
        <w:t xml:space="preserve"> </w:t>
      </w:r>
      <w:r w:rsidRPr="007923F2">
        <w:rPr>
          <w:lang w:eastAsia="en-AU"/>
        </w:rPr>
        <w:t>m</w:t>
      </w:r>
      <w:r w:rsidR="00253283">
        <w:rPr>
          <w:lang w:eastAsia="en-AU"/>
        </w:rPr>
        <w:t>illion</w:t>
      </w:r>
      <w:r w:rsidRPr="007923F2">
        <w:rPr>
          <w:lang w:eastAsia="en-AU"/>
        </w:rPr>
        <w:t xml:space="preserve"> of eligible R&amp;D expenditure for the relevant income year. </w:t>
      </w:r>
      <w:r w:rsidR="00C057FD">
        <w:rPr>
          <w:lang w:eastAsia="en-AU"/>
        </w:rPr>
        <w:t xml:space="preserve">See the section on </w:t>
      </w:r>
      <w:r w:rsidR="00C057FD" w:rsidRPr="00C057FD">
        <w:rPr>
          <w:rStyle w:val="Emphasis"/>
          <w:lang w:eastAsia="en-AU"/>
        </w:rPr>
        <w:t>Approval: significant performer regime (year two)</w:t>
      </w:r>
      <w:r w:rsidR="00C057FD" w:rsidRPr="00C057FD">
        <w:rPr>
          <w:lang w:eastAsia="en-AU"/>
        </w:rPr>
        <w:t xml:space="preserve"> </w:t>
      </w:r>
      <w:r w:rsidR="00C057FD">
        <w:rPr>
          <w:lang w:eastAsia="en-AU"/>
        </w:rPr>
        <w:t>(p</w:t>
      </w:r>
      <w:r w:rsidR="002B4A33" w:rsidRPr="002B4A33">
        <w:rPr>
          <w:lang w:eastAsia="en-AU"/>
        </w:rPr>
        <w:t xml:space="preserve">age </w:t>
      </w:r>
      <w:r w:rsidR="00C057FD">
        <w:rPr>
          <w:lang w:eastAsia="en-AU"/>
        </w:rPr>
        <w:t>99)</w:t>
      </w:r>
      <w:r w:rsidRPr="007923F2">
        <w:rPr>
          <w:lang w:eastAsia="en-AU"/>
        </w:rPr>
        <w:t xml:space="preserve"> for more informatio</w:t>
      </w:r>
      <w:r w:rsidR="00765454">
        <w:rPr>
          <w:lang w:eastAsia="en-AU"/>
        </w:rPr>
        <w:t>n.</w:t>
      </w:r>
    </w:p>
    <w:p w14:paraId="656A27FD" w14:textId="77777777" w:rsidR="00273DF6" w:rsidRDefault="00273DF6" w:rsidP="009D45B4">
      <w:pPr>
        <w:rPr>
          <w:lang w:eastAsia="en-AU"/>
        </w:rPr>
      </w:pPr>
    </w:p>
    <w:p w14:paraId="348CFDD0" w14:textId="7BA5F04A" w:rsidR="00273DF6" w:rsidRPr="007923F2" w:rsidRDefault="00273DF6" w:rsidP="009D45B4">
      <w:pPr>
        <w:rPr>
          <w:lang w:eastAsia="en-AU"/>
        </w:rPr>
      </w:pPr>
      <w:r>
        <w:rPr>
          <w:lang w:eastAsia="en-AU"/>
        </w:rPr>
        <w:t>A decision made by the Commissioner under the proposed new sections cannot be challenged, except through judicial review.</w:t>
      </w:r>
    </w:p>
    <w:p w14:paraId="6D7800B9" w14:textId="77777777" w:rsidR="00ED09D1" w:rsidRDefault="00ED09D1" w:rsidP="009D45B4">
      <w:pPr>
        <w:rPr>
          <w:lang w:eastAsia="en-AU"/>
        </w:rPr>
      </w:pPr>
    </w:p>
    <w:p w14:paraId="5C78D331" w14:textId="77777777" w:rsidR="009D45B4" w:rsidRPr="007923F2" w:rsidRDefault="009D45B4" w:rsidP="009D45B4">
      <w:pPr>
        <w:rPr>
          <w:lang w:eastAsia="en-AU"/>
        </w:rPr>
      </w:pPr>
    </w:p>
    <w:p w14:paraId="2FC0ABA0" w14:textId="77777777" w:rsidR="00ED09D1" w:rsidRPr="007923F2" w:rsidRDefault="00ED09D1" w:rsidP="009D45B4">
      <w:pPr>
        <w:pStyle w:val="Heading2"/>
      </w:pPr>
      <w:r w:rsidRPr="007923F2">
        <w:t>Background</w:t>
      </w:r>
    </w:p>
    <w:p w14:paraId="0D84DAB1" w14:textId="77777777" w:rsidR="00ED09D1" w:rsidRPr="007923F2" w:rsidRDefault="00ED09D1" w:rsidP="009D45B4">
      <w:pPr>
        <w:rPr>
          <w:lang w:val="en-GB" w:eastAsia="en-AU"/>
        </w:rPr>
      </w:pPr>
    </w:p>
    <w:p w14:paraId="3CC6694E" w14:textId="0B02EB9B" w:rsidR="00ED09D1" w:rsidRDefault="00ED09D1" w:rsidP="009D45B4">
      <w:pPr>
        <w:rPr>
          <w:lang w:val="en-GB" w:eastAsia="en-AU"/>
        </w:rPr>
      </w:pPr>
      <w:r w:rsidRPr="007923F2">
        <w:rPr>
          <w:lang w:val="en-GB" w:eastAsia="en-AU"/>
        </w:rPr>
        <w:t>G</w:t>
      </w:r>
      <w:r w:rsidR="00765454">
        <w:rPr>
          <w:lang w:val="en-GB" w:eastAsia="en-AU"/>
        </w:rPr>
        <w:t>eneral approval is designed to:</w:t>
      </w:r>
    </w:p>
    <w:p w14:paraId="2C26A019" w14:textId="77777777" w:rsidR="009D45B4" w:rsidRPr="007923F2" w:rsidRDefault="009D45B4" w:rsidP="009D45B4">
      <w:pPr>
        <w:rPr>
          <w:lang w:val="en-GB" w:eastAsia="en-AU"/>
        </w:rPr>
      </w:pPr>
    </w:p>
    <w:p w14:paraId="209670BB" w14:textId="2FE1C9D1" w:rsidR="00ED09D1" w:rsidRPr="007923F2" w:rsidRDefault="003A4A1C" w:rsidP="009D45B4">
      <w:pPr>
        <w:pStyle w:val="dotpoint"/>
      </w:pPr>
      <w:r>
        <w:t>p</w:t>
      </w:r>
      <w:r w:rsidR="00BC5F88" w:rsidRPr="007923F2">
        <w:t xml:space="preserve">rovide </w:t>
      </w:r>
      <w:r w:rsidR="00765454">
        <w:t>certainty;</w:t>
      </w:r>
    </w:p>
    <w:p w14:paraId="466F77CC" w14:textId="45D40873" w:rsidR="00ED09D1" w:rsidRPr="007923F2" w:rsidRDefault="003A4A1C" w:rsidP="009D45B4">
      <w:pPr>
        <w:pStyle w:val="dotpoint"/>
      </w:pPr>
      <w:r>
        <w:t>a</w:t>
      </w:r>
      <w:r w:rsidR="00BC5F88" w:rsidRPr="007923F2">
        <w:t xml:space="preserve">ct </w:t>
      </w:r>
      <w:r w:rsidR="00ED09D1" w:rsidRPr="007923F2">
        <w:t>as an integrity m</w:t>
      </w:r>
      <w:r w:rsidR="00765454">
        <w:t>easure; and</w:t>
      </w:r>
    </w:p>
    <w:p w14:paraId="3D5399FC" w14:textId="24959677" w:rsidR="00ED09D1" w:rsidRDefault="003A4A1C" w:rsidP="009D45B4">
      <w:pPr>
        <w:pStyle w:val="dotpoint"/>
        <w:spacing w:after="0"/>
      </w:pPr>
      <w:r>
        <w:t>s</w:t>
      </w:r>
      <w:r w:rsidR="00BC5F88" w:rsidRPr="007923F2">
        <w:t xml:space="preserve">hift </w:t>
      </w:r>
      <w:r w:rsidR="00ED09D1" w:rsidRPr="007923F2">
        <w:t>the timing, and burden, of compliance and administrative cost</w:t>
      </w:r>
      <w:r w:rsidR="00115AAD">
        <w:t>s so that it is easier on both</w:t>
      </w:r>
      <w:r w:rsidR="008343B2">
        <w:t xml:space="preserve"> </w:t>
      </w:r>
      <w:r w:rsidR="00115AAD">
        <w:t>g</w:t>
      </w:r>
      <w:r w:rsidR="00ED09D1" w:rsidRPr="007923F2">
        <w:t xml:space="preserve">overnment and </w:t>
      </w:r>
      <w:r w:rsidR="00253283">
        <w:t xml:space="preserve">people making </w:t>
      </w:r>
      <w:r w:rsidR="00765454">
        <w:t>R&amp;D tax credit claims.</w:t>
      </w:r>
    </w:p>
    <w:p w14:paraId="0FF69B67" w14:textId="77777777" w:rsidR="002B4A33" w:rsidRDefault="002B4A33" w:rsidP="009D45B4">
      <w:pPr>
        <w:rPr>
          <w:lang w:val="en-GB" w:eastAsia="en-AU"/>
        </w:rPr>
      </w:pPr>
    </w:p>
    <w:p w14:paraId="077B7996" w14:textId="20F12DD2" w:rsidR="00ED09D1" w:rsidRPr="007923F2" w:rsidRDefault="00765454" w:rsidP="009D45B4">
      <w:pPr>
        <w:pStyle w:val="Heading3"/>
      </w:pPr>
      <w:r>
        <w:t>Certainty</w:t>
      </w:r>
    </w:p>
    <w:p w14:paraId="26F42345" w14:textId="77777777" w:rsidR="00ED09D1" w:rsidRPr="007923F2" w:rsidRDefault="00ED09D1" w:rsidP="009D45B4">
      <w:pPr>
        <w:rPr>
          <w:lang w:val="en-GB" w:eastAsia="en-AU"/>
        </w:rPr>
      </w:pPr>
    </w:p>
    <w:p w14:paraId="7EF9D53F" w14:textId="1BFA0CB4" w:rsidR="00ED09D1" w:rsidRPr="007923F2" w:rsidRDefault="00ED09D1" w:rsidP="009D45B4">
      <w:pPr>
        <w:rPr>
          <w:lang w:val="en-GB" w:eastAsia="en-AU"/>
        </w:rPr>
      </w:pPr>
      <w:r w:rsidRPr="007923F2">
        <w:rPr>
          <w:lang w:val="en-GB" w:eastAsia="en-AU"/>
        </w:rPr>
        <w:t xml:space="preserve">General approval is intended to provide </w:t>
      </w:r>
      <w:r w:rsidR="00253283">
        <w:rPr>
          <w:lang w:val="en-GB" w:eastAsia="en-AU"/>
        </w:rPr>
        <w:t xml:space="preserve">people making </w:t>
      </w:r>
      <w:r w:rsidRPr="007923F2">
        <w:rPr>
          <w:lang w:val="en-GB" w:eastAsia="en-AU"/>
        </w:rPr>
        <w:t>R&amp;D tax credit claims with greater certainty, because they will be able to obtain approval of their core activities</w:t>
      </w:r>
      <w:r w:rsidR="00170718">
        <w:rPr>
          <w:lang w:val="en-GB" w:eastAsia="en-AU"/>
        </w:rPr>
        <w:t xml:space="preserve"> while they are undertaking them.</w:t>
      </w:r>
      <w:r w:rsidRPr="007923F2">
        <w:rPr>
          <w:lang w:val="en-GB" w:eastAsia="en-AU"/>
        </w:rPr>
        <w:t xml:space="preserve"> Operational constraints mean that general approval will </w:t>
      </w:r>
      <w:r w:rsidR="00170718">
        <w:rPr>
          <w:lang w:val="en-GB" w:eastAsia="en-AU"/>
        </w:rPr>
        <w:t xml:space="preserve">only </w:t>
      </w:r>
      <w:r w:rsidRPr="007923F2">
        <w:rPr>
          <w:lang w:val="en-GB" w:eastAsia="en-AU"/>
        </w:rPr>
        <w:t>be availabl</w:t>
      </w:r>
      <w:r w:rsidR="00765454">
        <w:rPr>
          <w:lang w:val="en-GB" w:eastAsia="en-AU"/>
        </w:rPr>
        <w:t xml:space="preserve">e from the </w:t>
      </w:r>
      <w:r w:rsidR="00E010FC">
        <w:rPr>
          <w:lang w:val="en-GB" w:eastAsia="en-AU"/>
        </w:rPr>
        <w:t>2020–21</w:t>
      </w:r>
      <w:r w:rsidR="00765454">
        <w:rPr>
          <w:lang w:val="en-GB" w:eastAsia="en-AU"/>
        </w:rPr>
        <w:t xml:space="preserve"> income year.</w:t>
      </w:r>
    </w:p>
    <w:p w14:paraId="5176C128" w14:textId="77777777" w:rsidR="00ED09D1" w:rsidRPr="007923F2" w:rsidRDefault="00ED09D1" w:rsidP="009D45B4">
      <w:pPr>
        <w:rPr>
          <w:lang w:val="en-GB" w:eastAsia="en-AU"/>
        </w:rPr>
      </w:pPr>
    </w:p>
    <w:p w14:paraId="53DCEB54" w14:textId="4985D527" w:rsidR="00ED09D1" w:rsidRPr="007923F2" w:rsidRDefault="00765454" w:rsidP="009D45B4">
      <w:pPr>
        <w:pStyle w:val="Heading3"/>
      </w:pPr>
      <w:r>
        <w:t>Integrity measure</w:t>
      </w:r>
    </w:p>
    <w:p w14:paraId="5D3CE083" w14:textId="77777777" w:rsidR="00ED09D1" w:rsidRPr="007923F2" w:rsidRDefault="00ED09D1" w:rsidP="009D45B4">
      <w:pPr>
        <w:rPr>
          <w:lang w:val="en-GB" w:eastAsia="en-AU"/>
        </w:rPr>
      </w:pPr>
    </w:p>
    <w:p w14:paraId="037DEA1E" w14:textId="7DE3DFC7" w:rsidR="00ED09D1" w:rsidRPr="007923F2" w:rsidRDefault="00ED09D1" w:rsidP="009D45B4">
      <w:pPr>
        <w:rPr>
          <w:szCs w:val="20"/>
          <w:lang w:eastAsia="en-AU"/>
        </w:rPr>
      </w:pPr>
      <w:r w:rsidRPr="007923F2">
        <w:rPr>
          <w:szCs w:val="20"/>
          <w:lang w:eastAsia="en-AU"/>
        </w:rPr>
        <w:t xml:space="preserve">Requiring </w:t>
      </w:r>
      <w:r w:rsidR="00253283">
        <w:rPr>
          <w:szCs w:val="20"/>
          <w:lang w:eastAsia="en-AU"/>
        </w:rPr>
        <w:t>pe</w:t>
      </w:r>
      <w:r w:rsidR="003077B7">
        <w:rPr>
          <w:szCs w:val="20"/>
          <w:lang w:eastAsia="en-AU"/>
        </w:rPr>
        <w:t>o</w:t>
      </w:r>
      <w:r w:rsidR="00253283">
        <w:rPr>
          <w:szCs w:val="20"/>
          <w:lang w:eastAsia="en-AU"/>
        </w:rPr>
        <w:t>ple</w:t>
      </w:r>
      <w:r w:rsidRPr="007923F2">
        <w:rPr>
          <w:szCs w:val="20"/>
          <w:lang w:eastAsia="en-AU"/>
        </w:rPr>
        <w:t xml:space="preserve"> to obtain general approval acts as an integrity measure, because it ensures </w:t>
      </w:r>
      <w:r w:rsidR="003077B7">
        <w:rPr>
          <w:szCs w:val="20"/>
          <w:lang w:eastAsia="en-AU"/>
        </w:rPr>
        <w:t>they</w:t>
      </w:r>
      <w:r w:rsidR="003077B7" w:rsidRPr="007923F2">
        <w:rPr>
          <w:szCs w:val="20"/>
          <w:lang w:eastAsia="en-AU"/>
        </w:rPr>
        <w:t xml:space="preserve"> </w:t>
      </w:r>
      <w:r w:rsidRPr="007923F2">
        <w:rPr>
          <w:szCs w:val="20"/>
          <w:lang w:eastAsia="en-AU"/>
        </w:rPr>
        <w:t>apply for approval of their core activities when (or slightly before or after) they are actually performing their R&amp;D activities. As a result, general approval:</w:t>
      </w:r>
    </w:p>
    <w:p w14:paraId="108B434A" w14:textId="77777777" w:rsidR="00ED09D1" w:rsidRPr="007923F2" w:rsidRDefault="00ED09D1" w:rsidP="009D45B4">
      <w:pPr>
        <w:rPr>
          <w:szCs w:val="20"/>
          <w:lang w:eastAsia="en-AU"/>
        </w:rPr>
      </w:pPr>
    </w:p>
    <w:p w14:paraId="49A11ED0" w14:textId="67E8FDEB" w:rsidR="00ED09D1" w:rsidRPr="007923F2" w:rsidRDefault="008343B2" w:rsidP="009D45B4">
      <w:pPr>
        <w:pStyle w:val="dotpoint"/>
      </w:pPr>
      <w:r>
        <w:t>i</w:t>
      </w:r>
      <w:r w:rsidR="00ED09D1" w:rsidRPr="007923F2">
        <w:t xml:space="preserve">ncreases the likelihood that R&amp;D tax credits are only paid out to </w:t>
      </w:r>
      <w:r w:rsidR="003077B7">
        <w:t xml:space="preserve">those persons </w:t>
      </w:r>
      <w:r w:rsidR="00ED09D1" w:rsidRPr="007923F2">
        <w:t>who were aware that they were performing R&amp;D activities in the relevant income year;</w:t>
      </w:r>
      <w:r w:rsidR="00576474">
        <w:t xml:space="preserve"> and</w:t>
      </w:r>
    </w:p>
    <w:p w14:paraId="4527DC7E" w14:textId="7B5B292E" w:rsidR="00ED09D1" w:rsidRPr="007923F2" w:rsidRDefault="008343B2" w:rsidP="009D45B4">
      <w:pPr>
        <w:pStyle w:val="dotpoint"/>
        <w:spacing w:after="0"/>
      </w:pPr>
      <w:r>
        <w:t>m</w:t>
      </w:r>
      <w:r w:rsidR="00170718">
        <w:t xml:space="preserve">akes it easier to identify that there is scientific or technological uncertainty than would be the case if the examination occurred one or two years after the R&amp;D </w:t>
      </w:r>
      <w:r w:rsidR="003077B7">
        <w:t xml:space="preserve">activity </w:t>
      </w:r>
      <w:r w:rsidR="00765454">
        <w:t>has been completed.</w:t>
      </w:r>
    </w:p>
    <w:p w14:paraId="254299D4" w14:textId="77777777" w:rsidR="00ED09D1" w:rsidRPr="007923F2" w:rsidRDefault="00ED09D1" w:rsidP="009D45B4">
      <w:pPr>
        <w:rPr>
          <w:lang w:eastAsia="en-AU"/>
        </w:rPr>
      </w:pPr>
    </w:p>
    <w:p w14:paraId="07141B82" w14:textId="3A06E9D4" w:rsidR="00ED09D1" w:rsidRPr="007923F2" w:rsidRDefault="00765454" w:rsidP="009D45B4">
      <w:pPr>
        <w:pStyle w:val="Heading3"/>
      </w:pPr>
      <w:r>
        <w:t>Other benefits</w:t>
      </w:r>
    </w:p>
    <w:p w14:paraId="296FF443" w14:textId="77777777" w:rsidR="00ED09D1" w:rsidRPr="007923F2" w:rsidRDefault="00ED09D1" w:rsidP="009D45B4">
      <w:pPr>
        <w:rPr>
          <w:lang w:eastAsia="en-AU"/>
        </w:rPr>
      </w:pPr>
    </w:p>
    <w:p w14:paraId="46FA845C" w14:textId="6F04BA15" w:rsidR="00ED09D1" w:rsidRPr="007923F2" w:rsidRDefault="00ED09D1" w:rsidP="009D45B4">
      <w:pPr>
        <w:rPr>
          <w:lang w:eastAsia="en-AU"/>
        </w:rPr>
      </w:pPr>
      <w:r w:rsidRPr="007923F2">
        <w:rPr>
          <w:lang w:eastAsia="en-AU"/>
        </w:rPr>
        <w:t xml:space="preserve">In other jurisdictions, </w:t>
      </w:r>
      <w:r w:rsidR="00115AAD">
        <w:rPr>
          <w:lang w:eastAsia="en-AU"/>
        </w:rPr>
        <w:t>g</w:t>
      </w:r>
      <w:r w:rsidRPr="007923F2">
        <w:rPr>
          <w:lang w:eastAsia="en-AU"/>
        </w:rPr>
        <w:t xml:space="preserve">overnment approval of core activities and the certainty this provides has enabled </w:t>
      </w:r>
      <w:r w:rsidR="003077B7">
        <w:rPr>
          <w:lang w:eastAsia="en-AU"/>
        </w:rPr>
        <w:t xml:space="preserve">people </w:t>
      </w:r>
      <w:r w:rsidRPr="007923F2">
        <w:rPr>
          <w:lang w:eastAsia="en-AU"/>
        </w:rPr>
        <w:t xml:space="preserve">with approval to obtain R&amp;D funding more easily. In these jurisdictions, lenders take </w:t>
      </w:r>
      <w:r w:rsidR="00115AAD">
        <w:rPr>
          <w:lang w:eastAsia="en-AU"/>
        </w:rPr>
        <w:t>g</w:t>
      </w:r>
      <w:r w:rsidRPr="007923F2">
        <w:rPr>
          <w:lang w:eastAsia="en-AU"/>
        </w:rPr>
        <w:t>overnment approval into account when providing funding for R&amp;D activities.</w:t>
      </w:r>
    </w:p>
    <w:p w14:paraId="13B484FB" w14:textId="77777777" w:rsidR="00ED09D1" w:rsidRDefault="00ED09D1" w:rsidP="009D45B4">
      <w:pPr>
        <w:rPr>
          <w:lang w:eastAsia="en-AU"/>
        </w:rPr>
      </w:pPr>
    </w:p>
    <w:p w14:paraId="224AD6FE" w14:textId="77777777" w:rsidR="009D45B4" w:rsidRPr="007923F2" w:rsidRDefault="009D45B4" w:rsidP="009D45B4">
      <w:pPr>
        <w:rPr>
          <w:lang w:eastAsia="en-AU"/>
        </w:rPr>
      </w:pPr>
    </w:p>
    <w:p w14:paraId="0F5E5692" w14:textId="77777777" w:rsidR="00ED09D1" w:rsidRPr="007923F2" w:rsidRDefault="00ED09D1" w:rsidP="009D45B4">
      <w:pPr>
        <w:pStyle w:val="Heading2"/>
      </w:pPr>
      <w:r w:rsidRPr="007923F2">
        <w:t>Detailed analysis</w:t>
      </w:r>
    </w:p>
    <w:p w14:paraId="312BDA29" w14:textId="77777777" w:rsidR="00ED09D1" w:rsidRPr="007923F2" w:rsidRDefault="00ED09D1" w:rsidP="009D45B4">
      <w:pPr>
        <w:rPr>
          <w:lang w:eastAsia="en-AU"/>
        </w:rPr>
      </w:pPr>
    </w:p>
    <w:p w14:paraId="7A5D166E" w14:textId="5DB5F663" w:rsidR="00ED09D1" w:rsidRPr="007923F2" w:rsidRDefault="00ED09D1" w:rsidP="009D45B4">
      <w:pPr>
        <w:pStyle w:val="Heading3"/>
      </w:pPr>
      <w:r w:rsidRPr="007923F2">
        <w:t>General approval not availab</w:t>
      </w:r>
      <w:r w:rsidR="008343B2">
        <w:t>le in year one</w:t>
      </w:r>
    </w:p>
    <w:p w14:paraId="60327B5C" w14:textId="77777777" w:rsidR="00ED09D1" w:rsidRPr="007923F2" w:rsidRDefault="00ED09D1" w:rsidP="009D45B4">
      <w:pPr>
        <w:rPr>
          <w:lang w:eastAsia="en-AU"/>
        </w:rPr>
      </w:pPr>
    </w:p>
    <w:p w14:paraId="0BB36CF0" w14:textId="648264F8" w:rsidR="00ED09D1" w:rsidRPr="007923F2" w:rsidRDefault="00ED09D1" w:rsidP="009D45B4">
      <w:pPr>
        <w:rPr>
          <w:lang w:eastAsia="en-AU"/>
        </w:rPr>
      </w:pPr>
      <w:r w:rsidRPr="007923F2">
        <w:rPr>
          <w:lang w:eastAsia="en-AU"/>
        </w:rPr>
        <w:t xml:space="preserve">General approval will only available from the </w:t>
      </w:r>
      <w:r w:rsidR="00E010FC">
        <w:rPr>
          <w:lang w:eastAsia="en-AU"/>
        </w:rPr>
        <w:t>2020–21</w:t>
      </w:r>
      <w:r w:rsidRPr="007923F2">
        <w:rPr>
          <w:lang w:eastAsia="en-AU"/>
        </w:rPr>
        <w:t xml:space="preserve"> income year onwards (see clause </w:t>
      </w:r>
      <w:r w:rsidR="008A299B">
        <w:rPr>
          <w:lang w:eastAsia="en-AU"/>
        </w:rPr>
        <w:t>3</w:t>
      </w:r>
      <w:r w:rsidR="004E3F74">
        <w:rPr>
          <w:lang w:eastAsia="en-AU"/>
        </w:rPr>
        <w:t>8</w:t>
      </w:r>
      <w:r w:rsidRPr="007923F2">
        <w:rPr>
          <w:lang w:eastAsia="en-AU"/>
        </w:rPr>
        <w:t>.</w:t>
      </w:r>
    </w:p>
    <w:p w14:paraId="7D66F7F8" w14:textId="77777777" w:rsidR="00ED09D1" w:rsidRPr="007923F2" w:rsidRDefault="00ED09D1" w:rsidP="009D45B4">
      <w:pPr>
        <w:rPr>
          <w:lang w:eastAsia="en-AU"/>
        </w:rPr>
      </w:pPr>
    </w:p>
    <w:p w14:paraId="7243DB8D" w14:textId="6F61765B" w:rsidR="00ED09D1" w:rsidRPr="007923F2" w:rsidRDefault="00ED09D1" w:rsidP="009D45B4">
      <w:pPr>
        <w:pStyle w:val="Heading3"/>
      </w:pPr>
      <w:r w:rsidRPr="007923F2">
        <w:t xml:space="preserve">Modification to general eligibility criteria in year </w:t>
      </w:r>
      <w:r w:rsidR="008343B2">
        <w:t>two</w:t>
      </w:r>
      <w:r w:rsidRPr="007923F2">
        <w:t xml:space="preserve"> (s</w:t>
      </w:r>
      <w:r w:rsidR="008343B2">
        <w:t>ection</w:t>
      </w:r>
      <w:r w:rsidRPr="007923F2">
        <w:t xml:space="preserve"> LY 3(1)(b)</w:t>
      </w:r>
      <w:r w:rsidR="008343B2">
        <w:t>)</w:t>
      </w:r>
    </w:p>
    <w:p w14:paraId="304AB72B" w14:textId="77777777" w:rsidR="00ED09D1" w:rsidRPr="007923F2" w:rsidRDefault="00ED09D1" w:rsidP="009D45B4">
      <w:pPr>
        <w:rPr>
          <w:lang w:eastAsia="en-AU"/>
        </w:rPr>
      </w:pPr>
    </w:p>
    <w:p w14:paraId="3D61CBB5" w14:textId="77777777" w:rsidR="00ED09D1" w:rsidRPr="007923F2" w:rsidRDefault="00ED09D1" w:rsidP="009D45B4">
      <w:pPr>
        <w:rPr>
          <w:lang w:eastAsia="en-AU"/>
        </w:rPr>
      </w:pPr>
      <w:r w:rsidRPr="007923F2">
        <w:rPr>
          <w:lang w:eastAsia="en-AU"/>
        </w:rPr>
        <w:t>A proposed amendment to section LY 3, through the insertion of new paragraph (b), ensures that obtaining general approval or opting into the significant performer regime is a prerequisite for any persons seeking to obtain R&amp;D tax credits.</w:t>
      </w:r>
    </w:p>
    <w:p w14:paraId="6BD0A57C" w14:textId="77777777" w:rsidR="00ED09D1" w:rsidRPr="007923F2" w:rsidRDefault="00ED09D1" w:rsidP="009D45B4">
      <w:pPr>
        <w:rPr>
          <w:lang w:eastAsia="en-AU"/>
        </w:rPr>
      </w:pPr>
    </w:p>
    <w:p w14:paraId="3E6971DE" w14:textId="6DCF7264" w:rsidR="00ED09D1" w:rsidRPr="007923F2" w:rsidRDefault="00A11AF3" w:rsidP="009D45B4">
      <w:pPr>
        <w:rPr>
          <w:lang w:eastAsia="en-AU"/>
        </w:rPr>
      </w:pPr>
      <w:r>
        <w:rPr>
          <w:lang w:eastAsia="en-AU"/>
        </w:rPr>
        <w:t>P</w:t>
      </w:r>
      <w:r w:rsidR="00ED09D1" w:rsidRPr="007923F2">
        <w:rPr>
          <w:lang w:eastAsia="en-AU"/>
        </w:rPr>
        <w:t>roposed new section 68CB sets out the general approval process</w:t>
      </w:r>
      <w:r w:rsidR="00576474">
        <w:rPr>
          <w:lang w:eastAsia="en-AU"/>
        </w:rPr>
        <w:t>.</w:t>
      </w:r>
      <w:r w:rsidR="00ED09D1" w:rsidRPr="007923F2">
        <w:rPr>
          <w:lang w:eastAsia="en-AU"/>
        </w:rPr>
        <w:t xml:space="preserve"> </w:t>
      </w:r>
      <w:r w:rsidR="00576474">
        <w:rPr>
          <w:lang w:eastAsia="en-AU"/>
        </w:rPr>
        <w:t>S</w:t>
      </w:r>
      <w:r w:rsidR="00ED09D1" w:rsidRPr="007923F2">
        <w:rPr>
          <w:lang w:eastAsia="en-AU"/>
        </w:rPr>
        <w:t xml:space="preserve">ection 68CC provides an alternate approval process for </w:t>
      </w:r>
      <w:r w:rsidR="003077B7">
        <w:rPr>
          <w:lang w:eastAsia="en-AU"/>
        </w:rPr>
        <w:t>persons</w:t>
      </w:r>
      <w:r w:rsidR="00ED09D1" w:rsidRPr="007923F2">
        <w:rPr>
          <w:lang w:eastAsia="en-AU"/>
        </w:rPr>
        <w:t xml:space="preserve"> who have $2</w:t>
      </w:r>
      <w:r w:rsidR="003077B7">
        <w:rPr>
          <w:lang w:eastAsia="en-AU"/>
        </w:rPr>
        <w:t xml:space="preserve"> million</w:t>
      </w:r>
      <w:r w:rsidR="00ED09D1" w:rsidRPr="007923F2">
        <w:rPr>
          <w:lang w:eastAsia="en-AU"/>
        </w:rPr>
        <w:t xml:space="preserve"> or more of eligible R&amp;D in an income year and choose to opt</w:t>
      </w:r>
      <w:r w:rsidR="003077B7">
        <w:rPr>
          <w:lang w:eastAsia="en-AU"/>
        </w:rPr>
        <w:t xml:space="preserve"> </w:t>
      </w:r>
      <w:r w:rsidR="00ED09D1" w:rsidRPr="007923F2">
        <w:rPr>
          <w:lang w:eastAsia="en-AU"/>
        </w:rPr>
        <w:t>out o</w:t>
      </w:r>
      <w:r w:rsidR="00765454">
        <w:rPr>
          <w:lang w:eastAsia="en-AU"/>
        </w:rPr>
        <w:t>f the general approval process.</w:t>
      </w:r>
    </w:p>
    <w:p w14:paraId="6E423A2C" w14:textId="77777777" w:rsidR="00ED09D1" w:rsidRPr="007923F2" w:rsidRDefault="00ED09D1" w:rsidP="009D45B4">
      <w:pPr>
        <w:rPr>
          <w:lang w:eastAsia="en-AU"/>
        </w:rPr>
      </w:pPr>
    </w:p>
    <w:p w14:paraId="7DBE92BB" w14:textId="77777777" w:rsidR="00ED09D1" w:rsidRPr="007923F2" w:rsidRDefault="00ED09D1" w:rsidP="009D45B4">
      <w:pPr>
        <w:pStyle w:val="Heading3"/>
      </w:pPr>
      <w:r w:rsidRPr="007923F2">
        <w:t>Application deadline</w:t>
      </w:r>
    </w:p>
    <w:p w14:paraId="13100DBE" w14:textId="77777777" w:rsidR="00ED09D1" w:rsidRPr="007923F2" w:rsidRDefault="00ED09D1" w:rsidP="009D45B4">
      <w:pPr>
        <w:rPr>
          <w:lang w:eastAsia="en-AU"/>
        </w:rPr>
      </w:pPr>
    </w:p>
    <w:p w14:paraId="69EBE499" w14:textId="340BA6E1" w:rsidR="00ED09D1" w:rsidRDefault="00ED09D1" w:rsidP="009D45B4">
      <w:pPr>
        <w:rPr>
          <w:lang w:eastAsia="en-AU"/>
        </w:rPr>
      </w:pPr>
      <w:r w:rsidRPr="007923F2">
        <w:rPr>
          <w:lang w:eastAsia="en-AU"/>
        </w:rPr>
        <w:t xml:space="preserve">Applications for general approval must be made by the seventh day of the second month after the end of the relevant income </w:t>
      </w:r>
      <w:r w:rsidR="00765454">
        <w:rPr>
          <w:lang w:eastAsia="en-AU"/>
        </w:rPr>
        <w:t>year.</w:t>
      </w:r>
    </w:p>
    <w:p w14:paraId="17BAA61D" w14:textId="77777777" w:rsidR="00AB6E7D" w:rsidRPr="00AB6E7D" w:rsidRDefault="00AB6E7D" w:rsidP="00AB6E7D">
      <w:r w:rsidRPr="00AB6E7D">
        <w:br w:type="page"/>
      </w:r>
    </w:p>
    <w:p w14:paraId="178F3301" w14:textId="0D6FDE95" w:rsidR="00765454" w:rsidRDefault="00765454" w:rsidP="00765454">
      <w:pPr>
        <w:pStyle w:val="Exampleheading1"/>
      </w:pPr>
      <w:r w:rsidRPr="00576474">
        <w:t>Example</w:t>
      </w:r>
      <w:r w:rsidR="0016236F">
        <w:t xml:space="preserve"> 25</w:t>
      </w:r>
      <w:r w:rsidRPr="00576474">
        <w:t xml:space="preserve">: </w:t>
      </w:r>
      <w:r w:rsidR="0016236F">
        <w:t>A</w:t>
      </w:r>
      <w:r w:rsidRPr="00576474">
        <w:t>pplication deadline for standard balance date taxpayer</w:t>
      </w:r>
    </w:p>
    <w:p w14:paraId="6BA47E82" w14:textId="77777777" w:rsidR="00765454" w:rsidRPr="00576474" w:rsidRDefault="00765454" w:rsidP="00765454">
      <w:pPr>
        <w:pStyle w:val="Exampletext"/>
      </w:pPr>
    </w:p>
    <w:p w14:paraId="20963691" w14:textId="3CE4F499" w:rsidR="00765454" w:rsidRPr="00576474" w:rsidRDefault="00765454" w:rsidP="00765454">
      <w:pPr>
        <w:pStyle w:val="Exampletext"/>
      </w:pPr>
      <w:r w:rsidRPr="00576474">
        <w:t xml:space="preserve">Taylor Ltd has a 31 March balance date. It wants to obtain general approval </w:t>
      </w:r>
      <w:r w:rsidR="00C02DAD">
        <w:t>for the year ended 31 </w:t>
      </w:r>
      <w:r w:rsidRPr="00576474">
        <w:t>March 2021. Taylor Ltd will need to ensure it applies for general approval by 7 May 2021</w:t>
      </w:r>
      <w:r w:rsidR="00A11AF3">
        <w:t>.</w:t>
      </w:r>
    </w:p>
    <w:p w14:paraId="332A9AC0" w14:textId="77777777" w:rsidR="00765454" w:rsidRDefault="00765454" w:rsidP="009D45B4">
      <w:pPr>
        <w:rPr>
          <w:lang w:eastAsia="en-AU"/>
        </w:rPr>
      </w:pPr>
    </w:p>
    <w:p w14:paraId="047F98A3" w14:textId="77777777" w:rsidR="00765454" w:rsidRDefault="00765454" w:rsidP="009D45B4">
      <w:pPr>
        <w:rPr>
          <w:lang w:eastAsia="en-AU"/>
        </w:rPr>
      </w:pPr>
    </w:p>
    <w:p w14:paraId="455B6A68" w14:textId="51712634" w:rsidR="00765454" w:rsidRPr="00576474" w:rsidRDefault="00765454" w:rsidP="00765454">
      <w:pPr>
        <w:pStyle w:val="Exampleheading1"/>
      </w:pPr>
      <w:r w:rsidRPr="00576474">
        <w:t>Example</w:t>
      </w:r>
      <w:r w:rsidR="0016236F">
        <w:t xml:space="preserve"> 2</w:t>
      </w:r>
      <w:r w:rsidR="00E24B0A">
        <w:t>6</w:t>
      </w:r>
      <w:r w:rsidRPr="00576474">
        <w:t xml:space="preserve">: </w:t>
      </w:r>
      <w:r w:rsidR="0016236F">
        <w:t>A</w:t>
      </w:r>
      <w:r w:rsidRPr="00576474">
        <w:t>pplication deadline for non-standard balance date taxpayer</w:t>
      </w:r>
    </w:p>
    <w:p w14:paraId="5F10C673" w14:textId="77777777" w:rsidR="00765454" w:rsidRDefault="00765454" w:rsidP="00765454">
      <w:pPr>
        <w:pStyle w:val="Exampletext"/>
      </w:pPr>
    </w:p>
    <w:p w14:paraId="5F0DF597" w14:textId="084B1D8B" w:rsidR="00765454" w:rsidRPr="00576474" w:rsidRDefault="00765454" w:rsidP="00765454">
      <w:pPr>
        <w:pStyle w:val="Exampletext"/>
      </w:pPr>
      <w:r w:rsidRPr="00576474">
        <w:t>Pym Ltd has a 31 December balance date</w:t>
      </w:r>
      <w:r w:rsidR="00A11AF3">
        <w:t xml:space="preserve">. </w:t>
      </w:r>
      <w:r w:rsidRPr="00576474">
        <w:t xml:space="preserve">It wants to obtain general approval </w:t>
      </w:r>
      <w:r w:rsidR="00C02DAD">
        <w:t>for</w:t>
      </w:r>
      <w:r w:rsidRPr="00576474">
        <w:t xml:space="preserve"> the year ended 31</w:t>
      </w:r>
      <w:r w:rsidR="00C02DAD">
        <w:t> </w:t>
      </w:r>
      <w:r w:rsidRPr="00576474">
        <w:t>December 2020. Pym Ltd will need to ensure it applies for general approval by 7 February 2021</w:t>
      </w:r>
      <w:r w:rsidR="00A11AF3">
        <w:t>.</w:t>
      </w:r>
    </w:p>
    <w:p w14:paraId="22F8FF00" w14:textId="77777777" w:rsidR="00765454" w:rsidRPr="007923F2" w:rsidRDefault="00765454" w:rsidP="00765454">
      <w:pPr>
        <w:rPr>
          <w:lang w:eastAsia="en-AU"/>
        </w:rPr>
      </w:pPr>
    </w:p>
    <w:p w14:paraId="19ADB2BA" w14:textId="77777777" w:rsidR="00ED09D1" w:rsidRPr="007923F2" w:rsidRDefault="00ED09D1" w:rsidP="00765454">
      <w:pPr>
        <w:rPr>
          <w:rFonts w:eastAsia="Times New Roman" w:cs="Times New Roman"/>
          <w:szCs w:val="20"/>
          <w:lang w:eastAsia="en-AU"/>
        </w:rPr>
      </w:pPr>
    </w:p>
    <w:p w14:paraId="24DB6FE5" w14:textId="77777777" w:rsidR="00ED09D1" w:rsidRPr="007923F2" w:rsidRDefault="00ED09D1" w:rsidP="009D45B4">
      <w:pPr>
        <w:pStyle w:val="Heading3"/>
      </w:pPr>
      <w:r w:rsidRPr="007923F2">
        <w:t>Application requirements</w:t>
      </w:r>
    </w:p>
    <w:p w14:paraId="116065D5" w14:textId="77777777" w:rsidR="00ED09D1" w:rsidRPr="007923F2" w:rsidRDefault="00ED09D1" w:rsidP="009D45B4">
      <w:pPr>
        <w:rPr>
          <w:lang w:eastAsia="en-AU"/>
        </w:rPr>
      </w:pPr>
    </w:p>
    <w:p w14:paraId="3A2F545A" w14:textId="5F0CFB58" w:rsidR="00ED09D1" w:rsidRPr="007923F2" w:rsidRDefault="00ED09D1" w:rsidP="009D45B4">
      <w:pPr>
        <w:rPr>
          <w:lang w:eastAsia="en-AU"/>
        </w:rPr>
      </w:pPr>
      <w:r w:rsidRPr="007923F2">
        <w:rPr>
          <w:lang w:eastAsia="en-AU"/>
        </w:rPr>
        <w:t xml:space="preserve">Applications for general approval must </w:t>
      </w:r>
      <w:r w:rsidR="00032283">
        <w:rPr>
          <w:lang w:eastAsia="en-AU"/>
        </w:rPr>
        <w:t>set out</w:t>
      </w:r>
      <w:r w:rsidRPr="007923F2">
        <w:rPr>
          <w:lang w:eastAsia="en-AU"/>
        </w:rPr>
        <w:t xml:space="preserve"> the activities a person wants approved as core activities, the income years the person wants the general approval to apply for, and any other information required by the </w:t>
      </w:r>
      <w:r w:rsidR="00765454">
        <w:rPr>
          <w:lang w:eastAsia="en-AU"/>
        </w:rPr>
        <w:t>Commissioner.</w:t>
      </w:r>
    </w:p>
    <w:p w14:paraId="44C3CE79" w14:textId="77777777" w:rsidR="00ED09D1" w:rsidRPr="007923F2" w:rsidRDefault="00ED09D1" w:rsidP="009D45B4">
      <w:pPr>
        <w:rPr>
          <w:lang w:eastAsia="en-AU"/>
        </w:rPr>
      </w:pPr>
    </w:p>
    <w:p w14:paraId="26D4C044" w14:textId="1013404E" w:rsidR="00ED09D1" w:rsidRPr="007923F2" w:rsidRDefault="00ED09D1" w:rsidP="009D45B4">
      <w:pPr>
        <w:rPr>
          <w:lang w:eastAsia="en-AU"/>
        </w:rPr>
      </w:pPr>
      <w:r w:rsidRPr="007923F2">
        <w:rPr>
          <w:lang w:eastAsia="en-AU"/>
        </w:rPr>
        <w:t xml:space="preserve">Once general approval is granted, the Commissioner must notify the person which activities are approved as core activities, the </w:t>
      </w:r>
      <w:r w:rsidR="00032283">
        <w:rPr>
          <w:lang w:eastAsia="en-AU"/>
        </w:rPr>
        <w:t>income years</w:t>
      </w:r>
      <w:r w:rsidRPr="007923F2">
        <w:rPr>
          <w:lang w:eastAsia="en-AU"/>
        </w:rPr>
        <w:t xml:space="preserve"> for which the general approval applies, and any cond</w:t>
      </w:r>
      <w:r w:rsidR="00765454">
        <w:rPr>
          <w:lang w:eastAsia="en-AU"/>
        </w:rPr>
        <w:t>itions of the general approval.</w:t>
      </w:r>
    </w:p>
    <w:p w14:paraId="4AE0AF0B" w14:textId="77777777" w:rsidR="00ED09D1" w:rsidRPr="007923F2" w:rsidRDefault="00ED09D1" w:rsidP="009D45B4">
      <w:pPr>
        <w:rPr>
          <w:lang w:eastAsia="en-AU"/>
        </w:rPr>
      </w:pPr>
    </w:p>
    <w:p w14:paraId="28A817A2" w14:textId="450A9C23" w:rsidR="00ED09D1" w:rsidRPr="007923F2" w:rsidRDefault="00ED09D1" w:rsidP="009D45B4">
      <w:pPr>
        <w:rPr>
          <w:lang w:eastAsia="en-AU"/>
        </w:rPr>
      </w:pPr>
      <w:r w:rsidRPr="007923F2">
        <w:rPr>
          <w:lang w:eastAsia="en-AU"/>
        </w:rPr>
        <w:t>The Commissioner’s decision to approve or reject a general approval ap</w:t>
      </w:r>
      <w:r w:rsidR="00765454">
        <w:rPr>
          <w:lang w:eastAsia="en-AU"/>
        </w:rPr>
        <w:t>plication cannot be challenged.</w:t>
      </w:r>
    </w:p>
    <w:p w14:paraId="539F6523" w14:textId="77777777" w:rsidR="00ED09D1" w:rsidRPr="007923F2" w:rsidRDefault="00ED09D1" w:rsidP="009D45B4">
      <w:pPr>
        <w:rPr>
          <w:lang w:eastAsia="en-AU"/>
        </w:rPr>
      </w:pPr>
    </w:p>
    <w:p w14:paraId="24F7CDE7" w14:textId="77777777" w:rsidR="00ED09D1" w:rsidRPr="007923F2" w:rsidRDefault="00ED09D1" w:rsidP="009D45B4">
      <w:pPr>
        <w:pStyle w:val="Heading3"/>
      </w:pPr>
      <w:r w:rsidRPr="007923F2">
        <w:t>Impact on core and supporting activities</w:t>
      </w:r>
    </w:p>
    <w:p w14:paraId="51A2D6C2" w14:textId="77777777" w:rsidR="00ED09D1" w:rsidRPr="007923F2" w:rsidRDefault="00ED09D1" w:rsidP="009D45B4">
      <w:pPr>
        <w:rPr>
          <w:lang w:eastAsia="en-AU"/>
        </w:rPr>
      </w:pPr>
    </w:p>
    <w:p w14:paraId="6F15A106" w14:textId="5DAC1CED" w:rsidR="00ED09D1" w:rsidRPr="007923F2" w:rsidRDefault="00ED09D1" w:rsidP="009D45B4">
      <w:pPr>
        <w:rPr>
          <w:lang w:eastAsia="en-AU"/>
        </w:rPr>
      </w:pPr>
      <w:r w:rsidRPr="007923F2">
        <w:rPr>
          <w:lang w:eastAsia="en-AU"/>
        </w:rPr>
        <w:t xml:space="preserve">General approval can only be obtained </w:t>
      </w:r>
      <w:r w:rsidR="00C02DAD">
        <w:rPr>
          <w:lang w:eastAsia="en-AU"/>
        </w:rPr>
        <w:t>for</w:t>
      </w:r>
      <w:r w:rsidRPr="007923F2">
        <w:rPr>
          <w:lang w:eastAsia="en-AU"/>
        </w:rPr>
        <w:t xml:space="preserve"> core activities. Expenditure on supporting activities is only eligible to the extent the supporting activities rela</w:t>
      </w:r>
      <w:r w:rsidR="00765454">
        <w:rPr>
          <w:lang w:eastAsia="en-AU"/>
        </w:rPr>
        <w:t>te to approved core activities.</w:t>
      </w:r>
    </w:p>
    <w:p w14:paraId="2BCF4723" w14:textId="77777777" w:rsidR="00ED09D1" w:rsidRPr="007923F2" w:rsidRDefault="00ED09D1" w:rsidP="009D45B4">
      <w:pPr>
        <w:rPr>
          <w:lang w:eastAsia="en-AU"/>
        </w:rPr>
      </w:pPr>
    </w:p>
    <w:p w14:paraId="49E8C92E" w14:textId="090666AA" w:rsidR="00ED09D1" w:rsidRPr="007923F2" w:rsidRDefault="00ED09D1" w:rsidP="009D45B4">
      <w:pPr>
        <w:pStyle w:val="Heading3"/>
      </w:pPr>
      <w:r w:rsidRPr="007923F2">
        <w:t xml:space="preserve">General approval is binding if certain requirements </w:t>
      </w:r>
      <w:r w:rsidR="008343B2">
        <w:t xml:space="preserve">are </w:t>
      </w:r>
      <w:r w:rsidRPr="007923F2">
        <w:t>met</w:t>
      </w:r>
    </w:p>
    <w:p w14:paraId="027ABDC9" w14:textId="77777777" w:rsidR="00ED09D1" w:rsidRPr="007923F2" w:rsidRDefault="00ED09D1" w:rsidP="009D45B4">
      <w:pPr>
        <w:rPr>
          <w:lang w:eastAsia="en-AU"/>
        </w:rPr>
      </w:pPr>
    </w:p>
    <w:p w14:paraId="39CF73DA" w14:textId="3E5EAE19" w:rsidR="00ED09D1" w:rsidRPr="007923F2" w:rsidRDefault="00ED09D1" w:rsidP="009D45B4">
      <w:pPr>
        <w:rPr>
          <w:lang w:eastAsia="en-AU"/>
        </w:rPr>
      </w:pPr>
      <w:r w:rsidRPr="007923F2">
        <w:rPr>
          <w:lang w:eastAsia="en-AU"/>
        </w:rPr>
        <w:t xml:space="preserve">General approval is valid and </w:t>
      </w:r>
      <w:r w:rsidR="00765454">
        <w:rPr>
          <w:lang w:eastAsia="en-AU"/>
        </w:rPr>
        <w:t>binding on the Commissioner if:</w:t>
      </w:r>
    </w:p>
    <w:p w14:paraId="669C5600" w14:textId="77777777" w:rsidR="00ED09D1" w:rsidRPr="007923F2" w:rsidRDefault="00ED09D1" w:rsidP="009D45B4">
      <w:pPr>
        <w:rPr>
          <w:lang w:eastAsia="en-AU"/>
        </w:rPr>
      </w:pPr>
    </w:p>
    <w:p w14:paraId="169C2CBF" w14:textId="0DB6AA4C" w:rsidR="00ED09D1" w:rsidRPr="007923F2" w:rsidRDefault="008343B2" w:rsidP="009D45B4">
      <w:pPr>
        <w:pStyle w:val="dotpoint"/>
      </w:pPr>
      <w:r>
        <w:t>a</w:t>
      </w:r>
      <w:r w:rsidR="00ED09D1" w:rsidRPr="007923F2">
        <w:t xml:space="preserve"> pe</w:t>
      </w:r>
      <w:r w:rsidR="00765454">
        <w:t>rson’s application is accurate;</w:t>
      </w:r>
    </w:p>
    <w:p w14:paraId="006D60B3" w14:textId="5F228925" w:rsidR="00ED09D1" w:rsidRPr="007923F2" w:rsidRDefault="008343B2" w:rsidP="009D45B4">
      <w:pPr>
        <w:pStyle w:val="dotpoint"/>
      </w:pPr>
      <w:r>
        <w:t>t</w:t>
      </w:r>
      <w:r w:rsidR="00ED09D1" w:rsidRPr="007923F2">
        <w:t xml:space="preserve">he person satisfies any conditions of the general approval that have been </w:t>
      </w:r>
      <w:r w:rsidR="004E3F74">
        <w:t>set</w:t>
      </w:r>
      <w:r w:rsidR="00ED09D1" w:rsidRPr="007923F2">
        <w:t xml:space="preserve"> by the Commissioner;</w:t>
      </w:r>
      <w:r>
        <w:t xml:space="preserve"> and</w:t>
      </w:r>
    </w:p>
    <w:p w14:paraId="7F23672D" w14:textId="3484A108" w:rsidR="00ED09D1" w:rsidRPr="007923F2" w:rsidRDefault="008343B2" w:rsidP="009D45B4">
      <w:pPr>
        <w:pStyle w:val="dotpoint"/>
        <w:spacing w:after="0"/>
      </w:pPr>
      <w:r>
        <w:t>t</w:t>
      </w:r>
      <w:r w:rsidR="00ED09D1" w:rsidRPr="007923F2">
        <w:t>here is no change to subpart LY (and any associated provisions) that materially alters the basis on which the</w:t>
      </w:r>
      <w:r w:rsidR="00765454">
        <w:t xml:space="preserve"> general approval was provided.</w:t>
      </w:r>
    </w:p>
    <w:p w14:paraId="0C3A1360" w14:textId="77777777" w:rsidR="00ED09D1" w:rsidRPr="007923F2" w:rsidRDefault="00ED09D1" w:rsidP="009D45B4">
      <w:pPr>
        <w:rPr>
          <w:lang w:eastAsia="en-AU"/>
        </w:rPr>
      </w:pPr>
    </w:p>
    <w:p w14:paraId="2B0609CA" w14:textId="3CB4BE8C" w:rsidR="00ED09D1" w:rsidRDefault="00ED09D1" w:rsidP="009D45B4">
      <w:pPr>
        <w:rPr>
          <w:lang w:eastAsia="en-AU"/>
        </w:rPr>
      </w:pPr>
      <w:r w:rsidRPr="007923F2">
        <w:rPr>
          <w:lang w:eastAsia="en-AU"/>
        </w:rPr>
        <w:t>If the Commissioner has provided general approval for more than one income year under section 68 CB(3), then the person must provide the Commissioner with confirmation that they have continued to satisfy the condit</w:t>
      </w:r>
      <w:r w:rsidR="00765454">
        <w:rPr>
          <w:lang w:eastAsia="en-AU"/>
        </w:rPr>
        <w:t>ions of their general approval.</w:t>
      </w:r>
    </w:p>
    <w:p w14:paraId="5EB0594D" w14:textId="77777777" w:rsidR="002B4A33" w:rsidRDefault="002B4A33" w:rsidP="009D45B4">
      <w:pPr>
        <w:rPr>
          <w:lang w:eastAsia="en-AU"/>
        </w:rPr>
      </w:pPr>
    </w:p>
    <w:p w14:paraId="43B5ED82" w14:textId="77777777" w:rsidR="00AB6E7D" w:rsidRPr="00AB6E7D" w:rsidRDefault="00AB6E7D" w:rsidP="00AB6E7D">
      <w:r w:rsidRPr="00AB6E7D">
        <w:br w:type="page"/>
      </w:r>
    </w:p>
    <w:p w14:paraId="53629463" w14:textId="6E8371E9" w:rsidR="00ED09D1" w:rsidRPr="007923F2" w:rsidRDefault="00ED09D1" w:rsidP="009D45B4">
      <w:pPr>
        <w:pStyle w:val="Heading3"/>
      </w:pPr>
      <w:r w:rsidRPr="007923F2">
        <w:t>Varying an existing general approval</w:t>
      </w:r>
    </w:p>
    <w:p w14:paraId="07E38005" w14:textId="77777777" w:rsidR="00ED09D1" w:rsidRPr="007923F2" w:rsidRDefault="00ED09D1" w:rsidP="009D45B4">
      <w:pPr>
        <w:rPr>
          <w:lang w:eastAsia="en-AU"/>
        </w:rPr>
      </w:pPr>
    </w:p>
    <w:p w14:paraId="3DB3026E" w14:textId="7B5B63EB" w:rsidR="00ED09D1" w:rsidRPr="007923F2" w:rsidRDefault="00ED09D1" w:rsidP="009D45B4">
      <w:pPr>
        <w:rPr>
          <w:lang w:eastAsia="en-AU"/>
        </w:rPr>
      </w:pPr>
      <w:r w:rsidRPr="007923F2">
        <w:rPr>
          <w:lang w:eastAsia="en-AU"/>
        </w:rPr>
        <w:t xml:space="preserve">A person can apply to vary an existing general approval if their circumstances change. An application to </w:t>
      </w:r>
      <w:r w:rsidR="00032283">
        <w:rPr>
          <w:lang w:eastAsia="en-AU"/>
        </w:rPr>
        <w:t>do this</w:t>
      </w:r>
      <w:r w:rsidRPr="007923F2">
        <w:rPr>
          <w:lang w:eastAsia="en-AU"/>
        </w:rPr>
        <w:t xml:space="preserve"> must be submitted by the seventh day of the second month after the end of the relevant income year (which is the same application deadline for new </w:t>
      </w:r>
      <w:r w:rsidR="00765454">
        <w:rPr>
          <w:lang w:eastAsia="en-AU"/>
        </w:rPr>
        <w:t>general approval applications).</w:t>
      </w:r>
    </w:p>
    <w:p w14:paraId="64787FAC" w14:textId="77777777" w:rsidR="00ED09D1" w:rsidRDefault="00ED09D1" w:rsidP="009D45B4">
      <w:pPr>
        <w:rPr>
          <w:lang w:eastAsia="en-AU"/>
        </w:rPr>
      </w:pPr>
    </w:p>
    <w:p w14:paraId="7DC6DD05" w14:textId="77777777" w:rsidR="00ED09D1" w:rsidRPr="007923F2" w:rsidRDefault="00ED09D1" w:rsidP="009D45B4">
      <w:pPr>
        <w:pStyle w:val="Heading3"/>
      </w:pPr>
      <w:r w:rsidRPr="007923F2">
        <w:t>Opting out of the general approval regime</w:t>
      </w:r>
    </w:p>
    <w:p w14:paraId="511A0C77" w14:textId="77777777" w:rsidR="00ED09D1" w:rsidRPr="007923F2" w:rsidRDefault="00ED09D1" w:rsidP="009D45B4">
      <w:pPr>
        <w:rPr>
          <w:lang w:eastAsia="en-AU"/>
        </w:rPr>
      </w:pPr>
    </w:p>
    <w:p w14:paraId="6F5D109D" w14:textId="75259A55" w:rsidR="00ED09D1" w:rsidRPr="007923F2" w:rsidRDefault="00ED09D1" w:rsidP="009D45B4">
      <w:pPr>
        <w:rPr>
          <w:lang w:eastAsia="en-AU"/>
        </w:rPr>
      </w:pPr>
      <w:r w:rsidRPr="007923F2">
        <w:rPr>
          <w:lang w:eastAsia="en-AU"/>
        </w:rPr>
        <w:t>A person can opt out of the general approval regime if they satisfy the requirements of proposed new section 68CC(1), which says that section 68CC ap</w:t>
      </w:r>
      <w:r w:rsidR="00765454">
        <w:rPr>
          <w:lang w:eastAsia="en-AU"/>
        </w:rPr>
        <w:t>plies if</w:t>
      </w:r>
      <w:r w:rsidR="00032283">
        <w:rPr>
          <w:lang w:eastAsia="en-AU"/>
        </w:rPr>
        <w:t xml:space="preserve"> a person</w:t>
      </w:r>
      <w:r w:rsidR="00765454">
        <w:rPr>
          <w:lang w:eastAsia="en-AU"/>
        </w:rPr>
        <w:t>:</w:t>
      </w:r>
    </w:p>
    <w:p w14:paraId="605339A4" w14:textId="77777777" w:rsidR="00ED09D1" w:rsidRPr="007923F2" w:rsidRDefault="00ED09D1" w:rsidP="009D45B4">
      <w:pPr>
        <w:rPr>
          <w:lang w:eastAsia="en-AU"/>
        </w:rPr>
      </w:pPr>
    </w:p>
    <w:p w14:paraId="73D723EA" w14:textId="15F267B7" w:rsidR="00ED09D1" w:rsidRPr="007923F2" w:rsidRDefault="008343B2" w:rsidP="009D45B4">
      <w:pPr>
        <w:pStyle w:val="dotpoint"/>
      </w:pPr>
      <w:r>
        <w:t>c</w:t>
      </w:r>
      <w:r w:rsidR="00ED09D1" w:rsidRPr="007923F2">
        <w:t>hooses to opt out of the general approval regime</w:t>
      </w:r>
      <w:r w:rsidR="003077B7">
        <w:t>;</w:t>
      </w:r>
      <w:r w:rsidR="00ED09D1" w:rsidRPr="007923F2">
        <w:t xml:space="preserve"> and</w:t>
      </w:r>
    </w:p>
    <w:p w14:paraId="1F89B1F5" w14:textId="7B4BE1AD" w:rsidR="00ED09D1" w:rsidRPr="007923F2" w:rsidRDefault="008343B2" w:rsidP="009D45B4">
      <w:pPr>
        <w:pStyle w:val="dotpoint"/>
        <w:spacing w:after="0"/>
      </w:pPr>
      <w:r>
        <w:t>h</w:t>
      </w:r>
      <w:r w:rsidR="00ED09D1" w:rsidRPr="007923F2">
        <w:t>as more than $2</w:t>
      </w:r>
      <w:r w:rsidR="003077B7">
        <w:t xml:space="preserve"> </w:t>
      </w:r>
      <w:r w:rsidR="00ED09D1" w:rsidRPr="007923F2">
        <w:t>m</w:t>
      </w:r>
      <w:r w:rsidR="003077B7">
        <w:t>illion</w:t>
      </w:r>
      <w:r w:rsidR="00ED09D1" w:rsidRPr="007923F2">
        <w:t xml:space="preserve"> of eligible R&amp;D expenditure for the relevant income year, or reasonably estimates that they will have more than $2</w:t>
      </w:r>
      <w:r w:rsidR="003077B7">
        <w:t xml:space="preserve"> </w:t>
      </w:r>
      <w:r w:rsidR="00ED09D1" w:rsidRPr="007923F2">
        <w:t>m</w:t>
      </w:r>
      <w:r w:rsidR="003077B7">
        <w:t>illion</w:t>
      </w:r>
      <w:r w:rsidR="00ED09D1" w:rsidRPr="007923F2">
        <w:t xml:space="preserve"> of eligible R&amp;D expenditure for the relevant income year.</w:t>
      </w:r>
    </w:p>
    <w:p w14:paraId="007CD7DA" w14:textId="77777777" w:rsidR="00ED09D1" w:rsidRPr="007923F2" w:rsidRDefault="00ED09D1" w:rsidP="009D45B4">
      <w:pPr>
        <w:rPr>
          <w:lang w:eastAsia="en-AU"/>
        </w:rPr>
      </w:pPr>
    </w:p>
    <w:p w14:paraId="5071837C" w14:textId="2FF5115C" w:rsidR="00ED09D1" w:rsidRPr="007923F2" w:rsidRDefault="00ED09D1" w:rsidP="009D45B4">
      <w:pPr>
        <w:rPr>
          <w:lang w:eastAsia="en-AU"/>
        </w:rPr>
      </w:pPr>
      <w:r w:rsidRPr="007923F2">
        <w:rPr>
          <w:lang w:eastAsia="en-AU"/>
        </w:rPr>
        <w:t>A person can also satisfy the $2</w:t>
      </w:r>
      <w:r w:rsidR="003077B7">
        <w:rPr>
          <w:lang w:eastAsia="en-AU"/>
        </w:rPr>
        <w:t xml:space="preserve"> </w:t>
      </w:r>
      <w:r w:rsidRPr="007923F2">
        <w:rPr>
          <w:lang w:eastAsia="en-AU"/>
        </w:rPr>
        <w:t>m</w:t>
      </w:r>
      <w:r w:rsidR="003077B7">
        <w:rPr>
          <w:lang w:eastAsia="en-AU"/>
        </w:rPr>
        <w:t>illion</w:t>
      </w:r>
      <w:r w:rsidRPr="007923F2">
        <w:rPr>
          <w:lang w:eastAsia="en-AU"/>
        </w:rPr>
        <w:t xml:space="preserve"> threshold by grouping their expenditure with other members of their corporate group. A person in partnership with othe</w:t>
      </w:r>
      <w:r w:rsidR="00576474">
        <w:rPr>
          <w:lang w:eastAsia="en-AU"/>
        </w:rPr>
        <w:t>rs is not assessed individually.</w:t>
      </w:r>
      <w:r w:rsidRPr="007923F2">
        <w:rPr>
          <w:lang w:eastAsia="en-AU"/>
        </w:rPr>
        <w:t xml:space="preserve"> </w:t>
      </w:r>
      <w:r w:rsidR="00576474">
        <w:rPr>
          <w:lang w:eastAsia="en-AU"/>
        </w:rPr>
        <w:t xml:space="preserve">The person </w:t>
      </w:r>
      <w:r w:rsidRPr="007923F2">
        <w:rPr>
          <w:lang w:eastAsia="en-AU"/>
        </w:rPr>
        <w:t>satisfies the $2</w:t>
      </w:r>
      <w:r w:rsidR="003077B7">
        <w:rPr>
          <w:lang w:eastAsia="en-AU"/>
        </w:rPr>
        <w:t xml:space="preserve"> </w:t>
      </w:r>
      <w:r w:rsidRPr="007923F2">
        <w:rPr>
          <w:lang w:eastAsia="en-AU"/>
        </w:rPr>
        <w:t>m</w:t>
      </w:r>
      <w:r w:rsidR="003077B7">
        <w:rPr>
          <w:lang w:eastAsia="en-AU"/>
        </w:rPr>
        <w:t>illion</w:t>
      </w:r>
      <w:r w:rsidRPr="007923F2">
        <w:rPr>
          <w:lang w:eastAsia="en-AU"/>
        </w:rPr>
        <w:t xml:space="preserve"> threshold if their partnership has more than $2</w:t>
      </w:r>
      <w:r w:rsidR="003077B7">
        <w:rPr>
          <w:lang w:eastAsia="en-AU"/>
        </w:rPr>
        <w:t xml:space="preserve"> </w:t>
      </w:r>
      <w:r w:rsidRPr="007923F2">
        <w:rPr>
          <w:lang w:eastAsia="en-AU"/>
        </w:rPr>
        <w:t>m</w:t>
      </w:r>
      <w:r w:rsidR="003077B7">
        <w:rPr>
          <w:lang w:eastAsia="en-AU"/>
        </w:rPr>
        <w:t>illion</w:t>
      </w:r>
      <w:r w:rsidRPr="007923F2">
        <w:rPr>
          <w:lang w:eastAsia="en-AU"/>
        </w:rPr>
        <w:t xml:space="preserve"> of eligible R&amp;D</w:t>
      </w:r>
      <w:r w:rsidR="00765454">
        <w:rPr>
          <w:lang w:eastAsia="en-AU"/>
        </w:rPr>
        <w:t xml:space="preserve"> expenditure in an income year.</w:t>
      </w:r>
    </w:p>
    <w:p w14:paraId="19FBD2BD" w14:textId="77777777" w:rsidR="00ED09D1" w:rsidRPr="007923F2" w:rsidRDefault="00ED09D1" w:rsidP="009D45B4">
      <w:pPr>
        <w:rPr>
          <w:lang w:val="en-GB" w:eastAsia="en-AU"/>
        </w:rPr>
      </w:pPr>
    </w:p>
    <w:p w14:paraId="6CD056BA" w14:textId="77777777" w:rsidR="00ED09D1" w:rsidRDefault="00ED09D1" w:rsidP="00ED09D1">
      <w:pPr>
        <w:rPr>
          <w:rFonts w:eastAsia="Times New Roman" w:cs="Times New Roman"/>
          <w:b/>
          <w:caps/>
          <w:sz w:val="26"/>
          <w:szCs w:val="20"/>
          <w:lang w:eastAsia="en-AU"/>
        </w:rPr>
      </w:pPr>
      <w:r>
        <w:rPr>
          <w:rFonts w:eastAsia="Times New Roman" w:cs="Times New Roman"/>
          <w:b/>
          <w:caps/>
          <w:sz w:val="26"/>
          <w:szCs w:val="20"/>
          <w:lang w:eastAsia="en-AU"/>
        </w:rPr>
        <w:br w:type="page"/>
      </w:r>
    </w:p>
    <w:p w14:paraId="71DEB5E1" w14:textId="707408F5" w:rsidR="00ED09D1" w:rsidRPr="007923F2" w:rsidRDefault="00ED09D1" w:rsidP="0039391B">
      <w:pPr>
        <w:pStyle w:val="Heading1"/>
      </w:pPr>
      <w:bookmarkStart w:id="82" w:name="_Toc528157385"/>
      <w:bookmarkStart w:id="83" w:name="_Toc528195607"/>
      <w:r w:rsidRPr="007923F2">
        <w:t xml:space="preserve">Approval: </w:t>
      </w:r>
      <w:r>
        <w:t>s</w:t>
      </w:r>
      <w:r w:rsidRPr="007923F2">
        <w:t>ignificant performer regime (</w:t>
      </w:r>
      <w:r w:rsidR="002B2EEB">
        <w:t>y</w:t>
      </w:r>
      <w:r w:rsidRPr="007923F2">
        <w:t xml:space="preserve">ear </w:t>
      </w:r>
      <w:r w:rsidR="00C02DAD">
        <w:t>two</w:t>
      </w:r>
      <w:r w:rsidRPr="007923F2">
        <w:t>)</w:t>
      </w:r>
      <w:bookmarkEnd w:id="82"/>
      <w:bookmarkEnd w:id="83"/>
    </w:p>
    <w:p w14:paraId="07F475DF" w14:textId="7C127B39" w:rsidR="00ED09D1" w:rsidRPr="007923F2" w:rsidRDefault="00ED09D1" w:rsidP="0039391B">
      <w:pPr>
        <w:pStyle w:val="Heading3"/>
      </w:pPr>
      <w:r w:rsidRPr="007923F2">
        <w:t xml:space="preserve">Clauses </w:t>
      </w:r>
      <w:r w:rsidR="008A299B">
        <w:t>38</w:t>
      </w:r>
      <w:r w:rsidRPr="007923F2">
        <w:t>, 3</w:t>
      </w:r>
      <w:r w:rsidR="008A299B">
        <w:t>9</w:t>
      </w:r>
      <w:r w:rsidRPr="007923F2">
        <w:t>, 4</w:t>
      </w:r>
      <w:r w:rsidR="008A299B">
        <w:t>2</w:t>
      </w:r>
      <w:r w:rsidRPr="007923F2">
        <w:t>, 4</w:t>
      </w:r>
      <w:r w:rsidR="008A299B">
        <w:t>3</w:t>
      </w:r>
      <w:r w:rsidR="00D96680">
        <w:t xml:space="preserve"> and</w:t>
      </w:r>
      <w:r w:rsidRPr="007923F2">
        <w:t xml:space="preserve"> 4</w:t>
      </w:r>
      <w:r w:rsidR="008A299B">
        <w:t>4</w:t>
      </w:r>
    </w:p>
    <w:p w14:paraId="485AACAD" w14:textId="77777777" w:rsidR="00ED09D1" w:rsidRDefault="00ED09D1" w:rsidP="0039391B">
      <w:pPr>
        <w:rPr>
          <w:lang w:eastAsia="en-AU"/>
        </w:rPr>
      </w:pPr>
    </w:p>
    <w:p w14:paraId="0CCBF2A2" w14:textId="77777777" w:rsidR="0039391B" w:rsidRPr="007923F2" w:rsidRDefault="0039391B" w:rsidP="0039391B">
      <w:pPr>
        <w:rPr>
          <w:lang w:eastAsia="en-AU"/>
        </w:rPr>
      </w:pPr>
    </w:p>
    <w:p w14:paraId="599F3952" w14:textId="1CC5E3EE" w:rsidR="00ED09D1" w:rsidRPr="007923F2" w:rsidRDefault="00ED09D1" w:rsidP="0039391B">
      <w:pPr>
        <w:pStyle w:val="Heading2"/>
      </w:pPr>
      <w:r w:rsidRPr="007923F2">
        <w:t>Summary of proposed amendment</w:t>
      </w:r>
    </w:p>
    <w:p w14:paraId="4C66DBC6" w14:textId="77777777" w:rsidR="00ED09D1" w:rsidRPr="007923F2" w:rsidRDefault="00ED09D1" w:rsidP="0039391B">
      <w:pPr>
        <w:rPr>
          <w:lang w:eastAsia="en-AU"/>
        </w:rPr>
      </w:pPr>
    </w:p>
    <w:p w14:paraId="210A24BB" w14:textId="36223163" w:rsidR="00ED09D1" w:rsidRPr="007923F2" w:rsidRDefault="00ED09D1" w:rsidP="0039391B">
      <w:pPr>
        <w:rPr>
          <w:lang w:eastAsia="en-AU"/>
        </w:rPr>
      </w:pPr>
      <w:r w:rsidRPr="007923F2">
        <w:rPr>
          <w:lang w:eastAsia="en-AU"/>
        </w:rPr>
        <w:t xml:space="preserve">The </w:t>
      </w:r>
      <w:r w:rsidR="003077B7">
        <w:rPr>
          <w:lang w:eastAsia="en-AU"/>
        </w:rPr>
        <w:t>B</w:t>
      </w:r>
      <w:r w:rsidRPr="007923F2">
        <w:rPr>
          <w:lang w:eastAsia="en-AU"/>
        </w:rPr>
        <w:t xml:space="preserve">ill proposes that </w:t>
      </w:r>
      <w:r w:rsidR="003077B7">
        <w:rPr>
          <w:lang w:eastAsia="en-AU"/>
        </w:rPr>
        <w:t>persons</w:t>
      </w:r>
      <w:r w:rsidRPr="007923F2">
        <w:rPr>
          <w:lang w:eastAsia="en-AU"/>
        </w:rPr>
        <w:t xml:space="preserve"> with more than $2</w:t>
      </w:r>
      <w:r w:rsidR="003077B7">
        <w:rPr>
          <w:lang w:eastAsia="en-AU"/>
        </w:rPr>
        <w:t xml:space="preserve"> </w:t>
      </w:r>
      <w:r w:rsidRPr="007923F2">
        <w:rPr>
          <w:lang w:eastAsia="en-AU"/>
        </w:rPr>
        <w:t>m</w:t>
      </w:r>
      <w:r w:rsidR="003077B7">
        <w:rPr>
          <w:lang w:eastAsia="en-AU"/>
        </w:rPr>
        <w:t>illion</w:t>
      </w:r>
      <w:r w:rsidRPr="007923F2">
        <w:rPr>
          <w:lang w:eastAsia="en-AU"/>
        </w:rPr>
        <w:t xml:space="preserve"> of eligible expenditure in an income year have the ability to opt out of the general approval process and into th</w:t>
      </w:r>
      <w:r w:rsidR="00C153F0">
        <w:rPr>
          <w:lang w:eastAsia="en-AU"/>
        </w:rPr>
        <w:t>e significant performer regime.</w:t>
      </w:r>
    </w:p>
    <w:p w14:paraId="1D2FDFB2" w14:textId="77777777" w:rsidR="00ED09D1" w:rsidRDefault="00ED09D1" w:rsidP="0039391B">
      <w:pPr>
        <w:rPr>
          <w:lang w:eastAsia="en-AU"/>
        </w:rPr>
      </w:pPr>
    </w:p>
    <w:p w14:paraId="0727EF0C" w14:textId="77777777" w:rsidR="0039391B" w:rsidRPr="007923F2" w:rsidRDefault="0039391B" w:rsidP="0039391B">
      <w:pPr>
        <w:rPr>
          <w:lang w:eastAsia="en-AU"/>
        </w:rPr>
      </w:pPr>
    </w:p>
    <w:p w14:paraId="50A56743" w14:textId="77777777" w:rsidR="00ED09D1" w:rsidRPr="007923F2" w:rsidRDefault="00ED09D1" w:rsidP="0039391B">
      <w:pPr>
        <w:pStyle w:val="Heading2"/>
      </w:pPr>
      <w:r w:rsidRPr="007923F2">
        <w:t>Application date</w:t>
      </w:r>
    </w:p>
    <w:p w14:paraId="747746A2" w14:textId="77777777" w:rsidR="00ED09D1" w:rsidRPr="007923F2" w:rsidRDefault="00ED09D1" w:rsidP="0039391B">
      <w:pPr>
        <w:rPr>
          <w:lang w:eastAsia="en-AU"/>
        </w:rPr>
      </w:pPr>
    </w:p>
    <w:p w14:paraId="1EDDB821" w14:textId="38603FAE" w:rsidR="00ED09D1" w:rsidRPr="007923F2" w:rsidRDefault="00ED09D1" w:rsidP="0039391B">
      <w:pPr>
        <w:rPr>
          <w:lang w:eastAsia="en-AU"/>
        </w:rPr>
      </w:pPr>
      <w:r w:rsidRPr="007923F2">
        <w:rPr>
          <w:lang w:eastAsia="en-AU"/>
        </w:rPr>
        <w:t xml:space="preserve">From the </w:t>
      </w:r>
      <w:r w:rsidR="00E010FC">
        <w:rPr>
          <w:lang w:eastAsia="en-AU"/>
        </w:rPr>
        <w:t>2020–21</w:t>
      </w:r>
      <w:r w:rsidRPr="007923F2">
        <w:rPr>
          <w:lang w:eastAsia="en-AU"/>
        </w:rPr>
        <w:t xml:space="preserve"> income year.</w:t>
      </w:r>
    </w:p>
    <w:p w14:paraId="3AED8675" w14:textId="77777777" w:rsidR="00ED09D1" w:rsidRDefault="00ED09D1" w:rsidP="0039391B">
      <w:pPr>
        <w:rPr>
          <w:lang w:eastAsia="en-AU"/>
        </w:rPr>
      </w:pPr>
    </w:p>
    <w:p w14:paraId="220A49B2" w14:textId="77777777" w:rsidR="0039391B" w:rsidRPr="007923F2" w:rsidRDefault="0039391B" w:rsidP="0039391B">
      <w:pPr>
        <w:rPr>
          <w:lang w:eastAsia="en-AU"/>
        </w:rPr>
      </w:pPr>
    </w:p>
    <w:p w14:paraId="454C0062" w14:textId="77777777" w:rsidR="00ED09D1" w:rsidRPr="007923F2" w:rsidRDefault="00ED09D1" w:rsidP="0039391B">
      <w:pPr>
        <w:pStyle w:val="Heading2"/>
      </w:pPr>
      <w:r w:rsidRPr="007923F2">
        <w:t>Key features</w:t>
      </w:r>
    </w:p>
    <w:p w14:paraId="0FB78D31" w14:textId="77777777" w:rsidR="00ED09D1" w:rsidRPr="007923F2" w:rsidRDefault="00ED09D1" w:rsidP="0039391B">
      <w:pPr>
        <w:rPr>
          <w:lang w:eastAsia="en-AU"/>
        </w:rPr>
      </w:pPr>
    </w:p>
    <w:p w14:paraId="0FB03F42" w14:textId="6CDEFDC6" w:rsidR="00ED09D1" w:rsidRPr="007923F2" w:rsidRDefault="00ED09D1" w:rsidP="0039391B">
      <w:pPr>
        <w:rPr>
          <w:lang w:eastAsia="en-AU"/>
        </w:rPr>
      </w:pPr>
      <w:r w:rsidRPr="007923F2">
        <w:rPr>
          <w:lang w:eastAsia="en-AU"/>
        </w:rPr>
        <w:t xml:space="preserve">From the </w:t>
      </w:r>
      <w:r w:rsidR="00E010FC">
        <w:rPr>
          <w:lang w:eastAsia="en-AU"/>
        </w:rPr>
        <w:t>2020–21</w:t>
      </w:r>
      <w:r w:rsidRPr="007923F2">
        <w:rPr>
          <w:lang w:eastAsia="en-AU"/>
        </w:rPr>
        <w:t xml:space="preserve"> income year, all persons will be required to obtain approval under either proposed new section 68CB or section 68CC. The default rule is general approval, which is in proposed new section 68CB</w:t>
      </w:r>
      <w:r w:rsidR="00C057FD">
        <w:rPr>
          <w:lang w:eastAsia="en-AU"/>
        </w:rPr>
        <w:t>. S</w:t>
      </w:r>
      <w:r w:rsidRPr="007923F2">
        <w:rPr>
          <w:lang w:eastAsia="en-AU"/>
        </w:rPr>
        <w:t xml:space="preserve">ee </w:t>
      </w:r>
      <w:r w:rsidR="00C057FD">
        <w:rPr>
          <w:lang w:eastAsia="en-AU"/>
        </w:rPr>
        <w:t xml:space="preserve">the section on </w:t>
      </w:r>
      <w:r w:rsidR="00C057FD" w:rsidRPr="00C057FD">
        <w:rPr>
          <w:rStyle w:val="Emphasis"/>
          <w:lang w:eastAsia="en-AU"/>
        </w:rPr>
        <w:t>Approval: general approval process (year two)</w:t>
      </w:r>
      <w:r w:rsidR="00C057FD" w:rsidRPr="00C057FD">
        <w:rPr>
          <w:lang w:eastAsia="en-AU"/>
        </w:rPr>
        <w:t xml:space="preserve"> </w:t>
      </w:r>
      <w:r w:rsidR="00C057FD">
        <w:rPr>
          <w:lang w:eastAsia="en-AU"/>
        </w:rPr>
        <w:t>(</w:t>
      </w:r>
      <w:r w:rsidRPr="002B4A33">
        <w:rPr>
          <w:lang w:eastAsia="en-AU"/>
        </w:rPr>
        <w:t xml:space="preserve">page </w:t>
      </w:r>
      <w:r w:rsidR="00C057FD">
        <w:rPr>
          <w:lang w:eastAsia="en-AU"/>
        </w:rPr>
        <w:t>95)</w:t>
      </w:r>
      <w:r w:rsidRPr="007923F2">
        <w:rPr>
          <w:lang w:eastAsia="en-AU"/>
        </w:rPr>
        <w:t xml:space="preserve"> for more information</w:t>
      </w:r>
      <w:r w:rsidR="00C153F0">
        <w:rPr>
          <w:lang w:eastAsia="en-AU"/>
        </w:rPr>
        <w:t>.</w:t>
      </w:r>
    </w:p>
    <w:p w14:paraId="77779220" w14:textId="77777777" w:rsidR="00ED09D1" w:rsidRPr="007923F2" w:rsidRDefault="00ED09D1" w:rsidP="0039391B">
      <w:pPr>
        <w:rPr>
          <w:lang w:eastAsia="en-AU"/>
        </w:rPr>
      </w:pPr>
    </w:p>
    <w:p w14:paraId="412DDCF2" w14:textId="33B42955" w:rsidR="00ED09D1" w:rsidRPr="007923F2" w:rsidRDefault="00ED09D1" w:rsidP="0039391B">
      <w:pPr>
        <w:rPr>
          <w:lang w:eastAsia="en-AU"/>
        </w:rPr>
      </w:pPr>
      <w:r w:rsidRPr="007923F2">
        <w:rPr>
          <w:lang w:eastAsia="en-AU"/>
        </w:rPr>
        <w:t xml:space="preserve">An alternative to the general approval process, the significant performer regime, is available to </w:t>
      </w:r>
      <w:r w:rsidR="003077B7">
        <w:rPr>
          <w:lang w:eastAsia="en-AU"/>
        </w:rPr>
        <w:t>persons</w:t>
      </w:r>
      <w:r w:rsidRPr="007923F2">
        <w:rPr>
          <w:lang w:eastAsia="en-AU"/>
        </w:rPr>
        <w:t xml:space="preserve"> who have (or reasonably estimate that they will have) more than $2</w:t>
      </w:r>
      <w:r w:rsidR="003077B7">
        <w:rPr>
          <w:lang w:eastAsia="en-AU"/>
        </w:rPr>
        <w:t xml:space="preserve"> </w:t>
      </w:r>
      <w:r w:rsidRPr="007923F2">
        <w:rPr>
          <w:lang w:eastAsia="en-AU"/>
        </w:rPr>
        <w:t>m</w:t>
      </w:r>
      <w:r w:rsidR="003077B7">
        <w:rPr>
          <w:lang w:eastAsia="en-AU"/>
        </w:rPr>
        <w:t>illion</w:t>
      </w:r>
      <w:r w:rsidRPr="007923F2">
        <w:rPr>
          <w:lang w:eastAsia="en-AU"/>
        </w:rPr>
        <w:t xml:space="preserve"> of eligible expenditure in an income year. </w:t>
      </w:r>
      <w:r w:rsidR="00576474">
        <w:rPr>
          <w:lang w:eastAsia="en-AU"/>
        </w:rPr>
        <w:t xml:space="preserve">A person </w:t>
      </w:r>
      <w:r w:rsidRPr="007923F2">
        <w:rPr>
          <w:lang w:eastAsia="en-AU"/>
        </w:rPr>
        <w:t>must notify the Commissioner if they wish to opt out of the general approval process and into the significant performer regime.</w:t>
      </w:r>
    </w:p>
    <w:p w14:paraId="17820B8E" w14:textId="77777777" w:rsidR="00ED09D1" w:rsidRDefault="00ED09D1" w:rsidP="0039391B">
      <w:pPr>
        <w:rPr>
          <w:lang w:eastAsia="en-AU"/>
        </w:rPr>
      </w:pPr>
    </w:p>
    <w:p w14:paraId="7B6A39A5" w14:textId="07FFCE9C" w:rsidR="00273DF6" w:rsidRDefault="00273DF6" w:rsidP="0039391B">
      <w:pPr>
        <w:rPr>
          <w:lang w:eastAsia="en-AU"/>
        </w:rPr>
      </w:pPr>
      <w:r>
        <w:rPr>
          <w:lang w:eastAsia="en-AU"/>
        </w:rPr>
        <w:t>A decision made by the Commissioner under the proposed new sections cannot be challenged, except through judicial review.</w:t>
      </w:r>
    </w:p>
    <w:p w14:paraId="717D9FD9" w14:textId="77777777" w:rsidR="00273DF6" w:rsidRPr="007923F2" w:rsidRDefault="00273DF6" w:rsidP="0039391B">
      <w:pPr>
        <w:rPr>
          <w:lang w:eastAsia="en-AU"/>
        </w:rPr>
      </w:pPr>
    </w:p>
    <w:p w14:paraId="7301FFAE" w14:textId="77777777" w:rsidR="00ED09D1" w:rsidRPr="007923F2" w:rsidRDefault="00ED09D1" w:rsidP="0039391B">
      <w:pPr>
        <w:pStyle w:val="Heading3"/>
      </w:pPr>
      <w:r w:rsidRPr="007923F2">
        <w:t>Significant performer regime requirements</w:t>
      </w:r>
    </w:p>
    <w:p w14:paraId="2EBA9FC9" w14:textId="77777777" w:rsidR="00ED09D1" w:rsidRPr="007923F2" w:rsidRDefault="00ED09D1" w:rsidP="0039391B">
      <w:pPr>
        <w:rPr>
          <w:lang w:eastAsia="en-AU"/>
        </w:rPr>
      </w:pPr>
    </w:p>
    <w:p w14:paraId="4890B950" w14:textId="754D2C8E" w:rsidR="00ED09D1" w:rsidRPr="007923F2" w:rsidRDefault="00BC5F88" w:rsidP="0039391B">
      <w:pPr>
        <w:rPr>
          <w:lang w:eastAsia="en-AU"/>
        </w:rPr>
      </w:pPr>
      <w:r>
        <w:rPr>
          <w:lang w:eastAsia="en-AU"/>
        </w:rPr>
        <w:t>People who opt into</w:t>
      </w:r>
      <w:r w:rsidR="00ED09D1" w:rsidRPr="007923F2">
        <w:rPr>
          <w:lang w:eastAsia="en-AU"/>
        </w:rPr>
        <w:t xml:space="preserve"> the significant performer regime are not </w:t>
      </w:r>
      <w:r>
        <w:rPr>
          <w:lang w:eastAsia="en-AU"/>
        </w:rPr>
        <w:t>able</w:t>
      </w:r>
      <w:r w:rsidRPr="007923F2">
        <w:rPr>
          <w:lang w:eastAsia="en-AU"/>
        </w:rPr>
        <w:t xml:space="preserve"> </w:t>
      </w:r>
      <w:r w:rsidR="00ED09D1" w:rsidRPr="007923F2">
        <w:rPr>
          <w:lang w:eastAsia="en-AU"/>
        </w:rPr>
        <w:t xml:space="preserve">to obtain general approval of their core activities. Instead, </w:t>
      </w:r>
      <w:r w:rsidR="003077B7">
        <w:rPr>
          <w:lang w:eastAsia="en-AU"/>
        </w:rPr>
        <w:t>they</w:t>
      </w:r>
      <w:r w:rsidR="00ED09D1" w:rsidRPr="007923F2">
        <w:rPr>
          <w:lang w:eastAsia="en-AU"/>
        </w:rPr>
        <w:t xml:space="preserve"> need to notify the Commissioner of their intention to opt into the significant performer regime, and provide an estimate of the amount of eligible expenditure they expect to incur for the income year. All </w:t>
      </w:r>
      <w:r w:rsidR="003077B7">
        <w:rPr>
          <w:lang w:eastAsia="en-AU"/>
        </w:rPr>
        <w:t>people</w:t>
      </w:r>
      <w:r w:rsidR="00ED09D1" w:rsidRPr="007923F2">
        <w:rPr>
          <w:lang w:eastAsia="en-AU"/>
        </w:rPr>
        <w:t xml:space="preserve"> in the significant performer regime must provide R&amp;D certificates alongside t</w:t>
      </w:r>
      <w:r w:rsidR="00C153F0">
        <w:rPr>
          <w:lang w:eastAsia="en-AU"/>
        </w:rPr>
        <w:t>heir R&amp;D supplementary returns.</w:t>
      </w:r>
    </w:p>
    <w:p w14:paraId="7321FCFD" w14:textId="77777777" w:rsidR="00ED09D1" w:rsidRPr="007923F2" w:rsidRDefault="00ED09D1" w:rsidP="0039391B">
      <w:pPr>
        <w:rPr>
          <w:lang w:eastAsia="en-AU"/>
        </w:rPr>
      </w:pPr>
    </w:p>
    <w:p w14:paraId="79F36853" w14:textId="77777777" w:rsidR="00ED09D1" w:rsidRPr="007923F2" w:rsidRDefault="00ED09D1" w:rsidP="0039391B">
      <w:pPr>
        <w:pStyle w:val="Heading3"/>
      </w:pPr>
      <w:r w:rsidRPr="007923F2">
        <w:t>Optional criteria approval</w:t>
      </w:r>
    </w:p>
    <w:p w14:paraId="09F62015" w14:textId="77777777" w:rsidR="00ED09D1" w:rsidRPr="007923F2" w:rsidRDefault="00ED09D1" w:rsidP="0039391B">
      <w:pPr>
        <w:rPr>
          <w:lang w:eastAsia="en-AU"/>
        </w:rPr>
      </w:pPr>
    </w:p>
    <w:p w14:paraId="423976B5" w14:textId="74E046AE" w:rsidR="00ED09D1" w:rsidRPr="007923F2" w:rsidRDefault="003077B7" w:rsidP="0039391B">
      <w:pPr>
        <w:rPr>
          <w:lang w:eastAsia="en-AU"/>
        </w:rPr>
      </w:pPr>
      <w:r>
        <w:rPr>
          <w:lang w:eastAsia="en-AU"/>
        </w:rPr>
        <w:t>People</w:t>
      </w:r>
      <w:r w:rsidR="00ED09D1" w:rsidRPr="007923F2">
        <w:rPr>
          <w:lang w:eastAsia="en-AU"/>
        </w:rPr>
        <w:t xml:space="preserve"> in the significant performer regime can apply for approval from the Commissioner of their criteria and methodologies for determining the eligibility of their R&amp;D activities and expenditure (“criteria approval”). Criteria approval is optional, and can </w:t>
      </w:r>
      <w:r w:rsidR="00032283">
        <w:rPr>
          <w:lang w:eastAsia="en-AU"/>
        </w:rPr>
        <w:t>be granted</w:t>
      </w:r>
      <w:r w:rsidR="00C153F0">
        <w:rPr>
          <w:lang w:eastAsia="en-AU"/>
        </w:rPr>
        <w:t xml:space="preserve"> for up to three income years.</w:t>
      </w:r>
    </w:p>
    <w:p w14:paraId="318BD69F" w14:textId="77777777" w:rsidR="00ED09D1" w:rsidRPr="007923F2" w:rsidRDefault="00ED09D1" w:rsidP="0039391B">
      <w:pPr>
        <w:rPr>
          <w:lang w:eastAsia="en-AU"/>
        </w:rPr>
      </w:pPr>
    </w:p>
    <w:p w14:paraId="61F484F3" w14:textId="561F3A1A" w:rsidR="00273DF6" w:rsidRPr="007923F2" w:rsidRDefault="00ED09D1" w:rsidP="0039391B">
      <w:pPr>
        <w:rPr>
          <w:lang w:eastAsia="en-AU"/>
        </w:rPr>
      </w:pPr>
      <w:r w:rsidRPr="007923F2">
        <w:rPr>
          <w:lang w:eastAsia="en-AU"/>
        </w:rPr>
        <w:t xml:space="preserve">The Commissioner can revoke a criteria approval from the beginning of an income year if </w:t>
      </w:r>
      <w:r w:rsidRPr="00576474">
        <w:rPr>
          <w:lang w:eastAsia="en-AU"/>
        </w:rPr>
        <w:t>she</w:t>
      </w:r>
      <w:r w:rsidRPr="007923F2">
        <w:rPr>
          <w:lang w:eastAsia="en-AU"/>
        </w:rPr>
        <w:t xml:space="preserve"> considers that a person has classified their activities or expenditure in a way that defeats the intent and purpose of </w:t>
      </w:r>
      <w:r w:rsidR="003077B7">
        <w:rPr>
          <w:lang w:eastAsia="en-AU"/>
        </w:rPr>
        <w:t xml:space="preserve">the </w:t>
      </w:r>
      <w:r w:rsidRPr="007923F2">
        <w:rPr>
          <w:lang w:eastAsia="en-AU"/>
        </w:rPr>
        <w:t xml:space="preserve">R&amp;D tax credit regime. The Commissioner’s decision to </w:t>
      </w:r>
      <w:r w:rsidR="00032283">
        <w:rPr>
          <w:lang w:eastAsia="en-AU"/>
        </w:rPr>
        <w:t>grant</w:t>
      </w:r>
      <w:r w:rsidRPr="007923F2">
        <w:rPr>
          <w:lang w:eastAsia="en-AU"/>
        </w:rPr>
        <w:t>, decline, or revoke a criteria approval cannot be challenged.</w:t>
      </w:r>
    </w:p>
    <w:p w14:paraId="33A0AAA4" w14:textId="77777777" w:rsidR="00ED09D1" w:rsidRDefault="00ED09D1" w:rsidP="0039391B">
      <w:pPr>
        <w:rPr>
          <w:lang w:eastAsia="en-AU"/>
        </w:rPr>
      </w:pPr>
    </w:p>
    <w:p w14:paraId="7FB9FD30" w14:textId="77777777" w:rsidR="0039391B" w:rsidRPr="007923F2" w:rsidRDefault="0039391B" w:rsidP="0039391B">
      <w:pPr>
        <w:rPr>
          <w:lang w:eastAsia="en-AU"/>
        </w:rPr>
      </w:pPr>
    </w:p>
    <w:p w14:paraId="35BF1EEF" w14:textId="77777777" w:rsidR="00ED09D1" w:rsidRPr="007923F2" w:rsidRDefault="00ED09D1" w:rsidP="0039391B">
      <w:pPr>
        <w:pStyle w:val="Heading2"/>
      </w:pPr>
      <w:r w:rsidRPr="007923F2">
        <w:t>Background</w:t>
      </w:r>
    </w:p>
    <w:p w14:paraId="00128A00" w14:textId="77777777" w:rsidR="00ED09D1" w:rsidRPr="007923F2" w:rsidRDefault="00ED09D1" w:rsidP="0039391B">
      <w:pPr>
        <w:rPr>
          <w:lang w:val="en-GB" w:eastAsia="en-AU"/>
        </w:rPr>
      </w:pPr>
    </w:p>
    <w:p w14:paraId="6244C6F0" w14:textId="77777777" w:rsidR="00ED09D1" w:rsidRPr="007923F2" w:rsidRDefault="00ED09D1" w:rsidP="0039391B">
      <w:pPr>
        <w:rPr>
          <w:lang w:val="en-GB" w:eastAsia="en-AU"/>
        </w:rPr>
      </w:pPr>
      <w:r w:rsidRPr="007923F2">
        <w:rPr>
          <w:lang w:val="en-GB" w:eastAsia="en-AU"/>
        </w:rPr>
        <w:t>Significant performers are exempt from the general approval process, if they wish to be, because:</w:t>
      </w:r>
    </w:p>
    <w:p w14:paraId="0390D416" w14:textId="77777777" w:rsidR="00ED09D1" w:rsidRPr="007923F2" w:rsidRDefault="00ED09D1" w:rsidP="0039391B">
      <w:pPr>
        <w:rPr>
          <w:lang w:val="en-GB" w:eastAsia="en-AU"/>
        </w:rPr>
      </w:pPr>
    </w:p>
    <w:p w14:paraId="66250A82" w14:textId="71B2AAA9" w:rsidR="00ED09D1" w:rsidRPr="007923F2" w:rsidRDefault="008343B2" w:rsidP="0039391B">
      <w:pPr>
        <w:pStyle w:val="dotpoint"/>
      </w:pPr>
      <w:r>
        <w:t>t</w:t>
      </w:r>
      <w:r w:rsidR="00ED09D1" w:rsidRPr="007923F2">
        <w:t>he size of their R&amp;D spend indicates they are mature R&amp;D performers who are likely to have robust systems in place; and</w:t>
      </w:r>
    </w:p>
    <w:p w14:paraId="3611181C" w14:textId="287C5F2A" w:rsidR="00ED09D1" w:rsidRPr="007923F2" w:rsidRDefault="008343B2" w:rsidP="0039391B">
      <w:pPr>
        <w:pStyle w:val="dotpoint"/>
        <w:spacing w:after="0"/>
      </w:pPr>
      <w:r>
        <w:t>t</w:t>
      </w:r>
      <w:r w:rsidR="00ED09D1" w:rsidRPr="007923F2">
        <w:t xml:space="preserve">hey are less likely to desire the certainty provided by in-year approval, as the maturity makes them more likely to </w:t>
      </w:r>
      <w:r w:rsidR="00032283">
        <w:t>know</w:t>
      </w:r>
      <w:r w:rsidR="00ED09D1" w:rsidRPr="007923F2">
        <w:t xml:space="preserve"> whether their activities are eligible core or supporting activities.</w:t>
      </w:r>
    </w:p>
    <w:p w14:paraId="48D6BFD1" w14:textId="77777777" w:rsidR="00ED09D1" w:rsidRPr="007923F2" w:rsidRDefault="00ED09D1" w:rsidP="0039391B">
      <w:pPr>
        <w:rPr>
          <w:lang w:eastAsia="en-AU"/>
        </w:rPr>
      </w:pPr>
    </w:p>
    <w:p w14:paraId="71898000" w14:textId="47F98FC7" w:rsidR="00ED09D1" w:rsidRPr="007923F2" w:rsidRDefault="00ED09D1" w:rsidP="0039391B">
      <w:pPr>
        <w:rPr>
          <w:lang w:eastAsia="en-AU"/>
        </w:rPr>
      </w:pPr>
      <w:r w:rsidRPr="007923F2">
        <w:rPr>
          <w:lang w:eastAsia="en-AU"/>
        </w:rPr>
        <w:t>Significant R&amp;D performers must notify the Commissioner by the seventh day of the second month after the end of the relevant income year if they want to opt-out of the general approval regime. This deadline is the same for general approval applications, for ease of</w:t>
      </w:r>
      <w:r w:rsidR="00C153F0">
        <w:rPr>
          <w:lang w:eastAsia="en-AU"/>
        </w:rPr>
        <w:t xml:space="preserve"> compliance and administration.</w:t>
      </w:r>
    </w:p>
    <w:p w14:paraId="4300805A" w14:textId="77777777" w:rsidR="00ED09D1" w:rsidRPr="007923F2" w:rsidRDefault="00ED09D1" w:rsidP="0039391B">
      <w:pPr>
        <w:rPr>
          <w:lang w:eastAsia="en-AU"/>
        </w:rPr>
      </w:pPr>
    </w:p>
    <w:p w14:paraId="0548DC62" w14:textId="2904E569" w:rsidR="00ED09D1" w:rsidRPr="007923F2" w:rsidRDefault="00ED09D1" w:rsidP="0039391B">
      <w:pPr>
        <w:rPr>
          <w:lang w:eastAsia="en-AU"/>
        </w:rPr>
      </w:pPr>
      <w:r w:rsidRPr="007923F2">
        <w:rPr>
          <w:lang w:eastAsia="en-AU"/>
        </w:rPr>
        <w:t xml:space="preserve">Requiring significant </w:t>
      </w:r>
      <w:r w:rsidR="00032283">
        <w:rPr>
          <w:lang w:eastAsia="en-AU"/>
        </w:rPr>
        <w:t xml:space="preserve">R&amp;D </w:t>
      </w:r>
      <w:r w:rsidRPr="007923F2">
        <w:rPr>
          <w:lang w:eastAsia="en-AU"/>
        </w:rPr>
        <w:t>performer</w:t>
      </w:r>
      <w:r w:rsidR="00032283">
        <w:rPr>
          <w:lang w:eastAsia="en-AU"/>
        </w:rPr>
        <w:t>s</w:t>
      </w:r>
      <w:r w:rsidRPr="007923F2">
        <w:rPr>
          <w:lang w:eastAsia="en-AU"/>
        </w:rPr>
        <w:t xml:space="preserve"> to obtain R&amp;D certificates will provide the Commissioner with the assurance that these claimants have the processes exp</w:t>
      </w:r>
      <w:r w:rsidR="00C153F0">
        <w:rPr>
          <w:lang w:eastAsia="en-AU"/>
        </w:rPr>
        <w:t>ected of mature R&amp;D performers.</w:t>
      </w:r>
    </w:p>
    <w:p w14:paraId="573B4D5A" w14:textId="77777777" w:rsidR="00ED09D1" w:rsidRDefault="00ED09D1" w:rsidP="0039391B">
      <w:pPr>
        <w:rPr>
          <w:lang w:eastAsia="en-AU"/>
        </w:rPr>
      </w:pPr>
    </w:p>
    <w:p w14:paraId="1D331E3D" w14:textId="77777777" w:rsidR="0039391B" w:rsidRPr="007923F2" w:rsidRDefault="0039391B" w:rsidP="0039391B">
      <w:pPr>
        <w:rPr>
          <w:lang w:eastAsia="en-AU"/>
        </w:rPr>
      </w:pPr>
    </w:p>
    <w:p w14:paraId="191366EA" w14:textId="77777777" w:rsidR="00ED09D1" w:rsidRPr="007923F2" w:rsidRDefault="00ED09D1" w:rsidP="0039391B">
      <w:pPr>
        <w:pStyle w:val="Heading2"/>
      </w:pPr>
      <w:r w:rsidRPr="007923F2">
        <w:t>Detailed analysis</w:t>
      </w:r>
    </w:p>
    <w:p w14:paraId="185FE418" w14:textId="77777777" w:rsidR="00ED09D1" w:rsidRPr="007923F2" w:rsidRDefault="00ED09D1" w:rsidP="0039391B">
      <w:pPr>
        <w:rPr>
          <w:lang w:eastAsia="en-AU"/>
        </w:rPr>
      </w:pPr>
    </w:p>
    <w:p w14:paraId="31BE3254" w14:textId="435E2EFF" w:rsidR="00ED09D1" w:rsidRPr="007923F2" w:rsidRDefault="00ED09D1" w:rsidP="0039391B">
      <w:pPr>
        <w:pStyle w:val="Heading3"/>
      </w:pPr>
      <w:r w:rsidRPr="007923F2">
        <w:t xml:space="preserve">Modification to general eligibility criteria in year </w:t>
      </w:r>
      <w:r w:rsidR="003077B7">
        <w:t>two</w:t>
      </w:r>
      <w:r w:rsidRPr="007923F2">
        <w:t xml:space="preserve"> (s</w:t>
      </w:r>
      <w:r w:rsidR="008343B2">
        <w:t>ection</w:t>
      </w:r>
      <w:r w:rsidRPr="007923F2">
        <w:t xml:space="preserve"> LY 3(1)(b)</w:t>
      </w:r>
      <w:r w:rsidR="008343B2">
        <w:t>)</w:t>
      </w:r>
    </w:p>
    <w:p w14:paraId="689D9089" w14:textId="77777777" w:rsidR="00ED09D1" w:rsidRPr="007923F2" w:rsidRDefault="00ED09D1" w:rsidP="0039391B">
      <w:pPr>
        <w:rPr>
          <w:lang w:eastAsia="en-AU"/>
        </w:rPr>
      </w:pPr>
    </w:p>
    <w:p w14:paraId="7FBED7AB" w14:textId="77777777" w:rsidR="00ED09D1" w:rsidRPr="007923F2" w:rsidRDefault="00ED09D1" w:rsidP="0039391B">
      <w:pPr>
        <w:rPr>
          <w:lang w:eastAsia="en-AU"/>
        </w:rPr>
      </w:pPr>
      <w:r w:rsidRPr="007923F2">
        <w:rPr>
          <w:lang w:eastAsia="en-AU"/>
        </w:rPr>
        <w:t>A proposed amendment to section LY 3, through the insertion of new paragraph (b), ensures that obtaining general approval or opting into the significant performer regime is a prerequisite for any persons seeking to obtain R&amp;D tax credits.</w:t>
      </w:r>
    </w:p>
    <w:p w14:paraId="5764BDA5" w14:textId="77777777" w:rsidR="00ED09D1" w:rsidRPr="007923F2" w:rsidRDefault="00ED09D1" w:rsidP="0039391B">
      <w:pPr>
        <w:rPr>
          <w:lang w:eastAsia="en-AU"/>
        </w:rPr>
      </w:pPr>
    </w:p>
    <w:p w14:paraId="49B1464A" w14:textId="77777777" w:rsidR="00ED09D1" w:rsidRPr="007923F2" w:rsidRDefault="00ED09D1" w:rsidP="0039391B">
      <w:pPr>
        <w:pStyle w:val="Heading3"/>
      </w:pPr>
      <w:r w:rsidRPr="007923F2">
        <w:t>More than $2</w:t>
      </w:r>
      <w:r w:rsidR="003077B7">
        <w:t xml:space="preserve"> </w:t>
      </w:r>
      <w:r w:rsidRPr="007923F2">
        <w:t>m</w:t>
      </w:r>
      <w:r w:rsidR="003077B7">
        <w:t>illion</w:t>
      </w:r>
      <w:r w:rsidRPr="007923F2">
        <w:t xml:space="preserve"> of eligible R&amp;D expenditure</w:t>
      </w:r>
    </w:p>
    <w:p w14:paraId="30E2574E" w14:textId="77777777" w:rsidR="00ED09D1" w:rsidRPr="007923F2" w:rsidRDefault="00ED09D1" w:rsidP="0039391B">
      <w:pPr>
        <w:rPr>
          <w:lang w:eastAsia="en-AU"/>
        </w:rPr>
      </w:pPr>
    </w:p>
    <w:p w14:paraId="763C1DAE" w14:textId="2ACCC34B" w:rsidR="00ED09D1" w:rsidRDefault="00ED09D1" w:rsidP="0039391B">
      <w:pPr>
        <w:rPr>
          <w:lang w:eastAsia="en-AU"/>
        </w:rPr>
      </w:pPr>
      <w:r w:rsidRPr="007923F2">
        <w:rPr>
          <w:lang w:eastAsia="en-AU"/>
        </w:rPr>
        <w:t xml:space="preserve">For a </w:t>
      </w:r>
      <w:r w:rsidR="003077B7">
        <w:rPr>
          <w:lang w:eastAsia="en-AU"/>
        </w:rPr>
        <w:t xml:space="preserve">person </w:t>
      </w:r>
      <w:r w:rsidRPr="007923F2">
        <w:rPr>
          <w:lang w:eastAsia="en-AU"/>
        </w:rPr>
        <w:t>to be eligible for the significant performer regime, the</w:t>
      </w:r>
      <w:r w:rsidR="003077B7">
        <w:rPr>
          <w:lang w:eastAsia="en-AU"/>
        </w:rPr>
        <w:t>y</w:t>
      </w:r>
      <w:r w:rsidRPr="007923F2">
        <w:rPr>
          <w:lang w:eastAsia="en-AU"/>
        </w:rPr>
        <w:t xml:space="preserve"> must have (or reasonably expect that they will have) more than $2</w:t>
      </w:r>
      <w:r w:rsidR="003077B7">
        <w:rPr>
          <w:lang w:eastAsia="en-AU"/>
        </w:rPr>
        <w:t xml:space="preserve"> </w:t>
      </w:r>
      <w:r w:rsidRPr="007923F2">
        <w:rPr>
          <w:lang w:eastAsia="en-AU"/>
        </w:rPr>
        <w:t>m</w:t>
      </w:r>
      <w:r w:rsidR="003077B7">
        <w:rPr>
          <w:lang w:eastAsia="en-AU"/>
        </w:rPr>
        <w:t>illion</w:t>
      </w:r>
      <w:r w:rsidRPr="007923F2">
        <w:rPr>
          <w:lang w:eastAsia="en-AU"/>
        </w:rPr>
        <w:t xml:space="preserve"> of eligible R&amp;D expenditure for the relevant income year. The expenditure of partners in partnership, as well as companies in the same group of companies, can be grouped </w:t>
      </w:r>
      <w:r w:rsidR="00032283">
        <w:rPr>
          <w:lang w:eastAsia="en-AU"/>
        </w:rPr>
        <w:t>when determining this</w:t>
      </w:r>
      <w:r w:rsidR="00C153F0">
        <w:rPr>
          <w:lang w:eastAsia="en-AU"/>
        </w:rPr>
        <w:t>.</w:t>
      </w:r>
    </w:p>
    <w:p w14:paraId="70006969" w14:textId="3D82820F" w:rsidR="00E42A18" w:rsidRDefault="00E42A18">
      <w:pPr>
        <w:spacing w:after="200" w:line="276" w:lineRule="auto"/>
        <w:jc w:val="left"/>
        <w:rPr>
          <w:lang w:eastAsia="en-AU"/>
        </w:rPr>
      </w:pPr>
      <w:r>
        <w:rPr>
          <w:lang w:eastAsia="en-AU"/>
        </w:rPr>
        <w:br w:type="page"/>
      </w:r>
    </w:p>
    <w:p w14:paraId="5AD8E218" w14:textId="4E2EE16C" w:rsidR="00C153F0" w:rsidRDefault="00E42A18" w:rsidP="004F692C">
      <w:pPr>
        <w:rPr>
          <w:lang w:eastAsia="en-AU"/>
        </w:rPr>
      </w:pPr>
      <w:r>
        <w:rPr>
          <w:noProof/>
          <w:lang w:eastAsia="en-NZ"/>
        </w:rPr>
        <mc:AlternateContent>
          <mc:Choice Requires="wps">
            <w:drawing>
              <wp:anchor distT="0" distB="0" distL="114300" distR="114300" simplePos="0" relativeHeight="251665408" behindDoc="1" locked="0" layoutInCell="1" allowOverlap="1" wp14:anchorId="778ABEE1" wp14:editId="106030C0">
                <wp:simplePos x="0" y="0"/>
                <wp:positionH relativeFrom="column">
                  <wp:posOffset>-169545</wp:posOffset>
                </wp:positionH>
                <wp:positionV relativeFrom="paragraph">
                  <wp:posOffset>38734</wp:posOffset>
                </wp:positionV>
                <wp:extent cx="5610225" cy="2676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610225" cy="2676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CDE81" w14:textId="77777777" w:rsidR="00016F1F" w:rsidRDefault="00016F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13.35pt;margin-top:3.05pt;width:441.75pt;height:21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" fillcolor="white [3201]" strokeweight=".5pt">
                <v:textbox>
                  <w:txbxContent>
                    <w:p w14:paraId="7FACDE81" w14:textId="77777777" w:rsidR="00016F1F" w:rsidRDefault="00016F1F"/>
                  </w:txbxContent>
                </v:textbox>
              </v:shape>
            </w:pict>
          </mc:Fallback>
        </mc:AlternateContent>
      </w:r>
    </w:p>
    <w:p w14:paraId="2A009BCF" w14:textId="5A99D6ED" w:rsidR="00E42A18" w:rsidRPr="00A27C6C" w:rsidRDefault="00E42A18" w:rsidP="00E42A18">
      <w:pPr>
        <w:pStyle w:val="Exampleheading1"/>
        <w:pBdr>
          <w:top w:val="none" w:sz="0" w:space="0" w:color="auto"/>
          <w:left w:val="none" w:sz="0" w:space="0" w:color="auto"/>
          <w:bottom w:val="none" w:sz="0" w:space="0" w:color="auto"/>
          <w:right w:val="none" w:sz="0" w:space="0" w:color="auto"/>
        </w:pBdr>
      </w:pPr>
      <w:r w:rsidRPr="00A27C6C">
        <w:t>Example</w:t>
      </w:r>
      <w:r w:rsidR="0016236F">
        <w:t xml:space="preserve"> 2</w:t>
      </w:r>
      <w:r w:rsidR="00E24B0A">
        <w:t>7</w:t>
      </w:r>
      <w:r w:rsidRPr="00A27C6C">
        <w:t xml:space="preserve">: </w:t>
      </w:r>
      <w:r w:rsidR="0016236F">
        <w:t>P</w:t>
      </w:r>
      <w:r w:rsidRPr="00A27C6C">
        <w:t>artners in partnership</w:t>
      </w:r>
    </w:p>
    <w:p w14:paraId="5ADB7F83" w14:textId="77777777" w:rsidR="00E42A18" w:rsidRDefault="00E42A18" w:rsidP="00E42A18">
      <w:pPr>
        <w:pStyle w:val="Exampletext"/>
        <w:pBdr>
          <w:top w:val="none" w:sz="0" w:space="0" w:color="auto"/>
          <w:left w:val="none" w:sz="0" w:space="0" w:color="auto"/>
          <w:bottom w:val="none" w:sz="0" w:space="0" w:color="auto"/>
          <w:right w:val="none" w:sz="0" w:space="0" w:color="auto"/>
        </w:pBdr>
      </w:pPr>
    </w:p>
    <w:p w14:paraId="746620A0" w14:textId="05EBCE8D" w:rsidR="00E42A18" w:rsidRDefault="00E42A18" w:rsidP="00E42A18">
      <w:pPr>
        <w:pStyle w:val="Exampletext"/>
        <w:pBdr>
          <w:top w:val="none" w:sz="0" w:space="0" w:color="auto"/>
          <w:left w:val="none" w:sz="0" w:space="0" w:color="auto"/>
          <w:bottom w:val="none" w:sz="0" w:space="0" w:color="auto"/>
          <w:right w:val="none" w:sz="0" w:space="0" w:color="auto"/>
        </w:pBdr>
      </w:pPr>
      <w:r w:rsidRPr="00A27C6C">
        <w:t xml:space="preserve">Mike and Jay are in partnership together. In the </w:t>
      </w:r>
      <w:r w:rsidR="00E010FC">
        <w:t>2020–21</w:t>
      </w:r>
      <w:r w:rsidRPr="00A27C6C">
        <w:t xml:space="preserve"> income year, both partners reasonably expect to incur less than $2 million of eligible R&amp;D expenditure individually, but as a whole the partnership will satisfy the $</w:t>
      </w:r>
      <w:r>
        <w:t>2 million threshold.</w:t>
      </w:r>
    </w:p>
    <w:p w14:paraId="4D5433F0" w14:textId="77777777" w:rsidR="00AB6E7D" w:rsidRDefault="00AB6E7D" w:rsidP="00E42A18">
      <w:pPr>
        <w:pStyle w:val="Exampletext"/>
        <w:pBdr>
          <w:top w:val="none" w:sz="0" w:space="0" w:color="auto"/>
          <w:left w:val="none" w:sz="0" w:space="0" w:color="auto"/>
          <w:bottom w:val="none" w:sz="0" w:space="0" w:color="auto"/>
          <w:right w:val="none" w:sz="0" w:space="0" w:color="auto"/>
        </w:pBdr>
      </w:pPr>
    </w:p>
    <w:p w14:paraId="6E7EFF72" w14:textId="53012AC0" w:rsidR="00E42A18" w:rsidRPr="00AB6E7D" w:rsidRDefault="00AB6E7D" w:rsidP="00AB6E7D">
      <w:pPr>
        <w:spacing w:after="80"/>
        <w:jc w:val="center"/>
        <w:rPr>
          <w:rFonts w:cs="Times New Roman"/>
          <w:b/>
          <w:sz w:val="20"/>
          <w:szCs w:val="20"/>
        </w:rPr>
      </w:pPr>
      <w:r w:rsidRPr="00AB6E7D">
        <w:rPr>
          <w:rFonts w:cs="Times New Roman"/>
          <w:b/>
          <w:sz w:val="20"/>
          <w:szCs w:val="20"/>
        </w:rPr>
        <w:t>Estimate of eligible R&amp;D expenditure</w:t>
      </w:r>
      <w:r w:rsidRPr="00AB6E7D">
        <w:rPr>
          <w:rFonts w:cs="Times New Roman"/>
          <w:b/>
          <w:sz w:val="20"/>
          <w:szCs w:val="20"/>
        </w:rPr>
        <w:br/>
        <w:t>for the year ended 31 March 2021</w:t>
      </w:r>
    </w:p>
    <w:tbl>
      <w:tblPr>
        <w:tblStyle w:val="TableGrid3"/>
        <w:tblW w:w="0" w:type="auto"/>
        <w:jc w:val="center"/>
        <w:tblInd w:w="-186" w:type="dxa"/>
        <w:tblLook w:val="04A0" w:firstRow="1" w:lastRow="0" w:firstColumn="1" w:lastColumn="0" w:noHBand="0" w:noVBand="1"/>
      </w:tblPr>
      <w:tblGrid>
        <w:gridCol w:w="1752"/>
        <w:gridCol w:w="1557"/>
      </w:tblGrid>
      <w:tr w:rsidR="00E42A18" w:rsidRPr="007A74C8" w14:paraId="51F16A4A" w14:textId="77777777" w:rsidTr="00AB6E7D">
        <w:trPr>
          <w:tblHeader/>
          <w:jc w:val="center"/>
        </w:trPr>
        <w:tc>
          <w:tcPr>
            <w:tcW w:w="1752" w:type="dxa"/>
            <w:shd w:val="clear" w:color="auto" w:fill="auto"/>
          </w:tcPr>
          <w:p w14:paraId="4A76D9EF" w14:textId="77777777" w:rsidR="00E42A18" w:rsidRPr="00AB6E7D" w:rsidRDefault="00E42A18" w:rsidP="00AB6E7D">
            <w:pPr>
              <w:spacing w:before="40" w:after="40"/>
              <w:rPr>
                <w:rFonts w:cs="Times New Roman"/>
                <w:b/>
                <w:sz w:val="20"/>
                <w:szCs w:val="20"/>
              </w:rPr>
            </w:pPr>
            <w:r w:rsidRPr="00AB6E7D">
              <w:rPr>
                <w:rFonts w:cs="Times New Roman"/>
                <w:b/>
                <w:sz w:val="20"/>
                <w:szCs w:val="20"/>
              </w:rPr>
              <w:t>Partner</w:t>
            </w:r>
          </w:p>
        </w:tc>
        <w:tc>
          <w:tcPr>
            <w:tcW w:w="1557" w:type="dxa"/>
            <w:shd w:val="clear" w:color="auto" w:fill="auto"/>
          </w:tcPr>
          <w:p w14:paraId="4C93820F" w14:textId="77777777" w:rsidR="00E42A18" w:rsidRPr="00AB6E7D" w:rsidRDefault="00E42A18" w:rsidP="00AB6E7D">
            <w:pPr>
              <w:spacing w:before="40" w:after="40"/>
              <w:rPr>
                <w:rFonts w:cs="Times New Roman"/>
                <w:b/>
                <w:sz w:val="20"/>
                <w:szCs w:val="20"/>
              </w:rPr>
            </w:pPr>
            <w:r w:rsidRPr="00AB6E7D">
              <w:rPr>
                <w:rFonts w:cs="Times New Roman"/>
                <w:b/>
                <w:sz w:val="20"/>
                <w:szCs w:val="20"/>
              </w:rPr>
              <w:t>Expenditure</w:t>
            </w:r>
          </w:p>
        </w:tc>
      </w:tr>
      <w:tr w:rsidR="00E42A18" w:rsidRPr="007A74C8" w14:paraId="0B77DA4C" w14:textId="77777777" w:rsidTr="00AB6E7D">
        <w:trPr>
          <w:jc w:val="center"/>
        </w:trPr>
        <w:tc>
          <w:tcPr>
            <w:tcW w:w="1752" w:type="dxa"/>
          </w:tcPr>
          <w:p w14:paraId="358787DA" w14:textId="77777777" w:rsidR="00E42A18" w:rsidRPr="00A27C6C" w:rsidRDefault="00E42A18" w:rsidP="00AB6E7D">
            <w:pPr>
              <w:spacing w:before="40" w:after="40"/>
              <w:rPr>
                <w:rFonts w:cs="Times New Roman"/>
                <w:sz w:val="20"/>
                <w:szCs w:val="20"/>
              </w:rPr>
            </w:pPr>
            <w:r w:rsidRPr="00A27C6C">
              <w:rPr>
                <w:rFonts w:cs="Times New Roman"/>
                <w:sz w:val="20"/>
                <w:szCs w:val="20"/>
              </w:rPr>
              <w:t>Mike</w:t>
            </w:r>
          </w:p>
        </w:tc>
        <w:tc>
          <w:tcPr>
            <w:tcW w:w="1557" w:type="dxa"/>
          </w:tcPr>
          <w:p w14:paraId="2B739069" w14:textId="77777777" w:rsidR="00E42A18" w:rsidRPr="00A27C6C" w:rsidRDefault="00E42A18" w:rsidP="00AB6E7D">
            <w:pPr>
              <w:spacing w:before="40" w:after="40"/>
              <w:rPr>
                <w:rFonts w:cs="Times New Roman"/>
                <w:sz w:val="20"/>
                <w:szCs w:val="20"/>
              </w:rPr>
            </w:pPr>
            <w:r w:rsidRPr="00A27C6C">
              <w:rPr>
                <w:rFonts w:cs="Times New Roman"/>
                <w:sz w:val="20"/>
                <w:szCs w:val="20"/>
              </w:rPr>
              <w:t>$1.5m</w:t>
            </w:r>
          </w:p>
        </w:tc>
      </w:tr>
      <w:tr w:rsidR="00E42A18" w:rsidRPr="007A74C8" w14:paraId="1764B9E5" w14:textId="77777777" w:rsidTr="00AB6E7D">
        <w:trPr>
          <w:jc w:val="center"/>
        </w:trPr>
        <w:tc>
          <w:tcPr>
            <w:tcW w:w="1752" w:type="dxa"/>
            <w:tcBorders>
              <w:bottom w:val="single" w:sz="4" w:space="0" w:color="auto"/>
            </w:tcBorders>
          </w:tcPr>
          <w:p w14:paraId="0FFE5A66" w14:textId="77777777" w:rsidR="00E42A18" w:rsidRPr="00A27C6C" w:rsidRDefault="00E42A18" w:rsidP="00AB6E7D">
            <w:pPr>
              <w:spacing w:before="40" w:after="40"/>
              <w:rPr>
                <w:rFonts w:cs="Times New Roman"/>
                <w:sz w:val="20"/>
                <w:szCs w:val="20"/>
              </w:rPr>
            </w:pPr>
            <w:r w:rsidRPr="00A27C6C">
              <w:rPr>
                <w:rFonts w:cs="Times New Roman"/>
                <w:sz w:val="20"/>
                <w:szCs w:val="20"/>
              </w:rPr>
              <w:t>Jay</w:t>
            </w:r>
          </w:p>
        </w:tc>
        <w:tc>
          <w:tcPr>
            <w:tcW w:w="1557" w:type="dxa"/>
          </w:tcPr>
          <w:p w14:paraId="2BDEA4CB" w14:textId="77777777" w:rsidR="00E42A18" w:rsidRPr="00A27C6C" w:rsidRDefault="00E42A18" w:rsidP="00AB6E7D">
            <w:pPr>
              <w:spacing w:before="40" w:after="40"/>
              <w:rPr>
                <w:rFonts w:cs="Times New Roman"/>
                <w:sz w:val="20"/>
                <w:szCs w:val="20"/>
              </w:rPr>
            </w:pPr>
            <w:r w:rsidRPr="00A27C6C">
              <w:rPr>
                <w:rFonts w:cs="Times New Roman"/>
                <w:sz w:val="20"/>
                <w:szCs w:val="20"/>
              </w:rPr>
              <w:t>$1.2m</w:t>
            </w:r>
          </w:p>
        </w:tc>
      </w:tr>
      <w:tr w:rsidR="00E42A18" w:rsidRPr="007A74C8" w14:paraId="00AC25C4" w14:textId="77777777" w:rsidTr="00AB6E7D">
        <w:trPr>
          <w:jc w:val="center"/>
        </w:trPr>
        <w:tc>
          <w:tcPr>
            <w:tcW w:w="1752" w:type="dxa"/>
            <w:tcBorders>
              <w:left w:val="nil"/>
              <w:bottom w:val="nil"/>
            </w:tcBorders>
          </w:tcPr>
          <w:p w14:paraId="0E3C37DF" w14:textId="77777777" w:rsidR="00E42A18" w:rsidRPr="00A27C6C" w:rsidRDefault="00E42A18" w:rsidP="00AB6E7D">
            <w:pPr>
              <w:spacing w:before="40" w:after="40"/>
              <w:jc w:val="right"/>
              <w:rPr>
                <w:rFonts w:cs="Times New Roman"/>
                <w:b/>
                <w:sz w:val="20"/>
                <w:szCs w:val="20"/>
              </w:rPr>
            </w:pPr>
            <w:r w:rsidRPr="00A27C6C">
              <w:rPr>
                <w:rFonts w:cs="Times New Roman"/>
                <w:b/>
                <w:sz w:val="20"/>
                <w:szCs w:val="20"/>
              </w:rPr>
              <w:t>Total</w:t>
            </w:r>
          </w:p>
        </w:tc>
        <w:tc>
          <w:tcPr>
            <w:tcW w:w="1557" w:type="dxa"/>
          </w:tcPr>
          <w:p w14:paraId="373829E6" w14:textId="77777777" w:rsidR="00E42A18" w:rsidRPr="00A27C6C" w:rsidRDefault="00E42A18" w:rsidP="00AB6E7D">
            <w:pPr>
              <w:spacing w:before="40" w:after="40"/>
              <w:rPr>
                <w:rFonts w:cs="Times New Roman"/>
                <w:b/>
                <w:sz w:val="20"/>
                <w:szCs w:val="20"/>
              </w:rPr>
            </w:pPr>
            <w:r w:rsidRPr="00A27C6C">
              <w:rPr>
                <w:rFonts w:cs="Times New Roman"/>
                <w:b/>
                <w:sz w:val="20"/>
                <w:szCs w:val="20"/>
              </w:rPr>
              <w:t>$2.7m</w:t>
            </w:r>
          </w:p>
        </w:tc>
      </w:tr>
    </w:tbl>
    <w:p w14:paraId="191AB206" w14:textId="31CCA06C" w:rsidR="00E42A18" w:rsidRDefault="00E42A18" w:rsidP="00E42A18">
      <w:pPr>
        <w:rPr>
          <w:rFonts w:cs="Times New Roman"/>
          <w:sz w:val="20"/>
          <w:szCs w:val="20"/>
        </w:rPr>
      </w:pPr>
    </w:p>
    <w:p w14:paraId="32D86437" w14:textId="68670641" w:rsidR="00E42A18" w:rsidRDefault="00E42A18" w:rsidP="00E42A18">
      <w:pPr>
        <w:pStyle w:val="Exampletext"/>
        <w:pBdr>
          <w:top w:val="none" w:sz="0" w:space="0" w:color="auto"/>
          <w:left w:val="none" w:sz="0" w:space="0" w:color="auto"/>
          <w:bottom w:val="none" w:sz="0" w:space="0" w:color="auto"/>
          <w:right w:val="none" w:sz="0" w:space="0" w:color="auto"/>
        </w:pBdr>
      </w:pPr>
      <w:r w:rsidRPr="00A27C6C">
        <w:t>The partnership is able to opt in</w:t>
      </w:r>
      <w:r w:rsidR="00032283">
        <w:t xml:space="preserve"> </w:t>
      </w:r>
      <w:r w:rsidRPr="00A27C6C">
        <w:t>to the significant performer regime because it reasonably expects to incur $2.7 million of eligible R&amp;D expenditu</w:t>
      </w:r>
      <w:r>
        <w:t xml:space="preserve">re in the </w:t>
      </w:r>
      <w:r w:rsidR="00E010FC">
        <w:t>2020–21</w:t>
      </w:r>
      <w:r>
        <w:t xml:space="preserve"> income year.</w:t>
      </w:r>
    </w:p>
    <w:p w14:paraId="32895365" w14:textId="77777777" w:rsidR="00E42A18" w:rsidRDefault="00E42A18" w:rsidP="004F692C">
      <w:pPr>
        <w:rPr>
          <w:lang w:eastAsia="en-AU"/>
        </w:rPr>
      </w:pPr>
    </w:p>
    <w:p w14:paraId="7B4B8DF3" w14:textId="7FEAD526" w:rsidR="00ED09D1" w:rsidRPr="007923F2" w:rsidRDefault="00ED09D1" w:rsidP="004F692C">
      <w:pPr>
        <w:rPr>
          <w:rFonts w:eastAsia="Times New Roman" w:cs="Times New Roman"/>
          <w:szCs w:val="20"/>
          <w:lang w:eastAsia="en-AU"/>
        </w:rPr>
      </w:pPr>
    </w:p>
    <w:p w14:paraId="2D39EABE" w14:textId="0C70F42B" w:rsidR="00C153F0" w:rsidRPr="00A27C6C" w:rsidRDefault="00C153F0" w:rsidP="00C153F0">
      <w:pPr>
        <w:pStyle w:val="Exampleheading1"/>
      </w:pPr>
      <w:r w:rsidRPr="00A27C6C">
        <w:t>Example</w:t>
      </w:r>
      <w:r w:rsidR="0016236F">
        <w:t xml:space="preserve"> 2</w:t>
      </w:r>
      <w:r w:rsidR="00E24B0A">
        <w:t>8</w:t>
      </w:r>
      <w:r w:rsidRPr="00A27C6C">
        <w:t xml:space="preserve">: </w:t>
      </w:r>
      <w:r w:rsidR="0016236F">
        <w:t>M</w:t>
      </w:r>
      <w:r w:rsidRPr="00A27C6C">
        <w:t>embers of the same corporate group</w:t>
      </w:r>
    </w:p>
    <w:p w14:paraId="7ED60B1B" w14:textId="77777777" w:rsidR="00C153F0" w:rsidRDefault="00C153F0" w:rsidP="00C153F0">
      <w:pPr>
        <w:pStyle w:val="Exampletext"/>
      </w:pPr>
    </w:p>
    <w:p w14:paraId="21EF41FC" w14:textId="5033F79F" w:rsidR="00C153F0" w:rsidRDefault="00C153F0" w:rsidP="00C153F0">
      <w:pPr>
        <w:pStyle w:val="Exampletext"/>
      </w:pPr>
      <w:r w:rsidRPr="007A74C8">
        <w:t xml:space="preserve">Papaya Ltd reasonably estimates that it will have $1.5 million of eligible R&amp;D expenditure for the </w:t>
      </w:r>
      <w:r w:rsidR="00E010FC">
        <w:t>2020–21</w:t>
      </w:r>
      <w:r w:rsidRPr="007A74C8">
        <w:t xml:space="preserve"> income year. It is wholly owned by Tropical Fruit </w:t>
      </w:r>
      <w:r w:rsidR="004F692C">
        <w:t>Ltd, which also owns Mango Ltd.</w:t>
      </w:r>
    </w:p>
    <w:p w14:paraId="72C3148B" w14:textId="77777777" w:rsidR="00C153F0" w:rsidRDefault="00C153F0" w:rsidP="00C153F0">
      <w:pPr>
        <w:pStyle w:val="Exampletext"/>
      </w:pPr>
    </w:p>
    <w:p w14:paraId="40F81AF2" w14:textId="087AAB8D" w:rsidR="00C153F0" w:rsidRDefault="00C153F0" w:rsidP="00C153F0">
      <w:pPr>
        <w:pStyle w:val="Exampletext"/>
      </w:pPr>
      <w:r w:rsidRPr="007A74C8">
        <w:t xml:space="preserve">Mango Ltd reasonably estimates that it will have $800,000 of eligible R&amp;D expenditure for the </w:t>
      </w:r>
      <w:r w:rsidR="00E010FC">
        <w:t>2020–21</w:t>
      </w:r>
      <w:r w:rsidRPr="007A74C8">
        <w:t xml:space="preserve"> income year.</w:t>
      </w:r>
    </w:p>
    <w:p w14:paraId="092E98E6" w14:textId="77777777" w:rsidR="00C153F0" w:rsidRPr="007A74C8" w:rsidRDefault="00C153F0" w:rsidP="00C153F0">
      <w:pPr>
        <w:pStyle w:val="Exampletext"/>
      </w:pPr>
    </w:p>
    <w:p w14:paraId="5BAC6102" w14:textId="487844DD" w:rsidR="00C153F0" w:rsidRPr="007A74C8" w:rsidRDefault="00C153F0" w:rsidP="00C153F0">
      <w:pPr>
        <w:pStyle w:val="Exampletext"/>
      </w:pPr>
      <w:r w:rsidRPr="007A74C8">
        <w:t xml:space="preserve">Papaya Ltd and Mango Ltd are able to group their expenditure </w:t>
      </w:r>
      <w:r w:rsidR="00032283">
        <w:t xml:space="preserve">to </w:t>
      </w:r>
      <w:r w:rsidRPr="007A74C8">
        <w:t>determin</w:t>
      </w:r>
      <w:r w:rsidR="00032283">
        <w:t>e</w:t>
      </w:r>
      <w:r w:rsidRPr="007A74C8">
        <w:t xml:space="preserve"> their eligibility for the significant performer regime. Since their combined expenditure estimate is $2.3 million, they sat</w:t>
      </w:r>
      <w:r w:rsidR="004F692C">
        <w:t>isfy the $2 million threshold.</w:t>
      </w:r>
    </w:p>
    <w:p w14:paraId="582E5706" w14:textId="77777777" w:rsidR="00C153F0" w:rsidRDefault="00C153F0" w:rsidP="00C153F0">
      <w:pPr>
        <w:rPr>
          <w:lang w:eastAsia="en-AU"/>
        </w:rPr>
      </w:pPr>
    </w:p>
    <w:p w14:paraId="04CD685C" w14:textId="77777777" w:rsidR="00C153F0" w:rsidRDefault="00C153F0" w:rsidP="00C153F0">
      <w:pPr>
        <w:rPr>
          <w:lang w:eastAsia="en-AU"/>
        </w:rPr>
      </w:pPr>
    </w:p>
    <w:p w14:paraId="5CDA5351" w14:textId="77777777" w:rsidR="00ED09D1" w:rsidRPr="007923F2" w:rsidRDefault="00ED09D1" w:rsidP="0039391B">
      <w:pPr>
        <w:pStyle w:val="Heading3"/>
      </w:pPr>
      <w:r w:rsidRPr="007923F2">
        <w:t>Notification deadline</w:t>
      </w:r>
    </w:p>
    <w:p w14:paraId="3EBB2923" w14:textId="77777777" w:rsidR="00ED09D1" w:rsidRPr="007923F2" w:rsidRDefault="00ED09D1" w:rsidP="0039391B">
      <w:pPr>
        <w:rPr>
          <w:lang w:eastAsia="en-AU"/>
        </w:rPr>
      </w:pPr>
    </w:p>
    <w:p w14:paraId="2D25EDF8" w14:textId="3BCB6710" w:rsidR="00ED09D1" w:rsidRPr="007923F2" w:rsidRDefault="0001013E" w:rsidP="0039391B">
      <w:pPr>
        <w:rPr>
          <w:lang w:eastAsia="en-AU"/>
        </w:rPr>
      </w:pPr>
      <w:r>
        <w:rPr>
          <w:lang w:eastAsia="en-AU"/>
        </w:rPr>
        <w:t xml:space="preserve">People </w:t>
      </w:r>
      <w:r w:rsidR="00ED09D1" w:rsidRPr="007923F2">
        <w:rPr>
          <w:lang w:eastAsia="en-AU"/>
        </w:rPr>
        <w:t xml:space="preserve">who </w:t>
      </w:r>
      <w:r w:rsidR="00A27C6C">
        <w:rPr>
          <w:lang w:eastAsia="en-AU"/>
        </w:rPr>
        <w:t>wish to opt</w:t>
      </w:r>
      <w:r w:rsidR="00032283">
        <w:rPr>
          <w:lang w:eastAsia="en-AU"/>
        </w:rPr>
        <w:t xml:space="preserve"> in to </w:t>
      </w:r>
      <w:r w:rsidR="00ED09D1" w:rsidRPr="007923F2">
        <w:rPr>
          <w:lang w:eastAsia="en-AU"/>
        </w:rPr>
        <w:t xml:space="preserve">the significant performer regime must notify the Commissioner by the seventh day of the second month after the end of the relevant income year. </w:t>
      </w:r>
      <w:r>
        <w:rPr>
          <w:lang w:eastAsia="en-AU"/>
        </w:rPr>
        <w:t>They</w:t>
      </w:r>
      <w:r w:rsidRPr="007923F2">
        <w:rPr>
          <w:lang w:eastAsia="en-AU"/>
        </w:rPr>
        <w:t xml:space="preserve"> </w:t>
      </w:r>
      <w:r w:rsidR="00ED09D1" w:rsidRPr="007923F2">
        <w:rPr>
          <w:lang w:eastAsia="en-AU"/>
        </w:rPr>
        <w:t>must also notify the Commissioner of their expenditure estimate by this date.</w:t>
      </w:r>
    </w:p>
    <w:p w14:paraId="23271D29" w14:textId="77777777" w:rsidR="00ED09D1" w:rsidRDefault="00ED09D1" w:rsidP="00ED09D1">
      <w:pPr>
        <w:rPr>
          <w:rFonts w:eastAsia="Times New Roman" w:cs="Times New Roman"/>
          <w:szCs w:val="20"/>
          <w:lang w:eastAsia="en-AU"/>
        </w:rPr>
      </w:pPr>
    </w:p>
    <w:p w14:paraId="5770F8C4" w14:textId="7197DF7A" w:rsidR="004F692C" w:rsidRDefault="004F692C" w:rsidP="004F692C">
      <w:pPr>
        <w:pStyle w:val="Exampleheading1"/>
      </w:pPr>
      <w:r w:rsidRPr="00A27C6C">
        <w:t>Example</w:t>
      </w:r>
      <w:r w:rsidR="0016236F">
        <w:t xml:space="preserve"> </w:t>
      </w:r>
      <w:r w:rsidR="00E24B0A">
        <w:t>29</w:t>
      </w:r>
      <w:r w:rsidRPr="00A27C6C">
        <w:t xml:space="preserve">: </w:t>
      </w:r>
      <w:r w:rsidR="0016236F">
        <w:t>N</w:t>
      </w:r>
      <w:r w:rsidRPr="00A27C6C">
        <w:t>otification deadline for standard balance date taxpayer</w:t>
      </w:r>
    </w:p>
    <w:p w14:paraId="24045923" w14:textId="77777777" w:rsidR="004F692C" w:rsidRPr="00A27C6C" w:rsidRDefault="004F692C" w:rsidP="004F692C">
      <w:pPr>
        <w:pStyle w:val="Exampletext"/>
      </w:pPr>
    </w:p>
    <w:p w14:paraId="55DC56B3" w14:textId="67C73F84" w:rsidR="004F692C" w:rsidRDefault="004F692C" w:rsidP="004F692C">
      <w:pPr>
        <w:pStyle w:val="Exampletext"/>
      </w:pPr>
      <w:r w:rsidRPr="00A27C6C">
        <w:t>Rainbow Ltd has a 31 March balance date. It has $2.5m of eligible R&amp;D expenditure for the year ende</w:t>
      </w:r>
      <w:r>
        <w:t>d 31 March 2021.</w:t>
      </w:r>
    </w:p>
    <w:p w14:paraId="00F6F9B5" w14:textId="77777777" w:rsidR="004F692C" w:rsidRPr="00A27C6C" w:rsidRDefault="004F692C" w:rsidP="004F692C">
      <w:pPr>
        <w:pStyle w:val="Exampletext"/>
      </w:pPr>
    </w:p>
    <w:p w14:paraId="1DD63EB7" w14:textId="053DA496" w:rsidR="004F692C" w:rsidRPr="00A27C6C" w:rsidRDefault="004F692C" w:rsidP="004F692C">
      <w:pPr>
        <w:pStyle w:val="Exampletext"/>
      </w:pPr>
      <w:r w:rsidRPr="00A27C6C">
        <w:t>If Rainbow Ltd wants to opt</w:t>
      </w:r>
      <w:r w:rsidR="00D27ABC">
        <w:t xml:space="preserve"> in to </w:t>
      </w:r>
      <w:r w:rsidRPr="00A27C6C">
        <w:t>the significant performer regime, it will need to notify the Commissioner and provide an expenditure estimate by 7 May 2021.</w:t>
      </w:r>
    </w:p>
    <w:p w14:paraId="6F001D58" w14:textId="77777777" w:rsidR="004F692C" w:rsidRDefault="004F692C" w:rsidP="004F692C">
      <w:pPr>
        <w:rPr>
          <w:lang w:eastAsia="en-AU"/>
        </w:rPr>
      </w:pPr>
    </w:p>
    <w:p w14:paraId="7272B3A0" w14:textId="77777777" w:rsidR="004F692C" w:rsidRPr="007923F2" w:rsidRDefault="004F692C" w:rsidP="004F692C">
      <w:pPr>
        <w:rPr>
          <w:lang w:eastAsia="en-AU"/>
        </w:rPr>
      </w:pPr>
    </w:p>
    <w:p w14:paraId="530065FD" w14:textId="77777777" w:rsidR="00AB6E7D" w:rsidRPr="00AB6E7D" w:rsidRDefault="00AB6E7D" w:rsidP="00AB6E7D">
      <w:r w:rsidRPr="00AB6E7D">
        <w:br w:type="page"/>
      </w:r>
    </w:p>
    <w:p w14:paraId="3623BC7A" w14:textId="4799CD42" w:rsidR="004F692C" w:rsidRPr="00A27C6C" w:rsidRDefault="004F692C" w:rsidP="004F692C">
      <w:pPr>
        <w:pStyle w:val="Exampleheading1"/>
      </w:pPr>
      <w:r w:rsidRPr="00A27C6C">
        <w:t>Example</w:t>
      </w:r>
      <w:r w:rsidR="0016236F">
        <w:t xml:space="preserve"> 3</w:t>
      </w:r>
      <w:r w:rsidR="00E24B0A">
        <w:t>0</w:t>
      </w:r>
      <w:r w:rsidRPr="00A27C6C">
        <w:t xml:space="preserve">: </w:t>
      </w:r>
      <w:r w:rsidR="0016236F">
        <w:t>A</w:t>
      </w:r>
      <w:r w:rsidRPr="00A27C6C">
        <w:t>pplication deadline for non-standard balance date taxpayer</w:t>
      </w:r>
    </w:p>
    <w:p w14:paraId="7F80A1F2" w14:textId="77777777" w:rsidR="004F692C" w:rsidRDefault="004F692C" w:rsidP="004F692C">
      <w:pPr>
        <w:pStyle w:val="Exampletext"/>
      </w:pPr>
    </w:p>
    <w:p w14:paraId="14025C8E" w14:textId="6959F24E" w:rsidR="004F692C" w:rsidRDefault="004F692C" w:rsidP="004F692C">
      <w:pPr>
        <w:pStyle w:val="Exampletext"/>
      </w:pPr>
      <w:r w:rsidRPr="00A27C6C">
        <w:t>Pot of Gold Ltd has a 31 December balance date, which is an early balance date. It reasonably expects to incur $3 million in the year ended 31 December 2020, and wants to opt into th</w:t>
      </w:r>
      <w:r>
        <w:t>e significant performer regime.</w:t>
      </w:r>
    </w:p>
    <w:p w14:paraId="39A56AF5" w14:textId="77777777" w:rsidR="004F692C" w:rsidRPr="00A27C6C" w:rsidRDefault="004F692C" w:rsidP="004F692C">
      <w:pPr>
        <w:pStyle w:val="Exampletext"/>
      </w:pPr>
    </w:p>
    <w:p w14:paraId="1A051BC3" w14:textId="48044E84" w:rsidR="004F692C" w:rsidRDefault="004F692C" w:rsidP="004F692C">
      <w:pPr>
        <w:pStyle w:val="Exampletext"/>
      </w:pPr>
      <w:r w:rsidRPr="00A27C6C">
        <w:t>Pot of Gold Ltd notifies the Commissioner of its intention to opt into the significant performer regime on 1 February 2021. It provides the Commissioner with a summary of the expenditure it estimates it has incurred in t</w:t>
      </w:r>
      <w:r>
        <w:t>he year ended 31 December 2020.</w:t>
      </w:r>
    </w:p>
    <w:p w14:paraId="5106CAC0" w14:textId="77777777" w:rsidR="004F692C" w:rsidRPr="00A27C6C" w:rsidRDefault="004F692C" w:rsidP="004F692C">
      <w:pPr>
        <w:pStyle w:val="Exampletext"/>
      </w:pPr>
    </w:p>
    <w:p w14:paraId="0C9D0976" w14:textId="37F18348" w:rsidR="004F692C" w:rsidRPr="00A27C6C" w:rsidRDefault="004F692C" w:rsidP="004F692C">
      <w:pPr>
        <w:pStyle w:val="Exampletext"/>
      </w:pPr>
      <w:r w:rsidRPr="00A27C6C">
        <w:t>Pot of Gold Ltd has complied with the requirement that notification must be provided to the Commissioner by the seventh day of the second month following the e</w:t>
      </w:r>
      <w:r>
        <w:t>nd of the relevant income year.</w:t>
      </w:r>
    </w:p>
    <w:p w14:paraId="2E966E1C" w14:textId="6E4F5732" w:rsidR="00ED09D1" w:rsidRPr="007923F2" w:rsidRDefault="00ED09D1" w:rsidP="004F692C">
      <w:pPr>
        <w:rPr>
          <w:lang w:eastAsia="en-AU"/>
        </w:rPr>
      </w:pPr>
    </w:p>
    <w:p w14:paraId="5C0AF532" w14:textId="77777777" w:rsidR="00ED09D1" w:rsidRPr="007923F2" w:rsidRDefault="00ED09D1" w:rsidP="004F692C">
      <w:pPr>
        <w:rPr>
          <w:lang w:eastAsia="en-AU"/>
        </w:rPr>
      </w:pPr>
    </w:p>
    <w:p w14:paraId="54760AFC" w14:textId="77777777" w:rsidR="00ED09D1" w:rsidRPr="007923F2" w:rsidRDefault="00ED09D1" w:rsidP="00C153F0">
      <w:pPr>
        <w:pStyle w:val="Heading3"/>
      </w:pPr>
      <w:r w:rsidRPr="007923F2">
        <w:t>R&amp;D certificates</w:t>
      </w:r>
    </w:p>
    <w:p w14:paraId="4F904C0C" w14:textId="77777777" w:rsidR="00ED09D1" w:rsidRPr="007923F2" w:rsidRDefault="00ED09D1" w:rsidP="00C153F0">
      <w:pPr>
        <w:rPr>
          <w:lang w:eastAsia="en-AU"/>
        </w:rPr>
      </w:pPr>
    </w:p>
    <w:p w14:paraId="6DC254C7" w14:textId="77FDD33A" w:rsidR="00ED09D1" w:rsidRPr="007923F2" w:rsidRDefault="00ED09D1" w:rsidP="00C153F0">
      <w:pPr>
        <w:rPr>
          <w:lang w:eastAsia="en-AU"/>
        </w:rPr>
      </w:pPr>
      <w:r w:rsidRPr="007923F2">
        <w:rPr>
          <w:lang w:eastAsia="en-AU"/>
        </w:rPr>
        <w:t xml:space="preserve">If a </w:t>
      </w:r>
      <w:r w:rsidR="0001013E">
        <w:rPr>
          <w:lang w:eastAsia="en-AU"/>
        </w:rPr>
        <w:t>person</w:t>
      </w:r>
      <w:r w:rsidRPr="007923F2">
        <w:rPr>
          <w:lang w:eastAsia="en-AU"/>
        </w:rPr>
        <w:t xml:space="preserve"> opts into the significant performer regime, they are required to supply the Commissioner with an R&amp;D certificate alongside their R&amp;D supplementary return (</w:t>
      </w:r>
      <w:r w:rsidR="00EB7314">
        <w:rPr>
          <w:lang w:eastAsia="en-AU"/>
        </w:rPr>
        <w:t xml:space="preserve">see the section on </w:t>
      </w:r>
      <w:r w:rsidR="00EB7314" w:rsidRPr="00EB7314">
        <w:rPr>
          <w:rStyle w:val="Emphasis"/>
          <w:lang w:eastAsia="en-AU"/>
        </w:rPr>
        <w:t>R&amp;D supplementary returns</w:t>
      </w:r>
      <w:r w:rsidR="00EB7314">
        <w:rPr>
          <w:lang w:eastAsia="en-AU"/>
        </w:rPr>
        <w:t xml:space="preserve"> (page 78) for more information</w:t>
      </w:r>
      <w:r w:rsidRPr="007923F2">
        <w:rPr>
          <w:lang w:eastAsia="en-AU"/>
        </w:rPr>
        <w:t>).</w:t>
      </w:r>
    </w:p>
    <w:p w14:paraId="533B5020" w14:textId="77777777" w:rsidR="00ED09D1" w:rsidRPr="007923F2" w:rsidRDefault="00ED09D1" w:rsidP="00C153F0">
      <w:pPr>
        <w:rPr>
          <w:lang w:eastAsia="en-AU"/>
        </w:rPr>
      </w:pPr>
    </w:p>
    <w:p w14:paraId="257DC2F4" w14:textId="77777777" w:rsidR="00ED09D1" w:rsidRPr="007923F2" w:rsidRDefault="00ED09D1" w:rsidP="00C153F0">
      <w:pPr>
        <w:rPr>
          <w:lang w:eastAsia="en-AU"/>
        </w:rPr>
      </w:pPr>
      <w:r w:rsidRPr="007923F2">
        <w:rPr>
          <w:lang w:eastAsia="en-AU"/>
        </w:rPr>
        <w:t>The information R&amp;D certificates must contain is not prescribed by legislation, but it is expected that R&amp;D certificates will confirm that:</w:t>
      </w:r>
    </w:p>
    <w:p w14:paraId="64ACD09F" w14:textId="77777777" w:rsidR="00ED09D1" w:rsidRPr="007923F2" w:rsidRDefault="00ED09D1" w:rsidP="00C153F0">
      <w:pPr>
        <w:rPr>
          <w:lang w:eastAsia="en-AU"/>
        </w:rPr>
      </w:pPr>
    </w:p>
    <w:p w14:paraId="54CC56A0" w14:textId="52A02936" w:rsidR="00ED09D1" w:rsidRPr="007923F2" w:rsidRDefault="008343B2" w:rsidP="00C153F0">
      <w:pPr>
        <w:pStyle w:val="dotpoint"/>
      </w:pPr>
      <w:r>
        <w:t>a</w:t>
      </w:r>
      <w:r w:rsidR="00ED09D1" w:rsidRPr="007923F2">
        <w:t>n R&amp;D certifier (typically a law or accounting firm) has reviewed a sample of a person’s eligible R&amp;D expenditure;</w:t>
      </w:r>
    </w:p>
    <w:p w14:paraId="3E24236C" w14:textId="44F1FC3E" w:rsidR="00ED09D1" w:rsidRPr="007923F2" w:rsidRDefault="008343B2" w:rsidP="00C153F0">
      <w:pPr>
        <w:pStyle w:val="dotpoint"/>
      </w:pPr>
      <w:r>
        <w:t>t</w:t>
      </w:r>
      <w:r w:rsidR="00ED09D1" w:rsidRPr="007923F2">
        <w:t>he expenditure sample reviewed by the R&amp;D certifier was calculated in accordance with the R&amp;D tax credit rules; and</w:t>
      </w:r>
    </w:p>
    <w:p w14:paraId="0B6FC446" w14:textId="074C7FB0" w:rsidR="00ED09D1" w:rsidRPr="007923F2" w:rsidRDefault="008343B2" w:rsidP="00C153F0">
      <w:pPr>
        <w:pStyle w:val="dotpoint"/>
        <w:spacing w:after="0"/>
      </w:pPr>
      <w:r>
        <w:t>t</w:t>
      </w:r>
      <w:r w:rsidR="00ED09D1" w:rsidRPr="007923F2">
        <w:t>he person actually incurred, or was reasonable in estimating that they would incur, more than $2</w:t>
      </w:r>
      <w:r w:rsidR="0001013E">
        <w:t xml:space="preserve"> </w:t>
      </w:r>
      <w:r w:rsidR="00ED09D1" w:rsidRPr="007923F2">
        <w:t>m</w:t>
      </w:r>
      <w:r w:rsidR="0001013E">
        <w:t>illion</w:t>
      </w:r>
      <w:r w:rsidR="00ED09D1" w:rsidRPr="007923F2">
        <w:t xml:space="preserve"> of eligible R&amp;D expenditure in the relevant income year. </w:t>
      </w:r>
    </w:p>
    <w:p w14:paraId="59C96355" w14:textId="77777777" w:rsidR="00ED09D1" w:rsidRPr="007923F2" w:rsidRDefault="00ED09D1" w:rsidP="00C153F0">
      <w:pPr>
        <w:rPr>
          <w:lang w:eastAsia="en-AU"/>
        </w:rPr>
      </w:pPr>
    </w:p>
    <w:p w14:paraId="1DF48CAC" w14:textId="77777777" w:rsidR="00ED09D1" w:rsidRPr="007923F2" w:rsidRDefault="00ED09D1" w:rsidP="00C153F0">
      <w:pPr>
        <w:pStyle w:val="Heading3"/>
      </w:pPr>
      <w:r w:rsidRPr="007923F2">
        <w:t>R&amp;D certifiers</w:t>
      </w:r>
    </w:p>
    <w:p w14:paraId="49C55F53" w14:textId="77777777" w:rsidR="00ED09D1" w:rsidRPr="007923F2" w:rsidRDefault="00ED09D1" w:rsidP="00C153F0">
      <w:pPr>
        <w:rPr>
          <w:lang w:eastAsia="en-AU"/>
        </w:rPr>
      </w:pPr>
    </w:p>
    <w:p w14:paraId="33E6DFE0" w14:textId="6C635988" w:rsidR="00ED09D1" w:rsidRPr="007923F2" w:rsidRDefault="00ED09D1" w:rsidP="00C153F0">
      <w:pPr>
        <w:rPr>
          <w:lang w:eastAsia="en-AU"/>
        </w:rPr>
      </w:pPr>
      <w:r w:rsidRPr="007923F2">
        <w:rPr>
          <w:lang w:eastAsia="en-AU"/>
        </w:rPr>
        <w:t xml:space="preserve">Proposed new section 15ZC sets out the requirements for R&amp;D certificates and R&amp;D certifiers (referred to as “accepted research and development certifiers” in the </w:t>
      </w:r>
      <w:r w:rsidR="0001013E">
        <w:rPr>
          <w:lang w:eastAsia="en-AU"/>
        </w:rPr>
        <w:t>B</w:t>
      </w:r>
      <w:r w:rsidR="004F692C">
        <w:rPr>
          <w:lang w:eastAsia="en-AU"/>
        </w:rPr>
        <w:t>ill).</w:t>
      </w:r>
    </w:p>
    <w:p w14:paraId="3B275D5B" w14:textId="77777777" w:rsidR="00ED09D1" w:rsidRPr="007923F2" w:rsidRDefault="00ED09D1" w:rsidP="00C153F0">
      <w:pPr>
        <w:rPr>
          <w:lang w:eastAsia="en-AU"/>
        </w:rPr>
      </w:pPr>
    </w:p>
    <w:p w14:paraId="703542BF" w14:textId="77777777" w:rsidR="00ED09D1" w:rsidRPr="007923F2" w:rsidRDefault="00ED09D1" w:rsidP="00C153F0">
      <w:pPr>
        <w:rPr>
          <w:lang w:eastAsia="en-AU"/>
        </w:rPr>
      </w:pPr>
      <w:r w:rsidRPr="007923F2">
        <w:rPr>
          <w:lang w:eastAsia="en-AU"/>
        </w:rPr>
        <w:t>A person is an R&amp;D certifier if</w:t>
      </w:r>
      <w:r w:rsidR="0001013E">
        <w:rPr>
          <w:lang w:eastAsia="en-AU"/>
        </w:rPr>
        <w:t xml:space="preserve"> they</w:t>
      </w:r>
      <w:r w:rsidRPr="007923F2">
        <w:rPr>
          <w:lang w:eastAsia="en-AU"/>
        </w:rPr>
        <w:t>:</w:t>
      </w:r>
    </w:p>
    <w:p w14:paraId="464E9FA8" w14:textId="77777777" w:rsidR="00ED09D1" w:rsidRPr="007923F2" w:rsidRDefault="00ED09D1" w:rsidP="00C153F0">
      <w:pPr>
        <w:rPr>
          <w:lang w:eastAsia="en-AU"/>
        </w:rPr>
      </w:pPr>
    </w:p>
    <w:p w14:paraId="514FDD0D" w14:textId="39D3DF1D" w:rsidR="00ED09D1" w:rsidRPr="007923F2" w:rsidRDefault="008343B2" w:rsidP="00C153F0">
      <w:pPr>
        <w:pStyle w:val="dotpoint"/>
      </w:pPr>
      <w:r>
        <w:t>h</w:t>
      </w:r>
      <w:r w:rsidR="00ED09D1" w:rsidRPr="007923F2">
        <w:t>a</w:t>
      </w:r>
      <w:r w:rsidR="0001013E">
        <w:t>ve</w:t>
      </w:r>
      <w:r w:rsidR="00ED09D1" w:rsidRPr="007923F2">
        <w:t xml:space="preserve"> requested approval from the Commissioner in the prescribed form;</w:t>
      </w:r>
    </w:p>
    <w:p w14:paraId="7FE02093" w14:textId="3036C765" w:rsidR="00ED09D1" w:rsidRPr="007923F2" w:rsidRDefault="008343B2" w:rsidP="00C153F0">
      <w:pPr>
        <w:pStyle w:val="dotpoint"/>
      </w:pPr>
      <w:r>
        <w:t>h</w:t>
      </w:r>
      <w:r w:rsidR="0001013E">
        <w:t>ave</w:t>
      </w:r>
      <w:r w:rsidR="00ED09D1" w:rsidRPr="007923F2">
        <w:t xml:space="preserve"> not had their R&amp;D certifier approval revoked in the last two years;</w:t>
      </w:r>
    </w:p>
    <w:p w14:paraId="544E93F9" w14:textId="5F8D0A7E" w:rsidR="00ED09D1" w:rsidRPr="007923F2" w:rsidRDefault="008343B2" w:rsidP="00C153F0">
      <w:pPr>
        <w:pStyle w:val="dotpoint"/>
      </w:pPr>
      <w:r>
        <w:t>h</w:t>
      </w:r>
      <w:r w:rsidR="0001013E">
        <w:t>ave</w:t>
      </w:r>
      <w:r w:rsidR="00ED09D1" w:rsidRPr="007923F2">
        <w:t xml:space="preserve"> made a statutory declaration that they are competent in applying appropriate accounting and legal standards in relation t</w:t>
      </w:r>
      <w:r w:rsidR="004F692C">
        <w:t>o R&amp;D tax credits;</w:t>
      </w:r>
    </w:p>
    <w:p w14:paraId="658F98F0" w14:textId="6CECCF91" w:rsidR="00ED09D1" w:rsidRPr="007923F2" w:rsidRDefault="008343B2" w:rsidP="00C153F0">
      <w:pPr>
        <w:pStyle w:val="dotpoint"/>
      </w:pPr>
      <w:r>
        <w:t>h</w:t>
      </w:r>
      <w:r w:rsidR="0001013E">
        <w:t xml:space="preserve">ave </w:t>
      </w:r>
      <w:r w:rsidR="00ED09D1" w:rsidRPr="007923F2">
        <w:t>declared any other matters the Commissioner requires them to declare for assuring the Commissioner that they have the legal, accounting, and scientific expertise to complete R&amp;D certificates; and</w:t>
      </w:r>
    </w:p>
    <w:p w14:paraId="50EB1517" w14:textId="23D8F6E5" w:rsidR="00ED09D1" w:rsidRPr="007923F2" w:rsidRDefault="008343B2" w:rsidP="00C153F0">
      <w:pPr>
        <w:pStyle w:val="dotpoint"/>
        <w:spacing w:after="0"/>
      </w:pPr>
      <w:r>
        <w:t>t</w:t>
      </w:r>
      <w:r w:rsidR="00ED09D1" w:rsidRPr="007923F2">
        <w:t>he Commissioner approves their application.</w:t>
      </w:r>
    </w:p>
    <w:p w14:paraId="6594EE64" w14:textId="77777777" w:rsidR="00ED09D1" w:rsidRPr="007923F2" w:rsidRDefault="00ED09D1" w:rsidP="00C153F0">
      <w:pPr>
        <w:rPr>
          <w:lang w:eastAsia="en-AU"/>
        </w:rPr>
      </w:pPr>
    </w:p>
    <w:p w14:paraId="1D8A66C5" w14:textId="77777777" w:rsidR="00ED09D1" w:rsidRPr="007923F2" w:rsidRDefault="00ED09D1" w:rsidP="00C153F0">
      <w:pPr>
        <w:rPr>
          <w:lang w:eastAsia="en-AU"/>
        </w:rPr>
      </w:pPr>
      <w:r w:rsidRPr="007923F2">
        <w:rPr>
          <w:lang w:eastAsia="en-AU"/>
        </w:rPr>
        <w:t>Once the Commissioner approves a person’s application to be an R&amp;D certifier, the Commissioner must notify the person and publish the approval in a publication chosen by the Commissioner.</w:t>
      </w:r>
    </w:p>
    <w:p w14:paraId="61955161" w14:textId="77777777" w:rsidR="00ED09D1" w:rsidRPr="007923F2" w:rsidRDefault="00ED09D1" w:rsidP="00C153F0">
      <w:pPr>
        <w:rPr>
          <w:lang w:eastAsia="en-AU"/>
        </w:rPr>
      </w:pPr>
    </w:p>
    <w:p w14:paraId="385FF0D2" w14:textId="65B1D268" w:rsidR="00ED09D1" w:rsidRPr="007923F2" w:rsidRDefault="00ED09D1" w:rsidP="00C153F0">
      <w:pPr>
        <w:rPr>
          <w:lang w:eastAsia="en-AU"/>
        </w:rPr>
      </w:pPr>
      <w:r w:rsidRPr="007923F2">
        <w:rPr>
          <w:lang w:eastAsia="en-AU"/>
        </w:rPr>
        <w:t xml:space="preserve">The Commissioner is able to revoke approval of an R&amp;D certifier at </w:t>
      </w:r>
      <w:r w:rsidRPr="005037E6">
        <w:rPr>
          <w:lang w:eastAsia="en-AU"/>
        </w:rPr>
        <w:t>her</w:t>
      </w:r>
      <w:r w:rsidRPr="007923F2">
        <w:rPr>
          <w:lang w:eastAsia="en-AU"/>
        </w:rPr>
        <w:t xml:space="preserve"> discretion. If approval is revoked, this must be published in a publicat</w:t>
      </w:r>
      <w:r w:rsidR="004F692C">
        <w:rPr>
          <w:lang w:eastAsia="en-AU"/>
        </w:rPr>
        <w:t>ion chosen by the Commissioner.</w:t>
      </w:r>
    </w:p>
    <w:p w14:paraId="53A6886C" w14:textId="77777777" w:rsidR="00ED09D1" w:rsidRPr="007923F2" w:rsidRDefault="00ED09D1" w:rsidP="00C153F0">
      <w:pPr>
        <w:rPr>
          <w:lang w:eastAsia="en-AU"/>
        </w:rPr>
      </w:pPr>
    </w:p>
    <w:p w14:paraId="36CC72CC" w14:textId="7E66A5B1" w:rsidR="00ED09D1" w:rsidRPr="007923F2" w:rsidRDefault="00ED09D1" w:rsidP="00C153F0">
      <w:pPr>
        <w:rPr>
          <w:lang w:eastAsia="en-AU"/>
        </w:rPr>
      </w:pPr>
      <w:r w:rsidRPr="007923F2">
        <w:rPr>
          <w:lang w:eastAsia="en-AU"/>
        </w:rPr>
        <w:t xml:space="preserve">If an R&amp;D certifier provides an R&amp;D certificate to a </w:t>
      </w:r>
      <w:r w:rsidR="0001013E">
        <w:rPr>
          <w:lang w:eastAsia="en-AU"/>
        </w:rPr>
        <w:t>person</w:t>
      </w:r>
      <w:r w:rsidRPr="007923F2">
        <w:rPr>
          <w:lang w:eastAsia="en-AU"/>
        </w:rPr>
        <w:t xml:space="preserve"> in relation to an income year, and the</w:t>
      </w:r>
      <w:r w:rsidR="0001013E">
        <w:rPr>
          <w:lang w:eastAsia="en-AU"/>
        </w:rPr>
        <w:t xml:space="preserve"> person</w:t>
      </w:r>
      <w:r w:rsidRPr="007923F2">
        <w:rPr>
          <w:lang w:eastAsia="en-AU"/>
        </w:rPr>
        <w:t xml:space="preserve"> subsequently receives a shortfall penalty in relation to R&amp;D tax credits for the income year, the Commissioner must revoke the R&amp;D certifier’s approval. The Commissioner will not revoke an approval, however, where a </w:t>
      </w:r>
      <w:r w:rsidR="0001013E">
        <w:rPr>
          <w:lang w:eastAsia="en-AU"/>
        </w:rPr>
        <w:t xml:space="preserve">person </w:t>
      </w:r>
      <w:r w:rsidRPr="007923F2">
        <w:rPr>
          <w:lang w:eastAsia="en-AU"/>
        </w:rPr>
        <w:t xml:space="preserve">has wilfully misled the R&amp;D certifier. Once approval is revoked, the R&amp;D certifier may not be reinstated as </w:t>
      </w:r>
      <w:r w:rsidR="004F692C">
        <w:rPr>
          <w:lang w:eastAsia="en-AU"/>
        </w:rPr>
        <w:t>an R&amp;D certifier for two years.</w:t>
      </w:r>
    </w:p>
    <w:p w14:paraId="5C5CD499" w14:textId="77777777" w:rsidR="00ED09D1" w:rsidRPr="007923F2" w:rsidRDefault="00ED09D1" w:rsidP="00C153F0">
      <w:pPr>
        <w:rPr>
          <w:lang w:eastAsia="en-AU"/>
        </w:rPr>
      </w:pPr>
    </w:p>
    <w:p w14:paraId="7054DF46" w14:textId="77777777" w:rsidR="00ED09D1" w:rsidRPr="007923F2" w:rsidRDefault="00ED09D1" w:rsidP="00C153F0">
      <w:pPr>
        <w:rPr>
          <w:lang w:eastAsia="en-AU"/>
        </w:rPr>
      </w:pPr>
      <w:r w:rsidRPr="007923F2">
        <w:rPr>
          <w:lang w:eastAsia="en-AU"/>
        </w:rPr>
        <w:t>The Commissioner’s decision to approve, decline to approve, or revoke the approval of an R&amp;D certifier cannot be challenged.</w:t>
      </w:r>
    </w:p>
    <w:p w14:paraId="03067DA4" w14:textId="77777777" w:rsidR="00ED09D1" w:rsidRPr="007923F2" w:rsidRDefault="00ED09D1" w:rsidP="00C153F0">
      <w:pPr>
        <w:rPr>
          <w:lang w:eastAsia="en-AU"/>
        </w:rPr>
      </w:pPr>
    </w:p>
    <w:p w14:paraId="2B0E9DC6" w14:textId="77777777" w:rsidR="00ED09D1" w:rsidRPr="007923F2" w:rsidRDefault="00ED09D1" w:rsidP="00C153F0">
      <w:pPr>
        <w:pStyle w:val="Heading3"/>
      </w:pPr>
      <w:r w:rsidRPr="007923F2">
        <w:t>Optional criteria approval</w:t>
      </w:r>
    </w:p>
    <w:p w14:paraId="6AC77A50" w14:textId="77777777" w:rsidR="00ED09D1" w:rsidRPr="007923F2" w:rsidRDefault="00ED09D1" w:rsidP="00C153F0">
      <w:pPr>
        <w:rPr>
          <w:lang w:eastAsia="en-AU"/>
        </w:rPr>
      </w:pPr>
    </w:p>
    <w:p w14:paraId="01AC478D" w14:textId="77F65F8A" w:rsidR="00ED09D1" w:rsidRPr="007923F2" w:rsidRDefault="0001013E" w:rsidP="00C153F0">
      <w:pPr>
        <w:rPr>
          <w:lang w:eastAsia="en-AU"/>
        </w:rPr>
      </w:pPr>
      <w:r>
        <w:rPr>
          <w:lang w:eastAsia="en-AU"/>
        </w:rPr>
        <w:t>People</w:t>
      </w:r>
      <w:r w:rsidRPr="007923F2">
        <w:rPr>
          <w:lang w:eastAsia="en-AU"/>
        </w:rPr>
        <w:t xml:space="preserve"> </w:t>
      </w:r>
      <w:r w:rsidR="00ED09D1" w:rsidRPr="007923F2">
        <w:rPr>
          <w:lang w:eastAsia="en-AU"/>
        </w:rPr>
        <w:t xml:space="preserve">who opt into the significant performer regime are able to apply </w:t>
      </w:r>
      <w:r w:rsidR="004F692C">
        <w:rPr>
          <w:lang w:eastAsia="en-AU"/>
        </w:rPr>
        <w:t>for optional criteria approval.</w:t>
      </w:r>
    </w:p>
    <w:p w14:paraId="4941A2B2" w14:textId="77777777" w:rsidR="00ED09D1" w:rsidRPr="007923F2" w:rsidRDefault="00ED09D1" w:rsidP="00C153F0">
      <w:pPr>
        <w:rPr>
          <w:lang w:eastAsia="en-AU"/>
        </w:rPr>
      </w:pPr>
    </w:p>
    <w:p w14:paraId="760B6287" w14:textId="77777777" w:rsidR="00ED09D1" w:rsidRPr="007923F2" w:rsidRDefault="00ED09D1" w:rsidP="00C153F0">
      <w:pPr>
        <w:pStyle w:val="Heading4"/>
      </w:pPr>
      <w:r w:rsidRPr="007923F2">
        <w:t>Application requirements</w:t>
      </w:r>
    </w:p>
    <w:p w14:paraId="2DCFBA0C" w14:textId="77777777" w:rsidR="00ED09D1" w:rsidRPr="007923F2" w:rsidRDefault="00ED09D1" w:rsidP="00C153F0">
      <w:pPr>
        <w:rPr>
          <w:lang w:eastAsia="en-AU"/>
        </w:rPr>
      </w:pPr>
    </w:p>
    <w:p w14:paraId="15213282" w14:textId="77777777" w:rsidR="00ED09D1" w:rsidRPr="007923F2" w:rsidRDefault="00ED09D1" w:rsidP="00C153F0">
      <w:pPr>
        <w:rPr>
          <w:lang w:eastAsia="en-AU"/>
        </w:rPr>
      </w:pPr>
      <w:r w:rsidRPr="007923F2">
        <w:rPr>
          <w:lang w:eastAsia="en-AU"/>
        </w:rPr>
        <w:t>Applications for criteria approval must detail:</w:t>
      </w:r>
    </w:p>
    <w:p w14:paraId="359B5807" w14:textId="77777777" w:rsidR="00ED09D1" w:rsidRPr="007923F2" w:rsidRDefault="00ED09D1" w:rsidP="00C153F0">
      <w:pPr>
        <w:rPr>
          <w:lang w:eastAsia="en-AU"/>
        </w:rPr>
      </w:pPr>
    </w:p>
    <w:p w14:paraId="238CE43A" w14:textId="55A42AF1" w:rsidR="00ED09D1" w:rsidRPr="007923F2" w:rsidRDefault="008343B2" w:rsidP="00C153F0">
      <w:pPr>
        <w:pStyle w:val="dotpoint"/>
      </w:pPr>
      <w:r>
        <w:t>t</w:t>
      </w:r>
      <w:r w:rsidR="00ED09D1" w:rsidRPr="007923F2">
        <w:t>he criteria and methodologies the person wan</w:t>
      </w:r>
      <w:r w:rsidR="004F692C">
        <w:t>ts the Commissioner to approve;</w:t>
      </w:r>
    </w:p>
    <w:p w14:paraId="6F1C5D2F" w14:textId="0B815472" w:rsidR="00ED09D1" w:rsidRPr="007923F2" w:rsidRDefault="008343B2" w:rsidP="00C153F0">
      <w:pPr>
        <w:pStyle w:val="dotpoint"/>
      </w:pPr>
      <w:r>
        <w:t>t</w:t>
      </w:r>
      <w:r w:rsidR="00ED09D1" w:rsidRPr="007923F2">
        <w:t>he income years the criteria approval will apply for; and</w:t>
      </w:r>
    </w:p>
    <w:p w14:paraId="2E2FC54B" w14:textId="1211438D" w:rsidR="00ED09D1" w:rsidRPr="007923F2" w:rsidRDefault="008343B2" w:rsidP="00C153F0">
      <w:pPr>
        <w:pStyle w:val="dotpoint"/>
        <w:spacing w:after="0"/>
      </w:pPr>
      <w:r>
        <w:t>a</w:t>
      </w:r>
      <w:r w:rsidR="00ED09D1" w:rsidRPr="007923F2">
        <w:t>ny other information required by the Commissioner.</w:t>
      </w:r>
    </w:p>
    <w:p w14:paraId="79B09367" w14:textId="77777777" w:rsidR="00ED09D1" w:rsidRPr="007923F2" w:rsidRDefault="00ED09D1" w:rsidP="00C153F0">
      <w:pPr>
        <w:rPr>
          <w:lang w:eastAsia="en-AU"/>
        </w:rPr>
      </w:pPr>
    </w:p>
    <w:p w14:paraId="0613C95D" w14:textId="77777777" w:rsidR="00ED09D1" w:rsidRPr="007923F2" w:rsidRDefault="00ED09D1" w:rsidP="00C153F0">
      <w:pPr>
        <w:pStyle w:val="Heading4"/>
      </w:pPr>
      <w:r w:rsidRPr="007923F2">
        <w:t>Commissioner’s approval</w:t>
      </w:r>
    </w:p>
    <w:p w14:paraId="40209A79" w14:textId="77777777" w:rsidR="00ED09D1" w:rsidRPr="007923F2" w:rsidRDefault="00ED09D1" w:rsidP="00C153F0">
      <w:pPr>
        <w:rPr>
          <w:lang w:eastAsia="en-AU"/>
        </w:rPr>
      </w:pPr>
    </w:p>
    <w:p w14:paraId="3DD2FBCF" w14:textId="3883594E" w:rsidR="00ED09D1" w:rsidRPr="007923F2" w:rsidRDefault="00ED09D1" w:rsidP="00C153F0">
      <w:pPr>
        <w:rPr>
          <w:lang w:eastAsia="en-AU"/>
        </w:rPr>
      </w:pPr>
      <w:r w:rsidRPr="007923F2">
        <w:rPr>
          <w:lang w:eastAsia="en-AU"/>
        </w:rPr>
        <w:t>The Commissioner is able to approve appropriate criteria methodologies that the person can use to determine whether their R&amp;D activities and expenditure are eligible. Once criteria approval is granted, the Commissioner must notify the person what criteria and methodologies the Commissioner approves of, the period for which the criteria approval applies, and any conditions of t</w:t>
      </w:r>
      <w:r w:rsidR="004F692C">
        <w:rPr>
          <w:lang w:eastAsia="en-AU"/>
        </w:rPr>
        <w:t>he criteria approval.</w:t>
      </w:r>
    </w:p>
    <w:p w14:paraId="62130498" w14:textId="77777777" w:rsidR="00ED09D1" w:rsidRPr="007923F2" w:rsidRDefault="00ED09D1" w:rsidP="00C153F0">
      <w:pPr>
        <w:rPr>
          <w:lang w:eastAsia="en-AU"/>
        </w:rPr>
      </w:pPr>
    </w:p>
    <w:p w14:paraId="0EA4379A" w14:textId="77777777" w:rsidR="00ED09D1" w:rsidRPr="007923F2" w:rsidRDefault="00ED09D1" w:rsidP="00C153F0">
      <w:pPr>
        <w:pStyle w:val="Heading4"/>
      </w:pPr>
      <w:r w:rsidRPr="007923F2">
        <w:t>Approval is binding on the Commissioner if certain requirements met</w:t>
      </w:r>
    </w:p>
    <w:p w14:paraId="4CF5D680" w14:textId="77777777" w:rsidR="00ED09D1" w:rsidRPr="007923F2" w:rsidRDefault="00ED09D1" w:rsidP="00C153F0">
      <w:pPr>
        <w:rPr>
          <w:lang w:eastAsia="en-AU"/>
        </w:rPr>
      </w:pPr>
    </w:p>
    <w:p w14:paraId="0E32D840" w14:textId="530558E9" w:rsidR="00ED09D1" w:rsidRPr="007923F2" w:rsidRDefault="00ED09D1" w:rsidP="00C153F0">
      <w:pPr>
        <w:rPr>
          <w:lang w:eastAsia="en-AU"/>
        </w:rPr>
      </w:pPr>
      <w:r w:rsidRPr="007923F2">
        <w:rPr>
          <w:lang w:eastAsia="en-AU"/>
        </w:rPr>
        <w:t xml:space="preserve">Criteria approval is valid and </w:t>
      </w:r>
      <w:r w:rsidR="004F692C">
        <w:rPr>
          <w:lang w:eastAsia="en-AU"/>
        </w:rPr>
        <w:t>binding on the Commissioner if:</w:t>
      </w:r>
    </w:p>
    <w:p w14:paraId="4F9ECA5E" w14:textId="77777777" w:rsidR="00ED09D1" w:rsidRPr="007923F2" w:rsidRDefault="00ED09D1" w:rsidP="00C153F0">
      <w:pPr>
        <w:rPr>
          <w:lang w:eastAsia="en-AU"/>
        </w:rPr>
      </w:pPr>
    </w:p>
    <w:p w14:paraId="19C65E0E" w14:textId="6A4C9CE6" w:rsidR="00ED09D1" w:rsidRPr="007923F2" w:rsidRDefault="008343B2" w:rsidP="00C153F0">
      <w:pPr>
        <w:pStyle w:val="dotpoint"/>
      </w:pPr>
      <w:r>
        <w:t>a</w:t>
      </w:r>
      <w:r w:rsidR="00ED09D1" w:rsidRPr="007923F2">
        <w:t xml:space="preserve"> pe</w:t>
      </w:r>
      <w:r w:rsidR="004F692C">
        <w:t>rson’s application is accurate;</w:t>
      </w:r>
    </w:p>
    <w:p w14:paraId="6A12F3C2" w14:textId="6F05EAEC" w:rsidR="00ED09D1" w:rsidRPr="007923F2" w:rsidRDefault="008343B2" w:rsidP="00C153F0">
      <w:pPr>
        <w:pStyle w:val="dotpoint"/>
      </w:pPr>
      <w:r>
        <w:t>t</w:t>
      </w:r>
      <w:r w:rsidR="00ED09D1" w:rsidRPr="007923F2">
        <w:t>he person satisfies any conditions of the criteria approval that have been imposed by the Commissioner;</w:t>
      </w:r>
    </w:p>
    <w:p w14:paraId="741E4DEA" w14:textId="498145BA" w:rsidR="00ED09D1" w:rsidRPr="007923F2" w:rsidRDefault="008343B2" w:rsidP="00C153F0">
      <w:pPr>
        <w:pStyle w:val="dotpoint"/>
      </w:pPr>
      <w:r>
        <w:t>t</w:t>
      </w:r>
      <w:r w:rsidR="00ED09D1" w:rsidRPr="007923F2">
        <w:t>here is no change to subpart LY (and any associated provisions) that materially alters the basis on which the criteria approval was provided; and</w:t>
      </w:r>
    </w:p>
    <w:p w14:paraId="499FEE30" w14:textId="25E20EEA" w:rsidR="00ED09D1" w:rsidRPr="007923F2" w:rsidRDefault="008343B2" w:rsidP="00C153F0">
      <w:pPr>
        <w:pStyle w:val="dotpoint"/>
        <w:spacing w:after="0"/>
      </w:pPr>
      <w:r>
        <w:t>t</w:t>
      </w:r>
      <w:r w:rsidR="00ED09D1" w:rsidRPr="007923F2">
        <w:t>he person satisfies the other requirements of the significant performer regime (that is, the person satisfies the $2</w:t>
      </w:r>
      <w:r w:rsidR="0001013E">
        <w:t xml:space="preserve"> </w:t>
      </w:r>
      <w:r w:rsidR="00ED09D1" w:rsidRPr="007923F2">
        <w:t>m</w:t>
      </w:r>
      <w:r w:rsidR="0001013E">
        <w:t>illion</w:t>
      </w:r>
      <w:r w:rsidR="00ED09D1" w:rsidRPr="007923F2">
        <w:t xml:space="preserve"> threshold and supplies an R&amp;D certificate alongside th</w:t>
      </w:r>
      <w:r w:rsidR="004F692C">
        <w:t>eir R&amp;D supplementary return).</w:t>
      </w:r>
    </w:p>
    <w:p w14:paraId="17817BBC" w14:textId="77777777" w:rsidR="00ED09D1" w:rsidRPr="007923F2" w:rsidRDefault="00ED09D1" w:rsidP="00ED09D1">
      <w:pPr>
        <w:rPr>
          <w:rFonts w:eastAsia="Times New Roman" w:cs="Times New Roman"/>
          <w:szCs w:val="20"/>
          <w:lang w:eastAsia="en-AU"/>
        </w:rPr>
      </w:pPr>
    </w:p>
    <w:p w14:paraId="5D749C09" w14:textId="77777777" w:rsidR="00ED09D1" w:rsidRPr="007923F2" w:rsidRDefault="00ED09D1" w:rsidP="00C153F0">
      <w:pPr>
        <w:pStyle w:val="Heading4"/>
      </w:pPr>
      <w:r w:rsidRPr="007923F2">
        <w:t>Commissioner can revoke criteria approval</w:t>
      </w:r>
    </w:p>
    <w:p w14:paraId="5D92DCB6" w14:textId="77777777" w:rsidR="00ED09D1" w:rsidRPr="007923F2" w:rsidRDefault="00ED09D1" w:rsidP="00C153F0">
      <w:pPr>
        <w:rPr>
          <w:lang w:eastAsia="en-AU"/>
        </w:rPr>
      </w:pPr>
    </w:p>
    <w:p w14:paraId="662A0AFB" w14:textId="77777777" w:rsidR="00ED09D1" w:rsidRPr="007923F2" w:rsidRDefault="00ED09D1" w:rsidP="00C153F0">
      <w:pPr>
        <w:rPr>
          <w:lang w:eastAsia="en-AU"/>
        </w:rPr>
      </w:pPr>
      <w:r w:rsidRPr="007923F2">
        <w:rPr>
          <w:lang w:eastAsia="en-AU"/>
        </w:rPr>
        <w:t xml:space="preserve">The Commissioner can revoke a criteria approval from the beginning of an income year if </w:t>
      </w:r>
      <w:r w:rsidRPr="005037E6">
        <w:rPr>
          <w:lang w:eastAsia="en-AU"/>
        </w:rPr>
        <w:t>she</w:t>
      </w:r>
      <w:r w:rsidRPr="007923F2">
        <w:rPr>
          <w:lang w:eastAsia="en-AU"/>
        </w:rPr>
        <w:t xml:space="preserve"> considers that a person has classified their activities or expenditure in a way that defeats the intent and purpose of the R&amp;D tax credit regime. The Commissioner’s decision to approve, decline to approve, or revoke a criteria approval cannot be challenged.</w:t>
      </w:r>
    </w:p>
    <w:p w14:paraId="75F4295B" w14:textId="3EBE461C" w:rsidR="00D00F10" w:rsidRPr="00052D90" w:rsidRDefault="000D2675" w:rsidP="00052D90">
      <w:r w:rsidRPr="00052D90">
        <w:br w:type="page"/>
      </w:r>
    </w:p>
    <w:p w14:paraId="50EFB72A" w14:textId="77777777" w:rsidR="00D00F10" w:rsidRDefault="00D00F10" w:rsidP="00D00F10">
      <w:pPr>
        <w:rPr>
          <w:lang w:eastAsia="en-AU"/>
        </w:rPr>
      </w:pPr>
    </w:p>
    <w:p w14:paraId="1752B78D" w14:textId="77777777" w:rsidR="00D00F10" w:rsidRDefault="00D00F10" w:rsidP="00D00F10">
      <w:pPr>
        <w:rPr>
          <w:lang w:eastAsia="en-AU"/>
        </w:rPr>
      </w:pPr>
    </w:p>
    <w:p w14:paraId="5B586846" w14:textId="77777777" w:rsidR="00D00F10" w:rsidRDefault="00D00F10" w:rsidP="00D00F10">
      <w:pPr>
        <w:rPr>
          <w:lang w:eastAsia="en-AU"/>
        </w:rPr>
      </w:pPr>
    </w:p>
    <w:p w14:paraId="69A52D47" w14:textId="77777777" w:rsidR="00D00F10" w:rsidRDefault="00D00F10" w:rsidP="00D00F10">
      <w:pPr>
        <w:rPr>
          <w:lang w:eastAsia="en-AU"/>
        </w:rPr>
      </w:pPr>
    </w:p>
    <w:p w14:paraId="30D6E850" w14:textId="77777777" w:rsidR="0054048F" w:rsidRDefault="0054048F" w:rsidP="00D00F10">
      <w:pPr>
        <w:rPr>
          <w:lang w:eastAsia="en-AU"/>
        </w:rPr>
      </w:pPr>
    </w:p>
    <w:p w14:paraId="3F9B1B88" w14:textId="77777777" w:rsidR="0054048F" w:rsidRDefault="0054048F" w:rsidP="00D00F10">
      <w:pPr>
        <w:rPr>
          <w:lang w:eastAsia="en-AU"/>
        </w:rPr>
      </w:pPr>
    </w:p>
    <w:p w14:paraId="3C7BFB69" w14:textId="77777777" w:rsidR="0054048F" w:rsidRDefault="0054048F" w:rsidP="00D00F10">
      <w:pPr>
        <w:rPr>
          <w:lang w:eastAsia="en-AU"/>
        </w:rPr>
      </w:pPr>
    </w:p>
    <w:p w14:paraId="7B68BE29" w14:textId="77777777" w:rsidR="0054048F" w:rsidRDefault="0054048F" w:rsidP="00D00F10">
      <w:pPr>
        <w:rPr>
          <w:lang w:eastAsia="en-AU"/>
        </w:rPr>
      </w:pPr>
    </w:p>
    <w:p w14:paraId="00C6F38F" w14:textId="77777777" w:rsidR="00D00F10" w:rsidRDefault="00D00F10" w:rsidP="00D00F10">
      <w:pPr>
        <w:rPr>
          <w:lang w:eastAsia="en-AU"/>
        </w:rPr>
      </w:pPr>
    </w:p>
    <w:p w14:paraId="6B7A649A" w14:textId="77777777" w:rsidR="00D00F10" w:rsidRDefault="00D00F10" w:rsidP="00D00F10">
      <w:pPr>
        <w:rPr>
          <w:lang w:eastAsia="en-AU"/>
        </w:rPr>
      </w:pPr>
    </w:p>
    <w:p w14:paraId="517255DE" w14:textId="77777777" w:rsidR="00D00F10" w:rsidRDefault="00D00F10" w:rsidP="00D00F10">
      <w:pPr>
        <w:rPr>
          <w:lang w:eastAsia="en-AU"/>
        </w:rPr>
      </w:pPr>
    </w:p>
    <w:p w14:paraId="2A54F67F" w14:textId="77777777" w:rsidR="00D00F10" w:rsidRDefault="00D00F10" w:rsidP="00D00F10">
      <w:pPr>
        <w:rPr>
          <w:lang w:eastAsia="en-AU"/>
        </w:rPr>
      </w:pPr>
    </w:p>
    <w:p w14:paraId="18813F9B" w14:textId="6DB2EB07" w:rsidR="00D00F10" w:rsidRDefault="00D00F10" w:rsidP="00D00F10">
      <w:pPr>
        <w:pStyle w:val="Sectionheading"/>
      </w:pPr>
      <w:bookmarkStart w:id="84" w:name="_Toc528195608"/>
      <w:r>
        <w:t>Appendices</w:t>
      </w:r>
      <w:bookmarkEnd w:id="84"/>
    </w:p>
    <w:p w14:paraId="2D3F3A78" w14:textId="7C5434FC" w:rsidR="0054048F" w:rsidRDefault="00D00F10">
      <w:pPr>
        <w:spacing w:after="200" w:line="276" w:lineRule="auto"/>
        <w:jc w:val="left"/>
      </w:pPr>
      <w:r>
        <w:br w:type="page"/>
      </w:r>
      <w:r w:rsidR="0054048F">
        <w:br w:type="page"/>
      </w:r>
    </w:p>
    <w:p w14:paraId="210C2F2B" w14:textId="52AD11E7" w:rsidR="000D2675" w:rsidRDefault="002F1DC5" w:rsidP="002F1DC5">
      <w:pPr>
        <w:pStyle w:val="Heading1"/>
      </w:pPr>
      <w:bookmarkStart w:id="85" w:name="_Toc528157386"/>
      <w:bookmarkStart w:id="86" w:name="_Toc528195609"/>
      <w:r>
        <w:t xml:space="preserve">Appendix </w:t>
      </w:r>
      <w:r w:rsidR="0054048F">
        <w:t>1</w:t>
      </w:r>
      <w:r w:rsidR="00CC19E2">
        <w:t>:</w:t>
      </w:r>
      <w:r>
        <w:t xml:space="preserve"> Administration</w:t>
      </w:r>
      <w:bookmarkEnd w:id="85"/>
      <w:bookmarkEnd w:id="86"/>
    </w:p>
    <w:p w14:paraId="4AEAB53B" w14:textId="618DDE03" w:rsidR="0003657C" w:rsidRDefault="000D2675" w:rsidP="000D2675">
      <w:pPr>
        <w:rPr>
          <w:lang w:eastAsia="en-AU"/>
        </w:rPr>
      </w:pPr>
      <w:r>
        <w:rPr>
          <w:lang w:eastAsia="en-AU"/>
        </w:rPr>
        <w:t xml:space="preserve">The Bill contains requirements </w:t>
      </w:r>
      <w:r w:rsidR="00CC19E2">
        <w:rPr>
          <w:lang w:eastAsia="en-AU"/>
        </w:rPr>
        <w:t>about</w:t>
      </w:r>
      <w:r>
        <w:rPr>
          <w:lang w:eastAsia="en-AU"/>
        </w:rPr>
        <w:t xml:space="preserve"> a person’s compliance obligations </w:t>
      </w:r>
      <w:r w:rsidR="008F766B">
        <w:rPr>
          <w:lang w:eastAsia="en-AU"/>
        </w:rPr>
        <w:t>so that they can</w:t>
      </w:r>
      <w:r>
        <w:rPr>
          <w:lang w:eastAsia="en-AU"/>
        </w:rPr>
        <w:t xml:space="preserve"> receive the tax credit, such as</w:t>
      </w:r>
      <w:r w:rsidR="0003657C">
        <w:rPr>
          <w:lang w:eastAsia="en-AU"/>
        </w:rPr>
        <w:t>:</w:t>
      </w:r>
    </w:p>
    <w:p w14:paraId="2521DC57" w14:textId="77777777" w:rsidR="0003657C" w:rsidRDefault="0003657C" w:rsidP="000D2675">
      <w:pPr>
        <w:rPr>
          <w:lang w:eastAsia="en-AU"/>
        </w:rPr>
      </w:pPr>
    </w:p>
    <w:p w14:paraId="2617EAFD" w14:textId="1F9101A5" w:rsidR="0003657C" w:rsidRDefault="000D2675" w:rsidP="00EB7314">
      <w:pPr>
        <w:pStyle w:val="dotpoint"/>
      </w:pPr>
      <w:r>
        <w:t xml:space="preserve">record keeping (see </w:t>
      </w:r>
      <w:r w:rsidR="00EB7314">
        <w:t xml:space="preserve">the section on </w:t>
      </w:r>
      <w:r w:rsidR="00EB7314" w:rsidRPr="00EB7314">
        <w:rPr>
          <w:rStyle w:val="Emphasis"/>
        </w:rPr>
        <w:t>Record keeping</w:t>
      </w:r>
      <w:r w:rsidR="00EB7314">
        <w:t>,</w:t>
      </w:r>
      <w:r w:rsidR="00EB7314" w:rsidRPr="00EB7314">
        <w:t xml:space="preserve"> </w:t>
      </w:r>
      <w:r>
        <w:t xml:space="preserve">page </w:t>
      </w:r>
      <w:r w:rsidR="00EB7314">
        <w:t>7</w:t>
      </w:r>
      <w:r>
        <w:t>5)</w:t>
      </w:r>
      <w:r w:rsidR="0003657C">
        <w:t>;</w:t>
      </w:r>
    </w:p>
    <w:p w14:paraId="7495C68C" w14:textId="43E60239" w:rsidR="0003657C" w:rsidRDefault="000D2675" w:rsidP="00EB7314">
      <w:pPr>
        <w:pStyle w:val="dotpoint"/>
      </w:pPr>
      <w:r>
        <w:t>electronic filing and deadlines for filing (see</w:t>
      </w:r>
      <w:r w:rsidR="00EB7314">
        <w:t xml:space="preserve"> the section on </w:t>
      </w:r>
      <w:r w:rsidR="00EB7314" w:rsidRPr="00EB7314">
        <w:rPr>
          <w:rStyle w:val="Emphasis"/>
        </w:rPr>
        <w:t>R&amp;D supplementary returns</w:t>
      </w:r>
      <w:r w:rsidR="00EB7314">
        <w:t>,</w:t>
      </w:r>
      <w:r>
        <w:t xml:space="preserve"> page </w:t>
      </w:r>
      <w:r w:rsidR="00EB7314">
        <w:t>78</w:t>
      </w:r>
      <w:r>
        <w:t>)</w:t>
      </w:r>
      <w:r w:rsidR="008F766B">
        <w:t>;</w:t>
      </w:r>
      <w:r>
        <w:t xml:space="preserve"> and</w:t>
      </w:r>
    </w:p>
    <w:p w14:paraId="309A6F04" w14:textId="36468DCA" w:rsidR="0003657C" w:rsidRDefault="000D2675" w:rsidP="00EB7314">
      <w:pPr>
        <w:pStyle w:val="dotpoint"/>
      </w:pPr>
      <w:r>
        <w:t>in-year activity approval (</w:t>
      </w:r>
      <w:r w:rsidR="00EB7314">
        <w:t xml:space="preserve">see the section on </w:t>
      </w:r>
      <w:r w:rsidR="00EB7314" w:rsidRPr="00EB7314">
        <w:rPr>
          <w:rStyle w:val="Emphasis"/>
        </w:rPr>
        <w:t>Approval: general approval process (year two)</w:t>
      </w:r>
      <w:r w:rsidR="00EB7314">
        <w:rPr>
          <w:rStyle w:val="Emphasis"/>
        </w:rPr>
        <w:t>,</w:t>
      </w:r>
      <w:r>
        <w:t xml:space="preserve"> page </w:t>
      </w:r>
      <w:r w:rsidR="00EB7314">
        <w:t>95</w:t>
      </w:r>
      <w:r>
        <w:t>).</w:t>
      </w:r>
    </w:p>
    <w:p w14:paraId="6A1BF59E" w14:textId="77777777" w:rsidR="0003657C" w:rsidRDefault="0003657C" w:rsidP="000D2675">
      <w:pPr>
        <w:rPr>
          <w:lang w:eastAsia="en-AU"/>
        </w:rPr>
      </w:pPr>
    </w:p>
    <w:p w14:paraId="6D6B90CA" w14:textId="2FA1B7FB" w:rsidR="000D2675" w:rsidRDefault="000D2675" w:rsidP="000D2675">
      <w:pPr>
        <w:rPr>
          <w:lang w:eastAsia="en-AU"/>
        </w:rPr>
      </w:pPr>
      <w:r>
        <w:rPr>
          <w:lang w:eastAsia="en-AU"/>
        </w:rPr>
        <w:t>Th</w:t>
      </w:r>
      <w:r w:rsidR="00CC19E2">
        <w:rPr>
          <w:lang w:eastAsia="en-AU"/>
        </w:rPr>
        <w:t>is appendix covers</w:t>
      </w:r>
      <w:r>
        <w:rPr>
          <w:lang w:eastAsia="en-AU"/>
        </w:rPr>
        <w:t xml:space="preserve"> how the R&amp;D tax credit will be administered.</w:t>
      </w:r>
    </w:p>
    <w:p w14:paraId="529E9270" w14:textId="77777777" w:rsidR="000D2675" w:rsidRDefault="000D2675" w:rsidP="000D2675">
      <w:pPr>
        <w:rPr>
          <w:lang w:eastAsia="en-AU"/>
        </w:rPr>
      </w:pPr>
    </w:p>
    <w:p w14:paraId="2864B2AC" w14:textId="4EDA59CF" w:rsidR="000D2675" w:rsidRDefault="000D2675" w:rsidP="000D2675">
      <w:pPr>
        <w:rPr>
          <w:lang w:eastAsia="en-AU"/>
        </w:rPr>
      </w:pPr>
      <w:r>
        <w:rPr>
          <w:lang w:eastAsia="en-AU"/>
        </w:rPr>
        <w:t>The tax credit will be administered by Inland Revenue with support from Callaghan Innovation. Callaghan Innovation will bring technical research and scientific knowledge to support the on-going administration of the tax credit.</w:t>
      </w:r>
    </w:p>
    <w:p w14:paraId="3A273E1C" w14:textId="77777777" w:rsidR="000D2675" w:rsidRDefault="000D2675" w:rsidP="000D2675">
      <w:pPr>
        <w:rPr>
          <w:lang w:eastAsia="en-AU"/>
        </w:rPr>
      </w:pPr>
    </w:p>
    <w:p w14:paraId="0E8698E8" w14:textId="01377591" w:rsidR="000D2675" w:rsidRDefault="000D2675" w:rsidP="000D2675">
      <w:pPr>
        <w:rPr>
          <w:lang w:eastAsia="en-AU"/>
        </w:rPr>
      </w:pPr>
      <w:r>
        <w:rPr>
          <w:lang w:eastAsia="en-AU"/>
        </w:rPr>
        <w:t>Businesses will not be able to receive the tax credit in the same year as a Callaghan Innovation Growth Grant. Businesses who currently receive a Growth Grant will be supported through their transition by Callaghan Innovation.</w:t>
      </w:r>
    </w:p>
    <w:p w14:paraId="5CA4C2DD" w14:textId="77777777" w:rsidR="000D2675" w:rsidRDefault="000D2675" w:rsidP="000D2675">
      <w:pPr>
        <w:rPr>
          <w:lang w:eastAsia="en-AU"/>
        </w:rPr>
      </w:pPr>
    </w:p>
    <w:p w14:paraId="37D4762C" w14:textId="44FF6F64" w:rsidR="000D2675" w:rsidRDefault="000D2675" w:rsidP="000D2675">
      <w:pPr>
        <w:rPr>
          <w:lang w:eastAsia="en-AU"/>
        </w:rPr>
      </w:pPr>
      <w:r>
        <w:rPr>
          <w:lang w:eastAsia="en-AU"/>
        </w:rPr>
        <w:t>There will be a dedicated R&amp;D tax incentive delivery team to manage the approval processes and general support to businesses considering and applying for a R&amp;D tax credit.</w:t>
      </w:r>
    </w:p>
    <w:p w14:paraId="6CC64050" w14:textId="77777777" w:rsidR="000D2675" w:rsidRDefault="000D2675" w:rsidP="000D2675">
      <w:pPr>
        <w:rPr>
          <w:lang w:eastAsia="en-AU"/>
        </w:rPr>
      </w:pPr>
    </w:p>
    <w:p w14:paraId="0C9E1E19" w14:textId="1213EF02" w:rsidR="000D2675" w:rsidRDefault="000D2675" w:rsidP="000D2675">
      <w:pPr>
        <w:rPr>
          <w:lang w:eastAsia="en-AU"/>
        </w:rPr>
      </w:pPr>
      <w:r>
        <w:rPr>
          <w:lang w:eastAsia="en-AU"/>
        </w:rPr>
        <w:t xml:space="preserve">Businesses will apply for the tax credit through a calculation on the corresponding income tax return and </w:t>
      </w:r>
      <w:r w:rsidR="0003657C">
        <w:rPr>
          <w:lang w:eastAsia="en-AU"/>
        </w:rPr>
        <w:t xml:space="preserve">by </w:t>
      </w:r>
      <w:r>
        <w:rPr>
          <w:lang w:eastAsia="en-AU"/>
        </w:rPr>
        <w:t xml:space="preserve">submitting an electronic supplementary return which details the associated R&amp;D activity and expenditure. This will also include any relevant eligibility tests and calculations </w:t>
      </w:r>
      <w:r w:rsidR="0003657C">
        <w:rPr>
          <w:lang w:eastAsia="en-AU"/>
        </w:rPr>
        <w:t xml:space="preserve">about the </w:t>
      </w:r>
      <w:r>
        <w:rPr>
          <w:lang w:eastAsia="en-AU"/>
        </w:rPr>
        <w:t>refundability of the tax credit for businesses in loss.</w:t>
      </w:r>
    </w:p>
    <w:p w14:paraId="28F56140" w14:textId="77777777" w:rsidR="000D2675" w:rsidRDefault="000D2675" w:rsidP="000D2675">
      <w:pPr>
        <w:rPr>
          <w:lang w:eastAsia="en-AU"/>
        </w:rPr>
      </w:pPr>
    </w:p>
    <w:p w14:paraId="68A0A89E" w14:textId="291EC0AA" w:rsidR="000D2675" w:rsidRDefault="000D2675" w:rsidP="000D2675">
      <w:pPr>
        <w:rPr>
          <w:lang w:eastAsia="en-AU"/>
        </w:rPr>
      </w:pPr>
      <w:r>
        <w:rPr>
          <w:lang w:eastAsia="en-AU"/>
        </w:rPr>
        <w:t>Businesses will be able to apply for both the tax credit and the existing R&amp;D tax loss cash-out (as provided for by subpart MX) in the same financial year. Businesses will need to submit full application information to satisfy the eligibility criteria for both of these, however there will be support available to assist them through the process.</w:t>
      </w:r>
    </w:p>
    <w:p w14:paraId="7671A377" w14:textId="77777777" w:rsidR="000D2675" w:rsidRDefault="000D2675" w:rsidP="000D2675">
      <w:pPr>
        <w:rPr>
          <w:lang w:eastAsia="en-AU"/>
        </w:rPr>
      </w:pPr>
    </w:p>
    <w:p w14:paraId="009905EB" w14:textId="39C4F300" w:rsidR="000D2675" w:rsidRDefault="000D2675" w:rsidP="000D2675">
      <w:pPr>
        <w:rPr>
          <w:lang w:eastAsia="en-AU"/>
        </w:rPr>
      </w:pPr>
      <w:r>
        <w:rPr>
          <w:lang w:eastAsia="en-AU"/>
        </w:rPr>
        <w:t>The first year of the tax credit will be administered as a complete end</w:t>
      </w:r>
      <w:r w:rsidR="0003657C">
        <w:rPr>
          <w:lang w:eastAsia="en-AU"/>
        </w:rPr>
        <w:t>-</w:t>
      </w:r>
      <w:r>
        <w:rPr>
          <w:lang w:eastAsia="en-AU"/>
        </w:rPr>
        <w:t>of</w:t>
      </w:r>
      <w:r w:rsidR="0003657C">
        <w:rPr>
          <w:lang w:eastAsia="en-AU"/>
        </w:rPr>
        <w:t>-</w:t>
      </w:r>
      <w:r>
        <w:rPr>
          <w:lang w:eastAsia="en-AU"/>
        </w:rPr>
        <w:t>year process at the same time as the filing and processing of a business’s income tax return. From year two of the tax credit businesses will be required to seek in-year activity approval, and submit end</w:t>
      </w:r>
      <w:r w:rsidR="0003657C">
        <w:rPr>
          <w:lang w:eastAsia="en-AU"/>
        </w:rPr>
        <w:t>-of-</w:t>
      </w:r>
      <w:r>
        <w:rPr>
          <w:lang w:eastAsia="en-AU"/>
        </w:rPr>
        <w:t>year expenditure information.</w:t>
      </w:r>
    </w:p>
    <w:p w14:paraId="0984BB40" w14:textId="77777777" w:rsidR="000D2675" w:rsidRDefault="000D2675" w:rsidP="000D2675">
      <w:pPr>
        <w:rPr>
          <w:lang w:eastAsia="en-AU"/>
        </w:rPr>
      </w:pPr>
    </w:p>
    <w:p w14:paraId="4410468A" w14:textId="53E3EE1A" w:rsidR="000D2675" w:rsidRDefault="000D2675" w:rsidP="000D2675">
      <w:pPr>
        <w:rPr>
          <w:lang w:eastAsia="en-AU"/>
        </w:rPr>
      </w:pPr>
      <w:r>
        <w:rPr>
          <w:lang w:eastAsia="en-AU"/>
        </w:rPr>
        <w:t>From year two of the tax credit, for in-year approval there will be two regimes available:</w:t>
      </w:r>
    </w:p>
    <w:p w14:paraId="4728DA93" w14:textId="77777777" w:rsidR="000D2675" w:rsidRDefault="000D2675" w:rsidP="000D2675">
      <w:pPr>
        <w:rPr>
          <w:lang w:eastAsia="en-AU"/>
        </w:rPr>
      </w:pPr>
    </w:p>
    <w:p w14:paraId="3F6EFBA1" w14:textId="6C21A914" w:rsidR="000D2675" w:rsidRDefault="0003657C" w:rsidP="000D2675">
      <w:pPr>
        <w:pStyle w:val="dotpoint"/>
      </w:pPr>
      <w:r>
        <w:t>g</w:t>
      </w:r>
      <w:r w:rsidR="000D2675">
        <w:t>eneral approval process – any eligible R&amp;D performing business</w:t>
      </w:r>
      <w:r>
        <w:t>; and</w:t>
      </w:r>
    </w:p>
    <w:p w14:paraId="1FB82968" w14:textId="18C448F1" w:rsidR="000D2675" w:rsidRDefault="0003657C" w:rsidP="000D2675">
      <w:pPr>
        <w:pStyle w:val="dotpoint"/>
        <w:spacing w:after="0"/>
      </w:pPr>
      <w:r>
        <w:t>s</w:t>
      </w:r>
      <w:r w:rsidR="000D2675">
        <w:t>ignificant R&amp;D performer – businesses who expect to spend in excess of $2</w:t>
      </w:r>
      <w:r>
        <w:t> </w:t>
      </w:r>
      <w:r w:rsidR="000D2675">
        <w:t>million on eligible R&amp;D expenditure</w:t>
      </w:r>
      <w:r>
        <w:t>.</w:t>
      </w:r>
    </w:p>
    <w:p w14:paraId="77192D0E" w14:textId="77777777" w:rsidR="000D2675" w:rsidRDefault="000D2675" w:rsidP="000D2675">
      <w:pPr>
        <w:rPr>
          <w:lang w:eastAsia="en-AU"/>
        </w:rPr>
      </w:pPr>
    </w:p>
    <w:p w14:paraId="1BE26DB8" w14:textId="251BAD35" w:rsidR="000D2675" w:rsidRDefault="000D2675" w:rsidP="000D2675">
      <w:pPr>
        <w:rPr>
          <w:lang w:eastAsia="en-AU"/>
        </w:rPr>
      </w:pPr>
      <w:r>
        <w:rPr>
          <w:lang w:eastAsia="en-AU"/>
        </w:rPr>
        <w:t>Organisations will be able to apply to Inland Revenue to become approved research providers for the tax credit. From year two, organisations will be able to apply to become approved R&amp;D certifiers for the significant R&amp;D performer approval.</w:t>
      </w:r>
    </w:p>
    <w:p w14:paraId="5897FA71" w14:textId="77777777" w:rsidR="000D2675" w:rsidRDefault="000D2675" w:rsidP="000D2675">
      <w:pPr>
        <w:rPr>
          <w:lang w:eastAsia="en-AU"/>
        </w:rPr>
      </w:pPr>
    </w:p>
    <w:p w14:paraId="596FAFA5" w14:textId="3D05A24C" w:rsidR="000D2675" w:rsidRDefault="008F766B" w:rsidP="000D2675">
      <w:pPr>
        <w:rPr>
          <w:lang w:eastAsia="en-AU"/>
        </w:rPr>
      </w:pPr>
      <w:r>
        <w:rPr>
          <w:lang w:eastAsia="en-AU"/>
        </w:rPr>
        <w:t xml:space="preserve">Once the Bill is enacted </w:t>
      </w:r>
      <w:r w:rsidR="000D2675">
        <w:rPr>
          <w:lang w:eastAsia="en-AU"/>
        </w:rPr>
        <w:t xml:space="preserve">Inland Revenue will publish more detailed information </w:t>
      </w:r>
      <w:r w:rsidR="0003657C">
        <w:rPr>
          <w:lang w:eastAsia="en-AU"/>
        </w:rPr>
        <w:t>about the</w:t>
      </w:r>
      <w:r w:rsidR="000D2675">
        <w:rPr>
          <w:lang w:eastAsia="en-AU"/>
        </w:rPr>
        <w:t xml:space="preserve"> administration</w:t>
      </w:r>
      <w:r w:rsidR="0003657C">
        <w:rPr>
          <w:lang w:eastAsia="en-AU"/>
        </w:rPr>
        <w:t xml:space="preserve"> of the R&amp;D tax credit,</w:t>
      </w:r>
      <w:r w:rsidR="000D2675">
        <w:rPr>
          <w:lang w:eastAsia="en-AU"/>
        </w:rPr>
        <w:t xml:space="preserve"> such as detailed record keeping guidance, process for becoming an approved research provider, the tax credit service model, electronic tax credit enrolment process, approval processes, and the electronic application process.</w:t>
      </w:r>
    </w:p>
    <w:p w14:paraId="31F56E43" w14:textId="52468280" w:rsidR="00D00F10" w:rsidRDefault="00D00F10">
      <w:pPr>
        <w:spacing w:after="200" w:line="276" w:lineRule="auto"/>
        <w:jc w:val="left"/>
        <w:rPr>
          <w:lang w:eastAsia="en-AU"/>
        </w:rPr>
      </w:pPr>
      <w:r>
        <w:rPr>
          <w:lang w:eastAsia="en-AU"/>
        </w:rPr>
        <w:br w:type="page"/>
      </w:r>
    </w:p>
    <w:p w14:paraId="76094B07" w14:textId="6E7DB9B9" w:rsidR="00ED09D1" w:rsidRDefault="00340D55" w:rsidP="00340D55">
      <w:pPr>
        <w:pStyle w:val="Heading1"/>
      </w:pPr>
      <w:bookmarkStart w:id="87" w:name="_Toc528157387"/>
      <w:bookmarkStart w:id="88" w:name="_Toc528195610"/>
      <w:r>
        <w:t>Appendix</w:t>
      </w:r>
      <w:r w:rsidR="0054048F">
        <w:t xml:space="preserve"> 2</w:t>
      </w:r>
      <w:r w:rsidR="00CC19E2">
        <w:t>:</w:t>
      </w:r>
      <w:r>
        <w:t xml:space="preserve"> Flow chart</w:t>
      </w:r>
      <w:bookmarkEnd w:id="87"/>
      <w:r w:rsidR="00BC6F62">
        <w:t>s</w:t>
      </w:r>
      <w:bookmarkEnd w:id="88"/>
    </w:p>
    <w:p w14:paraId="53F0C004" w14:textId="6E1995D2" w:rsidR="00BC6F62" w:rsidRPr="009338F9" w:rsidRDefault="00BC6F62" w:rsidP="009338F9">
      <w:pPr>
        <w:jc w:val="center"/>
        <w:rPr>
          <w:b/>
          <w:sz w:val="22"/>
          <w:lang w:eastAsia="en-AU"/>
        </w:rPr>
      </w:pPr>
      <w:r w:rsidRPr="009338F9">
        <w:rPr>
          <w:b/>
          <w:sz w:val="22"/>
          <w:lang w:eastAsia="en-AU"/>
        </w:rPr>
        <w:t>Flow chart 1</w:t>
      </w:r>
      <w:r w:rsidR="008F766B">
        <w:rPr>
          <w:b/>
          <w:sz w:val="22"/>
          <w:lang w:eastAsia="en-AU"/>
        </w:rPr>
        <w:t xml:space="preserve">: </w:t>
      </w:r>
      <w:r w:rsidRPr="009338F9">
        <w:rPr>
          <w:b/>
          <w:sz w:val="22"/>
          <w:lang w:eastAsia="en-AU"/>
        </w:rPr>
        <w:t>Outline of the R&amp;D incentive policy</w:t>
      </w:r>
    </w:p>
    <w:p w14:paraId="1A6219F0" w14:textId="77777777" w:rsidR="00BC6F62" w:rsidRDefault="00BC6F62" w:rsidP="00BC6F62">
      <w:pPr>
        <w:rPr>
          <w:lang w:eastAsia="en-AU"/>
        </w:rPr>
      </w:pPr>
    </w:p>
    <w:p w14:paraId="652ADDBE" w14:textId="77777777" w:rsidR="00207AC6" w:rsidRDefault="00207AC6" w:rsidP="00BC6F62">
      <w:pPr>
        <w:rPr>
          <w:lang w:eastAsia="en-AU"/>
        </w:rPr>
      </w:pPr>
    </w:p>
    <w:p w14:paraId="4089DA6A" w14:textId="606547D1" w:rsidR="00BC6F62" w:rsidRDefault="00CC19E2" w:rsidP="00207AC6">
      <w:pPr>
        <w:jc w:val="center"/>
        <w:rPr>
          <w:lang w:eastAsia="en-AU"/>
        </w:rPr>
      </w:pPr>
      <w:r>
        <w:object w:dxaOrig="7125" w:dyaOrig="6945" w14:anchorId="52800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291pt" o:ole="">
            <v:imagedata r:id="rId19" o:title=""/>
          </v:shape>
          <o:OLEObject Type="Embed" ProgID="Visio.Drawing.15" ShapeID="_x0000_i1025" DrawAspect="Content" ObjectID="_1601938100" r:id="rId20"/>
        </w:object>
      </w:r>
    </w:p>
    <w:p w14:paraId="038CE044" w14:textId="79B83B33" w:rsidR="009338F9" w:rsidRDefault="009338F9">
      <w:pPr>
        <w:spacing w:after="200" w:line="276" w:lineRule="auto"/>
        <w:jc w:val="left"/>
        <w:rPr>
          <w:lang w:eastAsia="en-AU"/>
        </w:rPr>
      </w:pPr>
      <w:r>
        <w:rPr>
          <w:lang w:eastAsia="en-AU"/>
        </w:rPr>
        <w:br w:type="page"/>
      </w:r>
    </w:p>
    <w:p w14:paraId="2BC3F9CE" w14:textId="48D13596" w:rsidR="00BC6F62" w:rsidRPr="009338F9" w:rsidRDefault="009338F9" w:rsidP="009338F9">
      <w:pPr>
        <w:jc w:val="center"/>
        <w:rPr>
          <w:b/>
          <w:sz w:val="22"/>
          <w:lang w:eastAsia="en-AU"/>
        </w:rPr>
      </w:pPr>
      <w:r w:rsidRPr="009338F9">
        <w:rPr>
          <w:b/>
          <w:sz w:val="22"/>
          <w:lang w:eastAsia="en-AU"/>
        </w:rPr>
        <w:t>Flow chart 2</w:t>
      </w:r>
      <w:r w:rsidR="008F766B">
        <w:rPr>
          <w:b/>
          <w:sz w:val="22"/>
          <w:lang w:eastAsia="en-AU"/>
        </w:rPr>
        <w:t xml:space="preserve">: </w:t>
      </w:r>
      <w:r w:rsidRPr="009338F9">
        <w:rPr>
          <w:b/>
          <w:sz w:val="22"/>
          <w:lang w:eastAsia="en-AU"/>
        </w:rPr>
        <w:t>Is a person eligible for the R&amp;D tax credit?</w:t>
      </w:r>
    </w:p>
    <w:p w14:paraId="698DCDC6" w14:textId="77777777" w:rsidR="009338F9" w:rsidRDefault="009338F9" w:rsidP="00BC6F62">
      <w:pPr>
        <w:rPr>
          <w:lang w:eastAsia="en-AU"/>
        </w:rPr>
      </w:pPr>
    </w:p>
    <w:p w14:paraId="3889BA6F" w14:textId="77777777" w:rsidR="00207AC6" w:rsidRDefault="00207AC6" w:rsidP="00BC6F62">
      <w:pPr>
        <w:rPr>
          <w:lang w:eastAsia="en-AU"/>
        </w:rPr>
      </w:pPr>
    </w:p>
    <w:p w14:paraId="001C1FD1" w14:textId="04E84FD9" w:rsidR="009338F9" w:rsidRDefault="009338F9" w:rsidP="00207AC6">
      <w:pPr>
        <w:jc w:val="center"/>
      </w:pPr>
      <w:r>
        <w:object w:dxaOrig="11010" w:dyaOrig="12120" w14:anchorId="57741891">
          <v:shape id="_x0000_i1026" type="#_x0000_t75" style="width:414.75pt;height:456.75pt" o:ole="">
            <v:imagedata r:id="rId21" o:title=""/>
          </v:shape>
          <o:OLEObject Type="Embed" ProgID="Visio.Drawing.15" ShapeID="_x0000_i1026" DrawAspect="Content" ObjectID="_1601938101" r:id="rId22"/>
        </w:object>
      </w:r>
    </w:p>
    <w:p w14:paraId="5F4BF68C" w14:textId="20415E63" w:rsidR="009338F9" w:rsidRDefault="009338F9">
      <w:pPr>
        <w:spacing w:after="200" w:line="276" w:lineRule="auto"/>
        <w:jc w:val="left"/>
        <w:rPr>
          <w:lang w:eastAsia="en-AU"/>
        </w:rPr>
      </w:pPr>
      <w:r>
        <w:rPr>
          <w:lang w:eastAsia="en-AU"/>
        </w:rPr>
        <w:br w:type="page"/>
      </w:r>
    </w:p>
    <w:p w14:paraId="06CEB750" w14:textId="70EC69D1" w:rsidR="009338F9" w:rsidRPr="009338F9" w:rsidRDefault="009338F9" w:rsidP="009338F9">
      <w:pPr>
        <w:jc w:val="center"/>
        <w:rPr>
          <w:b/>
          <w:sz w:val="22"/>
          <w:lang w:eastAsia="en-AU"/>
        </w:rPr>
      </w:pPr>
      <w:r w:rsidRPr="009338F9">
        <w:rPr>
          <w:b/>
          <w:sz w:val="22"/>
          <w:lang w:eastAsia="en-AU"/>
        </w:rPr>
        <w:t>Flow chart 3</w:t>
      </w:r>
      <w:r w:rsidR="008F766B">
        <w:rPr>
          <w:b/>
          <w:sz w:val="22"/>
          <w:lang w:eastAsia="en-AU"/>
        </w:rPr>
        <w:t xml:space="preserve">: </w:t>
      </w:r>
      <w:r w:rsidRPr="009338F9">
        <w:rPr>
          <w:b/>
          <w:sz w:val="22"/>
          <w:lang w:eastAsia="en-AU"/>
        </w:rPr>
        <w:t>Is expenditure eligible R&amp;D expenditure?</w:t>
      </w:r>
    </w:p>
    <w:p w14:paraId="435B2625" w14:textId="77777777" w:rsidR="009338F9" w:rsidRDefault="009338F9" w:rsidP="00BC6F62">
      <w:pPr>
        <w:rPr>
          <w:lang w:eastAsia="en-AU"/>
        </w:rPr>
      </w:pPr>
    </w:p>
    <w:p w14:paraId="16C20A32" w14:textId="77777777" w:rsidR="00207AC6" w:rsidRDefault="00207AC6" w:rsidP="00BC6F62">
      <w:pPr>
        <w:rPr>
          <w:lang w:eastAsia="en-AU"/>
        </w:rPr>
      </w:pPr>
    </w:p>
    <w:p w14:paraId="1AD3281E" w14:textId="403EA61F" w:rsidR="009338F9" w:rsidRDefault="009338F9" w:rsidP="00207AC6">
      <w:pPr>
        <w:jc w:val="center"/>
        <w:rPr>
          <w:lang w:eastAsia="en-AU"/>
        </w:rPr>
      </w:pPr>
      <w:r>
        <w:object w:dxaOrig="10530" w:dyaOrig="11280" w14:anchorId="11EFA96C">
          <v:shape id="_x0000_i1027" type="#_x0000_t75" style="width:415.5pt;height:444.75pt" o:ole="">
            <v:imagedata r:id="rId23" o:title=""/>
          </v:shape>
          <o:OLEObject Type="Embed" ProgID="Visio.Drawing.15" ShapeID="_x0000_i1027" DrawAspect="Content" ObjectID="_1601938102" r:id="rId24"/>
        </w:object>
      </w:r>
    </w:p>
    <w:p w14:paraId="776EB4D2" w14:textId="3E77CD53" w:rsidR="009338F9" w:rsidRDefault="009338F9">
      <w:pPr>
        <w:spacing w:after="200" w:line="276" w:lineRule="auto"/>
        <w:jc w:val="left"/>
        <w:rPr>
          <w:lang w:eastAsia="en-AU"/>
        </w:rPr>
      </w:pPr>
      <w:r>
        <w:rPr>
          <w:lang w:eastAsia="en-AU"/>
        </w:rPr>
        <w:br w:type="page"/>
      </w:r>
    </w:p>
    <w:p w14:paraId="150CCFBB" w14:textId="0317765B" w:rsidR="009338F9" w:rsidRPr="009338F9" w:rsidRDefault="009338F9" w:rsidP="009338F9">
      <w:pPr>
        <w:jc w:val="center"/>
        <w:rPr>
          <w:b/>
          <w:sz w:val="22"/>
          <w:lang w:eastAsia="en-AU"/>
        </w:rPr>
      </w:pPr>
      <w:r w:rsidRPr="009338F9">
        <w:rPr>
          <w:b/>
          <w:sz w:val="22"/>
          <w:lang w:eastAsia="en-AU"/>
        </w:rPr>
        <w:t>Flow chart 4</w:t>
      </w:r>
      <w:r w:rsidR="008F766B">
        <w:rPr>
          <w:b/>
          <w:sz w:val="22"/>
          <w:lang w:eastAsia="en-AU"/>
        </w:rPr>
        <w:t>:</w:t>
      </w:r>
      <w:r w:rsidRPr="009338F9">
        <w:rPr>
          <w:b/>
          <w:sz w:val="22"/>
          <w:lang w:eastAsia="en-AU"/>
        </w:rPr>
        <w:t xml:space="preserve"> Is an activity a core R&amp;D activity?</w:t>
      </w:r>
    </w:p>
    <w:p w14:paraId="6D1BC363" w14:textId="77777777" w:rsidR="009338F9" w:rsidRDefault="009338F9" w:rsidP="00BC6F62">
      <w:pPr>
        <w:rPr>
          <w:lang w:eastAsia="en-AU"/>
        </w:rPr>
      </w:pPr>
    </w:p>
    <w:p w14:paraId="2D0DD9C9" w14:textId="77777777" w:rsidR="00207AC6" w:rsidRDefault="00207AC6" w:rsidP="00BC6F62">
      <w:pPr>
        <w:rPr>
          <w:lang w:eastAsia="en-AU"/>
        </w:rPr>
      </w:pPr>
    </w:p>
    <w:p w14:paraId="1E215234" w14:textId="5A043005" w:rsidR="009338F9" w:rsidRDefault="009338F9" w:rsidP="00207AC6">
      <w:pPr>
        <w:jc w:val="center"/>
        <w:rPr>
          <w:lang w:eastAsia="en-AU"/>
        </w:rPr>
      </w:pPr>
      <w:r>
        <w:object w:dxaOrig="11340" w:dyaOrig="10666" w14:anchorId="28728A2E">
          <v:shape id="_x0000_i1028" type="#_x0000_t75" style="width:414.75pt;height:390.75pt" o:ole="">
            <v:imagedata r:id="rId25" o:title=""/>
          </v:shape>
          <o:OLEObject Type="Embed" ProgID="Visio.Drawing.15" ShapeID="_x0000_i1028" DrawAspect="Content" ObjectID="_1601938103" r:id="rId26"/>
        </w:object>
      </w:r>
    </w:p>
    <w:p w14:paraId="7F5B44C4" w14:textId="6DB30981" w:rsidR="009338F9" w:rsidRDefault="009338F9">
      <w:pPr>
        <w:spacing w:after="200" w:line="276" w:lineRule="auto"/>
        <w:jc w:val="left"/>
        <w:rPr>
          <w:lang w:eastAsia="en-AU"/>
        </w:rPr>
      </w:pPr>
      <w:r>
        <w:rPr>
          <w:lang w:eastAsia="en-AU"/>
        </w:rPr>
        <w:br w:type="page"/>
      </w:r>
    </w:p>
    <w:p w14:paraId="088083F7" w14:textId="338A8C3A" w:rsidR="009338F9" w:rsidRPr="009338F9" w:rsidRDefault="009338F9" w:rsidP="009338F9">
      <w:pPr>
        <w:jc w:val="center"/>
        <w:rPr>
          <w:rFonts w:cs="Times New Roman"/>
          <w:b/>
          <w:bCs/>
          <w:color w:val="000000"/>
          <w:sz w:val="22"/>
        </w:rPr>
      </w:pPr>
      <w:r w:rsidRPr="009338F9">
        <w:rPr>
          <w:rFonts w:cs="Times New Roman"/>
          <w:b/>
          <w:bCs/>
          <w:color w:val="000000"/>
          <w:sz w:val="22"/>
        </w:rPr>
        <w:t>Flow chart 5</w:t>
      </w:r>
      <w:r w:rsidR="008F766B">
        <w:rPr>
          <w:rFonts w:cs="Times New Roman"/>
          <w:b/>
          <w:bCs/>
          <w:color w:val="000000"/>
          <w:sz w:val="22"/>
        </w:rPr>
        <w:t xml:space="preserve">: </w:t>
      </w:r>
      <w:r w:rsidRPr="009338F9">
        <w:rPr>
          <w:rFonts w:cs="Times New Roman"/>
          <w:b/>
          <w:bCs/>
          <w:color w:val="000000"/>
          <w:sz w:val="22"/>
        </w:rPr>
        <w:t>Does a person have an amount of R&amp;D tax credit to be</w:t>
      </w:r>
      <w:r w:rsidR="008F766B">
        <w:rPr>
          <w:rFonts w:cs="Times New Roman"/>
          <w:b/>
          <w:bCs/>
          <w:color w:val="000000"/>
          <w:sz w:val="22"/>
        </w:rPr>
        <w:br/>
      </w:r>
      <w:r w:rsidRPr="009338F9">
        <w:rPr>
          <w:rFonts w:cs="Times New Roman"/>
          <w:b/>
          <w:bCs/>
          <w:color w:val="000000"/>
          <w:sz w:val="22"/>
        </w:rPr>
        <w:t>refunded or carried forward?</w:t>
      </w:r>
    </w:p>
    <w:p w14:paraId="0E96BFBA" w14:textId="77777777" w:rsidR="009338F9" w:rsidRDefault="009338F9" w:rsidP="00BC6F62">
      <w:pPr>
        <w:rPr>
          <w:rFonts w:cs="Times New Roman"/>
          <w:bCs/>
          <w:color w:val="000000"/>
          <w:szCs w:val="24"/>
        </w:rPr>
      </w:pPr>
    </w:p>
    <w:p w14:paraId="0768C1A6" w14:textId="77777777" w:rsidR="00207AC6" w:rsidRPr="009338F9" w:rsidRDefault="00207AC6" w:rsidP="00BC6F62">
      <w:pPr>
        <w:rPr>
          <w:rFonts w:cs="Times New Roman"/>
          <w:bCs/>
          <w:color w:val="000000"/>
          <w:szCs w:val="24"/>
        </w:rPr>
      </w:pPr>
    </w:p>
    <w:p w14:paraId="4845F958" w14:textId="445AA2C3" w:rsidR="009338F9" w:rsidRDefault="009338F9" w:rsidP="00207AC6">
      <w:pPr>
        <w:jc w:val="center"/>
      </w:pPr>
      <w:r>
        <w:object w:dxaOrig="11416" w:dyaOrig="9480" w14:anchorId="0EB18B3E">
          <v:shape id="_x0000_i1029" type="#_x0000_t75" style="width:415.5pt;height:345pt" o:ole="">
            <v:imagedata r:id="rId27" o:title=""/>
          </v:shape>
          <o:OLEObject Type="Embed" ProgID="Visio.Drawing.15" ShapeID="_x0000_i1029" DrawAspect="Content" ObjectID="_1601938104" r:id="rId28"/>
        </w:object>
      </w:r>
    </w:p>
    <w:p w14:paraId="515C36E6" w14:textId="293CCFB7" w:rsidR="009338F9" w:rsidRPr="009338F9" w:rsidRDefault="009338F9" w:rsidP="002D7A75">
      <w:pPr>
        <w:spacing w:after="200" w:line="276" w:lineRule="auto"/>
        <w:jc w:val="left"/>
      </w:pPr>
    </w:p>
    <w:sectPr w:rsidR="009338F9" w:rsidRPr="009338F9" w:rsidSect="001F46A8">
      <w:footerReference w:type="first" r:id="rId29"/>
      <w:pgSz w:w="11906" w:h="16838" w:code="9"/>
      <w:pgMar w:top="1304" w:right="1797" w:bottom="1134" w:left="1797" w:header="720" w:footer="567"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ED55FA" w15:done="0"/>
  <w15:commentEx w15:paraId="6208127D" w15:done="0"/>
  <w15:commentEx w15:paraId="02983D0E" w15:done="0"/>
  <w15:commentEx w15:paraId="1141DF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ED55FA" w16cid:durableId="1F722636"/>
  <w16cid:commentId w16cid:paraId="6208127D" w16cid:durableId="1F722637"/>
  <w16cid:commentId w16cid:paraId="02983D0E" w16cid:durableId="1F72F3E1"/>
  <w16cid:commentId w16cid:paraId="1141DF2C" w16cid:durableId="1F7305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98677" w14:textId="77777777" w:rsidR="00016F1F" w:rsidRDefault="00016F1F" w:rsidP="00CE2585">
      <w:r>
        <w:separator/>
      </w:r>
    </w:p>
  </w:endnote>
  <w:endnote w:type="continuationSeparator" w:id="0">
    <w:p w14:paraId="247C1873" w14:textId="77777777" w:rsidR="00016F1F" w:rsidRDefault="00016F1F" w:rsidP="00CE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E10C8" w14:textId="77777777" w:rsidR="00016F1F" w:rsidRDefault="00016F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AF442" w14:textId="77777777" w:rsidR="00016F1F" w:rsidRDefault="00016F1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F2DBB" w14:textId="77777777" w:rsidR="00016F1F" w:rsidRDefault="00016F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115EB" w14:textId="77777777" w:rsidR="00016F1F" w:rsidRDefault="00016F1F">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5C926" w14:textId="77777777" w:rsidR="00016F1F" w:rsidRDefault="00016F1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5F463" w14:textId="77777777" w:rsidR="00016F1F" w:rsidRPr="001F46A8" w:rsidRDefault="00016F1F" w:rsidP="00453540">
    <w:pPr>
      <w:pStyle w:val="Footer"/>
      <w:ind w:right="-52"/>
      <w:jc w:val="center"/>
      <w:rPr>
        <w:rFonts w:cs="Times New Roman"/>
      </w:rPr>
    </w:pPr>
    <w:r w:rsidRPr="001F46A8">
      <w:rPr>
        <w:rStyle w:val="PageNumber"/>
        <w:rFonts w:cs="Times New Roman"/>
      </w:rPr>
      <w:fldChar w:fldCharType="begin"/>
    </w:r>
    <w:r w:rsidRPr="001F46A8">
      <w:rPr>
        <w:rStyle w:val="PageNumber"/>
        <w:rFonts w:cs="Times New Roman"/>
      </w:rPr>
      <w:instrText xml:space="preserve"> PAGE </w:instrText>
    </w:r>
    <w:r w:rsidRPr="001F46A8">
      <w:rPr>
        <w:rStyle w:val="PageNumber"/>
        <w:rFonts w:cs="Times New Roman"/>
      </w:rPr>
      <w:fldChar w:fldCharType="separate"/>
    </w:r>
    <w:r w:rsidR="001171D5">
      <w:rPr>
        <w:rStyle w:val="PageNumber"/>
        <w:rFonts w:cs="Times New Roman"/>
        <w:noProof/>
      </w:rPr>
      <w:t>113</w:t>
    </w:r>
    <w:r w:rsidRPr="001F46A8">
      <w:rPr>
        <w:rStyle w:val="PageNumber"/>
        <w:rFonts w:cs="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C6DF5" w14:textId="77777777" w:rsidR="00016F1F" w:rsidRDefault="00016F1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E018F" w14:textId="77777777" w:rsidR="00016F1F" w:rsidRDefault="00016F1F">
    <w:pPr>
      <w:pStyle w:val="Footer"/>
      <w:jc w:val="right"/>
    </w:pPr>
    <w:r>
      <w:rPr>
        <w:rStyle w:val="PageNumber"/>
      </w:rPr>
      <w:fldChar w:fldCharType="begin"/>
    </w:r>
    <w:r>
      <w:rPr>
        <w:rStyle w:val="PageNumber"/>
      </w:rPr>
      <w:instrText xml:space="preserve"> PAGE </w:instrText>
    </w:r>
    <w:r>
      <w:rPr>
        <w:rStyle w:val="PageNumber"/>
      </w:rPr>
      <w:fldChar w:fldCharType="separate"/>
    </w:r>
    <w:r w:rsidR="001171D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E6582" w14:textId="77777777" w:rsidR="00016F1F" w:rsidRDefault="00016F1F" w:rsidP="00CE2585">
      <w:r>
        <w:separator/>
      </w:r>
    </w:p>
  </w:footnote>
  <w:footnote w:type="continuationSeparator" w:id="0">
    <w:p w14:paraId="6D29C900" w14:textId="77777777" w:rsidR="00016F1F" w:rsidRDefault="00016F1F" w:rsidP="00CE2585">
      <w:r>
        <w:continuationSeparator/>
      </w:r>
    </w:p>
  </w:footnote>
  <w:footnote w:id="1">
    <w:p w14:paraId="7C59339B" w14:textId="75A7F200" w:rsidR="00016F1F" w:rsidRDefault="00016F1F" w:rsidP="00C91B59">
      <w:pPr>
        <w:pStyle w:val="FootnoteText"/>
        <w:jc w:val="left"/>
      </w:pPr>
      <w:r>
        <w:rPr>
          <w:rStyle w:val="FootnoteReference"/>
        </w:rPr>
        <w:footnoteRef/>
      </w:r>
      <w:r>
        <w:t xml:space="preserve"> </w:t>
      </w:r>
      <w:r w:rsidRPr="007F004A">
        <w:t>https://www.mbie.govt.nz/info-services/science-innovation/funding-info-opportunities/rd-tax-incentive/pdf-and-document-library/comparison-with-discussion-document.pdf</w:t>
      </w:r>
    </w:p>
  </w:footnote>
  <w:footnote w:id="2">
    <w:p w14:paraId="29BE4A0B" w14:textId="4C35F2B2" w:rsidR="00016F1F" w:rsidRDefault="00016F1F">
      <w:pPr>
        <w:pStyle w:val="FootnoteText"/>
      </w:pPr>
      <w:r>
        <w:rPr>
          <w:rStyle w:val="FootnoteReference"/>
        </w:rPr>
        <w:footnoteRef/>
      </w:r>
      <w:r>
        <w:t xml:space="preserve"> </w:t>
      </w:r>
      <w:r w:rsidRPr="00E56B56">
        <w:t>https://www.callaghaninnovation.govt.nz/news-and-events/rd-tax-incentive-final-design-announced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216"/>
    <w:multiLevelType w:val="singleLevel"/>
    <w:tmpl w:val="4506452E"/>
    <w:lvl w:ilvl="0">
      <w:start w:val="1"/>
      <w:numFmt w:val="bullet"/>
      <w:pStyle w:val="dotpoint"/>
      <w:lvlText w:val=""/>
      <w:lvlJc w:val="left"/>
      <w:pPr>
        <w:tabs>
          <w:tab w:val="num" w:pos="567"/>
        </w:tabs>
        <w:ind w:left="567" w:hanging="567"/>
      </w:pPr>
      <w:rPr>
        <w:rFonts w:ascii="Symbol" w:hAnsi="Symbol" w:hint="default"/>
        <w:b w:val="0"/>
        <w:i w:val="0"/>
        <w:sz w:val="22"/>
      </w:rPr>
    </w:lvl>
  </w:abstractNum>
  <w:abstractNum w:abstractNumId="1">
    <w:nsid w:val="1538431E"/>
    <w:multiLevelType w:val="hybridMultilevel"/>
    <w:tmpl w:val="6AEA12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02C6B3E"/>
    <w:multiLevelType w:val="hybridMultilevel"/>
    <w:tmpl w:val="855A5610"/>
    <w:lvl w:ilvl="0" w:tplc="144059D6">
      <w:start w:val="1"/>
      <w:numFmt w:val="bullet"/>
      <w:pStyle w:val="Examp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6883B8B"/>
    <w:multiLevelType w:val="hybridMultilevel"/>
    <w:tmpl w:val="582017C4"/>
    <w:lvl w:ilvl="0" w:tplc="EA9ABBB4">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4BE709C"/>
    <w:multiLevelType w:val="hybridMultilevel"/>
    <w:tmpl w:val="A034833C"/>
    <w:lvl w:ilvl="0" w:tplc="14090001">
      <w:start w:val="1"/>
      <w:numFmt w:val="bullet"/>
      <w:lvlText w:val=""/>
      <w:lvlJc w:val="left"/>
      <w:pPr>
        <w:ind w:left="720" w:hanging="360"/>
      </w:pPr>
      <w:rPr>
        <w:rFonts w:ascii="Symbol" w:hAnsi="Symbol" w:hint="default"/>
      </w:rPr>
    </w:lvl>
    <w:lvl w:ilvl="1" w:tplc="01D49A2C">
      <w:start w:val="1"/>
      <w:numFmt w:val="bullet"/>
      <w:pStyle w:val="dotpoint2"/>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D5F6BC1"/>
    <w:multiLevelType w:val="hybridMultilevel"/>
    <w:tmpl w:val="B3F41242"/>
    <w:lvl w:ilvl="0" w:tplc="1B307572">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ce Taylor">
    <w15:presenceInfo w15:providerId="None" w15:userId="Alice Taylor"/>
  </w15:person>
  <w15:person w15:author="Dan  Ormond">
    <w15:presenceInfo w15:providerId="AD" w15:userId="S::Dan@latitudesc.co.nz::d855ff31-192a-41d1-b2c2-c20802f352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85"/>
    <w:rsid w:val="0000168F"/>
    <w:rsid w:val="00005B82"/>
    <w:rsid w:val="0001013E"/>
    <w:rsid w:val="00016F1F"/>
    <w:rsid w:val="00032283"/>
    <w:rsid w:val="0003657C"/>
    <w:rsid w:val="0004356E"/>
    <w:rsid w:val="0004544E"/>
    <w:rsid w:val="0005011B"/>
    <w:rsid w:val="00052A98"/>
    <w:rsid w:val="00052D90"/>
    <w:rsid w:val="00062B70"/>
    <w:rsid w:val="00065B23"/>
    <w:rsid w:val="00067C84"/>
    <w:rsid w:val="00083245"/>
    <w:rsid w:val="00083D00"/>
    <w:rsid w:val="000862CD"/>
    <w:rsid w:val="00086534"/>
    <w:rsid w:val="00086F8A"/>
    <w:rsid w:val="00092040"/>
    <w:rsid w:val="0009535E"/>
    <w:rsid w:val="00096ED5"/>
    <w:rsid w:val="000A412F"/>
    <w:rsid w:val="000A42A0"/>
    <w:rsid w:val="000B23CB"/>
    <w:rsid w:val="000B2E23"/>
    <w:rsid w:val="000B36E9"/>
    <w:rsid w:val="000B6229"/>
    <w:rsid w:val="000D1E36"/>
    <w:rsid w:val="000D2675"/>
    <w:rsid w:val="000D570B"/>
    <w:rsid w:val="000E4472"/>
    <w:rsid w:val="00102C8A"/>
    <w:rsid w:val="00115AAD"/>
    <w:rsid w:val="00116FD5"/>
    <w:rsid w:val="001171D5"/>
    <w:rsid w:val="00127F7A"/>
    <w:rsid w:val="00134503"/>
    <w:rsid w:val="00140131"/>
    <w:rsid w:val="0014370D"/>
    <w:rsid w:val="0016236F"/>
    <w:rsid w:val="001630CF"/>
    <w:rsid w:val="001639AF"/>
    <w:rsid w:val="00170718"/>
    <w:rsid w:val="001710A7"/>
    <w:rsid w:val="00190D5A"/>
    <w:rsid w:val="00195194"/>
    <w:rsid w:val="001B02D8"/>
    <w:rsid w:val="001B79A9"/>
    <w:rsid w:val="001C51DF"/>
    <w:rsid w:val="001C5F0C"/>
    <w:rsid w:val="001C68BB"/>
    <w:rsid w:val="001D1C98"/>
    <w:rsid w:val="001D48CD"/>
    <w:rsid w:val="001D71C9"/>
    <w:rsid w:val="001E504A"/>
    <w:rsid w:val="001F3D16"/>
    <w:rsid w:val="001F46A8"/>
    <w:rsid w:val="00207AC6"/>
    <w:rsid w:val="00210719"/>
    <w:rsid w:val="00212E4D"/>
    <w:rsid w:val="002149C8"/>
    <w:rsid w:val="0021785A"/>
    <w:rsid w:val="00231391"/>
    <w:rsid w:val="00242B6D"/>
    <w:rsid w:val="002523F8"/>
    <w:rsid w:val="00253283"/>
    <w:rsid w:val="00255838"/>
    <w:rsid w:val="0025585E"/>
    <w:rsid w:val="002613DD"/>
    <w:rsid w:val="00273220"/>
    <w:rsid w:val="00273D4F"/>
    <w:rsid w:val="00273DF6"/>
    <w:rsid w:val="00275FA3"/>
    <w:rsid w:val="002808D3"/>
    <w:rsid w:val="002844DA"/>
    <w:rsid w:val="00284B8B"/>
    <w:rsid w:val="00290C34"/>
    <w:rsid w:val="00290D05"/>
    <w:rsid w:val="00291064"/>
    <w:rsid w:val="00297B2E"/>
    <w:rsid w:val="002A4D32"/>
    <w:rsid w:val="002A693B"/>
    <w:rsid w:val="002B2EEB"/>
    <w:rsid w:val="002B4A33"/>
    <w:rsid w:val="002B701D"/>
    <w:rsid w:val="002B7ACD"/>
    <w:rsid w:val="002C3A01"/>
    <w:rsid w:val="002C3CD8"/>
    <w:rsid w:val="002C558F"/>
    <w:rsid w:val="002C5B10"/>
    <w:rsid w:val="002D6E8A"/>
    <w:rsid w:val="002D7A75"/>
    <w:rsid w:val="002E6C89"/>
    <w:rsid w:val="002F1DC5"/>
    <w:rsid w:val="002F5A71"/>
    <w:rsid w:val="003077B7"/>
    <w:rsid w:val="0031423D"/>
    <w:rsid w:val="00321E95"/>
    <w:rsid w:val="003270E3"/>
    <w:rsid w:val="00327102"/>
    <w:rsid w:val="0033260F"/>
    <w:rsid w:val="003343A3"/>
    <w:rsid w:val="00335216"/>
    <w:rsid w:val="00336F27"/>
    <w:rsid w:val="00340D55"/>
    <w:rsid w:val="003474C7"/>
    <w:rsid w:val="00350365"/>
    <w:rsid w:val="003514CC"/>
    <w:rsid w:val="003574F5"/>
    <w:rsid w:val="003611ED"/>
    <w:rsid w:val="003646BA"/>
    <w:rsid w:val="00366B31"/>
    <w:rsid w:val="00370490"/>
    <w:rsid w:val="00382A55"/>
    <w:rsid w:val="0038340E"/>
    <w:rsid w:val="00383726"/>
    <w:rsid w:val="0039391B"/>
    <w:rsid w:val="003A382F"/>
    <w:rsid w:val="003A3A62"/>
    <w:rsid w:val="003A4092"/>
    <w:rsid w:val="003A4A1C"/>
    <w:rsid w:val="003B3588"/>
    <w:rsid w:val="003B4C94"/>
    <w:rsid w:val="003B70D5"/>
    <w:rsid w:val="003C3C22"/>
    <w:rsid w:val="003D04D8"/>
    <w:rsid w:val="003D247F"/>
    <w:rsid w:val="003D5492"/>
    <w:rsid w:val="003F6EB0"/>
    <w:rsid w:val="00400700"/>
    <w:rsid w:val="0040746E"/>
    <w:rsid w:val="00407C9A"/>
    <w:rsid w:val="00413ADC"/>
    <w:rsid w:val="00417F0F"/>
    <w:rsid w:val="00421265"/>
    <w:rsid w:val="00421C3F"/>
    <w:rsid w:val="004326D4"/>
    <w:rsid w:val="00433706"/>
    <w:rsid w:val="004338D4"/>
    <w:rsid w:val="004360B9"/>
    <w:rsid w:val="0043742C"/>
    <w:rsid w:val="00440474"/>
    <w:rsid w:val="00441027"/>
    <w:rsid w:val="00453540"/>
    <w:rsid w:val="00457302"/>
    <w:rsid w:val="0046094B"/>
    <w:rsid w:val="0046325F"/>
    <w:rsid w:val="00464B70"/>
    <w:rsid w:val="004672C9"/>
    <w:rsid w:val="00476A0B"/>
    <w:rsid w:val="004811EC"/>
    <w:rsid w:val="00485279"/>
    <w:rsid w:val="00485C74"/>
    <w:rsid w:val="0049137D"/>
    <w:rsid w:val="0049181E"/>
    <w:rsid w:val="004B3F59"/>
    <w:rsid w:val="004B5D10"/>
    <w:rsid w:val="004C143C"/>
    <w:rsid w:val="004C2634"/>
    <w:rsid w:val="004C3713"/>
    <w:rsid w:val="004E20D5"/>
    <w:rsid w:val="004E3F74"/>
    <w:rsid w:val="004F133F"/>
    <w:rsid w:val="004F266B"/>
    <w:rsid w:val="004F39B2"/>
    <w:rsid w:val="004F5C30"/>
    <w:rsid w:val="004F6150"/>
    <w:rsid w:val="004F67D2"/>
    <w:rsid w:val="004F692C"/>
    <w:rsid w:val="004F6B5E"/>
    <w:rsid w:val="004F72A5"/>
    <w:rsid w:val="005037E6"/>
    <w:rsid w:val="00512B85"/>
    <w:rsid w:val="00532482"/>
    <w:rsid w:val="00532CF7"/>
    <w:rsid w:val="00532F48"/>
    <w:rsid w:val="0054048F"/>
    <w:rsid w:val="00545E4B"/>
    <w:rsid w:val="00553197"/>
    <w:rsid w:val="0056141C"/>
    <w:rsid w:val="005712CF"/>
    <w:rsid w:val="00576474"/>
    <w:rsid w:val="00576A0D"/>
    <w:rsid w:val="00576EC9"/>
    <w:rsid w:val="00577748"/>
    <w:rsid w:val="00580143"/>
    <w:rsid w:val="005A4D8E"/>
    <w:rsid w:val="005B3FE4"/>
    <w:rsid w:val="005B6234"/>
    <w:rsid w:val="005C51AA"/>
    <w:rsid w:val="005C5FCE"/>
    <w:rsid w:val="005D1920"/>
    <w:rsid w:val="005D7269"/>
    <w:rsid w:val="005E13EE"/>
    <w:rsid w:val="00600D9B"/>
    <w:rsid w:val="00605590"/>
    <w:rsid w:val="006056DC"/>
    <w:rsid w:val="00612061"/>
    <w:rsid w:val="006229A3"/>
    <w:rsid w:val="00636F63"/>
    <w:rsid w:val="00637DFC"/>
    <w:rsid w:val="00643F07"/>
    <w:rsid w:val="0065033E"/>
    <w:rsid w:val="0065775F"/>
    <w:rsid w:val="00657825"/>
    <w:rsid w:val="00662D85"/>
    <w:rsid w:val="00665EE4"/>
    <w:rsid w:val="00666146"/>
    <w:rsid w:val="00674935"/>
    <w:rsid w:val="00677FD6"/>
    <w:rsid w:val="00680604"/>
    <w:rsid w:val="00681778"/>
    <w:rsid w:val="0068756C"/>
    <w:rsid w:val="00697F90"/>
    <w:rsid w:val="006A751E"/>
    <w:rsid w:val="006B3045"/>
    <w:rsid w:val="006B3B8F"/>
    <w:rsid w:val="006B6FAD"/>
    <w:rsid w:val="006D2E18"/>
    <w:rsid w:val="006E403E"/>
    <w:rsid w:val="006F3BAC"/>
    <w:rsid w:val="007021CC"/>
    <w:rsid w:val="007118E2"/>
    <w:rsid w:val="00715D07"/>
    <w:rsid w:val="00721E44"/>
    <w:rsid w:val="007236EE"/>
    <w:rsid w:val="00723CE2"/>
    <w:rsid w:val="007265CD"/>
    <w:rsid w:val="00730FAA"/>
    <w:rsid w:val="00732978"/>
    <w:rsid w:val="00744C82"/>
    <w:rsid w:val="0074677B"/>
    <w:rsid w:val="007515CD"/>
    <w:rsid w:val="00762AEC"/>
    <w:rsid w:val="00765454"/>
    <w:rsid w:val="00770300"/>
    <w:rsid w:val="0077695C"/>
    <w:rsid w:val="00784E20"/>
    <w:rsid w:val="007923F2"/>
    <w:rsid w:val="007A4CBD"/>
    <w:rsid w:val="007A74C8"/>
    <w:rsid w:val="007A7D1D"/>
    <w:rsid w:val="007B66EE"/>
    <w:rsid w:val="007B713C"/>
    <w:rsid w:val="007C2EB9"/>
    <w:rsid w:val="007D3B88"/>
    <w:rsid w:val="007D488B"/>
    <w:rsid w:val="007E3575"/>
    <w:rsid w:val="007E61D4"/>
    <w:rsid w:val="007F004A"/>
    <w:rsid w:val="007F0C4C"/>
    <w:rsid w:val="007F1980"/>
    <w:rsid w:val="007F28E0"/>
    <w:rsid w:val="007F3668"/>
    <w:rsid w:val="00800C55"/>
    <w:rsid w:val="00802EE4"/>
    <w:rsid w:val="008078B3"/>
    <w:rsid w:val="00821772"/>
    <w:rsid w:val="00821C94"/>
    <w:rsid w:val="00823EB0"/>
    <w:rsid w:val="00826A2C"/>
    <w:rsid w:val="00831FC3"/>
    <w:rsid w:val="008321ED"/>
    <w:rsid w:val="008343B2"/>
    <w:rsid w:val="00836475"/>
    <w:rsid w:val="008374CF"/>
    <w:rsid w:val="00845E5F"/>
    <w:rsid w:val="00864660"/>
    <w:rsid w:val="008657B6"/>
    <w:rsid w:val="00865CFD"/>
    <w:rsid w:val="00875599"/>
    <w:rsid w:val="0088382D"/>
    <w:rsid w:val="00892CA5"/>
    <w:rsid w:val="00892D5F"/>
    <w:rsid w:val="0089599A"/>
    <w:rsid w:val="008A28F8"/>
    <w:rsid w:val="008A299B"/>
    <w:rsid w:val="008A5D1D"/>
    <w:rsid w:val="008A65F3"/>
    <w:rsid w:val="008B0B7F"/>
    <w:rsid w:val="008B6BE5"/>
    <w:rsid w:val="008C4B03"/>
    <w:rsid w:val="008D4856"/>
    <w:rsid w:val="008E01BC"/>
    <w:rsid w:val="008E5887"/>
    <w:rsid w:val="008E6635"/>
    <w:rsid w:val="008E6674"/>
    <w:rsid w:val="008E6B90"/>
    <w:rsid w:val="008E6FD1"/>
    <w:rsid w:val="008E7A3B"/>
    <w:rsid w:val="008F2D37"/>
    <w:rsid w:val="008F473D"/>
    <w:rsid w:val="008F766B"/>
    <w:rsid w:val="009047A9"/>
    <w:rsid w:val="009063D9"/>
    <w:rsid w:val="00915496"/>
    <w:rsid w:val="00917416"/>
    <w:rsid w:val="0092655B"/>
    <w:rsid w:val="009338F9"/>
    <w:rsid w:val="0093516A"/>
    <w:rsid w:val="00935A90"/>
    <w:rsid w:val="00946882"/>
    <w:rsid w:val="00946BF9"/>
    <w:rsid w:val="009605F6"/>
    <w:rsid w:val="00961175"/>
    <w:rsid w:val="009810F3"/>
    <w:rsid w:val="00985253"/>
    <w:rsid w:val="00993D9F"/>
    <w:rsid w:val="0099594D"/>
    <w:rsid w:val="009A06D6"/>
    <w:rsid w:val="009A0FDF"/>
    <w:rsid w:val="009A4C7F"/>
    <w:rsid w:val="009A689A"/>
    <w:rsid w:val="009C051F"/>
    <w:rsid w:val="009C670D"/>
    <w:rsid w:val="009D29CB"/>
    <w:rsid w:val="009D45B4"/>
    <w:rsid w:val="009F07BA"/>
    <w:rsid w:val="009F08B3"/>
    <w:rsid w:val="009F13B0"/>
    <w:rsid w:val="00A05758"/>
    <w:rsid w:val="00A11AF3"/>
    <w:rsid w:val="00A1664A"/>
    <w:rsid w:val="00A17E88"/>
    <w:rsid w:val="00A27C6C"/>
    <w:rsid w:val="00A30804"/>
    <w:rsid w:val="00A3471E"/>
    <w:rsid w:val="00A35432"/>
    <w:rsid w:val="00A40804"/>
    <w:rsid w:val="00A447C4"/>
    <w:rsid w:val="00A51A5F"/>
    <w:rsid w:val="00A5410B"/>
    <w:rsid w:val="00A67BD0"/>
    <w:rsid w:val="00A742F3"/>
    <w:rsid w:val="00A7521E"/>
    <w:rsid w:val="00A759AC"/>
    <w:rsid w:val="00A76C31"/>
    <w:rsid w:val="00A820AF"/>
    <w:rsid w:val="00A92912"/>
    <w:rsid w:val="00A92CD1"/>
    <w:rsid w:val="00A9760A"/>
    <w:rsid w:val="00A97C06"/>
    <w:rsid w:val="00AA129C"/>
    <w:rsid w:val="00AA55B4"/>
    <w:rsid w:val="00AA6102"/>
    <w:rsid w:val="00AA6D76"/>
    <w:rsid w:val="00AA7605"/>
    <w:rsid w:val="00AB5AF9"/>
    <w:rsid w:val="00AB6E7D"/>
    <w:rsid w:val="00AC2BC3"/>
    <w:rsid w:val="00AC7195"/>
    <w:rsid w:val="00AD0F29"/>
    <w:rsid w:val="00AD1AB8"/>
    <w:rsid w:val="00AD26F9"/>
    <w:rsid w:val="00AE1B3E"/>
    <w:rsid w:val="00AE59F9"/>
    <w:rsid w:val="00AE656F"/>
    <w:rsid w:val="00AE6C7E"/>
    <w:rsid w:val="00AE7716"/>
    <w:rsid w:val="00AE7B8E"/>
    <w:rsid w:val="00AF19BA"/>
    <w:rsid w:val="00AF33CF"/>
    <w:rsid w:val="00B06B52"/>
    <w:rsid w:val="00B128BB"/>
    <w:rsid w:val="00B22879"/>
    <w:rsid w:val="00B242AD"/>
    <w:rsid w:val="00B349F9"/>
    <w:rsid w:val="00B41717"/>
    <w:rsid w:val="00B43E6F"/>
    <w:rsid w:val="00B45635"/>
    <w:rsid w:val="00B56E23"/>
    <w:rsid w:val="00B60E01"/>
    <w:rsid w:val="00B77B53"/>
    <w:rsid w:val="00B81A72"/>
    <w:rsid w:val="00B827E1"/>
    <w:rsid w:val="00B91CC0"/>
    <w:rsid w:val="00B97523"/>
    <w:rsid w:val="00BA0D83"/>
    <w:rsid w:val="00BA7BBF"/>
    <w:rsid w:val="00BB32CC"/>
    <w:rsid w:val="00BC0F9A"/>
    <w:rsid w:val="00BC53F5"/>
    <w:rsid w:val="00BC5F88"/>
    <w:rsid w:val="00BC6F62"/>
    <w:rsid w:val="00BD3CA4"/>
    <w:rsid w:val="00BE07C0"/>
    <w:rsid w:val="00BF13EA"/>
    <w:rsid w:val="00BF3367"/>
    <w:rsid w:val="00BF390C"/>
    <w:rsid w:val="00C00B7F"/>
    <w:rsid w:val="00C02DAD"/>
    <w:rsid w:val="00C057FD"/>
    <w:rsid w:val="00C12895"/>
    <w:rsid w:val="00C153F0"/>
    <w:rsid w:val="00C15767"/>
    <w:rsid w:val="00C15A0E"/>
    <w:rsid w:val="00C249A3"/>
    <w:rsid w:val="00C427C6"/>
    <w:rsid w:val="00C44FEC"/>
    <w:rsid w:val="00C50541"/>
    <w:rsid w:val="00C534D8"/>
    <w:rsid w:val="00C5413C"/>
    <w:rsid w:val="00C6162F"/>
    <w:rsid w:val="00C62881"/>
    <w:rsid w:val="00C7029C"/>
    <w:rsid w:val="00C70FB5"/>
    <w:rsid w:val="00C7677E"/>
    <w:rsid w:val="00C837E8"/>
    <w:rsid w:val="00C86F35"/>
    <w:rsid w:val="00C91B59"/>
    <w:rsid w:val="00CA6989"/>
    <w:rsid w:val="00CB1782"/>
    <w:rsid w:val="00CB4151"/>
    <w:rsid w:val="00CC19E2"/>
    <w:rsid w:val="00CC27F5"/>
    <w:rsid w:val="00CC5954"/>
    <w:rsid w:val="00CD2FA9"/>
    <w:rsid w:val="00CD5202"/>
    <w:rsid w:val="00CD5D14"/>
    <w:rsid w:val="00CD5DCC"/>
    <w:rsid w:val="00CD69F7"/>
    <w:rsid w:val="00CE0593"/>
    <w:rsid w:val="00CE2585"/>
    <w:rsid w:val="00CF15A9"/>
    <w:rsid w:val="00CF3BE1"/>
    <w:rsid w:val="00CF5051"/>
    <w:rsid w:val="00D00F10"/>
    <w:rsid w:val="00D01075"/>
    <w:rsid w:val="00D159BF"/>
    <w:rsid w:val="00D16532"/>
    <w:rsid w:val="00D210BF"/>
    <w:rsid w:val="00D249EB"/>
    <w:rsid w:val="00D2698B"/>
    <w:rsid w:val="00D27ABC"/>
    <w:rsid w:val="00D409AC"/>
    <w:rsid w:val="00D40BF9"/>
    <w:rsid w:val="00D4525B"/>
    <w:rsid w:val="00D50DD6"/>
    <w:rsid w:val="00D53FB2"/>
    <w:rsid w:val="00D620A2"/>
    <w:rsid w:val="00D64DA6"/>
    <w:rsid w:val="00D73680"/>
    <w:rsid w:val="00D74BB8"/>
    <w:rsid w:val="00D74E30"/>
    <w:rsid w:val="00D8013D"/>
    <w:rsid w:val="00D8298C"/>
    <w:rsid w:val="00D96680"/>
    <w:rsid w:val="00D966AA"/>
    <w:rsid w:val="00DA164B"/>
    <w:rsid w:val="00DA47E0"/>
    <w:rsid w:val="00DA5318"/>
    <w:rsid w:val="00DA659D"/>
    <w:rsid w:val="00DA749C"/>
    <w:rsid w:val="00DB5865"/>
    <w:rsid w:val="00DD0502"/>
    <w:rsid w:val="00DD30A7"/>
    <w:rsid w:val="00DD38B2"/>
    <w:rsid w:val="00DE2CD1"/>
    <w:rsid w:val="00DE5732"/>
    <w:rsid w:val="00DE64B8"/>
    <w:rsid w:val="00DF1739"/>
    <w:rsid w:val="00DF2F85"/>
    <w:rsid w:val="00DF305C"/>
    <w:rsid w:val="00DF5A83"/>
    <w:rsid w:val="00DF76DF"/>
    <w:rsid w:val="00E010FC"/>
    <w:rsid w:val="00E2070B"/>
    <w:rsid w:val="00E2427F"/>
    <w:rsid w:val="00E24736"/>
    <w:rsid w:val="00E24B0A"/>
    <w:rsid w:val="00E25F05"/>
    <w:rsid w:val="00E26FDA"/>
    <w:rsid w:val="00E31F02"/>
    <w:rsid w:val="00E36934"/>
    <w:rsid w:val="00E4115B"/>
    <w:rsid w:val="00E42A18"/>
    <w:rsid w:val="00E43674"/>
    <w:rsid w:val="00E450C5"/>
    <w:rsid w:val="00E52DD4"/>
    <w:rsid w:val="00E54002"/>
    <w:rsid w:val="00E56B56"/>
    <w:rsid w:val="00E579BB"/>
    <w:rsid w:val="00E61B69"/>
    <w:rsid w:val="00E66E42"/>
    <w:rsid w:val="00E7070B"/>
    <w:rsid w:val="00E7157E"/>
    <w:rsid w:val="00E76829"/>
    <w:rsid w:val="00E76E58"/>
    <w:rsid w:val="00E805BC"/>
    <w:rsid w:val="00E93DE6"/>
    <w:rsid w:val="00E96906"/>
    <w:rsid w:val="00EA5922"/>
    <w:rsid w:val="00EA5AF3"/>
    <w:rsid w:val="00EB0CE4"/>
    <w:rsid w:val="00EB193F"/>
    <w:rsid w:val="00EB7314"/>
    <w:rsid w:val="00EC0A14"/>
    <w:rsid w:val="00EC0C46"/>
    <w:rsid w:val="00EC2FC9"/>
    <w:rsid w:val="00EC3E32"/>
    <w:rsid w:val="00EC45ED"/>
    <w:rsid w:val="00EC553F"/>
    <w:rsid w:val="00EC6B76"/>
    <w:rsid w:val="00ED09D1"/>
    <w:rsid w:val="00EE5FE9"/>
    <w:rsid w:val="00EF4F6A"/>
    <w:rsid w:val="00EF63F7"/>
    <w:rsid w:val="00F010DE"/>
    <w:rsid w:val="00F34E40"/>
    <w:rsid w:val="00F41C40"/>
    <w:rsid w:val="00F41C65"/>
    <w:rsid w:val="00F537EE"/>
    <w:rsid w:val="00F55F04"/>
    <w:rsid w:val="00F6191D"/>
    <w:rsid w:val="00F64855"/>
    <w:rsid w:val="00F73647"/>
    <w:rsid w:val="00F7796A"/>
    <w:rsid w:val="00F8391B"/>
    <w:rsid w:val="00F848DE"/>
    <w:rsid w:val="00F86CAB"/>
    <w:rsid w:val="00F87581"/>
    <w:rsid w:val="00F9138D"/>
    <w:rsid w:val="00F926F0"/>
    <w:rsid w:val="00F944BE"/>
    <w:rsid w:val="00F94851"/>
    <w:rsid w:val="00F9523D"/>
    <w:rsid w:val="00F96F1B"/>
    <w:rsid w:val="00F971C8"/>
    <w:rsid w:val="00FA346F"/>
    <w:rsid w:val="00FA5DD9"/>
    <w:rsid w:val="00FB103B"/>
    <w:rsid w:val="00FB209F"/>
    <w:rsid w:val="00FB427E"/>
    <w:rsid w:val="00FC25CD"/>
    <w:rsid w:val="00FC486E"/>
    <w:rsid w:val="00FD03D4"/>
    <w:rsid w:val="00FD2970"/>
    <w:rsid w:val="00FD46A9"/>
    <w:rsid w:val="00FD61CE"/>
    <w:rsid w:val="00FE2716"/>
    <w:rsid w:val="00FF4E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C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F3"/>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800C55"/>
    <w:pPr>
      <w:keepNext/>
      <w:pBdr>
        <w:bottom w:val="single" w:sz="4" w:space="6" w:color="auto"/>
      </w:pBdr>
      <w:spacing w:before="360" w:after="360"/>
      <w:outlineLvl w:val="0"/>
    </w:pPr>
    <w:rPr>
      <w:rFonts w:eastAsia="Times New Roman" w:cs="Times New Roman"/>
      <w:b/>
      <w:caps/>
      <w:sz w:val="26"/>
      <w:szCs w:val="20"/>
      <w:lang w:eastAsia="en-AU"/>
    </w:rPr>
  </w:style>
  <w:style w:type="paragraph" w:styleId="Heading2">
    <w:name w:val="heading 2"/>
    <w:basedOn w:val="Normal"/>
    <w:next w:val="Normal"/>
    <w:link w:val="Heading2Char"/>
    <w:uiPriority w:val="9"/>
    <w:unhideWhenUsed/>
    <w:qFormat/>
    <w:rsid w:val="009C670D"/>
    <w:pPr>
      <w:keepNext/>
      <w:outlineLvl w:val="1"/>
    </w:pPr>
    <w:rPr>
      <w:rFonts w:eastAsia="Times New Roman" w:cs="Times New Roman"/>
      <w:b/>
      <w:szCs w:val="20"/>
      <w:lang w:eastAsia="en-AU"/>
    </w:rPr>
  </w:style>
  <w:style w:type="paragraph" w:styleId="Heading3">
    <w:name w:val="heading 3"/>
    <w:basedOn w:val="Normal"/>
    <w:next w:val="Normal"/>
    <w:link w:val="Heading3Char"/>
    <w:uiPriority w:val="9"/>
    <w:unhideWhenUsed/>
    <w:qFormat/>
    <w:rsid w:val="007A4CBD"/>
    <w:pPr>
      <w:outlineLvl w:val="2"/>
    </w:pPr>
    <w:rPr>
      <w:rFonts w:eastAsia="Times New Roman" w:cs="Times New Roman"/>
      <w:b/>
      <w:i/>
      <w:szCs w:val="20"/>
      <w:lang w:val="en-GB" w:eastAsia="en-AU"/>
    </w:rPr>
  </w:style>
  <w:style w:type="paragraph" w:styleId="Heading4">
    <w:name w:val="heading 4"/>
    <w:basedOn w:val="Normal"/>
    <w:next w:val="Normal"/>
    <w:link w:val="Heading4Char"/>
    <w:uiPriority w:val="9"/>
    <w:unhideWhenUsed/>
    <w:qFormat/>
    <w:rsid w:val="00EA5AF3"/>
    <w:pPr>
      <w:outlineLvl w:val="3"/>
    </w:pPr>
    <w:rPr>
      <w:rFonts w:eastAsia="Times New Roman" w:cs="Times New Roman"/>
      <w:i/>
      <w:szCs w:val="20"/>
      <w:lang w:val="en-GB" w:eastAsia="en-AU"/>
    </w:rPr>
  </w:style>
  <w:style w:type="paragraph" w:styleId="Heading5">
    <w:name w:val="heading 5"/>
    <w:basedOn w:val="Normal"/>
    <w:next w:val="Normal"/>
    <w:link w:val="Heading5Char"/>
    <w:uiPriority w:val="9"/>
    <w:unhideWhenUsed/>
    <w:qFormat/>
    <w:rsid w:val="001B79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E2585"/>
    <w:rPr>
      <w:sz w:val="20"/>
      <w:szCs w:val="20"/>
    </w:rPr>
  </w:style>
  <w:style w:type="character" w:customStyle="1" w:styleId="CommentTextChar">
    <w:name w:val="Comment Text Char"/>
    <w:basedOn w:val="DefaultParagraphFont"/>
    <w:link w:val="CommentText"/>
    <w:uiPriority w:val="99"/>
    <w:rsid w:val="00CE2585"/>
    <w:rPr>
      <w:sz w:val="20"/>
      <w:szCs w:val="20"/>
    </w:rPr>
  </w:style>
  <w:style w:type="character" w:styleId="CommentReference">
    <w:name w:val="annotation reference"/>
    <w:basedOn w:val="DefaultParagraphFont"/>
    <w:uiPriority w:val="99"/>
    <w:semiHidden/>
    <w:rsid w:val="00CE2585"/>
    <w:rPr>
      <w:sz w:val="16"/>
    </w:rPr>
  </w:style>
  <w:style w:type="paragraph" w:styleId="ListParagraph">
    <w:name w:val="List Paragraph"/>
    <w:basedOn w:val="Normal"/>
    <w:uiPriority w:val="34"/>
    <w:qFormat/>
    <w:rsid w:val="000B36E9"/>
    <w:pPr>
      <w:numPr>
        <w:numId w:val="2"/>
      </w:numPr>
      <w:spacing w:after="60"/>
    </w:pPr>
    <w:rPr>
      <w:rFonts w:cs="Times New Roman"/>
      <w:szCs w:val="24"/>
      <w:lang w:eastAsia="en-AU"/>
    </w:rPr>
  </w:style>
  <w:style w:type="table" w:styleId="TableGrid">
    <w:name w:val="Table Grid"/>
    <w:basedOn w:val="TableNormal"/>
    <w:uiPriority w:val="59"/>
    <w:rsid w:val="00CE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2585"/>
    <w:rPr>
      <w:sz w:val="20"/>
      <w:szCs w:val="20"/>
    </w:rPr>
  </w:style>
  <w:style w:type="character" w:customStyle="1" w:styleId="FootnoteTextChar">
    <w:name w:val="Footnote Text Char"/>
    <w:basedOn w:val="DefaultParagraphFont"/>
    <w:link w:val="FootnoteText"/>
    <w:uiPriority w:val="99"/>
    <w:semiHidden/>
    <w:rsid w:val="00CE2585"/>
    <w:rPr>
      <w:sz w:val="20"/>
      <w:szCs w:val="20"/>
    </w:rPr>
  </w:style>
  <w:style w:type="character" w:styleId="FootnoteReference">
    <w:name w:val="footnote reference"/>
    <w:basedOn w:val="DefaultParagraphFont"/>
    <w:uiPriority w:val="99"/>
    <w:semiHidden/>
    <w:unhideWhenUsed/>
    <w:rsid w:val="00CE2585"/>
    <w:rPr>
      <w:vertAlign w:val="superscript"/>
    </w:rPr>
  </w:style>
  <w:style w:type="paragraph" w:styleId="BalloonText">
    <w:name w:val="Balloon Text"/>
    <w:basedOn w:val="Normal"/>
    <w:link w:val="BalloonTextChar"/>
    <w:uiPriority w:val="99"/>
    <w:semiHidden/>
    <w:unhideWhenUsed/>
    <w:rsid w:val="00CE2585"/>
    <w:rPr>
      <w:rFonts w:ascii="Tahoma" w:hAnsi="Tahoma" w:cs="Tahoma"/>
      <w:sz w:val="16"/>
      <w:szCs w:val="16"/>
    </w:rPr>
  </w:style>
  <w:style w:type="character" w:customStyle="1" w:styleId="BalloonTextChar">
    <w:name w:val="Balloon Text Char"/>
    <w:basedOn w:val="DefaultParagraphFont"/>
    <w:link w:val="BalloonText"/>
    <w:uiPriority w:val="99"/>
    <w:semiHidden/>
    <w:rsid w:val="00CE2585"/>
    <w:rPr>
      <w:rFonts w:ascii="Tahoma" w:hAnsi="Tahoma" w:cs="Tahoma"/>
      <w:sz w:val="16"/>
      <w:szCs w:val="16"/>
    </w:rPr>
  </w:style>
  <w:style w:type="paragraph" w:styleId="Footer">
    <w:name w:val="footer"/>
    <w:basedOn w:val="Normal"/>
    <w:link w:val="FooterChar"/>
    <w:uiPriority w:val="99"/>
    <w:unhideWhenUsed/>
    <w:rsid w:val="00CE2585"/>
    <w:pPr>
      <w:tabs>
        <w:tab w:val="center" w:pos="4513"/>
        <w:tab w:val="right" w:pos="9026"/>
      </w:tabs>
    </w:pPr>
  </w:style>
  <w:style w:type="character" w:customStyle="1" w:styleId="FooterChar">
    <w:name w:val="Footer Char"/>
    <w:basedOn w:val="DefaultParagraphFont"/>
    <w:link w:val="Footer"/>
    <w:uiPriority w:val="99"/>
    <w:rsid w:val="00CE2585"/>
  </w:style>
  <w:style w:type="character" w:styleId="PageNumber">
    <w:name w:val="page number"/>
    <w:basedOn w:val="DefaultParagraphFont"/>
    <w:rsid w:val="00CE2585"/>
    <w:rPr>
      <w:sz w:val="22"/>
    </w:rPr>
  </w:style>
  <w:style w:type="character" w:customStyle="1" w:styleId="Heading1Char">
    <w:name w:val="Heading 1 Char"/>
    <w:basedOn w:val="DefaultParagraphFont"/>
    <w:link w:val="Heading1"/>
    <w:uiPriority w:val="9"/>
    <w:rsid w:val="00800C55"/>
    <w:rPr>
      <w:rFonts w:ascii="Times New Roman" w:eastAsia="Times New Roman" w:hAnsi="Times New Roman" w:cs="Times New Roman"/>
      <w:b/>
      <w:caps/>
      <w:sz w:val="26"/>
      <w:szCs w:val="20"/>
      <w:lang w:eastAsia="en-AU"/>
    </w:rPr>
  </w:style>
  <w:style w:type="paragraph" w:styleId="TOC2">
    <w:name w:val="toc 2"/>
    <w:basedOn w:val="Normal"/>
    <w:next w:val="Normal"/>
    <w:autoRedefine/>
    <w:uiPriority w:val="39"/>
    <w:unhideWhenUsed/>
    <w:rsid w:val="00FD03D4"/>
    <w:pPr>
      <w:tabs>
        <w:tab w:val="right" w:leader="dot" w:pos="8302"/>
      </w:tabs>
      <w:spacing w:after="60"/>
      <w:ind w:left="221"/>
    </w:pPr>
  </w:style>
  <w:style w:type="paragraph" w:styleId="CommentSubject">
    <w:name w:val="annotation subject"/>
    <w:basedOn w:val="CommentText"/>
    <w:next w:val="CommentText"/>
    <w:link w:val="CommentSubjectChar"/>
    <w:uiPriority w:val="99"/>
    <w:semiHidden/>
    <w:unhideWhenUsed/>
    <w:rsid w:val="00C15A0E"/>
    <w:rPr>
      <w:b/>
      <w:bCs/>
    </w:rPr>
  </w:style>
  <w:style w:type="character" w:customStyle="1" w:styleId="CommentSubjectChar">
    <w:name w:val="Comment Subject Char"/>
    <w:basedOn w:val="CommentTextChar"/>
    <w:link w:val="CommentSubject"/>
    <w:uiPriority w:val="99"/>
    <w:semiHidden/>
    <w:rsid w:val="00C15A0E"/>
    <w:rPr>
      <w:b/>
      <w:bCs/>
      <w:sz w:val="20"/>
      <w:szCs w:val="20"/>
    </w:rPr>
  </w:style>
  <w:style w:type="character" w:customStyle="1" w:styleId="Heading2Char">
    <w:name w:val="Heading 2 Char"/>
    <w:basedOn w:val="DefaultParagraphFont"/>
    <w:link w:val="Heading2"/>
    <w:uiPriority w:val="9"/>
    <w:rsid w:val="009C670D"/>
    <w:rPr>
      <w:rFonts w:ascii="Times New Roman" w:eastAsia="Times New Roman" w:hAnsi="Times New Roman" w:cs="Times New Roman"/>
      <w:b/>
      <w:sz w:val="24"/>
      <w:szCs w:val="20"/>
      <w:lang w:eastAsia="en-AU"/>
    </w:rPr>
  </w:style>
  <w:style w:type="table" w:customStyle="1" w:styleId="TableGrid1">
    <w:name w:val="Table Grid1"/>
    <w:basedOn w:val="TableNormal"/>
    <w:next w:val="TableGrid"/>
    <w:uiPriority w:val="59"/>
    <w:rsid w:val="001F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6A8"/>
    <w:pPr>
      <w:tabs>
        <w:tab w:val="center" w:pos="4513"/>
        <w:tab w:val="right" w:pos="9026"/>
      </w:tabs>
    </w:pPr>
  </w:style>
  <w:style w:type="character" w:customStyle="1" w:styleId="HeaderChar">
    <w:name w:val="Header Char"/>
    <w:basedOn w:val="DefaultParagraphFont"/>
    <w:link w:val="Header"/>
    <w:uiPriority w:val="99"/>
    <w:rsid w:val="001F46A8"/>
  </w:style>
  <w:style w:type="character" w:customStyle="1" w:styleId="Heading3Char">
    <w:name w:val="Heading 3 Char"/>
    <w:basedOn w:val="DefaultParagraphFont"/>
    <w:link w:val="Heading3"/>
    <w:uiPriority w:val="9"/>
    <w:rsid w:val="007A4CBD"/>
    <w:rPr>
      <w:rFonts w:ascii="Times New Roman" w:eastAsia="Times New Roman" w:hAnsi="Times New Roman" w:cs="Times New Roman"/>
      <w:b/>
      <w:i/>
      <w:sz w:val="24"/>
      <w:szCs w:val="20"/>
      <w:lang w:val="en-GB" w:eastAsia="en-AU"/>
    </w:rPr>
  </w:style>
  <w:style w:type="table" w:customStyle="1" w:styleId="TableGrid3">
    <w:name w:val="Table Grid3"/>
    <w:basedOn w:val="TableNormal"/>
    <w:next w:val="TableGrid"/>
    <w:uiPriority w:val="59"/>
    <w:rsid w:val="0079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A5AF3"/>
    <w:rPr>
      <w:rFonts w:ascii="Times New Roman" w:eastAsia="Times New Roman" w:hAnsi="Times New Roman" w:cs="Times New Roman"/>
      <w:i/>
      <w:sz w:val="24"/>
      <w:szCs w:val="20"/>
      <w:lang w:val="en-GB" w:eastAsia="en-AU"/>
    </w:rPr>
  </w:style>
  <w:style w:type="paragraph" w:customStyle="1" w:styleId="dotpoint">
    <w:name w:val="dot point"/>
    <w:basedOn w:val="Normal"/>
    <w:rsid w:val="004360B9"/>
    <w:pPr>
      <w:numPr>
        <w:numId w:val="3"/>
      </w:numPr>
      <w:spacing w:after="140"/>
    </w:pPr>
    <w:rPr>
      <w:rFonts w:eastAsia="Times New Roman" w:cs="Times New Roman"/>
      <w:szCs w:val="20"/>
      <w:lang w:eastAsia="en-AU"/>
    </w:rPr>
  </w:style>
  <w:style w:type="paragraph" w:customStyle="1" w:styleId="CharCharCharCharChar1">
    <w:name w:val="Char Char Char Char Char1"/>
    <w:basedOn w:val="Normal"/>
    <w:rsid w:val="007F28E0"/>
    <w:pPr>
      <w:spacing w:after="160" w:line="240" w:lineRule="exact"/>
    </w:pPr>
    <w:rPr>
      <w:rFonts w:ascii="Verdana" w:eastAsia="Times New Roman" w:hAnsi="Verdana" w:cs="Times New Roman"/>
      <w:sz w:val="20"/>
      <w:szCs w:val="20"/>
      <w:lang w:val="en-US"/>
    </w:rPr>
  </w:style>
  <w:style w:type="character" w:styleId="Hyperlink">
    <w:name w:val="Hyperlink"/>
    <w:basedOn w:val="DefaultParagraphFont"/>
    <w:uiPriority w:val="99"/>
    <w:unhideWhenUsed/>
    <w:rsid w:val="004E20D5"/>
    <w:rPr>
      <w:color w:val="0000FF" w:themeColor="hyperlink"/>
      <w:u w:val="single"/>
    </w:rPr>
  </w:style>
  <w:style w:type="paragraph" w:styleId="Revision">
    <w:name w:val="Revision"/>
    <w:hidden/>
    <w:uiPriority w:val="99"/>
    <w:semiHidden/>
    <w:rsid w:val="00946882"/>
    <w:pPr>
      <w:spacing w:after="0" w:line="240" w:lineRule="auto"/>
    </w:pPr>
  </w:style>
  <w:style w:type="paragraph" w:customStyle="1" w:styleId="Footnotes">
    <w:name w:val="Footnotes"/>
    <w:basedOn w:val="FootnoteText"/>
    <w:link w:val="FootnotesChar"/>
    <w:qFormat/>
    <w:rsid w:val="00723CE2"/>
    <w:rPr>
      <w:rFonts w:cs="Times New Roman"/>
      <w:sz w:val="16"/>
    </w:rPr>
  </w:style>
  <w:style w:type="character" w:customStyle="1" w:styleId="FootnotesChar">
    <w:name w:val="Footnotes Char"/>
    <w:basedOn w:val="FootnoteTextChar"/>
    <w:link w:val="Footnotes"/>
    <w:rsid w:val="00723CE2"/>
    <w:rPr>
      <w:rFonts w:ascii="Times New Roman" w:hAnsi="Times New Roman" w:cs="Times New Roman"/>
      <w:sz w:val="16"/>
      <w:szCs w:val="20"/>
    </w:rPr>
  </w:style>
  <w:style w:type="character" w:styleId="BookTitle">
    <w:name w:val="Book Title"/>
    <w:basedOn w:val="DefaultParagraphFont"/>
    <w:uiPriority w:val="33"/>
    <w:qFormat/>
    <w:rsid w:val="00DD0502"/>
    <w:rPr>
      <w:b/>
      <w:bCs/>
      <w:smallCaps/>
      <w:spacing w:val="5"/>
    </w:rPr>
  </w:style>
  <w:style w:type="character" w:customStyle="1" w:styleId="Heading5Char">
    <w:name w:val="Heading 5 Char"/>
    <w:basedOn w:val="DefaultParagraphFont"/>
    <w:link w:val="Heading5"/>
    <w:uiPriority w:val="9"/>
    <w:rsid w:val="001B79A9"/>
    <w:rPr>
      <w:rFonts w:asciiTheme="majorHAnsi" w:eastAsiaTheme="majorEastAsia" w:hAnsiTheme="majorHAnsi" w:cstheme="majorBidi"/>
      <w:color w:val="243F60" w:themeColor="accent1" w:themeShade="7F"/>
    </w:rPr>
  </w:style>
  <w:style w:type="paragraph" w:customStyle="1" w:styleId="Sectionheading">
    <w:name w:val="Section heading"/>
    <w:qFormat/>
    <w:rsid w:val="00BD3CA4"/>
    <w:pPr>
      <w:pBdr>
        <w:top w:val="single" w:sz="4" w:space="8" w:color="auto"/>
        <w:bottom w:val="single" w:sz="4" w:space="8" w:color="auto"/>
      </w:pBdr>
      <w:spacing w:after="0" w:line="240" w:lineRule="auto"/>
      <w:jc w:val="center"/>
    </w:pPr>
    <w:rPr>
      <w:rFonts w:ascii="Times New Roman" w:eastAsia="Times New Roman" w:hAnsi="Times New Roman" w:cs="Times New Roman"/>
      <w:sz w:val="60"/>
      <w:szCs w:val="20"/>
      <w:lang w:eastAsia="en-AU"/>
    </w:rPr>
  </w:style>
  <w:style w:type="paragraph" w:styleId="Title">
    <w:name w:val="Title"/>
    <w:basedOn w:val="Normal"/>
    <w:next w:val="Normal"/>
    <w:link w:val="TitleChar"/>
    <w:uiPriority w:val="10"/>
    <w:qFormat/>
    <w:rsid w:val="00485C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5C74"/>
    <w:rPr>
      <w:rFonts w:asciiTheme="majorHAnsi" w:eastAsiaTheme="majorEastAsia" w:hAnsiTheme="majorHAnsi" w:cstheme="majorBidi"/>
      <w:color w:val="17365D" w:themeColor="text2" w:themeShade="BF"/>
      <w:spacing w:val="5"/>
      <w:kern w:val="28"/>
      <w:sz w:val="52"/>
      <w:szCs w:val="52"/>
    </w:rPr>
  </w:style>
  <w:style w:type="paragraph" w:customStyle="1" w:styleId="Exampletext">
    <w:name w:val="Example text"/>
    <w:basedOn w:val="Normal"/>
    <w:qFormat/>
    <w:rsid w:val="0043742C"/>
    <w:pPr>
      <w:pBdr>
        <w:top w:val="single" w:sz="4" w:space="10" w:color="auto"/>
        <w:left w:val="single" w:sz="4" w:space="10" w:color="auto"/>
        <w:bottom w:val="single" w:sz="4" w:space="10" w:color="auto"/>
        <w:right w:val="single" w:sz="4" w:space="10" w:color="auto"/>
      </w:pBdr>
    </w:pPr>
    <w:rPr>
      <w:rFonts w:eastAsia="Times New Roman" w:cs="Times New Roman"/>
      <w:sz w:val="20"/>
      <w:szCs w:val="20"/>
      <w:lang w:eastAsia="en-AU"/>
    </w:rPr>
  </w:style>
  <w:style w:type="paragraph" w:customStyle="1" w:styleId="Exampleheading1">
    <w:name w:val="Example heading 1"/>
    <w:basedOn w:val="Exampletext"/>
    <w:qFormat/>
    <w:rsid w:val="00CA6989"/>
    <w:rPr>
      <w:b/>
    </w:rPr>
  </w:style>
  <w:style w:type="paragraph" w:customStyle="1" w:styleId="Exampleheading2">
    <w:name w:val="Example heading 2"/>
    <w:basedOn w:val="Exampletext"/>
    <w:qFormat/>
    <w:rsid w:val="00CA6989"/>
    <w:rPr>
      <w:b/>
      <w:i/>
    </w:rPr>
  </w:style>
  <w:style w:type="paragraph" w:customStyle="1" w:styleId="Examplebullet1">
    <w:name w:val="Example bullet 1"/>
    <w:basedOn w:val="Exampletext"/>
    <w:qFormat/>
    <w:rsid w:val="00CA6989"/>
    <w:pPr>
      <w:numPr>
        <w:numId w:val="4"/>
      </w:numPr>
      <w:spacing w:after="100"/>
      <w:ind w:left="284" w:hanging="284"/>
    </w:pPr>
  </w:style>
  <w:style w:type="paragraph" w:customStyle="1" w:styleId="Examplebullet1last">
    <w:name w:val="Example bullet 1 last"/>
    <w:basedOn w:val="Examplebullet1"/>
    <w:qFormat/>
    <w:rsid w:val="00CA6989"/>
  </w:style>
  <w:style w:type="paragraph" w:customStyle="1" w:styleId="dotpoint2">
    <w:name w:val="dot point 2"/>
    <w:basedOn w:val="Normal"/>
    <w:qFormat/>
    <w:rsid w:val="00231391"/>
    <w:pPr>
      <w:numPr>
        <w:ilvl w:val="1"/>
        <w:numId w:val="5"/>
      </w:numPr>
      <w:spacing w:after="140"/>
      <w:ind w:left="1134" w:hanging="567"/>
    </w:pPr>
    <w:rPr>
      <w:rFonts w:eastAsia="Times New Roman" w:cs="Times New Roman"/>
      <w:szCs w:val="20"/>
      <w:lang w:eastAsia="en-AU"/>
    </w:rPr>
  </w:style>
  <w:style w:type="paragraph" w:styleId="TOC1">
    <w:name w:val="toc 1"/>
    <w:basedOn w:val="Normal"/>
    <w:next w:val="Normal"/>
    <w:autoRedefine/>
    <w:uiPriority w:val="39"/>
    <w:unhideWhenUsed/>
    <w:rsid w:val="00FD03D4"/>
    <w:pPr>
      <w:tabs>
        <w:tab w:val="right" w:leader="dot" w:pos="8302"/>
      </w:tabs>
      <w:spacing w:before="240" w:after="120"/>
    </w:pPr>
    <w:rPr>
      <w:b/>
      <w:sz w:val="28"/>
    </w:rPr>
  </w:style>
  <w:style w:type="character" w:styleId="Emphasis">
    <w:name w:val="Emphasis"/>
    <w:basedOn w:val="DefaultParagraphFont"/>
    <w:uiPriority w:val="20"/>
    <w:qFormat/>
    <w:rsid w:val="009F07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AF3"/>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800C55"/>
    <w:pPr>
      <w:keepNext/>
      <w:pBdr>
        <w:bottom w:val="single" w:sz="4" w:space="6" w:color="auto"/>
      </w:pBdr>
      <w:spacing w:before="360" w:after="360"/>
      <w:outlineLvl w:val="0"/>
    </w:pPr>
    <w:rPr>
      <w:rFonts w:eastAsia="Times New Roman" w:cs="Times New Roman"/>
      <w:b/>
      <w:caps/>
      <w:sz w:val="26"/>
      <w:szCs w:val="20"/>
      <w:lang w:eastAsia="en-AU"/>
    </w:rPr>
  </w:style>
  <w:style w:type="paragraph" w:styleId="Heading2">
    <w:name w:val="heading 2"/>
    <w:basedOn w:val="Normal"/>
    <w:next w:val="Normal"/>
    <w:link w:val="Heading2Char"/>
    <w:uiPriority w:val="9"/>
    <w:unhideWhenUsed/>
    <w:qFormat/>
    <w:rsid w:val="009C670D"/>
    <w:pPr>
      <w:keepNext/>
      <w:outlineLvl w:val="1"/>
    </w:pPr>
    <w:rPr>
      <w:rFonts w:eastAsia="Times New Roman" w:cs="Times New Roman"/>
      <w:b/>
      <w:szCs w:val="20"/>
      <w:lang w:eastAsia="en-AU"/>
    </w:rPr>
  </w:style>
  <w:style w:type="paragraph" w:styleId="Heading3">
    <w:name w:val="heading 3"/>
    <w:basedOn w:val="Normal"/>
    <w:next w:val="Normal"/>
    <w:link w:val="Heading3Char"/>
    <w:uiPriority w:val="9"/>
    <w:unhideWhenUsed/>
    <w:qFormat/>
    <w:rsid w:val="007A4CBD"/>
    <w:pPr>
      <w:outlineLvl w:val="2"/>
    </w:pPr>
    <w:rPr>
      <w:rFonts w:eastAsia="Times New Roman" w:cs="Times New Roman"/>
      <w:b/>
      <w:i/>
      <w:szCs w:val="20"/>
      <w:lang w:val="en-GB" w:eastAsia="en-AU"/>
    </w:rPr>
  </w:style>
  <w:style w:type="paragraph" w:styleId="Heading4">
    <w:name w:val="heading 4"/>
    <w:basedOn w:val="Normal"/>
    <w:next w:val="Normal"/>
    <w:link w:val="Heading4Char"/>
    <w:uiPriority w:val="9"/>
    <w:unhideWhenUsed/>
    <w:qFormat/>
    <w:rsid w:val="00EA5AF3"/>
    <w:pPr>
      <w:outlineLvl w:val="3"/>
    </w:pPr>
    <w:rPr>
      <w:rFonts w:eastAsia="Times New Roman" w:cs="Times New Roman"/>
      <w:i/>
      <w:szCs w:val="20"/>
      <w:lang w:val="en-GB" w:eastAsia="en-AU"/>
    </w:rPr>
  </w:style>
  <w:style w:type="paragraph" w:styleId="Heading5">
    <w:name w:val="heading 5"/>
    <w:basedOn w:val="Normal"/>
    <w:next w:val="Normal"/>
    <w:link w:val="Heading5Char"/>
    <w:uiPriority w:val="9"/>
    <w:unhideWhenUsed/>
    <w:qFormat/>
    <w:rsid w:val="001B79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E2585"/>
    <w:rPr>
      <w:sz w:val="20"/>
      <w:szCs w:val="20"/>
    </w:rPr>
  </w:style>
  <w:style w:type="character" w:customStyle="1" w:styleId="CommentTextChar">
    <w:name w:val="Comment Text Char"/>
    <w:basedOn w:val="DefaultParagraphFont"/>
    <w:link w:val="CommentText"/>
    <w:uiPriority w:val="99"/>
    <w:rsid w:val="00CE2585"/>
    <w:rPr>
      <w:sz w:val="20"/>
      <w:szCs w:val="20"/>
    </w:rPr>
  </w:style>
  <w:style w:type="character" w:styleId="CommentReference">
    <w:name w:val="annotation reference"/>
    <w:basedOn w:val="DefaultParagraphFont"/>
    <w:uiPriority w:val="99"/>
    <w:semiHidden/>
    <w:rsid w:val="00CE2585"/>
    <w:rPr>
      <w:sz w:val="16"/>
    </w:rPr>
  </w:style>
  <w:style w:type="paragraph" w:styleId="ListParagraph">
    <w:name w:val="List Paragraph"/>
    <w:basedOn w:val="Normal"/>
    <w:uiPriority w:val="34"/>
    <w:qFormat/>
    <w:rsid w:val="000B36E9"/>
    <w:pPr>
      <w:numPr>
        <w:numId w:val="2"/>
      </w:numPr>
      <w:spacing w:after="60"/>
    </w:pPr>
    <w:rPr>
      <w:rFonts w:cs="Times New Roman"/>
      <w:szCs w:val="24"/>
      <w:lang w:eastAsia="en-AU"/>
    </w:rPr>
  </w:style>
  <w:style w:type="table" w:styleId="TableGrid">
    <w:name w:val="Table Grid"/>
    <w:basedOn w:val="TableNormal"/>
    <w:uiPriority w:val="59"/>
    <w:rsid w:val="00CE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2585"/>
    <w:rPr>
      <w:sz w:val="20"/>
      <w:szCs w:val="20"/>
    </w:rPr>
  </w:style>
  <w:style w:type="character" w:customStyle="1" w:styleId="FootnoteTextChar">
    <w:name w:val="Footnote Text Char"/>
    <w:basedOn w:val="DefaultParagraphFont"/>
    <w:link w:val="FootnoteText"/>
    <w:uiPriority w:val="99"/>
    <w:semiHidden/>
    <w:rsid w:val="00CE2585"/>
    <w:rPr>
      <w:sz w:val="20"/>
      <w:szCs w:val="20"/>
    </w:rPr>
  </w:style>
  <w:style w:type="character" w:styleId="FootnoteReference">
    <w:name w:val="footnote reference"/>
    <w:basedOn w:val="DefaultParagraphFont"/>
    <w:uiPriority w:val="99"/>
    <w:semiHidden/>
    <w:unhideWhenUsed/>
    <w:rsid w:val="00CE2585"/>
    <w:rPr>
      <w:vertAlign w:val="superscript"/>
    </w:rPr>
  </w:style>
  <w:style w:type="paragraph" w:styleId="BalloonText">
    <w:name w:val="Balloon Text"/>
    <w:basedOn w:val="Normal"/>
    <w:link w:val="BalloonTextChar"/>
    <w:uiPriority w:val="99"/>
    <w:semiHidden/>
    <w:unhideWhenUsed/>
    <w:rsid w:val="00CE2585"/>
    <w:rPr>
      <w:rFonts w:ascii="Tahoma" w:hAnsi="Tahoma" w:cs="Tahoma"/>
      <w:sz w:val="16"/>
      <w:szCs w:val="16"/>
    </w:rPr>
  </w:style>
  <w:style w:type="character" w:customStyle="1" w:styleId="BalloonTextChar">
    <w:name w:val="Balloon Text Char"/>
    <w:basedOn w:val="DefaultParagraphFont"/>
    <w:link w:val="BalloonText"/>
    <w:uiPriority w:val="99"/>
    <w:semiHidden/>
    <w:rsid w:val="00CE2585"/>
    <w:rPr>
      <w:rFonts w:ascii="Tahoma" w:hAnsi="Tahoma" w:cs="Tahoma"/>
      <w:sz w:val="16"/>
      <w:szCs w:val="16"/>
    </w:rPr>
  </w:style>
  <w:style w:type="paragraph" w:styleId="Footer">
    <w:name w:val="footer"/>
    <w:basedOn w:val="Normal"/>
    <w:link w:val="FooterChar"/>
    <w:uiPriority w:val="99"/>
    <w:unhideWhenUsed/>
    <w:rsid w:val="00CE2585"/>
    <w:pPr>
      <w:tabs>
        <w:tab w:val="center" w:pos="4513"/>
        <w:tab w:val="right" w:pos="9026"/>
      </w:tabs>
    </w:pPr>
  </w:style>
  <w:style w:type="character" w:customStyle="1" w:styleId="FooterChar">
    <w:name w:val="Footer Char"/>
    <w:basedOn w:val="DefaultParagraphFont"/>
    <w:link w:val="Footer"/>
    <w:uiPriority w:val="99"/>
    <w:rsid w:val="00CE2585"/>
  </w:style>
  <w:style w:type="character" w:styleId="PageNumber">
    <w:name w:val="page number"/>
    <w:basedOn w:val="DefaultParagraphFont"/>
    <w:rsid w:val="00CE2585"/>
    <w:rPr>
      <w:sz w:val="22"/>
    </w:rPr>
  </w:style>
  <w:style w:type="character" w:customStyle="1" w:styleId="Heading1Char">
    <w:name w:val="Heading 1 Char"/>
    <w:basedOn w:val="DefaultParagraphFont"/>
    <w:link w:val="Heading1"/>
    <w:uiPriority w:val="9"/>
    <w:rsid w:val="00800C55"/>
    <w:rPr>
      <w:rFonts w:ascii="Times New Roman" w:eastAsia="Times New Roman" w:hAnsi="Times New Roman" w:cs="Times New Roman"/>
      <w:b/>
      <w:caps/>
      <w:sz w:val="26"/>
      <w:szCs w:val="20"/>
      <w:lang w:eastAsia="en-AU"/>
    </w:rPr>
  </w:style>
  <w:style w:type="paragraph" w:styleId="TOC2">
    <w:name w:val="toc 2"/>
    <w:basedOn w:val="Normal"/>
    <w:next w:val="Normal"/>
    <w:autoRedefine/>
    <w:uiPriority w:val="39"/>
    <w:unhideWhenUsed/>
    <w:rsid w:val="00FD03D4"/>
    <w:pPr>
      <w:tabs>
        <w:tab w:val="right" w:leader="dot" w:pos="8302"/>
      </w:tabs>
      <w:spacing w:after="60"/>
      <w:ind w:left="221"/>
    </w:pPr>
  </w:style>
  <w:style w:type="paragraph" w:styleId="CommentSubject">
    <w:name w:val="annotation subject"/>
    <w:basedOn w:val="CommentText"/>
    <w:next w:val="CommentText"/>
    <w:link w:val="CommentSubjectChar"/>
    <w:uiPriority w:val="99"/>
    <w:semiHidden/>
    <w:unhideWhenUsed/>
    <w:rsid w:val="00C15A0E"/>
    <w:rPr>
      <w:b/>
      <w:bCs/>
    </w:rPr>
  </w:style>
  <w:style w:type="character" w:customStyle="1" w:styleId="CommentSubjectChar">
    <w:name w:val="Comment Subject Char"/>
    <w:basedOn w:val="CommentTextChar"/>
    <w:link w:val="CommentSubject"/>
    <w:uiPriority w:val="99"/>
    <w:semiHidden/>
    <w:rsid w:val="00C15A0E"/>
    <w:rPr>
      <w:b/>
      <w:bCs/>
      <w:sz w:val="20"/>
      <w:szCs w:val="20"/>
    </w:rPr>
  </w:style>
  <w:style w:type="character" w:customStyle="1" w:styleId="Heading2Char">
    <w:name w:val="Heading 2 Char"/>
    <w:basedOn w:val="DefaultParagraphFont"/>
    <w:link w:val="Heading2"/>
    <w:uiPriority w:val="9"/>
    <w:rsid w:val="009C670D"/>
    <w:rPr>
      <w:rFonts w:ascii="Times New Roman" w:eastAsia="Times New Roman" w:hAnsi="Times New Roman" w:cs="Times New Roman"/>
      <w:b/>
      <w:sz w:val="24"/>
      <w:szCs w:val="20"/>
      <w:lang w:eastAsia="en-AU"/>
    </w:rPr>
  </w:style>
  <w:style w:type="table" w:customStyle="1" w:styleId="TableGrid1">
    <w:name w:val="Table Grid1"/>
    <w:basedOn w:val="TableNormal"/>
    <w:next w:val="TableGrid"/>
    <w:uiPriority w:val="59"/>
    <w:rsid w:val="001F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6A8"/>
    <w:pPr>
      <w:tabs>
        <w:tab w:val="center" w:pos="4513"/>
        <w:tab w:val="right" w:pos="9026"/>
      </w:tabs>
    </w:pPr>
  </w:style>
  <w:style w:type="character" w:customStyle="1" w:styleId="HeaderChar">
    <w:name w:val="Header Char"/>
    <w:basedOn w:val="DefaultParagraphFont"/>
    <w:link w:val="Header"/>
    <w:uiPriority w:val="99"/>
    <w:rsid w:val="001F46A8"/>
  </w:style>
  <w:style w:type="character" w:customStyle="1" w:styleId="Heading3Char">
    <w:name w:val="Heading 3 Char"/>
    <w:basedOn w:val="DefaultParagraphFont"/>
    <w:link w:val="Heading3"/>
    <w:uiPriority w:val="9"/>
    <w:rsid w:val="007A4CBD"/>
    <w:rPr>
      <w:rFonts w:ascii="Times New Roman" w:eastAsia="Times New Roman" w:hAnsi="Times New Roman" w:cs="Times New Roman"/>
      <w:b/>
      <w:i/>
      <w:sz w:val="24"/>
      <w:szCs w:val="20"/>
      <w:lang w:val="en-GB" w:eastAsia="en-AU"/>
    </w:rPr>
  </w:style>
  <w:style w:type="table" w:customStyle="1" w:styleId="TableGrid3">
    <w:name w:val="Table Grid3"/>
    <w:basedOn w:val="TableNormal"/>
    <w:next w:val="TableGrid"/>
    <w:uiPriority w:val="59"/>
    <w:rsid w:val="00792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A5AF3"/>
    <w:rPr>
      <w:rFonts w:ascii="Times New Roman" w:eastAsia="Times New Roman" w:hAnsi="Times New Roman" w:cs="Times New Roman"/>
      <w:i/>
      <w:sz w:val="24"/>
      <w:szCs w:val="20"/>
      <w:lang w:val="en-GB" w:eastAsia="en-AU"/>
    </w:rPr>
  </w:style>
  <w:style w:type="paragraph" w:customStyle="1" w:styleId="dotpoint">
    <w:name w:val="dot point"/>
    <w:basedOn w:val="Normal"/>
    <w:rsid w:val="004360B9"/>
    <w:pPr>
      <w:numPr>
        <w:numId w:val="3"/>
      </w:numPr>
      <w:spacing w:after="140"/>
    </w:pPr>
    <w:rPr>
      <w:rFonts w:eastAsia="Times New Roman" w:cs="Times New Roman"/>
      <w:szCs w:val="20"/>
      <w:lang w:eastAsia="en-AU"/>
    </w:rPr>
  </w:style>
  <w:style w:type="paragraph" w:customStyle="1" w:styleId="CharCharCharCharChar1">
    <w:name w:val="Char Char Char Char Char1"/>
    <w:basedOn w:val="Normal"/>
    <w:rsid w:val="007F28E0"/>
    <w:pPr>
      <w:spacing w:after="160" w:line="240" w:lineRule="exact"/>
    </w:pPr>
    <w:rPr>
      <w:rFonts w:ascii="Verdana" w:eastAsia="Times New Roman" w:hAnsi="Verdana" w:cs="Times New Roman"/>
      <w:sz w:val="20"/>
      <w:szCs w:val="20"/>
      <w:lang w:val="en-US"/>
    </w:rPr>
  </w:style>
  <w:style w:type="character" w:styleId="Hyperlink">
    <w:name w:val="Hyperlink"/>
    <w:basedOn w:val="DefaultParagraphFont"/>
    <w:uiPriority w:val="99"/>
    <w:unhideWhenUsed/>
    <w:rsid w:val="004E20D5"/>
    <w:rPr>
      <w:color w:val="0000FF" w:themeColor="hyperlink"/>
      <w:u w:val="single"/>
    </w:rPr>
  </w:style>
  <w:style w:type="paragraph" w:styleId="Revision">
    <w:name w:val="Revision"/>
    <w:hidden/>
    <w:uiPriority w:val="99"/>
    <w:semiHidden/>
    <w:rsid w:val="00946882"/>
    <w:pPr>
      <w:spacing w:after="0" w:line="240" w:lineRule="auto"/>
    </w:pPr>
  </w:style>
  <w:style w:type="paragraph" w:customStyle="1" w:styleId="Footnotes">
    <w:name w:val="Footnotes"/>
    <w:basedOn w:val="FootnoteText"/>
    <w:link w:val="FootnotesChar"/>
    <w:qFormat/>
    <w:rsid w:val="00723CE2"/>
    <w:rPr>
      <w:rFonts w:cs="Times New Roman"/>
      <w:sz w:val="16"/>
    </w:rPr>
  </w:style>
  <w:style w:type="character" w:customStyle="1" w:styleId="FootnotesChar">
    <w:name w:val="Footnotes Char"/>
    <w:basedOn w:val="FootnoteTextChar"/>
    <w:link w:val="Footnotes"/>
    <w:rsid w:val="00723CE2"/>
    <w:rPr>
      <w:rFonts w:ascii="Times New Roman" w:hAnsi="Times New Roman" w:cs="Times New Roman"/>
      <w:sz w:val="16"/>
      <w:szCs w:val="20"/>
    </w:rPr>
  </w:style>
  <w:style w:type="character" w:styleId="BookTitle">
    <w:name w:val="Book Title"/>
    <w:basedOn w:val="DefaultParagraphFont"/>
    <w:uiPriority w:val="33"/>
    <w:qFormat/>
    <w:rsid w:val="00DD0502"/>
    <w:rPr>
      <w:b/>
      <w:bCs/>
      <w:smallCaps/>
      <w:spacing w:val="5"/>
    </w:rPr>
  </w:style>
  <w:style w:type="character" w:customStyle="1" w:styleId="Heading5Char">
    <w:name w:val="Heading 5 Char"/>
    <w:basedOn w:val="DefaultParagraphFont"/>
    <w:link w:val="Heading5"/>
    <w:uiPriority w:val="9"/>
    <w:rsid w:val="001B79A9"/>
    <w:rPr>
      <w:rFonts w:asciiTheme="majorHAnsi" w:eastAsiaTheme="majorEastAsia" w:hAnsiTheme="majorHAnsi" w:cstheme="majorBidi"/>
      <w:color w:val="243F60" w:themeColor="accent1" w:themeShade="7F"/>
    </w:rPr>
  </w:style>
  <w:style w:type="paragraph" w:customStyle="1" w:styleId="Sectionheading">
    <w:name w:val="Section heading"/>
    <w:qFormat/>
    <w:rsid w:val="00BD3CA4"/>
    <w:pPr>
      <w:pBdr>
        <w:top w:val="single" w:sz="4" w:space="8" w:color="auto"/>
        <w:bottom w:val="single" w:sz="4" w:space="8" w:color="auto"/>
      </w:pBdr>
      <w:spacing w:after="0" w:line="240" w:lineRule="auto"/>
      <w:jc w:val="center"/>
    </w:pPr>
    <w:rPr>
      <w:rFonts w:ascii="Times New Roman" w:eastAsia="Times New Roman" w:hAnsi="Times New Roman" w:cs="Times New Roman"/>
      <w:sz w:val="60"/>
      <w:szCs w:val="20"/>
      <w:lang w:eastAsia="en-AU"/>
    </w:rPr>
  </w:style>
  <w:style w:type="paragraph" w:styleId="Title">
    <w:name w:val="Title"/>
    <w:basedOn w:val="Normal"/>
    <w:next w:val="Normal"/>
    <w:link w:val="TitleChar"/>
    <w:uiPriority w:val="10"/>
    <w:qFormat/>
    <w:rsid w:val="00485C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5C74"/>
    <w:rPr>
      <w:rFonts w:asciiTheme="majorHAnsi" w:eastAsiaTheme="majorEastAsia" w:hAnsiTheme="majorHAnsi" w:cstheme="majorBidi"/>
      <w:color w:val="17365D" w:themeColor="text2" w:themeShade="BF"/>
      <w:spacing w:val="5"/>
      <w:kern w:val="28"/>
      <w:sz w:val="52"/>
      <w:szCs w:val="52"/>
    </w:rPr>
  </w:style>
  <w:style w:type="paragraph" w:customStyle="1" w:styleId="Exampletext">
    <w:name w:val="Example text"/>
    <w:basedOn w:val="Normal"/>
    <w:qFormat/>
    <w:rsid w:val="0043742C"/>
    <w:pPr>
      <w:pBdr>
        <w:top w:val="single" w:sz="4" w:space="10" w:color="auto"/>
        <w:left w:val="single" w:sz="4" w:space="10" w:color="auto"/>
        <w:bottom w:val="single" w:sz="4" w:space="10" w:color="auto"/>
        <w:right w:val="single" w:sz="4" w:space="10" w:color="auto"/>
      </w:pBdr>
    </w:pPr>
    <w:rPr>
      <w:rFonts w:eastAsia="Times New Roman" w:cs="Times New Roman"/>
      <w:sz w:val="20"/>
      <w:szCs w:val="20"/>
      <w:lang w:eastAsia="en-AU"/>
    </w:rPr>
  </w:style>
  <w:style w:type="paragraph" w:customStyle="1" w:styleId="Exampleheading1">
    <w:name w:val="Example heading 1"/>
    <w:basedOn w:val="Exampletext"/>
    <w:qFormat/>
    <w:rsid w:val="00CA6989"/>
    <w:rPr>
      <w:b/>
    </w:rPr>
  </w:style>
  <w:style w:type="paragraph" w:customStyle="1" w:styleId="Exampleheading2">
    <w:name w:val="Example heading 2"/>
    <w:basedOn w:val="Exampletext"/>
    <w:qFormat/>
    <w:rsid w:val="00CA6989"/>
    <w:rPr>
      <w:b/>
      <w:i/>
    </w:rPr>
  </w:style>
  <w:style w:type="paragraph" w:customStyle="1" w:styleId="Examplebullet1">
    <w:name w:val="Example bullet 1"/>
    <w:basedOn w:val="Exampletext"/>
    <w:qFormat/>
    <w:rsid w:val="00CA6989"/>
    <w:pPr>
      <w:numPr>
        <w:numId w:val="4"/>
      </w:numPr>
      <w:spacing w:after="100"/>
      <w:ind w:left="284" w:hanging="284"/>
    </w:pPr>
  </w:style>
  <w:style w:type="paragraph" w:customStyle="1" w:styleId="Examplebullet1last">
    <w:name w:val="Example bullet 1 last"/>
    <w:basedOn w:val="Examplebullet1"/>
    <w:qFormat/>
    <w:rsid w:val="00CA6989"/>
  </w:style>
  <w:style w:type="paragraph" w:customStyle="1" w:styleId="dotpoint2">
    <w:name w:val="dot point 2"/>
    <w:basedOn w:val="Normal"/>
    <w:qFormat/>
    <w:rsid w:val="00231391"/>
    <w:pPr>
      <w:numPr>
        <w:ilvl w:val="1"/>
        <w:numId w:val="5"/>
      </w:numPr>
      <w:spacing w:after="140"/>
      <w:ind w:left="1134" w:hanging="567"/>
    </w:pPr>
    <w:rPr>
      <w:rFonts w:eastAsia="Times New Roman" w:cs="Times New Roman"/>
      <w:szCs w:val="20"/>
      <w:lang w:eastAsia="en-AU"/>
    </w:rPr>
  </w:style>
  <w:style w:type="paragraph" w:styleId="TOC1">
    <w:name w:val="toc 1"/>
    <w:basedOn w:val="Normal"/>
    <w:next w:val="Normal"/>
    <w:autoRedefine/>
    <w:uiPriority w:val="39"/>
    <w:unhideWhenUsed/>
    <w:rsid w:val="00FD03D4"/>
    <w:pPr>
      <w:tabs>
        <w:tab w:val="right" w:leader="dot" w:pos="8302"/>
      </w:tabs>
      <w:spacing w:before="240" w:after="120"/>
    </w:pPr>
    <w:rPr>
      <w:b/>
      <w:sz w:val="28"/>
    </w:rPr>
  </w:style>
  <w:style w:type="character" w:styleId="Emphasis">
    <w:name w:val="Emphasis"/>
    <w:basedOn w:val="DefaultParagraphFont"/>
    <w:uiPriority w:val="20"/>
    <w:qFormat/>
    <w:rsid w:val="009F07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965588">
      <w:bodyDiv w:val="1"/>
      <w:marLeft w:val="0"/>
      <w:marRight w:val="0"/>
      <w:marTop w:val="0"/>
      <w:marBottom w:val="0"/>
      <w:divBdr>
        <w:top w:val="none" w:sz="0" w:space="0" w:color="auto"/>
        <w:left w:val="none" w:sz="0" w:space="0" w:color="auto"/>
        <w:bottom w:val="none" w:sz="0" w:space="0" w:color="auto"/>
        <w:right w:val="none" w:sz="0" w:space="0" w:color="auto"/>
      </w:divBdr>
    </w:div>
    <w:div w:id="13539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R+Dincentive@ird.govt.nz" TargetMode="External"/><Relationship Id="rId26" Type="http://schemas.openxmlformats.org/officeDocument/2006/relationships/package" Target="embeddings/Microsoft_Visio_Drawing4.vsdx"/><Relationship Id="rId3" Type="http://schemas.openxmlformats.org/officeDocument/2006/relationships/styles" Target="styles.xml"/><Relationship Id="rId21" Type="http://schemas.openxmlformats.org/officeDocument/2006/relationships/image" Target="media/image3.emf"/><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image" Target="media/image5.emf"/><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package" Target="embeddings/Microsoft_Visio_Drawing1.vsdx"/><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Microsoft_Visio_Drawing3.vsdx"/><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4.emf"/><Relationship Id="rId28" Type="http://schemas.openxmlformats.org/officeDocument/2006/relationships/package" Target="embeddings/Microsoft_Visio_Drawing5.vsdx"/><Relationship Id="rId10" Type="http://schemas.openxmlformats.org/officeDocument/2006/relationships/hyperlink" Target="http://taxpolicy.ird.govt.nz/publications/2018-commentary-rdtc-bill/overview" TargetMode="External"/><Relationship Id="rId19" Type="http://schemas.openxmlformats.org/officeDocument/2006/relationships/image" Target="media/image2.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package" Target="embeddings/Microsoft_Visio_Drawing2.vsdx"/><Relationship Id="rId27" Type="http://schemas.openxmlformats.org/officeDocument/2006/relationships/image" Target="media/image6.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DA705-B90C-4D00-B8A7-EDD2C5C2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117</Pages>
  <Words>25587</Words>
  <Characters>135359</Characters>
  <Application>Microsoft Office Word</Application>
  <DocSecurity>0</DocSecurity>
  <Lines>4229</Lines>
  <Paragraphs>1749</Paragraphs>
  <ScaleCrop>false</ScaleCrop>
  <HeadingPairs>
    <vt:vector size="2" baseType="variant">
      <vt:variant>
        <vt:lpstr>Title</vt:lpstr>
      </vt:variant>
      <vt:variant>
        <vt:i4>1</vt:i4>
      </vt:variant>
    </vt:vector>
  </HeadingPairs>
  <TitlesOfParts>
    <vt:vector size="1" baseType="lpstr">
      <vt:lpstr>Taxation (Research and Development Tax Credits) Bill - Commentary on the Bill (October 2018)</vt:lpstr>
    </vt:vector>
  </TitlesOfParts>
  <Company>Inland Revenue + Ministry of Business, Innovation and Employment</Company>
  <LinksUpToDate>false</LinksUpToDate>
  <CharactersWithSpaces>159197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(Research and Development Tax Credits) Bill - Commentary on the Bill (October 2018)</dc:title>
  <dc:creator/>
  <cp:lastModifiedBy>David Nind</cp:lastModifiedBy>
  <cp:revision>2</cp:revision>
  <dcterms:created xsi:type="dcterms:W3CDTF">2018-10-24T12:57:00Z</dcterms:created>
  <dcterms:modified xsi:type="dcterms:W3CDTF">2018-10-24T12:58:00Z</dcterms:modified>
</cp:coreProperties>
</file>