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D8" w:rsidRPr="00F64C06" w:rsidRDefault="00D15E66" w:rsidP="005A3CD8">
      <w:pPr>
        <w:autoSpaceDE w:val="0"/>
        <w:autoSpaceDN w:val="0"/>
        <w:adjustRightInd w:val="0"/>
        <w:jc w:val="left"/>
        <w:rPr>
          <w:szCs w:val="24"/>
        </w:rPr>
      </w:pPr>
      <w:bookmarkStart w:id="0" w:name="_GoBack"/>
      <w:bookmarkEnd w:id="0"/>
      <w:r>
        <w:rPr>
          <w:szCs w:val="24"/>
        </w:rPr>
        <w:t>31 March</w:t>
      </w:r>
      <w:r w:rsidR="00931BCF" w:rsidRPr="00E76A97">
        <w:rPr>
          <w:szCs w:val="24"/>
        </w:rPr>
        <w:t xml:space="preserve"> </w:t>
      </w:r>
      <w:r w:rsidR="003107A4" w:rsidRPr="00E76A97">
        <w:rPr>
          <w:szCs w:val="24"/>
        </w:rPr>
        <w:t>201</w:t>
      </w:r>
      <w:r w:rsidR="00E76A97" w:rsidRPr="00E76A97">
        <w:rPr>
          <w:szCs w:val="24"/>
        </w:rPr>
        <w:t>7</w:t>
      </w:r>
    </w:p>
    <w:p w:rsidR="005A3CD8" w:rsidRDefault="005A3CD8" w:rsidP="009118B0"/>
    <w:p w:rsidR="009118B0" w:rsidRPr="00330768" w:rsidRDefault="009118B0" w:rsidP="009118B0"/>
    <w:p w:rsidR="005A3CD8" w:rsidRPr="00F64C06" w:rsidRDefault="005A3CD8" w:rsidP="00D15E66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F64C06">
        <w:rPr>
          <w:i/>
          <w:iCs/>
          <w:sz w:val="28"/>
          <w:szCs w:val="28"/>
        </w:rPr>
        <w:t>A special report from</w:t>
      </w:r>
      <w:r w:rsidR="00D15E66">
        <w:rPr>
          <w:i/>
          <w:iCs/>
          <w:sz w:val="28"/>
          <w:szCs w:val="28"/>
        </w:rPr>
        <w:br/>
      </w:r>
      <w:r w:rsidRPr="00F64C06">
        <w:rPr>
          <w:sz w:val="28"/>
          <w:szCs w:val="28"/>
        </w:rPr>
        <w:t>Policy and Strategy, Inland Revenue</w:t>
      </w:r>
    </w:p>
    <w:p w:rsidR="005A3CD8" w:rsidRDefault="005A3CD8" w:rsidP="00330768"/>
    <w:p w:rsidR="003970A6" w:rsidRPr="00F64C06" w:rsidRDefault="003970A6" w:rsidP="00330768"/>
    <w:p w:rsidR="005A3CD8" w:rsidRDefault="005A3CD8" w:rsidP="00330768">
      <w:pPr>
        <w:rPr>
          <w:szCs w:val="24"/>
        </w:rPr>
      </w:pPr>
    </w:p>
    <w:p w:rsidR="005A3CD8" w:rsidRPr="00D15E66" w:rsidRDefault="000C0D3F" w:rsidP="00D15E66">
      <w:pPr>
        <w:pStyle w:val="Title"/>
      </w:pPr>
      <w:r w:rsidRPr="00D15E66">
        <w:t xml:space="preserve">GST </w:t>
      </w:r>
      <w:r w:rsidR="004F027A" w:rsidRPr="00D15E66">
        <w:t>and services connected with land</w:t>
      </w:r>
    </w:p>
    <w:p w:rsidR="005A3CD8" w:rsidRDefault="005A3CD8" w:rsidP="005A3CD8">
      <w:pPr>
        <w:rPr>
          <w:szCs w:val="24"/>
        </w:rPr>
      </w:pPr>
    </w:p>
    <w:p w:rsidR="000C0D3F" w:rsidRPr="000C0D3F" w:rsidRDefault="000C0D3F" w:rsidP="000C0D3F"/>
    <w:p w:rsidR="000C0D3F" w:rsidRPr="000C0D3F" w:rsidRDefault="000C0D3F" w:rsidP="000C0D3F">
      <w:pPr>
        <w:rPr>
          <w:szCs w:val="24"/>
        </w:rPr>
      </w:pPr>
      <w:r w:rsidRPr="000C0D3F">
        <w:rPr>
          <w:szCs w:val="24"/>
        </w:rPr>
        <w:t>This special report provides early information on changes to the Goods and Services Tax Act 1985, recently enacted in the Taxation (</w:t>
      </w:r>
      <w:r w:rsidR="003B6771">
        <w:rPr>
          <w:szCs w:val="24"/>
        </w:rPr>
        <w:t>Annual Rates for 2016</w:t>
      </w:r>
      <w:r w:rsidR="000A03F0">
        <w:rPr>
          <w:szCs w:val="24"/>
        </w:rPr>
        <w:t>–</w:t>
      </w:r>
      <w:r w:rsidR="003B6771">
        <w:rPr>
          <w:szCs w:val="24"/>
        </w:rPr>
        <w:t>17, Closely Held Companies</w:t>
      </w:r>
      <w:r w:rsidRPr="000C0D3F">
        <w:rPr>
          <w:szCs w:val="24"/>
        </w:rPr>
        <w:t>,</w:t>
      </w:r>
      <w:r w:rsidR="003B6771">
        <w:rPr>
          <w:szCs w:val="24"/>
        </w:rPr>
        <w:t xml:space="preserve"> and Remedial Matters)</w:t>
      </w:r>
      <w:r w:rsidRPr="000C0D3F">
        <w:rPr>
          <w:szCs w:val="24"/>
        </w:rPr>
        <w:t xml:space="preserve"> </w:t>
      </w:r>
      <w:r w:rsidR="003B6771" w:rsidRPr="00E76A97">
        <w:rPr>
          <w:szCs w:val="24"/>
        </w:rPr>
        <w:t xml:space="preserve">Act </w:t>
      </w:r>
      <w:r w:rsidR="00E76A97" w:rsidRPr="00E76A97">
        <w:rPr>
          <w:szCs w:val="24"/>
        </w:rPr>
        <w:t>2017</w:t>
      </w:r>
      <w:r w:rsidRPr="00E76A97">
        <w:rPr>
          <w:szCs w:val="24"/>
        </w:rPr>
        <w:t>.</w:t>
      </w:r>
    </w:p>
    <w:p w:rsidR="000C0D3F" w:rsidRPr="000C0D3F" w:rsidRDefault="000C0D3F" w:rsidP="000C0D3F">
      <w:pPr>
        <w:rPr>
          <w:szCs w:val="24"/>
        </w:rPr>
      </w:pPr>
    </w:p>
    <w:p w:rsidR="000C0D3F" w:rsidRPr="000C0D3F" w:rsidRDefault="000C0D3F" w:rsidP="000C0D3F">
      <w:pPr>
        <w:rPr>
          <w:szCs w:val="24"/>
        </w:rPr>
      </w:pPr>
      <w:r w:rsidRPr="00830AED">
        <w:rPr>
          <w:szCs w:val="24"/>
        </w:rPr>
        <w:t xml:space="preserve">The changes apply </w:t>
      </w:r>
      <w:r w:rsidR="00DE3D5D" w:rsidRPr="00830AED">
        <w:rPr>
          <w:szCs w:val="24"/>
        </w:rPr>
        <w:t>goods and services tax (GST)</w:t>
      </w:r>
      <w:r w:rsidRPr="00830AED">
        <w:rPr>
          <w:szCs w:val="24"/>
        </w:rPr>
        <w:t xml:space="preserve"> to </w:t>
      </w:r>
      <w:r w:rsidR="003144FE" w:rsidRPr="00830AED">
        <w:rPr>
          <w:szCs w:val="24"/>
        </w:rPr>
        <w:t>a wider range of services</w:t>
      </w:r>
      <w:r w:rsidR="006E5BB9">
        <w:rPr>
          <w:szCs w:val="24"/>
        </w:rPr>
        <w:t>, particularly professional services, supplied to non-residents who are outside of New Zealand</w:t>
      </w:r>
      <w:r w:rsidR="003E0415">
        <w:rPr>
          <w:szCs w:val="24"/>
        </w:rPr>
        <w:t xml:space="preserve"> </w:t>
      </w:r>
      <w:r w:rsidR="006E5BB9">
        <w:rPr>
          <w:szCs w:val="24"/>
        </w:rPr>
        <w:t xml:space="preserve">and </w:t>
      </w:r>
      <w:r w:rsidR="003E0415">
        <w:rPr>
          <w:szCs w:val="24"/>
        </w:rPr>
        <w:t>which</w:t>
      </w:r>
      <w:r w:rsidR="003144FE" w:rsidRPr="00830AED">
        <w:rPr>
          <w:szCs w:val="24"/>
        </w:rPr>
        <w:t xml:space="preserve"> closely relate to land in New Zealand</w:t>
      </w:r>
      <w:r w:rsidRPr="00830AED">
        <w:rPr>
          <w:szCs w:val="24"/>
        </w:rPr>
        <w:t xml:space="preserve">.  The new rules will </w:t>
      </w:r>
      <w:r w:rsidR="003144FE" w:rsidRPr="00830AED">
        <w:rPr>
          <w:szCs w:val="24"/>
        </w:rPr>
        <w:t>similarly ensure that, when these services are provided in relati</w:t>
      </w:r>
      <w:r w:rsidR="008964A9" w:rsidRPr="00830AED">
        <w:rPr>
          <w:szCs w:val="24"/>
        </w:rPr>
        <w:t>on to land outside New Zealand</w:t>
      </w:r>
      <w:r w:rsidR="00F67D99">
        <w:rPr>
          <w:szCs w:val="24"/>
        </w:rPr>
        <w:t xml:space="preserve"> (whether to residents or to non-residents)</w:t>
      </w:r>
      <w:r w:rsidR="008964A9" w:rsidRPr="00830AED">
        <w:rPr>
          <w:szCs w:val="24"/>
        </w:rPr>
        <w:t>, they are not charged with GST</w:t>
      </w:r>
      <w:r w:rsidRPr="00830AED">
        <w:rPr>
          <w:szCs w:val="24"/>
        </w:rPr>
        <w:t>.</w:t>
      </w:r>
    </w:p>
    <w:p w:rsidR="000C0D3F" w:rsidRPr="000C0D3F" w:rsidRDefault="000C0D3F" w:rsidP="000C0D3F">
      <w:pPr>
        <w:rPr>
          <w:szCs w:val="20"/>
        </w:rPr>
      </w:pPr>
    </w:p>
    <w:p w:rsidR="000C0D3F" w:rsidRDefault="000C0D3F" w:rsidP="000C0D3F">
      <w:pPr>
        <w:rPr>
          <w:szCs w:val="24"/>
        </w:rPr>
      </w:pPr>
      <w:r w:rsidRPr="000C0D3F">
        <w:rPr>
          <w:szCs w:val="24"/>
        </w:rPr>
        <w:t xml:space="preserve">Information in this special report precedes full coverage of the new legislation, which will be published in the </w:t>
      </w:r>
      <w:r w:rsidR="00C808AD">
        <w:rPr>
          <w:szCs w:val="24"/>
        </w:rPr>
        <w:t>June</w:t>
      </w:r>
      <w:r w:rsidRPr="000C0D3F">
        <w:rPr>
          <w:szCs w:val="24"/>
        </w:rPr>
        <w:t xml:space="preserve"> edition of the </w:t>
      </w:r>
      <w:r w:rsidRPr="000C0D3F">
        <w:rPr>
          <w:i/>
          <w:szCs w:val="24"/>
        </w:rPr>
        <w:t>Tax Information Bulletin</w:t>
      </w:r>
      <w:r w:rsidRPr="000C0D3F">
        <w:rPr>
          <w:szCs w:val="24"/>
        </w:rPr>
        <w:t>.</w:t>
      </w:r>
    </w:p>
    <w:p w:rsidR="00D51D31" w:rsidRDefault="00D51D31" w:rsidP="000C0D3F">
      <w:pPr>
        <w:rPr>
          <w:szCs w:val="24"/>
        </w:rPr>
      </w:pPr>
    </w:p>
    <w:p w:rsidR="00D15E66" w:rsidRDefault="00D15E66" w:rsidP="000C0D3F">
      <w:pPr>
        <w:rPr>
          <w:szCs w:val="24"/>
        </w:rPr>
      </w:pPr>
    </w:p>
    <w:p w:rsidR="00D51D31" w:rsidRDefault="00D51D31" w:rsidP="006D0922">
      <w:pPr>
        <w:pStyle w:val="Heading1"/>
      </w:pPr>
      <w:r w:rsidRPr="00D51D31">
        <w:t>Application date</w:t>
      </w:r>
    </w:p>
    <w:p w:rsidR="006D0922" w:rsidRPr="006D0922" w:rsidRDefault="006D0922" w:rsidP="006D0922"/>
    <w:p w:rsidR="00D51D31" w:rsidRPr="000C0D3F" w:rsidRDefault="00D51D31" w:rsidP="00D51D31">
      <w:pPr>
        <w:rPr>
          <w:rFonts w:ascii="Verdana" w:hAnsi="Verdana"/>
          <w:color w:val="1F497D"/>
          <w:sz w:val="20"/>
          <w:szCs w:val="20"/>
        </w:rPr>
      </w:pPr>
      <w:r w:rsidRPr="000C0D3F">
        <w:rPr>
          <w:szCs w:val="20"/>
        </w:rPr>
        <w:t xml:space="preserve">The new rules </w:t>
      </w:r>
      <w:r w:rsidR="00A63899" w:rsidRPr="00C808AD">
        <w:rPr>
          <w:szCs w:val="20"/>
        </w:rPr>
        <w:t>came</w:t>
      </w:r>
      <w:r w:rsidR="00A63899">
        <w:rPr>
          <w:szCs w:val="20"/>
        </w:rPr>
        <w:t xml:space="preserve"> into force on</w:t>
      </w:r>
      <w:r w:rsidRPr="000C0D3F">
        <w:rPr>
          <w:szCs w:val="20"/>
        </w:rPr>
        <w:t xml:space="preserve"> </w:t>
      </w:r>
      <w:r>
        <w:rPr>
          <w:szCs w:val="24"/>
        </w:rPr>
        <w:t>1 April 2017.</w:t>
      </w:r>
    </w:p>
    <w:p w:rsidR="00D51D31" w:rsidRPr="000C0D3F" w:rsidRDefault="00D51D31" w:rsidP="000C0D3F"/>
    <w:p w:rsidR="000C0D3F" w:rsidRPr="000C0D3F" w:rsidRDefault="000C0D3F" w:rsidP="000C0D3F"/>
    <w:p w:rsidR="000C0D3F" w:rsidRPr="000C0D3F" w:rsidRDefault="000C0D3F" w:rsidP="000C0D3F">
      <w:pPr>
        <w:pStyle w:val="Heading1"/>
      </w:pPr>
      <w:r w:rsidRPr="000C0D3F">
        <w:t>Key features</w:t>
      </w:r>
    </w:p>
    <w:p w:rsidR="000C0D3F" w:rsidRPr="000C0D3F" w:rsidRDefault="000C0D3F" w:rsidP="000C0D3F"/>
    <w:p w:rsidR="000C0D3F" w:rsidRPr="000C0D3F" w:rsidRDefault="000C0D3F" w:rsidP="000C0D3F">
      <w:pPr>
        <w:pStyle w:val="Heading2"/>
      </w:pPr>
      <w:r w:rsidRPr="000C0D3F">
        <w:t>Scope of the new GST rules</w:t>
      </w:r>
      <w:r w:rsidR="00EB4315">
        <w:t xml:space="preserve"> for services connected with land</w:t>
      </w:r>
    </w:p>
    <w:p w:rsidR="000C0D3F" w:rsidRPr="000C0D3F" w:rsidRDefault="000C0D3F" w:rsidP="000C0D3F"/>
    <w:p w:rsidR="000C0D3F" w:rsidRPr="000C0D3F" w:rsidRDefault="000C0D3F" w:rsidP="000C0D3F">
      <w:pPr>
        <w:rPr>
          <w:szCs w:val="20"/>
        </w:rPr>
      </w:pPr>
      <w:r w:rsidRPr="000C0D3F">
        <w:rPr>
          <w:szCs w:val="20"/>
        </w:rPr>
        <w:t xml:space="preserve">From </w:t>
      </w:r>
      <w:r w:rsidR="00B175FF">
        <w:rPr>
          <w:szCs w:val="24"/>
        </w:rPr>
        <w:t>1 April 2017</w:t>
      </w:r>
      <w:r w:rsidRPr="000C0D3F">
        <w:rPr>
          <w:szCs w:val="20"/>
        </w:rPr>
        <w:t xml:space="preserve">, GST will apply to </w:t>
      </w:r>
      <w:r w:rsidR="00183883">
        <w:rPr>
          <w:szCs w:val="20"/>
        </w:rPr>
        <w:t xml:space="preserve">an expanded range of services, particularly professional services, which </w:t>
      </w:r>
      <w:r w:rsidR="002467A2">
        <w:rPr>
          <w:szCs w:val="20"/>
        </w:rPr>
        <w:t>are closely related</w:t>
      </w:r>
      <w:r w:rsidR="00183883">
        <w:rPr>
          <w:szCs w:val="20"/>
        </w:rPr>
        <w:t xml:space="preserve"> to land in New Zealand</w:t>
      </w:r>
      <w:r w:rsidRPr="000C0D3F">
        <w:rPr>
          <w:szCs w:val="20"/>
        </w:rPr>
        <w:t xml:space="preserve">.  </w:t>
      </w:r>
      <w:r w:rsidR="005C33FA">
        <w:rPr>
          <w:szCs w:val="20"/>
        </w:rPr>
        <w:t>The</w:t>
      </w:r>
      <w:r w:rsidR="00271453">
        <w:rPr>
          <w:szCs w:val="20"/>
        </w:rPr>
        <w:t>se</w:t>
      </w:r>
      <w:r w:rsidR="005C33FA">
        <w:rPr>
          <w:szCs w:val="20"/>
        </w:rPr>
        <w:t xml:space="preserve"> services will be zero-rated where they relate to land outside New Zealand</w:t>
      </w:r>
      <w:r w:rsidRPr="000C0D3F">
        <w:rPr>
          <w:szCs w:val="20"/>
        </w:rPr>
        <w:t>.</w:t>
      </w:r>
    </w:p>
    <w:p w:rsidR="000C0D3F" w:rsidRPr="000C0D3F" w:rsidRDefault="000C0D3F" w:rsidP="000C0D3F">
      <w:pPr>
        <w:rPr>
          <w:szCs w:val="20"/>
        </w:rPr>
      </w:pPr>
    </w:p>
    <w:p w:rsidR="00365FDB" w:rsidRDefault="00080847" w:rsidP="000C0D3F">
      <w:pPr>
        <w:rPr>
          <w:szCs w:val="20"/>
        </w:rPr>
      </w:pPr>
      <w:r>
        <w:rPr>
          <w:szCs w:val="20"/>
        </w:rPr>
        <w:t>The new rules supplement the existing “directly in connection” with land test by adding an a</w:t>
      </w:r>
      <w:r w:rsidR="006C34E0">
        <w:rPr>
          <w:szCs w:val="20"/>
        </w:rPr>
        <w:t>dditional</w:t>
      </w:r>
      <w:r>
        <w:rPr>
          <w:szCs w:val="20"/>
        </w:rPr>
        <w:t xml:space="preserve"> test.</w:t>
      </w:r>
    </w:p>
    <w:p w:rsidR="00365FDB" w:rsidRDefault="00365FDB" w:rsidP="000C0D3F">
      <w:pPr>
        <w:rPr>
          <w:szCs w:val="20"/>
        </w:rPr>
      </w:pPr>
    </w:p>
    <w:p w:rsidR="00365FDB" w:rsidRPr="00365FDB" w:rsidRDefault="00365FDB" w:rsidP="00AC0099">
      <w:pPr>
        <w:pStyle w:val="Heading3"/>
      </w:pPr>
      <w:r>
        <w:t>Services relating to land in New Zealand</w:t>
      </w:r>
    </w:p>
    <w:p w:rsidR="00365FDB" w:rsidRDefault="00365FDB" w:rsidP="000C0D3F">
      <w:pPr>
        <w:rPr>
          <w:szCs w:val="20"/>
        </w:rPr>
      </w:pPr>
    </w:p>
    <w:p w:rsidR="00FD5A8F" w:rsidRDefault="00927523" w:rsidP="000C0D3F">
      <w:pPr>
        <w:rPr>
          <w:szCs w:val="20"/>
        </w:rPr>
      </w:pPr>
      <w:r>
        <w:rPr>
          <w:szCs w:val="20"/>
        </w:rPr>
        <w:t xml:space="preserve">Under the expanded rules, </w:t>
      </w:r>
      <w:r w:rsidR="00080847">
        <w:rPr>
          <w:szCs w:val="20"/>
        </w:rPr>
        <w:t xml:space="preserve">GST will apply to services </w:t>
      </w:r>
      <w:r w:rsidR="003E05CE">
        <w:rPr>
          <w:szCs w:val="20"/>
        </w:rPr>
        <w:t>that</w:t>
      </w:r>
      <w:r w:rsidR="00080847">
        <w:rPr>
          <w:szCs w:val="20"/>
        </w:rPr>
        <w:t xml:space="preserve"> are supplied in connection with land in New Zealand and which are </w:t>
      </w:r>
      <w:r w:rsidR="00B40F09">
        <w:rPr>
          <w:szCs w:val="20"/>
        </w:rPr>
        <w:t>“</w:t>
      </w:r>
      <w:r w:rsidR="00080847">
        <w:rPr>
          <w:szCs w:val="20"/>
        </w:rPr>
        <w:t xml:space="preserve">intended to enable or assist a change in the physical </w:t>
      </w:r>
      <w:r w:rsidR="00B40F09">
        <w:rPr>
          <w:szCs w:val="20"/>
        </w:rPr>
        <w:t>condition</w:t>
      </w:r>
      <w:r w:rsidR="00080847">
        <w:rPr>
          <w:szCs w:val="20"/>
        </w:rPr>
        <w:t>, or ownership or other legal status</w:t>
      </w:r>
      <w:r w:rsidR="00B40F09">
        <w:rPr>
          <w:szCs w:val="20"/>
        </w:rPr>
        <w:t>”</w:t>
      </w:r>
      <w:r w:rsidR="00080847">
        <w:rPr>
          <w:szCs w:val="20"/>
        </w:rPr>
        <w:t xml:space="preserve"> of the land</w:t>
      </w:r>
      <w:r w:rsidR="000C0D3F" w:rsidRPr="000C0D3F">
        <w:rPr>
          <w:szCs w:val="20"/>
        </w:rPr>
        <w:t>.</w:t>
      </w:r>
    </w:p>
    <w:p w:rsidR="001A0D9E" w:rsidRDefault="001A0D9E" w:rsidP="001A0D9E">
      <w:r>
        <w:br w:type="page"/>
      </w:r>
    </w:p>
    <w:p w:rsidR="00365FDB" w:rsidRDefault="00365FDB" w:rsidP="00AC0099">
      <w:pPr>
        <w:pStyle w:val="Heading3"/>
      </w:pPr>
      <w:r>
        <w:lastRenderedPageBreak/>
        <w:t>Services relating to land outside New Zealand</w:t>
      </w:r>
    </w:p>
    <w:p w:rsidR="00FD5A8F" w:rsidRDefault="00FD5A8F" w:rsidP="000C0D3F">
      <w:pPr>
        <w:rPr>
          <w:szCs w:val="20"/>
        </w:rPr>
      </w:pPr>
    </w:p>
    <w:p w:rsidR="000C0D3F" w:rsidRPr="009F21C8" w:rsidRDefault="00365FDB" w:rsidP="00E86E2C">
      <w:pPr>
        <w:rPr>
          <w:szCs w:val="20"/>
        </w:rPr>
      </w:pPr>
      <w:r>
        <w:rPr>
          <w:szCs w:val="20"/>
        </w:rPr>
        <w:t>Supplies of services that are directly in connection with land outside New Zealand are already zero-rated under the current GST legislation</w:t>
      </w:r>
      <w:r w:rsidR="00104EED">
        <w:rPr>
          <w:szCs w:val="20"/>
        </w:rPr>
        <w:t>.</w:t>
      </w:r>
      <w:r>
        <w:rPr>
          <w:szCs w:val="20"/>
        </w:rPr>
        <w:t xml:space="preserve">  The new test extends the zero-rating treatment to services supplied in connection with land outside New Zealand when they are intended to enable or assist a change in the physical condition, ownership or other legal status of the land.</w:t>
      </w:r>
    </w:p>
    <w:p w:rsidR="00365FDB" w:rsidRDefault="00365FDB" w:rsidP="00D15E66"/>
    <w:p w:rsidR="000C0D3F" w:rsidRDefault="006E5BF1" w:rsidP="006E5BF1">
      <w:pPr>
        <w:pStyle w:val="Heading2"/>
      </w:pPr>
      <w:r w:rsidRPr="006E5BF1">
        <w:t>Application of</w:t>
      </w:r>
      <w:r>
        <w:t xml:space="preserve"> the new test</w:t>
      </w:r>
    </w:p>
    <w:p w:rsidR="006E5BF1" w:rsidRDefault="006E5BF1" w:rsidP="006E5BF1"/>
    <w:p w:rsidR="00003978" w:rsidRDefault="00003978" w:rsidP="00D15E66">
      <w:r w:rsidRPr="00003978">
        <w:t xml:space="preserve">The requirement that the services be supplied in connection with land (as described </w:t>
      </w:r>
      <w:r w:rsidR="007C35FD">
        <w:t>in</w:t>
      </w:r>
      <w:r w:rsidRPr="00003978">
        <w:t xml:space="preserve"> the amendments) is intended to di</w:t>
      </w:r>
      <w:r w:rsidR="007C35FD">
        <w:t>fferentiate</w:t>
      </w:r>
      <w:r w:rsidRPr="00003978">
        <w:t xml:space="preserve"> between s</w:t>
      </w:r>
      <w:r w:rsidR="007C35FD">
        <w:t>ervices</w:t>
      </w:r>
      <w:r w:rsidRPr="00003978">
        <w:t xml:space="preserve"> that have a close connection with specific land (such as </w:t>
      </w:r>
      <w:r w:rsidR="007C35FD">
        <w:t xml:space="preserve">those </w:t>
      </w:r>
      <w:r w:rsidRPr="00003978">
        <w:t xml:space="preserve">relating to the purchase of a specific property) </w:t>
      </w:r>
      <w:r w:rsidR="006110FF">
        <w:t>that</w:t>
      </w:r>
      <w:r w:rsidRPr="00003978">
        <w:t xml:space="preserve"> can therefore be regarded as consumed in New Zealand, and </w:t>
      </w:r>
      <w:r w:rsidR="00BA42ED">
        <w:t>services</w:t>
      </w:r>
      <w:r w:rsidRPr="00003978">
        <w:t xml:space="preserve"> that relate to land more generally (such as seeking general advice on land law or the </w:t>
      </w:r>
      <w:r>
        <w:t>housing market in New Zealand).</w:t>
      </w:r>
    </w:p>
    <w:p w:rsidR="00003978" w:rsidRPr="00003978" w:rsidRDefault="00003978" w:rsidP="00D15E66"/>
    <w:p w:rsidR="00003978" w:rsidRDefault="00003978" w:rsidP="00D15E66">
      <w:r w:rsidRPr="00003978">
        <w:t xml:space="preserve">Under the </w:t>
      </w:r>
      <w:r w:rsidR="00BA42ED">
        <w:t>new</w:t>
      </w:r>
      <w:r w:rsidRPr="00003978">
        <w:t xml:space="preserve"> test, the </w:t>
      </w:r>
      <w:r w:rsidR="00C363E0">
        <w:t xml:space="preserve">relevant </w:t>
      </w:r>
      <w:r w:rsidRPr="00003978">
        <w:t xml:space="preserve">services must be intended to enable or assist a change in the physical condition, ownership or other legal status of the land or improvement. </w:t>
      </w:r>
      <w:r w:rsidR="00D15E66">
        <w:t xml:space="preserve"> </w:t>
      </w:r>
      <w:r w:rsidRPr="00003978">
        <w:t>The reference to “services intended to enable or assist a change in physical condition” ensures that services</w:t>
      </w:r>
      <w:r w:rsidR="00263221">
        <w:t xml:space="preserve"> </w:t>
      </w:r>
      <w:r w:rsidRPr="00003978">
        <w:t xml:space="preserve">that form an integral part of a process of physically changing the land, but do not </w:t>
      </w:r>
      <w:r>
        <w:t>do so themselves</w:t>
      </w:r>
      <w:r w:rsidR="00263221">
        <w:t xml:space="preserve"> (such as engineering or architectural services)</w:t>
      </w:r>
      <w:r>
        <w:t>, are</w:t>
      </w:r>
      <w:r w:rsidR="001F1502">
        <w:t xml:space="preserve"> </w:t>
      </w:r>
      <w:r>
        <w:t>captured.</w:t>
      </w:r>
    </w:p>
    <w:p w:rsidR="00003978" w:rsidRPr="00003978" w:rsidRDefault="00003978" w:rsidP="00D15E66"/>
    <w:p w:rsidR="006E5BF1" w:rsidRDefault="001F1502" w:rsidP="00003978">
      <w:pPr>
        <w:rPr>
          <w:szCs w:val="24"/>
        </w:rPr>
      </w:pPr>
      <w:r>
        <w:rPr>
          <w:szCs w:val="24"/>
        </w:rPr>
        <w:t>By adding to</w:t>
      </w:r>
      <w:r w:rsidR="00003978" w:rsidRPr="00003978">
        <w:rPr>
          <w:szCs w:val="24"/>
        </w:rPr>
        <w:t xml:space="preserve"> services </w:t>
      </w:r>
      <w:r>
        <w:rPr>
          <w:szCs w:val="24"/>
        </w:rPr>
        <w:t xml:space="preserve">connected with land services </w:t>
      </w:r>
      <w:r w:rsidR="00360A12">
        <w:rPr>
          <w:szCs w:val="24"/>
        </w:rPr>
        <w:t>which are “</w:t>
      </w:r>
      <w:r>
        <w:rPr>
          <w:szCs w:val="24"/>
        </w:rPr>
        <w:t>intended to</w:t>
      </w:r>
      <w:r w:rsidR="00360A12">
        <w:rPr>
          <w:szCs w:val="24"/>
        </w:rPr>
        <w:t xml:space="preserve"> </w:t>
      </w:r>
      <w:r w:rsidR="00003978" w:rsidRPr="00003978">
        <w:rPr>
          <w:szCs w:val="24"/>
        </w:rPr>
        <w:t>enable or assist a change in the… ownership or other legal status of the land”</w:t>
      </w:r>
      <w:r w:rsidR="00360A12">
        <w:rPr>
          <w:szCs w:val="24"/>
        </w:rPr>
        <w:t>,</w:t>
      </w:r>
      <w:r w:rsidR="00003978" w:rsidRPr="00003978">
        <w:rPr>
          <w:szCs w:val="24"/>
        </w:rPr>
        <w:t xml:space="preserve"> a variety of professional services </w:t>
      </w:r>
      <w:r w:rsidR="00360A12">
        <w:rPr>
          <w:szCs w:val="24"/>
        </w:rPr>
        <w:t>(</w:t>
      </w:r>
      <w:r w:rsidR="00003978" w:rsidRPr="00003978">
        <w:rPr>
          <w:szCs w:val="24"/>
        </w:rPr>
        <w:t>such as legal or real estate agents’ services as part of a land transaction</w:t>
      </w:r>
      <w:r w:rsidR="00360A12">
        <w:rPr>
          <w:szCs w:val="24"/>
        </w:rPr>
        <w:t>) are expected to be included because</w:t>
      </w:r>
      <w:r w:rsidR="00AB6890">
        <w:rPr>
          <w:szCs w:val="24"/>
        </w:rPr>
        <w:t xml:space="preserve"> the intended outcome is to change the legal nature of the land</w:t>
      </w:r>
      <w:r w:rsidR="00360A12">
        <w:rPr>
          <w:szCs w:val="24"/>
        </w:rPr>
        <w:t>,</w:t>
      </w:r>
      <w:r w:rsidR="00AB6890">
        <w:rPr>
          <w:szCs w:val="24"/>
        </w:rPr>
        <w:t xml:space="preserve"> </w:t>
      </w:r>
      <w:r w:rsidR="00360A12">
        <w:rPr>
          <w:szCs w:val="24"/>
        </w:rPr>
        <w:t>even though</w:t>
      </w:r>
      <w:r w:rsidR="00AB6890">
        <w:rPr>
          <w:szCs w:val="24"/>
        </w:rPr>
        <w:t xml:space="preserve"> the services do not involve any physical change or connection to the land.</w:t>
      </w:r>
    </w:p>
    <w:p w:rsidR="009F21C8" w:rsidRDefault="009F21C8" w:rsidP="00003978">
      <w:pPr>
        <w:rPr>
          <w:szCs w:val="24"/>
        </w:rPr>
      </w:pPr>
    </w:p>
    <w:p w:rsidR="009F21C8" w:rsidRPr="00003978" w:rsidRDefault="00186C6E" w:rsidP="00003978">
      <w:pPr>
        <w:rPr>
          <w:szCs w:val="24"/>
        </w:rPr>
      </w:pPr>
      <w:r>
        <w:rPr>
          <w:szCs w:val="20"/>
        </w:rPr>
        <w:t xml:space="preserve">This will ensure that the GST </w:t>
      </w:r>
      <w:r w:rsidR="009F21C8">
        <w:rPr>
          <w:szCs w:val="20"/>
        </w:rPr>
        <w:t xml:space="preserve">treatment stems from the location of the land as a proxy for where the services are effectively consumed (consistent with the destination principle and with international practice), rather than the location or residence status of the recipient of the services.  </w:t>
      </w:r>
      <w:r w:rsidR="009F21C8" w:rsidRPr="00676AB0">
        <w:rPr>
          <w:szCs w:val="20"/>
        </w:rPr>
        <w:t>T</w:t>
      </w:r>
      <w:r w:rsidR="009F21C8">
        <w:rPr>
          <w:szCs w:val="20"/>
        </w:rPr>
        <w:t xml:space="preserve">his also </w:t>
      </w:r>
      <w:r w:rsidR="009F21C8" w:rsidRPr="00676AB0">
        <w:rPr>
          <w:szCs w:val="20"/>
        </w:rPr>
        <w:t xml:space="preserve">better aligns the treatment of </w:t>
      </w:r>
      <w:r w:rsidR="002D59C8">
        <w:rPr>
          <w:szCs w:val="20"/>
        </w:rPr>
        <w:t xml:space="preserve">services provided to </w:t>
      </w:r>
      <w:r w:rsidR="009F21C8" w:rsidRPr="00676AB0">
        <w:rPr>
          <w:szCs w:val="20"/>
        </w:rPr>
        <w:t xml:space="preserve">non-resident purchasers of New Zealand land </w:t>
      </w:r>
      <w:r w:rsidR="005B73AD">
        <w:rPr>
          <w:szCs w:val="20"/>
        </w:rPr>
        <w:t xml:space="preserve">so that these services </w:t>
      </w:r>
      <w:r w:rsidR="00CC7F71">
        <w:rPr>
          <w:szCs w:val="20"/>
        </w:rPr>
        <w:t>will be</w:t>
      </w:r>
      <w:r w:rsidR="005B73AD">
        <w:rPr>
          <w:szCs w:val="20"/>
        </w:rPr>
        <w:t xml:space="preserve"> subject to GST at 15%, consistent </w:t>
      </w:r>
      <w:r w:rsidR="009F21C8" w:rsidRPr="00676AB0">
        <w:rPr>
          <w:szCs w:val="20"/>
        </w:rPr>
        <w:t>with</w:t>
      </w:r>
      <w:r w:rsidR="009F21C8">
        <w:rPr>
          <w:szCs w:val="20"/>
        </w:rPr>
        <w:t xml:space="preserve"> </w:t>
      </w:r>
      <w:r w:rsidR="002D59C8">
        <w:rPr>
          <w:szCs w:val="20"/>
        </w:rPr>
        <w:t>similar services provided to</w:t>
      </w:r>
      <w:r w:rsidR="009F21C8" w:rsidRPr="00676AB0">
        <w:rPr>
          <w:szCs w:val="20"/>
        </w:rPr>
        <w:t xml:space="preserve"> resident purchasers</w:t>
      </w:r>
      <w:r w:rsidR="00F83ACA">
        <w:rPr>
          <w:szCs w:val="20"/>
        </w:rPr>
        <w:t>.</w:t>
      </w:r>
    </w:p>
    <w:p w:rsidR="000C0D3F" w:rsidRDefault="000C0D3F" w:rsidP="000C0D3F">
      <w:pPr>
        <w:rPr>
          <w:szCs w:val="24"/>
          <w:highlight w:val="lightGray"/>
        </w:rPr>
      </w:pPr>
    </w:p>
    <w:p w:rsidR="00ED5E65" w:rsidRPr="00773CA1" w:rsidRDefault="00ED5E65" w:rsidP="000C0D3F">
      <w:pPr>
        <w:rPr>
          <w:szCs w:val="24"/>
          <w:highlight w:val="lightGray"/>
        </w:rPr>
      </w:pPr>
    </w:p>
    <w:p w:rsidR="000C0D3F" w:rsidRPr="00F462CB" w:rsidRDefault="000C0D3F" w:rsidP="000C0D3F">
      <w:pPr>
        <w:pStyle w:val="Heading1"/>
      </w:pPr>
      <w:r w:rsidRPr="00F462CB">
        <w:t>Background</w:t>
      </w:r>
    </w:p>
    <w:p w:rsidR="000C0D3F" w:rsidRPr="00773CA1" w:rsidRDefault="000C0D3F" w:rsidP="000C0D3F">
      <w:pPr>
        <w:rPr>
          <w:highlight w:val="lightGray"/>
        </w:rPr>
      </w:pPr>
    </w:p>
    <w:p w:rsidR="000C0D3F" w:rsidRPr="005D43A2" w:rsidRDefault="00D51D31" w:rsidP="000C0D3F">
      <w:pPr>
        <w:rPr>
          <w:szCs w:val="24"/>
        </w:rPr>
      </w:pPr>
      <w:r w:rsidRPr="005D43A2">
        <w:rPr>
          <w:szCs w:val="24"/>
        </w:rPr>
        <w:t xml:space="preserve">New Zealand’s GST </w:t>
      </w:r>
      <w:r>
        <w:rPr>
          <w:szCs w:val="24"/>
        </w:rPr>
        <w:t>is a tax on consumption and a</w:t>
      </w:r>
      <w:r w:rsidR="00235008" w:rsidRPr="005D43A2">
        <w:rPr>
          <w:szCs w:val="24"/>
        </w:rPr>
        <w:t xml:space="preserve"> </w:t>
      </w:r>
      <w:r w:rsidR="009E5A68" w:rsidRPr="005D43A2">
        <w:rPr>
          <w:szCs w:val="24"/>
        </w:rPr>
        <w:t>key</w:t>
      </w:r>
      <w:r w:rsidR="001629C7" w:rsidRPr="005D43A2">
        <w:rPr>
          <w:szCs w:val="24"/>
        </w:rPr>
        <w:t xml:space="preserve"> </w:t>
      </w:r>
      <w:r w:rsidR="00274264" w:rsidRPr="005D43A2">
        <w:rPr>
          <w:szCs w:val="24"/>
        </w:rPr>
        <w:t>concept underpinning</w:t>
      </w:r>
      <w:r w:rsidR="001629C7" w:rsidRPr="005D43A2">
        <w:rPr>
          <w:szCs w:val="24"/>
        </w:rPr>
        <w:t xml:space="preserve"> </w:t>
      </w:r>
      <w:r w:rsidR="00A73E77">
        <w:rPr>
          <w:szCs w:val="24"/>
        </w:rPr>
        <w:t xml:space="preserve">the GST </w:t>
      </w:r>
      <w:r w:rsidR="001629C7" w:rsidRPr="005D43A2">
        <w:rPr>
          <w:szCs w:val="24"/>
        </w:rPr>
        <w:t>framewo</w:t>
      </w:r>
      <w:r w:rsidR="00235008" w:rsidRPr="005D43A2">
        <w:rPr>
          <w:szCs w:val="24"/>
        </w:rPr>
        <w:t>rk is the destination principle.  U</w:t>
      </w:r>
      <w:r w:rsidR="001629C7" w:rsidRPr="005D43A2">
        <w:rPr>
          <w:szCs w:val="24"/>
        </w:rPr>
        <w:t xml:space="preserve">nder </w:t>
      </w:r>
      <w:r w:rsidR="00235008" w:rsidRPr="005D43A2">
        <w:rPr>
          <w:szCs w:val="24"/>
        </w:rPr>
        <w:t xml:space="preserve">this principle, supplies of goods and services are taxed in the jurisdiction where the goods and services are consumed.  This means that services supplied to non-residents who are outside New Zealand will generally be </w:t>
      </w:r>
      <w:r w:rsidR="006D0922">
        <w:rPr>
          <w:szCs w:val="24"/>
        </w:rPr>
        <w:t xml:space="preserve">either </w:t>
      </w:r>
      <w:r w:rsidR="00235008" w:rsidRPr="005D43A2">
        <w:rPr>
          <w:szCs w:val="24"/>
        </w:rPr>
        <w:t>zero-rated</w:t>
      </w:r>
      <w:r w:rsidR="006D0922">
        <w:rPr>
          <w:szCs w:val="24"/>
        </w:rPr>
        <w:t xml:space="preserve"> or not included in the GST base.</w:t>
      </w:r>
      <w:r w:rsidR="00235008" w:rsidRPr="005D43A2">
        <w:rPr>
          <w:szCs w:val="24"/>
        </w:rPr>
        <w:t xml:space="preserve"> </w:t>
      </w:r>
      <w:r w:rsidR="006D0922">
        <w:rPr>
          <w:szCs w:val="24"/>
        </w:rPr>
        <w:t xml:space="preserve"> This is </w:t>
      </w:r>
      <w:r w:rsidR="002B5819" w:rsidRPr="005D43A2">
        <w:rPr>
          <w:szCs w:val="24"/>
        </w:rPr>
        <w:t xml:space="preserve">based on </w:t>
      </w:r>
      <w:r w:rsidR="00BE5AF2">
        <w:rPr>
          <w:szCs w:val="24"/>
        </w:rPr>
        <w:t xml:space="preserve">the </w:t>
      </w:r>
      <w:r w:rsidR="002B5819" w:rsidRPr="005D43A2">
        <w:rPr>
          <w:szCs w:val="24"/>
        </w:rPr>
        <w:t>presumption</w:t>
      </w:r>
      <w:r w:rsidR="00235008" w:rsidRPr="005D43A2">
        <w:rPr>
          <w:szCs w:val="24"/>
        </w:rPr>
        <w:t xml:space="preserve"> that the goods or services will be consumed overseas.</w:t>
      </w:r>
    </w:p>
    <w:p w:rsidR="001E68BB" w:rsidRPr="005D43A2" w:rsidRDefault="001E68BB" w:rsidP="000C0D3F">
      <w:pPr>
        <w:rPr>
          <w:szCs w:val="24"/>
        </w:rPr>
      </w:pPr>
    </w:p>
    <w:p w:rsidR="003C585A" w:rsidRPr="005D43A2" w:rsidRDefault="0043616F" w:rsidP="003C585A">
      <w:pPr>
        <w:rPr>
          <w:szCs w:val="24"/>
        </w:rPr>
      </w:pPr>
      <w:r>
        <w:rPr>
          <w:szCs w:val="24"/>
        </w:rPr>
        <w:t xml:space="preserve">There is an exception to this for services </w:t>
      </w:r>
      <w:r w:rsidR="00CC3BAB">
        <w:rPr>
          <w:szCs w:val="24"/>
        </w:rPr>
        <w:t>supplied directly in connection</w:t>
      </w:r>
      <w:r w:rsidR="00933FD5">
        <w:rPr>
          <w:szCs w:val="24"/>
        </w:rPr>
        <w:t xml:space="preserve"> </w:t>
      </w:r>
      <w:r w:rsidR="003C117F">
        <w:rPr>
          <w:szCs w:val="24"/>
        </w:rPr>
        <w:t>with</w:t>
      </w:r>
      <w:r>
        <w:rPr>
          <w:szCs w:val="24"/>
        </w:rPr>
        <w:t xml:space="preserve"> land</w:t>
      </w:r>
      <w:r w:rsidR="00A63D68" w:rsidRPr="005D43A2">
        <w:rPr>
          <w:szCs w:val="24"/>
        </w:rPr>
        <w:t>.</w:t>
      </w:r>
      <w:r w:rsidR="00D15E66">
        <w:rPr>
          <w:szCs w:val="24"/>
        </w:rPr>
        <w:t xml:space="preserve"> </w:t>
      </w:r>
      <w:r>
        <w:rPr>
          <w:szCs w:val="24"/>
        </w:rPr>
        <w:t xml:space="preserve"> In this situation, the most appropriate place of taxation is the jurisdiction wh</w:t>
      </w:r>
      <w:r w:rsidR="003C117F">
        <w:rPr>
          <w:szCs w:val="24"/>
        </w:rPr>
        <w:t>ere</w:t>
      </w:r>
      <w:r>
        <w:rPr>
          <w:szCs w:val="24"/>
        </w:rPr>
        <w:t xml:space="preserve"> the land </w:t>
      </w:r>
      <w:r w:rsidR="00933FD5">
        <w:rPr>
          <w:szCs w:val="24"/>
        </w:rPr>
        <w:t>is located</w:t>
      </w:r>
      <w:r w:rsidR="00EC2672">
        <w:rPr>
          <w:szCs w:val="24"/>
        </w:rPr>
        <w:t>.</w:t>
      </w:r>
      <w:r w:rsidR="000D0417" w:rsidRPr="005D43A2">
        <w:rPr>
          <w:szCs w:val="24"/>
        </w:rPr>
        <w:t xml:space="preserve">  </w:t>
      </w:r>
      <w:r w:rsidR="00F068E0" w:rsidRPr="005D43A2">
        <w:rPr>
          <w:szCs w:val="24"/>
        </w:rPr>
        <w:t xml:space="preserve">Hence, services supplied to non-residents who are outside New Zealand </w:t>
      </w:r>
      <w:r w:rsidR="003C117F">
        <w:rPr>
          <w:szCs w:val="24"/>
        </w:rPr>
        <w:t xml:space="preserve">at the time the services are performed </w:t>
      </w:r>
      <w:r w:rsidR="00F068E0" w:rsidRPr="005D43A2">
        <w:rPr>
          <w:szCs w:val="24"/>
        </w:rPr>
        <w:t xml:space="preserve">are not zero-rated when the services are </w:t>
      </w:r>
      <w:r w:rsidR="00E34D66" w:rsidRPr="005D43A2">
        <w:rPr>
          <w:szCs w:val="24"/>
        </w:rPr>
        <w:t xml:space="preserve">supplied </w:t>
      </w:r>
      <w:r w:rsidR="00F068E0" w:rsidRPr="005D43A2">
        <w:rPr>
          <w:szCs w:val="24"/>
        </w:rPr>
        <w:t>directly in connection with land situated in New Zealand.</w:t>
      </w:r>
      <w:r w:rsidR="00E34D66" w:rsidRPr="005D43A2">
        <w:rPr>
          <w:szCs w:val="24"/>
        </w:rPr>
        <w:t xml:space="preserve"> </w:t>
      </w:r>
      <w:r w:rsidR="00F068E0" w:rsidRPr="005D43A2">
        <w:rPr>
          <w:szCs w:val="24"/>
        </w:rPr>
        <w:t xml:space="preserve"> </w:t>
      </w:r>
      <w:r w:rsidR="00CE53F4">
        <w:rPr>
          <w:szCs w:val="24"/>
        </w:rPr>
        <w:t>Based on the same principle</w:t>
      </w:r>
      <w:r w:rsidR="00F068E0" w:rsidRPr="005D43A2">
        <w:rPr>
          <w:szCs w:val="24"/>
        </w:rPr>
        <w:t xml:space="preserve">, services that are </w:t>
      </w:r>
      <w:r w:rsidR="00F068E0" w:rsidRPr="005D43A2">
        <w:rPr>
          <w:szCs w:val="24"/>
        </w:rPr>
        <w:lastRenderedPageBreak/>
        <w:t xml:space="preserve">supplied directly in connection with land </w:t>
      </w:r>
      <w:r w:rsidR="00F068E0" w:rsidRPr="00CE53F4">
        <w:rPr>
          <w:i/>
          <w:szCs w:val="24"/>
        </w:rPr>
        <w:t>outside</w:t>
      </w:r>
      <w:r w:rsidR="00F068E0" w:rsidRPr="005D43A2">
        <w:rPr>
          <w:szCs w:val="24"/>
        </w:rPr>
        <w:t xml:space="preserve"> New Zealand </w:t>
      </w:r>
      <w:r w:rsidR="00545E60">
        <w:rPr>
          <w:szCs w:val="24"/>
        </w:rPr>
        <w:t>are</w:t>
      </w:r>
      <w:r w:rsidR="00F068E0" w:rsidRPr="005D43A2">
        <w:rPr>
          <w:szCs w:val="24"/>
        </w:rPr>
        <w:t xml:space="preserve"> zero-rated (GST </w:t>
      </w:r>
      <w:r w:rsidR="00A73E77">
        <w:rPr>
          <w:szCs w:val="24"/>
        </w:rPr>
        <w:t xml:space="preserve">levied </w:t>
      </w:r>
      <w:r w:rsidR="00F068E0" w:rsidRPr="005D43A2">
        <w:rPr>
          <w:szCs w:val="24"/>
        </w:rPr>
        <w:t>at</w:t>
      </w:r>
      <w:r w:rsidR="00330768">
        <w:rPr>
          <w:szCs w:val="24"/>
        </w:rPr>
        <w:t> </w:t>
      </w:r>
      <w:r w:rsidR="00F068E0" w:rsidRPr="005D43A2">
        <w:rPr>
          <w:szCs w:val="24"/>
        </w:rPr>
        <w:t>0%)</w:t>
      </w:r>
      <w:r w:rsidR="00C808AD">
        <w:rPr>
          <w:szCs w:val="24"/>
        </w:rPr>
        <w:t>.</w:t>
      </w:r>
    </w:p>
    <w:p w:rsidR="003C585A" w:rsidRPr="005D43A2" w:rsidRDefault="003C585A" w:rsidP="003C585A">
      <w:pPr>
        <w:rPr>
          <w:szCs w:val="24"/>
        </w:rPr>
      </w:pPr>
    </w:p>
    <w:p w:rsidR="005D43A2" w:rsidRDefault="00913CC2" w:rsidP="005D43A2">
      <w:pPr>
        <w:rPr>
          <w:szCs w:val="24"/>
        </w:rPr>
      </w:pPr>
      <w:r w:rsidRPr="005D43A2">
        <w:rPr>
          <w:szCs w:val="24"/>
        </w:rPr>
        <w:t xml:space="preserve">These rules for taxing land-related services are consistent with the “place of taxation” rules set out in the OECD’s </w:t>
      </w:r>
      <w:r w:rsidRPr="00C8404A">
        <w:rPr>
          <w:i/>
          <w:szCs w:val="24"/>
        </w:rPr>
        <w:t>International VAT/GST</w:t>
      </w:r>
      <w:r w:rsidRPr="005D43A2">
        <w:rPr>
          <w:szCs w:val="24"/>
        </w:rPr>
        <w:t xml:space="preserve"> </w:t>
      </w:r>
      <w:r w:rsidRPr="005D43A2">
        <w:rPr>
          <w:i/>
          <w:iCs/>
          <w:szCs w:val="24"/>
        </w:rPr>
        <w:t>Guidelines</w:t>
      </w:r>
      <w:r w:rsidR="00F83943">
        <w:rPr>
          <w:iCs/>
          <w:szCs w:val="24"/>
        </w:rPr>
        <w:t xml:space="preserve"> (“the </w:t>
      </w:r>
      <w:r w:rsidR="00F83943">
        <w:rPr>
          <w:i/>
          <w:iCs/>
          <w:szCs w:val="24"/>
        </w:rPr>
        <w:t>Guidelines</w:t>
      </w:r>
      <w:r w:rsidR="00F83943">
        <w:rPr>
          <w:iCs/>
          <w:szCs w:val="24"/>
        </w:rPr>
        <w:t>”)</w:t>
      </w:r>
      <w:r w:rsidRPr="005D43A2">
        <w:rPr>
          <w:szCs w:val="24"/>
        </w:rPr>
        <w:t>.</w:t>
      </w:r>
      <w:r w:rsidR="005D43A2">
        <w:rPr>
          <w:szCs w:val="24"/>
        </w:rPr>
        <w:t xml:space="preserve"> </w:t>
      </w:r>
      <w:r w:rsidRPr="005D43A2">
        <w:rPr>
          <w:szCs w:val="24"/>
        </w:rPr>
        <w:t xml:space="preserve"> The </w:t>
      </w:r>
      <w:r w:rsidRPr="005D43A2">
        <w:rPr>
          <w:i/>
          <w:iCs/>
          <w:szCs w:val="24"/>
        </w:rPr>
        <w:t xml:space="preserve">Guidelines </w:t>
      </w:r>
      <w:r w:rsidRPr="005D43A2">
        <w:rPr>
          <w:szCs w:val="24"/>
        </w:rPr>
        <w:t xml:space="preserve">suggest that taxing rights over certain services connected with land may be allocated to the jurisdiction where the property is located. </w:t>
      </w:r>
      <w:r w:rsidR="005D43A2">
        <w:rPr>
          <w:szCs w:val="24"/>
        </w:rPr>
        <w:t xml:space="preserve"> </w:t>
      </w:r>
      <w:r w:rsidRPr="005D43A2">
        <w:rPr>
          <w:szCs w:val="24"/>
        </w:rPr>
        <w:t xml:space="preserve">In particular, the </w:t>
      </w:r>
      <w:r w:rsidRPr="005D43A2">
        <w:rPr>
          <w:i/>
          <w:iCs/>
          <w:szCs w:val="24"/>
        </w:rPr>
        <w:t xml:space="preserve">Guidelines </w:t>
      </w:r>
      <w:r w:rsidRPr="005D43A2">
        <w:rPr>
          <w:szCs w:val="24"/>
        </w:rPr>
        <w:t>suggest that this treatment may be appropriate for:</w:t>
      </w:r>
    </w:p>
    <w:p w:rsidR="005D43A2" w:rsidRDefault="005D43A2" w:rsidP="005D43A2">
      <w:pPr>
        <w:rPr>
          <w:szCs w:val="24"/>
        </w:rPr>
      </w:pPr>
    </w:p>
    <w:p w:rsidR="005D43A2" w:rsidRPr="005D43A2" w:rsidRDefault="005D43A2" w:rsidP="00D15E66">
      <w:pPr>
        <w:pStyle w:val="Bullets"/>
        <w:rPr>
          <w:sz w:val="23"/>
          <w:szCs w:val="23"/>
        </w:rPr>
      </w:pPr>
      <w:r>
        <w:t>supplies of immovable property itself or the right to use that property;</w:t>
      </w:r>
    </w:p>
    <w:p w:rsidR="005D43A2" w:rsidRPr="005D43A2" w:rsidRDefault="005D43A2" w:rsidP="00D15E66">
      <w:pPr>
        <w:pStyle w:val="Bullets"/>
        <w:rPr>
          <w:sz w:val="23"/>
          <w:szCs w:val="23"/>
        </w:rPr>
      </w:pPr>
      <w:r>
        <w:t>supplies of services physically provided to the immovable property itself; and</w:t>
      </w:r>
    </w:p>
    <w:p w:rsidR="00F81438" w:rsidRPr="00F81438" w:rsidRDefault="005D43A2" w:rsidP="00D15E66">
      <w:pPr>
        <w:pStyle w:val="Bullets"/>
        <w:spacing w:after="0"/>
        <w:rPr>
          <w:sz w:val="23"/>
          <w:szCs w:val="23"/>
        </w:rPr>
      </w:pPr>
      <w:r>
        <w:t>other supplies of services with a very close, clear and obvious link or association with</w:t>
      </w:r>
      <w:r w:rsidR="00850733">
        <w:t xml:space="preserve"> the</w:t>
      </w:r>
      <w:r>
        <w:t xml:space="preserve"> property.</w:t>
      </w:r>
      <w:r w:rsidR="006D5E88">
        <w:rPr>
          <w:rStyle w:val="FootnoteReference"/>
        </w:rPr>
        <w:footnoteReference w:id="1"/>
      </w:r>
    </w:p>
    <w:p w:rsidR="00F81438" w:rsidRDefault="00F81438" w:rsidP="00F81438"/>
    <w:p w:rsidR="00CD2585" w:rsidRDefault="00CD2585" w:rsidP="00F81438">
      <w:pPr>
        <w:rPr>
          <w:szCs w:val="24"/>
        </w:rPr>
      </w:pPr>
      <w:r w:rsidRPr="00CF29EB">
        <w:rPr>
          <w:szCs w:val="24"/>
        </w:rPr>
        <w:t xml:space="preserve">In the case of </w:t>
      </w:r>
      <w:r w:rsidR="00535E5E" w:rsidRPr="00CF29EB">
        <w:rPr>
          <w:szCs w:val="24"/>
        </w:rPr>
        <w:t>a number of</w:t>
      </w:r>
      <w:r w:rsidRPr="00CF29EB">
        <w:rPr>
          <w:szCs w:val="24"/>
        </w:rPr>
        <w:t xml:space="preserve"> services in the third category above, </w:t>
      </w:r>
      <w:r w:rsidR="00360A12" w:rsidRPr="00CF29EB">
        <w:rPr>
          <w:szCs w:val="24"/>
        </w:rPr>
        <w:t xml:space="preserve">Inland Revenue’s interpretation </w:t>
      </w:r>
      <w:r w:rsidR="00CF29EB" w:rsidRPr="00CF29EB">
        <w:rPr>
          <w:szCs w:val="24"/>
        </w:rPr>
        <w:t>(</w:t>
      </w:r>
      <w:r w:rsidR="00360A12" w:rsidRPr="00CF29EB">
        <w:rPr>
          <w:szCs w:val="24"/>
        </w:rPr>
        <w:t xml:space="preserve">based on </w:t>
      </w:r>
      <w:r w:rsidR="00B72D01" w:rsidRPr="00CF29EB">
        <w:rPr>
          <w:szCs w:val="24"/>
        </w:rPr>
        <w:t xml:space="preserve">the leading cases </w:t>
      </w:r>
      <w:r w:rsidR="00CF29EB" w:rsidRPr="00B474F7">
        <w:rPr>
          <w:i/>
          <w:szCs w:val="24"/>
        </w:rPr>
        <w:t>Malololailai Interval Holidays New Zealand Ltd v Commissioner of Inland Revenue</w:t>
      </w:r>
      <w:r w:rsidR="00CF29EB" w:rsidRPr="00CF29EB">
        <w:rPr>
          <w:szCs w:val="24"/>
        </w:rPr>
        <w:t xml:space="preserve"> (1997) 18 NZTC 13,137 and </w:t>
      </w:r>
      <w:r w:rsidR="00CF29EB" w:rsidRPr="00B474F7">
        <w:rPr>
          <w:i/>
          <w:szCs w:val="24"/>
        </w:rPr>
        <w:t>Wilson &amp; Horton Ltd v Commissioner of Inland Revenue</w:t>
      </w:r>
      <w:r w:rsidR="00CF29EB" w:rsidRPr="00CF29EB">
        <w:rPr>
          <w:szCs w:val="24"/>
        </w:rPr>
        <w:t xml:space="preserve"> (1994) 16 NZTC 11,080</w:t>
      </w:r>
      <w:r w:rsidR="00B474F7">
        <w:rPr>
          <w:szCs w:val="24"/>
        </w:rPr>
        <w:t>)</w:t>
      </w:r>
      <w:r w:rsidR="00360A12" w:rsidRPr="00CF29EB">
        <w:rPr>
          <w:szCs w:val="24"/>
        </w:rPr>
        <w:t xml:space="preserve"> is</w:t>
      </w:r>
      <w:r w:rsidR="00C67C26" w:rsidRPr="00CF29EB">
        <w:rPr>
          <w:szCs w:val="24"/>
        </w:rPr>
        <w:t xml:space="preserve"> not</w:t>
      </w:r>
      <w:r w:rsidRPr="00CF29EB">
        <w:rPr>
          <w:szCs w:val="24"/>
        </w:rPr>
        <w:t xml:space="preserve"> consistent with the </w:t>
      </w:r>
      <w:r w:rsidRPr="00B474F7">
        <w:rPr>
          <w:i/>
          <w:szCs w:val="24"/>
        </w:rPr>
        <w:t>Guidelines</w:t>
      </w:r>
      <w:r w:rsidR="00E76BD7" w:rsidRPr="0046303D">
        <w:rPr>
          <w:szCs w:val="24"/>
        </w:rPr>
        <w:t xml:space="preserve">.  </w:t>
      </w:r>
      <w:r w:rsidR="00B80B16">
        <w:rPr>
          <w:szCs w:val="24"/>
        </w:rPr>
        <w:t>T</w:t>
      </w:r>
      <w:r w:rsidRPr="00CF29EB">
        <w:rPr>
          <w:szCs w:val="24"/>
        </w:rPr>
        <w:t>he “directly in connection” test has been interpreted more narrowly than</w:t>
      </w:r>
      <w:r w:rsidR="00360A12" w:rsidRPr="00CF29EB">
        <w:rPr>
          <w:szCs w:val="24"/>
        </w:rPr>
        <w:t xml:space="preserve"> may have been</w:t>
      </w:r>
      <w:r w:rsidRPr="00CF29EB">
        <w:rPr>
          <w:szCs w:val="24"/>
        </w:rPr>
        <w:t xml:space="preserve"> intended by the original policy</w:t>
      </w:r>
      <w:r w:rsidR="007E038D">
        <w:rPr>
          <w:szCs w:val="24"/>
        </w:rPr>
        <w:t>:</w:t>
      </w:r>
      <w:r w:rsidR="00B80B16">
        <w:rPr>
          <w:szCs w:val="24"/>
        </w:rPr>
        <w:t xml:space="preserve"> therefore </w:t>
      </w:r>
      <w:r w:rsidR="00E76BD7" w:rsidRPr="0046303D">
        <w:rPr>
          <w:szCs w:val="24"/>
        </w:rPr>
        <w:t xml:space="preserve">a number of services in the third category are unlikely to satisfy </w:t>
      </w:r>
      <w:r w:rsidR="00CB1202" w:rsidRPr="0046303D">
        <w:rPr>
          <w:szCs w:val="24"/>
        </w:rPr>
        <w:t>the “directly in connection” test.</w:t>
      </w:r>
    </w:p>
    <w:p w:rsidR="00CD2585" w:rsidRDefault="00CD2585" w:rsidP="00F81438">
      <w:pPr>
        <w:rPr>
          <w:szCs w:val="24"/>
        </w:rPr>
      </w:pPr>
    </w:p>
    <w:p w:rsidR="00B027AA" w:rsidRPr="00B027AA" w:rsidRDefault="00360A12" w:rsidP="00F81438">
      <w:pPr>
        <w:rPr>
          <w:szCs w:val="24"/>
        </w:rPr>
      </w:pPr>
      <w:r>
        <w:rPr>
          <w:szCs w:val="24"/>
        </w:rPr>
        <w:t xml:space="preserve">This has resulted in the potential exclusion of </w:t>
      </w:r>
      <w:r w:rsidR="00B027AA" w:rsidRPr="00B027AA">
        <w:rPr>
          <w:szCs w:val="24"/>
        </w:rPr>
        <w:t>professional services such as architectural, real estate or legal services, which are supplied with the intention of facilitating a change in the legal or physical nature of the land, but do not involve a more physical intervention with the land.</w:t>
      </w:r>
    </w:p>
    <w:p w:rsidR="0026746F" w:rsidRDefault="0026746F" w:rsidP="00F81438">
      <w:pPr>
        <w:rPr>
          <w:sz w:val="23"/>
          <w:szCs w:val="23"/>
        </w:rPr>
      </w:pPr>
    </w:p>
    <w:p w:rsidR="002B0E95" w:rsidRDefault="00B027AA" w:rsidP="00F81438">
      <w:r>
        <w:t xml:space="preserve">In addition, the New Zealand interpretation of the “directly in connection” test is not aligned with the international approach.  </w:t>
      </w:r>
      <w:r w:rsidR="005F1113">
        <w:t>Misalignment with the approach</w:t>
      </w:r>
      <w:r w:rsidR="004377AF">
        <w:t>es</w:t>
      </w:r>
      <w:r w:rsidR="005F1113">
        <w:t xml:space="preserve"> of other countries</w:t>
      </w:r>
      <w:r w:rsidR="0050230F">
        <w:t xml:space="preserve"> </w:t>
      </w:r>
      <w:r w:rsidR="005F1113">
        <w:t xml:space="preserve">gives rise to a risk of </w:t>
      </w:r>
      <w:r w:rsidR="0077586A">
        <w:t>some</w:t>
      </w:r>
      <w:r w:rsidR="005F1113">
        <w:t xml:space="preserve"> services being taxed in more than one jurisdiction, or not being taxed in any jurisdiction at all.</w:t>
      </w:r>
    </w:p>
    <w:p w:rsidR="002B0E95" w:rsidRDefault="002B0E95" w:rsidP="00F81438"/>
    <w:p w:rsidR="000C0D3F" w:rsidRPr="000C0D3F" w:rsidRDefault="002B0E95" w:rsidP="000C0D3F">
      <w:pPr>
        <w:rPr>
          <w:szCs w:val="20"/>
        </w:rPr>
      </w:pPr>
      <w:r w:rsidRPr="006940C7">
        <w:rPr>
          <w:szCs w:val="24"/>
        </w:rPr>
        <w:t xml:space="preserve">The new rules are </w:t>
      </w:r>
      <w:r w:rsidR="006940C7" w:rsidRPr="006940C7">
        <w:rPr>
          <w:szCs w:val="24"/>
        </w:rPr>
        <w:t>designed to ensure that New Zealand’s</w:t>
      </w:r>
      <w:r w:rsidR="00360A12">
        <w:rPr>
          <w:szCs w:val="24"/>
        </w:rPr>
        <w:t xml:space="preserve"> legislation</w:t>
      </w:r>
      <w:r w:rsidR="006940C7" w:rsidRPr="006940C7">
        <w:rPr>
          <w:szCs w:val="24"/>
        </w:rPr>
        <w:t xml:space="preserve"> reflect</w:t>
      </w:r>
      <w:r w:rsidR="00360A12">
        <w:rPr>
          <w:szCs w:val="24"/>
        </w:rPr>
        <w:t>s</w:t>
      </w:r>
      <w:r w:rsidR="006940C7" w:rsidRPr="006940C7">
        <w:rPr>
          <w:szCs w:val="24"/>
        </w:rPr>
        <w:t xml:space="preserve"> the policy in</w:t>
      </w:r>
      <w:r w:rsidR="00360A12">
        <w:rPr>
          <w:szCs w:val="24"/>
        </w:rPr>
        <w:t>tent and international practice.  They also better align</w:t>
      </w:r>
      <w:r w:rsidR="002B2E36">
        <w:rPr>
          <w:szCs w:val="24"/>
        </w:rPr>
        <w:t xml:space="preserve"> the treatment for</w:t>
      </w:r>
      <w:r w:rsidR="006940C7" w:rsidRPr="006940C7">
        <w:rPr>
          <w:szCs w:val="24"/>
        </w:rPr>
        <w:t xml:space="preserve"> non-resident purchasers of New Zealand</w:t>
      </w:r>
      <w:r w:rsidR="00FC0B85">
        <w:rPr>
          <w:szCs w:val="24"/>
        </w:rPr>
        <w:t xml:space="preserve"> land with </w:t>
      </w:r>
      <w:r w:rsidR="002B2E36">
        <w:rPr>
          <w:szCs w:val="24"/>
        </w:rPr>
        <w:t>that for</w:t>
      </w:r>
      <w:r w:rsidR="002503FA">
        <w:rPr>
          <w:szCs w:val="24"/>
        </w:rPr>
        <w:t xml:space="preserve"> </w:t>
      </w:r>
      <w:r w:rsidR="00FC0B85">
        <w:rPr>
          <w:szCs w:val="24"/>
        </w:rPr>
        <w:t>resident purchasers.</w:t>
      </w:r>
    </w:p>
    <w:p w:rsidR="00330768" w:rsidRDefault="00330768" w:rsidP="00330768">
      <w:pPr>
        <w:rPr>
          <w:sz w:val="28"/>
          <w:szCs w:val="28"/>
        </w:rPr>
      </w:pPr>
      <w:r>
        <w:br w:type="page"/>
      </w:r>
    </w:p>
    <w:p w:rsidR="000C0D3F" w:rsidRPr="00B9546C" w:rsidRDefault="000C0D3F" w:rsidP="000C0D3F">
      <w:pPr>
        <w:pStyle w:val="Heading1"/>
      </w:pPr>
      <w:r w:rsidRPr="00B9546C">
        <w:t>Detailed analysis</w:t>
      </w:r>
    </w:p>
    <w:p w:rsidR="000C0D3F" w:rsidRPr="00B9546C" w:rsidRDefault="000C0D3F" w:rsidP="000C0D3F"/>
    <w:p w:rsidR="000C0D3F" w:rsidRPr="00B9546C" w:rsidRDefault="000C0D3F" w:rsidP="000C0D3F">
      <w:r w:rsidRPr="00B9546C">
        <w:t>References are to the Goods and Services Tax Act 1985 unless stated otherwise.</w:t>
      </w:r>
    </w:p>
    <w:p w:rsidR="000C0D3F" w:rsidRPr="00773CA1" w:rsidRDefault="000C0D3F" w:rsidP="0040506C">
      <w:pPr>
        <w:jc w:val="left"/>
        <w:rPr>
          <w:szCs w:val="20"/>
          <w:highlight w:val="lightGray"/>
        </w:rPr>
      </w:pPr>
    </w:p>
    <w:p w:rsidR="000C0D3F" w:rsidRPr="00A135D1" w:rsidRDefault="000C0D3F" w:rsidP="000C0D3F">
      <w:pPr>
        <w:pStyle w:val="Heading2"/>
      </w:pPr>
      <w:r w:rsidRPr="00A135D1">
        <w:t>Scope of the new GST rules</w:t>
      </w:r>
      <w:r w:rsidR="00047C2F">
        <w:t xml:space="preserve"> for services connected with land</w:t>
      </w:r>
    </w:p>
    <w:p w:rsidR="000C0D3F" w:rsidRPr="00035D62" w:rsidRDefault="000C0D3F" w:rsidP="000C0D3F">
      <w:pPr>
        <w:jc w:val="left"/>
        <w:rPr>
          <w:szCs w:val="20"/>
        </w:rPr>
      </w:pPr>
    </w:p>
    <w:p w:rsidR="000C0D3F" w:rsidRPr="00035D62" w:rsidRDefault="00DE3113" w:rsidP="000C0D3F">
      <w:pPr>
        <w:pStyle w:val="Heading3"/>
      </w:pPr>
      <w:r>
        <w:t>The general place of supply rules</w:t>
      </w:r>
    </w:p>
    <w:p w:rsidR="000C0D3F" w:rsidRPr="00F33597" w:rsidRDefault="000C0D3F" w:rsidP="000C0D3F">
      <w:pPr>
        <w:jc w:val="left"/>
        <w:rPr>
          <w:szCs w:val="20"/>
        </w:rPr>
      </w:pPr>
    </w:p>
    <w:p w:rsidR="000C0D3F" w:rsidRPr="00F33597" w:rsidRDefault="003C6F2F" w:rsidP="000C0D3F">
      <w:pPr>
        <w:rPr>
          <w:szCs w:val="24"/>
        </w:rPr>
      </w:pPr>
      <w:r w:rsidRPr="00F33597">
        <w:rPr>
          <w:szCs w:val="24"/>
        </w:rPr>
        <w:t>T</w:t>
      </w:r>
      <w:r w:rsidR="000C0D3F" w:rsidRPr="00F33597">
        <w:rPr>
          <w:szCs w:val="24"/>
        </w:rPr>
        <w:t>he GST Act imposes GST on goods and service</w:t>
      </w:r>
      <w:r w:rsidR="002D78F2" w:rsidRPr="00F33597">
        <w:rPr>
          <w:szCs w:val="24"/>
        </w:rPr>
        <w:t>s</w:t>
      </w:r>
      <w:r w:rsidR="000C0D3F" w:rsidRPr="00F33597">
        <w:rPr>
          <w:szCs w:val="24"/>
        </w:rPr>
        <w:t xml:space="preserve"> supplied in New Zealand.  The Act adopts a broad set of rules to determine whether a good or service is considered </w:t>
      </w:r>
      <w:r w:rsidR="00141464">
        <w:rPr>
          <w:szCs w:val="24"/>
        </w:rPr>
        <w:t>to be supplied in New Zealand.</w:t>
      </w:r>
    </w:p>
    <w:p w:rsidR="000C0D3F" w:rsidRPr="00F33597" w:rsidRDefault="000C0D3F" w:rsidP="000C0D3F">
      <w:pPr>
        <w:rPr>
          <w:szCs w:val="24"/>
        </w:rPr>
      </w:pPr>
    </w:p>
    <w:p w:rsidR="000219EF" w:rsidRPr="00F33597" w:rsidRDefault="000C0D3F" w:rsidP="000C0D3F">
      <w:pPr>
        <w:rPr>
          <w:szCs w:val="24"/>
        </w:rPr>
      </w:pPr>
      <w:r w:rsidRPr="00F33597">
        <w:rPr>
          <w:szCs w:val="24"/>
        </w:rPr>
        <w:t xml:space="preserve">If a </w:t>
      </w:r>
      <w:r w:rsidR="003C6F2F" w:rsidRPr="00F33597">
        <w:rPr>
          <w:szCs w:val="24"/>
        </w:rPr>
        <w:t>New Zealand-resident</w:t>
      </w:r>
      <w:r w:rsidRPr="00F33597">
        <w:rPr>
          <w:szCs w:val="24"/>
        </w:rPr>
        <w:t xml:space="preserve"> person supplies services, the supply </w:t>
      </w:r>
      <w:r w:rsidR="003C6F2F" w:rsidRPr="00F33597">
        <w:rPr>
          <w:szCs w:val="24"/>
        </w:rPr>
        <w:t>is</w:t>
      </w:r>
      <w:r w:rsidRPr="00F33597">
        <w:rPr>
          <w:szCs w:val="24"/>
        </w:rPr>
        <w:t xml:space="preserve"> treated as having been made </w:t>
      </w:r>
      <w:r w:rsidR="00273905" w:rsidRPr="00F33597">
        <w:rPr>
          <w:szCs w:val="24"/>
        </w:rPr>
        <w:t xml:space="preserve">in </w:t>
      </w:r>
      <w:r w:rsidRPr="00F33597">
        <w:rPr>
          <w:szCs w:val="24"/>
        </w:rPr>
        <w:t xml:space="preserve">New Zealand, and </w:t>
      </w:r>
      <w:r w:rsidR="00273905" w:rsidRPr="00F33597">
        <w:rPr>
          <w:szCs w:val="24"/>
        </w:rPr>
        <w:t xml:space="preserve">is </w:t>
      </w:r>
      <w:r w:rsidRPr="00F33597">
        <w:rPr>
          <w:szCs w:val="24"/>
        </w:rPr>
        <w:t xml:space="preserve">therefore subject to GST.  </w:t>
      </w:r>
      <w:r w:rsidR="00273905" w:rsidRPr="00F33597">
        <w:rPr>
          <w:szCs w:val="24"/>
        </w:rPr>
        <w:t xml:space="preserve">Where a non-resident person supplies services, the starting point is that the supply is treated as having been made outside New Zealand, and </w:t>
      </w:r>
      <w:r w:rsidR="00F33597">
        <w:rPr>
          <w:szCs w:val="24"/>
        </w:rPr>
        <w:t xml:space="preserve">is </w:t>
      </w:r>
      <w:r w:rsidR="00273905" w:rsidRPr="00F33597">
        <w:rPr>
          <w:szCs w:val="24"/>
        </w:rPr>
        <w:t>therefore not subject to</w:t>
      </w:r>
      <w:r w:rsidR="000219EF" w:rsidRPr="00F33597">
        <w:rPr>
          <w:szCs w:val="24"/>
        </w:rPr>
        <w:t xml:space="preserve"> New Zealand</w:t>
      </w:r>
      <w:r w:rsidR="00273905" w:rsidRPr="00F33597">
        <w:rPr>
          <w:szCs w:val="24"/>
        </w:rPr>
        <w:t xml:space="preserve"> GST</w:t>
      </w:r>
      <w:r w:rsidR="000219EF" w:rsidRPr="00F33597">
        <w:rPr>
          <w:szCs w:val="24"/>
        </w:rPr>
        <w:t>.</w:t>
      </w:r>
    </w:p>
    <w:p w:rsidR="000219EF" w:rsidRPr="00F33597" w:rsidRDefault="000219EF" w:rsidP="000C0D3F">
      <w:pPr>
        <w:rPr>
          <w:szCs w:val="24"/>
        </w:rPr>
      </w:pPr>
    </w:p>
    <w:p w:rsidR="00273905" w:rsidRPr="00F33597" w:rsidRDefault="00273905" w:rsidP="000C0D3F">
      <w:pPr>
        <w:rPr>
          <w:szCs w:val="24"/>
        </w:rPr>
      </w:pPr>
      <w:r w:rsidRPr="00F33597">
        <w:rPr>
          <w:szCs w:val="24"/>
        </w:rPr>
        <w:t>However, under section 8(3)</w:t>
      </w:r>
      <w:r w:rsidR="000C0D3F" w:rsidRPr="00F33597">
        <w:rPr>
          <w:szCs w:val="24"/>
        </w:rPr>
        <w:t xml:space="preserve">, services </w:t>
      </w:r>
      <w:r w:rsidRPr="00F33597">
        <w:rPr>
          <w:szCs w:val="24"/>
        </w:rPr>
        <w:t xml:space="preserve">supplied by a non-resident </w:t>
      </w:r>
      <w:r w:rsidR="000C0D3F" w:rsidRPr="00F33597">
        <w:rPr>
          <w:szCs w:val="24"/>
        </w:rPr>
        <w:t xml:space="preserve">are treated as having been supplied in New Zealand </w:t>
      </w:r>
      <w:r w:rsidR="00F33597" w:rsidRPr="00F33597">
        <w:rPr>
          <w:szCs w:val="24"/>
        </w:rPr>
        <w:t xml:space="preserve">(and are therefore subject to GST) </w:t>
      </w:r>
      <w:r w:rsidR="000C0D3F" w:rsidRPr="00F33597">
        <w:rPr>
          <w:szCs w:val="24"/>
        </w:rPr>
        <w:t>if</w:t>
      </w:r>
      <w:r w:rsidRPr="00F33597">
        <w:rPr>
          <w:szCs w:val="24"/>
        </w:rPr>
        <w:t>:</w:t>
      </w:r>
      <w:r w:rsidR="000C0D3F" w:rsidRPr="00F33597">
        <w:rPr>
          <w:szCs w:val="24"/>
        </w:rPr>
        <w:t xml:space="preserve"> </w:t>
      </w:r>
    </w:p>
    <w:p w:rsidR="00273905" w:rsidRPr="00F33597" w:rsidRDefault="00273905" w:rsidP="000C0D3F">
      <w:pPr>
        <w:rPr>
          <w:szCs w:val="24"/>
        </w:rPr>
      </w:pPr>
    </w:p>
    <w:p w:rsidR="000C0D3F" w:rsidRPr="00F33597" w:rsidRDefault="00163ECB" w:rsidP="00D15E66">
      <w:pPr>
        <w:pStyle w:val="Bullets"/>
      </w:pPr>
      <w:r w:rsidRPr="00F33597">
        <w:t xml:space="preserve">the services are </w:t>
      </w:r>
      <w:r w:rsidR="000C0D3F" w:rsidRPr="00F33597">
        <w:t>physically performed in New Zealand by a person who is in New Zealand at the time of performance</w:t>
      </w:r>
      <w:r w:rsidR="00A92125" w:rsidRPr="00F33597">
        <w:t xml:space="preserve"> (section 8(3)</w:t>
      </w:r>
      <w:r w:rsidRPr="00F33597">
        <w:t>(b</w:t>
      </w:r>
      <w:r w:rsidR="00A92125" w:rsidRPr="00F33597">
        <w:t>)); or</w:t>
      </w:r>
    </w:p>
    <w:p w:rsidR="00163ECB" w:rsidRDefault="00163ECB" w:rsidP="00D15E66">
      <w:pPr>
        <w:pStyle w:val="Bullets"/>
        <w:spacing w:after="0"/>
      </w:pPr>
      <w:r w:rsidRPr="00F33597">
        <w:t>the services are “remote services” supplied to a person resident in New Zealand (section 8(3)(c)).</w:t>
      </w:r>
      <w:r w:rsidR="00EB5CBF">
        <w:rPr>
          <w:rStyle w:val="FootnoteReference"/>
          <w:szCs w:val="24"/>
        </w:rPr>
        <w:footnoteReference w:id="2"/>
      </w:r>
    </w:p>
    <w:p w:rsidR="00DE3113" w:rsidRDefault="00DE3113" w:rsidP="00DE3113">
      <w:pPr>
        <w:rPr>
          <w:szCs w:val="24"/>
        </w:rPr>
      </w:pPr>
    </w:p>
    <w:p w:rsidR="00DE3113" w:rsidRPr="00DE3113" w:rsidRDefault="00DE3113" w:rsidP="00DE3113">
      <w:pPr>
        <w:pStyle w:val="Heading3"/>
      </w:pPr>
      <w:r w:rsidRPr="00035D62">
        <w:t>Rules applying zero-rating to supplies of services</w:t>
      </w:r>
      <w:r w:rsidR="00C362BC">
        <w:t xml:space="preserve"> to non-residents</w:t>
      </w:r>
    </w:p>
    <w:p w:rsidR="000C0D3F" w:rsidRPr="00773CA1" w:rsidRDefault="000C0D3F" w:rsidP="000C0D3F">
      <w:pPr>
        <w:jc w:val="left"/>
        <w:rPr>
          <w:szCs w:val="20"/>
          <w:highlight w:val="lightGray"/>
        </w:rPr>
      </w:pPr>
    </w:p>
    <w:p w:rsidR="00141464" w:rsidRDefault="00141464" w:rsidP="00330768">
      <w:r w:rsidRPr="00F33597">
        <w:t>The place of supply rules in section 8 are followed by a range of exclusions that determine whether the supply is zero-rated or exempt rather than taxed at the normal 15% rate.</w:t>
      </w:r>
    </w:p>
    <w:p w:rsidR="00141464" w:rsidRDefault="00141464" w:rsidP="00330768"/>
    <w:p w:rsidR="00530251" w:rsidRDefault="00C36814" w:rsidP="00330768">
      <w:r w:rsidRPr="00707B8A">
        <w:t xml:space="preserve">Subject to </w:t>
      </w:r>
      <w:r w:rsidR="00141464">
        <w:t>a few</w:t>
      </w:r>
      <w:r w:rsidRPr="00707B8A">
        <w:t xml:space="preserve"> exceptions</w:t>
      </w:r>
      <w:r w:rsidR="00141464">
        <w:t xml:space="preserve"> (for example, services directly connected with land or with moveable personal property)</w:t>
      </w:r>
      <w:r w:rsidRPr="00707B8A">
        <w:t>, section 11A(1)(k) applies</w:t>
      </w:r>
      <w:r w:rsidR="00925BBC">
        <w:t xml:space="preserve"> to zero-rate</w:t>
      </w:r>
      <w:r w:rsidRPr="00707B8A">
        <w:t xml:space="preserve"> supplies of services made in New Zealand to non-residents who are outside New Zealand at the tim</w:t>
      </w:r>
      <w:r w:rsidR="00141464">
        <w:t xml:space="preserve">e the services are performed.  </w:t>
      </w:r>
      <w:r w:rsidR="009E0C07">
        <w:t>N</w:t>
      </w:r>
      <w:r w:rsidR="00FB5841">
        <w:t>ew</w:t>
      </w:r>
      <w:r w:rsidRPr="00707B8A">
        <w:t xml:space="preserve"> s</w:t>
      </w:r>
      <w:r w:rsidR="00992A43" w:rsidRPr="00707B8A">
        <w:t>ection 11A(1)(</w:t>
      </w:r>
      <w:r w:rsidRPr="00707B8A">
        <w:t>k</w:t>
      </w:r>
      <w:r w:rsidR="000C0D3F" w:rsidRPr="00707B8A">
        <w:t>)</w:t>
      </w:r>
      <w:r w:rsidR="00141464">
        <w:t>(i)</w:t>
      </w:r>
      <w:r w:rsidR="000C0D3F" w:rsidRPr="00707B8A">
        <w:t xml:space="preserve"> </w:t>
      </w:r>
      <w:r w:rsidRPr="00707B8A">
        <w:t>excludes</w:t>
      </w:r>
      <w:r w:rsidR="00141464">
        <w:t xml:space="preserve"> from zero-rating </w:t>
      </w:r>
      <w:r w:rsidR="000C0D3F" w:rsidRPr="00707B8A">
        <w:t>services</w:t>
      </w:r>
      <w:r w:rsidR="00141464">
        <w:t xml:space="preserve"> that are</w:t>
      </w:r>
      <w:r w:rsidR="000C0D3F" w:rsidRPr="00707B8A">
        <w:t xml:space="preserve"> </w:t>
      </w:r>
      <w:r w:rsidR="00A66AFC" w:rsidRPr="00707B8A">
        <w:t xml:space="preserve">supplied in connection with land in New Zealand (or with an improvement to New Zealand land) </w:t>
      </w:r>
      <w:r w:rsidR="003A5CAC">
        <w:t xml:space="preserve">and </w:t>
      </w:r>
      <w:r w:rsidR="00A66AFC">
        <w:t xml:space="preserve">which </w:t>
      </w:r>
      <w:r w:rsidR="00F17494">
        <w:t>“</w:t>
      </w:r>
      <w:r w:rsidR="00A66AFC">
        <w:t>are intended to enable or assist a change in the physical condition, ownership or other legal status</w:t>
      </w:r>
      <w:r w:rsidR="00F17494">
        <w:t>”</w:t>
      </w:r>
      <w:r w:rsidR="00A66AFC">
        <w:t xml:space="preserve"> of the land</w:t>
      </w:r>
      <w:r w:rsidR="00184D17">
        <w:t xml:space="preserve">, </w:t>
      </w:r>
      <w:r w:rsidR="00770ABF">
        <w:t>in addition to</w:t>
      </w:r>
      <w:r w:rsidR="00184D17">
        <w:t xml:space="preserve"> services which are supplied directly in connection with land situated in New Zealand</w:t>
      </w:r>
      <w:r w:rsidR="00530251">
        <w:t>.</w:t>
      </w:r>
    </w:p>
    <w:p w:rsidR="0034124B" w:rsidRDefault="0034124B" w:rsidP="00992A43">
      <w:pPr>
        <w:jc w:val="left"/>
        <w:rPr>
          <w:szCs w:val="20"/>
        </w:rPr>
      </w:pPr>
    </w:p>
    <w:p w:rsidR="00330768" w:rsidRDefault="00330768">
      <w:pPr>
        <w:jc w:val="left"/>
      </w:pPr>
      <w:r>
        <w:br w:type="page"/>
      </w:r>
    </w:p>
    <w:p w:rsidR="0034124B" w:rsidRDefault="0034124B" w:rsidP="00330768">
      <w:r>
        <w:t xml:space="preserve">Hence, under </w:t>
      </w:r>
      <w:r w:rsidRPr="001A5973">
        <w:t xml:space="preserve">the new test, services relating to land located in New Zealand will not be zero-rated </w:t>
      </w:r>
      <w:r>
        <w:t xml:space="preserve">but will be subject to GST at the standard rate </w:t>
      </w:r>
      <w:r w:rsidR="009E1C80">
        <w:t xml:space="preserve">of 15% </w:t>
      </w:r>
      <w:r w:rsidRPr="001A5973">
        <w:t>when:</w:t>
      </w:r>
    </w:p>
    <w:p w:rsidR="00330768" w:rsidRPr="001A5973" w:rsidRDefault="00330768" w:rsidP="00330768"/>
    <w:p w:rsidR="0034124B" w:rsidRPr="001A5973" w:rsidRDefault="0034124B" w:rsidP="00D15E66">
      <w:pPr>
        <w:pStyle w:val="Bullets"/>
      </w:pPr>
      <w:r>
        <w:t xml:space="preserve">their supply is </w:t>
      </w:r>
      <w:r w:rsidRPr="001A5973">
        <w:t>directly in connection with land or an improvement to the land (the current test); or</w:t>
      </w:r>
    </w:p>
    <w:p w:rsidR="0034124B" w:rsidRPr="001A5973" w:rsidRDefault="0034124B" w:rsidP="00D15E66">
      <w:pPr>
        <w:pStyle w:val="Bullets"/>
        <w:spacing w:after="0"/>
      </w:pPr>
      <w:r>
        <w:t>their supply is</w:t>
      </w:r>
      <w:r w:rsidRPr="001A5973">
        <w:t xml:space="preserve"> in connection with land in New Zealand or an improvement to the land, and are intended to enable or assist a change in the physical condition, ownership or other legal status of the land or improvement.</w:t>
      </w:r>
    </w:p>
    <w:p w:rsidR="0034124B" w:rsidRPr="00773CA1" w:rsidRDefault="0034124B" w:rsidP="0034124B">
      <w:pPr>
        <w:rPr>
          <w:szCs w:val="20"/>
          <w:highlight w:val="lightGray"/>
        </w:rPr>
      </w:pPr>
    </w:p>
    <w:p w:rsidR="000C0D3F" w:rsidRPr="00581857" w:rsidRDefault="000C0D3F" w:rsidP="000C0D3F">
      <w:p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rPr>
          <w:b/>
          <w:sz w:val="20"/>
          <w:szCs w:val="20"/>
        </w:rPr>
      </w:pPr>
      <w:r w:rsidRPr="00581857">
        <w:rPr>
          <w:b/>
          <w:sz w:val="20"/>
          <w:szCs w:val="20"/>
        </w:rPr>
        <w:t>Example</w:t>
      </w:r>
      <w:r w:rsidR="00691B0C">
        <w:rPr>
          <w:b/>
          <w:sz w:val="20"/>
          <w:szCs w:val="20"/>
        </w:rPr>
        <w:t xml:space="preserve"> 1</w:t>
      </w:r>
    </w:p>
    <w:p w:rsidR="000C0D3F" w:rsidRPr="00581857" w:rsidRDefault="000C0D3F" w:rsidP="000C0D3F">
      <w:p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rPr>
          <w:sz w:val="20"/>
          <w:szCs w:val="20"/>
        </w:rPr>
      </w:pPr>
    </w:p>
    <w:p w:rsidR="004C1E6C" w:rsidRPr="00FC3FBB" w:rsidRDefault="00F70DA1" w:rsidP="000C0D3F">
      <w:p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rPr>
          <w:sz w:val="20"/>
          <w:szCs w:val="20"/>
        </w:rPr>
      </w:pPr>
      <w:r w:rsidRPr="00581857">
        <w:rPr>
          <w:sz w:val="20"/>
          <w:szCs w:val="20"/>
        </w:rPr>
        <w:t xml:space="preserve">Serj is a non-resident who owns a parcel of land in </w:t>
      </w:r>
      <w:r w:rsidR="00A2487F" w:rsidRPr="00581857">
        <w:rPr>
          <w:sz w:val="20"/>
          <w:szCs w:val="20"/>
        </w:rPr>
        <w:t>Andersons Bay</w:t>
      </w:r>
      <w:r w:rsidR="00C6125A" w:rsidRPr="00581857">
        <w:rPr>
          <w:sz w:val="20"/>
          <w:szCs w:val="20"/>
        </w:rPr>
        <w:t xml:space="preserve">, </w:t>
      </w:r>
      <w:r w:rsidR="00496822" w:rsidRPr="00581857">
        <w:rPr>
          <w:sz w:val="20"/>
          <w:szCs w:val="20"/>
        </w:rPr>
        <w:t>Dunedin</w:t>
      </w:r>
      <w:r w:rsidRPr="00581857">
        <w:rPr>
          <w:sz w:val="20"/>
          <w:szCs w:val="20"/>
        </w:rPr>
        <w:t xml:space="preserve">.  He initially intended to have a </w:t>
      </w:r>
      <w:r w:rsidR="00B83CF7">
        <w:rPr>
          <w:sz w:val="20"/>
          <w:szCs w:val="20"/>
        </w:rPr>
        <w:t>house</w:t>
      </w:r>
      <w:r w:rsidR="00B83CF7" w:rsidRPr="00581857">
        <w:rPr>
          <w:sz w:val="20"/>
          <w:szCs w:val="20"/>
        </w:rPr>
        <w:t xml:space="preserve"> </w:t>
      </w:r>
      <w:r w:rsidRPr="00581857">
        <w:rPr>
          <w:sz w:val="20"/>
          <w:szCs w:val="20"/>
        </w:rPr>
        <w:t xml:space="preserve">constructed on it as his own personal home for when </w:t>
      </w:r>
      <w:r w:rsidR="00B83CF7">
        <w:rPr>
          <w:sz w:val="20"/>
          <w:szCs w:val="20"/>
        </w:rPr>
        <w:t>he</w:t>
      </w:r>
      <w:r w:rsidR="009F0DEE" w:rsidRPr="00581857">
        <w:rPr>
          <w:sz w:val="20"/>
          <w:szCs w:val="20"/>
        </w:rPr>
        <w:t xml:space="preserve"> move</w:t>
      </w:r>
      <w:r w:rsidR="00B83CF7">
        <w:rPr>
          <w:sz w:val="20"/>
          <w:szCs w:val="20"/>
        </w:rPr>
        <w:t>s</w:t>
      </w:r>
      <w:r w:rsidR="009F0DEE" w:rsidRPr="00581857">
        <w:rPr>
          <w:sz w:val="20"/>
          <w:szCs w:val="20"/>
        </w:rPr>
        <w:t xml:space="preserve"> to</w:t>
      </w:r>
      <w:r w:rsidRPr="00581857">
        <w:rPr>
          <w:sz w:val="20"/>
          <w:szCs w:val="20"/>
        </w:rPr>
        <w:t xml:space="preserve"> New Zealand</w:t>
      </w:r>
      <w:r w:rsidR="006A08EC">
        <w:rPr>
          <w:sz w:val="20"/>
          <w:szCs w:val="20"/>
        </w:rPr>
        <w:t>.  H</w:t>
      </w:r>
      <w:r w:rsidRPr="00581857">
        <w:rPr>
          <w:sz w:val="20"/>
          <w:szCs w:val="20"/>
        </w:rPr>
        <w:t xml:space="preserve">owever, his </w:t>
      </w:r>
      <w:r w:rsidR="00B83CF7">
        <w:rPr>
          <w:sz w:val="20"/>
          <w:szCs w:val="20"/>
        </w:rPr>
        <w:t xml:space="preserve">immigration </w:t>
      </w:r>
      <w:r w:rsidRPr="00581857">
        <w:rPr>
          <w:sz w:val="20"/>
          <w:szCs w:val="20"/>
        </w:rPr>
        <w:t xml:space="preserve">plans </w:t>
      </w:r>
      <w:r w:rsidR="00B65391">
        <w:rPr>
          <w:sz w:val="20"/>
          <w:szCs w:val="20"/>
        </w:rPr>
        <w:t>have fallen</w:t>
      </w:r>
      <w:r w:rsidRPr="00581857">
        <w:rPr>
          <w:sz w:val="20"/>
          <w:szCs w:val="20"/>
        </w:rPr>
        <w:t xml:space="preserve"> through, so he now intends to </w:t>
      </w:r>
      <w:r w:rsidR="00B83CF7">
        <w:rPr>
          <w:sz w:val="20"/>
          <w:szCs w:val="20"/>
        </w:rPr>
        <w:t>sell</w:t>
      </w:r>
      <w:r w:rsidR="00253FB7">
        <w:rPr>
          <w:sz w:val="20"/>
          <w:szCs w:val="20"/>
        </w:rPr>
        <w:t xml:space="preserve"> the land</w:t>
      </w:r>
      <w:r w:rsidRPr="00581857">
        <w:rPr>
          <w:sz w:val="20"/>
          <w:szCs w:val="20"/>
        </w:rPr>
        <w:t xml:space="preserve">.  </w:t>
      </w:r>
      <w:r w:rsidR="009F0DEE" w:rsidRPr="00581857">
        <w:rPr>
          <w:sz w:val="20"/>
          <w:szCs w:val="20"/>
        </w:rPr>
        <w:t>He arranges</w:t>
      </w:r>
      <w:r w:rsidR="006B6B01" w:rsidRPr="00581857">
        <w:rPr>
          <w:sz w:val="20"/>
          <w:szCs w:val="20"/>
        </w:rPr>
        <w:t xml:space="preserve"> </w:t>
      </w:r>
      <w:r w:rsidR="00B83CF7">
        <w:rPr>
          <w:sz w:val="20"/>
          <w:szCs w:val="20"/>
        </w:rPr>
        <w:t>by</w:t>
      </w:r>
      <w:r w:rsidR="00B83CF7" w:rsidRPr="00581857">
        <w:rPr>
          <w:sz w:val="20"/>
          <w:szCs w:val="20"/>
        </w:rPr>
        <w:t xml:space="preserve"> </w:t>
      </w:r>
      <w:r w:rsidR="006B6B01" w:rsidRPr="00581857">
        <w:rPr>
          <w:sz w:val="20"/>
          <w:szCs w:val="20"/>
        </w:rPr>
        <w:t xml:space="preserve">email </w:t>
      </w:r>
      <w:r w:rsidR="009F0DEE" w:rsidRPr="00581857">
        <w:rPr>
          <w:sz w:val="20"/>
          <w:szCs w:val="20"/>
        </w:rPr>
        <w:t xml:space="preserve">for the </w:t>
      </w:r>
      <w:r w:rsidR="006B6B01" w:rsidRPr="00581857">
        <w:rPr>
          <w:sz w:val="20"/>
          <w:szCs w:val="20"/>
        </w:rPr>
        <w:t xml:space="preserve">New Zealand </w:t>
      </w:r>
      <w:r w:rsidR="009F0DEE" w:rsidRPr="00581857">
        <w:rPr>
          <w:sz w:val="20"/>
          <w:szCs w:val="20"/>
        </w:rPr>
        <w:t xml:space="preserve">land to be advertised for sale in a New Zealand newspaper.  </w:t>
      </w:r>
      <w:r w:rsidR="00696E2D" w:rsidRPr="00581857">
        <w:rPr>
          <w:sz w:val="20"/>
          <w:szCs w:val="20"/>
        </w:rPr>
        <w:t xml:space="preserve">The supply </w:t>
      </w:r>
      <w:r w:rsidR="00B83CF7">
        <w:rPr>
          <w:sz w:val="20"/>
          <w:szCs w:val="20"/>
        </w:rPr>
        <w:t xml:space="preserve">by the newspaper </w:t>
      </w:r>
      <w:r w:rsidR="00696E2D" w:rsidRPr="00581857">
        <w:rPr>
          <w:sz w:val="20"/>
          <w:szCs w:val="20"/>
        </w:rPr>
        <w:t xml:space="preserve">of advertising services does not qualify for zero-rating under section 11A(1)(k), as the exclusion in paragraph (i) applies: the advertising services are supplied in connection with New Zealand land and are intended to assist a change in the ownership status of the land.  The </w:t>
      </w:r>
      <w:r w:rsidR="00B83CF7">
        <w:rPr>
          <w:sz w:val="20"/>
          <w:szCs w:val="20"/>
        </w:rPr>
        <w:t>newspaper must therefore add 15% GST to the cost of advertising Serj’s propert</w:t>
      </w:r>
      <w:r w:rsidR="00CB6E50">
        <w:rPr>
          <w:sz w:val="20"/>
          <w:szCs w:val="20"/>
        </w:rPr>
        <w:t>y</w:t>
      </w:r>
      <w:r w:rsidR="00696E2D" w:rsidRPr="00FC3FBB">
        <w:rPr>
          <w:sz w:val="20"/>
          <w:szCs w:val="20"/>
        </w:rPr>
        <w:t>.</w:t>
      </w:r>
    </w:p>
    <w:p w:rsidR="000C0D3F" w:rsidRDefault="000C0D3F" w:rsidP="000C0D3F">
      <w:pPr>
        <w:rPr>
          <w:szCs w:val="20"/>
        </w:rPr>
      </w:pPr>
    </w:p>
    <w:p w:rsidR="00330768" w:rsidRPr="00FC3FBB" w:rsidRDefault="00330768" w:rsidP="000C0D3F">
      <w:pPr>
        <w:rPr>
          <w:szCs w:val="20"/>
        </w:rPr>
      </w:pPr>
    </w:p>
    <w:p w:rsidR="00C959C2" w:rsidRPr="00FC3FBB" w:rsidRDefault="00C959C2" w:rsidP="00C959C2">
      <w:p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rPr>
          <w:b/>
          <w:sz w:val="20"/>
          <w:szCs w:val="20"/>
        </w:rPr>
      </w:pPr>
      <w:r w:rsidRPr="00FC3FBB">
        <w:rPr>
          <w:b/>
          <w:sz w:val="20"/>
          <w:szCs w:val="20"/>
        </w:rPr>
        <w:t>Example</w:t>
      </w:r>
      <w:r w:rsidR="00691B0C">
        <w:rPr>
          <w:b/>
          <w:sz w:val="20"/>
          <w:szCs w:val="20"/>
        </w:rPr>
        <w:t xml:space="preserve"> 2</w:t>
      </w:r>
    </w:p>
    <w:p w:rsidR="00C959C2" w:rsidRPr="00FC3FBB" w:rsidRDefault="00C959C2" w:rsidP="00C959C2">
      <w:p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rPr>
          <w:sz w:val="20"/>
          <w:szCs w:val="20"/>
        </w:rPr>
      </w:pPr>
    </w:p>
    <w:p w:rsidR="00C959C2" w:rsidRPr="00FC3FBB" w:rsidRDefault="004212F8" w:rsidP="00C959C2">
      <w:p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rPr>
          <w:sz w:val="20"/>
          <w:szCs w:val="20"/>
        </w:rPr>
      </w:pPr>
      <w:r w:rsidRPr="00FC3FBB">
        <w:rPr>
          <w:sz w:val="20"/>
          <w:szCs w:val="20"/>
        </w:rPr>
        <w:t xml:space="preserve">Cynthia is a British resident who is looking at buying a holiday home in New Zealand.  </w:t>
      </w:r>
      <w:r w:rsidR="00E50E95">
        <w:rPr>
          <w:sz w:val="20"/>
          <w:szCs w:val="20"/>
        </w:rPr>
        <w:t xml:space="preserve">While still based in her home in London, </w:t>
      </w:r>
      <w:r w:rsidRPr="00FC3FBB">
        <w:rPr>
          <w:sz w:val="20"/>
          <w:szCs w:val="20"/>
        </w:rPr>
        <w:t xml:space="preserve">she seeks general </w:t>
      </w:r>
      <w:r w:rsidR="002B4CA8">
        <w:rPr>
          <w:sz w:val="20"/>
          <w:szCs w:val="20"/>
        </w:rPr>
        <w:t>information</w:t>
      </w:r>
      <w:r w:rsidRPr="00FC3FBB">
        <w:rPr>
          <w:sz w:val="20"/>
          <w:szCs w:val="20"/>
        </w:rPr>
        <w:t xml:space="preserve"> from a New Zealand-based property valuation firm</w:t>
      </w:r>
      <w:r w:rsidR="00192A38" w:rsidRPr="00FC3FBB">
        <w:rPr>
          <w:sz w:val="20"/>
          <w:szCs w:val="20"/>
        </w:rPr>
        <w:t xml:space="preserve"> on the </w:t>
      </w:r>
      <w:r w:rsidR="002B4CA8">
        <w:rPr>
          <w:sz w:val="20"/>
          <w:szCs w:val="20"/>
        </w:rPr>
        <w:t xml:space="preserve">range of </w:t>
      </w:r>
      <w:r w:rsidR="00E94957">
        <w:rPr>
          <w:sz w:val="20"/>
          <w:szCs w:val="20"/>
        </w:rPr>
        <w:t xml:space="preserve">property </w:t>
      </w:r>
      <w:r w:rsidR="000B345E" w:rsidRPr="00FC3FBB">
        <w:rPr>
          <w:sz w:val="20"/>
          <w:szCs w:val="20"/>
        </w:rPr>
        <w:t>market</w:t>
      </w:r>
      <w:r w:rsidR="002B4CA8">
        <w:rPr>
          <w:sz w:val="20"/>
          <w:szCs w:val="20"/>
        </w:rPr>
        <w:t xml:space="preserve"> values for each region that she is considering</w:t>
      </w:r>
      <w:r w:rsidR="00E50E95">
        <w:rPr>
          <w:sz w:val="20"/>
          <w:szCs w:val="20"/>
        </w:rPr>
        <w:t xml:space="preserve"> </w:t>
      </w:r>
      <w:r w:rsidR="00C24572">
        <w:rPr>
          <w:sz w:val="20"/>
          <w:szCs w:val="20"/>
        </w:rPr>
        <w:t xml:space="preserve">in order </w:t>
      </w:r>
      <w:r w:rsidR="00E50E95">
        <w:rPr>
          <w:sz w:val="20"/>
          <w:szCs w:val="20"/>
        </w:rPr>
        <w:t>t</w:t>
      </w:r>
      <w:r w:rsidR="00E50E95" w:rsidRPr="00FC3FBB">
        <w:rPr>
          <w:sz w:val="20"/>
          <w:szCs w:val="20"/>
        </w:rPr>
        <w:t>o determin</w:t>
      </w:r>
      <w:r w:rsidR="00D07DD0">
        <w:rPr>
          <w:sz w:val="20"/>
          <w:szCs w:val="20"/>
        </w:rPr>
        <w:t xml:space="preserve">e </w:t>
      </w:r>
      <w:r w:rsidR="00E50E95" w:rsidRPr="00FC3FBB">
        <w:rPr>
          <w:sz w:val="20"/>
          <w:szCs w:val="20"/>
        </w:rPr>
        <w:t>which areas are affordable for her budget</w:t>
      </w:r>
      <w:r w:rsidR="000B345E" w:rsidRPr="00FC3FBB">
        <w:rPr>
          <w:sz w:val="20"/>
          <w:szCs w:val="20"/>
        </w:rPr>
        <w:t>.  She also engages a New Zealand-based accountancy firm to advise her on the general tax implications of investing in land in New Zealand.</w:t>
      </w:r>
    </w:p>
    <w:p w:rsidR="000B345E" w:rsidRPr="00FC3FBB" w:rsidRDefault="000B345E" w:rsidP="00C959C2">
      <w:p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rPr>
          <w:sz w:val="20"/>
          <w:szCs w:val="20"/>
        </w:rPr>
      </w:pPr>
    </w:p>
    <w:p w:rsidR="000B345E" w:rsidRPr="00FC3FBB" w:rsidRDefault="00051687" w:rsidP="00C959C2">
      <w:p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rPr>
          <w:sz w:val="20"/>
          <w:szCs w:val="20"/>
        </w:rPr>
      </w:pPr>
      <w:r>
        <w:rPr>
          <w:sz w:val="20"/>
          <w:szCs w:val="20"/>
        </w:rPr>
        <w:t>Cynthia</w:t>
      </w:r>
      <w:r w:rsidR="000B345E" w:rsidRPr="00FC3FBB">
        <w:rPr>
          <w:sz w:val="20"/>
          <w:szCs w:val="20"/>
        </w:rPr>
        <w:t xml:space="preserve"> decides to </w:t>
      </w:r>
      <w:r w:rsidR="0015058B" w:rsidRPr="00FC3FBB">
        <w:rPr>
          <w:sz w:val="20"/>
          <w:szCs w:val="20"/>
        </w:rPr>
        <w:t xml:space="preserve">submit a tender </w:t>
      </w:r>
      <w:r w:rsidR="00755149">
        <w:rPr>
          <w:sz w:val="20"/>
          <w:szCs w:val="20"/>
        </w:rPr>
        <w:t>(</w:t>
      </w:r>
      <w:r w:rsidR="00F24699">
        <w:rPr>
          <w:sz w:val="20"/>
          <w:szCs w:val="20"/>
        </w:rPr>
        <w:t xml:space="preserve">through </w:t>
      </w:r>
      <w:r w:rsidR="00755149">
        <w:rPr>
          <w:sz w:val="20"/>
          <w:szCs w:val="20"/>
        </w:rPr>
        <w:t xml:space="preserve">a real estate agent) </w:t>
      </w:r>
      <w:r w:rsidR="0015058B" w:rsidRPr="00FC3FBB">
        <w:rPr>
          <w:sz w:val="20"/>
          <w:szCs w:val="20"/>
        </w:rPr>
        <w:t>for</w:t>
      </w:r>
      <w:r w:rsidR="000B345E" w:rsidRPr="00FC3FBB">
        <w:rPr>
          <w:sz w:val="20"/>
          <w:szCs w:val="20"/>
        </w:rPr>
        <w:t xml:space="preserve"> an empty lot of land in the Coromandel</w:t>
      </w:r>
      <w:r w:rsidR="002B4CA8">
        <w:rPr>
          <w:sz w:val="20"/>
          <w:szCs w:val="20"/>
        </w:rPr>
        <w:t xml:space="preserve">, </w:t>
      </w:r>
      <w:r w:rsidR="00F24699">
        <w:rPr>
          <w:sz w:val="20"/>
          <w:szCs w:val="20"/>
        </w:rPr>
        <w:t>where</w:t>
      </w:r>
      <w:r w:rsidR="0015058B" w:rsidRPr="00FC3FBB">
        <w:rPr>
          <w:sz w:val="20"/>
          <w:szCs w:val="20"/>
        </w:rPr>
        <w:t xml:space="preserve"> she intends to</w:t>
      </w:r>
      <w:r w:rsidR="000B345E" w:rsidRPr="00FC3FBB">
        <w:rPr>
          <w:sz w:val="20"/>
          <w:szCs w:val="20"/>
        </w:rPr>
        <w:t xml:space="preserve"> </w:t>
      </w:r>
      <w:r w:rsidR="00BC35FE">
        <w:rPr>
          <w:sz w:val="20"/>
          <w:szCs w:val="20"/>
        </w:rPr>
        <w:t>build</w:t>
      </w:r>
      <w:r w:rsidR="000B345E" w:rsidRPr="00FC3FBB">
        <w:rPr>
          <w:sz w:val="20"/>
          <w:szCs w:val="20"/>
        </w:rPr>
        <w:t xml:space="preserve"> a holiday home.  </w:t>
      </w:r>
      <w:r w:rsidR="0015058B" w:rsidRPr="00FC3FBB">
        <w:rPr>
          <w:sz w:val="20"/>
          <w:szCs w:val="20"/>
        </w:rPr>
        <w:t xml:space="preserve">Before submitting the tender, she engages </w:t>
      </w:r>
      <w:r w:rsidR="00581857" w:rsidRPr="00FC3FBB">
        <w:rPr>
          <w:sz w:val="20"/>
          <w:szCs w:val="20"/>
        </w:rPr>
        <w:t xml:space="preserve">a New Zealand-based solicitor to </w:t>
      </w:r>
      <w:r w:rsidR="005F42F6">
        <w:rPr>
          <w:sz w:val="20"/>
          <w:szCs w:val="20"/>
        </w:rPr>
        <w:t>provide her with legal advice</w:t>
      </w:r>
      <w:r w:rsidR="009047C0">
        <w:rPr>
          <w:sz w:val="20"/>
          <w:szCs w:val="20"/>
        </w:rPr>
        <w:t xml:space="preserve"> and undertake the conveyancing work</w:t>
      </w:r>
      <w:r w:rsidR="00581857" w:rsidRPr="00FC3FBB">
        <w:rPr>
          <w:sz w:val="20"/>
          <w:szCs w:val="20"/>
        </w:rPr>
        <w:t xml:space="preserve">.  </w:t>
      </w:r>
      <w:r w:rsidR="002B4CA8">
        <w:rPr>
          <w:sz w:val="20"/>
          <w:szCs w:val="20"/>
        </w:rPr>
        <w:t xml:space="preserve">She </w:t>
      </w:r>
      <w:r w:rsidR="00F24699">
        <w:rPr>
          <w:sz w:val="20"/>
          <w:szCs w:val="20"/>
        </w:rPr>
        <w:t>again phones the</w:t>
      </w:r>
      <w:r w:rsidR="0015058B" w:rsidRPr="00FC3FBB">
        <w:rPr>
          <w:sz w:val="20"/>
          <w:szCs w:val="20"/>
        </w:rPr>
        <w:t xml:space="preserve"> property valuation firm – this time to ascertain the market </w:t>
      </w:r>
      <w:r w:rsidR="00BC704B" w:rsidRPr="00FC3FBB">
        <w:rPr>
          <w:sz w:val="20"/>
          <w:szCs w:val="20"/>
        </w:rPr>
        <w:t>value of the Coromandel property</w:t>
      </w:r>
      <w:r w:rsidR="0015058B" w:rsidRPr="00FC3FBB">
        <w:rPr>
          <w:sz w:val="20"/>
          <w:szCs w:val="20"/>
        </w:rPr>
        <w:t xml:space="preserve">.  After her tender </w:t>
      </w:r>
      <w:r w:rsidR="00581857" w:rsidRPr="00FC3FBB">
        <w:rPr>
          <w:sz w:val="20"/>
          <w:szCs w:val="20"/>
        </w:rPr>
        <w:t>is accepted by the vendor,</w:t>
      </w:r>
      <w:r w:rsidR="00B84353" w:rsidRPr="00FC3FBB">
        <w:rPr>
          <w:sz w:val="20"/>
          <w:szCs w:val="20"/>
        </w:rPr>
        <w:t xml:space="preserve"> </w:t>
      </w:r>
      <w:r w:rsidR="0010710D" w:rsidRPr="00FC3FBB">
        <w:rPr>
          <w:sz w:val="20"/>
          <w:szCs w:val="20"/>
        </w:rPr>
        <w:t>she hires</w:t>
      </w:r>
      <w:r w:rsidR="00B84353" w:rsidRPr="00FC3FBB">
        <w:rPr>
          <w:sz w:val="20"/>
          <w:szCs w:val="20"/>
        </w:rPr>
        <w:t xml:space="preserve"> a New Zealand architect to draw up the building plans.</w:t>
      </w:r>
    </w:p>
    <w:p w:rsidR="00B84353" w:rsidRPr="00FC3FBB" w:rsidRDefault="00B84353" w:rsidP="00C959C2">
      <w:p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rPr>
          <w:sz w:val="20"/>
          <w:szCs w:val="20"/>
        </w:rPr>
      </w:pPr>
    </w:p>
    <w:p w:rsidR="00EF7CA3" w:rsidRDefault="00E067CD" w:rsidP="00C959C2">
      <w:p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rPr>
          <w:sz w:val="20"/>
          <w:szCs w:val="20"/>
        </w:rPr>
      </w:pPr>
      <w:r w:rsidRPr="00FC3FBB">
        <w:rPr>
          <w:sz w:val="20"/>
          <w:szCs w:val="20"/>
        </w:rPr>
        <w:t xml:space="preserve">The supply of property valuation services </w:t>
      </w:r>
      <w:r w:rsidR="00584D9E">
        <w:rPr>
          <w:sz w:val="20"/>
          <w:szCs w:val="20"/>
        </w:rPr>
        <w:t>(</w:t>
      </w:r>
      <w:r w:rsidRPr="00FC3FBB">
        <w:rPr>
          <w:sz w:val="20"/>
          <w:szCs w:val="20"/>
        </w:rPr>
        <w:t>relating to the New Zealand housing market</w:t>
      </w:r>
      <w:r w:rsidR="00E64EDD">
        <w:rPr>
          <w:sz w:val="20"/>
          <w:szCs w:val="20"/>
        </w:rPr>
        <w:t xml:space="preserve"> generally</w:t>
      </w:r>
      <w:r w:rsidRPr="00FC3FBB">
        <w:rPr>
          <w:sz w:val="20"/>
          <w:szCs w:val="20"/>
        </w:rPr>
        <w:t xml:space="preserve"> </w:t>
      </w:r>
      <w:r w:rsidR="002B4CA8">
        <w:rPr>
          <w:sz w:val="20"/>
          <w:szCs w:val="20"/>
        </w:rPr>
        <w:t>by region</w:t>
      </w:r>
      <w:r w:rsidR="00584D9E">
        <w:rPr>
          <w:sz w:val="20"/>
          <w:szCs w:val="20"/>
        </w:rPr>
        <w:t>)</w:t>
      </w:r>
      <w:r w:rsidRPr="00FC3FBB">
        <w:rPr>
          <w:sz w:val="20"/>
          <w:szCs w:val="20"/>
        </w:rPr>
        <w:t xml:space="preserve"> and the provision of general advice relating to the tax implications </w:t>
      </w:r>
      <w:r w:rsidR="007E2DFC" w:rsidRPr="00FC3FBB">
        <w:rPr>
          <w:sz w:val="20"/>
          <w:szCs w:val="20"/>
        </w:rPr>
        <w:t>of investing in New Zealand property are</w:t>
      </w:r>
      <w:r w:rsidR="00584D9E">
        <w:rPr>
          <w:sz w:val="20"/>
          <w:szCs w:val="20"/>
        </w:rPr>
        <w:t xml:space="preserve"> both</w:t>
      </w:r>
      <w:r w:rsidR="007E2DFC" w:rsidRPr="00FC3FBB">
        <w:rPr>
          <w:sz w:val="20"/>
          <w:szCs w:val="20"/>
        </w:rPr>
        <w:t xml:space="preserve"> zero-rated under section 11A(1)(k)</w:t>
      </w:r>
      <w:r w:rsidR="00B96031">
        <w:rPr>
          <w:sz w:val="20"/>
          <w:szCs w:val="20"/>
        </w:rPr>
        <w:t xml:space="preserve">.  This is because </w:t>
      </w:r>
      <w:r w:rsidR="00584D9E">
        <w:rPr>
          <w:sz w:val="20"/>
          <w:szCs w:val="20"/>
        </w:rPr>
        <w:t>neither of these services a</w:t>
      </w:r>
      <w:r w:rsidR="002B4CA8">
        <w:rPr>
          <w:sz w:val="20"/>
          <w:szCs w:val="20"/>
        </w:rPr>
        <w:t>re directly connected with land</w:t>
      </w:r>
      <w:r w:rsidR="00B96031">
        <w:rPr>
          <w:sz w:val="20"/>
          <w:szCs w:val="20"/>
        </w:rPr>
        <w:t xml:space="preserve">, </w:t>
      </w:r>
      <w:r w:rsidR="00584D9E">
        <w:rPr>
          <w:sz w:val="20"/>
          <w:szCs w:val="20"/>
        </w:rPr>
        <w:t xml:space="preserve">nor do they </w:t>
      </w:r>
      <w:r w:rsidR="004F31A2">
        <w:rPr>
          <w:sz w:val="20"/>
          <w:szCs w:val="20"/>
        </w:rPr>
        <w:t xml:space="preserve">have a sufficient nexus with any specific </w:t>
      </w:r>
      <w:r w:rsidR="00F24699">
        <w:rPr>
          <w:sz w:val="20"/>
          <w:szCs w:val="20"/>
        </w:rPr>
        <w:t xml:space="preserve">piece of </w:t>
      </w:r>
      <w:r w:rsidR="004F31A2">
        <w:rPr>
          <w:sz w:val="20"/>
          <w:szCs w:val="20"/>
        </w:rPr>
        <w:t xml:space="preserve">New Zealand land to be </w:t>
      </w:r>
      <w:r w:rsidR="0005292F">
        <w:rPr>
          <w:sz w:val="20"/>
          <w:szCs w:val="20"/>
        </w:rPr>
        <w:t>“intended to</w:t>
      </w:r>
      <w:r w:rsidR="004F31A2">
        <w:rPr>
          <w:sz w:val="20"/>
          <w:szCs w:val="20"/>
        </w:rPr>
        <w:t xml:space="preserve"> </w:t>
      </w:r>
      <w:r w:rsidR="00584D9E">
        <w:rPr>
          <w:sz w:val="20"/>
          <w:szCs w:val="20"/>
        </w:rPr>
        <w:t xml:space="preserve">enable or assist a change in the physical </w:t>
      </w:r>
      <w:r w:rsidR="00350995">
        <w:rPr>
          <w:sz w:val="20"/>
          <w:szCs w:val="20"/>
        </w:rPr>
        <w:t>condition</w:t>
      </w:r>
      <w:r w:rsidR="00584D9E">
        <w:rPr>
          <w:sz w:val="20"/>
          <w:szCs w:val="20"/>
        </w:rPr>
        <w:t xml:space="preserve">, </w:t>
      </w:r>
      <w:r w:rsidR="007D0C6C">
        <w:rPr>
          <w:sz w:val="20"/>
          <w:szCs w:val="20"/>
        </w:rPr>
        <w:t xml:space="preserve">or </w:t>
      </w:r>
      <w:r w:rsidR="00584D9E">
        <w:rPr>
          <w:sz w:val="20"/>
          <w:szCs w:val="20"/>
        </w:rPr>
        <w:t>ownership or other legal status</w:t>
      </w:r>
      <w:r w:rsidR="004F31A2">
        <w:rPr>
          <w:sz w:val="20"/>
          <w:szCs w:val="20"/>
        </w:rPr>
        <w:t>”</w:t>
      </w:r>
      <w:r w:rsidR="00584D9E">
        <w:rPr>
          <w:sz w:val="20"/>
          <w:szCs w:val="20"/>
        </w:rPr>
        <w:t xml:space="preserve"> of </w:t>
      </w:r>
      <w:r w:rsidR="004F31A2">
        <w:rPr>
          <w:sz w:val="20"/>
          <w:szCs w:val="20"/>
        </w:rPr>
        <w:t>l</w:t>
      </w:r>
      <w:r w:rsidR="00584D9E">
        <w:rPr>
          <w:sz w:val="20"/>
          <w:szCs w:val="20"/>
        </w:rPr>
        <w:t>and in New Zealand</w:t>
      </w:r>
      <w:r w:rsidR="00EF7CA3">
        <w:rPr>
          <w:sz w:val="20"/>
          <w:szCs w:val="20"/>
        </w:rPr>
        <w:t>.</w:t>
      </w:r>
    </w:p>
    <w:p w:rsidR="00EF7CA3" w:rsidRDefault="00EF7CA3" w:rsidP="00C959C2">
      <w:p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rPr>
          <w:sz w:val="20"/>
          <w:szCs w:val="20"/>
        </w:rPr>
      </w:pPr>
    </w:p>
    <w:p w:rsidR="007D37C3" w:rsidRDefault="007E2DFC" w:rsidP="00C959C2">
      <w:p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rPr>
          <w:sz w:val="20"/>
          <w:szCs w:val="20"/>
        </w:rPr>
      </w:pPr>
      <w:r w:rsidRPr="00FC3FBB">
        <w:rPr>
          <w:sz w:val="20"/>
          <w:szCs w:val="20"/>
        </w:rPr>
        <w:t xml:space="preserve">However, the </w:t>
      </w:r>
      <w:r w:rsidR="00F24699">
        <w:rPr>
          <w:sz w:val="20"/>
          <w:szCs w:val="20"/>
        </w:rPr>
        <w:t>conveyancing</w:t>
      </w:r>
      <w:r w:rsidR="00F24699" w:rsidRPr="00FC3FBB">
        <w:rPr>
          <w:sz w:val="20"/>
          <w:szCs w:val="20"/>
        </w:rPr>
        <w:t xml:space="preserve"> </w:t>
      </w:r>
      <w:r w:rsidRPr="00FC3FBB">
        <w:rPr>
          <w:sz w:val="20"/>
          <w:szCs w:val="20"/>
        </w:rPr>
        <w:t xml:space="preserve">and architectural services, </w:t>
      </w:r>
      <w:r w:rsidR="00755149">
        <w:rPr>
          <w:sz w:val="20"/>
          <w:szCs w:val="20"/>
        </w:rPr>
        <w:t>the services provided by the real estate agent and</w:t>
      </w:r>
      <w:r w:rsidRPr="00FC3FBB">
        <w:rPr>
          <w:sz w:val="20"/>
          <w:szCs w:val="20"/>
        </w:rPr>
        <w:t xml:space="preserve"> the valuation services </w:t>
      </w:r>
      <w:r w:rsidR="0093799F">
        <w:rPr>
          <w:sz w:val="20"/>
          <w:szCs w:val="20"/>
        </w:rPr>
        <w:t xml:space="preserve">specifically </w:t>
      </w:r>
      <w:r w:rsidRPr="00FC3FBB">
        <w:rPr>
          <w:sz w:val="20"/>
          <w:szCs w:val="20"/>
        </w:rPr>
        <w:t>rela</w:t>
      </w:r>
      <w:r w:rsidR="00F03E78">
        <w:rPr>
          <w:sz w:val="20"/>
          <w:szCs w:val="20"/>
        </w:rPr>
        <w:t>ting to the Coromandel property</w:t>
      </w:r>
      <w:r w:rsidRPr="00FC3FBB">
        <w:rPr>
          <w:sz w:val="20"/>
          <w:szCs w:val="20"/>
        </w:rPr>
        <w:t xml:space="preserve"> do not qualify for zero-rating under section 11A(1)(k), as the exc</w:t>
      </w:r>
      <w:r w:rsidR="002B4CA8">
        <w:rPr>
          <w:sz w:val="20"/>
          <w:szCs w:val="20"/>
        </w:rPr>
        <w:t>lusion in paragraph (i) applies.  T</w:t>
      </w:r>
      <w:r w:rsidRPr="00FC3FBB">
        <w:rPr>
          <w:sz w:val="20"/>
          <w:szCs w:val="20"/>
        </w:rPr>
        <w:t xml:space="preserve">hese services are supplied in connection with specific land in New Zealand and are intended to assist or enable a change in the ownership </w:t>
      </w:r>
      <w:r w:rsidR="004F31A2">
        <w:rPr>
          <w:sz w:val="20"/>
          <w:szCs w:val="20"/>
        </w:rPr>
        <w:t xml:space="preserve">status or physical </w:t>
      </w:r>
      <w:r w:rsidR="007D0C6C">
        <w:rPr>
          <w:sz w:val="20"/>
          <w:szCs w:val="20"/>
        </w:rPr>
        <w:t>condition</w:t>
      </w:r>
      <w:r w:rsidR="004F31A2">
        <w:rPr>
          <w:sz w:val="20"/>
          <w:szCs w:val="20"/>
        </w:rPr>
        <w:t xml:space="preserve"> of that</w:t>
      </w:r>
      <w:r w:rsidRPr="00FC3FBB">
        <w:rPr>
          <w:sz w:val="20"/>
          <w:szCs w:val="20"/>
        </w:rPr>
        <w:t xml:space="preserve"> land.  These supplies are therefore charged with GST at 15%.</w:t>
      </w:r>
    </w:p>
    <w:p w:rsidR="008B668C" w:rsidRDefault="008B668C" w:rsidP="00C959C2">
      <w:p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rPr>
          <w:sz w:val="20"/>
          <w:szCs w:val="20"/>
        </w:rPr>
      </w:pPr>
    </w:p>
    <w:p w:rsidR="00AE3FAB" w:rsidRDefault="003133A6" w:rsidP="00C959C2">
      <w:p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Even if Cynthia’s </w:t>
      </w:r>
      <w:r w:rsidR="00AC58E5">
        <w:rPr>
          <w:sz w:val="20"/>
          <w:szCs w:val="20"/>
        </w:rPr>
        <w:t xml:space="preserve">tender had not been accepted by the vendor, </w:t>
      </w:r>
      <w:r w:rsidR="00FF663C">
        <w:rPr>
          <w:sz w:val="20"/>
          <w:szCs w:val="20"/>
        </w:rPr>
        <w:t>the legal and valuation</w:t>
      </w:r>
      <w:r w:rsidR="0005292F">
        <w:rPr>
          <w:sz w:val="20"/>
          <w:szCs w:val="20"/>
        </w:rPr>
        <w:t xml:space="preserve"> services </w:t>
      </w:r>
      <w:r w:rsidR="007D37C3">
        <w:rPr>
          <w:sz w:val="20"/>
          <w:szCs w:val="20"/>
        </w:rPr>
        <w:t xml:space="preserve">relating to the Coromandel property </w:t>
      </w:r>
      <w:r w:rsidR="0005292F">
        <w:rPr>
          <w:sz w:val="20"/>
          <w:szCs w:val="20"/>
        </w:rPr>
        <w:t>would</w:t>
      </w:r>
      <w:r w:rsidR="005E76E0">
        <w:rPr>
          <w:sz w:val="20"/>
          <w:szCs w:val="20"/>
        </w:rPr>
        <w:t>, on an objective assessment of Cynthia’s intention in respect to the Coromandel property,</w:t>
      </w:r>
      <w:r w:rsidR="0005292F">
        <w:rPr>
          <w:sz w:val="20"/>
          <w:szCs w:val="20"/>
        </w:rPr>
        <w:t xml:space="preserve"> </w:t>
      </w:r>
      <w:r w:rsidR="00753C71">
        <w:rPr>
          <w:sz w:val="20"/>
          <w:szCs w:val="20"/>
        </w:rPr>
        <w:t>still</w:t>
      </w:r>
      <w:r w:rsidR="0005292F">
        <w:rPr>
          <w:sz w:val="20"/>
          <w:szCs w:val="20"/>
        </w:rPr>
        <w:t xml:space="preserve"> be charged with GST at 15% because they are</w:t>
      </w:r>
      <w:r w:rsidR="00753C71">
        <w:rPr>
          <w:sz w:val="20"/>
          <w:szCs w:val="20"/>
        </w:rPr>
        <w:t xml:space="preserve"> </w:t>
      </w:r>
      <w:r w:rsidR="0005292F">
        <w:rPr>
          <w:i/>
          <w:sz w:val="20"/>
          <w:szCs w:val="20"/>
        </w:rPr>
        <w:t xml:space="preserve">intended </w:t>
      </w:r>
      <w:r w:rsidR="0005292F" w:rsidRPr="00E50E95">
        <w:rPr>
          <w:sz w:val="20"/>
          <w:szCs w:val="20"/>
        </w:rPr>
        <w:t xml:space="preserve">to </w:t>
      </w:r>
      <w:r w:rsidR="0005292F">
        <w:rPr>
          <w:sz w:val="20"/>
          <w:szCs w:val="20"/>
        </w:rPr>
        <w:t>assist a change in the ownership status of the land.</w:t>
      </w:r>
      <w:r w:rsidR="00FF663C">
        <w:rPr>
          <w:sz w:val="20"/>
          <w:szCs w:val="20"/>
        </w:rPr>
        <w:t xml:space="preserve">  Similarly, if Cynthia had decided not to proceed with constructing a building on the site after the plans were drawn up, the architectural services would still be </w:t>
      </w:r>
      <w:r w:rsidR="007D37C3">
        <w:rPr>
          <w:sz w:val="20"/>
          <w:szCs w:val="20"/>
        </w:rPr>
        <w:t>charged with GST at 15% as they are related to specific land and</w:t>
      </w:r>
      <w:r w:rsidR="003E5B13">
        <w:rPr>
          <w:sz w:val="20"/>
          <w:szCs w:val="20"/>
        </w:rPr>
        <w:t xml:space="preserve"> were, at the time of supply,</w:t>
      </w:r>
      <w:r w:rsidR="007D37C3">
        <w:rPr>
          <w:sz w:val="20"/>
          <w:szCs w:val="20"/>
        </w:rPr>
        <w:t xml:space="preserve"> intended to assist a change in the physical condition of the land.</w:t>
      </w:r>
    </w:p>
    <w:p w:rsidR="00330768" w:rsidRPr="00FC3FBB" w:rsidRDefault="00330768" w:rsidP="00691B0C">
      <w:pPr>
        <w:rPr>
          <w:szCs w:val="20"/>
        </w:rPr>
      </w:pPr>
    </w:p>
    <w:p w:rsidR="00691B0C" w:rsidRPr="00FC3FBB" w:rsidRDefault="00691B0C" w:rsidP="00691B0C">
      <w:p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rPr>
          <w:b/>
          <w:sz w:val="20"/>
          <w:szCs w:val="20"/>
        </w:rPr>
      </w:pPr>
      <w:r w:rsidRPr="00FC3FBB">
        <w:rPr>
          <w:b/>
          <w:sz w:val="20"/>
          <w:szCs w:val="20"/>
        </w:rPr>
        <w:t>Example</w:t>
      </w:r>
      <w:r>
        <w:rPr>
          <w:b/>
          <w:sz w:val="20"/>
          <w:szCs w:val="20"/>
        </w:rPr>
        <w:t xml:space="preserve"> 3</w:t>
      </w:r>
    </w:p>
    <w:p w:rsidR="00691B0C" w:rsidRPr="00FC3FBB" w:rsidRDefault="00691B0C" w:rsidP="00691B0C">
      <w:p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rPr>
          <w:sz w:val="20"/>
          <w:szCs w:val="20"/>
        </w:rPr>
      </w:pPr>
    </w:p>
    <w:p w:rsidR="00691B0C" w:rsidRDefault="00691B0C" w:rsidP="00691B0C">
      <w:p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rPr>
          <w:sz w:val="20"/>
          <w:szCs w:val="20"/>
        </w:rPr>
      </w:pPr>
      <w:r>
        <w:rPr>
          <w:sz w:val="20"/>
          <w:szCs w:val="20"/>
        </w:rPr>
        <w:t>Gary is a non-resident who is interested in buying a house in New Zealand.  During his se</w:t>
      </w:r>
      <w:r w:rsidR="00DF637E">
        <w:rPr>
          <w:sz w:val="20"/>
          <w:szCs w:val="20"/>
        </w:rPr>
        <w:t xml:space="preserve">arch on the internet, he finds </w:t>
      </w:r>
      <w:r w:rsidR="00EE2ADB">
        <w:rPr>
          <w:sz w:val="20"/>
          <w:szCs w:val="20"/>
        </w:rPr>
        <w:t>ten</w:t>
      </w:r>
      <w:r>
        <w:rPr>
          <w:sz w:val="20"/>
          <w:szCs w:val="20"/>
        </w:rPr>
        <w:t xml:space="preserve"> different properties of interest to him.  To </w:t>
      </w:r>
      <w:r w:rsidR="00B0106E">
        <w:rPr>
          <w:sz w:val="20"/>
          <w:szCs w:val="20"/>
        </w:rPr>
        <w:t>help him compare</w:t>
      </w:r>
      <w:r>
        <w:rPr>
          <w:sz w:val="20"/>
          <w:szCs w:val="20"/>
        </w:rPr>
        <w:t xml:space="preserve"> each property, he places an order through the website of a New Zealand property valuation firm for an electronic set of valuation reports for each pr</w:t>
      </w:r>
      <w:r w:rsidR="005F5BF5">
        <w:rPr>
          <w:sz w:val="20"/>
          <w:szCs w:val="20"/>
        </w:rPr>
        <w:t>operty that he is interested in</w:t>
      </w:r>
      <w:r>
        <w:rPr>
          <w:sz w:val="20"/>
          <w:szCs w:val="20"/>
        </w:rPr>
        <w:t>.  Each report includes a valuation generated by an electronic algorithm, based on recent sales of properties which are both nearby and comparable to the property for which the valuation is requested.</w:t>
      </w:r>
    </w:p>
    <w:p w:rsidR="00691B0C" w:rsidRDefault="00691B0C" w:rsidP="00691B0C">
      <w:p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rPr>
          <w:sz w:val="20"/>
          <w:szCs w:val="20"/>
        </w:rPr>
      </w:pPr>
    </w:p>
    <w:p w:rsidR="00691B0C" w:rsidRDefault="00691B0C" w:rsidP="00691B0C">
      <w:p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rPr>
          <w:sz w:val="20"/>
          <w:szCs w:val="20"/>
        </w:rPr>
      </w:pPr>
      <w:r>
        <w:rPr>
          <w:sz w:val="20"/>
          <w:szCs w:val="20"/>
        </w:rPr>
        <w:t>Although the valuation services do relate to specific land in New Zealand (each valuation report ordered is for a specific title of land), the valuation services cannot</w:t>
      </w:r>
      <w:r w:rsidR="00437DA6">
        <w:rPr>
          <w:sz w:val="20"/>
          <w:szCs w:val="20"/>
        </w:rPr>
        <w:t xml:space="preserve"> objectively</w:t>
      </w:r>
      <w:r>
        <w:rPr>
          <w:sz w:val="20"/>
          <w:szCs w:val="20"/>
        </w:rPr>
        <w:t xml:space="preserve"> be said to be intended to enable or assist a change in the legal nature or ownership status of any of those specific titles of land, as </w:t>
      </w:r>
      <w:r w:rsidR="000B3E70">
        <w:rPr>
          <w:sz w:val="20"/>
          <w:szCs w:val="20"/>
        </w:rPr>
        <w:t xml:space="preserve">it would be reasonable to assume that </w:t>
      </w:r>
      <w:r>
        <w:rPr>
          <w:sz w:val="20"/>
          <w:szCs w:val="20"/>
        </w:rPr>
        <w:t>Gary</w:t>
      </w:r>
      <w:r w:rsidR="006A6952">
        <w:rPr>
          <w:sz w:val="20"/>
          <w:szCs w:val="20"/>
        </w:rPr>
        <w:t xml:space="preserve"> </w:t>
      </w:r>
      <w:r w:rsidR="000B3E70">
        <w:rPr>
          <w:sz w:val="20"/>
          <w:szCs w:val="20"/>
        </w:rPr>
        <w:t>does not have a</w:t>
      </w:r>
      <w:r w:rsidR="006A6952">
        <w:rPr>
          <w:sz w:val="20"/>
          <w:szCs w:val="20"/>
        </w:rPr>
        <w:t xml:space="preserve"> specif</w:t>
      </w:r>
      <w:r w:rsidR="006A6952" w:rsidRPr="008B5539">
        <w:rPr>
          <w:sz w:val="20"/>
          <w:szCs w:val="20"/>
        </w:rPr>
        <w:t>ic</w:t>
      </w:r>
      <w:r w:rsidRPr="008B5539">
        <w:rPr>
          <w:sz w:val="20"/>
          <w:szCs w:val="20"/>
        </w:rPr>
        <w:t xml:space="preserve"> intention</w:t>
      </w:r>
      <w:r w:rsidR="00631E65">
        <w:rPr>
          <w:sz w:val="20"/>
          <w:szCs w:val="20"/>
        </w:rPr>
        <w:t xml:space="preserve"> </w:t>
      </w:r>
      <w:r w:rsidRPr="00631E65">
        <w:rPr>
          <w:sz w:val="20"/>
          <w:szCs w:val="20"/>
        </w:rPr>
        <w:t>to</w:t>
      </w:r>
      <w:r w:rsidR="00412FC7">
        <w:rPr>
          <w:sz w:val="20"/>
          <w:szCs w:val="20"/>
        </w:rPr>
        <w:t xml:space="preserve"> purchase</w:t>
      </w:r>
      <w:r w:rsidRPr="00631E65">
        <w:rPr>
          <w:sz w:val="20"/>
          <w:szCs w:val="20"/>
        </w:rPr>
        <w:t xml:space="preserve"> </w:t>
      </w:r>
      <w:r w:rsidR="000B3E70" w:rsidRPr="00631E65">
        <w:rPr>
          <w:sz w:val="20"/>
          <w:szCs w:val="20"/>
        </w:rPr>
        <w:t xml:space="preserve">all </w:t>
      </w:r>
      <w:r w:rsidR="000B3E70" w:rsidRPr="008B5539">
        <w:rPr>
          <w:sz w:val="20"/>
          <w:szCs w:val="20"/>
        </w:rPr>
        <w:t>ten</w:t>
      </w:r>
      <w:r w:rsidRPr="008B5539">
        <w:rPr>
          <w:sz w:val="20"/>
          <w:szCs w:val="20"/>
        </w:rPr>
        <w:t xml:space="preserve"> properties.  (In this c</w:t>
      </w:r>
      <w:r>
        <w:rPr>
          <w:sz w:val="20"/>
          <w:szCs w:val="20"/>
        </w:rPr>
        <w:t xml:space="preserve">ase, the property valuation services would be considered to be too many steps removed from the process of changing the ownership status of any one of those </w:t>
      </w:r>
      <w:r w:rsidR="00EE2ADB">
        <w:rPr>
          <w:sz w:val="20"/>
          <w:szCs w:val="20"/>
        </w:rPr>
        <w:t>ten</w:t>
      </w:r>
      <w:r>
        <w:rPr>
          <w:sz w:val="20"/>
          <w:szCs w:val="20"/>
        </w:rPr>
        <w:t xml:space="preserve"> specific</w:t>
      </w:r>
      <w:r w:rsidR="007D59D4">
        <w:rPr>
          <w:sz w:val="20"/>
          <w:szCs w:val="20"/>
        </w:rPr>
        <w:t xml:space="preserve"> properties</w:t>
      </w:r>
      <w:r>
        <w:rPr>
          <w:sz w:val="20"/>
          <w:szCs w:val="20"/>
        </w:rPr>
        <w:t xml:space="preserve">.)  The supply of </w:t>
      </w:r>
      <w:r w:rsidR="0042230C">
        <w:rPr>
          <w:sz w:val="20"/>
          <w:szCs w:val="20"/>
        </w:rPr>
        <w:t xml:space="preserve">property </w:t>
      </w:r>
      <w:r>
        <w:rPr>
          <w:sz w:val="20"/>
          <w:szCs w:val="20"/>
        </w:rPr>
        <w:t>valuation services is therefore zero-rated under section 11A(1)(k) (as they would have been under the existing “directly in connection” test).</w:t>
      </w:r>
    </w:p>
    <w:p w:rsidR="00F81D0E" w:rsidRDefault="00F81D0E" w:rsidP="00F81D0E">
      <w:pPr>
        <w:rPr>
          <w:szCs w:val="20"/>
        </w:rPr>
      </w:pPr>
    </w:p>
    <w:p w:rsidR="001A0D9E" w:rsidRPr="00FC3FBB" w:rsidRDefault="001A0D9E" w:rsidP="00F81D0E">
      <w:pPr>
        <w:rPr>
          <w:szCs w:val="20"/>
        </w:rPr>
      </w:pPr>
    </w:p>
    <w:p w:rsidR="000E63E0" w:rsidRPr="00FC3FBB" w:rsidRDefault="000E63E0" w:rsidP="000E63E0">
      <w:p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rPr>
          <w:b/>
          <w:sz w:val="20"/>
          <w:szCs w:val="20"/>
        </w:rPr>
      </w:pPr>
      <w:r w:rsidRPr="00FC3FBB">
        <w:rPr>
          <w:b/>
          <w:sz w:val="20"/>
          <w:szCs w:val="20"/>
        </w:rPr>
        <w:t>Example</w:t>
      </w:r>
      <w:r w:rsidR="005F5BF5">
        <w:rPr>
          <w:b/>
          <w:sz w:val="20"/>
          <w:szCs w:val="20"/>
        </w:rPr>
        <w:t xml:space="preserve"> 4</w:t>
      </w:r>
    </w:p>
    <w:p w:rsidR="000E63E0" w:rsidRPr="00FC3FBB" w:rsidRDefault="000E63E0" w:rsidP="000E63E0">
      <w:p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rPr>
          <w:sz w:val="20"/>
          <w:szCs w:val="20"/>
        </w:rPr>
      </w:pPr>
    </w:p>
    <w:p w:rsidR="000E63E0" w:rsidRDefault="000E63E0" w:rsidP="000E63E0">
      <w:p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Nehal is </w:t>
      </w:r>
      <w:r w:rsidR="00BD11C2">
        <w:rPr>
          <w:sz w:val="20"/>
          <w:szCs w:val="20"/>
        </w:rPr>
        <w:t>an</w:t>
      </w:r>
      <w:r>
        <w:rPr>
          <w:sz w:val="20"/>
          <w:szCs w:val="20"/>
        </w:rPr>
        <w:t xml:space="preserve"> Australian resident who is </w:t>
      </w:r>
      <w:r w:rsidR="00D7483C">
        <w:rPr>
          <w:sz w:val="20"/>
          <w:szCs w:val="20"/>
        </w:rPr>
        <w:t>looking to invest</w:t>
      </w:r>
      <w:r>
        <w:rPr>
          <w:sz w:val="20"/>
          <w:szCs w:val="20"/>
        </w:rPr>
        <w:t xml:space="preserve"> in </w:t>
      </w:r>
      <w:r w:rsidR="00D7483C">
        <w:rPr>
          <w:sz w:val="20"/>
          <w:szCs w:val="20"/>
        </w:rPr>
        <w:t>New Zealand real estate</w:t>
      </w:r>
      <w:r>
        <w:rPr>
          <w:sz w:val="20"/>
          <w:szCs w:val="20"/>
        </w:rPr>
        <w:t>.</w:t>
      </w:r>
      <w:r w:rsidR="00635A1D">
        <w:rPr>
          <w:sz w:val="20"/>
          <w:szCs w:val="20"/>
        </w:rPr>
        <w:t xml:space="preserve">  During his search</w:t>
      </w:r>
      <w:r w:rsidR="00581DF9">
        <w:rPr>
          <w:sz w:val="20"/>
          <w:szCs w:val="20"/>
        </w:rPr>
        <w:t xml:space="preserve"> on the internet</w:t>
      </w:r>
      <w:r w:rsidR="00635A1D">
        <w:rPr>
          <w:sz w:val="20"/>
          <w:szCs w:val="20"/>
        </w:rPr>
        <w:t xml:space="preserve">, he discovers a large lot of empty land in the Northern Wellington </w:t>
      </w:r>
      <w:r w:rsidR="00B0106E">
        <w:rPr>
          <w:sz w:val="20"/>
          <w:szCs w:val="20"/>
        </w:rPr>
        <w:t>area</w:t>
      </w:r>
      <w:r w:rsidR="00635A1D">
        <w:rPr>
          <w:sz w:val="20"/>
          <w:szCs w:val="20"/>
        </w:rPr>
        <w:t xml:space="preserve"> which he thinks would be perfect for subdividing and constructing </w:t>
      </w:r>
      <w:r w:rsidR="000D4657">
        <w:rPr>
          <w:sz w:val="20"/>
          <w:szCs w:val="20"/>
        </w:rPr>
        <w:t>two</w:t>
      </w:r>
      <w:r w:rsidR="00635A1D">
        <w:rPr>
          <w:sz w:val="20"/>
          <w:szCs w:val="20"/>
        </w:rPr>
        <w:t xml:space="preserve"> large</w:t>
      </w:r>
      <w:r w:rsidR="00461D80">
        <w:rPr>
          <w:sz w:val="20"/>
          <w:szCs w:val="20"/>
        </w:rPr>
        <w:t xml:space="preserve"> multi-storey</w:t>
      </w:r>
      <w:r w:rsidR="00635A1D">
        <w:rPr>
          <w:sz w:val="20"/>
          <w:szCs w:val="20"/>
        </w:rPr>
        <w:t xml:space="preserve"> houses.</w:t>
      </w:r>
      <w:r w:rsidR="006D2019">
        <w:rPr>
          <w:sz w:val="20"/>
          <w:szCs w:val="20"/>
        </w:rPr>
        <w:t xml:space="preserve">  </w:t>
      </w:r>
      <w:r w:rsidR="00581DF9">
        <w:rPr>
          <w:sz w:val="20"/>
          <w:szCs w:val="20"/>
        </w:rPr>
        <w:t xml:space="preserve">He hires </w:t>
      </w:r>
      <w:r w:rsidR="00BD11C2">
        <w:rPr>
          <w:sz w:val="20"/>
          <w:szCs w:val="20"/>
        </w:rPr>
        <w:t>Tamati, a New Zealand resident, to act as his agent in tendering for the property.</w:t>
      </w:r>
    </w:p>
    <w:p w:rsidR="00BD11C2" w:rsidRDefault="00BD11C2" w:rsidP="000E63E0">
      <w:p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rPr>
          <w:sz w:val="20"/>
          <w:szCs w:val="20"/>
        </w:rPr>
      </w:pPr>
    </w:p>
    <w:p w:rsidR="002E6168" w:rsidRDefault="00BD11C2" w:rsidP="000E63E0">
      <w:p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The tender submitted by Tamati for the land </w:t>
      </w:r>
      <w:r w:rsidR="00BE7BA7">
        <w:rPr>
          <w:sz w:val="20"/>
          <w:szCs w:val="20"/>
        </w:rPr>
        <w:t>is</w:t>
      </w:r>
      <w:r>
        <w:rPr>
          <w:sz w:val="20"/>
          <w:szCs w:val="20"/>
        </w:rPr>
        <w:t xml:space="preserve"> successful</w:t>
      </w:r>
      <w:r w:rsidR="002A034F">
        <w:rPr>
          <w:sz w:val="20"/>
          <w:szCs w:val="20"/>
        </w:rPr>
        <w:t xml:space="preserve">, </w:t>
      </w:r>
      <w:r w:rsidR="00BE7BA7">
        <w:rPr>
          <w:sz w:val="20"/>
          <w:szCs w:val="20"/>
        </w:rPr>
        <w:t xml:space="preserve">and </w:t>
      </w:r>
      <w:r w:rsidR="00BE7BA7" w:rsidRPr="00BE7BA7">
        <w:rPr>
          <w:sz w:val="20"/>
          <w:szCs w:val="20"/>
        </w:rPr>
        <w:t xml:space="preserve">from his home in Sydney </w:t>
      </w:r>
      <w:r w:rsidR="002A034F">
        <w:rPr>
          <w:sz w:val="20"/>
          <w:szCs w:val="20"/>
        </w:rPr>
        <w:t>Nehal begins planning for develop</w:t>
      </w:r>
      <w:r w:rsidR="00BE7BA7">
        <w:rPr>
          <w:sz w:val="20"/>
          <w:szCs w:val="20"/>
        </w:rPr>
        <w:t>ing</w:t>
      </w:r>
      <w:r w:rsidR="002A034F">
        <w:rPr>
          <w:sz w:val="20"/>
          <w:szCs w:val="20"/>
        </w:rPr>
        <w:t xml:space="preserve"> the land.  </w:t>
      </w:r>
      <w:r w:rsidR="00D7483C">
        <w:rPr>
          <w:sz w:val="20"/>
          <w:szCs w:val="20"/>
        </w:rPr>
        <w:t>He hires Paul, a New Zealand-resi</w:t>
      </w:r>
      <w:r w:rsidR="00A72418">
        <w:rPr>
          <w:sz w:val="20"/>
          <w:szCs w:val="20"/>
        </w:rPr>
        <w:t>dent lawyer based in Wellington to perform the conv</w:t>
      </w:r>
      <w:r w:rsidR="00461D80">
        <w:rPr>
          <w:sz w:val="20"/>
          <w:szCs w:val="20"/>
        </w:rPr>
        <w:t xml:space="preserve">eyancing and subdivision work.  When construction </w:t>
      </w:r>
      <w:r w:rsidR="00BE7BA7">
        <w:rPr>
          <w:sz w:val="20"/>
          <w:szCs w:val="20"/>
        </w:rPr>
        <w:t>begins</w:t>
      </w:r>
      <w:r w:rsidR="00461D80">
        <w:rPr>
          <w:sz w:val="20"/>
          <w:szCs w:val="20"/>
        </w:rPr>
        <w:t>, Nehal hires a</w:t>
      </w:r>
      <w:r w:rsidR="007C0630">
        <w:rPr>
          <w:sz w:val="20"/>
          <w:szCs w:val="20"/>
        </w:rPr>
        <w:t xml:space="preserve"> Wellington-based</w:t>
      </w:r>
      <w:r w:rsidR="00461D80">
        <w:rPr>
          <w:sz w:val="20"/>
          <w:szCs w:val="20"/>
        </w:rPr>
        <w:t xml:space="preserve"> on-site construction supervisor</w:t>
      </w:r>
      <w:r w:rsidR="007C0630">
        <w:rPr>
          <w:sz w:val="20"/>
          <w:szCs w:val="20"/>
        </w:rPr>
        <w:t>, Rachel,</w:t>
      </w:r>
      <w:r w:rsidR="00461D80">
        <w:rPr>
          <w:sz w:val="20"/>
          <w:szCs w:val="20"/>
        </w:rPr>
        <w:t xml:space="preserve"> to ensure that the work is done in accordance with building codes and that all of the necessary documentation is produced.  </w:t>
      </w:r>
      <w:r w:rsidR="008838BB">
        <w:rPr>
          <w:sz w:val="20"/>
          <w:szCs w:val="20"/>
        </w:rPr>
        <w:t xml:space="preserve">Nehal </w:t>
      </w:r>
      <w:r w:rsidR="007C0630">
        <w:rPr>
          <w:sz w:val="20"/>
          <w:szCs w:val="20"/>
        </w:rPr>
        <w:t xml:space="preserve">also engages a Wellington-based structural engineering firm to carry out independent anti-seismic evaluations </w:t>
      </w:r>
      <w:r w:rsidR="00EE20AE">
        <w:rPr>
          <w:sz w:val="20"/>
          <w:szCs w:val="20"/>
        </w:rPr>
        <w:t>during</w:t>
      </w:r>
      <w:r w:rsidR="007C0630">
        <w:rPr>
          <w:sz w:val="20"/>
          <w:szCs w:val="20"/>
        </w:rPr>
        <w:t xml:space="preserve"> the later stages of the construction work to ensure the structural soundness of the two buildings.</w:t>
      </w:r>
    </w:p>
    <w:p w:rsidR="0039614D" w:rsidRDefault="0039614D" w:rsidP="000E63E0">
      <w:p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rPr>
          <w:sz w:val="20"/>
          <w:szCs w:val="20"/>
        </w:rPr>
      </w:pPr>
    </w:p>
    <w:p w:rsidR="002E6168" w:rsidRDefault="00BE7BA7" w:rsidP="000E63E0">
      <w:p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GST is charged at 15% on </w:t>
      </w:r>
      <w:r w:rsidR="00A62DCF">
        <w:rPr>
          <w:sz w:val="20"/>
          <w:szCs w:val="20"/>
        </w:rPr>
        <w:t xml:space="preserve">Tamati, Paul and Rachel’s services, as well as the services </w:t>
      </w:r>
      <w:r w:rsidR="00D26723">
        <w:rPr>
          <w:sz w:val="20"/>
          <w:szCs w:val="20"/>
        </w:rPr>
        <w:t>supplied by</w:t>
      </w:r>
      <w:r w:rsidR="00A62DCF">
        <w:rPr>
          <w:sz w:val="20"/>
          <w:szCs w:val="20"/>
        </w:rPr>
        <w:t xml:space="preserve"> the engineering firm.  Tamati and Paul’s services are supplied in connection </w:t>
      </w:r>
      <w:r w:rsidR="00D26723">
        <w:rPr>
          <w:sz w:val="20"/>
          <w:szCs w:val="20"/>
        </w:rPr>
        <w:t xml:space="preserve">with land in New Zealand and are intended to enable a change in the legal status of the land.  The on-site construction supervision and engineering services </w:t>
      </w:r>
      <w:r w:rsidR="00320E43">
        <w:rPr>
          <w:sz w:val="20"/>
          <w:szCs w:val="20"/>
        </w:rPr>
        <w:t>are supplied in connection with land in New Zealand and are intended to assist a change in the physical condition of the land or improvements to the land.</w:t>
      </w:r>
    </w:p>
    <w:p w:rsidR="00616E18" w:rsidRPr="00FC3FBB" w:rsidRDefault="00616E18" w:rsidP="00616E18">
      <w:pPr>
        <w:rPr>
          <w:szCs w:val="20"/>
        </w:rPr>
      </w:pPr>
    </w:p>
    <w:p w:rsidR="001A0D9E" w:rsidRDefault="001A0D9E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616E18" w:rsidRPr="00FC3FBB" w:rsidRDefault="00616E18" w:rsidP="00616E18">
      <w:p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rPr>
          <w:b/>
          <w:sz w:val="20"/>
          <w:szCs w:val="20"/>
        </w:rPr>
      </w:pPr>
      <w:r w:rsidRPr="00FC3FBB">
        <w:rPr>
          <w:b/>
          <w:sz w:val="20"/>
          <w:szCs w:val="20"/>
        </w:rPr>
        <w:t>Example</w:t>
      </w:r>
      <w:r w:rsidR="005F5BF5">
        <w:rPr>
          <w:b/>
          <w:sz w:val="20"/>
          <w:szCs w:val="20"/>
        </w:rPr>
        <w:t xml:space="preserve"> 5</w:t>
      </w:r>
    </w:p>
    <w:p w:rsidR="00616E18" w:rsidRPr="00FC3FBB" w:rsidRDefault="00616E18" w:rsidP="00616E18">
      <w:p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rPr>
          <w:sz w:val="20"/>
          <w:szCs w:val="20"/>
        </w:rPr>
      </w:pPr>
    </w:p>
    <w:p w:rsidR="00616E18" w:rsidRDefault="005870E2" w:rsidP="00616E18">
      <w:p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Aiko </w:t>
      </w:r>
      <w:r w:rsidR="006A208E">
        <w:rPr>
          <w:sz w:val="20"/>
          <w:szCs w:val="20"/>
        </w:rPr>
        <w:t xml:space="preserve">is a Japanese </w:t>
      </w:r>
      <w:r w:rsidR="00CE2793">
        <w:rPr>
          <w:sz w:val="20"/>
          <w:szCs w:val="20"/>
        </w:rPr>
        <w:t>resident</w:t>
      </w:r>
      <w:r w:rsidR="006A208E">
        <w:rPr>
          <w:sz w:val="20"/>
          <w:szCs w:val="20"/>
        </w:rPr>
        <w:t xml:space="preserve"> </w:t>
      </w:r>
      <w:r w:rsidR="00CE2793">
        <w:rPr>
          <w:sz w:val="20"/>
          <w:szCs w:val="20"/>
        </w:rPr>
        <w:t>who is considering investing in commercial property owned by B Co.</w:t>
      </w:r>
      <w:r w:rsidR="00FE3D29">
        <w:rPr>
          <w:sz w:val="20"/>
          <w:szCs w:val="20"/>
        </w:rPr>
        <w:t>, a New Zealand company which owns a range of other assets in addition to the commercial property.</w:t>
      </w:r>
      <w:r w:rsidR="00CE2793">
        <w:rPr>
          <w:sz w:val="20"/>
          <w:szCs w:val="20"/>
        </w:rPr>
        <w:t xml:space="preserve">  From her office in Tokyo, Aiko engages a New Zealand-based accounting firm that offers audit and assurance services to audit B Co.’s financial accounts</w:t>
      </w:r>
      <w:r w:rsidR="00C20B6D">
        <w:rPr>
          <w:sz w:val="20"/>
          <w:szCs w:val="20"/>
        </w:rPr>
        <w:t>.</w:t>
      </w:r>
      <w:r w:rsidR="00CE2793">
        <w:rPr>
          <w:sz w:val="20"/>
          <w:szCs w:val="20"/>
        </w:rPr>
        <w:t xml:space="preserve"> </w:t>
      </w:r>
      <w:r w:rsidR="00C20B6D">
        <w:rPr>
          <w:sz w:val="20"/>
          <w:szCs w:val="20"/>
        </w:rPr>
        <w:t xml:space="preserve"> B Co.’s financial statements </w:t>
      </w:r>
      <w:r w:rsidR="00CE2793">
        <w:rPr>
          <w:sz w:val="20"/>
          <w:szCs w:val="20"/>
        </w:rPr>
        <w:t>include the details of the rental yield of the commercial property</w:t>
      </w:r>
      <w:r w:rsidR="006162E2">
        <w:rPr>
          <w:sz w:val="20"/>
          <w:szCs w:val="20"/>
        </w:rPr>
        <w:t>.</w:t>
      </w:r>
    </w:p>
    <w:p w:rsidR="00ED5B4F" w:rsidRDefault="00ED5B4F" w:rsidP="00616E18">
      <w:p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rPr>
          <w:sz w:val="20"/>
          <w:szCs w:val="20"/>
        </w:rPr>
      </w:pPr>
    </w:p>
    <w:p w:rsidR="00EF7E67" w:rsidRDefault="00BE0C5D" w:rsidP="00616E18">
      <w:p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rPr>
          <w:sz w:val="20"/>
          <w:szCs w:val="20"/>
        </w:rPr>
      </w:pPr>
      <w:r>
        <w:rPr>
          <w:sz w:val="20"/>
          <w:szCs w:val="20"/>
        </w:rPr>
        <w:t>B</w:t>
      </w:r>
      <w:r w:rsidR="00691B0C">
        <w:rPr>
          <w:sz w:val="20"/>
          <w:szCs w:val="20"/>
        </w:rPr>
        <w:t xml:space="preserve">ecause the audit services could be used </w:t>
      </w:r>
      <w:r>
        <w:rPr>
          <w:sz w:val="20"/>
          <w:szCs w:val="20"/>
        </w:rPr>
        <w:t>as a means of deriving</w:t>
      </w:r>
      <w:r w:rsidR="00691B0C">
        <w:rPr>
          <w:sz w:val="20"/>
          <w:szCs w:val="20"/>
        </w:rPr>
        <w:t xml:space="preserve"> </w:t>
      </w:r>
      <w:r w:rsidR="00C20B6D">
        <w:rPr>
          <w:sz w:val="20"/>
          <w:szCs w:val="20"/>
        </w:rPr>
        <w:t>a valuation</w:t>
      </w:r>
      <w:r>
        <w:rPr>
          <w:sz w:val="20"/>
          <w:szCs w:val="20"/>
        </w:rPr>
        <w:t xml:space="preserve"> of the</w:t>
      </w:r>
      <w:r w:rsidR="00691B0C">
        <w:rPr>
          <w:sz w:val="20"/>
          <w:szCs w:val="20"/>
        </w:rPr>
        <w:t xml:space="preserve"> commercial property</w:t>
      </w:r>
      <w:r>
        <w:rPr>
          <w:sz w:val="20"/>
          <w:szCs w:val="20"/>
        </w:rPr>
        <w:t xml:space="preserve"> owned by B Co., </w:t>
      </w:r>
      <w:r w:rsidR="00C20B6D">
        <w:rPr>
          <w:sz w:val="20"/>
          <w:szCs w:val="20"/>
        </w:rPr>
        <w:t>this scenario</w:t>
      </w:r>
      <w:r>
        <w:rPr>
          <w:sz w:val="20"/>
          <w:szCs w:val="20"/>
        </w:rPr>
        <w:t xml:space="preserve"> </w:t>
      </w:r>
      <w:r w:rsidR="00C20B6D">
        <w:rPr>
          <w:sz w:val="20"/>
          <w:szCs w:val="20"/>
        </w:rPr>
        <w:t>may appear to</w:t>
      </w:r>
      <w:r>
        <w:rPr>
          <w:sz w:val="20"/>
          <w:szCs w:val="20"/>
        </w:rPr>
        <w:t xml:space="preserve"> be similar to </w:t>
      </w:r>
      <w:r w:rsidR="00C20B6D">
        <w:rPr>
          <w:sz w:val="20"/>
          <w:szCs w:val="20"/>
        </w:rPr>
        <w:t>the situation outlined</w:t>
      </w:r>
      <w:r>
        <w:rPr>
          <w:sz w:val="20"/>
          <w:szCs w:val="20"/>
        </w:rPr>
        <w:t xml:space="preserve"> in Example 2 where a real estate valuation for a specific property was obtained</w:t>
      </w:r>
      <w:r w:rsidR="00C20B6D">
        <w:rPr>
          <w:sz w:val="20"/>
          <w:szCs w:val="20"/>
        </w:rPr>
        <w:t xml:space="preserve"> with the intention of changing the ownership status of the land in New Zealand</w:t>
      </w:r>
      <w:r>
        <w:rPr>
          <w:sz w:val="20"/>
          <w:szCs w:val="20"/>
        </w:rPr>
        <w:t>.  However, the services concerned</w:t>
      </w:r>
      <w:r w:rsidR="00C20B6D">
        <w:rPr>
          <w:sz w:val="20"/>
          <w:szCs w:val="20"/>
        </w:rPr>
        <w:t xml:space="preserve"> here</w:t>
      </w:r>
      <w:r>
        <w:rPr>
          <w:sz w:val="20"/>
          <w:szCs w:val="20"/>
        </w:rPr>
        <w:t xml:space="preserve"> are the audit of the company accounts</w:t>
      </w:r>
      <w:r w:rsidR="00C20B6D">
        <w:rPr>
          <w:sz w:val="20"/>
          <w:szCs w:val="20"/>
        </w:rPr>
        <w:t xml:space="preserve"> of B Co. (</w:t>
      </w:r>
      <w:r>
        <w:rPr>
          <w:sz w:val="20"/>
          <w:szCs w:val="20"/>
        </w:rPr>
        <w:t xml:space="preserve">as opposed to being </w:t>
      </w:r>
      <w:r w:rsidR="00052F9B">
        <w:rPr>
          <w:sz w:val="20"/>
          <w:szCs w:val="20"/>
        </w:rPr>
        <w:t xml:space="preserve">valuation </w:t>
      </w:r>
      <w:r>
        <w:rPr>
          <w:sz w:val="20"/>
          <w:szCs w:val="20"/>
        </w:rPr>
        <w:t xml:space="preserve">services more directly related to </w:t>
      </w:r>
      <w:r w:rsidR="00C20B6D">
        <w:rPr>
          <w:sz w:val="20"/>
          <w:szCs w:val="20"/>
        </w:rPr>
        <w:t>the land owned by B Co</w:t>
      </w:r>
      <w:r w:rsidR="00052F9B">
        <w:rPr>
          <w:sz w:val="20"/>
          <w:szCs w:val="20"/>
        </w:rPr>
        <w:t>.</w:t>
      </w:r>
      <w:r w:rsidR="00C20B6D">
        <w:rPr>
          <w:sz w:val="20"/>
          <w:szCs w:val="20"/>
        </w:rPr>
        <w:t xml:space="preserve">).  </w:t>
      </w:r>
      <w:r w:rsidR="00EF7E67">
        <w:rPr>
          <w:sz w:val="20"/>
          <w:szCs w:val="20"/>
        </w:rPr>
        <w:t xml:space="preserve">As such, the services do not have a sufficient nexus with the land to meet the </w:t>
      </w:r>
      <w:r w:rsidR="00052F9B">
        <w:rPr>
          <w:sz w:val="20"/>
          <w:szCs w:val="20"/>
        </w:rPr>
        <w:t xml:space="preserve">new </w:t>
      </w:r>
      <w:r w:rsidR="00EF7E67">
        <w:rPr>
          <w:sz w:val="20"/>
          <w:szCs w:val="20"/>
        </w:rPr>
        <w:t>legislative test for services supplied in connection with land in New Zealand.</w:t>
      </w:r>
    </w:p>
    <w:p w:rsidR="00EF7E67" w:rsidRDefault="00EF7E67" w:rsidP="00616E18">
      <w:p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rPr>
          <w:sz w:val="20"/>
          <w:szCs w:val="20"/>
        </w:rPr>
      </w:pPr>
    </w:p>
    <w:p w:rsidR="00EF7E67" w:rsidRDefault="00EF7E67" w:rsidP="00616E18">
      <w:p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rPr>
          <w:sz w:val="20"/>
          <w:szCs w:val="20"/>
        </w:rPr>
      </w:pPr>
      <w:r>
        <w:rPr>
          <w:sz w:val="20"/>
          <w:szCs w:val="20"/>
        </w:rPr>
        <w:t>The audit services are therefore zero</w:t>
      </w:r>
      <w:r w:rsidR="00A07B8E">
        <w:rPr>
          <w:sz w:val="20"/>
          <w:szCs w:val="20"/>
        </w:rPr>
        <w:t>-rated under section 11A(1)(k) (as they would have been under the existing “directly in connection” test).</w:t>
      </w:r>
    </w:p>
    <w:p w:rsidR="001A0D9E" w:rsidRDefault="001A0D9E" w:rsidP="000C0D3F">
      <w:pPr>
        <w:rPr>
          <w:szCs w:val="20"/>
          <w:highlight w:val="lightGray"/>
        </w:rPr>
      </w:pPr>
    </w:p>
    <w:p w:rsidR="009118B0" w:rsidRPr="00773CA1" w:rsidRDefault="009118B0" w:rsidP="000C0D3F">
      <w:pPr>
        <w:rPr>
          <w:szCs w:val="20"/>
          <w:highlight w:val="lightGray"/>
        </w:rPr>
      </w:pPr>
    </w:p>
    <w:p w:rsidR="008E760C" w:rsidRDefault="008E760C" w:rsidP="008E760C">
      <w:pPr>
        <w:pStyle w:val="Heading3"/>
      </w:pPr>
      <w:r>
        <w:t>Zero-rating of services supplied in connection with land outside New Zealand</w:t>
      </w:r>
    </w:p>
    <w:p w:rsidR="008E760C" w:rsidRPr="008E760C" w:rsidRDefault="008E760C" w:rsidP="008E760C"/>
    <w:p w:rsidR="00024AEE" w:rsidRDefault="00FB5841" w:rsidP="00024AEE">
      <w:pPr>
        <w:rPr>
          <w:szCs w:val="20"/>
        </w:rPr>
      </w:pPr>
      <w:r>
        <w:rPr>
          <w:szCs w:val="24"/>
        </w:rPr>
        <w:t>Amended</w:t>
      </w:r>
      <w:r w:rsidR="00827738">
        <w:rPr>
          <w:szCs w:val="24"/>
        </w:rPr>
        <w:t xml:space="preserve"> section 11A(1)(e) extends zero-rating </w:t>
      </w:r>
      <w:r w:rsidR="008E760C">
        <w:rPr>
          <w:szCs w:val="24"/>
        </w:rPr>
        <w:t xml:space="preserve">beyond the existing “directly in connection” test </w:t>
      </w:r>
      <w:r w:rsidR="004847F1">
        <w:rPr>
          <w:szCs w:val="24"/>
        </w:rPr>
        <w:t xml:space="preserve">to services that are supplied in connection with land situated outside New Zealand, and which are intended to enable or assist a change in the physical </w:t>
      </w:r>
      <w:r w:rsidR="00665FD4">
        <w:rPr>
          <w:szCs w:val="24"/>
        </w:rPr>
        <w:t xml:space="preserve">condition, ownership or other </w:t>
      </w:r>
      <w:r w:rsidR="004847F1">
        <w:rPr>
          <w:szCs w:val="24"/>
        </w:rPr>
        <w:t>legal status of the land.</w:t>
      </w:r>
    </w:p>
    <w:p w:rsidR="00024AEE" w:rsidRDefault="00024AEE" w:rsidP="00024AEE">
      <w:pPr>
        <w:rPr>
          <w:szCs w:val="20"/>
        </w:rPr>
      </w:pPr>
    </w:p>
    <w:p w:rsidR="009118B0" w:rsidRDefault="009118B0" w:rsidP="00024AEE">
      <w:pPr>
        <w:rPr>
          <w:szCs w:val="20"/>
        </w:rPr>
      </w:pPr>
    </w:p>
    <w:p w:rsidR="00524348" w:rsidRPr="00024AEE" w:rsidRDefault="00024AEE" w:rsidP="00524348">
      <w:p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Example</w:t>
      </w:r>
      <w:r w:rsidR="005909F7">
        <w:rPr>
          <w:b/>
          <w:sz w:val="20"/>
          <w:szCs w:val="20"/>
        </w:rPr>
        <w:t xml:space="preserve"> 6</w:t>
      </w:r>
    </w:p>
    <w:p w:rsidR="00024AEE" w:rsidRPr="00FC3FBB" w:rsidRDefault="00024AEE" w:rsidP="00524348">
      <w:p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rPr>
          <w:sz w:val="20"/>
          <w:szCs w:val="20"/>
        </w:rPr>
      </w:pPr>
    </w:p>
    <w:p w:rsidR="00524348" w:rsidRDefault="002C6AC9" w:rsidP="00524348">
      <w:p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rPr>
          <w:sz w:val="20"/>
          <w:szCs w:val="20"/>
        </w:rPr>
      </w:pPr>
      <w:r>
        <w:rPr>
          <w:sz w:val="20"/>
          <w:szCs w:val="20"/>
        </w:rPr>
        <w:t>Maraina</w:t>
      </w:r>
      <w:r w:rsidR="00CE0918">
        <w:rPr>
          <w:sz w:val="20"/>
          <w:szCs w:val="20"/>
        </w:rPr>
        <w:t xml:space="preserve"> </w:t>
      </w:r>
      <w:r w:rsidR="00E2349B">
        <w:rPr>
          <w:sz w:val="20"/>
          <w:szCs w:val="20"/>
        </w:rPr>
        <w:t xml:space="preserve">is looking to purchase an apartment in Brussels so that she </w:t>
      </w:r>
      <w:r w:rsidR="00DD1211">
        <w:rPr>
          <w:sz w:val="20"/>
          <w:szCs w:val="20"/>
        </w:rPr>
        <w:t>can be</w:t>
      </w:r>
      <w:r w:rsidR="00E2349B">
        <w:rPr>
          <w:sz w:val="20"/>
          <w:szCs w:val="20"/>
        </w:rPr>
        <w:t xml:space="preserve"> closer to </w:t>
      </w:r>
      <w:r w:rsidR="00BE5CCD">
        <w:rPr>
          <w:sz w:val="20"/>
          <w:szCs w:val="20"/>
        </w:rPr>
        <w:t xml:space="preserve">Melissa, </w:t>
      </w:r>
      <w:r w:rsidR="00E2349B">
        <w:rPr>
          <w:sz w:val="20"/>
          <w:szCs w:val="20"/>
        </w:rPr>
        <w:t xml:space="preserve">her twin </w:t>
      </w:r>
      <w:r w:rsidR="00D15E66">
        <w:rPr>
          <w:sz w:val="20"/>
          <w:szCs w:val="20"/>
        </w:rPr>
        <w:t xml:space="preserve">sister.  </w:t>
      </w:r>
      <w:r w:rsidR="0018492E">
        <w:rPr>
          <w:sz w:val="20"/>
          <w:szCs w:val="20"/>
        </w:rPr>
        <w:t>Maraina engages a New Zealand-resident lawyer, Gordon, to act for h</w:t>
      </w:r>
      <w:r w:rsidR="008838BB">
        <w:rPr>
          <w:sz w:val="20"/>
          <w:szCs w:val="20"/>
        </w:rPr>
        <w:t>er in a transaction to acquire an</w:t>
      </w:r>
      <w:r w:rsidR="0018492E">
        <w:rPr>
          <w:sz w:val="20"/>
          <w:szCs w:val="20"/>
        </w:rPr>
        <w:t xml:space="preserve"> apartment.</w:t>
      </w:r>
      <w:r w:rsidR="00D15E66">
        <w:rPr>
          <w:sz w:val="20"/>
          <w:szCs w:val="20"/>
        </w:rPr>
        <w:t xml:space="preserve">  </w:t>
      </w:r>
      <w:r w:rsidR="00121DA0">
        <w:rPr>
          <w:sz w:val="20"/>
          <w:szCs w:val="20"/>
        </w:rPr>
        <w:t xml:space="preserve">Gordon’s services </w:t>
      </w:r>
      <w:r w:rsidR="008B60CC">
        <w:rPr>
          <w:sz w:val="20"/>
          <w:szCs w:val="20"/>
        </w:rPr>
        <w:t>are in connection with land outside New Zealand and are intended to enable a change in the legal nature of the</w:t>
      </w:r>
      <w:r w:rsidR="008838BB">
        <w:rPr>
          <w:sz w:val="20"/>
          <w:szCs w:val="20"/>
        </w:rPr>
        <w:t xml:space="preserve"> offshore</w:t>
      </w:r>
      <w:r w:rsidR="008B60CC">
        <w:rPr>
          <w:sz w:val="20"/>
          <w:szCs w:val="20"/>
        </w:rPr>
        <w:t xml:space="preserve"> land.  His services are therefore zero-rated under section 11A(1)(e).</w:t>
      </w:r>
    </w:p>
    <w:p w:rsidR="009E5029" w:rsidRDefault="009E5029" w:rsidP="00524348">
      <w:p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rPr>
          <w:sz w:val="20"/>
          <w:szCs w:val="20"/>
        </w:rPr>
      </w:pPr>
    </w:p>
    <w:p w:rsidR="009E5029" w:rsidRDefault="009E5029" w:rsidP="00524348">
      <w:p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rPr>
          <w:sz w:val="20"/>
          <w:szCs w:val="20"/>
        </w:rPr>
      </w:pPr>
      <w:r>
        <w:rPr>
          <w:sz w:val="20"/>
          <w:szCs w:val="20"/>
        </w:rPr>
        <w:t>Maraina’s residency status or location does not affect the application of the rule for services connected with land outside New Zealand.</w:t>
      </w:r>
    </w:p>
    <w:p w:rsidR="001A0D9E" w:rsidRDefault="001A0D9E" w:rsidP="00524348">
      <w:pPr>
        <w:rPr>
          <w:szCs w:val="20"/>
        </w:rPr>
      </w:pPr>
    </w:p>
    <w:p w:rsidR="009118B0" w:rsidRPr="009118B0" w:rsidRDefault="009118B0" w:rsidP="00524348">
      <w:pPr>
        <w:rPr>
          <w:szCs w:val="20"/>
        </w:rPr>
      </w:pPr>
    </w:p>
    <w:p w:rsidR="009118B0" w:rsidRDefault="009118B0">
      <w:pPr>
        <w:jc w:val="left"/>
        <w:rPr>
          <w:szCs w:val="20"/>
        </w:rPr>
      </w:pPr>
      <w:r>
        <w:rPr>
          <w:szCs w:val="20"/>
        </w:rPr>
        <w:br w:type="page"/>
      </w:r>
    </w:p>
    <w:p w:rsidR="00057E86" w:rsidRPr="009118B0" w:rsidRDefault="009118B0" w:rsidP="00524348">
      <w:pPr>
        <w:rPr>
          <w:szCs w:val="20"/>
        </w:rPr>
      </w:pPr>
      <w:r>
        <w:rPr>
          <w:szCs w:val="20"/>
        </w:rPr>
        <w:t>Table 1</w:t>
      </w:r>
      <w:r w:rsidR="00057E86" w:rsidRPr="009118B0">
        <w:rPr>
          <w:szCs w:val="20"/>
        </w:rPr>
        <w:t xml:space="preserve"> provides an indication of the usual treatment of some common services under the new GST rules for services connected with land.</w:t>
      </w:r>
    </w:p>
    <w:p w:rsidR="00057E86" w:rsidRPr="009118B0" w:rsidRDefault="00057E86" w:rsidP="00524348">
      <w:pPr>
        <w:rPr>
          <w:szCs w:val="20"/>
        </w:rPr>
      </w:pPr>
    </w:p>
    <w:p w:rsidR="003970A6" w:rsidRPr="009118B0" w:rsidRDefault="003970A6" w:rsidP="003970A6">
      <w:pPr>
        <w:spacing w:after="120"/>
        <w:jc w:val="center"/>
        <w:rPr>
          <w:b/>
          <w:sz w:val="22"/>
        </w:rPr>
      </w:pPr>
      <w:r w:rsidRPr="009118B0">
        <w:rPr>
          <w:b/>
          <w:sz w:val="22"/>
        </w:rPr>
        <w:t xml:space="preserve">Table 1: </w:t>
      </w:r>
      <w:r>
        <w:rPr>
          <w:b/>
          <w:sz w:val="22"/>
        </w:rPr>
        <w:t xml:space="preserve"> GST treatment of common services </w:t>
      </w:r>
      <w:r w:rsidR="000A03F0">
        <w:rPr>
          <w:b/>
          <w:sz w:val="22"/>
        </w:rPr>
        <w:t>connected with</w:t>
      </w:r>
      <w:r>
        <w:rPr>
          <w:b/>
          <w:sz w:val="22"/>
        </w:rPr>
        <w:t xml:space="preserve"> land</w:t>
      </w:r>
      <w:r w:rsidR="0069760E">
        <w:rPr>
          <w:b/>
          <w:sz w:val="22"/>
        </w:rPr>
        <w:t xml:space="preserve"> – some examples</w:t>
      </w:r>
    </w:p>
    <w:tbl>
      <w:tblPr>
        <w:tblStyle w:val="TableGrid"/>
        <w:tblW w:w="9322" w:type="dxa"/>
        <w:tblLook w:val="04A0" w:firstRow="1" w:lastRow="0" w:firstColumn="1" w:lastColumn="0" w:noHBand="0" w:noVBand="1"/>
        <w:tblCaption w:val="Table 1: GST treatment of common services connected with land – some examples"/>
        <w:tblDescription w:val="Examples of types of common services with an indication of the usual treatment under the new GST rules for services connected with land"/>
      </w:tblPr>
      <w:tblGrid>
        <w:gridCol w:w="3107"/>
        <w:gridCol w:w="3107"/>
        <w:gridCol w:w="3108"/>
      </w:tblGrid>
      <w:tr w:rsidR="003970A6" w:rsidTr="00181C07">
        <w:trPr>
          <w:tblHeader/>
        </w:trPr>
        <w:tc>
          <w:tcPr>
            <w:tcW w:w="3107" w:type="dxa"/>
          </w:tcPr>
          <w:p w:rsidR="003970A6" w:rsidRPr="00D15E66" w:rsidRDefault="00F13805" w:rsidP="0069760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Type </w:t>
            </w:r>
            <w:r w:rsidR="00181C07">
              <w:rPr>
                <w:b/>
                <w:sz w:val="20"/>
                <w:szCs w:val="20"/>
              </w:rPr>
              <w:t xml:space="preserve">or purpose </w:t>
            </w:r>
            <w:r>
              <w:rPr>
                <w:b/>
                <w:sz w:val="20"/>
                <w:szCs w:val="20"/>
              </w:rPr>
              <w:t>of services</w:t>
            </w:r>
          </w:p>
        </w:tc>
        <w:tc>
          <w:tcPr>
            <w:tcW w:w="3107" w:type="dxa"/>
          </w:tcPr>
          <w:p w:rsidR="003970A6" w:rsidRPr="00D15E66" w:rsidRDefault="003970A6" w:rsidP="0069760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Examples</w:t>
            </w:r>
          </w:p>
        </w:tc>
        <w:tc>
          <w:tcPr>
            <w:tcW w:w="3108" w:type="dxa"/>
          </w:tcPr>
          <w:p w:rsidR="0069760E" w:rsidRPr="00D15E66" w:rsidRDefault="0069760E" w:rsidP="0069760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0A03F0">
              <w:rPr>
                <w:b/>
                <w:sz w:val="20"/>
                <w:szCs w:val="20"/>
              </w:rPr>
              <w:t>GST treatment</w:t>
            </w:r>
          </w:p>
        </w:tc>
      </w:tr>
      <w:tr w:rsidR="003970A6" w:rsidTr="00181C07">
        <w:tc>
          <w:tcPr>
            <w:tcW w:w="3107" w:type="dxa"/>
            <w:vMerge w:val="restart"/>
          </w:tcPr>
          <w:p w:rsidR="003970A6" w:rsidRPr="003970A6" w:rsidRDefault="003970A6" w:rsidP="000A03F0">
            <w:pPr>
              <w:spacing w:before="80" w:after="80"/>
              <w:ind w:left="68"/>
              <w:jc w:val="left"/>
              <w:rPr>
                <w:sz w:val="20"/>
                <w:szCs w:val="20"/>
              </w:rPr>
            </w:pPr>
            <w:r w:rsidRPr="003970A6">
              <w:rPr>
                <w:sz w:val="20"/>
                <w:szCs w:val="20"/>
              </w:rPr>
              <w:t>Intended to enable or assist a change in the physical condition of land</w:t>
            </w:r>
          </w:p>
        </w:tc>
        <w:tc>
          <w:tcPr>
            <w:tcW w:w="3107" w:type="dxa"/>
          </w:tcPr>
          <w:p w:rsidR="003970A6" w:rsidRPr="00D15E66" w:rsidRDefault="003970A6" w:rsidP="003970A6">
            <w:pPr>
              <w:pStyle w:val="ListParagraph"/>
              <w:numPr>
                <w:ilvl w:val="0"/>
                <w:numId w:val="14"/>
              </w:numPr>
              <w:spacing w:before="80" w:after="80"/>
              <w:ind w:left="425" w:hanging="357"/>
              <w:contextualSpacing w:val="0"/>
              <w:jc w:val="left"/>
              <w:rPr>
                <w:sz w:val="20"/>
                <w:szCs w:val="20"/>
              </w:rPr>
            </w:pPr>
            <w:r w:rsidRPr="00D15E66">
              <w:rPr>
                <w:sz w:val="20"/>
                <w:szCs w:val="20"/>
              </w:rPr>
              <w:t>Construction</w:t>
            </w:r>
          </w:p>
          <w:p w:rsidR="003970A6" w:rsidRPr="003970A6" w:rsidRDefault="003970A6" w:rsidP="003970A6">
            <w:pPr>
              <w:pStyle w:val="ListParagraph"/>
              <w:numPr>
                <w:ilvl w:val="0"/>
                <w:numId w:val="14"/>
              </w:numPr>
              <w:spacing w:before="80" w:after="80"/>
              <w:ind w:left="425" w:hanging="357"/>
              <w:contextualSpacing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Earthworks</w:t>
            </w:r>
          </w:p>
        </w:tc>
        <w:tc>
          <w:tcPr>
            <w:tcW w:w="3108" w:type="dxa"/>
          </w:tcPr>
          <w:p w:rsidR="003970A6" w:rsidRPr="003970A6" w:rsidRDefault="003970A6" w:rsidP="003970A6">
            <w:pPr>
              <w:spacing w:before="80" w:after="80"/>
              <w:ind w:left="6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3970A6">
              <w:rPr>
                <w:sz w:val="20"/>
                <w:szCs w:val="20"/>
              </w:rPr>
              <w:t>overed by the existing “directly in connection” test</w:t>
            </w:r>
          </w:p>
        </w:tc>
      </w:tr>
      <w:tr w:rsidR="003970A6" w:rsidTr="00181C07">
        <w:tc>
          <w:tcPr>
            <w:tcW w:w="3107" w:type="dxa"/>
            <w:vMerge/>
          </w:tcPr>
          <w:p w:rsidR="003970A6" w:rsidRPr="003970A6" w:rsidRDefault="003970A6" w:rsidP="003970A6">
            <w:pPr>
              <w:spacing w:before="80" w:after="80"/>
              <w:ind w:left="68"/>
              <w:jc w:val="left"/>
              <w:rPr>
                <w:sz w:val="20"/>
                <w:szCs w:val="20"/>
              </w:rPr>
            </w:pPr>
          </w:p>
        </w:tc>
        <w:tc>
          <w:tcPr>
            <w:tcW w:w="3107" w:type="dxa"/>
          </w:tcPr>
          <w:p w:rsidR="003970A6" w:rsidRPr="00D15E66" w:rsidRDefault="003970A6" w:rsidP="003970A6">
            <w:pPr>
              <w:pStyle w:val="ListParagraph"/>
              <w:numPr>
                <w:ilvl w:val="0"/>
                <w:numId w:val="14"/>
              </w:numPr>
              <w:spacing w:before="80" w:after="80"/>
              <w:ind w:left="425" w:hanging="357"/>
              <w:contextualSpacing w:val="0"/>
              <w:jc w:val="left"/>
              <w:rPr>
                <w:sz w:val="20"/>
                <w:szCs w:val="20"/>
              </w:rPr>
            </w:pPr>
            <w:r w:rsidRPr="00D15E66">
              <w:rPr>
                <w:sz w:val="20"/>
                <w:szCs w:val="20"/>
              </w:rPr>
              <w:t>Architectural services</w:t>
            </w:r>
          </w:p>
          <w:p w:rsidR="003970A6" w:rsidRPr="00D15E66" w:rsidRDefault="003970A6" w:rsidP="003970A6">
            <w:pPr>
              <w:pStyle w:val="ListParagraph"/>
              <w:numPr>
                <w:ilvl w:val="0"/>
                <w:numId w:val="14"/>
              </w:numPr>
              <w:spacing w:before="80" w:after="80"/>
              <w:ind w:left="425" w:hanging="357"/>
              <w:contextualSpacing w:val="0"/>
              <w:jc w:val="left"/>
              <w:rPr>
                <w:sz w:val="20"/>
                <w:szCs w:val="20"/>
              </w:rPr>
            </w:pPr>
            <w:r w:rsidRPr="00D15E66">
              <w:rPr>
                <w:sz w:val="20"/>
                <w:szCs w:val="20"/>
              </w:rPr>
              <w:t>Engineering</w:t>
            </w:r>
          </w:p>
          <w:p w:rsidR="003970A6" w:rsidRPr="00D15E66" w:rsidRDefault="003970A6" w:rsidP="003970A6">
            <w:pPr>
              <w:pStyle w:val="ListParagraph"/>
              <w:numPr>
                <w:ilvl w:val="0"/>
                <w:numId w:val="14"/>
              </w:numPr>
              <w:spacing w:before="80" w:after="80"/>
              <w:ind w:left="425" w:hanging="357"/>
              <w:contextualSpacing w:val="0"/>
              <w:jc w:val="left"/>
              <w:rPr>
                <w:sz w:val="20"/>
                <w:szCs w:val="20"/>
              </w:rPr>
            </w:pPr>
            <w:r w:rsidRPr="00D15E66">
              <w:rPr>
                <w:sz w:val="20"/>
                <w:szCs w:val="20"/>
              </w:rPr>
              <w:t>Construction supervision</w:t>
            </w:r>
          </w:p>
        </w:tc>
        <w:tc>
          <w:tcPr>
            <w:tcW w:w="3108" w:type="dxa"/>
          </w:tcPr>
          <w:p w:rsidR="003970A6" w:rsidRPr="003970A6" w:rsidRDefault="000A03F0" w:rsidP="000A03F0">
            <w:pPr>
              <w:spacing w:before="80" w:after="80"/>
              <w:ind w:left="6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Covered by the new test</w:t>
            </w:r>
          </w:p>
        </w:tc>
      </w:tr>
      <w:tr w:rsidR="003970A6" w:rsidTr="00181C07">
        <w:tc>
          <w:tcPr>
            <w:tcW w:w="3107" w:type="dxa"/>
          </w:tcPr>
          <w:p w:rsidR="003970A6" w:rsidRPr="003970A6" w:rsidRDefault="003970A6" w:rsidP="000A03F0">
            <w:pPr>
              <w:spacing w:before="80" w:after="80"/>
              <w:ind w:left="68"/>
              <w:jc w:val="left"/>
              <w:rPr>
                <w:sz w:val="20"/>
                <w:szCs w:val="20"/>
              </w:rPr>
            </w:pPr>
            <w:r w:rsidRPr="003970A6">
              <w:rPr>
                <w:sz w:val="20"/>
                <w:szCs w:val="20"/>
              </w:rPr>
              <w:t>Intended to enable or assist a change in the ownership or other legal status of land</w:t>
            </w:r>
          </w:p>
        </w:tc>
        <w:tc>
          <w:tcPr>
            <w:tcW w:w="3107" w:type="dxa"/>
          </w:tcPr>
          <w:p w:rsidR="003970A6" w:rsidRPr="00D15E66" w:rsidRDefault="003970A6" w:rsidP="003970A6">
            <w:pPr>
              <w:pStyle w:val="ListParagraph"/>
              <w:numPr>
                <w:ilvl w:val="0"/>
                <w:numId w:val="14"/>
              </w:numPr>
              <w:spacing w:before="80" w:after="80"/>
              <w:ind w:left="425" w:hanging="357"/>
              <w:contextualSpacing w:val="0"/>
              <w:jc w:val="left"/>
              <w:rPr>
                <w:sz w:val="20"/>
                <w:szCs w:val="20"/>
              </w:rPr>
            </w:pPr>
            <w:r w:rsidRPr="00D15E66">
              <w:rPr>
                <w:sz w:val="20"/>
                <w:szCs w:val="20"/>
              </w:rPr>
              <w:t>Real estate services</w:t>
            </w:r>
          </w:p>
          <w:p w:rsidR="003970A6" w:rsidRPr="00D15E66" w:rsidRDefault="003970A6" w:rsidP="003970A6">
            <w:pPr>
              <w:pStyle w:val="ListParagraph"/>
              <w:numPr>
                <w:ilvl w:val="0"/>
                <w:numId w:val="14"/>
              </w:numPr>
              <w:spacing w:before="80" w:after="80"/>
              <w:ind w:left="425" w:hanging="357"/>
              <w:contextualSpacing w:val="0"/>
              <w:jc w:val="left"/>
              <w:rPr>
                <w:sz w:val="20"/>
                <w:szCs w:val="20"/>
              </w:rPr>
            </w:pPr>
            <w:r w:rsidRPr="00D15E66">
              <w:rPr>
                <w:sz w:val="20"/>
                <w:szCs w:val="20"/>
              </w:rPr>
              <w:t>Legal services</w:t>
            </w:r>
            <w:r w:rsidR="00181C07">
              <w:rPr>
                <w:sz w:val="20"/>
                <w:szCs w:val="20"/>
              </w:rPr>
              <w:t>, for example conveyancing</w:t>
            </w:r>
          </w:p>
          <w:p w:rsidR="000A03F0" w:rsidRDefault="003970A6" w:rsidP="000A03F0">
            <w:pPr>
              <w:pStyle w:val="ListParagraph"/>
              <w:numPr>
                <w:ilvl w:val="0"/>
                <w:numId w:val="14"/>
              </w:numPr>
              <w:spacing w:before="80" w:after="80"/>
              <w:ind w:left="425" w:hanging="357"/>
              <w:contextualSpacing w:val="0"/>
              <w:jc w:val="left"/>
              <w:rPr>
                <w:sz w:val="20"/>
                <w:szCs w:val="20"/>
              </w:rPr>
            </w:pPr>
            <w:r w:rsidRPr="00D15E66">
              <w:rPr>
                <w:sz w:val="20"/>
                <w:szCs w:val="20"/>
              </w:rPr>
              <w:t>Valuation services</w:t>
            </w:r>
          </w:p>
          <w:p w:rsidR="003970A6" w:rsidRPr="000A03F0" w:rsidRDefault="003970A6" w:rsidP="000A03F0">
            <w:pPr>
              <w:pStyle w:val="ListParagraph"/>
              <w:numPr>
                <w:ilvl w:val="0"/>
                <w:numId w:val="14"/>
              </w:numPr>
              <w:spacing w:before="80" w:after="80"/>
              <w:ind w:left="425" w:hanging="357"/>
              <w:contextualSpacing w:val="0"/>
              <w:jc w:val="left"/>
              <w:rPr>
                <w:sz w:val="20"/>
                <w:szCs w:val="20"/>
              </w:rPr>
            </w:pPr>
            <w:r w:rsidRPr="000A03F0">
              <w:rPr>
                <w:sz w:val="20"/>
                <w:szCs w:val="20"/>
              </w:rPr>
              <w:t>Advertising or marketing services</w:t>
            </w:r>
          </w:p>
        </w:tc>
        <w:tc>
          <w:tcPr>
            <w:tcW w:w="3108" w:type="dxa"/>
          </w:tcPr>
          <w:p w:rsidR="003970A6" w:rsidRPr="003970A6" w:rsidRDefault="003970A6" w:rsidP="000A03F0">
            <w:pPr>
              <w:spacing w:before="80" w:after="80"/>
              <w:ind w:left="68"/>
              <w:jc w:val="left"/>
              <w:rPr>
                <w:sz w:val="20"/>
                <w:szCs w:val="20"/>
              </w:rPr>
            </w:pPr>
            <w:r w:rsidRPr="003970A6">
              <w:rPr>
                <w:sz w:val="20"/>
                <w:szCs w:val="20"/>
              </w:rPr>
              <w:t xml:space="preserve">Covered by the new </w:t>
            </w:r>
            <w:r w:rsidR="000A03F0">
              <w:rPr>
                <w:sz w:val="20"/>
                <w:szCs w:val="20"/>
              </w:rPr>
              <w:t>test</w:t>
            </w:r>
          </w:p>
        </w:tc>
      </w:tr>
      <w:tr w:rsidR="003970A6" w:rsidTr="00181C07">
        <w:tc>
          <w:tcPr>
            <w:tcW w:w="3107" w:type="dxa"/>
          </w:tcPr>
          <w:p w:rsidR="003970A6" w:rsidRPr="00D15E66" w:rsidRDefault="000A03F0" w:rsidP="000A03F0">
            <w:pPr>
              <w:spacing w:before="80" w:after="80"/>
              <w:ind w:left="68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services n</w:t>
            </w:r>
            <w:r w:rsidR="003970A6" w:rsidRPr="00D15E66">
              <w:rPr>
                <w:sz w:val="20"/>
                <w:szCs w:val="20"/>
              </w:rPr>
              <w:t xml:space="preserve">ot </w:t>
            </w:r>
            <w:r>
              <w:rPr>
                <w:sz w:val="20"/>
                <w:szCs w:val="20"/>
              </w:rPr>
              <w:t>connected</w:t>
            </w:r>
            <w:r w:rsidR="003970A6" w:rsidRPr="00D15E66">
              <w:rPr>
                <w:sz w:val="20"/>
                <w:szCs w:val="20"/>
              </w:rPr>
              <w:t xml:space="preserve"> to a specific piece of land </w:t>
            </w:r>
          </w:p>
        </w:tc>
        <w:tc>
          <w:tcPr>
            <w:tcW w:w="3107" w:type="dxa"/>
          </w:tcPr>
          <w:p w:rsidR="003970A6" w:rsidRDefault="000A03F0" w:rsidP="0069760E">
            <w:pPr>
              <w:pStyle w:val="ListParagraph"/>
              <w:numPr>
                <w:ilvl w:val="0"/>
                <w:numId w:val="14"/>
              </w:numPr>
              <w:spacing w:before="80" w:after="80"/>
              <w:ind w:left="425" w:hanging="357"/>
              <w:contextualSpacing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Valuation services for the general property market</w:t>
            </w:r>
          </w:p>
          <w:p w:rsidR="000A03F0" w:rsidRPr="0069760E" w:rsidRDefault="000A03F0" w:rsidP="00181C07">
            <w:pPr>
              <w:pStyle w:val="ListParagraph"/>
              <w:numPr>
                <w:ilvl w:val="0"/>
                <w:numId w:val="14"/>
              </w:numPr>
              <w:spacing w:before="80" w:after="80"/>
              <w:ind w:left="425" w:hanging="357"/>
              <w:contextualSpacing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legal </w:t>
            </w:r>
            <w:r w:rsidR="00181C07">
              <w:rPr>
                <w:sz w:val="20"/>
                <w:szCs w:val="20"/>
              </w:rPr>
              <w:t>services</w:t>
            </w:r>
            <w:r>
              <w:rPr>
                <w:sz w:val="20"/>
                <w:szCs w:val="20"/>
              </w:rPr>
              <w:t xml:space="preserve">, for example </w:t>
            </w:r>
            <w:r w:rsidR="00181C07">
              <w:rPr>
                <w:sz w:val="20"/>
                <w:szCs w:val="20"/>
              </w:rPr>
              <w:t xml:space="preserve">advice </w:t>
            </w:r>
            <w:r>
              <w:rPr>
                <w:sz w:val="20"/>
                <w:szCs w:val="20"/>
              </w:rPr>
              <w:t>on the tax implications of investing in land</w:t>
            </w:r>
          </w:p>
        </w:tc>
        <w:tc>
          <w:tcPr>
            <w:tcW w:w="3108" w:type="dxa"/>
          </w:tcPr>
          <w:p w:rsidR="003970A6" w:rsidRPr="0069760E" w:rsidRDefault="003970A6" w:rsidP="000A03F0">
            <w:pPr>
              <w:spacing w:before="80" w:after="80"/>
              <w:ind w:left="68"/>
              <w:jc w:val="left"/>
              <w:rPr>
                <w:sz w:val="20"/>
                <w:szCs w:val="20"/>
              </w:rPr>
            </w:pPr>
            <w:r w:rsidRPr="0069760E">
              <w:rPr>
                <w:sz w:val="20"/>
                <w:szCs w:val="20"/>
              </w:rPr>
              <w:t xml:space="preserve">Not covered by the new </w:t>
            </w:r>
            <w:r w:rsidR="000A03F0">
              <w:rPr>
                <w:sz w:val="20"/>
                <w:szCs w:val="20"/>
              </w:rPr>
              <w:t>test</w:t>
            </w:r>
          </w:p>
        </w:tc>
      </w:tr>
    </w:tbl>
    <w:p w:rsidR="003970A6" w:rsidRDefault="003970A6" w:rsidP="000A03F0">
      <w:pPr>
        <w:rPr>
          <w:szCs w:val="24"/>
        </w:rPr>
      </w:pPr>
    </w:p>
    <w:sectPr w:rsidR="003970A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0"/>
    </wne:keymap>
    <wne:keymap wne:kcmPrimary="0232">
      <wne:acd wne:acdName="acd2"/>
    </wne:keymap>
    <wne:keymap wne:kcmPrimary="0233">
      <wne:acd wne:acdName="acd3"/>
    </wne:keymap>
    <wne:keymap wne:kcmPrimary="0234">
      <wne:acd wne:acdName="acd4"/>
    </wne:keymap>
    <wne:keymap wne:kcmPrimary="02BE">
      <wne:acd wne:acdName="acd1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QAAAAEA" wne:acdName="acd0" wne:fciIndexBasedOn="0065"/>
    <wne:acd wne:argValue="AgBCAHUAbABsAGUAdABzAA==" wne:acdName="acd1" wne:fciIndexBasedOn="0065"/>
    <wne:acd wne:argValue="AQAAAAIA" wne:acdName="acd2" wne:fciIndexBasedOn="0065"/>
    <wne:acd wne:argValue="AQAAAAMA" wne:acdName="acd3" wne:fciIndexBasedOn="0065"/>
    <wne:acd wne:argValue="AQAAAAQA" wne:acdName="acd4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516" w:rsidRDefault="00707516" w:rsidP="00855AF4">
      <w:r>
        <w:separator/>
      </w:r>
    </w:p>
  </w:endnote>
  <w:endnote w:type="continuationSeparator" w:id="0">
    <w:p w:rsidR="00707516" w:rsidRDefault="00707516" w:rsidP="0085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B8A" w:rsidRPr="000C1B83" w:rsidRDefault="00707B8A" w:rsidP="00515963">
    <w:pPr>
      <w:pStyle w:val="Footer"/>
      <w:jc w:val="center"/>
      <w:rPr>
        <w:noProof/>
        <w:sz w:val="22"/>
      </w:rPr>
    </w:pPr>
    <w:r w:rsidRPr="000C1B83">
      <w:rPr>
        <w:sz w:val="22"/>
      </w:rPr>
      <w:fldChar w:fldCharType="begin"/>
    </w:r>
    <w:r w:rsidRPr="000C1B83">
      <w:rPr>
        <w:sz w:val="22"/>
      </w:rPr>
      <w:instrText xml:space="preserve"> PAGE   \* MERGEFORMAT </w:instrText>
    </w:r>
    <w:r w:rsidRPr="000C1B83">
      <w:rPr>
        <w:sz w:val="22"/>
      </w:rPr>
      <w:fldChar w:fldCharType="separate"/>
    </w:r>
    <w:r w:rsidR="001E78D3">
      <w:rPr>
        <w:noProof/>
        <w:sz w:val="22"/>
      </w:rPr>
      <w:t>1</w:t>
    </w:r>
    <w:r w:rsidRPr="000C1B83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516" w:rsidRDefault="00707516" w:rsidP="00855AF4">
      <w:r>
        <w:separator/>
      </w:r>
    </w:p>
  </w:footnote>
  <w:footnote w:type="continuationSeparator" w:id="0">
    <w:p w:rsidR="00707516" w:rsidRDefault="00707516" w:rsidP="00855AF4">
      <w:r>
        <w:continuationSeparator/>
      </w:r>
    </w:p>
  </w:footnote>
  <w:footnote w:id="1">
    <w:p w:rsidR="00707B8A" w:rsidRPr="006D5E88" w:rsidRDefault="00707B8A">
      <w:pPr>
        <w:pStyle w:val="FootnoteText"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NZ"/>
        </w:rPr>
        <w:t>Guideline 3.8.</w:t>
      </w:r>
    </w:p>
  </w:footnote>
  <w:footnote w:id="2">
    <w:p w:rsidR="00707B8A" w:rsidRPr="0052607C" w:rsidRDefault="00707B8A" w:rsidP="0052607C">
      <w:pPr>
        <w:rPr>
          <w:sz w:val="20"/>
          <w:szCs w:val="20"/>
        </w:rPr>
      </w:pPr>
      <w:r w:rsidRPr="0052607C">
        <w:rPr>
          <w:rStyle w:val="FootnoteReference"/>
          <w:sz w:val="20"/>
          <w:szCs w:val="20"/>
        </w:rPr>
        <w:footnoteRef/>
      </w:r>
      <w:r w:rsidRPr="0052607C">
        <w:rPr>
          <w:sz w:val="20"/>
          <w:szCs w:val="20"/>
        </w:rPr>
        <w:t xml:space="preserve"> </w:t>
      </w:r>
      <w:r w:rsidRPr="0052607C">
        <w:rPr>
          <w:sz w:val="20"/>
          <w:szCs w:val="20"/>
          <w:lang w:eastAsia="en-AU"/>
        </w:rPr>
        <w:t>Note that there are exceptions for services supplied by non-residents to GST</w:t>
      </w:r>
      <w:r w:rsidR="00D14557">
        <w:rPr>
          <w:sz w:val="20"/>
          <w:szCs w:val="20"/>
          <w:lang w:eastAsia="en-AU"/>
        </w:rPr>
        <w:t>-</w:t>
      </w:r>
      <w:r w:rsidRPr="0052607C">
        <w:rPr>
          <w:sz w:val="20"/>
          <w:szCs w:val="20"/>
          <w:lang w:eastAsia="en-AU"/>
        </w:rPr>
        <w:t>registered businesses</w:t>
      </w:r>
      <w:r w:rsidR="000A03F0">
        <w:rPr>
          <w:sz w:val="20"/>
          <w:szCs w:val="20"/>
          <w:lang w:eastAsia="en-AU"/>
        </w:rPr>
        <w:t xml:space="preserve">. </w:t>
      </w:r>
      <w:r w:rsidRPr="0052607C">
        <w:rPr>
          <w:sz w:val="20"/>
          <w:szCs w:val="20"/>
          <w:lang w:eastAsia="en-AU"/>
        </w:rPr>
        <w:t xml:space="preserve"> </w:t>
      </w:r>
      <w:r w:rsidR="000A03F0">
        <w:rPr>
          <w:sz w:val="20"/>
          <w:szCs w:val="20"/>
          <w:lang w:eastAsia="en-AU"/>
        </w:rPr>
        <w:t>S</w:t>
      </w:r>
      <w:r w:rsidRPr="0052607C">
        <w:rPr>
          <w:sz w:val="20"/>
          <w:szCs w:val="20"/>
          <w:lang w:eastAsia="en-AU"/>
        </w:rPr>
        <w:t>ection</w:t>
      </w:r>
      <w:r w:rsidR="000A03F0">
        <w:rPr>
          <w:sz w:val="20"/>
          <w:szCs w:val="20"/>
          <w:lang w:eastAsia="en-AU"/>
        </w:rPr>
        <w:t> </w:t>
      </w:r>
      <w:r w:rsidRPr="0052607C">
        <w:rPr>
          <w:sz w:val="20"/>
          <w:szCs w:val="20"/>
          <w:lang w:eastAsia="en-AU"/>
        </w:rPr>
        <w:t xml:space="preserve">8(4) provides that if a supply </w:t>
      </w:r>
      <w:r>
        <w:rPr>
          <w:sz w:val="20"/>
          <w:szCs w:val="20"/>
          <w:lang w:eastAsia="en-AU"/>
        </w:rPr>
        <w:t xml:space="preserve">(that is not of a remote service) </w:t>
      </w:r>
      <w:r w:rsidRPr="0052607C">
        <w:rPr>
          <w:sz w:val="20"/>
          <w:szCs w:val="20"/>
          <w:lang w:eastAsia="en-AU"/>
        </w:rPr>
        <w:t>is made to a GST-registered business for the purposes of carrying on their taxable activity, the services are considered to be supplied outside New Zealand, and t</w:t>
      </w:r>
      <w:r w:rsidR="007E086C">
        <w:rPr>
          <w:sz w:val="20"/>
          <w:szCs w:val="20"/>
          <w:lang w:eastAsia="en-AU"/>
        </w:rPr>
        <w:t>herefore not subject to GST,</w:t>
      </w:r>
      <w:r w:rsidRPr="0052607C">
        <w:rPr>
          <w:sz w:val="20"/>
          <w:szCs w:val="20"/>
          <w:lang w:eastAsia="en-AU"/>
        </w:rPr>
        <w:t xml:space="preserve"> unless the parties agree that GST will apply.</w:t>
      </w:r>
      <w:r>
        <w:rPr>
          <w:sz w:val="20"/>
          <w:szCs w:val="20"/>
          <w:lang w:eastAsia="en-AU"/>
        </w:rPr>
        <w:t xml:space="preserve">  S</w:t>
      </w:r>
      <w:r w:rsidRPr="0052607C">
        <w:rPr>
          <w:sz w:val="20"/>
          <w:szCs w:val="20"/>
          <w:lang w:eastAsia="en-AU"/>
        </w:rPr>
        <w:t xml:space="preserve">ection 8(4D) </w:t>
      </w:r>
      <w:r>
        <w:rPr>
          <w:sz w:val="20"/>
          <w:szCs w:val="20"/>
          <w:lang w:eastAsia="en-AU"/>
        </w:rPr>
        <w:t xml:space="preserve">similarly </w:t>
      </w:r>
      <w:r w:rsidRPr="0052607C">
        <w:rPr>
          <w:sz w:val="20"/>
          <w:szCs w:val="20"/>
          <w:lang w:eastAsia="en-AU"/>
        </w:rPr>
        <w:t>provides that if remote services are supplied to a GST-registered business for the purposes of carrying on their taxable activity, the services are treated as having been supplied outside New Zealand.  The services a</w:t>
      </w:r>
      <w:r w:rsidR="00AF24D4">
        <w:rPr>
          <w:sz w:val="20"/>
          <w:szCs w:val="20"/>
          <w:lang w:eastAsia="en-AU"/>
        </w:rPr>
        <w:t>re therefore not subject to GST</w:t>
      </w:r>
      <w:r w:rsidRPr="0052607C">
        <w:rPr>
          <w:sz w:val="20"/>
          <w:szCs w:val="20"/>
          <w:lang w:eastAsia="en-AU"/>
        </w:rPr>
        <w:t xml:space="preserve"> unless the non-resident supplier chooses to treat the services as being made in New Zealand (no agreement is required between the supplier a</w:t>
      </w:r>
      <w:r>
        <w:rPr>
          <w:sz w:val="20"/>
          <w:szCs w:val="20"/>
          <w:lang w:eastAsia="en-AU"/>
        </w:rPr>
        <w:t xml:space="preserve">nd recipient for this purpose).  </w:t>
      </w:r>
      <w:r w:rsidRPr="0052607C">
        <w:rPr>
          <w:sz w:val="20"/>
          <w:szCs w:val="20"/>
          <w:lang w:eastAsia="en-AU"/>
        </w:rPr>
        <w:t xml:space="preserve">If the supplier chooses to treat the </w:t>
      </w:r>
      <w:r>
        <w:rPr>
          <w:sz w:val="20"/>
          <w:szCs w:val="20"/>
          <w:lang w:eastAsia="en-AU"/>
        </w:rPr>
        <w:t xml:space="preserve">supply of remote </w:t>
      </w:r>
      <w:r w:rsidRPr="0052607C">
        <w:rPr>
          <w:sz w:val="20"/>
          <w:szCs w:val="20"/>
          <w:lang w:eastAsia="en-AU"/>
        </w:rPr>
        <w:t>services as being made in New Zealand, the</w:t>
      </w:r>
      <w:r>
        <w:rPr>
          <w:sz w:val="20"/>
          <w:szCs w:val="20"/>
          <w:lang w:eastAsia="en-AU"/>
        </w:rPr>
        <w:t xml:space="preserve"> supply</w:t>
      </w:r>
      <w:r w:rsidRPr="0052607C">
        <w:rPr>
          <w:sz w:val="20"/>
          <w:szCs w:val="20"/>
          <w:lang w:eastAsia="en-AU"/>
        </w:rPr>
        <w:t xml:space="preserve"> will be zero-rated under section 11A(1)(x).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5FD6"/>
    <w:multiLevelType w:val="hybridMultilevel"/>
    <w:tmpl w:val="36C0C664"/>
    <w:lvl w:ilvl="0" w:tplc="826C131C">
      <w:start w:val="1"/>
      <w:numFmt w:val="bullet"/>
      <w:pStyle w:val="ListBulletOCTC"/>
      <w:lvlText w:val=""/>
      <w:lvlJc w:val="left"/>
      <w:pPr>
        <w:tabs>
          <w:tab w:val="num" w:pos="596"/>
        </w:tabs>
        <w:ind w:left="596" w:hanging="170"/>
      </w:pPr>
      <w:rPr>
        <w:rFonts w:ascii="Symbol" w:hAnsi="Symbol" w:hint="default"/>
        <w:color w:val="auto"/>
      </w:rPr>
    </w:lvl>
    <w:lvl w:ilvl="1" w:tplc="E5AECBA6">
      <w:start w:val="1"/>
      <w:numFmt w:val="bullet"/>
      <w:lvlText w:val=""/>
      <w:lvlJc w:val="left"/>
      <w:pPr>
        <w:tabs>
          <w:tab w:val="num" w:pos="1305"/>
        </w:tabs>
        <w:ind w:left="1305" w:hanging="170"/>
      </w:pPr>
      <w:rPr>
        <w:rFonts w:ascii="Symbol" w:hAnsi="Symbol" w:hint="default"/>
      </w:rPr>
    </w:lvl>
    <w:lvl w:ilvl="2" w:tplc="1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1B60CF"/>
    <w:multiLevelType w:val="hybridMultilevel"/>
    <w:tmpl w:val="599066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164B8"/>
    <w:multiLevelType w:val="singleLevel"/>
    <w:tmpl w:val="84C4E7E2"/>
    <w:lvl w:ilvl="0">
      <w:start w:val="1"/>
      <w:numFmt w:val="decimal"/>
      <w:pStyle w:val="Chapter3"/>
      <w:lvlText w:val="3.%1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</w:rPr>
    </w:lvl>
  </w:abstractNum>
  <w:abstractNum w:abstractNumId="3">
    <w:nsid w:val="1DB267FF"/>
    <w:multiLevelType w:val="hybridMultilevel"/>
    <w:tmpl w:val="D95C36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9139C"/>
    <w:multiLevelType w:val="hybridMultilevel"/>
    <w:tmpl w:val="A800B8C2"/>
    <w:lvl w:ilvl="0" w:tplc="0268A054">
      <w:start w:val="1"/>
      <w:numFmt w:val="decimal"/>
      <w:pStyle w:val="Numberedparagraph"/>
      <w:lvlText w:val="%1."/>
      <w:lvlJc w:val="left"/>
      <w:pPr>
        <w:tabs>
          <w:tab w:val="num" w:pos="993"/>
        </w:tabs>
        <w:ind w:left="993" w:hanging="567"/>
      </w:pPr>
      <w:rPr>
        <w:rFonts w:ascii="Verdana" w:hAnsi="Verdana" w:hint="default"/>
        <w:b w:val="0"/>
        <w:sz w:val="20"/>
        <w:szCs w:val="20"/>
      </w:rPr>
    </w:lvl>
    <w:lvl w:ilvl="1" w:tplc="1409000F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0"/>
      </w:rPr>
    </w:lvl>
    <w:lvl w:ilvl="2" w:tplc="140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5">
    <w:nsid w:val="35582D59"/>
    <w:multiLevelType w:val="hybridMultilevel"/>
    <w:tmpl w:val="43EACAB4"/>
    <w:lvl w:ilvl="0" w:tplc="D6D8AA28">
      <w:start w:val="1"/>
      <w:numFmt w:val="bullet"/>
      <w:pStyle w:val="BulletsTex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981091"/>
    <w:multiLevelType w:val="hybridMultilevel"/>
    <w:tmpl w:val="75862760"/>
    <w:lvl w:ilvl="0" w:tplc="1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5378792B"/>
    <w:multiLevelType w:val="hybridMultilevel"/>
    <w:tmpl w:val="E60033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0E399F"/>
    <w:multiLevelType w:val="hybridMultilevel"/>
    <w:tmpl w:val="7BFA8CEE"/>
    <w:lvl w:ilvl="0" w:tplc="D6D8A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81F893F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1743EB"/>
    <w:multiLevelType w:val="hybridMultilevel"/>
    <w:tmpl w:val="A606CE84"/>
    <w:lvl w:ilvl="0" w:tplc="1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5AF82873"/>
    <w:multiLevelType w:val="hybridMultilevel"/>
    <w:tmpl w:val="E57C7546"/>
    <w:lvl w:ilvl="0" w:tplc="1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60BE2948"/>
    <w:multiLevelType w:val="hybridMultilevel"/>
    <w:tmpl w:val="EE980726"/>
    <w:lvl w:ilvl="0" w:tplc="D6D8A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81F893F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4E0B5D"/>
    <w:multiLevelType w:val="hybridMultilevel"/>
    <w:tmpl w:val="641CF032"/>
    <w:lvl w:ilvl="0" w:tplc="1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3">
    <w:nsid w:val="63852BAC"/>
    <w:multiLevelType w:val="hybridMultilevel"/>
    <w:tmpl w:val="44DE64BA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7C4449"/>
    <w:multiLevelType w:val="singleLevel"/>
    <w:tmpl w:val="08D0946E"/>
    <w:lvl w:ilvl="0">
      <w:start w:val="1"/>
      <w:numFmt w:val="bullet"/>
      <w:pStyle w:val="TR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</w:abstractNum>
  <w:abstractNum w:abstractNumId="15">
    <w:nsid w:val="768E644B"/>
    <w:multiLevelType w:val="hybridMultilevel"/>
    <w:tmpl w:val="708AE008"/>
    <w:lvl w:ilvl="0" w:tplc="298C4C64">
      <w:start w:val="1"/>
      <w:numFmt w:val="bullet"/>
      <w:pStyle w:val="Bullets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0"/>
  </w:num>
  <w:num w:numId="5">
    <w:abstractNumId w:val="14"/>
  </w:num>
  <w:num w:numId="6">
    <w:abstractNumId w:val="5"/>
  </w:num>
  <w:num w:numId="7">
    <w:abstractNumId w:val="8"/>
  </w:num>
  <w:num w:numId="8">
    <w:abstractNumId w:val="11"/>
  </w:num>
  <w:num w:numId="9">
    <w:abstractNumId w:val="1"/>
  </w:num>
  <w:num w:numId="10">
    <w:abstractNumId w:val="9"/>
  </w:num>
  <w:num w:numId="11">
    <w:abstractNumId w:val="12"/>
  </w:num>
  <w:num w:numId="12">
    <w:abstractNumId w:val="6"/>
  </w:num>
  <w:num w:numId="13">
    <w:abstractNumId w:val="3"/>
  </w:num>
  <w:num w:numId="14">
    <w:abstractNumId w:val="7"/>
  </w:num>
  <w:num w:numId="15">
    <w:abstractNumId w:val="13"/>
  </w:num>
  <w:num w:numId="16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74"/>
    <w:rsid w:val="0000163F"/>
    <w:rsid w:val="00001CC9"/>
    <w:rsid w:val="000028AC"/>
    <w:rsid w:val="00003978"/>
    <w:rsid w:val="000062FF"/>
    <w:rsid w:val="0000688A"/>
    <w:rsid w:val="000073C9"/>
    <w:rsid w:val="000076D4"/>
    <w:rsid w:val="0001178C"/>
    <w:rsid w:val="000127E7"/>
    <w:rsid w:val="0001402D"/>
    <w:rsid w:val="00015020"/>
    <w:rsid w:val="0001504B"/>
    <w:rsid w:val="000158BD"/>
    <w:rsid w:val="00016A58"/>
    <w:rsid w:val="00017B30"/>
    <w:rsid w:val="000219EF"/>
    <w:rsid w:val="00024AEE"/>
    <w:rsid w:val="00025207"/>
    <w:rsid w:val="00030D20"/>
    <w:rsid w:val="0003318A"/>
    <w:rsid w:val="00034559"/>
    <w:rsid w:val="00034A48"/>
    <w:rsid w:val="00034F39"/>
    <w:rsid w:val="000352C3"/>
    <w:rsid w:val="000353B1"/>
    <w:rsid w:val="00035D62"/>
    <w:rsid w:val="00041BAD"/>
    <w:rsid w:val="0004295A"/>
    <w:rsid w:val="00042EA4"/>
    <w:rsid w:val="000458DC"/>
    <w:rsid w:val="000477AD"/>
    <w:rsid w:val="00047C2F"/>
    <w:rsid w:val="00050642"/>
    <w:rsid w:val="000509C9"/>
    <w:rsid w:val="00051687"/>
    <w:rsid w:val="0005292F"/>
    <w:rsid w:val="00052F9B"/>
    <w:rsid w:val="00053031"/>
    <w:rsid w:val="000540E1"/>
    <w:rsid w:val="00056A4F"/>
    <w:rsid w:val="0005766C"/>
    <w:rsid w:val="000577E5"/>
    <w:rsid w:val="00057E86"/>
    <w:rsid w:val="0006002B"/>
    <w:rsid w:val="00060279"/>
    <w:rsid w:val="00060B82"/>
    <w:rsid w:val="000621AA"/>
    <w:rsid w:val="00063750"/>
    <w:rsid w:val="00065A06"/>
    <w:rsid w:val="00066CBD"/>
    <w:rsid w:val="00070615"/>
    <w:rsid w:val="00070AFB"/>
    <w:rsid w:val="00074052"/>
    <w:rsid w:val="000753F5"/>
    <w:rsid w:val="00076A9D"/>
    <w:rsid w:val="00076FD0"/>
    <w:rsid w:val="00080847"/>
    <w:rsid w:val="0008154E"/>
    <w:rsid w:val="000831CE"/>
    <w:rsid w:val="00083A44"/>
    <w:rsid w:val="00084B38"/>
    <w:rsid w:val="00084F1B"/>
    <w:rsid w:val="00086655"/>
    <w:rsid w:val="00090A73"/>
    <w:rsid w:val="0009267A"/>
    <w:rsid w:val="00092DA0"/>
    <w:rsid w:val="00095D1F"/>
    <w:rsid w:val="00095DBF"/>
    <w:rsid w:val="0009686A"/>
    <w:rsid w:val="0009739D"/>
    <w:rsid w:val="000A03F0"/>
    <w:rsid w:val="000A13C7"/>
    <w:rsid w:val="000A4303"/>
    <w:rsid w:val="000A5E79"/>
    <w:rsid w:val="000A794E"/>
    <w:rsid w:val="000B0718"/>
    <w:rsid w:val="000B0AC8"/>
    <w:rsid w:val="000B0FA6"/>
    <w:rsid w:val="000B14A8"/>
    <w:rsid w:val="000B225C"/>
    <w:rsid w:val="000B345E"/>
    <w:rsid w:val="000B3E70"/>
    <w:rsid w:val="000B42D4"/>
    <w:rsid w:val="000B540F"/>
    <w:rsid w:val="000B7326"/>
    <w:rsid w:val="000B7F5E"/>
    <w:rsid w:val="000C0D3F"/>
    <w:rsid w:val="000C0E25"/>
    <w:rsid w:val="000C1B83"/>
    <w:rsid w:val="000C2C1A"/>
    <w:rsid w:val="000C5EBC"/>
    <w:rsid w:val="000C60C8"/>
    <w:rsid w:val="000C6EC4"/>
    <w:rsid w:val="000C784B"/>
    <w:rsid w:val="000D0417"/>
    <w:rsid w:val="000D0CD8"/>
    <w:rsid w:val="000D4657"/>
    <w:rsid w:val="000D4B58"/>
    <w:rsid w:val="000D7EB1"/>
    <w:rsid w:val="000D7EE0"/>
    <w:rsid w:val="000E17E1"/>
    <w:rsid w:val="000E6096"/>
    <w:rsid w:val="000E63E0"/>
    <w:rsid w:val="000F0B42"/>
    <w:rsid w:val="000F0FEF"/>
    <w:rsid w:val="000F36E8"/>
    <w:rsid w:val="000F4C3B"/>
    <w:rsid w:val="000F699A"/>
    <w:rsid w:val="000F6CCE"/>
    <w:rsid w:val="000F6E19"/>
    <w:rsid w:val="00100D93"/>
    <w:rsid w:val="00101152"/>
    <w:rsid w:val="00101286"/>
    <w:rsid w:val="00101373"/>
    <w:rsid w:val="001015F4"/>
    <w:rsid w:val="00104EED"/>
    <w:rsid w:val="001070DF"/>
    <w:rsid w:val="0010710D"/>
    <w:rsid w:val="00107F32"/>
    <w:rsid w:val="00110FB3"/>
    <w:rsid w:val="00111392"/>
    <w:rsid w:val="00111741"/>
    <w:rsid w:val="0011398B"/>
    <w:rsid w:val="001178F4"/>
    <w:rsid w:val="0011791B"/>
    <w:rsid w:val="00121DA0"/>
    <w:rsid w:val="0012363A"/>
    <w:rsid w:val="00123A50"/>
    <w:rsid w:val="00124BB3"/>
    <w:rsid w:val="001258AB"/>
    <w:rsid w:val="0013037B"/>
    <w:rsid w:val="00134BE1"/>
    <w:rsid w:val="0013706D"/>
    <w:rsid w:val="00140EC9"/>
    <w:rsid w:val="001410C7"/>
    <w:rsid w:val="00141464"/>
    <w:rsid w:val="00146797"/>
    <w:rsid w:val="0015058B"/>
    <w:rsid w:val="001536AD"/>
    <w:rsid w:val="0015626C"/>
    <w:rsid w:val="00156DB5"/>
    <w:rsid w:val="00157C4C"/>
    <w:rsid w:val="001629C7"/>
    <w:rsid w:val="00163114"/>
    <w:rsid w:val="00163ECB"/>
    <w:rsid w:val="0016492F"/>
    <w:rsid w:val="00164F61"/>
    <w:rsid w:val="00166105"/>
    <w:rsid w:val="00171065"/>
    <w:rsid w:val="00173144"/>
    <w:rsid w:val="0017410F"/>
    <w:rsid w:val="001755FA"/>
    <w:rsid w:val="001758DE"/>
    <w:rsid w:val="001778E3"/>
    <w:rsid w:val="00181BA5"/>
    <w:rsid w:val="00181C07"/>
    <w:rsid w:val="00183883"/>
    <w:rsid w:val="001843CA"/>
    <w:rsid w:val="0018492E"/>
    <w:rsid w:val="00184D17"/>
    <w:rsid w:val="0018613C"/>
    <w:rsid w:val="00186C6E"/>
    <w:rsid w:val="001878AC"/>
    <w:rsid w:val="00191D11"/>
    <w:rsid w:val="0019245A"/>
    <w:rsid w:val="00192A38"/>
    <w:rsid w:val="00192E80"/>
    <w:rsid w:val="00194E6C"/>
    <w:rsid w:val="00195247"/>
    <w:rsid w:val="00196984"/>
    <w:rsid w:val="001A0D9E"/>
    <w:rsid w:val="001A1703"/>
    <w:rsid w:val="001A277B"/>
    <w:rsid w:val="001A28E8"/>
    <w:rsid w:val="001A4240"/>
    <w:rsid w:val="001A5546"/>
    <w:rsid w:val="001A5973"/>
    <w:rsid w:val="001A6710"/>
    <w:rsid w:val="001A7B64"/>
    <w:rsid w:val="001B13AC"/>
    <w:rsid w:val="001B1637"/>
    <w:rsid w:val="001B4C96"/>
    <w:rsid w:val="001B7463"/>
    <w:rsid w:val="001C034C"/>
    <w:rsid w:val="001C05D7"/>
    <w:rsid w:val="001C2177"/>
    <w:rsid w:val="001C355C"/>
    <w:rsid w:val="001C4E70"/>
    <w:rsid w:val="001C511E"/>
    <w:rsid w:val="001C5C22"/>
    <w:rsid w:val="001D38EA"/>
    <w:rsid w:val="001D3BC1"/>
    <w:rsid w:val="001D48F8"/>
    <w:rsid w:val="001D4AFA"/>
    <w:rsid w:val="001D5EDE"/>
    <w:rsid w:val="001D71BC"/>
    <w:rsid w:val="001E2B13"/>
    <w:rsid w:val="001E5015"/>
    <w:rsid w:val="001E55D3"/>
    <w:rsid w:val="001E68BB"/>
    <w:rsid w:val="001E78D3"/>
    <w:rsid w:val="001F0AF1"/>
    <w:rsid w:val="001F1502"/>
    <w:rsid w:val="001F2BDF"/>
    <w:rsid w:val="001F394C"/>
    <w:rsid w:val="001F4F07"/>
    <w:rsid w:val="001F6FE6"/>
    <w:rsid w:val="00201331"/>
    <w:rsid w:val="00201DA1"/>
    <w:rsid w:val="00202C73"/>
    <w:rsid w:val="00212EBE"/>
    <w:rsid w:val="00213E61"/>
    <w:rsid w:val="00214962"/>
    <w:rsid w:val="00222A41"/>
    <w:rsid w:val="00224B41"/>
    <w:rsid w:val="002267AE"/>
    <w:rsid w:val="00227194"/>
    <w:rsid w:val="00231019"/>
    <w:rsid w:val="002347EF"/>
    <w:rsid w:val="00235008"/>
    <w:rsid w:val="0023662E"/>
    <w:rsid w:val="00236745"/>
    <w:rsid w:val="00237D3C"/>
    <w:rsid w:val="00240A40"/>
    <w:rsid w:val="00245DB6"/>
    <w:rsid w:val="002467A2"/>
    <w:rsid w:val="00246B6C"/>
    <w:rsid w:val="00250369"/>
    <w:rsid w:val="002503FA"/>
    <w:rsid w:val="00250FEA"/>
    <w:rsid w:val="00251ADD"/>
    <w:rsid w:val="0025339B"/>
    <w:rsid w:val="00253FB7"/>
    <w:rsid w:val="00254B47"/>
    <w:rsid w:val="00257BC5"/>
    <w:rsid w:val="00257D64"/>
    <w:rsid w:val="00261AC1"/>
    <w:rsid w:val="00263221"/>
    <w:rsid w:val="00263A3F"/>
    <w:rsid w:val="0026456C"/>
    <w:rsid w:val="00266085"/>
    <w:rsid w:val="0026746F"/>
    <w:rsid w:val="00267CB1"/>
    <w:rsid w:val="00270F66"/>
    <w:rsid w:val="00271453"/>
    <w:rsid w:val="00272E8D"/>
    <w:rsid w:val="00273338"/>
    <w:rsid w:val="00273905"/>
    <w:rsid w:val="00273F18"/>
    <w:rsid w:val="002740CF"/>
    <w:rsid w:val="0027420F"/>
    <w:rsid w:val="00274264"/>
    <w:rsid w:val="002759AA"/>
    <w:rsid w:val="0027692C"/>
    <w:rsid w:val="00277CB2"/>
    <w:rsid w:val="00277DED"/>
    <w:rsid w:val="00281167"/>
    <w:rsid w:val="00281AF7"/>
    <w:rsid w:val="00284A1A"/>
    <w:rsid w:val="0028699B"/>
    <w:rsid w:val="00287095"/>
    <w:rsid w:val="00287320"/>
    <w:rsid w:val="002877DB"/>
    <w:rsid w:val="00290A9E"/>
    <w:rsid w:val="00293137"/>
    <w:rsid w:val="00294520"/>
    <w:rsid w:val="002945E5"/>
    <w:rsid w:val="0029585C"/>
    <w:rsid w:val="00295D52"/>
    <w:rsid w:val="002A034F"/>
    <w:rsid w:val="002A10C5"/>
    <w:rsid w:val="002A17BE"/>
    <w:rsid w:val="002A1811"/>
    <w:rsid w:val="002A28C5"/>
    <w:rsid w:val="002A3243"/>
    <w:rsid w:val="002A43DC"/>
    <w:rsid w:val="002A6CBD"/>
    <w:rsid w:val="002A72C2"/>
    <w:rsid w:val="002A7365"/>
    <w:rsid w:val="002B0C7F"/>
    <w:rsid w:val="002B0E95"/>
    <w:rsid w:val="002B2E36"/>
    <w:rsid w:val="002B3BCB"/>
    <w:rsid w:val="002B4282"/>
    <w:rsid w:val="002B4CA8"/>
    <w:rsid w:val="002B5148"/>
    <w:rsid w:val="002B5819"/>
    <w:rsid w:val="002C1903"/>
    <w:rsid w:val="002C1992"/>
    <w:rsid w:val="002C3A97"/>
    <w:rsid w:val="002C5718"/>
    <w:rsid w:val="002C5A81"/>
    <w:rsid w:val="002C6AC9"/>
    <w:rsid w:val="002D0C11"/>
    <w:rsid w:val="002D2BC7"/>
    <w:rsid w:val="002D59C8"/>
    <w:rsid w:val="002D5E30"/>
    <w:rsid w:val="002D78F2"/>
    <w:rsid w:val="002E0F30"/>
    <w:rsid w:val="002E4AF7"/>
    <w:rsid w:val="002E6168"/>
    <w:rsid w:val="002F1154"/>
    <w:rsid w:val="002F2958"/>
    <w:rsid w:val="002F3257"/>
    <w:rsid w:val="002F374A"/>
    <w:rsid w:val="002F46B4"/>
    <w:rsid w:val="002F60DF"/>
    <w:rsid w:val="002F68A9"/>
    <w:rsid w:val="003025B4"/>
    <w:rsid w:val="003107A4"/>
    <w:rsid w:val="00310BEB"/>
    <w:rsid w:val="003115F6"/>
    <w:rsid w:val="00311BFD"/>
    <w:rsid w:val="003133A6"/>
    <w:rsid w:val="003134E2"/>
    <w:rsid w:val="003144FE"/>
    <w:rsid w:val="0031474C"/>
    <w:rsid w:val="00315070"/>
    <w:rsid w:val="00315346"/>
    <w:rsid w:val="00315BE0"/>
    <w:rsid w:val="00315EBC"/>
    <w:rsid w:val="00320E43"/>
    <w:rsid w:val="00321315"/>
    <w:rsid w:val="003253B3"/>
    <w:rsid w:val="003258C5"/>
    <w:rsid w:val="003263AE"/>
    <w:rsid w:val="003265B9"/>
    <w:rsid w:val="00327609"/>
    <w:rsid w:val="00330768"/>
    <w:rsid w:val="00331CE5"/>
    <w:rsid w:val="003327B8"/>
    <w:rsid w:val="00334A23"/>
    <w:rsid w:val="003362C1"/>
    <w:rsid w:val="0033673B"/>
    <w:rsid w:val="0033792D"/>
    <w:rsid w:val="0034013B"/>
    <w:rsid w:val="0034124B"/>
    <w:rsid w:val="00344BFE"/>
    <w:rsid w:val="0034568F"/>
    <w:rsid w:val="00345D06"/>
    <w:rsid w:val="00347762"/>
    <w:rsid w:val="00350106"/>
    <w:rsid w:val="00350995"/>
    <w:rsid w:val="00351D45"/>
    <w:rsid w:val="00352594"/>
    <w:rsid w:val="0035263A"/>
    <w:rsid w:val="00352B5B"/>
    <w:rsid w:val="00353769"/>
    <w:rsid w:val="0035488F"/>
    <w:rsid w:val="00355BE0"/>
    <w:rsid w:val="003564C5"/>
    <w:rsid w:val="00360167"/>
    <w:rsid w:val="00360A12"/>
    <w:rsid w:val="00360A89"/>
    <w:rsid w:val="00361A49"/>
    <w:rsid w:val="00363984"/>
    <w:rsid w:val="00364341"/>
    <w:rsid w:val="00365FDB"/>
    <w:rsid w:val="003662FC"/>
    <w:rsid w:val="003722BA"/>
    <w:rsid w:val="00374096"/>
    <w:rsid w:val="0037647C"/>
    <w:rsid w:val="003771F0"/>
    <w:rsid w:val="00377953"/>
    <w:rsid w:val="0038193A"/>
    <w:rsid w:val="003855D9"/>
    <w:rsid w:val="00386BE0"/>
    <w:rsid w:val="00387CBF"/>
    <w:rsid w:val="00392DF3"/>
    <w:rsid w:val="003937D5"/>
    <w:rsid w:val="00395490"/>
    <w:rsid w:val="00395D1F"/>
    <w:rsid w:val="0039614D"/>
    <w:rsid w:val="00396D10"/>
    <w:rsid w:val="003970A6"/>
    <w:rsid w:val="003A1330"/>
    <w:rsid w:val="003A5CAC"/>
    <w:rsid w:val="003A6920"/>
    <w:rsid w:val="003A6D19"/>
    <w:rsid w:val="003A714E"/>
    <w:rsid w:val="003B03A6"/>
    <w:rsid w:val="003B2319"/>
    <w:rsid w:val="003B237B"/>
    <w:rsid w:val="003B6623"/>
    <w:rsid w:val="003B6771"/>
    <w:rsid w:val="003C0E29"/>
    <w:rsid w:val="003C0E44"/>
    <w:rsid w:val="003C117F"/>
    <w:rsid w:val="003C136B"/>
    <w:rsid w:val="003C24FF"/>
    <w:rsid w:val="003C2B07"/>
    <w:rsid w:val="003C585A"/>
    <w:rsid w:val="003C5B7B"/>
    <w:rsid w:val="003C6F2F"/>
    <w:rsid w:val="003D4FB2"/>
    <w:rsid w:val="003D5974"/>
    <w:rsid w:val="003E0415"/>
    <w:rsid w:val="003E05CE"/>
    <w:rsid w:val="003E0E6F"/>
    <w:rsid w:val="003E3A7C"/>
    <w:rsid w:val="003E3AFB"/>
    <w:rsid w:val="003E5B13"/>
    <w:rsid w:val="003E7A5E"/>
    <w:rsid w:val="003F26D1"/>
    <w:rsid w:val="003F30E7"/>
    <w:rsid w:val="003F67DC"/>
    <w:rsid w:val="0040067F"/>
    <w:rsid w:val="00400D20"/>
    <w:rsid w:val="00401330"/>
    <w:rsid w:val="00401F9E"/>
    <w:rsid w:val="004020C5"/>
    <w:rsid w:val="00404388"/>
    <w:rsid w:val="00404DE1"/>
    <w:rsid w:val="0040506C"/>
    <w:rsid w:val="00407206"/>
    <w:rsid w:val="00410CD0"/>
    <w:rsid w:val="00410DBB"/>
    <w:rsid w:val="00410F05"/>
    <w:rsid w:val="00411DF5"/>
    <w:rsid w:val="00411E54"/>
    <w:rsid w:val="00412FC7"/>
    <w:rsid w:val="00420782"/>
    <w:rsid w:val="004212F8"/>
    <w:rsid w:val="0042230C"/>
    <w:rsid w:val="004232DE"/>
    <w:rsid w:val="00424697"/>
    <w:rsid w:val="004247A1"/>
    <w:rsid w:val="004271DB"/>
    <w:rsid w:val="00431420"/>
    <w:rsid w:val="00432F56"/>
    <w:rsid w:val="004333A1"/>
    <w:rsid w:val="004344EE"/>
    <w:rsid w:val="0043616F"/>
    <w:rsid w:val="004377AF"/>
    <w:rsid w:val="00437DA6"/>
    <w:rsid w:val="00440816"/>
    <w:rsid w:val="0044103C"/>
    <w:rsid w:val="00441B59"/>
    <w:rsid w:val="004438C6"/>
    <w:rsid w:val="00443E41"/>
    <w:rsid w:val="00444872"/>
    <w:rsid w:val="00444E28"/>
    <w:rsid w:val="00445820"/>
    <w:rsid w:val="00450660"/>
    <w:rsid w:val="00452BDF"/>
    <w:rsid w:val="00452D4D"/>
    <w:rsid w:val="004545A7"/>
    <w:rsid w:val="00455803"/>
    <w:rsid w:val="00456458"/>
    <w:rsid w:val="00457F35"/>
    <w:rsid w:val="004601E6"/>
    <w:rsid w:val="00461D80"/>
    <w:rsid w:val="004622FF"/>
    <w:rsid w:val="0046303D"/>
    <w:rsid w:val="00463A61"/>
    <w:rsid w:val="00464A30"/>
    <w:rsid w:val="00465095"/>
    <w:rsid w:val="00465FB8"/>
    <w:rsid w:val="004679A9"/>
    <w:rsid w:val="00467FC0"/>
    <w:rsid w:val="00471421"/>
    <w:rsid w:val="00474879"/>
    <w:rsid w:val="00475636"/>
    <w:rsid w:val="00481832"/>
    <w:rsid w:val="00482A4E"/>
    <w:rsid w:val="00482D69"/>
    <w:rsid w:val="0048330D"/>
    <w:rsid w:val="00483A0A"/>
    <w:rsid w:val="004847F1"/>
    <w:rsid w:val="00484DE3"/>
    <w:rsid w:val="004858D7"/>
    <w:rsid w:val="00496419"/>
    <w:rsid w:val="00496822"/>
    <w:rsid w:val="00497EDF"/>
    <w:rsid w:val="004A0EA4"/>
    <w:rsid w:val="004A121E"/>
    <w:rsid w:val="004A4FF3"/>
    <w:rsid w:val="004A640E"/>
    <w:rsid w:val="004A6E49"/>
    <w:rsid w:val="004A7667"/>
    <w:rsid w:val="004B50A5"/>
    <w:rsid w:val="004B60A3"/>
    <w:rsid w:val="004B60BF"/>
    <w:rsid w:val="004B6EED"/>
    <w:rsid w:val="004C1E6C"/>
    <w:rsid w:val="004C2A26"/>
    <w:rsid w:val="004C4F7F"/>
    <w:rsid w:val="004C727E"/>
    <w:rsid w:val="004D10F8"/>
    <w:rsid w:val="004D2100"/>
    <w:rsid w:val="004D2BE5"/>
    <w:rsid w:val="004D5A6A"/>
    <w:rsid w:val="004E290A"/>
    <w:rsid w:val="004E31D4"/>
    <w:rsid w:val="004E5892"/>
    <w:rsid w:val="004E63DC"/>
    <w:rsid w:val="004F027A"/>
    <w:rsid w:val="004F2F5B"/>
    <w:rsid w:val="004F31A2"/>
    <w:rsid w:val="004F31F2"/>
    <w:rsid w:val="004F46F7"/>
    <w:rsid w:val="004F51CF"/>
    <w:rsid w:val="004F5856"/>
    <w:rsid w:val="0050230F"/>
    <w:rsid w:val="00504058"/>
    <w:rsid w:val="00504641"/>
    <w:rsid w:val="00504F89"/>
    <w:rsid w:val="0050519F"/>
    <w:rsid w:val="0050796E"/>
    <w:rsid w:val="00511BB2"/>
    <w:rsid w:val="00512B49"/>
    <w:rsid w:val="00513D15"/>
    <w:rsid w:val="00514CF1"/>
    <w:rsid w:val="00515963"/>
    <w:rsid w:val="00517BEA"/>
    <w:rsid w:val="00524348"/>
    <w:rsid w:val="00524522"/>
    <w:rsid w:val="00524E97"/>
    <w:rsid w:val="00525B08"/>
    <w:rsid w:val="0052607C"/>
    <w:rsid w:val="00530251"/>
    <w:rsid w:val="00530691"/>
    <w:rsid w:val="00531577"/>
    <w:rsid w:val="00533091"/>
    <w:rsid w:val="00535951"/>
    <w:rsid w:val="00535E5E"/>
    <w:rsid w:val="00536352"/>
    <w:rsid w:val="00536E76"/>
    <w:rsid w:val="00537B8B"/>
    <w:rsid w:val="00537FC0"/>
    <w:rsid w:val="005400BA"/>
    <w:rsid w:val="0054224B"/>
    <w:rsid w:val="00542A50"/>
    <w:rsid w:val="00543035"/>
    <w:rsid w:val="005431FF"/>
    <w:rsid w:val="00545E60"/>
    <w:rsid w:val="0055011E"/>
    <w:rsid w:val="00550F33"/>
    <w:rsid w:val="005521FF"/>
    <w:rsid w:val="00552AD3"/>
    <w:rsid w:val="0055346B"/>
    <w:rsid w:val="00553BF8"/>
    <w:rsid w:val="005547A3"/>
    <w:rsid w:val="00555068"/>
    <w:rsid w:val="00556709"/>
    <w:rsid w:val="00556F3A"/>
    <w:rsid w:val="005572B3"/>
    <w:rsid w:val="00557882"/>
    <w:rsid w:val="00560AC4"/>
    <w:rsid w:val="005629B3"/>
    <w:rsid w:val="00562CA4"/>
    <w:rsid w:val="00563FA5"/>
    <w:rsid w:val="00565617"/>
    <w:rsid w:val="00570D37"/>
    <w:rsid w:val="005717BE"/>
    <w:rsid w:val="00573360"/>
    <w:rsid w:val="00573AC7"/>
    <w:rsid w:val="005740A4"/>
    <w:rsid w:val="005743E7"/>
    <w:rsid w:val="0057560E"/>
    <w:rsid w:val="00575D5B"/>
    <w:rsid w:val="00577221"/>
    <w:rsid w:val="00581857"/>
    <w:rsid w:val="00581DF9"/>
    <w:rsid w:val="00582F63"/>
    <w:rsid w:val="00584D9E"/>
    <w:rsid w:val="0058706F"/>
    <w:rsid w:val="005870E2"/>
    <w:rsid w:val="00587821"/>
    <w:rsid w:val="005909F7"/>
    <w:rsid w:val="00590FCF"/>
    <w:rsid w:val="005926B6"/>
    <w:rsid w:val="00594CCB"/>
    <w:rsid w:val="005952D9"/>
    <w:rsid w:val="0059554D"/>
    <w:rsid w:val="005A027F"/>
    <w:rsid w:val="005A1169"/>
    <w:rsid w:val="005A3CD8"/>
    <w:rsid w:val="005A4DC2"/>
    <w:rsid w:val="005B00CA"/>
    <w:rsid w:val="005B0844"/>
    <w:rsid w:val="005B1653"/>
    <w:rsid w:val="005B16F4"/>
    <w:rsid w:val="005B2B88"/>
    <w:rsid w:val="005B34F5"/>
    <w:rsid w:val="005B5578"/>
    <w:rsid w:val="005B73AD"/>
    <w:rsid w:val="005B7D13"/>
    <w:rsid w:val="005C0617"/>
    <w:rsid w:val="005C1653"/>
    <w:rsid w:val="005C17D7"/>
    <w:rsid w:val="005C33FA"/>
    <w:rsid w:val="005C3DFA"/>
    <w:rsid w:val="005C4A5B"/>
    <w:rsid w:val="005C6E41"/>
    <w:rsid w:val="005C7013"/>
    <w:rsid w:val="005C70B5"/>
    <w:rsid w:val="005D0F76"/>
    <w:rsid w:val="005D13B6"/>
    <w:rsid w:val="005D213B"/>
    <w:rsid w:val="005D43A2"/>
    <w:rsid w:val="005D664C"/>
    <w:rsid w:val="005E243A"/>
    <w:rsid w:val="005E2AA3"/>
    <w:rsid w:val="005E454D"/>
    <w:rsid w:val="005E56F2"/>
    <w:rsid w:val="005E76E0"/>
    <w:rsid w:val="005F1113"/>
    <w:rsid w:val="005F11F5"/>
    <w:rsid w:val="005F3407"/>
    <w:rsid w:val="005F42F6"/>
    <w:rsid w:val="005F5BF5"/>
    <w:rsid w:val="005F6221"/>
    <w:rsid w:val="00600A77"/>
    <w:rsid w:val="00601038"/>
    <w:rsid w:val="00601788"/>
    <w:rsid w:val="006046C7"/>
    <w:rsid w:val="00604706"/>
    <w:rsid w:val="0060677F"/>
    <w:rsid w:val="006073D4"/>
    <w:rsid w:val="006074EC"/>
    <w:rsid w:val="00610095"/>
    <w:rsid w:val="006110FF"/>
    <w:rsid w:val="00612A40"/>
    <w:rsid w:val="00613DEE"/>
    <w:rsid w:val="006147FE"/>
    <w:rsid w:val="006162E2"/>
    <w:rsid w:val="00616E18"/>
    <w:rsid w:val="00617C37"/>
    <w:rsid w:val="00617F9A"/>
    <w:rsid w:val="0062000E"/>
    <w:rsid w:val="00622D81"/>
    <w:rsid w:val="00623F73"/>
    <w:rsid w:val="00624C4C"/>
    <w:rsid w:val="00624D5D"/>
    <w:rsid w:val="00624DD7"/>
    <w:rsid w:val="00624DF4"/>
    <w:rsid w:val="0062799A"/>
    <w:rsid w:val="00630DEA"/>
    <w:rsid w:val="00630EE4"/>
    <w:rsid w:val="00631E65"/>
    <w:rsid w:val="006324D1"/>
    <w:rsid w:val="00633032"/>
    <w:rsid w:val="006339C4"/>
    <w:rsid w:val="00633DE3"/>
    <w:rsid w:val="0063572B"/>
    <w:rsid w:val="00635A1D"/>
    <w:rsid w:val="006403C4"/>
    <w:rsid w:val="00641556"/>
    <w:rsid w:val="0064195B"/>
    <w:rsid w:val="0064199B"/>
    <w:rsid w:val="006465C3"/>
    <w:rsid w:val="006508C7"/>
    <w:rsid w:val="00651137"/>
    <w:rsid w:val="006521C5"/>
    <w:rsid w:val="00652F0F"/>
    <w:rsid w:val="006543EE"/>
    <w:rsid w:val="006577B2"/>
    <w:rsid w:val="0066015F"/>
    <w:rsid w:val="00660389"/>
    <w:rsid w:val="0066052E"/>
    <w:rsid w:val="00660588"/>
    <w:rsid w:val="00665FD4"/>
    <w:rsid w:val="006664F2"/>
    <w:rsid w:val="0067094F"/>
    <w:rsid w:val="00670A6F"/>
    <w:rsid w:val="0067295E"/>
    <w:rsid w:val="00673802"/>
    <w:rsid w:val="00676AB0"/>
    <w:rsid w:val="006777CA"/>
    <w:rsid w:val="00684566"/>
    <w:rsid w:val="0069146F"/>
    <w:rsid w:val="00691B0C"/>
    <w:rsid w:val="00692599"/>
    <w:rsid w:val="00692654"/>
    <w:rsid w:val="006940C7"/>
    <w:rsid w:val="0069472D"/>
    <w:rsid w:val="00695424"/>
    <w:rsid w:val="00696E2D"/>
    <w:rsid w:val="0069760E"/>
    <w:rsid w:val="006A08EC"/>
    <w:rsid w:val="006A1AA8"/>
    <w:rsid w:val="006A208E"/>
    <w:rsid w:val="006A47DA"/>
    <w:rsid w:val="006A502B"/>
    <w:rsid w:val="006A5046"/>
    <w:rsid w:val="006A6952"/>
    <w:rsid w:val="006A6A57"/>
    <w:rsid w:val="006B0B0A"/>
    <w:rsid w:val="006B297F"/>
    <w:rsid w:val="006B369D"/>
    <w:rsid w:val="006B6B01"/>
    <w:rsid w:val="006C11F7"/>
    <w:rsid w:val="006C159D"/>
    <w:rsid w:val="006C2975"/>
    <w:rsid w:val="006C34E0"/>
    <w:rsid w:val="006C3C6C"/>
    <w:rsid w:val="006C6882"/>
    <w:rsid w:val="006C6B54"/>
    <w:rsid w:val="006D0922"/>
    <w:rsid w:val="006D16D1"/>
    <w:rsid w:val="006D2019"/>
    <w:rsid w:val="006D21A3"/>
    <w:rsid w:val="006D5E88"/>
    <w:rsid w:val="006E2842"/>
    <w:rsid w:val="006E5BB9"/>
    <w:rsid w:val="006E5BF1"/>
    <w:rsid w:val="006E7D3E"/>
    <w:rsid w:val="006F1651"/>
    <w:rsid w:val="006F3428"/>
    <w:rsid w:val="006F3BAC"/>
    <w:rsid w:val="006F460C"/>
    <w:rsid w:val="006F7C57"/>
    <w:rsid w:val="007050AE"/>
    <w:rsid w:val="00705707"/>
    <w:rsid w:val="00707516"/>
    <w:rsid w:val="007079C0"/>
    <w:rsid w:val="00707B8A"/>
    <w:rsid w:val="00710A86"/>
    <w:rsid w:val="00710E88"/>
    <w:rsid w:val="00712D6B"/>
    <w:rsid w:val="00714A7E"/>
    <w:rsid w:val="00715E4B"/>
    <w:rsid w:val="007165ED"/>
    <w:rsid w:val="00720131"/>
    <w:rsid w:val="007218A3"/>
    <w:rsid w:val="007278B1"/>
    <w:rsid w:val="0073010C"/>
    <w:rsid w:val="00730C5F"/>
    <w:rsid w:val="00731850"/>
    <w:rsid w:val="00734EEF"/>
    <w:rsid w:val="007352F9"/>
    <w:rsid w:val="00736DE8"/>
    <w:rsid w:val="00742138"/>
    <w:rsid w:val="00743C7D"/>
    <w:rsid w:val="00745C2E"/>
    <w:rsid w:val="00753C71"/>
    <w:rsid w:val="0075435E"/>
    <w:rsid w:val="00754603"/>
    <w:rsid w:val="00755149"/>
    <w:rsid w:val="007603C6"/>
    <w:rsid w:val="00760BF3"/>
    <w:rsid w:val="007637C8"/>
    <w:rsid w:val="0076528A"/>
    <w:rsid w:val="00770ABF"/>
    <w:rsid w:val="00771030"/>
    <w:rsid w:val="00771B07"/>
    <w:rsid w:val="0077363F"/>
    <w:rsid w:val="00773CA1"/>
    <w:rsid w:val="00773FAE"/>
    <w:rsid w:val="0077586A"/>
    <w:rsid w:val="00776D78"/>
    <w:rsid w:val="00781799"/>
    <w:rsid w:val="00783066"/>
    <w:rsid w:val="00785ED6"/>
    <w:rsid w:val="007910A0"/>
    <w:rsid w:val="007932E9"/>
    <w:rsid w:val="0079427D"/>
    <w:rsid w:val="0079461E"/>
    <w:rsid w:val="00794B27"/>
    <w:rsid w:val="00796673"/>
    <w:rsid w:val="007968E6"/>
    <w:rsid w:val="007A2EDD"/>
    <w:rsid w:val="007A4256"/>
    <w:rsid w:val="007A45B3"/>
    <w:rsid w:val="007A51BD"/>
    <w:rsid w:val="007A58C4"/>
    <w:rsid w:val="007B027F"/>
    <w:rsid w:val="007B13F2"/>
    <w:rsid w:val="007B1E96"/>
    <w:rsid w:val="007B3321"/>
    <w:rsid w:val="007B40F7"/>
    <w:rsid w:val="007C0630"/>
    <w:rsid w:val="007C1AA4"/>
    <w:rsid w:val="007C2D46"/>
    <w:rsid w:val="007C35FD"/>
    <w:rsid w:val="007C46B3"/>
    <w:rsid w:val="007C5608"/>
    <w:rsid w:val="007C6822"/>
    <w:rsid w:val="007D033C"/>
    <w:rsid w:val="007D0C6C"/>
    <w:rsid w:val="007D137B"/>
    <w:rsid w:val="007D1771"/>
    <w:rsid w:val="007D23D3"/>
    <w:rsid w:val="007D24A3"/>
    <w:rsid w:val="007D25B5"/>
    <w:rsid w:val="007D3428"/>
    <w:rsid w:val="007D37C3"/>
    <w:rsid w:val="007D4197"/>
    <w:rsid w:val="007D59D4"/>
    <w:rsid w:val="007D6E9D"/>
    <w:rsid w:val="007D7378"/>
    <w:rsid w:val="007E038D"/>
    <w:rsid w:val="007E06F3"/>
    <w:rsid w:val="007E086C"/>
    <w:rsid w:val="007E177B"/>
    <w:rsid w:val="007E2DFC"/>
    <w:rsid w:val="007E46FC"/>
    <w:rsid w:val="007F0D7A"/>
    <w:rsid w:val="007F22D0"/>
    <w:rsid w:val="007F2729"/>
    <w:rsid w:val="007F274C"/>
    <w:rsid w:val="007F28E5"/>
    <w:rsid w:val="007F3B90"/>
    <w:rsid w:val="007F6EE5"/>
    <w:rsid w:val="007F7278"/>
    <w:rsid w:val="008043CA"/>
    <w:rsid w:val="00804579"/>
    <w:rsid w:val="008045DB"/>
    <w:rsid w:val="00805F35"/>
    <w:rsid w:val="0081259B"/>
    <w:rsid w:val="00814FF1"/>
    <w:rsid w:val="008150B9"/>
    <w:rsid w:val="008165FA"/>
    <w:rsid w:val="00816AED"/>
    <w:rsid w:val="00820238"/>
    <w:rsid w:val="008219E6"/>
    <w:rsid w:val="00821E5E"/>
    <w:rsid w:val="0082517E"/>
    <w:rsid w:val="00827738"/>
    <w:rsid w:val="00827787"/>
    <w:rsid w:val="00830AED"/>
    <w:rsid w:val="00830DCC"/>
    <w:rsid w:val="00831E1B"/>
    <w:rsid w:val="00837AEB"/>
    <w:rsid w:val="008413B5"/>
    <w:rsid w:val="0084531A"/>
    <w:rsid w:val="00845DF4"/>
    <w:rsid w:val="00846FCB"/>
    <w:rsid w:val="00847A19"/>
    <w:rsid w:val="00850733"/>
    <w:rsid w:val="00851CBC"/>
    <w:rsid w:val="00851CE7"/>
    <w:rsid w:val="008529FA"/>
    <w:rsid w:val="00855AF4"/>
    <w:rsid w:val="00856C7F"/>
    <w:rsid w:val="00857121"/>
    <w:rsid w:val="00857171"/>
    <w:rsid w:val="00860A45"/>
    <w:rsid w:val="00861CE8"/>
    <w:rsid w:val="008624C8"/>
    <w:rsid w:val="00862574"/>
    <w:rsid w:val="0086427E"/>
    <w:rsid w:val="00864686"/>
    <w:rsid w:val="00865164"/>
    <w:rsid w:val="00866F51"/>
    <w:rsid w:val="0086719A"/>
    <w:rsid w:val="0086724B"/>
    <w:rsid w:val="00870175"/>
    <w:rsid w:val="0087063D"/>
    <w:rsid w:val="00872666"/>
    <w:rsid w:val="00873DE9"/>
    <w:rsid w:val="00874E4E"/>
    <w:rsid w:val="008754E3"/>
    <w:rsid w:val="008773EB"/>
    <w:rsid w:val="0088052A"/>
    <w:rsid w:val="0088082E"/>
    <w:rsid w:val="00881EBF"/>
    <w:rsid w:val="008838BB"/>
    <w:rsid w:val="00884577"/>
    <w:rsid w:val="0088766D"/>
    <w:rsid w:val="00890C4D"/>
    <w:rsid w:val="008932D6"/>
    <w:rsid w:val="0089452B"/>
    <w:rsid w:val="008960E3"/>
    <w:rsid w:val="008964A9"/>
    <w:rsid w:val="008A0483"/>
    <w:rsid w:val="008A09E8"/>
    <w:rsid w:val="008A1397"/>
    <w:rsid w:val="008A13B8"/>
    <w:rsid w:val="008A2A5F"/>
    <w:rsid w:val="008A63C6"/>
    <w:rsid w:val="008B0347"/>
    <w:rsid w:val="008B0DA9"/>
    <w:rsid w:val="008B111E"/>
    <w:rsid w:val="008B2F3B"/>
    <w:rsid w:val="008B3084"/>
    <w:rsid w:val="008B308B"/>
    <w:rsid w:val="008B309C"/>
    <w:rsid w:val="008B3133"/>
    <w:rsid w:val="008B5539"/>
    <w:rsid w:val="008B60CC"/>
    <w:rsid w:val="008B668C"/>
    <w:rsid w:val="008B6DCC"/>
    <w:rsid w:val="008C2130"/>
    <w:rsid w:val="008C5CDF"/>
    <w:rsid w:val="008C656F"/>
    <w:rsid w:val="008D09E9"/>
    <w:rsid w:val="008D0A3D"/>
    <w:rsid w:val="008D56F3"/>
    <w:rsid w:val="008D641E"/>
    <w:rsid w:val="008D6D22"/>
    <w:rsid w:val="008E0B86"/>
    <w:rsid w:val="008E0EAD"/>
    <w:rsid w:val="008E3AE2"/>
    <w:rsid w:val="008E3FF9"/>
    <w:rsid w:val="008E760C"/>
    <w:rsid w:val="008F07C0"/>
    <w:rsid w:val="008F2054"/>
    <w:rsid w:val="008F3FDC"/>
    <w:rsid w:val="008F5A52"/>
    <w:rsid w:val="008F66B4"/>
    <w:rsid w:val="00900AF6"/>
    <w:rsid w:val="0090317C"/>
    <w:rsid w:val="00904024"/>
    <w:rsid w:val="009047C0"/>
    <w:rsid w:val="00907173"/>
    <w:rsid w:val="00907834"/>
    <w:rsid w:val="0091006A"/>
    <w:rsid w:val="009118B0"/>
    <w:rsid w:val="0091384D"/>
    <w:rsid w:val="00913CC2"/>
    <w:rsid w:val="00914956"/>
    <w:rsid w:val="00916C51"/>
    <w:rsid w:val="00923B38"/>
    <w:rsid w:val="009240FD"/>
    <w:rsid w:val="00925549"/>
    <w:rsid w:val="00925BBC"/>
    <w:rsid w:val="00925F21"/>
    <w:rsid w:val="00926B77"/>
    <w:rsid w:val="00927523"/>
    <w:rsid w:val="009278FE"/>
    <w:rsid w:val="00930026"/>
    <w:rsid w:val="00930E38"/>
    <w:rsid w:val="00931BCF"/>
    <w:rsid w:val="00932D23"/>
    <w:rsid w:val="00932FB5"/>
    <w:rsid w:val="00933FD5"/>
    <w:rsid w:val="0093799F"/>
    <w:rsid w:val="00941C3C"/>
    <w:rsid w:val="00942374"/>
    <w:rsid w:val="00942E0C"/>
    <w:rsid w:val="00943A3A"/>
    <w:rsid w:val="00945269"/>
    <w:rsid w:val="0094666C"/>
    <w:rsid w:val="00947804"/>
    <w:rsid w:val="00947A74"/>
    <w:rsid w:val="00947AEE"/>
    <w:rsid w:val="00947E56"/>
    <w:rsid w:val="00953E23"/>
    <w:rsid w:val="00954886"/>
    <w:rsid w:val="009548FF"/>
    <w:rsid w:val="0095558B"/>
    <w:rsid w:val="0095582E"/>
    <w:rsid w:val="00960DC1"/>
    <w:rsid w:val="00967F3A"/>
    <w:rsid w:val="0097005F"/>
    <w:rsid w:val="00971ACB"/>
    <w:rsid w:val="0097231F"/>
    <w:rsid w:val="00972552"/>
    <w:rsid w:val="00972CE6"/>
    <w:rsid w:val="009739D4"/>
    <w:rsid w:val="00973E4D"/>
    <w:rsid w:val="00977071"/>
    <w:rsid w:val="00977276"/>
    <w:rsid w:val="009772CE"/>
    <w:rsid w:val="009810FB"/>
    <w:rsid w:val="00984D96"/>
    <w:rsid w:val="009873FE"/>
    <w:rsid w:val="00990051"/>
    <w:rsid w:val="009910D0"/>
    <w:rsid w:val="00991D0F"/>
    <w:rsid w:val="009920DF"/>
    <w:rsid w:val="00992A43"/>
    <w:rsid w:val="00993334"/>
    <w:rsid w:val="00993DBD"/>
    <w:rsid w:val="00993FFB"/>
    <w:rsid w:val="0099519A"/>
    <w:rsid w:val="00996050"/>
    <w:rsid w:val="00996813"/>
    <w:rsid w:val="0099714D"/>
    <w:rsid w:val="00997A1A"/>
    <w:rsid w:val="009A385F"/>
    <w:rsid w:val="009A3E40"/>
    <w:rsid w:val="009A427A"/>
    <w:rsid w:val="009A44AE"/>
    <w:rsid w:val="009A46CE"/>
    <w:rsid w:val="009A4C21"/>
    <w:rsid w:val="009A57D4"/>
    <w:rsid w:val="009A603E"/>
    <w:rsid w:val="009A7434"/>
    <w:rsid w:val="009B0D3D"/>
    <w:rsid w:val="009B4FEF"/>
    <w:rsid w:val="009B6DCB"/>
    <w:rsid w:val="009C0A03"/>
    <w:rsid w:val="009C0ECE"/>
    <w:rsid w:val="009C15C6"/>
    <w:rsid w:val="009C2EEB"/>
    <w:rsid w:val="009C42D2"/>
    <w:rsid w:val="009C68F1"/>
    <w:rsid w:val="009C6E16"/>
    <w:rsid w:val="009C737F"/>
    <w:rsid w:val="009D04E2"/>
    <w:rsid w:val="009D0A58"/>
    <w:rsid w:val="009D2CE2"/>
    <w:rsid w:val="009D50EF"/>
    <w:rsid w:val="009D6F33"/>
    <w:rsid w:val="009D796F"/>
    <w:rsid w:val="009E0C07"/>
    <w:rsid w:val="009E1C80"/>
    <w:rsid w:val="009E5029"/>
    <w:rsid w:val="009E5A68"/>
    <w:rsid w:val="009E5EB3"/>
    <w:rsid w:val="009E6040"/>
    <w:rsid w:val="009E61F0"/>
    <w:rsid w:val="009E684D"/>
    <w:rsid w:val="009E6F7A"/>
    <w:rsid w:val="009F0DEE"/>
    <w:rsid w:val="009F0F6A"/>
    <w:rsid w:val="009F1560"/>
    <w:rsid w:val="009F209D"/>
    <w:rsid w:val="009F21C8"/>
    <w:rsid w:val="009F2E5E"/>
    <w:rsid w:val="009F5586"/>
    <w:rsid w:val="009F6278"/>
    <w:rsid w:val="009F63C3"/>
    <w:rsid w:val="009F6A50"/>
    <w:rsid w:val="00A00FF9"/>
    <w:rsid w:val="00A01937"/>
    <w:rsid w:val="00A035AA"/>
    <w:rsid w:val="00A0383D"/>
    <w:rsid w:val="00A04EC9"/>
    <w:rsid w:val="00A07B8E"/>
    <w:rsid w:val="00A10436"/>
    <w:rsid w:val="00A11796"/>
    <w:rsid w:val="00A12E00"/>
    <w:rsid w:val="00A135D1"/>
    <w:rsid w:val="00A1537C"/>
    <w:rsid w:val="00A15CF4"/>
    <w:rsid w:val="00A15E47"/>
    <w:rsid w:val="00A15E64"/>
    <w:rsid w:val="00A16104"/>
    <w:rsid w:val="00A2487F"/>
    <w:rsid w:val="00A24E02"/>
    <w:rsid w:val="00A2687E"/>
    <w:rsid w:val="00A35AC4"/>
    <w:rsid w:val="00A400EC"/>
    <w:rsid w:val="00A40455"/>
    <w:rsid w:val="00A43750"/>
    <w:rsid w:val="00A43D15"/>
    <w:rsid w:val="00A46931"/>
    <w:rsid w:val="00A46ABA"/>
    <w:rsid w:val="00A47F49"/>
    <w:rsid w:val="00A51F66"/>
    <w:rsid w:val="00A578C5"/>
    <w:rsid w:val="00A62DCF"/>
    <w:rsid w:val="00A635CD"/>
    <w:rsid w:val="00A63899"/>
    <w:rsid w:val="00A63D68"/>
    <w:rsid w:val="00A65434"/>
    <w:rsid w:val="00A65F03"/>
    <w:rsid w:val="00A66AFC"/>
    <w:rsid w:val="00A670DF"/>
    <w:rsid w:val="00A67FF1"/>
    <w:rsid w:val="00A71E56"/>
    <w:rsid w:val="00A71F5A"/>
    <w:rsid w:val="00A72333"/>
    <w:rsid w:val="00A72418"/>
    <w:rsid w:val="00A72C0C"/>
    <w:rsid w:val="00A73E77"/>
    <w:rsid w:val="00A75515"/>
    <w:rsid w:val="00A76483"/>
    <w:rsid w:val="00A7728E"/>
    <w:rsid w:val="00A81E46"/>
    <w:rsid w:val="00A829E5"/>
    <w:rsid w:val="00A860D4"/>
    <w:rsid w:val="00A86122"/>
    <w:rsid w:val="00A904CC"/>
    <w:rsid w:val="00A90D81"/>
    <w:rsid w:val="00A92125"/>
    <w:rsid w:val="00A94214"/>
    <w:rsid w:val="00A957C0"/>
    <w:rsid w:val="00A9582D"/>
    <w:rsid w:val="00A97743"/>
    <w:rsid w:val="00A97F93"/>
    <w:rsid w:val="00AA01CC"/>
    <w:rsid w:val="00AA0429"/>
    <w:rsid w:val="00AA4989"/>
    <w:rsid w:val="00AA5B5E"/>
    <w:rsid w:val="00AB0E4C"/>
    <w:rsid w:val="00AB0ED8"/>
    <w:rsid w:val="00AB0FA6"/>
    <w:rsid w:val="00AB200B"/>
    <w:rsid w:val="00AB292E"/>
    <w:rsid w:val="00AB319F"/>
    <w:rsid w:val="00AB37E9"/>
    <w:rsid w:val="00AB4CE2"/>
    <w:rsid w:val="00AB6890"/>
    <w:rsid w:val="00AB7046"/>
    <w:rsid w:val="00AB7239"/>
    <w:rsid w:val="00AC0099"/>
    <w:rsid w:val="00AC0146"/>
    <w:rsid w:val="00AC1645"/>
    <w:rsid w:val="00AC211F"/>
    <w:rsid w:val="00AC428D"/>
    <w:rsid w:val="00AC58E5"/>
    <w:rsid w:val="00AC65D6"/>
    <w:rsid w:val="00AC6954"/>
    <w:rsid w:val="00AD0053"/>
    <w:rsid w:val="00AD7C82"/>
    <w:rsid w:val="00AE0A4A"/>
    <w:rsid w:val="00AE0A6E"/>
    <w:rsid w:val="00AE3FAB"/>
    <w:rsid w:val="00AE4138"/>
    <w:rsid w:val="00AE48BA"/>
    <w:rsid w:val="00AE5D54"/>
    <w:rsid w:val="00AE7A3A"/>
    <w:rsid w:val="00AF0A23"/>
    <w:rsid w:val="00AF24D4"/>
    <w:rsid w:val="00AF41EB"/>
    <w:rsid w:val="00AF46C9"/>
    <w:rsid w:val="00AF60FA"/>
    <w:rsid w:val="00AF70E7"/>
    <w:rsid w:val="00AF7A57"/>
    <w:rsid w:val="00B0106E"/>
    <w:rsid w:val="00B02557"/>
    <w:rsid w:val="00B027AA"/>
    <w:rsid w:val="00B029E2"/>
    <w:rsid w:val="00B05197"/>
    <w:rsid w:val="00B0575E"/>
    <w:rsid w:val="00B05EE7"/>
    <w:rsid w:val="00B06DDC"/>
    <w:rsid w:val="00B07150"/>
    <w:rsid w:val="00B12C0E"/>
    <w:rsid w:val="00B15CFC"/>
    <w:rsid w:val="00B16B05"/>
    <w:rsid w:val="00B175FF"/>
    <w:rsid w:val="00B2715D"/>
    <w:rsid w:val="00B276F4"/>
    <w:rsid w:val="00B27AAE"/>
    <w:rsid w:val="00B330B8"/>
    <w:rsid w:val="00B353BB"/>
    <w:rsid w:val="00B35723"/>
    <w:rsid w:val="00B36449"/>
    <w:rsid w:val="00B37143"/>
    <w:rsid w:val="00B40070"/>
    <w:rsid w:val="00B40F09"/>
    <w:rsid w:val="00B43F68"/>
    <w:rsid w:val="00B4671A"/>
    <w:rsid w:val="00B474F7"/>
    <w:rsid w:val="00B505D1"/>
    <w:rsid w:val="00B50C4B"/>
    <w:rsid w:val="00B52081"/>
    <w:rsid w:val="00B526CE"/>
    <w:rsid w:val="00B538BF"/>
    <w:rsid w:val="00B53F6C"/>
    <w:rsid w:val="00B549B9"/>
    <w:rsid w:val="00B54C2C"/>
    <w:rsid w:val="00B5671C"/>
    <w:rsid w:val="00B646DB"/>
    <w:rsid w:val="00B65391"/>
    <w:rsid w:val="00B66E4B"/>
    <w:rsid w:val="00B67045"/>
    <w:rsid w:val="00B67176"/>
    <w:rsid w:val="00B67A4B"/>
    <w:rsid w:val="00B71D05"/>
    <w:rsid w:val="00B72D01"/>
    <w:rsid w:val="00B73919"/>
    <w:rsid w:val="00B7552F"/>
    <w:rsid w:val="00B75822"/>
    <w:rsid w:val="00B75D7C"/>
    <w:rsid w:val="00B76267"/>
    <w:rsid w:val="00B8003E"/>
    <w:rsid w:val="00B80B16"/>
    <w:rsid w:val="00B8101A"/>
    <w:rsid w:val="00B8108F"/>
    <w:rsid w:val="00B83460"/>
    <w:rsid w:val="00B83CF7"/>
    <w:rsid w:val="00B84353"/>
    <w:rsid w:val="00B84760"/>
    <w:rsid w:val="00B9172F"/>
    <w:rsid w:val="00B91FB7"/>
    <w:rsid w:val="00B9363F"/>
    <w:rsid w:val="00B938F5"/>
    <w:rsid w:val="00B93E76"/>
    <w:rsid w:val="00B9546C"/>
    <w:rsid w:val="00B95B77"/>
    <w:rsid w:val="00B96031"/>
    <w:rsid w:val="00B9785F"/>
    <w:rsid w:val="00B97992"/>
    <w:rsid w:val="00BA17E0"/>
    <w:rsid w:val="00BA42ED"/>
    <w:rsid w:val="00BA4481"/>
    <w:rsid w:val="00BA6998"/>
    <w:rsid w:val="00BA7F3F"/>
    <w:rsid w:val="00BB202F"/>
    <w:rsid w:val="00BB21F9"/>
    <w:rsid w:val="00BB2D4D"/>
    <w:rsid w:val="00BB2F94"/>
    <w:rsid w:val="00BB6BAA"/>
    <w:rsid w:val="00BC193A"/>
    <w:rsid w:val="00BC1B14"/>
    <w:rsid w:val="00BC2680"/>
    <w:rsid w:val="00BC3200"/>
    <w:rsid w:val="00BC35FE"/>
    <w:rsid w:val="00BC45D4"/>
    <w:rsid w:val="00BC704B"/>
    <w:rsid w:val="00BC71CE"/>
    <w:rsid w:val="00BD11C2"/>
    <w:rsid w:val="00BD120D"/>
    <w:rsid w:val="00BD2CA3"/>
    <w:rsid w:val="00BD32BB"/>
    <w:rsid w:val="00BD3506"/>
    <w:rsid w:val="00BD3537"/>
    <w:rsid w:val="00BD59EE"/>
    <w:rsid w:val="00BD6042"/>
    <w:rsid w:val="00BD614F"/>
    <w:rsid w:val="00BD69E3"/>
    <w:rsid w:val="00BE0C5D"/>
    <w:rsid w:val="00BE18CC"/>
    <w:rsid w:val="00BE365E"/>
    <w:rsid w:val="00BE4D99"/>
    <w:rsid w:val="00BE5AF2"/>
    <w:rsid w:val="00BE5CCD"/>
    <w:rsid w:val="00BE65F6"/>
    <w:rsid w:val="00BE7740"/>
    <w:rsid w:val="00BE782F"/>
    <w:rsid w:val="00BE7BA7"/>
    <w:rsid w:val="00BE7FBD"/>
    <w:rsid w:val="00BF2A52"/>
    <w:rsid w:val="00BF40C1"/>
    <w:rsid w:val="00BF47F6"/>
    <w:rsid w:val="00BF5CD2"/>
    <w:rsid w:val="00C0022C"/>
    <w:rsid w:val="00C00A36"/>
    <w:rsid w:val="00C00D98"/>
    <w:rsid w:val="00C026C4"/>
    <w:rsid w:val="00C028BD"/>
    <w:rsid w:val="00C02D27"/>
    <w:rsid w:val="00C03713"/>
    <w:rsid w:val="00C039ED"/>
    <w:rsid w:val="00C04895"/>
    <w:rsid w:val="00C04E22"/>
    <w:rsid w:val="00C0514F"/>
    <w:rsid w:val="00C124CB"/>
    <w:rsid w:val="00C17319"/>
    <w:rsid w:val="00C20B6D"/>
    <w:rsid w:val="00C21F3A"/>
    <w:rsid w:val="00C22BFA"/>
    <w:rsid w:val="00C23BA3"/>
    <w:rsid w:val="00C23BB9"/>
    <w:rsid w:val="00C24572"/>
    <w:rsid w:val="00C2504C"/>
    <w:rsid w:val="00C30723"/>
    <w:rsid w:val="00C30B36"/>
    <w:rsid w:val="00C3554D"/>
    <w:rsid w:val="00C35E7B"/>
    <w:rsid w:val="00C362BC"/>
    <w:rsid w:val="00C363E0"/>
    <w:rsid w:val="00C36814"/>
    <w:rsid w:val="00C36ED4"/>
    <w:rsid w:val="00C370FA"/>
    <w:rsid w:val="00C40D0E"/>
    <w:rsid w:val="00C41C99"/>
    <w:rsid w:val="00C4283B"/>
    <w:rsid w:val="00C440E0"/>
    <w:rsid w:val="00C44F9D"/>
    <w:rsid w:val="00C45925"/>
    <w:rsid w:val="00C47FDF"/>
    <w:rsid w:val="00C50326"/>
    <w:rsid w:val="00C5143E"/>
    <w:rsid w:val="00C51802"/>
    <w:rsid w:val="00C53807"/>
    <w:rsid w:val="00C53E3A"/>
    <w:rsid w:val="00C53E4F"/>
    <w:rsid w:val="00C57913"/>
    <w:rsid w:val="00C6125A"/>
    <w:rsid w:val="00C640AB"/>
    <w:rsid w:val="00C640EE"/>
    <w:rsid w:val="00C67C26"/>
    <w:rsid w:val="00C70813"/>
    <w:rsid w:val="00C70C98"/>
    <w:rsid w:val="00C71390"/>
    <w:rsid w:val="00C71CDA"/>
    <w:rsid w:val="00C73D24"/>
    <w:rsid w:val="00C73F69"/>
    <w:rsid w:val="00C742A2"/>
    <w:rsid w:val="00C75965"/>
    <w:rsid w:val="00C75E7E"/>
    <w:rsid w:val="00C779A7"/>
    <w:rsid w:val="00C808AD"/>
    <w:rsid w:val="00C8129E"/>
    <w:rsid w:val="00C81DE6"/>
    <w:rsid w:val="00C81DF4"/>
    <w:rsid w:val="00C83D24"/>
    <w:rsid w:val="00C8404A"/>
    <w:rsid w:val="00C84650"/>
    <w:rsid w:val="00C84BAF"/>
    <w:rsid w:val="00C8514A"/>
    <w:rsid w:val="00C85A80"/>
    <w:rsid w:val="00C8662A"/>
    <w:rsid w:val="00C90077"/>
    <w:rsid w:val="00C90CCD"/>
    <w:rsid w:val="00C917EF"/>
    <w:rsid w:val="00C92FB7"/>
    <w:rsid w:val="00C956BD"/>
    <w:rsid w:val="00C959C2"/>
    <w:rsid w:val="00CA0354"/>
    <w:rsid w:val="00CA21D3"/>
    <w:rsid w:val="00CA2AAB"/>
    <w:rsid w:val="00CA3C80"/>
    <w:rsid w:val="00CA579F"/>
    <w:rsid w:val="00CA5E4D"/>
    <w:rsid w:val="00CA5FDA"/>
    <w:rsid w:val="00CA63B5"/>
    <w:rsid w:val="00CA6A1F"/>
    <w:rsid w:val="00CA7637"/>
    <w:rsid w:val="00CB1202"/>
    <w:rsid w:val="00CB259B"/>
    <w:rsid w:val="00CB2A96"/>
    <w:rsid w:val="00CB450A"/>
    <w:rsid w:val="00CB5FB0"/>
    <w:rsid w:val="00CB6E50"/>
    <w:rsid w:val="00CB76AF"/>
    <w:rsid w:val="00CC1E98"/>
    <w:rsid w:val="00CC3BAB"/>
    <w:rsid w:val="00CC4082"/>
    <w:rsid w:val="00CC5D2E"/>
    <w:rsid w:val="00CC7F71"/>
    <w:rsid w:val="00CD102C"/>
    <w:rsid w:val="00CD2585"/>
    <w:rsid w:val="00CD4BE8"/>
    <w:rsid w:val="00CD7D38"/>
    <w:rsid w:val="00CE0918"/>
    <w:rsid w:val="00CE18FF"/>
    <w:rsid w:val="00CE20AE"/>
    <w:rsid w:val="00CE2793"/>
    <w:rsid w:val="00CE3A79"/>
    <w:rsid w:val="00CE53F4"/>
    <w:rsid w:val="00CF0027"/>
    <w:rsid w:val="00CF0520"/>
    <w:rsid w:val="00CF1863"/>
    <w:rsid w:val="00CF1B05"/>
    <w:rsid w:val="00CF29EB"/>
    <w:rsid w:val="00CF3C8E"/>
    <w:rsid w:val="00CF418A"/>
    <w:rsid w:val="00D0059B"/>
    <w:rsid w:val="00D01455"/>
    <w:rsid w:val="00D025DE"/>
    <w:rsid w:val="00D0278B"/>
    <w:rsid w:val="00D0566D"/>
    <w:rsid w:val="00D07BA8"/>
    <w:rsid w:val="00D07DD0"/>
    <w:rsid w:val="00D13170"/>
    <w:rsid w:val="00D14557"/>
    <w:rsid w:val="00D147E1"/>
    <w:rsid w:val="00D15E66"/>
    <w:rsid w:val="00D16B74"/>
    <w:rsid w:val="00D201AF"/>
    <w:rsid w:val="00D225E4"/>
    <w:rsid w:val="00D22C00"/>
    <w:rsid w:val="00D232B8"/>
    <w:rsid w:val="00D250C0"/>
    <w:rsid w:val="00D25B25"/>
    <w:rsid w:val="00D262D6"/>
    <w:rsid w:val="00D26723"/>
    <w:rsid w:val="00D26BB2"/>
    <w:rsid w:val="00D26C3E"/>
    <w:rsid w:val="00D302F2"/>
    <w:rsid w:val="00D3125E"/>
    <w:rsid w:val="00D32F50"/>
    <w:rsid w:val="00D3412D"/>
    <w:rsid w:val="00D3474A"/>
    <w:rsid w:val="00D347CD"/>
    <w:rsid w:val="00D35BBB"/>
    <w:rsid w:val="00D36D7C"/>
    <w:rsid w:val="00D44914"/>
    <w:rsid w:val="00D46939"/>
    <w:rsid w:val="00D51053"/>
    <w:rsid w:val="00D51BC4"/>
    <w:rsid w:val="00D51D31"/>
    <w:rsid w:val="00D55EFA"/>
    <w:rsid w:val="00D57F9B"/>
    <w:rsid w:val="00D6067F"/>
    <w:rsid w:val="00D6116D"/>
    <w:rsid w:val="00D6140A"/>
    <w:rsid w:val="00D62811"/>
    <w:rsid w:val="00D62A1B"/>
    <w:rsid w:val="00D62D7B"/>
    <w:rsid w:val="00D638A3"/>
    <w:rsid w:val="00D673B0"/>
    <w:rsid w:val="00D67772"/>
    <w:rsid w:val="00D73500"/>
    <w:rsid w:val="00D7483C"/>
    <w:rsid w:val="00D76104"/>
    <w:rsid w:val="00D766D6"/>
    <w:rsid w:val="00D77B68"/>
    <w:rsid w:val="00D8013D"/>
    <w:rsid w:val="00D80DC9"/>
    <w:rsid w:val="00D81D80"/>
    <w:rsid w:val="00D82B52"/>
    <w:rsid w:val="00D83748"/>
    <w:rsid w:val="00D837EB"/>
    <w:rsid w:val="00D8484E"/>
    <w:rsid w:val="00D848D9"/>
    <w:rsid w:val="00D86A23"/>
    <w:rsid w:val="00D86E0B"/>
    <w:rsid w:val="00D86F15"/>
    <w:rsid w:val="00D92679"/>
    <w:rsid w:val="00D931F9"/>
    <w:rsid w:val="00D94D4B"/>
    <w:rsid w:val="00D96D82"/>
    <w:rsid w:val="00DA09AB"/>
    <w:rsid w:val="00DA187D"/>
    <w:rsid w:val="00DA209F"/>
    <w:rsid w:val="00DA6AD5"/>
    <w:rsid w:val="00DA780C"/>
    <w:rsid w:val="00DA7AD1"/>
    <w:rsid w:val="00DB1C3D"/>
    <w:rsid w:val="00DB4C50"/>
    <w:rsid w:val="00DB6CE0"/>
    <w:rsid w:val="00DC1317"/>
    <w:rsid w:val="00DC1D7F"/>
    <w:rsid w:val="00DC35C5"/>
    <w:rsid w:val="00DC3C6F"/>
    <w:rsid w:val="00DC6AE2"/>
    <w:rsid w:val="00DD1211"/>
    <w:rsid w:val="00DD5A66"/>
    <w:rsid w:val="00DD5D9B"/>
    <w:rsid w:val="00DE09DA"/>
    <w:rsid w:val="00DE0B21"/>
    <w:rsid w:val="00DE176C"/>
    <w:rsid w:val="00DE217E"/>
    <w:rsid w:val="00DE2752"/>
    <w:rsid w:val="00DE2F25"/>
    <w:rsid w:val="00DE3113"/>
    <w:rsid w:val="00DE35D2"/>
    <w:rsid w:val="00DE3D5D"/>
    <w:rsid w:val="00DE41D9"/>
    <w:rsid w:val="00DE5371"/>
    <w:rsid w:val="00DE5B2B"/>
    <w:rsid w:val="00DE6821"/>
    <w:rsid w:val="00DE7105"/>
    <w:rsid w:val="00DF1597"/>
    <w:rsid w:val="00DF2D9A"/>
    <w:rsid w:val="00DF2E24"/>
    <w:rsid w:val="00DF377E"/>
    <w:rsid w:val="00DF45B9"/>
    <w:rsid w:val="00DF4AED"/>
    <w:rsid w:val="00DF637E"/>
    <w:rsid w:val="00DF7E67"/>
    <w:rsid w:val="00E0073D"/>
    <w:rsid w:val="00E00EFA"/>
    <w:rsid w:val="00E0152D"/>
    <w:rsid w:val="00E01B5D"/>
    <w:rsid w:val="00E02807"/>
    <w:rsid w:val="00E03711"/>
    <w:rsid w:val="00E067CD"/>
    <w:rsid w:val="00E07D9B"/>
    <w:rsid w:val="00E1065C"/>
    <w:rsid w:val="00E11112"/>
    <w:rsid w:val="00E12BD3"/>
    <w:rsid w:val="00E154FB"/>
    <w:rsid w:val="00E17C30"/>
    <w:rsid w:val="00E2349B"/>
    <w:rsid w:val="00E25589"/>
    <w:rsid w:val="00E271F1"/>
    <w:rsid w:val="00E31583"/>
    <w:rsid w:val="00E31D71"/>
    <w:rsid w:val="00E33802"/>
    <w:rsid w:val="00E34D66"/>
    <w:rsid w:val="00E3788E"/>
    <w:rsid w:val="00E40C9A"/>
    <w:rsid w:val="00E453AD"/>
    <w:rsid w:val="00E4713B"/>
    <w:rsid w:val="00E50E95"/>
    <w:rsid w:val="00E512B0"/>
    <w:rsid w:val="00E55E61"/>
    <w:rsid w:val="00E55FD0"/>
    <w:rsid w:val="00E5703F"/>
    <w:rsid w:val="00E64EDD"/>
    <w:rsid w:val="00E66C8B"/>
    <w:rsid w:val="00E67B1E"/>
    <w:rsid w:val="00E700F3"/>
    <w:rsid w:val="00E70144"/>
    <w:rsid w:val="00E71798"/>
    <w:rsid w:val="00E74671"/>
    <w:rsid w:val="00E74ADD"/>
    <w:rsid w:val="00E756A0"/>
    <w:rsid w:val="00E76A97"/>
    <w:rsid w:val="00E76BD7"/>
    <w:rsid w:val="00E815E6"/>
    <w:rsid w:val="00E81982"/>
    <w:rsid w:val="00E82456"/>
    <w:rsid w:val="00E830F0"/>
    <w:rsid w:val="00E85CF6"/>
    <w:rsid w:val="00E860B2"/>
    <w:rsid w:val="00E86E2C"/>
    <w:rsid w:val="00E8714F"/>
    <w:rsid w:val="00E942F1"/>
    <w:rsid w:val="00E94957"/>
    <w:rsid w:val="00E957E2"/>
    <w:rsid w:val="00E97861"/>
    <w:rsid w:val="00E97FC0"/>
    <w:rsid w:val="00EA1F3A"/>
    <w:rsid w:val="00EA2CC5"/>
    <w:rsid w:val="00EA2D8F"/>
    <w:rsid w:val="00EA3080"/>
    <w:rsid w:val="00EA59A9"/>
    <w:rsid w:val="00EB4315"/>
    <w:rsid w:val="00EB4A21"/>
    <w:rsid w:val="00EB4D95"/>
    <w:rsid w:val="00EB5CBF"/>
    <w:rsid w:val="00EB6BBD"/>
    <w:rsid w:val="00EB7981"/>
    <w:rsid w:val="00EC2672"/>
    <w:rsid w:val="00EC2B7D"/>
    <w:rsid w:val="00EC382D"/>
    <w:rsid w:val="00EC47F0"/>
    <w:rsid w:val="00EC7705"/>
    <w:rsid w:val="00EC7F52"/>
    <w:rsid w:val="00ED12B0"/>
    <w:rsid w:val="00ED169B"/>
    <w:rsid w:val="00ED1737"/>
    <w:rsid w:val="00ED5251"/>
    <w:rsid w:val="00ED5B4F"/>
    <w:rsid w:val="00ED5E65"/>
    <w:rsid w:val="00ED5EC5"/>
    <w:rsid w:val="00ED6183"/>
    <w:rsid w:val="00ED6EAE"/>
    <w:rsid w:val="00ED7249"/>
    <w:rsid w:val="00ED75A2"/>
    <w:rsid w:val="00EE1BAB"/>
    <w:rsid w:val="00EE20AE"/>
    <w:rsid w:val="00EE2ADB"/>
    <w:rsid w:val="00EE6FFB"/>
    <w:rsid w:val="00EE7430"/>
    <w:rsid w:val="00EF0809"/>
    <w:rsid w:val="00EF6014"/>
    <w:rsid w:val="00EF6E8E"/>
    <w:rsid w:val="00EF7CA3"/>
    <w:rsid w:val="00EF7E67"/>
    <w:rsid w:val="00EF7EF2"/>
    <w:rsid w:val="00EF7F20"/>
    <w:rsid w:val="00F01512"/>
    <w:rsid w:val="00F03E78"/>
    <w:rsid w:val="00F05D80"/>
    <w:rsid w:val="00F064AD"/>
    <w:rsid w:val="00F068E0"/>
    <w:rsid w:val="00F06C3F"/>
    <w:rsid w:val="00F07574"/>
    <w:rsid w:val="00F1168F"/>
    <w:rsid w:val="00F13805"/>
    <w:rsid w:val="00F14508"/>
    <w:rsid w:val="00F16628"/>
    <w:rsid w:val="00F17273"/>
    <w:rsid w:val="00F17494"/>
    <w:rsid w:val="00F20934"/>
    <w:rsid w:val="00F20E0F"/>
    <w:rsid w:val="00F20F59"/>
    <w:rsid w:val="00F23910"/>
    <w:rsid w:val="00F24360"/>
    <w:rsid w:val="00F24699"/>
    <w:rsid w:val="00F24784"/>
    <w:rsid w:val="00F24A8E"/>
    <w:rsid w:val="00F30665"/>
    <w:rsid w:val="00F31837"/>
    <w:rsid w:val="00F31F47"/>
    <w:rsid w:val="00F33597"/>
    <w:rsid w:val="00F4000B"/>
    <w:rsid w:val="00F40D89"/>
    <w:rsid w:val="00F414A9"/>
    <w:rsid w:val="00F44F38"/>
    <w:rsid w:val="00F45A7D"/>
    <w:rsid w:val="00F462CB"/>
    <w:rsid w:val="00F4684C"/>
    <w:rsid w:val="00F50F49"/>
    <w:rsid w:val="00F512DE"/>
    <w:rsid w:val="00F518AB"/>
    <w:rsid w:val="00F53281"/>
    <w:rsid w:val="00F554BF"/>
    <w:rsid w:val="00F556EA"/>
    <w:rsid w:val="00F56D1F"/>
    <w:rsid w:val="00F6045D"/>
    <w:rsid w:val="00F62A7E"/>
    <w:rsid w:val="00F64C06"/>
    <w:rsid w:val="00F6548A"/>
    <w:rsid w:val="00F66B1E"/>
    <w:rsid w:val="00F66EED"/>
    <w:rsid w:val="00F67D99"/>
    <w:rsid w:val="00F70D5D"/>
    <w:rsid w:val="00F70DA1"/>
    <w:rsid w:val="00F7145F"/>
    <w:rsid w:val="00F72840"/>
    <w:rsid w:val="00F74C65"/>
    <w:rsid w:val="00F810FC"/>
    <w:rsid w:val="00F81438"/>
    <w:rsid w:val="00F81D0E"/>
    <w:rsid w:val="00F81F48"/>
    <w:rsid w:val="00F83943"/>
    <w:rsid w:val="00F83ACA"/>
    <w:rsid w:val="00F845F6"/>
    <w:rsid w:val="00F848DE"/>
    <w:rsid w:val="00F866EE"/>
    <w:rsid w:val="00F87C83"/>
    <w:rsid w:val="00F87FC3"/>
    <w:rsid w:val="00F90057"/>
    <w:rsid w:val="00F9013D"/>
    <w:rsid w:val="00F90B06"/>
    <w:rsid w:val="00FA26E4"/>
    <w:rsid w:val="00FA4C3A"/>
    <w:rsid w:val="00FA6A8F"/>
    <w:rsid w:val="00FA6FAC"/>
    <w:rsid w:val="00FB0300"/>
    <w:rsid w:val="00FB2CB1"/>
    <w:rsid w:val="00FB5841"/>
    <w:rsid w:val="00FC0B85"/>
    <w:rsid w:val="00FC1B68"/>
    <w:rsid w:val="00FC3FBB"/>
    <w:rsid w:val="00FC5C29"/>
    <w:rsid w:val="00FC63BB"/>
    <w:rsid w:val="00FC6519"/>
    <w:rsid w:val="00FC693A"/>
    <w:rsid w:val="00FC6A2A"/>
    <w:rsid w:val="00FC6BE1"/>
    <w:rsid w:val="00FD3E70"/>
    <w:rsid w:val="00FD5A8F"/>
    <w:rsid w:val="00FD606F"/>
    <w:rsid w:val="00FD6F0F"/>
    <w:rsid w:val="00FD7780"/>
    <w:rsid w:val="00FE2D5F"/>
    <w:rsid w:val="00FE3D29"/>
    <w:rsid w:val="00FE42A1"/>
    <w:rsid w:val="00FE49D3"/>
    <w:rsid w:val="00FE5371"/>
    <w:rsid w:val="00FE5512"/>
    <w:rsid w:val="00FE773B"/>
    <w:rsid w:val="00FF1607"/>
    <w:rsid w:val="00FF663C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8B0"/>
    <w:pPr>
      <w:jc w:val="both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A3CD8"/>
    <w:pPr>
      <w:keepNext/>
      <w:keepLines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17C30"/>
    <w:pPr>
      <w:keepNext/>
      <w:keepLines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664C"/>
    <w:pPr>
      <w:keepNext/>
      <w:keepLines/>
      <w:outlineLvl w:val="2"/>
    </w:pPr>
    <w:rPr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7CB1"/>
    <w:pPr>
      <w:keepNext/>
      <w:keepLines/>
      <w:outlineLvl w:val="3"/>
    </w:pPr>
    <w:rPr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A3CD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E17C30"/>
    <w:rPr>
      <w:b/>
      <w:bCs/>
      <w:sz w:val="24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D664C"/>
    <w:rPr>
      <w:rFonts w:ascii="Times New Roman" w:eastAsia="Times New Roman" w:hAnsi="Times New Roman" w:cs="Times New Roman"/>
      <w:b/>
      <w:bCs/>
      <w:i/>
      <w:sz w:val="24"/>
    </w:rPr>
  </w:style>
  <w:style w:type="character" w:customStyle="1" w:styleId="Heading4Char">
    <w:name w:val="Heading 4 Char"/>
    <w:link w:val="Heading4"/>
    <w:uiPriority w:val="9"/>
    <w:rsid w:val="00267CB1"/>
    <w:rPr>
      <w:rFonts w:ascii="Times New Roman" w:eastAsia="Times New Roman" w:hAnsi="Times New Roman" w:cs="Times New Roman"/>
      <w:bCs/>
      <w:i/>
      <w:iCs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BD32B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5A3CD8"/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855AF4"/>
    <w:rPr>
      <w:sz w:val="20"/>
      <w:szCs w:val="20"/>
      <w:lang w:val="en-GB" w:eastAsia="en-AU"/>
    </w:rPr>
  </w:style>
  <w:style w:type="character" w:customStyle="1" w:styleId="FootnoteTextChar">
    <w:name w:val="Footnote Text Char"/>
    <w:link w:val="FootnoteText"/>
    <w:uiPriority w:val="99"/>
    <w:semiHidden/>
    <w:rsid w:val="00855AF4"/>
    <w:rPr>
      <w:rFonts w:eastAsia="Times New Roman" w:cs="Times New Roman"/>
      <w:sz w:val="20"/>
      <w:szCs w:val="20"/>
      <w:lang w:val="en-GB" w:eastAsia="en-AU"/>
    </w:rPr>
  </w:style>
  <w:style w:type="character" w:styleId="FootnoteReference">
    <w:name w:val="footnote reference"/>
    <w:uiPriority w:val="99"/>
    <w:semiHidden/>
    <w:rsid w:val="00855AF4"/>
    <w:rPr>
      <w:rFonts w:ascii="Times New Roman" w:hAnsi="Times New Roman"/>
      <w:vertAlign w:val="superscript"/>
    </w:rPr>
  </w:style>
  <w:style w:type="paragraph" w:styleId="Title">
    <w:name w:val="Title"/>
    <w:basedOn w:val="BodyText"/>
    <w:next w:val="Normal"/>
    <w:link w:val="TitleChar"/>
    <w:uiPriority w:val="10"/>
    <w:qFormat/>
    <w:rsid w:val="00D15E66"/>
    <w:pPr>
      <w:pBdr>
        <w:top w:val="single" w:sz="18" w:space="10" w:color="auto"/>
        <w:bottom w:val="single" w:sz="8" w:space="10" w:color="auto"/>
      </w:pBdr>
    </w:pPr>
    <w:rPr>
      <w:b/>
      <w:sz w:val="36"/>
      <w:szCs w:val="36"/>
    </w:rPr>
  </w:style>
  <w:style w:type="character" w:customStyle="1" w:styleId="TitleChar">
    <w:name w:val="Title Char"/>
    <w:link w:val="Title"/>
    <w:uiPriority w:val="10"/>
    <w:rsid w:val="00D15E66"/>
    <w:rPr>
      <w:b/>
      <w:sz w:val="36"/>
      <w:szCs w:val="36"/>
      <w:lang w:val="en-GB"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3200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C320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C320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C3200"/>
    <w:pPr>
      <w:spacing w:after="100"/>
      <w:ind w:left="440"/>
    </w:pPr>
  </w:style>
  <w:style w:type="character" w:styleId="Hyperlink">
    <w:name w:val="Hyperlink"/>
    <w:uiPriority w:val="99"/>
    <w:unhideWhenUsed/>
    <w:rsid w:val="00BC32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2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320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931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31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931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1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9313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B0300"/>
    <w:pPr>
      <w:spacing w:before="100" w:beforeAutospacing="1" w:after="100" w:afterAutospacing="1"/>
    </w:pPr>
    <w:rPr>
      <w:szCs w:val="24"/>
      <w:lang w:eastAsia="en-NZ"/>
    </w:rPr>
  </w:style>
  <w:style w:type="character" w:styleId="PlaceholderText">
    <w:name w:val="Placeholder Text"/>
    <w:uiPriority w:val="99"/>
    <w:semiHidden/>
    <w:rsid w:val="00B91FB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91F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FB7"/>
  </w:style>
  <w:style w:type="paragraph" w:styleId="Footer">
    <w:name w:val="footer"/>
    <w:basedOn w:val="Normal"/>
    <w:link w:val="FooterChar"/>
    <w:uiPriority w:val="99"/>
    <w:unhideWhenUsed/>
    <w:rsid w:val="00B91F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FB7"/>
  </w:style>
  <w:style w:type="paragraph" w:customStyle="1" w:styleId="Chapter3">
    <w:name w:val="Chapter 3"/>
    <w:basedOn w:val="Normal"/>
    <w:rsid w:val="00BC1B14"/>
    <w:pPr>
      <w:numPr>
        <w:numId w:val="1"/>
      </w:numPr>
      <w:spacing w:before="120" w:after="120"/>
    </w:pPr>
    <w:rPr>
      <w:snapToGrid w:val="0"/>
      <w:szCs w:val="20"/>
      <w:lang w:val="en-AU"/>
    </w:rPr>
  </w:style>
  <w:style w:type="paragraph" w:customStyle="1" w:styleId="Numberedparagraph">
    <w:name w:val="Numbered paragraph"/>
    <w:basedOn w:val="Normal"/>
    <w:link w:val="NumberedparagraphChar"/>
    <w:rsid w:val="00D81D80"/>
    <w:pPr>
      <w:numPr>
        <w:numId w:val="3"/>
      </w:numPr>
      <w:spacing w:before="120"/>
    </w:pPr>
    <w:rPr>
      <w:rFonts w:ascii="Verdana" w:hAnsi="Verdana"/>
      <w:sz w:val="20"/>
      <w:szCs w:val="20"/>
      <w:lang w:eastAsia="en-AU"/>
    </w:rPr>
  </w:style>
  <w:style w:type="character" w:customStyle="1" w:styleId="NumberedparagraphChar">
    <w:name w:val="Numbered paragraph Char"/>
    <w:link w:val="Numberedparagraph"/>
    <w:rsid w:val="00D81D80"/>
    <w:rPr>
      <w:rFonts w:ascii="Verdana" w:hAnsi="Verdana"/>
      <w:lang w:eastAsia="en-AU"/>
    </w:rPr>
  </w:style>
  <w:style w:type="paragraph" w:customStyle="1" w:styleId="ListBulletOCTC">
    <w:name w:val="List Bullet OCTC"/>
    <w:basedOn w:val="Normal"/>
    <w:rsid w:val="00D81D80"/>
    <w:pPr>
      <w:numPr>
        <w:numId w:val="4"/>
      </w:numPr>
      <w:tabs>
        <w:tab w:val="clear" w:pos="596"/>
      </w:tabs>
      <w:spacing w:before="120"/>
      <w:ind w:left="1134" w:hanging="567"/>
    </w:pPr>
    <w:rPr>
      <w:rFonts w:ascii="Verdana" w:hAnsi="Verdana"/>
      <w:sz w:val="20"/>
      <w:szCs w:val="20"/>
      <w:lang w:eastAsia="en-AU"/>
    </w:rPr>
  </w:style>
  <w:style w:type="paragraph" w:customStyle="1" w:styleId="HeadingOCTC">
    <w:name w:val="Heading OCTC"/>
    <w:basedOn w:val="Heading1"/>
    <w:link w:val="HeadingOCTCChar"/>
    <w:rsid w:val="00517BEA"/>
    <w:pPr>
      <w:keepLines w:val="0"/>
      <w:spacing w:before="360"/>
    </w:pPr>
    <w:rPr>
      <w:rFonts w:ascii="Verdana" w:hAnsi="Verdana"/>
      <w:bCs w:val="0"/>
      <w:szCs w:val="20"/>
      <w:lang w:eastAsia="en-AU"/>
    </w:rPr>
  </w:style>
  <w:style w:type="character" w:customStyle="1" w:styleId="HeadingOCTCChar">
    <w:name w:val="Heading OCTC Char"/>
    <w:link w:val="HeadingOCTC"/>
    <w:rsid w:val="00517BEA"/>
    <w:rPr>
      <w:rFonts w:ascii="Verdana" w:eastAsia="Times New Roman" w:hAnsi="Verdana" w:cs="Times New Roman"/>
      <w:b/>
      <w:bCs w:val="0"/>
      <w:color w:val="365F91"/>
      <w:sz w:val="28"/>
      <w:szCs w:val="20"/>
      <w:lang w:eastAsia="en-AU"/>
    </w:rPr>
  </w:style>
  <w:style w:type="character" w:styleId="HTMLDefinition">
    <w:name w:val="HTML Definition"/>
    <w:uiPriority w:val="99"/>
    <w:semiHidden/>
    <w:unhideWhenUsed/>
    <w:rsid w:val="00537B8B"/>
    <w:rPr>
      <w:i/>
      <w:iCs/>
    </w:rPr>
  </w:style>
  <w:style w:type="character" w:customStyle="1" w:styleId="label">
    <w:name w:val="label"/>
    <w:basedOn w:val="DefaultParagraphFont"/>
    <w:rsid w:val="00537B8B"/>
  </w:style>
  <w:style w:type="character" w:customStyle="1" w:styleId="q1">
    <w:name w:val="q1"/>
    <w:rsid w:val="00537B8B"/>
    <w:rPr>
      <w:b w:val="0"/>
      <w:bCs w:val="0"/>
      <w:i w:val="0"/>
      <w:iCs w:val="0"/>
      <w:spacing w:val="15"/>
    </w:rPr>
  </w:style>
  <w:style w:type="paragraph" w:customStyle="1" w:styleId="text1">
    <w:name w:val="text1"/>
    <w:basedOn w:val="Normal"/>
    <w:rsid w:val="00537B8B"/>
    <w:pPr>
      <w:spacing w:line="288" w:lineRule="atLeast"/>
    </w:pPr>
    <w:rPr>
      <w:color w:val="000000"/>
      <w:szCs w:val="24"/>
      <w:lang w:eastAsia="en-NZ"/>
    </w:rPr>
  </w:style>
  <w:style w:type="paragraph" w:customStyle="1" w:styleId="labelled4">
    <w:name w:val="labelled4"/>
    <w:basedOn w:val="Normal"/>
    <w:rsid w:val="00537B8B"/>
    <w:pPr>
      <w:spacing w:line="288" w:lineRule="atLeast"/>
      <w:ind w:right="240"/>
    </w:pPr>
    <w:rPr>
      <w:color w:val="000000"/>
      <w:szCs w:val="24"/>
      <w:lang w:eastAsia="en-NZ"/>
    </w:rPr>
  </w:style>
  <w:style w:type="paragraph" w:styleId="Revision">
    <w:name w:val="Revision"/>
    <w:hidden/>
    <w:uiPriority w:val="99"/>
    <w:semiHidden/>
    <w:rsid w:val="0005766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13037B"/>
    <w:rPr>
      <w:sz w:val="24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5A3CD8"/>
    <w:rPr>
      <w:szCs w:val="20"/>
      <w:lang w:val="en-GB" w:eastAsia="en-AU"/>
    </w:rPr>
  </w:style>
  <w:style w:type="character" w:customStyle="1" w:styleId="BodyTextChar">
    <w:name w:val="Body Text Char"/>
    <w:link w:val="BodyText"/>
    <w:uiPriority w:val="99"/>
    <w:rsid w:val="005A3CD8"/>
    <w:rPr>
      <w:rFonts w:eastAsia="Times New Roman" w:cs="Times New Roman"/>
      <w:sz w:val="24"/>
      <w:szCs w:val="20"/>
      <w:lang w:val="en-GB" w:eastAsia="en-AU"/>
    </w:rPr>
  </w:style>
  <w:style w:type="paragraph" w:customStyle="1" w:styleId="Bullets">
    <w:name w:val="Bullets"/>
    <w:basedOn w:val="ListParagraph"/>
    <w:link w:val="BulletsChar"/>
    <w:qFormat/>
    <w:rsid w:val="005A3CD8"/>
    <w:pPr>
      <w:numPr>
        <w:numId w:val="2"/>
      </w:numPr>
      <w:spacing w:after="140"/>
      <w:ind w:left="567" w:hanging="567"/>
      <w:contextualSpacing w:val="0"/>
    </w:pPr>
  </w:style>
  <w:style w:type="character" w:customStyle="1" w:styleId="BulletsChar">
    <w:name w:val="Bullets Char"/>
    <w:link w:val="Bullets"/>
    <w:rsid w:val="005A3CD8"/>
    <w:rPr>
      <w:sz w:val="24"/>
      <w:szCs w:val="22"/>
      <w:lang w:eastAsia="en-US"/>
    </w:rPr>
  </w:style>
  <w:style w:type="character" w:styleId="BookTitle">
    <w:name w:val="Book Title"/>
    <w:uiPriority w:val="33"/>
    <w:qFormat/>
    <w:rsid w:val="00134BE1"/>
    <w:rPr>
      <w:b/>
      <w:bCs/>
      <w:smallCaps/>
      <w:spacing w:val="5"/>
    </w:rPr>
  </w:style>
  <w:style w:type="character" w:styleId="Strong">
    <w:name w:val="Strong"/>
    <w:uiPriority w:val="22"/>
    <w:qFormat/>
    <w:rsid w:val="00134BE1"/>
    <w:rPr>
      <w:b/>
      <w:bCs/>
    </w:rPr>
  </w:style>
  <w:style w:type="table" w:styleId="TableGrid">
    <w:name w:val="Table Grid"/>
    <w:basedOn w:val="TableNormal"/>
    <w:rsid w:val="00BA7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-Specialreport">
    <w:name w:val="Title - Special report"/>
    <w:basedOn w:val="Normal"/>
    <w:qFormat/>
    <w:rsid w:val="000C0D3F"/>
    <w:pPr>
      <w:pBdr>
        <w:top w:val="single" w:sz="18" w:space="10" w:color="auto"/>
        <w:bottom w:val="single" w:sz="8" w:space="10" w:color="auto"/>
      </w:pBdr>
    </w:pPr>
    <w:rPr>
      <w:b/>
      <w:sz w:val="36"/>
      <w:szCs w:val="36"/>
    </w:rPr>
  </w:style>
  <w:style w:type="paragraph" w:customStyle="1" w:styleId="TRListBullet">
    <w:name w:val="_TRList Bullet"/>
    <w:basedOn w:val="Normal"/>
    <w:rsid w:val="000C0D3F"/>
    <w:pPr>
      <w:numPr>
        <w:numId w:val="5"/>
      </w:numPr>
      <w:spacing w:after="200" w:line="300" w:lineRule="atLeast"/>
    </w:pPr>
    <w:rPr>
      <w:szCs w:val="20"/>
      <w:lang w:eastAsia="en-AU"/>
    </w:rPr>
  </w:style>
  <w:style w:type="paragraph" w:customStyle="1" w:styleId="BulletsText">
    <w:name w:val="BulletsText"/>
    <w:basedOn w:val="BodyText"/>
    <w:qFormat/>
    <w:rsid w:val="000C0D3F"/>
    <w:pPr>
      <w:numPr>
        <w:numId w:val="6"/>
      </w:numPr>
      <w:spacing w:after="140"/>
    </w:pPr>
    <w:rPr>
      <w:szCs w:val="24"/>
      <w:lang w:val="en-NZ" w:eastAsia="en-NZ"/>
    </w:rPr>
  </w:style>
  <w:style w:type="character" w:customStyle="1" w:styleId="changeable1">
    <w:name w:val="changeable1"/>
    <w:basedOn w:val="DefaultParagraphFont"/>
    <w:rsid w:val="000C0D3F"/>
    <w:rPr>
      <w:rFonts w:ascii="Arial" w:hAnsi="Arial" w:cs="Arial" w:hint="default"/>
      <w:b/>
      <w:bCs/>
      <w:sz w:val="22"/>
      <w:szCs w:val="22"/>
    </w:rPr>
  </w:style>
  <w:style w:type="paragraph" w:customStyle="1" w:styleId="text5">
    <w:name w:val="text5"/>
    <w:basedOn w:val="Normal"/>
    <w:rsid w:val="000C0D3F"/>
    <w:pPr>
      <w:spacing w:before="83" w:after="216" w:line="288" w:lineRule="atLeast"/>
      <w:jc w:val="left"/>
    </w:pPr>
    <w:rPr>
      <w:szCs w:val="24"/>
      <w:lang w:eastAsia="en-NZ"/>
    </w:rPr>
  </w:style>
  <w:style w:type="paragraph" w:customStyle="1" w:styleId="Default">
    <w:name w:val="Default"/>
    <w:rsid w:val="0000397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8B0"/>
    <w:pPr>
      <w:jc w:val="both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A3CD8"/>
    <w:pPr>
      <w:keepNext/>
      <w:keepLines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17C30"/>
    <w:pPr>
      <w:keepNext/>
      <w:keepLines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664C"/>
    <w:pPr>
      <w:keepNext/>
      <w:keepLines/>
      <w:outlineLvl w:val="2"/>
    </w:pPr>
    <w:rPr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7CB1"/>
    <w:pPr>
      <w:keepNext/>
      <w:keepLines/>
      <w:outlineLvl w:val="3"/>
    </w:pPr>
    <w:rPr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A3CD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E17C30"/>
    <w:rPr>
      <w:b/>
      <w:bCs/>
      <w:sz w:val="24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D664C"/>
    <w:rPr>
      <w:rFonts w:ascii="Times New Roman" w:eastAsia="Times New Roman" w:hAnsi="Times New Roman" w:cs="Times New Roman"/>
      <w:b/>
      <w:bCs/>
      <w:i/>
      <w:sz w:val="24"/>
    </w:rPr>
  </w:style>
  <w:style w:type="character" w:customStyle="1" w:styleId="Heading4Char">
    <w:name w:val="Heading 4 Char"/>
    <w:link w:val="Heading4"/>
    <w:uiPriority w:val="9"/>
    <w:rsid w:val="00267CB1"/>
    <w:rPr>
      <w:rFonts w:ascii="Times New Roman" w:eastAsia="Times New Roman" w:hAnsi="Times New Roman" w:cs="Times New Roman"/>
      <w:bCs/>
      <w:i/>
      <w:iCs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BD32B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5A3CD8"/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855AF4"/>
    <w:rPr>
      <w:sz w:val="20"/>
      <w:szCs w:val="20"/>
      <w:lang w:val="en-GB" w:eastAsia="en-AU"/>
    </w:rPr>
  </w:style>
  <w:style w:type="character" w:customStyle="1" w:styleId="FootnoteTextChar">
    <w:name w:val="Footnote Text Char"/>
    <w:link w:val="FootnoteText"/>
    <w:uiPriority w:val="99"/>
    <w:semiHidden/>
    <w:rsid w:val="00855AF4"/>
    <w:rPr>
      <w:rFonts w:eastAsia="Times New Roman" w:cs="Times New Roman"/>
      <w:sz w:val="20"/>
      <w:szCs w:val="20"/>
      <w:lang w:val="en-GB" w:eastAsia="en-AU"/>
    </w:rPr>
  </w:style>
  <w:style w:type="character" w:styleId="FootnoteReference">
    <w:name w:val="footnote reference"/>
    <w:uiPriority w:val="99"/>
    <w:semiHidden/>
    <w:rsid w:val="00855AF4"/>
    <w:rPr>
      <w:rFonts w:ascii="Times New Roman" w:hAnsi="Times New Roman"/>
      <w:vertAlign w:val="superscript"/>
    </w:rPr>
  </w:style>
  <w:style w:type="paragraph" w:styleId="Title">
    <w:name w:val="Title"/>
    <w:basedOn w:val="BodyText"/>
    <w:next w:val="Normal"/>
    <w:link w:val="TitleChar"/>
    <w:uiPriority w:val="10"/>
    <w:qFormat/>
    <w:rsid w:val="00D15E66"/>
    <w:pPr>
      <w:pBdr>
        <w:top w:val="single" w:sz="18" w:space="10" w:color="auto"/>
        <w:bottom w:val="single" w:sz="8" w:space="10" w:color="auto"/>
      </w:pBdr>
    </w:pPr>
    <w:rPr>
      <w:b/>
      <w:sz w:val="36"/>
      <w:szCs w:val="36"/>
    </w:rPr>
  </w:style>
  <w:style w:type="character" w:customStyle="1" w:styleId="TitleChar">
    <w:name w:val="Title Char"/>
    <w:link w:val="Title"/>
    <w:uiPriority w:val="10"/>
    <w:rsid w:val="00D15E66"/>
    <w:rPr>
      <w:b/>
      <w:sz w:val="36"/>
      <w:szCs w:val="36"/>
      <w:lang w:val="en-GB"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3200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C320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C320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C3200"/>
    <w:pPr>
      <w:spacing w:after="100"/>
      <w:ind w:left="440"/>
    </w:pPr>
  </w:style>
  <w:style w:type="character" w:styleId="Hyperlink">
    <w:name w:val="Hyperlink"/>
    <w:uiPriority w:val="99"/>
    <w:unhideWhenUsed/>
    <w:rsid w:val="00BC32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2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320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931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31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931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1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9313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B0300"/>
    <w:pPr>
      <w:spacing w:before="100" w:beforeAutospacing="1" w:after="100" w:afterAutospacing="1"/>
    </w:pPr>
    <w:rPr>
      <w:szCs w:val="24"/>
      <w:lang w:eastAsia="en-NZ"/>
    </w:rPr>
  </w:style>
  <w:style w:type="character" w:styleId="PlaceholderText">
    <w:name w:val="Placeholder Text"/>
    <w:uiPriority w:val="99"/>
    <w:semiHidden/>
    <w:rsid w:val="00B91FB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91F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FB7"/>
  </w:style>
  <w:style w:type="paragraph" w:styleId="Footer">
    <w:name w:val="footer"/>
    <w:basedOn w:val="Normal"/>
    <w:link w:val="FooterChar"/>
    <w:uiPriority w:val="99"/>
    <w:unhideWhenUsed/>
    <w:rsid w:val="00B91F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FB7"/>
  </w:style>
  <w:style w:type="paragraph" w:customStyle="1" w:styleId="Chapter3">
    <w:name w:val="Chapter 3"/>
    <w:basedOn w:val="Normal"/>
    <w:rsid w:val="00BC1B14"/>
    <w:pPr>
      <w:numPr>
        <w:numId w:val="1"/>
      </w:numPr>
      <w:spacing w:before="120" w:after="120"/>
    </w:pPr>
    <w:rPr>
      <w:snapToGrid w:val="0"/>
      <w:szCs w:val="20"/>
      <w:lang w:val="en-AU"/>
    </w:rPr>
  </w:style>
  <w:style w:type="paragraph" w:customStyle="1" w:styleId="Numberedparagraph">
    <w:name w:val="Numbered paragraph"/>
    <w:basedOn w:val="Normal"/>
    <w:link w:val="NumberedparagraphChar"/>
    <w:rsid w:val="00D81D80"/>
    <w:pPr>
      <w:numPr>
        <w:numId w:val="3"/>
      </w:numPr>
      <w:spacing w:before="120"/>
    </w:pPr>
    <w:rPr>
      <w:rFonts w:ascii="Verdana" w:hAnsi="Verdana"/>
      <w:sz w:val="20"/>
      <w:szCs w:val="20"/>
      <w:lang w:eastAsia="en-AU"/>
    </w:rPr>
  </w:style>
  <w:style w:type="character" w:customStyle="1" w:styleId="NumberedparagraphChar">
    <w:name w:val="Numbered paragraph Char"/>
    <w:link w:val="Numberedparagraph"/>
    <w:rsid w:val="00D81D80"/>
    <w:rPr>
      <w:rFonts w:ascii="Verdana" w:hAnsi="Verdana"/>
      <w:lang w:eastAsia="en-AU"/>
    </w:rPr>
  </w:style>
  <w:style w:type="paragraph" w:customStyle="1" w:styleId="ListBulletOCTC">
    <w:name w:val="List Bullet OCTC"/>
    <w:basedOn w:val="Normal"/>
    <w:rsid w:val="00D81D80"/>
    <w:pPr>
      <w:numPr>
        <w:numId w:val="4"/>
      </w:numPr>
      <w:tabs>
        <w:tab w:val="clear" w:pos="596"/>
      </w:tabs>
      <w:spacing w:before="120"/>
      <w:ind w:left="1134" w:hanging="567"/>
    </w:pPr>
    <w:rPr>
      <w:rFonts w:ascii="Verdana" w:hAnsi="Verdana"/>
      <w:sz w:val="20"/>
      <w:szCs w:val="20"/>
      <w:lang w:eastAsia="en-AU"/>
    </w:rPr>
  </w:style>
  <w:style w:type="paragraph" w:customStyle="1" w:styleId="HeadingOCTC">
    <w:name w:val="Heading OCTC"/>
    <w:basedOn w:val="Heading1"/>
    <w:link w:val="HeadingOCTCChar"/>
    <w:rsid w:val="00517BEA"/>
    <w:pPr>
      <w:keepLines w:val="0"/>
      <w:spacing w:before="360"/>
    </w:pPr>
    <w:rPr>
      <w:rFonts w:ascii="Verdana" w:hAnsi="Verdana"/>
      <w:bCs w:val="0"/>
      <w:szCs w:val="20"/>
      <w:lang w:eastAsia="en-AU"/>
    </w:rPr>
  </w:style>
  <w:style w:type="character" w:customStyle="1" w:styleId="HeadingOCTCChar">
    <w:name w:val="Heading OCTC Char"/>
    <w:link w:val="HeadingOCTC"/>
    <w:rsid w:val="00517BEA"/>
    <w:rPr>
      <w:rFonts w:ascii="Verdana" w:eastAsia="Times New Roman" w:hAnsi="Verdana" w:cs="Times New Roman"/>
      <w:b/>
      <w:bCs w:val="0"/>
      <w:color w:val="365F91"/>
      <w:sz w:val="28"/>
      <w:szCs w:val="20"/>
      <w:lang w:eastAsia="en-AU"/>
    </w:rPr>
  </w:style>
  <w:style w:type="character" w:styleId="HTMLDefinition">
    <w:name w:val="HTML Definition"/>
    <w:uiPriority w:val="99"/>
    <w:semiHidden/>
    <w:unhideWhenUsed/>
    <w:rsid w:val="00537B8B"/>
    <w:rPr>
      <w:i/>
      <w:iCs/>
    </w:rPr>
  </w:style>
  <w:style w:type="character" w:customStyle="1" w:styleId="label">
    <w:name w:val="label"/>
    <w:basedOn w:val="DefaultParagraphFont"/>
    <w:rsid w:val="00537B8B"/>
  </w:style>
  <w:style w:type="character" w:customStyle="1" w:styleId="q1">
    <w:name w:val="q1"/>
    <w:rsid w:val="00537B8B"/>
    <w:rPr>
      <w:b w:val="0"/>
      <w:bCs w:val="0"/>
      <w:i w:val="0"/>
      <w:iCs w:val="0"/>
      <w:spacing w:val="15"/>
    </w:rPr>
  </w:style>
  <w:style w:type="paragraph" w:customStyle="1" w:styleId="text1">
    <w:name w:val="text1"/>
    <w:basedOn w:val="Normal"/>
    <w:rsid w:val="00537B8B"/>
    <w:pPr>
      <w:spacing w:line="288" w:lineRule="atLeast"/>
    </w:pPr>
    <w:rPr>
      <w:color w:val="000000"/>
      <w:szCs w:val="24"/>
      <w:lang w:eastAsia="en-NZ"/>
    </w:rPr>
  </w:style>
  <w:style w:type="paragraph" w:customStyle="1" w:styleId="labelled4">
    <w:name w:val="labelled4"/>
    <w:basedOn w:val="Normal"/>
    <w:rsid w:val="00537B8B"/>
    <w:pPr>
      <w:spacing w:line="288" w:lineRule="atLeast"/>
      <w:ind w:right="240"/>
    </w:pPr>
    <w:rPr>
      <w:color w:val="000000"/>
      <w:szCs w:val="24"/>
      <w:lang w:eastAsia="en-NZ"/>
    </w:rPr>
  </w:style>
  <w:style w:type="paragraph" w:styleId="Revision">
    <w:name w:val="Revision"/>
    <w:hidden/>
    <w:uiPriority w:val="99"/>
    <w:semiHidden/>
    <w:rsid w:val="0005766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13037B"/>
    <w:rPr>
      <w:sz w:val="24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5A3CD8"/>
    <w:rPr>
      <w:szCs w:val="20"/>
      <w:lang w:val="en-GB" w:eastAsia="en-AU"/>
    </w:rPr>
  </w:style>
  <w:style w:type="character" w:customStyle="1" w:styleId="BodyTextChar">
    <w:name w:val="Body Text Char"/>
    <w:link w:val="BodyText"/>
    <w:uiPriority w:val="99"/>
    <w:rsid w:val="005A3CD8"/>
    <w:rPr>
      <w:rFonts w:eastAsia="Times New Roman" w:cs="Times New Roman"/>
      <w:sz w:val="24"/>
      <w:szCs w:val="20"/>
      <w:lang w:val="en-GB" w:eastAsia="en-AU"/>
    </w:rPr>
  </w:style>
  <w:style w:type="paragraph" w:customStyle="1" w:styleId="Bullets">
    <w:name w:val="Bullets"/>
    <w:basedOn w:val="ListParagraph"/>
    <w:link w:val="BulletsChar"/>
    <w:qFormat/>
    <w:rsid w:val="005A3CD8"/>
    <w:pPr>
      <w:numPr>
        <w:numId w:val="2"/>
      </w:numPr>
      <w:spacing w:after="140"/>
      <w:ind w:left="567" w:hanging="567"/>
      <w:contextualSpacing w:val="0"/>
    </w:pPr>
  </w:style>
  <w:style w:type="character" w:customStyle="1" w:styleId="BulletsChar">
    <w:name w:val="Bullets Char"/>
    <w:link w:val="Bullets"/>
    <w:rsid w:val="005A3CD8"/>
    <w:rPr>
      <w:sz w:val="24"/>
      <w:szCs w:val="22"/>
      <w:lang w:eastAsia="en-US"/>
    </w:rPr>
  </w:style>
  <w:style w:type="character" w:styleId="BookTitle">
    <w:name w:val="Book Title"/>
    <w:uiPriority w:val="33"/>
    <w:qFormat/>
    <w:rsid w:val="00134BE1"/>
    <w:rPr>
      <w:b/>
      <w:bCs/>
      <w:smallCaps/>
      <w:spacing w:val="5"/>
    </w:rPr>
  </w:style>
  <w:style w:type="character" w:styleId="Strong">
    <w:name w:val="Strong"/>
    <w:uiPriority w:val="22"/>
    <w:qFormat/>
    <w:rsid w:val="00134BE1"/>
    <w:rPr>
      <w:b/>
      <w:bCs/>
    </w:rPr>
  </w:style>
  <w:style w:type="table" w:styleId="TableGrid">
    <w:name w:val="Table Grid"/>
    <w:basedOn w:val="TableNormal"/>
    <w:rsid w:val="00BA7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-Specialreport">
    <w:name w:val="Title - Special report"/>
    <w:basedOn w:val="Normal"/>
    <w:qFormat/>
    <w:rsid w:val="000C0D3F"/>
    <w:pPr>
      <w:pBdr>
        <w:top w:val="single" w:sz="18" w:space="10" w:color="auto"/>
        <w:bottom w:val="single" w:sz="8" w:space="10" w:color="auto"/>
      </w:pBdr>
    </w:pPr>
    <w:rPr>
      <w:b/>
      <w:sz w:val="36"/>
      <w:szCs w:val="36"/>
    </w:rPr>
  </w:style>
  <w:style w:type="paragraph" w:customStyle="1" w:styleId="TRListBullet">
    <w:name w:val="_TRList Bullet"/>
    <w:basedOn w:val="Normal"/>
    <w:rsid w:val="000C0D3F"/>
    <w:pPr>
      <w:numPr>
        <w:numId w:val="5"/>
      </w:numPr>
      <w:spacing w:after="200" w:line="300" w:lineRule="atLeast"/>
    </w:pPr>
    <w:rPr>
      <w:szCs w:val="20"/>
      <w:lang w:eastAsia="en-AU"/>
    </w:rPr>
  </w:style>
  <w:style w:type="paragraph" w:customStyle="1" w:styleId="BulletsText">
    <w:name w:val="BulletsText"/>
    <w:basedOn w:val="BodyText"/>
    <w:qFormat/>
    <w:rsid w:val="000C0D3F"/>
    <w:pPr>
      <w:numPr>
        <w:numId w:val="6"/>
      </w:numPr>
      <w:spacing w:after="140"/>
    </w:pPr>
    <w:rPr>
      <w:szCs w:val="24"/>
      <w:lang w:val="en-NZ" w:eastAsia="en-NZ"/>
    </w:rPr>
  </w:style>
  <w:style w:type="character" w:customStyle="1" w:styleId="changeable1">
    <w:name w:val="changeable1"/>
    <w:basedOn w:val="DefaultParagraphFont"/>
    <w:rsid w:val="000C0D3F"/>
    <w:rPr>
      <w:rFonts w:ascii="Arial" w:hAnsi="Arial" w:cs="Arial" w:hint="default"/>
      <w:b/>
      <w:bCs/>
      <w:sz w:val="22"/>
      <w:szCs w:val="22"/>
    </w:rPr>
  </w:style>
  <w:style w:type="paragraph" w:customStyle="1" w:styleId="text5">
    <w:name w:val="text5"/>
    <w:basedOn w:val="Normal"/>
    <w:rsid w:val="000C0D3F"/>
    <w:pPr>
      <w:spacing w:before="83" w:after="216" w:line="288" w:lineRule="atLeast"/>
      <w:jc w:val="left"/>
    </w:pPr>
    <w:rPr>
      <w:szCs w:val="24"/>
      <w:lang w:eastAsia="en-NZ"/>
    </w:rPr>
  </w:style>
  <w:style w:type="paragraph" w:customStyle="1" w:styleId="Default">
    <w:name w:val="Default"/>
    <w:rsid w:val="0000397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6205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33530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1059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25416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42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6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21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64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83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952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066279">
                                                          <w:marLeft w:val="-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2898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85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602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0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835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59391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1790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61251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5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1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16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8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04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35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36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479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318974">
                                                                  <w:marLeft w:val="0"/>
                                                                  <w:marRight w:val="0"/>
                                                                  <w:marTop w:val="83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460685">
                                                                      <w:marLeft w:val="-62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5E5"/>
                                                                        <w:left w:val="single" w:sz="6" w:space="0" w:color="E5E5E5"/>
                                                                        <w:bottom w:val="single" w:sz="6" w:space="0" w:color="E5E5E5"/>
                                                                        <w:right w:val="single" w:sz="6" w:space="0" w:color="E5E5E5"/>
                                                                      </w:divBdr>
                                                                      <w:divsChild>
                                                                        <w:div w:id="1902908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962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8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97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8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6095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9300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8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0634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25263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83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5886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4848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83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9894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3732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8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9073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6959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8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607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40353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83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22640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7153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83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24994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37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83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8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166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06797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6794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64870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0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70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17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46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29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68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49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670592">
                                                          <w:marLeft w:val="-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17928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671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AD6C6-1D81-46EB-9DC7-E82310C12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3176</Words>
  <Characters>16200</Characters>
  <Application>Microsoft Office Word</Application>
  <DocSecurity>0</DocSecurity>
  <Lines>352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report on GST and services connected with land (March 2017)</vt:lpstr>
    </vt:vector>
  </TitlesOfParts>
  <Company>Inland Revenue</Company>
  <LinksUpToDate>false</LinksUpToDate>
  <CharactersWithSpaces>19264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report on GST and services connected with land (March 2017)</dc:title>
  <dc:creator>Policy and Strategy</dc:creator>
  <cp:lastModifiedBy>David Nind</cp:lastModifiedBy>
  <cp:revision>2</cp:revision>
  <dcterms:created xsi:type="dcterms:W3CDTF">2017-03-31T00:05:00Z</dcterms:created>
  <dcterms:modified xsi:type="dcterms:W3CDTF">2017-03-31T00:05:00Z</dcterms:modified>
</cp:coreProperties>
</file>